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北京市房山区2023届高考一模政治试卷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sectPr w:rsidSect="00B5694A">
          <w:headerReference w:type="even" r:id="rId5"/>
          <w:headerReference w:type="default" r:id="rId6"/>
          <w:footerReference w:type="even" r:id="rId7"/>
          <w:footerReference w:type="default" r:id="rId8"/>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1.</w:t>
      </w:r>
      <w:r>
        <w:rPr>
          <w:rFonts w:ascii="宋体" w:hAnsi="宋体" w:cs="宋体"/>
          <w:kern w:val="0"/>
          <w:szCs w:val="24"/>
          <w:lang w:eastAsia="en-US"/>
        </w:rPr>
        <w:t>碳交易是为促进全球温室气体减排，减少全球二氧化碳排放所采用的市场机制。我国碳交易市场（如图示）于2021年7月16日启动上线交易以来，全国碳市场交易活跃，交易价格稳中有升，市场运行平稳，助力实现碳达峰目标和碳中和愿景。以下碳排放权交易发挥作用的传导路径，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4057650" cy="161925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9">
                      <a:lum bright="4000"/>
                    </a:blip>
                    <a:stretch>
                      <a:fillRect/>
                    </a:stretch>
                  </pic:blipFill>
                  <pic:spPr>
                    <a:xfrm>
                      <a:off x="0" y="0"/>
                      <a:ext cx="4057650" cy="16192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注：碳交易又称为“碳排放权交易”，通常情况下，政府确定一个碳排放总额，并根据一定规则将碳排放配额分配至企业。如果未来企业排放高于配额，需要到市场上购买配额。</w:t>
      </w:r>
      <w:r>
        <w:rPr>
          <w:rFonts w:ascii="宋体" w:hAnsi="宋体" w:cs="宋体"/>
          <w:kern w:val="0"/>
          <w:szCs w:val="24"/>
          <w:lang w:eastAsia="en-US"/>
        </w:rPr>
        <w:cr/>
      </w:r>
      <w:r>
        <w:rPr>
          <w:rFonts w:ascii="宋体" w:hAnsi="宋体" w:cs="宋体"/>
          <w:kern w:val="0"/>
          <w:szCs w:val="24"/>
          <w:lang w:eastAsia="en-US"/>
        </w:rPr>
        <w:t>①企业碳排放超标→企业限产、减产→企业退出生产市场→实现碳中和</w:t>
      </w:r>
      <w:r>
        <w:rPr>
          <w:rFonts w:ascii="宋体" w:hAnsi="宋体" w:cs="宋体"/>
          <w:kern w:val="0"/>
          <w:szCs w:val="24"/>
          <w:lang w:eastAsia="en-US"/>
        </w:rPr>
        <w:cr/>
      </w:r>
      <w:r>
        <w:rPr>
          <w:rFonts w:ascii="宋体" w:hAnsi="宋体" w:cs="宋体"/>
          <w:kern w:val="0"/>
          <w:szCs w:val="24"/>
          <w:lang w:eastAsia="en-US"/>
        </w:rPr>
        <w:t>②企业碳排放超标→购买碳排放量→运营成本增加→倒逼企业减污降碳</w:t>
      </w:r>
      <w:r>
        <w:rPr>
          <w:rFonts w:ascii="宋体" w:hAnsi="宋体" w:cs="宋体"/>
          <w:kern w:val="0"/>
          <w:szCs w:val="24"/>
          <w:lang w:eastAsia="en-US"/>
        </w:rPr>
        <w:cr/>
      </w:r>
      <w:r>
        <w:rPr>
          <w:rFonts w:ascii="宋体" w:hAnsi="宋体" w:cs="宋体"/>
          <w:kern w:val="0"/>
          <w:szCs w:val="24"/>
          <w:lang w:eastAsia="en-US"/>
        </w:rPr>
        <w:t>③企业出售剩余碳排放权→提高碳交易价格→利润增加→扩大生产规模</w:t>
      </w:r>
      <w:r>
        <w:rPr>
          <w:rFonts w:ascii="宋体" w:hAnsi="宋体" w:cs="宋体"/>
          <w:kern w:val="0"/>
          <w:szCs w:val="24"/>
          <w:lang w:eastAsia="en-US"/>
        </w:rPr>
        <w:cr/>
      </w:r>
      <w:r>
        <w:rPr>
          <w:rFonts w:ascii="宋体" w:hAnsi="宋体" w:cs="宋体"/>
          <w:kern w:val="0"/>
          <w:szCs w:val="24"/>
          <w:lang w:eastAsia="en-US"/>
        </w:rPr>
        <w:t>④企业出售剩余碳排放权→利润增加→创新绿色低碳技术→促进绿色生产</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B．①③</w:t>
      </w:r>
      <w:r>
        <w:rPr>
          <w:rFonts w:ascii="宋体" w:hAnsi="宋体" w:cs="宋体"/>
          <w:kern w:val="0"/>
          <w:szCs w:val="24"/>
          <w:lang w:eastAsia="en-US"/>
        </w:rPr>
        <w:cr/>
      </w:r>
      <w:r>
        <w:rPr>
          <w:rFonts w:ascii="宋体" w:hAnsi="宋体" w:cs="宋体"/>
          <w:kern w:val="0"/>
          <w:szCs w:val="24"/>
          <w:lang w:eastAsia="en-US"/>
        </w:rPr>
        <w:t>C．②④</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方向决定道路，道路决定命运。在纪念辛亥革命110周年大会上，习近平总书记指出：“历史启示我们，实现中华民族伟大复兴，道路是最根本的问题。中国特色社会主义是实现中华民族伟大复兴的唯一正确道路。这条道路符合中国实际，反映中国人民意愿，适应时代发展要求，不仅走得对、走得通，而且也一定能够走得稳、走得好。”这说明（</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A．中国特色社会主义道路是创造美好生活、实现中华民族伟大复兴的必由之路</w:t>
      </w:r>
      <w:r>
        <w:rPr>
          <w:rFonts w:ascii="宋体" w:hAnsi="宋体" w:cs="宋体"/>
          <w:kern w:val="0"/>
          <w:szCs w:val="24"/>
          <w:lang w:eastAsia="en-US"/>
        </w:rPr>
        <w:cr/>
      </w:r>
      <w:r>
        <w:rPr>
          <w:rFonts w:ascii="宋体" w:hAnsi="宋体" w:cs="宋体"/>
          <w:kern w:val="0"/>
          <w:szCs w:val="24"/>
          <w:lang w:eastAsia="en-US"/>
        </w:rPr>
        <w:t>B．中国特色社会主义理论体系是指导党和人民实现中华民族伟大复兴的正确理论</w:t>
      </w:r>
      <w:r>
        <w:rPr>
          <w:rFonts w:ascii="宋体" w:hAnsi="宋体" w:cs="宋体"/>
          <w:kern w:val="0"/>
          <w:szCs w:val="24"/>
          <w:lang w:eastAsia="en-US"/>
        </w:rPr>
        <w:cr/>
      </w:r>
      <w:r>
        <w:rPr>
          <w:rFonts w:ascii="宋体" w:hAnsi="宋体" w:cs="宋体"/>
          <w:kern w:val="0"/>
          <w:szCs w:val="24"/>
          <w:lang w:eastAsia="en-US"/>
        </w:rPr>
        <w:t>C．中国特色社会主义制度及其执行能力是国家治理体系和治理能力的集中体现</w:t>
      </w:r>
      <w:r>
        <w:rPr>
          <w:rFonts w:ascii="宋体" w:hAnsi="宋体" w:cs="宋体"/>
          <w:kern w:val="0"/>
          <w:szCs w:val="24"/>
          <w:lang w:eastAsia="en-US"/>
        </w:rPr>
        <w:cr/>
      </w:r>
      <w:r>
        <w:rPr>
          <w:rFonts w:ascii="宋体" w:hAnsi="宋体" w:cs="宋体"/>
          <w:kern w:val="0"/>
          <w:szCs w:val="24"/>
          <w:lang w:eastAsia="en-US"/>
        </w:rPr>
        <w:t>D．中国特色社会主义文化是激励全党全国各族人民奋勇前进的强大物质力量</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中国和东盟国家山水相连、血脉相亲。党的二十大之后，习近平主席首次出访选择东盟国家，出席G20峰会、APEC领导人非正式会议，并分别与印尼和泰国两国领导人举行双边会晤，一致决定共建中印尼命运共同体和中泰命运共同体。对此，下列认识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A．中国与东盟国家存在共同利益，双方合作关系不断深入发展</w:t>
      </w:r>
      <w:r>
        <w:rPr>
          <w:rFonts w:ascii="宋体" w:hAnsi="宋体" w:cs="宋体"/>
          <w:kern w:val="0"/>
          <w:szCs w:val="24"/>
          <w:lang w:eastAsia="en-US"/>
        </w:rPr>
        <w:cr/>
      </w:r>
      <w:r>
        <w:rPr>
          <w:rFonts w:ascii="宋体" w:hAnsi="宋体" w:cs="宋体"/>
          <w:kern w:val="0"/>
          <w:szCs w:val="24"/>
          <w:lang w:eastAsia="en-US"/>
        </w:rPr>
        <w:t>B．中国是东盟重要成员国，对东盟的发展起着举足轻重的作用</w:t>
      </w:r>
      <w:r>
        <w:rPr>
          <w:rFonts w:ascii="宋体" w:hAnsi="宋体" w:cs="宋体"/>
          <w:kern w:val="0"/>
          <w:szCs w:val="24"/>
          <w:lang w:eastAsia="en-US"/>
        </w:rPr>
        <w:cr/>
      </w:r>
      <w:r>
        <w:rPr>
          <w:rFonts w:ascii="宋体" w:hAnsi="宋体" w:cs="宋体"/>
          <w:kern w:val="0"/>
          <w:szCs w:val="24"/>
          <w:lang w:eastAsia="en-US"/>
        </w:rPr>
        <w:t>C．APEC是促进世界各国经济合作，推动共同发展的重要机构</w:t>
      </w:r>
      <w:r>
        <w:rPr>
          <w:rFonts w:ascii="宋体" w:hAnsi="宋体" w:cs="宋体"/>
          <w:kern w:val="0"/>
          <w:szCs w:val="24"/>
          <w:lang w:eastAsia="en-US"/>
        </w:rPr>
        <w:cr/>
      </w:r>
      <w:r>
        <w:rPr>
          <w:rFonts w:ascii="宋体" w:hAnsi="宋体" w:cs="宋体"/>
          <w:kern w:val="0"/>
          <w:szCs w:val="24"/>
          <w:lang w:eastAsia="en-US"/>
        </w:rPr>
        <w:t>D．中国秉承共商共建共享的原则，维护区域内各国的共同利益</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0"/>
          <w:headerReference w:type="default" r:id="rId11"/>
          <w:footerReference w:type="even" r:id="rId12"/>
          <w:footerReference w:type="default" r:id="rId13"/>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4.</w:t>
      </w:r>
      <w:r>
        <w:rPr>
          <w:rFonts w:ascii="宋体" w:hAnsi="宋体" w:cs="宋体"/>
          <w:kern w:val="0"/>
          <w:szCs w:val="24"/>
          <w:lang w:eastAsia="en-US"/>
        </w:rPr>
        <w:t>2023年3月15日晚，中共中央总书记、国家主席习近平在中国共产党与世界政党高层对话会上发表题为《携手同行现代化之路》的主旨讲话，基于中国式现代化的探索与实践作答人类社会现代化之问，并首次提出全球文明倡议，展现了中国共产党直面人类共同挑战的政治勇气和责任担当，为推动世界现代化进程、促进人类文明进步提供了中国方案。对此认识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①中国式现代化道路创造了人类文明新规律，拓展了发展中国家走向现代化的途径</w:t>
      </w:r>
      <w:r>
        <w:rPr>
          <w:rFonts w:ascii="宋体" w:hAnsi="宋体" w:cs="宋体"/>
          <w:kern w:val="0"/>
          <w:szCs w:val="24"/>
          <w:lang w:eastAsia="en-US"/>
        </w:rPr>
        <w:cr/>
      </w:r>
      <w:r>
        <w:rPr>
          <w:rFonts w:ascii="宋体" w:hAnsi="宋体" w:cs="宋体"/>
          <w:kern w:val="0"/>
          <w:szCs w:val="24"/>
          <w:lang w:eastAsia="en-US"/>
        </w:rPr>
        <w:t>②中国式现代化道路颠覆了对现代化的已有认知，为世界提供了全新选择</w:t>
      </w:r>
      <w:r>
        <w:rPr>
          <w:rFonts w:ascii="宋体" w:hAnsi="宋体" w:cs="宋体"/>
          <w:kern w:val="0"/>
          <w:szCs w:val="24"/>
          <w:lang w:eastAsia="en-US"/>
        </w:rPr>
        <w:cr/>
      </w:r>
      <w:r>
        <w:rPr>
          <w:rFonts w:ascii="宋体" w:hAnsi="宋体" w:cs="宋体"/>
          <w:kern w:val="0"/>
          <w:szCs w:val="24"/>
          <w:lang w:eastAsia="en-US"/>
        </w:rPr>
        <w:t>③中国共产党结合中国国情，推动世界现代化理论重大创新</w:t>
      </w:r>
      <w:r>
        <w:rPr>
          <w:rFonts w:ascii="宋体" w:hAnsi="宋体" w:cs="宋体"/>
          <w:kern w:val="0"/>
          <w:szCs w:val="24"/>
          <w:lang w:eastAsia="en-US"/>
        </w:rPr>
        <w:cr/>
      </w:r>
      <w:r>
        <w:rPr>
          <w:rFonts w:ascii="宋体" w:hAnsi="宋体" w:cs="宋体"/>
          <w:kern w:val="0"/>
          <w:szCs w:val="24"/>
          <w:lang w:eastAsia="en-US"/>
        </w:rPr>
        <w:t>④中国共产党加强政党间交流合作，为世界现代化模式多元发展贡献了中国智慧和中国方案</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B．①④</w:t>
      </w:r>
      <w:r>
        <w:rPr>
          <w:rFonts w:ascii="宋体" w:hAnsi="宋体" w:cs="宋体"/>
          <w:kern w:val="0"/>
          <w:szCs w:val="24"/>
          <w:lang w:eastAsia="en-US"/>
        </w:rPr>
        <w:cr/>
      </w:r>
      <w:r>
        <w:rPr>
          <w:rFonts w:ascii="宋体" w:hAnsi="宋体" w:cs="宋体"/>
          <w:kern w:val="0"/>
          <w:szCs w:val="24"/>
          <w:lang w:eastAsia="en-US"/>
        </w:rPr>
        <w:t>C．②③</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w:t>
      </w:r>
      <w:r>
        <w:rPr>
          <w:rFonts w:ascii="宋体" w:hAnsi="宋体" w:cs="宋体"/>
          <w:kern w:val="0"/>
          <w:szCs w:val="24"/>
          <w:lang w:eastAsia="en-US"/>
        </w:rPr>
        <w:t>法律明白人，是指村民中具有较好法治素养和一定法律知识，愿意积极参与法治实践，能发挥示范带头作用的人员。他们用“脚板”走街串户、进村入户，将法律需求建议带上来，把朴素的法治精神带下去；他们是群众身边的人，既了解社情民意又熟悉政策法规，基层群众遇到麻烦事、揪心事乐意找到他们“出谋划策”；他们还是村、社区“两委”处理基层事务的智囊团，遇到涉法问题都会找他们来“合计合计”。这说明，法律明白人（</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①倡导群众用好公共法律服务资源，是构筑法治国家的重要基础</w:t>
      </w:r>
      <w:r>
        <w:rPr>
          <w:rFonts w:ascii="宋体" w:hAnsi="宋体" w:cs="宋体"/>
          <w:kern w:val="0"/>
          <w:szCs w:val="24"/>
          <w:lang w:eastAsia="en-US"/>
        </w:rPr>
        <w:cr/>
      </w:r>
      <w:r>
        <w:rPr>
          <w:rFonts w:ascii="宋体" w:hAnsi="宋体" w:cs="宋体"/>
          <w:kern w:val="0"/>
          <w:szCs w:val="24"/>
          <w:lang w:eastAsia="en-US"/>
        </w:rPr>
        <w:t>②遵循基层法治建设客观规律，使社会各个领域全面依法运行</w:t>
      </w:r>
      <w:r>
        <w:rPr>
          <w:rFonts w:ascii="宋体" w:hAnsi="宋体" w:cs="宋体"/>
          <w:kern w:val="0"/>
          <w:szCs w:val="24"/>
          <w:lang w:eastAsia="en-US"/>
        </w:rPr>
        <w:cr/>
      </w:r>
      <w:r>
        <w:rPr>
          <w:rFonts w:ascii="宋体" w:hAnsi="宋体" w:cs="宋体"/>
          <w:kern w:val="0"/>
          <w:szCs w:val="24"/>
          <w:lang w:eastAsia="en-US"/>
        </w:rPr>
        <w:t>③引导群众理性表达利益诉求，依法维护合法权益，化解社会矛盾</w:t>
      </w:r>
      <w:r>
        <w:rPr>
          <w:rFonts w:ascii="宋体" w:hAnsi="宋体" w:cs="宋体"/>
          <w:kern w:val="0"/>
          <w:szCs w:val="24"/>
          <w:lang w:eastAsia="en-US"/>
        </w:rPr>
        <w:cr/>
      </w:r>
      <w:r>
        <w:rPr>
          <w:rFonts w:ascii="宋体" w:hAnsi="宋体" w:cs="宋体"/>
          <w:kern w:val="0"/>
          <w:szCs w:val="24"/>
          <w:lang w:eastAsia="en-US"/>
        </w:rPr>
        <w:t>④为实施乡村振兴战略、推进法治乡村建设发挥重要作用</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B．①③</w:t>
      </w:r>
      <w:r>
        <w:rPr>
          <w:rFonts w:ascii="宋体" w:hAnsi="宋体" w:cs="宋体"/>
          <w:kern w:val="0"/>
          <w:szCs w:val="24"/>
          <w:lang w:eastAsia="en-US"/>
        </w:rPr>
        <w:cr/>
      </w:r>
      <w:r>
        <w:rPr>
          <w:rFonts w:ascii="宋体" w:hAnsi="宋体" w:cs="宋体"/>
          <w:kern w:val="0"/>
          <w:szCs w:val="24"/>
          <w:lang w:eastAsia="en-US"/>
        </w:rPr>
        <w:t>C．②④</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w:t>
      </w:r>
      <w:r>
        <w:rPr>
          <w:rFonts w:ascii="宋体" w:hAnsi="宋体" w:cs="宋体"/>
          <w:kern w:val="0"/>
          <w:szCs w:val="24"/>
          <w:lang w:eastAsia="en-US"/>
        </w:rPr>
        <w:t>“反食品浪费法不设章节，条条都是‘干货’；反电信网络诈骗法，对症下药，每一个规定都‘实打实’；黑土地保护法直奔主题，量体裁衣保护‘耕地中的大熊猫’。”修改57件次相关法律，3次授权国务院在自由贸易区暂时调整适用有关法律规定，先后决定设立上海、北京、成渝金融法院和海南自由贸易港知识产权法院……十三届全国人大五年来以良法促发展、保善治，不断健全国家治理急需、人民群众关心关注、维护国家安全所急的法律制度。全国人大的立法工作（</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①注重处理好改革和法治的关系，使立法决策和改革决策更好衔接</w:t>
      </w:r>
      <w:r>
        <w:rPr>
          <w:rFonts w:ascii="宋体" w:hAnsi="宋体" w:cs="宋体"/>
          <w:kern w:val="0"/>
          <w:szCs w:val="24"/>
          <w:lang w:eastAsia="en-US"/>
        </w:rPr>
        <w:cr/>
      </w:r>
      <w:r>
        <w:rPr>
          <w:rFonts w:ascii="宋体" w:hAnsi="宋体" w:cs="宋体"/>
          <w:kern w:val="0"/>
          <w:szCs w:val="24"/>
          <w:lang w:eastAsia="en-US"/>
        </w:rPr>
        <w:t>②形式更加丰富和灵活，增强了立法的针对性、可操作性</w:t>
      </w:r>
      <w:r>
        <w:rPr>
          <w:rFonts w:ascii="宋体" w:hAnsi="宋体" w:cs="宋体"/>
          <w:kern w:val="0"/>
          <w:szCs w:val="24"/>
          <w:lang w:eastAsia="en-US"/>
        </w:rPr>
        <w:cr/>
      </w:r>
      <w:r>
        <w:rPr>
          <w:rFonts w:ascii="宋体" w:hAnsi="宋体" w:cs="宋体"/>
          <w:kern w:val="0"/>
          <w:szCs w:val="24"/>
          <w:lang w:eastAsia="en-US"/>
        </w:rPr>
        <w:t>③体现了全国人大作为行政机关推动法治中国建设进入新的阶段</w:t>
      </w:r>
      <w:r>
        <w:rPr>
          <w:rFonts w:ascii="宋体" w:hAnsi="宋体" w:cs="宋体"/>
          <w:kern w:val="0"/>
          <w:szCs w:val="24"/>
          <w:lang w:eastAsia="en-US"/>
        </w:rPr>
        <w:cr/>
      </w:r>
      <w:r>
        <w:rPr>
          <w:rFonts w:ascii="宋体" w:hAnsi="宋体" w:cs="宋体"/>
          <w:kern w:val="0"/>
          <w:szCs w:val="24"/>
          <w:lang w:eastAsia="en-US"/>
        </w:rPr>
        <w:t>④满足人民日益增长的美好生活需要，为发展奠定了坚实的物质基础</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B．①③</w:t>
      </w:r>
      <w:r>
        <w:rPr>
          <w:rFonts w:ascii="宋体" w:hAnsi="宋体" w:cs="宋体"/>
          <w:kern w:val="0"/>
          <w:szCs w:val="24"/>
          <w:lang w:eastAsia="en-US"/>
        </w:rPr>
        <w:cr/>
      </w:r>
      <w:r>
        <w:rPr>
          <w:rFonts w:ascii="宋体" w:hAnsi="宋体" w:cs="宋体"/>
          <w:kern w:val="0"/>
          <w:szCs w:val="24"/>
          <w:lang w:eastAsia="en-US"/>
        </w:rPr>
        <w:t>C．②④</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4"/>
          <w:headerReference w:type="default" r:id="rId15"/>
          <w:footerReference w:type="even" r:id="rId16"/>
          <w:footerReference w:type="default" r:id="rId17"/>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7.</w:t>
      </w:r>
      <w:r>
        <w:rPr>
          <w:rFonts w:ascii="宋体" w:hAnsi="宋体" w:cs="宋体"/>
          <w:kern w:val="0"/>
          <w:szCs w:val="24"/>
          <w:lang w:eastAsia="en-US"/>
        </w:rPr>
        <w:t>美丽中国从美丽乡村开始，美丽乡村从美丽非遗开始，非遗助力乡村振兴。</w:t>
      </w:r>
      <w:r>
        <w:rPr>
          <w:rFonts w:ascii="宋体" w:hAnsi="宋体" w:cs="宋体"/>
          <w:kern w:val="0"/>
          <w:szCs w:val="24"/>
          <w:lang w:eastAsia="en-US"/>
        </w:rPr>
        <w:cr/>
      </w:r>
      <w:r>
        <w:rPr>
          <w:rFonts w:ascii="宋体" w:eastAsia="宋体" w:hAnsi="宋体" w:cs="宋体"/>
          <w:sz w:val="21"/>
        </w:rPr>
        <w:drawing>
          <wp:inline>
            <wp:extent cx="123825" cy="142875"/>
            <wp:docPr id="5228916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91639" name=""/>
                    <pic:cNvPicPr>
                      <a:picLocks noChangeAspect="1"/>
                    </pic:cNvPicPr>
                  </pic:nvPicPr>
                  <pic:blipFill>
                    <a:blip xmlns:r="http://schemas.openxmlformats.org/officeDocument/2006/relationships" r:embed="rId18">
                      <a:lum bright="4000"/>
                    </a:blip>
                    <a:stretch>
                      <a:fillRect/>
                    </a:stretch>
                  </pic:blipFill>
                  <pic:spPr>
                    <a:xfrm>
                      <a:off x="0" y="0"/>
                      <a:ext cx="123825" cy="142875"/>
                    </a:xfrm>
                    <a:prstGeom prst="rect">
                      <a:avLst/>
                    </a:prstGeom>
                  </pic:spPr>
                </pic:pic>
              </a:graphicData>
            </a:graphic>
          </wp:inline>
        </w:drawing>
      </w:r>
      <w:r>
        <w:rPr>
          <w:rFonts w:ascii="宋体" w:hAnsi="宋体" w:cs="宋体"/>
          <w:kern w:val="0"/>
          <w:szCs w:val="24"/>
          <w:lang w:eastAsia="en-US"/>
        </w:rPr>
        <w:t>甲地依托布糊画、钧瓷、汝瓷等非遗项目，建设非遗民宿、非遗小镇，提升了旅游景区的文化内涵。</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123825" cy="14287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18">
                      <a:lum bright="4000"/>
                    </a:blip>
                    <a:stretch>
                      <a:fillRect/>
                    </a:stretch>
                  </pic:blipFill>
                  <pic:spPr>
                    <a:xfrm>
                      <a:off x="0" y="0"/>
                      <a:ext cx="123825" cy="142875"/>
                    </a:xfrm>
                    <a:prstGeom prst="rect">
                      <a:avLst/>
                    </a:prstGeom>
                  </pic:spPr>
                </pic:pic>
              </a:graphicData>
            </a:graphic>
          </wp:inline>
        </w:drawing>
      </w:r>
      <w:r>
        <w:rPr>
          <w:rFonts w:ascii="宋体" w:hAnsi="宋体" w:cs="宋体"/>
          <w:kern w:val="0"/>
          <w:szCs w:val="24"/>
          <w:lang w:eastAsia="en-US"/>
        </w:rPr>
        <w:t>乙地利用花瑶挑花、土族盘绣等非遗资源，发展非遗体验游和研学游，丰富了乡村旅游业态。</w:t>
      </w:r>
      <w:r>
        <w:rPr>
          <w:rFonts w:ascii="宋体" w:hAnsi="宋体" w:cs="宋体"/>
          <w:kern w:val="0"/>
          <w:szCs w:val="24"/>
          <w:lang w:eastAsia="en-US"/>
        </w:rPr>
        <w:cr/>
      </w:r>
      <w:r>
        <w:rPr>
          <w:rFonts w:ascii="宋体" w:hAnsi="宋体" w:cs="宋体"/>
          <w:kern w:val="0"/>
          <w:szCs w:val="24"/>
          <w:lang w:eastAsia="en-US"/>
        </w:rPr>
        <w:t>丙地草编挂画、草编耳环、草编茶具、创意羌绣笔记本等灿烂的非遗文化在乡村振兴、增收致富中散发出独特魅力。</w:t>
      </w:r>
      <w:r>
        <w:rPr>
          <w:rFonts w:ascii="宋体" w:hAnsi="宋体" w:cs="宋体"/>
          <w:kern w:val="0"/>
          <w:szCs w:val="24"/>
          <w:lang w:eastAsia="en-US"/>
        </w:rPr>
        <w:cr/>
      </w:r>
      <w:r>
        <w:rPr>
          <w:rFonts w:ascii="宋体" w:hAnsi="宋体" w:cs="宋体"/>
          <w:kern w:val="0"/>
          <w:szCs w:val="24"/>
          <w:lang w:eastAsia="en-US"/>
        </w:rPr>
        <w:t>这体现上述地区（</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①把握了事物之间的本质联系，促进非遗文化散发出独特的产业魅力</w:t>
      </w:r>
      <w:r>
        <w:rPr>
          <w:rFonts w:ascii="宋体" w:hAnsi="宋体" w:cs="宋体"/>
          <w:kern w:val="0"/>
          <w:szCs w:val="24"/>
          <w:lang w:eastAsia="en-US"/>
        </w:rPr>
        <w:cr/>
      </w:r>
      <w:r>
        <w:rPr>
          <w:rFonts w:ascii="宋体" w:hAnsi="宋体" w:cs="宋体"/>
          <w:kern w:val="0"/>
          <w:szCs w:val="24"/>
          <w:lang w:eastAsia="en-US"/>
        </w:rPr>
        <w:t>②充分发挥主观能动性，挖掘地域特色，激发乡村振兴新活力</w:t>
      </w:r>
      <w:r>
        <w:rPr>
          <w:rFonts w:ascii="宋体" w:hAnsi="宋体" w:cs="宋体"/>
          <w:kern w:val="0"/>
          <w:szCs w:val="24"/>
          <w:lang w:eastAsia="en-US"/>
        </w:rPr>
        <w:cr/>
      </w:r>
      <w:r>
        <w:rPr>
          <w:rFonts w:ascii="宋体" w:hAnsi="宋体" w:cs="宋体"/>
          <w:kern w:val="0"/>
          <w:szCs w:val="24"/>
          <w:lang w:eastAsia="en-US"/>
        </w:rPr>
        <w:t>③在非遗与产业的对立中开辟新路径，实现非遗文化赋能乡村振兴</w:t>
      </w:r>
      <w:r>
        <w:rPr>
          <w:rFonts w:ascii="宋体" w:hAnsi="宋体" w:cs="宋体"/>
          <w:kern w:val="0"/>
          <w:szCs w:val="24"/>
          <w:lang w:eastAsia="en-US"/>
        </w:rPr>
        <w:cr/>
      </w:r>
      <w:r>
        <w:rPr>
          <w:rFonts w:ascii="宋体" w:hAnsi="宋体" w:cs="宋体"/>
          <w:kern w:val="0"/>
          <w:szCs w:val="24"/>
          <w:lang w:eastAsia="en-US"/>
        </w:rPr>
        <w:t>④三地非遗的个性寓于共性之中，实现了个性与共性具体的历史的统一</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B．①③</w:t>
      </w:r>
      <w:r>
        <w:rPr>
          <w:rFonts w:ascii="宋体" w:hAnsi="宋体" w:cs="宋体"/>
          <w:kern w:val="0"/>
          <w:szCs w:val="24"/>
          <w:lang w:eastAsia="en-US"/>
        </w:rPr>
        <w:cr/>
      </w:r>
      <w:r>
        <w:rPr>
          <w:rFonts w:ascii="宋体" w:hAnsi="宋体" w:cs="宋体"/>
          <w:kern w:val="0"/>
          <w:szCs w:val="24"/>
          <w:lang w:eastAsia="en-US"/>
        </w:rPr>
        <w:t>C．②④</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8.</w:t>
      </w:r>
      <w:r>
        <w:rPr>
          <w:rFonts w:ascii="宋体" w:hAnsi="宋体" w:cs="宋体"/>
          <w:kern w:val="0"/>
          <w:szCs w:val="24"/>
          <w:lang w:eastAsia="en-US"/>
        </w:rPr>
        <w:t>能代表城市文化的，可能是一座建筑、一处地标景物、一个历史故事、一道美食，这些都可以用艺术的形式融到汉字中，这就是字绘作品。在“北京”两北京两个字上，你可以看到万里长城、天坛、王府井、鸟巢等元素……将汉字和图形元素相结合，让每个字栩栩如生，通过看字观画，就可以领略这座城市的特色与文化。这表明字绘作品（</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2876550" cy="1428750"/>
            <wp:docPr id="4084243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24392" name=""/>
                    <pic:cNvPicPr>
                      <a:picLocks noChangeAspect="1"/>
                    </pic:cNvPicPr>
                  </pic:nvPicPr>
                  <pic:blipFill>
                    <a:blip xmlns:r="http://schemas.openxmlformats.org/officeDocument/2006/relationships" r:embed="rId19">
                      <a:lum bright="4000"/>
                    </a:blip>
                    <a:stretch>
                      <a:fillRect/>
                    </a:stretch>
                  </pic:blipFill>
                  <pic:spPr>
                    <a:xfrm>
                      <a:off x="0" y="0"/>
                      <a:ext cx="2876550" cy="14287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A．凸显了不同城市文化的主要矛盾，使读者通过一图领略一城的风采</w:t>
      </w:r>
      <w:r>
        <w:rPr>
          <w:rFonts w:ascii="宋体" w:hAnsi="宋体" w:cs="宋体"/>
          <w:kern w:val="0"/>
          <w:szCs w:val="24"/>
          <w:lang w:eastAsia="en-US"/>
        </w:rPr>
        <w:cr/>
      </w:r>
      <w:r>
        <w:rPr>
          <w:rFonts w:ascii="宋体" w:hAnsi="宋体" w:cs="宋体"/>
          <w:kern w:val="0"/>
          <w:szCs w:val="24"/>
          <w:lang w:eastAsia="en-US"/>
        </w:rPr>
        <w:t>B．传承了优秀传统文化基因，将汉字和图形元素结合绘出未来城市风貌</w:t>
      </w:r>
      <w:r>
        <w:rPr>
          <w:rFonts w:ascii="宋体" w:hAnsi="宋体" w:cs="宋体"/>
          <w:kern w:val="0"/>
          <w:szCs w:val="24"/>
          <w:lang w:eastAsia="en-US"/>
        </w:rPr>
        <w:cr/>
      </w:r>
      <w:r>
        <w:rPr>
          <w:rFonts w:ascii="宋体" w:hAnsi="宋体" w:cs="宋体"/>
          <w:kern w:val="0"/>
          <w:szCs w:val="24"/>
          <w:lang w:eastAsia="en-US"/>
        </w:rPr>
        <w:t>C．展现了中华文化独特的审美表达，富有鲜明的文化特色和教育意义</w:t>
      </w:r>
      <w:r>
        <w:rPr>
          <w:rFonts w:ascii="宋体" w:hAnsi="宋体" w:cs="宋体"/>
          <w:kern w:val="0"/>
          <w:szCs w:val="24"/>
          <w:lang w:eastAsia="en-US"/>
        </w:rPr>
        <w:cr/>
      </w:r>
      <w:r>
        <w:rPr>
          <w:rFonts w:ascii="宋体" w:hAnsi="宋体" w:cs="宋体"/>
          <w:kern w:val="0"/>
          <w:szCs w:val="24"/>
          <w:lang w:eastAsia="en-US"/>
        </w:rPr>
        <w:t>D．基于汉字与图形的自在联系，搭建了读者与城市之间沟通的平台</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0"/>
          <w:headerReference w:type="default" r:id="rId21"/>
          <w:footerReference w:type="even" r:id="rId22"/>
          <w:footerReference w:type="default" r:id="rId23"/>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9.</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近年来，政府相关部门扎实推进快递包装绿色治理，健全法规标准和政策体系，注重共治共建，在包装绿色化、减量化和可循环等方面取得积极进展。快递行业在干线运输和支线转运中投入新能源汽车，中转场使用可降解编织袋；在快递网点，可循环利用的新型快递箱已成为网点“标配”，消费者参与快递包装绿色回收，可兑换鸡蛋、免费寄件……让“绿色”成为快递行业的日常底色，需要各方共同努力。以下做法与蕴含的哲理对应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①政府健全法规标准和政策体系——先进的社会意识对社会发展起推动作用</w:t>
      </w:r>
      <w:r>
        <w:rPr>
          <w:rFonts w:ascii="宋体" w:hAnsi="宋体" w:cs="宋体"/>
          <w:kern w:val="0"/>
          <w:szCs w:val="24"/>
          <w:lang w:eastAsia="en-US"/>
        </w:rPr>
        <w:cr/>
      </w:r>
      <w:r>
        <w:rPr>
          <w:rFonts w:ascii="宋体" w:hAnsi="宋体" w:cs="宋体"/>
          <w:kern w:val="0"/>
          <w:szCs w:val="24"/>
          <w:lang w:eastAsia="en-US"/>
        </w:rPr>
        <w:t>②快递企业坚持绿色发展——价值判断和价值选择具有社会历史性</w:t>
      </w:r>
      <w:r>
        <w:rPr>
          <w:rFonts w:ascii="宋体" w:hAnsi="宋体" w:cs="宋体"/>
          <w:kern w:val="0"/>
          <w:szCs w:val="24"/>
          <w:lang w:eastAsia="en-US"/>
        </w:rPr>
        <w:cr/>
      </w:r>
      <w:r>
        <w:rPr>
          <w:rFonts w:ascii="宋体" w:hAnsi="宋体" w:cs="宋体"/>
          <w:kern w:val="0"/>
          <w:szCs w:val="24"/>
          <w:lang w:eastAsia="en-US"/>
        </w:rPr>
        <w:t>③消费者践行绿色生活方式——实现新事物对旧事物的否定</w:t>
      </w:r>
      <w:r>
        <w:rPr>
          <w:rFonts w:ascii="宋体" w:hAnsi="宋体" w:cs="宋体"/>
          <w:kern w:val="0"/>
          <w:szCs w:val="24"/>
          <w:lang w:eastAsia="en-US"/>
        </w:rPr>
        <w:cr/>
      </w:r>
      <w:r>
        <w:rPr>
          <w:rFonts w:ascii="宋体" w:hAnsi="宋体" w:cs="宋体"/>
          <w:kern w:val="0"/>
          <w:szCs w:val="24"/>
          <w:lang w:eastAsia="en-US"/>
        </w:rPr>
        <w:t>④多方携手共同努力——外部矛盾对社会发展起决定性作用</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B．①④</w:t>
      </w:r>
      <w:r>
        <w:rPr>
          <w:rFonts w:ascii="宋体" w:hAnsi="宋体" w:cs="宋体"/>
          <w:kern w:val="0"/>
          <w:szCs w:val="24"/>
          <w:lang w:eastAsia="en-US"/>
        </w:rPr>
        <w:cr/>
      </w:r>
      <w:r>
        <w:rPr>
          <w:rFonts w:ascii="宋体" w:hAnsi="宋体" w:cs="宋体"/>
          <w:kern w:val="0"/>
          <w:szCs w:val="24"/>
          <w:lang w:eastAsia="en-US"/>
        </w:rPr>
        <w:t>C．②③</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10.</w:t>
      </w:r>
      <w:r>
        <w:rPr>
          <w:rFonts w:ascii="宋体" w:hAnsi="宋体" w:cs="宋体"/>
          <w:kern w:val="0"/>
          <w:szCs w:val="24"/>
          <w:lang w:eastAsia="en-US"/>
        </w:rPr>
        <w:t>以“团结奋进新征程同心奋斗创伟业”为主题的2022中国正能量“五个一百”网络精品征集活动开展以来，涌现出很多优秀作品：《“梦天”出征见证中国航天辉煌时刻》《冬奥盛会让世界看到自信从容的中国》《读懂公益“慢火车”的为民“最强音”》《白鹤滩水电站全面投产发电铸就中国水电“新名片”》《祖国疆土，当以死守，不可以尺寸予人》……“五个一百”网络精品征集评选活动的开展，有利于（</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①推动文化交流与交融，展现文化的多样性和民族性</w:t>
      </w:r>
      <w:r>
        <w:rPr>
          <w:rFonts w:ascii="宋体" w:hAnsi="宋体" w:cs="宋体"/>
          <w:kern w:val="0"/>
          <w:szCs w:val="24"/>
          <w:lang w:eastAsia="en-US"/>
        </w:rPr>
        <w:cr/>
      </w:r>
      <w:r>
        <w:rPr>
          <w:rFonts w:ascii="宋体" w:hAnsi="宋体" w:cs="宋体"/>
          <w:kern w:val="0"/>
          <w:szCs w:val="24"/>
          <w:lang w:eastAsia="en-US"/>
        </w:rPr>
        <w:t>②繁荣文化市场，促进文化事业和文化产业共同发展</w:t>
      </w:r>
      <w:r>
        <w:rPr>
          <w:rFonts w:ascii="宋体" w:hAnsi="宋体" w:cs="宋体"/>
          <w:kern w:val="0"/>
          <w:szCs w:val="24"/>
          <w:lang w:eastAsia="en-US"/>
        </w:rPr>
        <w:cr/>
      </w:r>
      <w:r>
        <w:rPr>
          <w:rFonts w:ascii="宋体" w:hAnsi="宋体" w:cs="宋体"/>
          <w:kern w:val="0"/>
          <w:szCs w:val="24"/>
          <w:lang w:eastAsia="en-US"/>
        </w:rPr>
        <w:t>③提升文化服务社会的功能，奏响网络正能量时代强音</w:t>
      </w:r>
      <w:r>
        <w:rPr>
          <w:rFonts w:ascii="宋体" w:hAnsi="宋体" w:cs="宋体"/>
          <w:kern w:val="0"/>
          <w:szCs w:val="24"/>
          <w:lang w:eastAsia="en-US"/>
        </w:rPr>
        <w:cr/>
      </w:r>
      <w:r>
        <w:rPr>
          <w:rFonts w:ascii="宋体" w:hAnsi="宋体" w:cs="宋体"/>
          <w:kern w:val="0"/>
          <w:szCs w:val="24"/>
          <w:lang w:eastAsia="en-US"/>
        </w:rPr>
        <w:t>④凝聚团结奋进伟力，坚定中国特色社会主义道路自信</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B．①③</w:t>
      </w:r>
      <w:r>
        <w:rPr>
          <w:rFonts w:ascii="宋体" w:hAnsi="宋体" w:cs="宋体"/>
          <w:kern w:val="0"/>
          <w:szCs w:val="24"/>
          <w:lang w:eastAsia="en-US"/>
        </w:rPr>
        <w:cr/>
      </w:r>
      <w:r>
        <w:rPr>
          <w:rFonts w:ascii="宋体" w:hAnsi="宋体" w:cs="宋体"/>
          <w:kern w:val="0"/>
          <w:szCs w:val="24"/>
          <w:lang w:eastAsia="en-US"/>
        </w:rPr>
        <w:t>C．②④</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4"/>
          <w:headerReference w:type="default" r:id="rId25"/>
          <w:footerReference w:type="even" r:id="rId26"/>
          <w:footerReference w:type="default" r:id="rId27"/>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11.</w:t>
      </w:r>
      <w:r>
        <w:rPr>
          <w:rFonts w:ascii="宋体" w:hAnsi="宋体" w:cs="宋体"/>
          <w:kern w:val="0"/>
          <w:szCs w:val="24"/>
          <w:lang w:eastAsia="en-US"/>
        </w:rPr>
        <w:t>张女士携带小孩在小区散步，不幸被高空抛下的花盆砸伤头部颅骨。警方虽未能找到肇事方，但实地勘察后，根据花盆抛下的轨迹确定系该居民楼702～1602住户所为。于是，张女士到法院起诉，要求这10户住户赔偿自己所受的经济损失8000元以及精神损害赔偿1万元。对此，下列观点正确的有（</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①如702～1602的住户不能证明自己没有过错，则应当承担侵权责任</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②不论702～1602的住户是否存在着过错，均应当承担侵权责任</w:t>
      </w:r>
      <w:r>
        <w:rPr>
          <w:rFonts w:ascii="宋体" w:hAnsi="宋体" w:cs="宋体"/>
          <w:kern w:val="0"/>
          <w:szCs w:val="24"/>
          <w:lang w:eastAsia="en-US"/>
        </w:rPr>
        <w:cr/>
      </w:r>
      <w:r>
        <w:rPr>
          <w:rFonts w:ascii="宋体" w:hAnsi="宋体" w:cs="宋体"/>
          <w:kern w:val="0"/>
          <w:szCs w:val="24"/>
          <w:lang w:eastAsia="en-US"/>
        </w:rPr>
        <w:t>③本起伤害属于过错推定侵权责任，法院理应支持张女士的诉求</w:t>
      </w:r>
      <w:r>
        <w:rPr>
          <w:rFonts w:ascii="宋体" w:hAnsi="宋体" w:cs="宋体"/>
          <w:kern w:val="0"/>
          <w:szCs w:val="24"/>
          <w:lang w:eastAsia="en-US"/>
        </w:rPr>
        <w:cr/>
      </w:r>
      <w:r>
        <w:rPr>
          <w:rFonts w:ascii="宋体" w:hAnsi="宋体" w:cs="宋体"/>
          <w:kern w:val="0"/>
          <w:szCs w:val="24"/>
          <w:lang w:eastAsia="en-US"/>
        </w:rPr>
        <w:t>④本起伤害不能确定侵权责任人，故法院不应支持张女士的诉求</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B．①③</w:t>
      </w:r>
      <w:r>
        <w:rPr>
          <w:rFonts w:ascii="宋体" w:hAnsi="宋体" w:cs="宋体"/>
          <w:kern w:val="0"/>
          <w:szCs w:val="24"/>
          <w:lang w:eastAsia="en-US"/>
        </w:rPr>
        <w:cr/>
      </w:r>
      <w:r>
        <w:rPr>
          <w:rFonts w:ascii="宋体" w:hAnsi="宋体" w:cs="宋体"/>
          <w:kern w:val="0"/>
          <w:szCs w:val="24"/>
          <w:lang w:eastAsia="en-US"/>
        </w:rPr>
        <w:t>C．②④</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12.</w:t>
      </w:r>
      <w:r>
        <w:rPr>
          <w:rFonts w:ascii="宋体" w:hAnsi="宋体" w:cs="宋体"/>
          <w:kern w:val="0"/>
          <w:szCs w:val="24"/>
          <w:lang w:eastAsia="en-US"/>
        </w:rPr>
        <w:t>某公司运营某款智能手机记账软件。在该软件中，用户可以自行创设或添加“AI陪伴者”。在未经公众人物何某同意的情况下，该软件中出现了以何某姓名、肖像为标识的“AI陪伴者”。何某将该公司诉至法院，关于该案，以下说法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①该AI角色属于虚拟形象，不是对何某真实姓名、肖像等人格形象的使用，不构成侵权</w:t>
      </w:r>
      <w:r>
        <w:rPr>
          <w:rFonts w:ascii="宋体" w:hAnsi="宋体" w:cs="宋体"/>
          <w:kern w:val="0"/>
          <w:szCs w:val="24"/>
          <w:lang w:eastAsia="en-US"/>
        </w:rPr>
        <w:cr/>
      </w:r>
      <w:r>
        <w:rPr>
          <w:rFonts w:ascii="宋体" w:hAnsi="宋体" w:cs="宋体"/>
          <w:kern w:val="0"/>
          <w:szCs w:val="24"/>
          <w:lang w:eastAsia="en-US"/>
        </w:rPr>
        <w:t>②该公司未经何某同意，使用其姓名、肖像等人格特点生成AI角色，构成侵权</w:t>
      </w:r>
      <w:r>
        <w:rPr>
          <w:rFonts w:ascii="宋体" w:hAnsi="宋体" w:cs="宋体"/>
          <w:kern w:val="0"/>
          <w:szCs w:val="24"/>
          <w:lang w:eastAsia="en-US"/>
        </w:rPr>
        <w:cr/>
      </w:r>
      <w:r>
        <w:rPr>
          <w:rFonts w:ascii="宋体" w:hAnsi="宋体" w:cs="宋体"/>
          <w:kern w:val="0"/>
          <w:szCs w:val="24"/>
          <w:lang w:eastAsia="en-US"/>
        </w:rPr>
        <w:t>③该案中具体图文由用户上传，该公司只是技术服务提供者，不构成侵权</w:t>
      </w:r>
      <w:r>
        <w:rPr>
          <w:rFonts w:ascii="宋体" w:hAnsi="宋体" w:cs="宋体"/>
          <w:kern w:val="0"/>
          <w:szCs w:val="24"/>
          <w:lang w:eastAsia="en-US"/>
        </w:rPr>
        <w:cr/>
      </w:r>
      <w:r>
        <w:rPr>
          <w:rFonts w:ascii="宋体" w:hAnsi="宋体" w:cs="宋体"/>
          <w:kern w:val="0"/>
          <w:szCs w:val="24"/>
          <w:lang w:eastAsia="en-US"/>
        </w:rPr>
        <w:t>④该公司应承担停止侵害、赔礼道歉、赔偿损失等侵权责任</w:t>
      </w:r>
      <w:r>
        <w:rPr>
          <w:rFonts w:ascii="宋体" w:hAnsi="宋体" w:cs="宋体"/>
          <w:kern w:val="0"/>
          <w:szCs w:val="24"/>
          <w:lang w:eastAsia="en-US"/>
        </w:rPr>
        <w:cr/>
      </w:r>
      <w:r>
        <w:rPr>
          <w:rFonts w:ascii="宋体" w:hAnsi="宋体" w:cs="宋体"/>
          <w:kern w:val="0"/>
          <w:szCs w:val="24"/>
          <w:lang w:eastAsia="en-US"/>
        </w:rPr>
        <w:t>A．①③</w:t>
      </w:r>
      <w:r>
        <w:rPr>
          <w:rFonts w:ascii="宋体" w:hAnsi="宋体" w:cs="宋体"/>
          <w:kern w:val="0"/>
          <w:szCs w:val="24"/>
          <w:lang w:eastAsia="en-US"/>
        </w:rPr>
        <w:cr/>
      </w:r>
      <w:r>
        <w:rPr>
          <w:rFonts w:ascii="宋体" w:hAnsi="宋体" w:cs="宋体"/>
          <w:kern w:val="0"/>
          <w:szCs w:val="24"/>
          <w:lang w:eastAsia="en-US"/>
        </w:rPr>
        <w:t>B．①④</w:t>
      </w:r>
      <w:r>
        <w:rPr>
          <w:rFonts w:ascii="宋体" w:hAnsi="宋体" w:cs="宋体"/>
          <w:kern w:val="0"/>
          <w:szCs w:val="24"/>
          <w:lang w:eastAsia="en-US"/>
        </w:rPr>
        <w:cr/>
      </w:r>
      <w:r>
        <w:rPr>
          <w:rFonts w:ascii="宋体" w:hAnsi="宋体" w:cs="宋体"/>
          <w:kern w:val="0"/>
          <w:szCs w:val="24"/>
          <w:lang w:eastAsia="en-US"/>
        </w:rPr>
        <w:t>C．②③</w:t>
      </w:r>
      <w:r>
        <w:rPr>
          <w:rFonts w:ascii="宋体" w:hAnsi="宋体" w:cs="宋体"/>
          <w:kern w:val="0"/>
          <w:szCs w:val="24"/>
          <w:lang w:eastAsia="en-US"/>
        </w:rPr>
        <w:cr/>
      </w:r>
      <w:r>
        <w:rPr>
          <w:rFonts w:ascii="宋体" w:hAnsi="宋体" w:cs="宋体"/>
          <w:kern w:val="0"/>
          <w:szCs w:val="24"/>
          <w:lang w:eastAsia="en-US"/>
        </w:rPr>
        <w:t>D．②④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13.</w:t>
      </w:r>
      <w:r>
        <w:rPr>
          <w:rFonts w:ascii="宋体" w:hAnsi="宋体" w:cs="宋体"/>
          <w:kern w:val="0"/>
          <w:szCs w:val="24"/>
          <w:lang w:eastAsia="en-US"/>
        </w:rPr>
        <w:t>直播带货是依托互联网平台特别是社交平台发展起来的一种新型商业模式，在快速发展的同时，也存在一些问题。</w:t>
      </w:r>
    </w:p>
    <w:tbl>
      <w:tblPr>
        <w:tblStyle w:val="TableNormal"/>
        <w:tblInd w:w="30" w:type="dxa"/>
        <w:tblCellMar>
          <w:top w:w="15" w:type="dxa"/>
          <w:left w:w="15" w:type="dxa"/>
          <w:bottom w:w="15" w:type="dxa"/>
          <w:right w:w="15" w:type="dxa"/>
        </w:tblCellMar>
      </w:tblPr>
      <w:tblGrid>
        <w:gridCol w:w="422"/>
        <w:gridCol w:w="8232"/>
      </w:tblGrid>
      <w:tr>
        <w:tblPrEx>
          <w:tblInd w:w="30" w:type="dxa"/>
          <w:tblCellMar>
            <w:top w:w="15" w:type="dxa"/>
            <w:left w:w="15" w:type="dxa"/>
            <w:bottom w:w="15" w:type="dxa"/>
            <w:right w:w="15" w:type="dxa"/>
          </w:tblCellMar>
        </w:tblPrEx>
        <w:trPr>
          <w:trHeight w:val="330"/>
        </w:trPr>
        <w:tc>
          <w:tcPr>
            <w:tcW w:w="88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问题一</w:t>
            </w:r>
          </w:p>
        </w:tc>
        <w:tc>
          <w:tcPr>
            <w:tcW w:w="727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不少主播打着“替老百姓办事”“调解家庭矛盾”的旗号上演苦情戏码，哄骗老人下单号称能治病的“神药”，实为固体饮料、压片糖果等普通食品</w:t>
            </w:r>
          </w:p>
        </w:tc>
      </w:tr>
      <w:tr>
        <w:tblPrEx>
          <w:tblInd w:w="30" w:type="dxa"/>
          <w:tblCellMar>
            <w:top w:w="15" w:type="dxa"/>
            <w:left w:w="15" w:type="dxa"/>
            <w:bottom w:w="15" w:type="dxa"/>
            <w:right w:w="15" w:type="dxa"/>
          </w:tblCellMar>
        </w:tblPrEx>
        <w:trPr>
          <w:trHeight w:val="330"/>
        </w:trPr>
        <w:tc>
          <w:tcPr>
            <w:tcW w:w="88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问题二</w:t>
            </w:r>
          </w:p>
        </w:tc>
        <w:tc>
          <w:tcPr>
            <w:tcW w:w="727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个别直播带货商家要求消费者先勾选“收货人签收商品即视为认可商品质量符合约定”，否则无法提交订单</w:t>
            </w:r>
          </w:p>
        </w:tc>
      </w:tr>
      <w:tr>
        <w:tblPrEx>
          <w:tblInd w:w="30" w:type="dxa"/>
          <w:tblCellMar>
            <w:top w:w="15" w:type="dxa"/>
            <w:left w:w="15" w:type="dxa"/>
            <w:bottom w:w="15" w:type="dxa"/>
            <w:right w:w="15" w:type="dxa"/>
          </w:tblCellMar>
        </w:tblPrEx>
        <w:trPr>
          <w:trHeight w:val="330"/>
        </w:trPr>
        <w:tc>
          <w:tcPr>
            <w:tcW w:w="88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after="0" w:line="360" w:lineRule="auto"/>
              <w:jc w:val="left"/>
              <w:rPr>
                <w:rFonts w:ascii="宋体" w:hAnsi="宋体" w:cs="宋体"/>
                <w:kern w:val="0"/>
                <w:szCs w:val="24"/>
                <w:lang w:eastAsia="en-US"/>
              </w:rPr>
            </w:pPr>
          </w:p>
        </w:tc>
        <w:tc>
          <w:tcPr>
            <w:tcW w:w="727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有的所谓“网红爆款单品”，买回来后发现其质量与安全并没有保障，有些甚至是“三无产品”，消费后对身体健康造成损害</w:t>
            </w:r>
          </w:p>
        </w:tc>
      </w:tr>
    </w:tbl>
    <w:p>
      <w:pPr>
        <w:sectPr w:rsidSect="00B5694A">
          <w:headerReference w:type="even" r:id="rId28"/>
          <w:headerReference w:type="default" r:id="rId29"/>
          <w:footerReference w:type="even" r:id="rId30"/>
          <w:footerReference w:type="default" r:id="rId31"/>
          <w:type w:val="nextPage"/>
          <w:pgSz w:w="11907" w:h="16839" w:code="9"/>
          <w:pgMar w:top="992" w:right="561" w:bottom="992" w:left="1899" w:header="992" w:footer="992" w:gutter="0"/>
          <w:pgNumType w:start="6"/>
          <w:cols w:space="425"/>
          <w:titlePg w:val="0"/>
          <w:docGrid w:type="lines" w:linePitch="312"/>
        </w:sectPr>
      </w:pPr>
    </w:p>
    <w:tbl>
      <w:tblPr>
        <w:tblStyle w:val="TableNormal"/>
        <w:tblInd w:w="30" w:type="dxa"/>
        <w:tblCellMar>
          <w:top w:w="15" w:type="dxa"/>
          <w:left w:w="15" w:type="dxa"/>
          <w:bottom w:w="15" w:type="dxa"/>
          <w:right w:w="15" w:type="dxa"/>
        </w:tblCellMar>
      </w:tblPr>
      <w:tblGrid>
        <w:gridCol w:w="422"/>
        <w:gridCol w:w="8232"/>
      </w:tblGrid>
      <w:tr>
        <w:tblPrEx>
          <w:tblInd w:w="30" w:type="dxa"/>
          <w:tblCellMar>
            <w:top w:w="15" w:type="dxa"/>
            <w:left w:w="15" w:type="dxa"/>
            <w:bottom w:w="15" w:type="dxa"/>
            <w:right w:w="15" w:type="dxa"/>
          </w:tblCellMar>
        </w:tblPrEx>
        <w:trPr>
          <w:trHeight w:val="330"/>
        </w:trPr>
        <w:tc>
          <w:tcPr>
            <w:tcW w:w="88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before="0" w:line="360" w:lineRule="auto"/>
              <w:jc w:val="left"/>
              <w:rPr>
                <w:rFonts w:ascii="宋体" w:hAnsi="宋体" w:cs="宋体"/>
                <w:kern w:val="0"/>
                <w:szCs w:val="24"/>
                <w:lang w:eastAsia="en-US"/>
              </w:rPr>
            </w:pPr>
            <w:r>
              <w:rPr>
                <w:rFonts w:ascii="宋体" w:hAnsi="宋体" w:cs="宋体"/>
                <w:kern w:val="0"/>
                <w:szCs w:val="24"/>
                <w:lang w:eastAsia="en-US"/>
              </w:rPr>
              <w:t>问题三</w:t>
            </w:r>
          </w:p>
        </w:tc>
        <w:tc>
          <w:tcPr>
            <w:tcW w:w="727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关于上述现象，下列思考正确的是（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①部分平台和商家没有向消费者提供相关商品的真实信息，侵犯了消费者的知情权</w:t>
      </w:r>
      <w:r>
        <w:rPr>
          <w:rFonts w:ascii="宋体" w:hAnsi="宋体" w:cs="宋体"/>
          <w:kern w:val="0"/>
          <w:szCs w:val="24"/>
          <w:lang w:eastAsia="en-US"/>
        </w:rPr>
        <w:cr/>
      </w:r>
      <w:r>
        <w:rPr>
          <w:rFonts w:ascii="宋体" w:hAnsi="宋体" w:cs="宋体"/>
          <w:kern w:val="0"/>
          <w:szCs w:val="24"/>
          <w:lang w:eastAsia="en-US"/>
        </w:rPr>
        <w:t>②“收货人签收商品即视为认可商品质量符合约定”属于无效格式条款</w:t>
      </w:r>
      <w:r>
        <w:rPr>
          <w:rFonts w:ascii="宋体" w:hAnsi="宋体" w:cs="宋体"/>
          <w:kern w:val="0"/>
          <w:szCs w:val="24"/>
          <w:lang w:eastAsia="en-US"/>
        </w:rPr>
        <w:cr/>
      </w:r>
      <w:r>
        <w:rPr>
          <w:rFonts w:ascii="宋体" w:hAnsi="宋体" w:cs="宋体"/>
          <w:kern w:val="0"/>
          <w:szCs w:val="24"/>
          <w:lang w:eastAsia="en-US"/>
        </w:rPr>
        <w:t>③部分爆款单品的质量和安全没有保障，侵犯了消费者自主选择权</w:t>
      </w:r>
      <w:r>
        <w:rPr>
          <w:rFonts w:ascii="宋体" w:hAnsi="宋体" w:cs="宋体"/>
          <w:kern w:val="0"/>
          <w:szCs w:val="24"/>
          <w:lang w:eastAsia="en-US"/>
        </w:rPr>
        <w:cr/>
      </w:r>
      <w:r>
        <w:rPr>
          <w:rFonts w:ascii="宋体" w:hAnsi="宋体" w:cs="宋体"/>
          <w:kern w:val="0"/>
          <w:szCs w:val="24"/>
          <w:lang w:eastAsia="en-US"/>
        </w:rPr>
        <w:t>④新事物不可避免地存在着弱点和不完善的地方，消费者要不断接纳直播带货的各种现象</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B．①③</w:t>
      </w:r>
      <w:r>
        <w:rPr>
          <w:rFonts w:ascii="宋体" w:hAnsi="宋体" w:cs="宋体"/>
          <w:kern w:val="0"/>
          <w:szCs w:val="24"/>
          <w:lang w:eastAsia="en-US"/>
        </w:rPr>
        <w:cr/>
      </w:r>
      <w:r>
        <w:rPr>
          <w:rFonts w:ascii="宋体" w:hAnsi="宋体" w:cs="宋体"/>
          <w:kern w:val="0"/>
          <w:szCs w:val="24"/>
          <w:lang w:eastAsia="en-US"/>
        </w:rPr>
        <w:t>C．②④</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14.</w:t>
      </w:r>
      <w:r>
        <w:rPr>
          <w:rFonts w:ascii="宋体" w:hAnsi="宋体" w:cs="宋体"/>
          <w:kern w:val="0"/>
          <w:szCs w:val="24"/>
          <w:lang w:eastAsia="en-US"/>
        </w:rPr>
        <w:t>“已讶衾枕冷，复见窗户明。夜深知雪重，时闻折竹声。”《夜雪》是唐代诗人白居易创作的一首五言绝句。这是一首咏雪诗，诗人虽未出门，却通过层层描写，刻画了夜雪之大；也通过描写“夜雪”，透露出谪居江州的孤寂心情。诗人写“雪”的成功在于（</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①思维具有直接性，凭借获得的感性材料、已有的经验和知识，实现对事物的认识</w:t>
      </w:r>
      <w:r>
        <w:rPr>
          <w:rFonts w:ascii="宋体" w:hAnsi="宋体" w:cs="宋体"/>
          <w:kern w:val="0"/>
          <w:szCs w:val="24"/>
          <w:lang w:eastAsia="en-US"/>
        </w:rPr>
        <w:cr/>
      </w:r>
      <w:r>
        <w:rPr>
          <w:rFonts w:ascii="宋体" w:hAnsi="宋体" w:cs="宋体"/>
          <w:kern w:val="0"/>
          <w:szCs w:val="24"/>
          <w:lang w:eastAsia="en-US"/>
        </w:rPr>
        <w:t>②注重写“雪”思路的多向性，从触觉、视觉、听觉等角度把握夜雪的特质</w:t>
      </w:r>
      <w:r>
        <w:rPr>
          <w:rFonts w:ascii="宋体" w:hAnsi="宋体" w:cs="宋体"/>
          <w:kern w:val="0"/>
          <w:szCs w:val="24"/>
          <w:lang w:eastAsia="en-US"/>
        </w:rPr>
        <w:cr/>
      </w:r>
      <w:r>
        <w:rPr>
          <w:rFonts w:ascii="宋体" w:hAnsi="宋体" w:cs="宋体"/>
          <w:kern w:val="0"/>
          <w:szCs w:val="24"/>
          <w:lang w:eastAsia="en-US"/>
        </w:rPr>
        <w:t>③运用逆向思维，跳出从颜色、形状、姿态等角度正面描写雪花的写作模式</w:t>
      </w:r>
      <w:r>
        <w:rPr>
          <w:rFonts w:ascii="宋体" w:hAnsi="宋体" w:cs="宋体"/>
          <w:kern w:val="0"/>
          <w:szCs w:val="24"/>
          <w:lang w:eastAsia="en-US"/>
        </w:rPr>
        <w:cr/>
      </w:r>
      <w:r>
        <w:rPr>
          <w:rFonts w:ascii="宋体" w:hAnsi="宋体" w:cs="宋体"/>
          <w:kern w:val="0"/>
          <w:szCs w:val="24"/>
          <w:lang w:eastAsia="en-US"/>
        </w:rPr>
        <w:t>④对夜雪的形象描述实则衬托诗人彻夜无眠的孤寂，是超前思维的体现</w:t>
      </w:r>
      <w:r>
        <w:rPr>
          <w:rFonts w:ascii="宋体" w:hAnsi="宋体" w:cs="宋体"/>
          <w:kern w:val="0"/>
          <w:szCs w:val="24"/>
          <w:lang w:eastAsia="en-US"/>
        </w:rPr>
        <w:cr/>
      </w:r>
      <w:r>
        <w:rPr>
          <w:rFonts w:ascii="宋体" w:hAnsi="宋体" w:cs="宋体"/>
          <w:kern w:val="0"/>
          <w:szCs w:val="24"/>
          <w:lang w:eastAsia="en-US"/>
        </w:rPr>
        <w:t>A．①③</w:t>
      </w:r>
      <w:r>
        <w:rPr>
          <w:rFonts w:ascii="宋体" w:hAnsi="宋体" w:cs="宋体"/>
          <w:kern w:val="0"/>
          <w:szCs w:val="24"/>
          <w:lang w:eastAsia="en-US"/>
        </w:rPr>
        <w:cr/>
      </w:r>
      <w:r>
        <w:rPr>
          <w:rFonts w:ascii="宋体" w:hAnsi="宋体" w:cs="宋体"/>
          <w:kern w:val="0"/>
          <w:szCs w:val="24"/>
          <w:lang w:eastAsia="en-US"/>
        </w:rPr>
        <w:t>B．①④</w:t>
      </w:r>
      <w:r>
        <w:rPr>
          <w:rFonts w:ascii="宋体" w:hAnsi="宋体" w:cs="宋体"/>
          <w:kern w:val="0"/>
          <w:szCs w:val="24"/>
          <w:lang w:eastAsia="en-US"/>
        </w:rPr>
        <w:cr/>
      </w:r>
      <w:r>
        <w:rPr>
          <w:rFonts w:ascii="宋体" w:hAnsi="宋体" w:cs="宋体"/>
          <w:kern w:val="0"/>
          <w:szCs w:val="24"/>
          <w:lang w:eastAsia="en-US"/>
        </w:rPr>
        <w:t>C．②③</w:t>
      </w:r>
      <w:r>
        <w:rPr>
          <w:rFonts w:ascii="宋体" w:hAnsi="宋体" w:cs="宋体"/>
          <w:kern w:val="0"/>
          <w:szCs w:val="24"/>
          <w:lang w:eastAsia="en-US"/>
        </w:rPr>
        <w:cr/>
      </w:r>
      <w:r>
        <w:rPr>
          <w:rFonts w:ascii="宋体" w:hAnsi="宋体" w:cs="宋体"/>
          <w:kern w:val="0"/>
          <w:szCs w:val="24"/>
          <w:lang w:eastAsia="en-US"/>
        </w:rPr>
        <w:t>D．②④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15.</w:t>
      </w:r>
      <w:r>
        <w:rPr>
          <w:rFonts w:ascii="宋体" w:hAnsi="宋体" w:cs="宋体"/>
          <w:kern w:val="0"/>
          <w:szCs w:val="24"/>
          <w:lang w:eastAsia="en-US"/>
        </w:rPr>
        <w:t>逻辑思维过程是由概念、判断和推理来承担和表现的，只有做到准确把握概念、正确运用判断、精确进行推理，思维才能合乎逻辑的要求。对以下表述所对应的逻辑思维规则理解正确的是（</w:t>
      </w:r>
      <w:r>
        <w:rPr>
          <w:rFonts w:ascii="Times New Roman" w:eastAsia="Times New Roman" w:hAnsi="Times New Roman"/>
          <w:kern w:val="0"/>
          <w:szCs w:val="24"/>
          <w:lang w:eastAsia="en-US"/>
        </w:rPr>
        <w:t>     </w:t>
      </w:r>
      <w:r>
        <w:rPr>
          <w:rFonts w:ascii="宋体" w:hAnsi="宋体" w:cs="宋体"/>
          <w:kern w:val="0"/>
          <w:szCs w:val="24"/>
          <w:lang w:eastAsia="en-US"/>
        </w:rPr>
        <w:t>）</w:t>
      </w:r>
    </w:p>
    <w:tbl>
      <w:tblPr>
        <w:tblStyle w:val="TableNormal"/>
        <w:tblW w:w="5000" w:type="pct"/>
        <w:tblInd w:w="30" w:type="dxa"/>
        <w:tblCellMar>
          <w:top w:w="15" w:type="dxa"/>
          <w:left w:w="15" w:type="dxa"/>
          <w:bottom w:w="15" w:type="dxa"/>
          <w:right w:w="15" w:type="dxa"/>
        </w:tblCellMar>
      </w:tblPr>
      <w:tblGrid>
        <w:gridCol w:w="221"/>
        <w:gridCol w:w="5786"/>
        <w:gridCol w:w="2677"/>
      </w:tblGrid>
      <w:tr>
        <w:tblPrEx>
          <w:tblW w:w="5000" w:type="pct"/>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表述</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对应的逻辑思维规则</w:t>
            </w:r>
          </w:p>
        </w:tc>
      </w:tr>
      <w:tr>
        <w:tblPrEx>
          <w:tblW w:w="5000" w:type="pct"/>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①</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“完全民事行为能力人”与“无民事行为能力人”</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从概念的外延上看属于反对关系</w:t>
            </w:r>
          </w:p>
        </w:tc>
      </w:tr>
      <w:tr>
        <w:tblPrEx>
          <w:tblW w:w="5000" w:type="pct"/>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②</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合同分为有效合同、无效合同和书面合同</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after="0" w:line="360" w:lineRule="auto"/>
              <w:jc w:val="left"/>
              <w:rPr>
                <w:rFonts w:ascii="宋体" w:hAnsi="宋体" w:cs="宋体"/>
                <w:kern w:val="0"/>
                <w:szCs w:val="24"/>
                <w:lang w:eastAsia="en-US"/>
              </w:rPr>
            </w:pPr>
          </w:p>
        </w:tc>
      </w:tr>
    </w:tbl>
    <w:p>
      <w:pPr>
        <w:sectPr w:rsidSect="00B5694A">
          <w:headerReference w:type="even" r:id="rId32"/>
          <w:headerReference w:type="default" r:id="rId33"/>
          <w:footerReference w:type="even" r:id="rId34"/>
          <w:footerReference w:type="default" r:id="rId35"/>
          <w:type w:val="nextPage"/>
          <w:pgSz w:w="11907" w:h="16839" w:code="9"/>
          <w:pgMar w:top="992" w:right="561" w:bottom="992" w:left="1899" w:header="992" w:footer="992" w:gutter="0"/>
          <w:pgNumType w:start="7"/>
          <w:cols w:space="425"/>
          <w:titlePg w:val="0"/>
          <w:docGrid w:type="lines" w:linePitch="312"/>
        </w:sectPr>
      </w:pPr>
    </w:p>
    <w:tbl>
      <w:tblPr>
        <w:tblStyle w:val="TableNormal"/>
        <w:tblW w:w="5000" w:type="pct"/>
        <w:tblInd w:w="30" w:type="dxa"/>
        <w:tblCellMar>
          <w:top w:w="15" w:type="dxa"/>
          <w:left w:w="15" w:type="dxa"/>
          <w:bottom w:w="15" w:type="dxa"/>
          <w:right w:w="15" w:type="dxa"/>
        </w:tblCellMar>
      </w:tblPr>
      <w:tblGrid>
        <w:gridCol w:w="221"/>
        <w:gridCol w:w="5786"/>
        <w:gridCol w:w="2677"/>
      </w:tblGrid>
      <w:tr>
        <w:tblPrEx>
          <w:tblW w:w="5000" w:type="pct"/>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before="0" w:line="360" w:lineRule="auto"/>
              <w:jc w:val="left"/>
              <w:rPr>
                <w:rFonts w:ascii="宋体" w:hAnsi="宋体" w:cs="宋体"/>
                <w:kern w:val="0"/>
                <w:szCs w:val="24"/>
                <w:lang w:eastAsia="en-US"/>
              </w:rPr>
            </w:pPr>
            <w:r>
              <w:rPr>
                <w:rFonts w:ascii="宋体" w:hAnsi="宋体" w:cs="宋体"/>
                <w:kern w:val="0"/>
                <w:szCs w:val="24"/>
                <w:lang w:eastAsia="en-US"/>
              </w:rPr>
              <w:t>该说法犯了“多出子项”的逻辑错误</w:t>
            </w:r>
          </w:p>
        </w:tc>
      </w:tr>
      <w:tr>
        <w:tblPrEx>
          <w:tblW w:w="5000" w:type="pct"/>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③</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行政机关有自由裁量权，行政机关是国家机关，所以，国家机关都有自由裁量权</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该推理犯了“小项不当扩大”错误</w:t>
            </w:r>
          </w:p>
        </w:tc>
      </w:tr>
      <w:tr>
        <w:tblPrEx>
          <w:tblW w:w="5000" w:type="pct"/>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④</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有的被告反控某些原告</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这是简单判断中的性质判断</w:t>
            </w: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B．①③</w:t>
      </w:r>
      <w:r>
        <w:rPr>
          <w:rFonts w:ascii="宋体" w:hAnsi="宋体" w:cs="宋体"/>
          <w:kern w:val="0"/>
          <w:szCs w:val="24"/>
          <w:lang w:eastAsia="en-US"/>
        </w:rPr>
        <w:cr/>
      </w:r>
      <w:r>
        <w:rPr>
          <w:rFonts w:ascii="宋体" w:hAnsi="宋体" w:cs="宋体"/>
          <w:kern w:val="0"/>
          <w:szCs w:val="24"/>
          <w:lang w:eastAsia="en-US"/>
        </w:rPr>
        <w:t>C．②④</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二、材料分析题</w:t>
            </w:r>
          </w:p>
        </w:tc>
      </w:tr>
    </w:tbl>
    <w:p w:rsidR="00A77B3E">
      <w:pPr>
        <w:widowControl/>
        <w:spacing w:line="360" w:lineRule="auto"/>
        <w:ind w:firstLine="420"/>
        <w:jc w:val="left"/>
        <w:rPr>
          <w:rFonts w:ascii="宋体" w:hAnsi="宋体" w:cs="宋体"/>
          <w:kern w:val="0"/>
          <w:szCs w:val="24"/>
          <w:lang w:eastAsia="en-US"/>
        </w:rPr>
      </w:pPr>
      <w:r>
        <w:rPr>
          <w:rFonts w:ascii="宋体" w:hAnsi="宋体" w:cs="宋体"/>
          <w:vanish w:val="0"/>
          <w:kern w:val="0"/>
          <w:szCs w:val="24"/>
          <w:lang w:eastAsia="en-US"/>
        </w:rPr>
        <w:t>16.</w:t>
      </w:r>
      <w:r>
        <w:rPr>
          <w:rFonts w:ascii="楷体" w:eastAsia="楷体" w:hAnsi="楷体" w:cs="楷体"/>
          <w:kern w:val="0"/>
          <w:szCs w:val="24"/>
          <w:lang w:eastAsia="en-US"/>
        </w:rPr>
        <w:t>青年是国家的未来，民族的希望。新时代，青年在中华民族实现伟大复兴中国梦中的角色日益清晰，青年每前进一步，国家民族的未来就多一份稳扎稳打的希望。</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小顾：“祖国的航空航天科技日新月异，我们还有很多事情要做，有很多挑战要面对，有很多难题要攻克。作为有梦想、有干劲的年轻人，正在为此努力，研发了新材料，攻克了新关键技术，我们的所有成绩都有一个响当当的归属——我的祖国。”</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小唐：“从大学毕业后，我成为一名转炉车间上料工。我不断提升自己，琢磨技术，研读书本，并投入到设备和研发的创新中，为提升整个生产线效率攻坚克难。成功地用少渣冶炼技术冶炼出了优质合格钢水，将260吨转炉工序灰耗降到每吨钢15公斤，为企业大幅降低了生产成本。”</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小沈：“小时候，就听村里人说家乡的许多地方急缺医生，我暗自下定决心，长大后要当一名医生，在家乡治病救人。家乡地域广阔，群众居住分散、交通不便，我和同事们就骑行、徒步，把医疗服务送上门。一次次翻山越岭，一趟趟上门问诊，我和当地群众的感情越来越深。”</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结合材料，综合运用所学，谈谈新时代青年应如何稳扎稳打走好前方的奋进路。</w:t>
      </w:r>
      <w:r>
        <w:rPr>
          <w:rFonts w:ascii="宋体" w:hAnsi="宋体" w:cs="宋体"/>
          <w:kern w:val="0"/>
          <w:szCs w:val="24"/>
          <w:lang w:eastAsia="en-US"/>
        </w:rPr>
        <w:cr/>
      </w:r>
    </w:p>
    <w:p w:rsidR="00A77B3E">
      <w:pPr>
        <w:widowControl/>
        <w:spacing w:line="360" w:lineRule="auto"/>
        <w:ind w:firstLine="420"/>
        <w:jc w:val="left"/>
        <w:rPr>
          <w:rFonts w:ascii="宋体" w:hAnsi="宋体" w:cs="宋体"/>
          <w:kern w:val="0"/>
          <w:szCs w:val="24"/>
          <w:lang w:eastAsia="en-US"/>
        </w:rPr>
      </w:pPr>
      <w:r>
        <w:rPr>
          <w:rFonts w:ascii="宋体" w:hAnsi="宋体" w:cs="宋体"/>
          <w:vanish w:val="0"/>
          <w:kern w:val="0"/>
          <w:szCs w:val="24"/>
          <w:lang w:eastAsia="en-US"/>
        </w:rPr>
        <w:t>17.</w:t>
      </w:r>
      <w:r>
        <w:rPr>
          <w:rFonts w:ascii="楷体" w:eastAsia="楷体" w:hAnsi="楷体" w:cs="楷体"/>
          <w:kern w:val="0"/>
          <w:szCs w:val="24"/>
          <w:lang w:eastAsia="en-US"/>
        </w:rPr>
        <w:t>全链条提升蔬菜产业竞争力，推进乡村振兴战略。</w:t>
      </w:r>
    </w:p>
    <w:p w:rsidR="00A77B3E">
      <w:pPr>
        <w:widowControl/>
        <w:spacing w:line="360" w:lineRule="auto"/>
        <w:ind w:firstLine="420"/>
        <w:jc w:val="left"/>
        <w:rPr>
          <w:rFonts w:ascii="宋体" w:hAnsi="宋体" w:cs="宋体"/>
          <w:kern w:val="0"/>
          <w:szCs w:val="24"/>
          <w:lang w:eastAsia="en-US"/>
        </w:rPr>
        <w:sectPr w:rsidSect="00B5694A">
          <w:headerReference w:type="even" r:id="rId36"/>
          <w:headerReference w:type="default" r:id="rId37"/>
          <w:footerReference w:type="even" r:id="rId38"/>
          <w:footerReference w:type="default" r:id="rId39"/>
          <w:type w:val="nextPage"/>
          <w:pgSz w:w="11907" w:h="16839" w:code="9"/>
          <w:pgMar w:top="992" w:right="561" w:bottom="992" w:left="1899" w:header="992" w:footer="992" w:gutter="0"/>
          <w:pgNumType w:start="8"/>
          <w:cols w:space="425"/>
          <w:titlePg w:val="0"/>
          <w:docGrid w:type="lines" w:linePitch="312"/>
        </w:sectPr>
      </w:pPr>
      <w:r>
        <w:rPr>
          <w:rFonts w:ascii="楷体" w:eastAsia="楷体" w:hAnsi="楷体" w:cs="楷体"/>
          <w:kern w:val="0"/>
          <w:szCs w:val="24"/>
          <w:lang w:eastAsia="en-US"/>
        </w:rPr>
        <w:t>某地出台蔬菜种业发展系列扶持政策，培育了一批具备自主研发能力的种业企业，建成投用了国家现代蔬菜种业创新创业基地研发中心，与多家科研院校建立了深度合作关系，携手培育蔬菜良种。</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在家庭农场里，蔬菜大棚全部应用了智能电气化设备，提前设定施肥量、给水量、温度等数据，物联网设备可以全方面监测作物长势，遇到问题系统自动报警。照着标准干，产量翻了番。</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该地在品牌建设上攻坚发力，农产品拥有无公害农产品、绿色食品、有机农产品和农产品地理标志认证。借助品牌优势，小农户与大市场有效衔接，不仅满足本地需求，还销往国内、国外多地。</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近年来，该地依据市场需求，借助得天独厚的基础优势发展预制菜产业，从上游原料和研发、中游加工和流通，到下游营销和市场，都拥有非常完整的全产业链条。蔬菜产品从初级产品向精深加工产品的链条延伸，推动蔬菜发展进一步迈向品牌化、高端化，实现了从“育良种”到“吃好菜”的飞跃。</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结合材料，运用《经济与社会》知识，分析该地实现“育良种”到“吃好菜”的经验。</w:t>
      </w:r>
      <w:r>
        <w:rPr>
          <w:rFonts w:ascii="宋体" w:hAnsi="宋体" w:cs="宋体"/>
          <w:kern w:val="0"/>
          <w:szCs w:val="24"/>
          <w:lang w:eastAsia="en-US"/>
        </w:rPr>
        <w:cr/>
      </w:r>
    </w:p>
    <w:p w:rsidR="00A77B3E">
      <w:pPr>
        <w:widowControl/>
        <w:spacing w:line="360" w:lineRule="auto"/>
        <w:ind w:firstLine="420"/>
        <w:jc w:val="left"/>
        <w:rPr>
          <w:rFonts w:ascii="宋体" w:hAnsi="宋体" w:cs="宋体"/>
          <w:kern w:val="0"/>
          <w:szCs w:val="24"/>
          <w:lang w:eastAsia="en-US"/>
        </w:rPr>
      </w:pPr>
      <w:r>
        <w:rPr>
          <w:rFonts w:ascii="宋体" w:hAnsi="宋体" w:cs="宋体"/>
          <w:vanish w:val="0"/>
          <w:kern w:val="0"/>
          <w:szCs w:val="24"/>
          <w:lang w:eastAsia="en-US"/>
        </w:rPr>
        <w:t>18.</w:t>
      </w:r>
      <w:r>
        <w:rPr>
          <w:rFonts w:ascii="楷体" w:eastAsia="楷体" w:hAnsi="楷体" w:cs="楷体"/>
          <w:kern w:val="0"/>
          <w:szCs w:val="24"/>
          <w:lang w:eastAsia="en-US"/>
        </w:rPr>
        <w:t>党的二十大报告将“社会主义法治国家建设深入推进”列为新时代十年伟大变革的一项重要内容。北京市以建设法治中国首善之区为目标，扎实推进法治政府建设各项工作，取得了积极成效。</w:t>
      </w:r>
    </w:p>
    <w:tbl>
      <w:tblPr>
        <w:tblStyle w:val="TableNormal"/>
        <w:tblW w:w="8205" w:type="dxa"/>
        <w:tblInd w:w="30" w:type="dxa"/>
        <w:tblCellMar>
          <w:top w:w="15" w:type="dxa"/>
          <w:left w:w="15" w:type="dxa"/>
          <w:bottom w:w="15" w:type="dxa"/>
          <w:right w:w="15" w:type="dxa"/>
        </w:tblCellMar>
      </w:tblPr>
      <w:tblGrid>
        <w:gridCol w:w="8684"/>
      </w:tblGrid>
      <w:tr>
        <w:tblPrEx>
          <w:tblW w:w="8205" w:type="dxa"/>
          <w:tblInd w:w="30" w:type="dxa"/>
          <w:tblCellMar>
            <w:top w:w="15" w:type="dxa"/>
            <w:left w:w="15" w:type="dxa"/>
            <w:bottom w:w="15" w:type="dxa"/>
            <w:right w:w="15" w:type="dxa"/>
          </w:tblCellMar>
        </w:tblPrEx>
        <w:trPr>
          <w:trHeight w:val="330"/>
        </w:trPr>
        <w:tc>
          <w:tcPr>
            <w:tcW w:w="826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楷体" w:eastAsia="楷体" w:hAnsi="楷体" w:cs="楷体"/>
                <w:kern w:val="0"/>
                <w:szCs w:val="24"/>
                <w:lang w:eastAsia="en-US"/>
              </w:rPr>
              <w:t>《北京市2021年法治政府建设年度情况报告》节选</w:t>
            </w:r>
            <w:r>
              <w:rPr>
                <w:rFonts w:ascii="楷体" w:eastAsia="楷体" w:hAnsi="楷体" w:cs="楷体"/>
                <w:kern w:val="0"/>
                <w:szCs w:val="24"/>
                <w:lang w:eastAsia="en-US"/>
              </w:rPr>
              <w:cr/>
            </w:r>
            <w:r>
              <w:rPr>
                <w:rFonts w:ascii="宋体" w:eastAsia="宋体" w:hAnsi="宋体" w:cs="宋体"/>
                <w:sz w:val="21"/>
              </w:rPr>
              <w:drawing>
                <wp:inline>
                  <wp:extent cx="114300" cy="171450"/>
                  <wp:docPr id="13503053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05322" name=""/>
                          <pic:cNvPicPr>
                            <a:picLocks noChangeAspect="1"/>
                          </pic:cNvPicPr>
                        </pic:nvPicPr>
                        <pic:blipFill>
                          <a:blip xmlns:r="http://schemas.openxmlformats.org/officeDocument/2006/relationships" r:embed="rId40">
                            <a:lum bright="4000"/>
                          </a:blip>
                          <a:stretch>
                            <a:fillRect/>
                          </a:stretch>
                        </pic:blipFill>
                        <pic:spPr>
                          <a:xfrm>
                            <a:off x="0" y="0"/>
                            <a:ext cx="114300" cy="171450"/>
                          </a:xfrm>
                          <a:prstGeom prst="rect">
                            <a:avLst/>
                          </a:prstGeom>
                        </pic:spPr>
                      </pic:pic>
                    </a:graphicData>
                  </a:graphic>
                </wp:inline>
              </w:drawing>
            </w:r>
            <w:r>
              <w:rPr>
                <w:rFonts w:ascii="楷体" w:eastAsia="楷体" w:hAnsi="楷体" w:cs="楷体"/>
                <w:kern w:val="0"/>
                <w:szCs w:val="24"/>
                <w:lang w:eastAsia="en-US"/>
              </w:rPr>
              <w:t>以习近平法治思想、法治政府建设实施纲要等为主题，组织4次市政府常务会会前学法，举办全市局级领导干部和法治机构负责人法治政府建设专题培训班。持续开展法治政府建设情况报告评估，每年起草全市法治政府建设年度报告和依法行政专项工作数据监测报告“双报告”制度获评“法治政府奖”。</w:t>
            </w:r>
            <w:r>
              <w:rPr>
                <w:rFonts w:ascii="楷体" w:eastAsia="楷体" w:hAnsi="楷体" w:cs="楷体"/>
                <w:kern w:val="0"/>
                <w:szCs w:val="24"/>
                <w:lang w:eastAsia="en-US"/>
              </w:rPr>
              <w:cr/>
            </w:r>
            <w:r>
              <w:rPr>
                <w:rFonts w:ascii="宋体" w:eastAsia="宋体" w:hAnsi="宋体" w:cs="宋体"/>
                <w:sz w:val="21"/>
              </w:rPr>
              <w:drawing>
                <wp:inline>
                  <wp:extent cx="114300" cy="171450"/>
                  <wp:docPr id="20168921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92175" name=""/>
                          <pic:cNvPicPr>
                            <a:picLocks noChangeAspect="1"/>
                          </pic:cNvPicPr>
                        </pic:nvPicPr>
                        <pic:blipFill>
                          <a:blip xmlns:r="http://schemas.openxmlformats.org/officeDocument/2006/relationships" r:embed="rId40">
                            <a:lum bright="4000"/>
                          </a:blip>
                          <a:stretch>
                            <a:fillRect/>
                          </a:stretch>
                        </pic:blipFill>
                        <pic:spPr>
                          <a:xfrm>
                            <a:off x="0" y="0"/>
                            <a:ext cx="114300" cy="171450"/>
                          </a:xfrm>
                          <a:prstGeom prst="rect">
                            <a:avLst/>
                          </a:prstGeom>
                        </pic:spPr>
                      </pic:pic>
                    </a:graphicData>
                  </a:graphic>
                </wp:inline>
              </w:drawing>
            </w:r>
            <w:r>
              <w:rPr>
                <w:rFonts w:ascii="楷体" w:eastAsia="楷体" w:hAnsi="楷体" w:cs="楷体"/>
                <w:kern w:val="0"/>
                <w:szCs w:val="24"/>
                <w:lang w:eastAsia="en-US"/>
              </w:rPr>
              <w:t>向自贸区组团所在区及相关开发区下放118项市级行政权力，向城市副中心下放第二批赋权事项。深化行政审批制度改革，推行“极简审批”，围绕“五子”联动推动“两区”政策与政务服务事项关联融合，深化告知承诺、“证照分离”“一业一证”等改革。</w:t>
            </w:r>
            <w:r>
              <w:rPr>
                <w:rFonts w:ascii="楷体" w:eastAsia="楷体" w:hAnsi="楷体" w:cs="楷体"/>
                <w:kern w:val="0"/>
                <w:szCs w:val="24"/>
                <w:lang w:eastAsia="en-US"/>
              </w:rPr>
              <w:cr/>
            </w:r>
            <w:r>
              <w:rPr>
                <w:rFonts w:ascii="宋体" w:eastAsia="宋体" w:hAnsi="宋体" w:cs="宋体"/>
                <w:sz w:val="21"/>
              </w:rPr>
              <w:drawing>
                <wp:inline>
                  <wp:extent cx="114300" cy="17145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0">
                            <a:lum bright="4000"/>
                          </a:blip>
                          <a:stretch>
                            <a:fillRect/>
                          </a:stretch>
                        </pic:blipFill>
                        <pic:spPr>
                          <a:xfrm>
                            <a:off x="0" y="0"/>
                            <a:ext cx="114300" cy="171450"/>
                          </a:xfrm>
                          <a:prstGeom prst="rect">
                            <a:avLst/>
                          </a:prstGeom>
                        </pic:spPr>
                      </pic:pic>
                    </a:graphicData>
                  </a:graphic>
                </wp:inline>
              </w:drawing>
            </w:r>
            <w:r>
              <w:rPr>
                <w:rFonts w:ascii="楷体" w:eastAsia="楷体" w:hAnsi="楷体" w:cs="楷体"/>
                <w:kern w:val="0"/>
                <w:szCs w:val="24"/>
                <w:lang w:eastAsia="en-US"/>
              </w:rPr>
              <w:t>贯彻落实新修订的行政处罚法，组织各级行政执法部门完成执法主体、执法文书等专项清理。稳步推进行政执法队伍规范化建设，持续深化落实行政检查单制度，印发完善行政裁决制度的指导意见。</w:t>
            </w: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结合材料，运用《政治与法治》有关知识，分析北京市是如何推进法治政府建设的。</w:t>
      </w:r>
      <w:r>
        <w:rPr>
          <w:rFonts w:ascii="宋体" w:hAnsi="宋体" w:cs="宋体"/>
          <w:kern w:val="0"/>
          <w:szCs w:val="24"/>
          <w:lang w:eastAsia="en-US"/>
        </w:rPr>
        <w:cr/>
      </w:r>
    </w:p>
    <w:p w:rsidR="00A77B3E">
      <w:pPr>
        <w:widowControl/>
        <w:spacing w:line="360" w:lineRule="auto"/>
        <w:ind w:firstLine="420"/>
        <w:jc w:val="left"/>
        <w:rPr>
          <w:rFonts w:ascii="宋体" w:hAnsi="宋体" w:cs="宋体"/>
          <w:kern w:val="0"/>
          <w:szCs w:val="24"/>
          <w:lang w:eastAsia="en-US"/>
        </w:rPr>
      </w:pPr>
      <w:r>
        <w:rPr>
          <w:rFonts w:ascii="宋体" w:hAnsi="宋体" w:cs="宋体"/>
          <w:vanish w:val="0"/>
          <w:kern w:val="0"/>
          <w:szCs w:val="24"/>
          <w:lang w:eastAsia="en-US"/>
        </w:rPr>
        <w:t>19.</w:t>
      </w:r>
      <w:r>
        <w:rPr>
          <w:rFonts w:ascii="楷体" w:eastAsia="楷体" w:hAnsi="楷体" w:cs="楷体"/>
          <w:kern w:val="0"/>
          <w:szCs w:val="24"/>
          <w:lang w:eastAsia="en-US"/>
        </w:rPr>
        <w:t>文化是北京最大的魅力之一，源远流长的古都文化、丰富厚重的红色文化、特色鲜明的京味文化、蓬勃兴起的创新文化，构成了北京的深厚底蕴。</w:t>
      </w:r>
    </w:p>
    <w:tbl>
      <w:tblPr>
        <w:tblStyle w:val="TableNormal"/>
        <w:tblInd w:w="30" w:type="dxa"/>
        <w:tblCellMar>
          <w:top w:w="15" w:type="dxa"/>
          <w:left w:w="15" w:type="dxa"/>
          <w:bottom w:w="15" w:type="dxa"/>
          <w:right w:w="15" w:type="dxa"/>
        </w:tblCellMar>
      </w:tblPr>
      <w:tblGrid>
        <w:gridCol w:w="367"/>
        <w:gridCol w:w="8287"/>
      </w:tblGrid>
      <w:tr>
        <w:tblPrEx>
          <w:tblInd w:w="30" w:type="dxa"/>
          <w:tblCellMar>
            <w:top w:w="15" w:type="dxa"/>
            <w:left w:w="15" w:type="dxa"/>
            <w:bottom w:w="15" w:type="dxa"/>
            <w:right w:w="15" w:type="dxa"/>
          </w:tblCellMar>
        </w:tblPrEx>
        <w:trPr>
          <w:trHeight w:val="330"/>
        </w:trPr>
        <w:tc>
          <w:tcPr>
            <w:tcW w:w="750"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楷体" w:eastAsia="楷体" w:hAnsi="楷体" w:cs="楷体"/>
                <w:kern w:val="0"/>
                <w:szCs w:val="24"/>
                <w:lang w:eastAsia="en-US"/>
              </w:rPr>
              <w:t>古都文化</w:t>
            </w:r>
          </w:p>
        </w:tc>
        <w:tc>
          <w:tcPr>
            <w:tcW w:w="670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楷体" w:eastAsia="楷体" w:hAnsi="楷体" w:cs="楷体"/>
                <w:kern w:val="0"/>
                <w:szCs w:val="24"/>
                <w:lang w:eastAsia="en-US"/>
              </w:rPr>
              <w:t>耳熟能详的世界文化遗产周口店北京猿人遗址、长城、京杭大运河、故宫、颐和园、天坛、明清皇家陵寝都是古都文化的杰出代表，恢弘壮丽的建城历史是古代建筑史的瑰宝，数不胜数的文物古迹更是留给后人的宝贵财富。</w:t>
            </w:r>
          </w:p>
        </w:tc>
      </w:tr>
      <w:tr>
        <w:tblPrEx>
          <w:tblInd w:w="30" w:type="dxa"/>
          <w:tblCellMar>
            <w:top w:w="15" w:type="dxa"/>
            <w:left w:w="15" w:type="dxa"/>
            <w:bottom w:w="15" w:type="dxa"/>
            <w:right w:w="15" w:type="dxa"/>
          </w:tblCellMar>
        </w:tblPrEx>
        <w:trPr>
          <w:trHeight w:val="330"/>
        </w:trPr>
        <w:tc>
          <w:tcPr>
            <w:tcW w:w="750"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after="0" w:line="360" w:lineRule="auto"/>
              <w:jc w:val="left"/>
              <w:rPr>
                <w:rFonts w:ascii="宋体" w:hAnsi="宋体" w:cs="宋体"/>
                <w:kern w:val="0"/>
                <w:szCs w:val="24"/>
                <w:lang w:eastAsia="en-US"/>
              </w:rPr>
            </w:pPr>
          </w:p>
        </w:tc>
        <w:tc>
          <w:tcPr>
            <w:tcW w:w="670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after="0" w:line="360" w:lineRule="auto"/>
              <w:jc w:val="left"/>
              <w:rPr>
                <w:rFonts w:ascii="宋体" w:hAnsi="宋体" w:cs="宋体"/>
                <w:kern w:val="0"/>
                <w:szCs w:val="24"/>
                <w:lang w:eastAsia="en-US"/>
              </w:rPr>
            </w:pPr>
          </w:p>
        </w:tc>
      </w:tr>
    </w:tbl>
    <w:p>
      <w:pPr>
        <w:sectPr w:rsidSect="00B5694A">
          <w:headerReference w:type="even" r:id="rId41"/>
          <w:headerReference w:type="default" r:id="rId42"/>
          <w:footerReference w:type="even" r:id="rId43"/>
          <w:footerReference w:type="default" r:id="rId44"/>
          <w:type w:val="nextPage"/>
          <w:pgSz w:w="11907" w:h="16839" w:code="9"/>
          <w:pgMar w:top="992" w:right="561" w:bottom="992" w:left="1899" w:header="992" w:footer="992" w:gutter="0"/>
          <w:pgNumType w:start="9"/>
          <w:cols w:space="425"/>
          <w:titlePg w:val="0"/>
          <w:docGrid w:type="lines" w:linePitch="312"/>
        </w:sectPr>
      </w:pPr>
    </w:p>
    <w:tbl>
      <w:tblPr>
        <w:tblStyle w:val="TableNormal"/>
        <w:tblInd w:w="30" w:type="dxa"/>
        <w:tblCellMar>
          <w:top w:w="15" w:type="dxa"/>
          <w:left w:w="15" w:type="dxa"/>
          <w:bottom w:w="15" w:type="dxa"/>
          <w:right w:w="15" w:type="dxa"/>
        </w:tblCellMar>
      </w:tblPr>
      <w:tblGrid>
        <w:gridCol w:w="367"/>
        <w:gridCol w:w="8287"/>
      </w:tblGrid>
      <w:tr>
        <w:tblPrEx>
          <w:tblInd w:w="30" w:type="dxa"/>
          <w:tblCellMar>
            <w:top w:w="15" w:type="dxa"/>
            <w:left w:w="15" w:type="dxa"/>
            <w:bottom w:w="15" w:type="dxa"/>
            <w:right w:w="15" w:type="dxa"/>
          </w:tblCellMar>
        </w:tblPrEx>
        <w:trPr>
          <w:trHeight w:val="330"/>
        </w:trPr>
        <w:tc>
          <w:tcPr>
            <w:tcW w:w="750"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before="0" w:line="360" w:lineRule="auto"/>
              <w:jc w:val="left"/>
              <w:rPr>
                <w:rFonts w:ascii="宋体" w:hAnsi="宋体" w:cs="宋体"/>
                <w:kern w:val="0"/>
                <w:szCs w:val="24"/>
                <w:lang w:eastAsia="en-US"/>
              </w:rPr>
            </w:pPr>
            <w:r>
              <w:rPr>
                <w:rFonts w:ascii="楷体" w:eastAsia="楷体" w:hAnsi="楷体" w:cs="楷体"/>
                <w:kern w:val="0"/>
                <w:szCs w:val="24"/>
                <w:lang w:eastAsia="en-US"/>
              </w:rPr>
              <w:t>红色文化</w:t>
            </w:r>
          </w:p>
        </w:tc>
        <w:tc>
          <w:tcPr>
            <w:tcW w:w="670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before="0" w:line="360" w:lineRule="auto"/>
              <w:jc w:val="left"/>
              <w:rPr>
                <w:rFonts w:ascii="宋体" w:hAnsi="宋体" w:cs="宋体"/>
                <w:kern w:val="0"/>
                <w:szCs w:val="24"/>
                <w:lang w:eastAsia="en-US"/>
              </w:rPr>
            </w:pPr>
            <w:r>
              <w:rPr>
                <w:rFonts w:ascii="楷体" w:eastAsia="楷体" w:hAnsi="楷体" w:cs="楷体"/>
                <w:kern w:val="0"/>
                <w:szCs w:val="24"/>
                <w:lang w:eastAsia="en-US"/>
              </w:rPr>
              <w:t>北大红楼是马克思主义在中国早期传播的主阵地，卢沟桥“七七事变”吹响全民族抗战的号角，香山“双清别墅”成为中国共产党“进京赶考”第一站，天安门城楼见证了新中国的诞生。</w:t>
            </w:r>
          </w:p>
        </w:tc>
      </w:tr>
      <w:tr>
        <w:tblPrEx>
          <w:tblInd w:w="30" w:type="dxa"/>
          <w:tblCellMar>
            <w:top w:w="15" w:type="dxa"/>
            <w:left w:w="15" w:type="dxa"/>
            <w:bottom w:w="15" w:type="dxa"/>
            <w:right w:w="15" w:type="dxa"/>
          </w:tblCellMar>
        </w:tblPrEx>
        <w:trPr>
          <w:trHeight w:val="330"/>
        </w:trPr>
        <w:tc>
          <w:tcPr>
            <w:tcW w:w="750"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楷体" w:eastAsia="楷体" w:hAnsi="楷体" w:cs="楷体"/>
                <w:kern w:val="0"/>
                <w:szCs w:val="24"/>
                <w:lang w:eastAsia="en-US"/>
              </w:rPr>
              <w:t>京味文化</w:t>
            </w:r>
          </w:p>
        </w:tc>
        <w:tc>
          <w:tcPr>
            <w:tcW w:w="670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楷体" w:eastAsia="楷体" w:hAnsi="楷体" w:cs="楷体"/>
                <w:kern w:val="0"/>
                <w:szCs w:val="24"/>
                <w:lang w:eastAsia="en-US"/>
              </w:rPr>
              <w:t>庄重壮美的皇家文化、京腔京韵的胡同文化、令人景仰的名人故居、京味浓厚的饮食文化、注重信誉的商业文化……北京城里的胡同，每一条都能讲出一段故事，一段历史。</w:t>
            </w:r>
          </w:p>
        </w:tc>
      </w:tr>
      <w:tr>
        <w:tblPrEx>
          <w:tblInd w:w="30" w:type="dxa"/>
          <w:tblCellMar>
            <w:top w:w="15" w:type="dxa"/>
            <w:left w:w="15" w:type="dxa"/>
            <w:bottom w:w="15" w:type="dxa"/>
            <w:right w:w="15" w:type="dxa"/>
          </w:tblCellMar>
        </w:tblPrEx>
        <w:trPr>
          <w:trHeight w:val="330"/>
        </w:trPr>
        <w:tc>
          <w:tcPr>
            <w:tcW w:w="750"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楷体" w:eastAsia="楷体" w:hAnsi="楷体" w:cs="楷体"/>
                <w:kern w:val="0"/>
                <w:szCs w:val="24"/>
                <w:lang w:eastAsia="en-US"/>
              </w:rPr>
              <w:t>创新文化</w:t>
            </w:r>
          </w:p>
        </w:tc>
        <w:tc>
          <w:tcPr>
            <w:tcW w:w="670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楷体" w:eastAsia="楷体" w:hAnsi="楷体" w:cs="楷体"/>
                <w:kern w:val="0"/>
                <w:szCs w:val="24"/>
                <w:lang w:eastAsia="en-US"/>
              </w:rPr>
              <w:t>故宫的文创产品美轮美奂；一些废旧仓库、厂房变身文创园区；798艺术区有出名的火车头广场；繁华的国贸有个最时尚的文化产业园区郎园；太阳宫有批发市场改造的觽堂文化艺术园……</w:t>
            </w:r>
          </w:p>
        </w:tc>
      </w:tr>
    </w:tbl>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北京市将以“古都文化、红色文化、京味文化和创新文化”基本格局，推动繁荣兴盛首都文化建设。</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运用《哲学与文化》知识，就北京市如何推动“四个文化”建设，任选其一，谈谈你的建议。</w:t>
      </w:r>
      <w:r>
        <w:rPr>
          <w:rFonts w:ascii="宋体" w:hAnsi="宋体" w:cs="宋体"/>
          <w:kern w:val="0"/>
          <w:szCs w:val="24"/>
          <w:lang w:eastAsia="en-US"/>
        </w:rPr>
        <w:cr/>
      </w:r>
      <w:r>
        <w:rPr>
          <w:rFonts w:ascii="宋体" w:hAnsi="宋体" w:cs="宋体"/>
          <w:kern w:val="0"/>
          <w:szCs w:val="24"/>
          <w:lang w:eastAsia="en-US"/>
        </w:rPr>
        <w:t>（要求：从古都文化、红色文化、京味文化、创新文化中任选其一，观点正确，条理清晰。）</w:t>
      </w:r>
      <w:r>
        <w:rPr>
          <w:rFonts w:ascii="宋体" w:hAnsi="宋体" w:cs="宋体"/>
          <w:kern w:val="0"/>
          <w:szCs w:val="24"/>
          <w:lang w:eastAsia="en-US"/>
        </w:rPr>
        <w:cr/>
      </w:r>
    </w:p>
    <w:p w:rsidR="00A77B3E">
      <w:pPr>
        <w:widowControl/>
        <w:spacing w:line="360" w:lineRule="auto"/>
        <w:ind w:firstLine="420"/>
        <w:jc w:val="left"/>
        <w:rPr>
          <w:rFonts w:ascii="宋体" w:hAnsi="宋体" w:cs="宋体"/>
          <w:kern w:val="0"/>
          <w:szCs w:val="24"/>
          <w:lang w:eastAsia="en-US"/>
        </w:rPr>
      </w:pPr>
      <w:r>
        <w:rPr>
          <w:rFonts w:ascii="宋体" w:hAnsi="宋体" w:cs="宋体"/>
          <w:vanish w:val="0"/>
          <w:kern w:val="0"/>
          <w:szCs w:val="24"/>
          <w:lang w:eastAsia="en-US"/>
        </w:rPr>
        <w:t>20.</w:t>
      </w:r>
      <w:r>
        <w:rPr>
          <w:rFonts w:ascii="楷体" w:eastAsia="楷体" w:hAnsi="楷体" w:cs="楷体"/>
          <w:kern w:val="0"/>
          <w:szCs w:val="24"/>
          <w:lang w:eastAsia="en-US"/>
        </w:rPr>
        <w:t>(</w:t>
      </w:r>
      <w:r>
        <w:rPr>
          <w:rFonts w:ascii="楷体" w:eastAsia="楷体" w:hAnsi="楷体" w:cs="楷体"/>
          <w:kern w:val="0"/>
          <w:szCs w:val="24"/>
          <w:lang w:eastAsia="en-US"/>
        </w:rPr>
        <w:t>案情回顾</w:t>
      </w:r>
      <w:r>
        <w:rPr>
          <w:rFonts w:ascii="楷体" w:eastAsia="楷体" w:hAnsi="楷体" w:cs="楷体"/>
          <w:kern w:val="0"/>
          <w:szCs w:val="24"/>
          <w:lang w:eastAsia="en-US"/>
        </w:rPr>
        <w:t>)</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徐女士与胡女士系邻居。据徐女士反映，胡女士长期、高频率、大音量使用钢琴练习演奏，还伴有通过网络平台开展直播钢琴课程、在自媒体平台上传钢琴演奏视频进行展示宣传等行为，而其弹奏钢琴的房间与徐女士家两间卧室仅一墙之隔。</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徐女士自怀孕4周起便深受噪声影响，为此，徐女士及家人多次登门与胡女士协商，希望对方能降低琴声避免对其造成影响，但均未协商一致。其后，由于徐女士产子后其与新生儿更加迫切需要一个安静的休息环境，遂向法院申请诉前禁止令。</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法院经调查了解钢琴位置、是否采取隔音减音措施、弹奏时产生的音量等情况后认为，胡女士在与徐女士共用墙壁空间弹奏钢琴足以达到干扰徐女士正常生活、休息的程度，故向胡女士签发民事裁定书及禁止令，责令其自裁定生效之日起三十日内停止在与徐女士共用墙壁空间内弹奏钢琴。胡女士收到裁定书后，将钢琴挪移到其他与邻居墙壁不相邻的房屋空间，并申请解除禁止令。随后，法院核实现场环境，并确认未继续发生噪声侵扰行为后，出具了解除禁止令的裁定。</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结合案例，运用《法律与生活》的知识，谈谈噪声污染诉前禁止令的意义。</w:t>
      </w:r>
      <w:r>
        <w:rPr>
          <w:rFonts w:ascii="宋体" w:hAnsi="宋体" w:cs="宋体"/>
          <w:kern w:val="0"/>
          <w:szCs w:val="24"/>
          <w:lang w:eastAsia="en-US"/>
        </w:rPr>
        <w:cr/>
      </w:r>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https://d.book118.com/338117054033006043</w:t>
        </w:r>
      </w:hyperlink>
    </w:p>
    <w:p w:rsidR="00A77B3E">
      <w:pPr>
        <w:widowControl/>
        <w:spacing w:line="360" w:lineRule="auto"/>
        <w:jc w:val="left"/>
        <w:rPr>
          <w:rFonts w:ascii="宋体" w:hAnsi="宋体" w:cs="宋体"/>
          <w:kern w:val="0"/>
          <w:szCs w:val="24"/>
          <w:lang w:eastAsia="en-US"/>
        </w:rPr>
      </w:pPr>
    </w:p>
    <w:sectPr w:rsidSect="00B5694A">
      <w:headerReference w:type="even" r:id="rId46"/>
      <w:headerReference w:type="default" r:id="rId47"/>
      <w:footerReference w:type="even" r:id="rId48"/>
      <w:footerReference w:type="default" r:id="rId49"/>
      <w:type w:val="nextPage"/>
      <w:pgSz w:w="11907" w:h="16839" w:code="9"/>
      <w:pgMar w:top="992" w:right="561" w:bottom="992" w:left="1899" w:header="992"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22</w:instrText>
    </w:r>
    <w:r w:rsidR="0049652B">
      <w:rPr>
        <w:noProof/>
      </w:rPr>
      <w:fldChar w:fldCharType="end"/>
    </w:r>
    <w:r w:rsidR="004A2CE9">
      <w:instrText xml:space="preserve"> </w:instrText>
    </w:r>
    <w:r w:rsidR="00B04A98">
      <w:fldChar w:fldCharType="separate"/>
    </w:r>
    <w:r w:rsidR="004A2CE9">
      <w:t>22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23</w:instrText>
    </w:r>
    <w:r w:rsidR="00D01D8B">
      <w:rPr>
        <w:noProof/>
      </w:rPr>
      <w:fldChar w:fldCharType="end"/>
    </w:r>
    <w:r w:rsidR="004A2CE9">
      <w:instrText xml:space="preserve"> </w:instrText>
    </w:r>
    <w:r w:rsidR="00B04A98">
      <w:fldChar w:fldCharType="separate"/>
    </w:r>
    <w:r w:rsidR="004A2CE9">
      <w:rPr>
        <w:rFonts w:hint="eastAsia"/>
      </w:rPr>
      <w:t>23</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23</w:instrText>
    </w:r>
    <w:r w:rsidR="0049652B">
      <w:rPr>
        <w:noProof/>
      </w:rPr>
      <w:fldChar w:fldCharType="end"/>
    </w:r>
    <w:r w:rsidR="004A2CE9">
      <w:instrText xml:space="preserve"> </w:instrText>
    </w:r>
    <w:r w:rsidR="00B04A98">
      <w:fldChar w:fldCharType="separate"/>
    </w:r>
    <w:r w:rsidR="004A2CE9">
      <w:t>23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23</w:instrText>
    </w:r>
    <w:r w:rsidR="00D01D8B">
      <w:rPr>
        <w:noProof/>
      </w:rPr>
      <w:fldChar w:fldCharType="end"/>
    </w:r>
    <w:r w:rsidR="004A2CE9">
      <w:instrText xml:space="preserve"> </w:instrText>
    </w:r>
    <w:r w:rsidR="00B04A98">
      <w:fldChar w:fldCharType="separate"/>
    </w:r>
    <w:r w:rsidR="004A2CE9">
      <w:rPr>
        <w:rFonts w:hint="eastAsia"/>
      </w:rPr>
      <w:t>23</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22</w:instrText>
    </w:r>
    <w:r w:rsidR="0049652B">
      <w:rPr>
        <w:noProof/>
      </w:rPr>
      <w:fldChar w:fldCharType="end"/>
    </w:r>
    <w:r w:rsidR="004A2CE9">
      <w:instrText xml:space="preserve"> </w:instrText>
    </w:r>
    <w:r w:rsidR="00B04A98">
      <w:fldChar w:fldCharType="separate"/>
    </w:r>
    <w:r w:rsidR="004A2CE9">
      <w:t>22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23</w:instrText>
    </w:r>
    <w:r w:rsidR="00D01D8B">
      <w:rPr>
        <w:noProof/>
      </w:rPr>
      <w:fldChar w:fldCharType="end"/>
    </w:r>
    <w:r w:rsidR="004A2CE9">
      <w:instrText xml:space="preserve"> </w:instrText>
    </w:r>
    <w:r w:rsidR="00B04A98">
      <w:fldChar w:fldCharType="separate"/>
    </w:r>
    <w:r w:rsidR="004A2CE9">
      <w:rPr>
        <w:rFonts w:hint="eastAsia"/>
      </w:rPr>
      <w:t>23</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23</w:instrText>
    </w:r>
    <w:r w:rsidR="0049652B">
      <w:rPr>
        <w:noProof/>
      </w:rPr>
      <w:fldChar w:fldCharType="end"/>
    </w:r>
    <w:r w:rsidR="004A2CE9">
      <w:instrText xml:space="preserve"> </w:instrText>
    </w:r>
    <w:r w:rsidR="00B04A98">
      <w:fldChar w:fldCharType="separate"/>
    </w:r>
    <w:r w:rsidR="004A2CE9">
      <w:t>23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23</w:instrText>
    </w:r>
    <w:r w:rsidR="00D01D8B">
      <w:rPr>
        <w:noProof/>
      </w:rPr>
      <w:fldChar w:fldCharType="end"/>
    </w:r>
    <w:r w:rsidR="004A2CE9">
      <w:instrText xml:space="preserve"> </w:instrText>
    </w:r>
    <w:r w:rsidR="00B04A98">
      <w:fldChar w:fldCharType="separate"/>
    </w:r>
    <w:r w:rsidR="004A2CE9">
      <w:rPr>
        <w:rFonts w:hint="eastAsia"/>
      </w:rPr>
      <w:t>23</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23</w:instrText>
    </w:r>
    <w:r w:rsidR="0049652B">
      <w:rPr>
        <w:noProof/>
      </w:rPr>
      <w:fldChar w:fldCharType="end"/>
    </w:r>
    <w:r w:rsidR="004A2CE9">
      <w:instrText xml:space="preserve"> </w:instrText>
    </w:r>
    <w:r w:rsidR="00B04A98">
      <w:fldChar w:fldCharType="separate"/>
    </w:r>
    <w:r w:rsidR="004A2CE9">
      <w:t>23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23</w:instrText>
    </w:r>
    <w:r w:rsidR="00D01D8B">
      <w:rPr>
        <w:noProof/>
      </w:rPr>
      <w:fldChar w:fldCharType="end"/>
    </w:r>
    <w:r w:rsidR="004A2CE9">
      <w:instrText xml:space="preserve"> </w:instrText>
    </w:r>
    <w:r w:rsidR="00B04A98">
      <w:fldChar w:fldCharType="separate"/>
    </w:r>
    <w:r w:rsidR="004A2CE9">
      <w:rPr>
        <w:rFonts w:hint="eastAsia"/>
      </w:rPr>
      <w:t>23</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23</w:instrText>
    </w:r>
    <w:r w:rsidR="0049652B">
      <w:rPr>
        <w:noProof/>
      </w:rPr>
      <w:fldChar w:fldCharType="end"/>
    </w:r>
    <w:r w:rsidR="004A2CE9">
      <w:instrText xml:space="preserve"> </w:instrText>
    </w:r>
    <w:r w:rsidR="00B04A98">
      <w:fldChar w:fldCharType="separate"/>
    </w:r>
    <w:r w:rsidR="004A2CE9">
      <w:t>23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23</w:instrText>
    </w:r>
    <w:r w:rsidR="00D01D8B">
      <w:rPr>
        <w:noProof/>
      </w:rPr>
      <w:fldChar w:fldCharType="end"/>
    </w:r>
    <w:r w:rsidR="004A2CE9">
      <w:instrText xml:space="preserve"> </w:instrText>
    </w:r>
    <w:r w:rsidR="00B04A98">
      <w:fldChar w:fldCharType="separate"/>
    </w:r>
    <w:r w:rsidR="004A2CE9">
      <w:rPr>
        <w:rFonts w:hint="eastAsia"/>
      </w:rPr>
      <w:t>23</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22</w:instrText>
    </w:r>
    <w:r w:rsidR="0049652B">
      <w:rPr>
        <w:noProof/>
      </w:rPr>
      <w:fldChar w:fldCharType="end"/>
    </w:r>
    <w:r w:rsidR="004A2CE9">
      <w:instrText xml:space="preserve"> </w:instrText>
    </w:r>
    <w:r w:rsidR="00B04A98">
      <w:fldChar w:fldCharType="separate"/>
    </w:r>
    <w:r w:rsidR="004A2CE9">
      <w:t>22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23</w:instrText>
    </w:r>
    <w:r w:rsidR="00D01D8B">
      <w:rPr>
        <w:noProof/>
      </w:rPr>
      <w:fldChar w:fldCharType="end"/>
    </w:r>
    <w:r w:rsidR="004A2CE9">
      <w:instrText xml:space="preserve"> </w:instrText>
    </w:r>
    <w:r w:rsidR="00B04A98">
      <w:fldChar w:fldCharType="separate"/>
    </w:r>
    <w:r w:rsidR="004A2CE9">
      <w:rPr>
        <w:rFonts w:hint="eastAsia"/>
      </w:rPr>
      <w:t>23</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7" style="width:27.65pt;height:67.5pt;margin-top:1.55pt;margin-left:511.3pt;position:absolute;z-index:25167769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10</w:instrText>
    </w:r>
    <w:r w:rsidR="0049652B">
      <w:rPr>
        <w:noProof/>
      </w:rPr>
      <w:fldChar w:fldCharType="end"/>
    </w:r>
    <w:r w:rsidR="004A2CE9">
      <w:instrText xml:space="preserve"> </w:instrText>
    </w:r>
    <w:r w:rsidR="00B04A98">
      <w:fldChar w:fldCharType="separate"/>
    </w:r>
    <w:r w:rsidR="004A2CE9">
      <w:t>10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8" style="width:28pt;height:67.5pt;margin-top:-5.65pt;margin-left:-70pt;position:absolute;z-index:25167667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11</w:instrText>
    </w:r>
    <w:r w:rsidR="0049652B">
      <w:rPr>
        <w:noProof/>
      </w:rPr>
      <w:fldChar w:fldCharType="end"/>
    </w:r>
    <w:r w:rsidR="004A2CE9">
      <w:instrText xml:space="preserve"> </w:instrText>
    </w:r>
    <w:r w:rsidR="00B04A98">
      <w:fldChar w:fldCharType="separate"/>
    </w:r>
    <w:r w:rsidR="004A2CE9">
      <w:t>11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8" w:name="装订线2_7"/>
                <w:r>
                  <w:t>学校:___________姓名：___________班级：___________考号：___________</w:t>
                </w:r>
                <w:bookmarkEnd w:id="8"/>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9" style="width:28.2pt;height:67.5pt;margin-top:-50pt;margin-left:511.3pt;position:absolute;z-index:251739136" fillcolor="gray">
          <o:lock v:ext="edit" aspectratio="t"/>
        </v:rect>
      </w:pict>
    </w:r>
    <w:r>
      <w:rPr>
        <w:noProof/>
      </w:rPr>
      <w:pict>
        <v:shapetype id="_x0000_t202" coordsize="21600,21600" o:spt="202" path="m,l,21600r21600,l21600,xe">
          <v:stroke joinstyle="miter"/>
          <v:path gradientshapeok="t" o:connecttype="rect"/>
        </v:shapetype>
        <v:shape id="_x0000_s2140" type="#_x0000_t202" style="width:28.05pt;height:841.9pt;margin-top:-49.25pt;margin-left:483.75pt;position:absolute;v-text-anchor:middle;z-index:2517381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1" type="#_x0000_t202" style="width:28pt;height:841.9pt;margin-top:-50pt;margin-left:511.5pt;position:absolute;v-text-anchor:middle;z-index:25173708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42" type="#_x0000_t202" style="width:28.05pt;height:841.9pt;margin-top:-49.05pt;margin-left:538.95pt;position:absolute;v-text-anchor:middle;z-index:25173606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3" style="width:28pt;height:67.5pt;margin-top:-53.95pt;margin-left:-70pt;position:absolute;z-index:251735040" fillcolor="gray"/>
      </w:pict>
    </w:r>
    <w:r>
      <w:rPr>
        <w:noProof/>
      </w:rPr>
      <w:pict>
        <v:shapetype id="_x0000_t202" coordsize="21600,21600" o:spt="202" path="m,l,21600r21600,l21600,xe">
          <v:stroke joinstyle="miter"/>
          <v:path gradientshapeok="t" o:connecttype="rect"/>
        </v:shapetype>
        <v:shape id="_x0000_s2144" type="#_x0000_t202" style="width:28.05pt;height:841.9pt;margin-top:-48.95pt;margin-left:-42pt;position:absolute;z-index:2517340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5" type="#_x0000_t202" style="width:28.3pt;height:841.9pt;margin-top:-47.95pt;margin-left:-70pt;position:absolute;v-text-anchor:middle;z-index:251732992" fillcolor="#d8d8d8">
          <v:textbox style="layout-flow:vertical;mso-layout-flow-alt:bottom-to-top">
            <w:txbxContent>
              <w:p w:rsidR="00C61CDD" w:rsidP="00C61CDD">
                <w:pPr>
                  <w:jc w:val="center"/>
                </w:pPr>
                <w:bookmarkStart w:id="9" w:name="装订线2_8"/>
                <w:r>
                  <w:t>学校:___________姓名：___________班级：___________考号：___________</w:t>
                </w:r>
                <w:bookmarkEnd w:id="9"/>
              </w:p>
            </w:txbxContent>
          </v:textbox>
        </v:shape>
      </w:pict>
    </w:r>
    <w:r>
      <w:rPr>
        <w:noProof/>
      </w:rPr>
      <w:pict>
        <v:shape id="_x0000_s2146" type="#_x0000_t202" style="width:28.05pt;height:841.9pt;margin-top:-48.85pt;margin-left:-97.1pt;position:absolute;v-text-anchor:middle;z-index:25173196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2.png"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header" Target="header10.xml" /><Relationship Id="rId26" Type="http://schemas.openxmlformats.org/officeDocument/2006/relationships/footer" Target="footer9.xml" /><Relationship Id="rId27" Type="http://schemas.openxmlformats.org/officeDocument/2006/relationships/footer" Target="footer10.xml" /><Relationship Id="rId28" Type="http://schemas.openxmlformats.org/officeDocument/2006/relationships/header" Target="head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footer" Target="footer12.xml" /><Relationship Id="rId32" Type="http://schemas.openxmlformats.org/officeDocument/2006/relationships/header" Target="header13.xml" /><Relationship Id="rId33" Type="http://schemas.openxmlformats.org/officeDocument/2006/relationships/header" Target="header14.xml" /><Relationship Id="rId34" Type="http://schemas.openxmlformats.org/officeDocument/2006/relationships/footer" Target="footer13.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header" Target="header16.xml" /><Relationship Id="rId38" Type="http://schemas.openxmlformats.org/officeDocument/2006/relationships/footer" Target="footer15.xml" /><Relationship Id="rId39" Type="http://schemas.openxmlformats.org/officeDocument/2006/relationships/footer" Target="footer16.xml" /><Relationship Id="rId4" Type="http://schemas.openxmlformats.org/officeDocument/2006/relationships/customXml" Target="../customXml/item1.xml" /><Relationship Id="rId40" Type="http://schemas.openxmlformats.org/officeDocument/2006/relationships/image" Target="media/image4.png" /><Relationship Id="rId41" Type="http://schemas.openxmlformats.org/officeDocument/2006/relationships/header" Target="header17.xml" /><Relationship Id="rId42" Type="http://schemas.openxmlformats.org/officeDocument/2006/relationships/header" Target="header18.xml" /><Relationship Id="rId43" Type="http://schemas.openxmlformats.org/officeDocument/2006/relationships/footer" Target="footer17.xml" /><Relationship Id="rId44" Type="http://schemas.openxmlformats.org/officeDocument/2006/relationships/footer" Target="footer18.xml" /><Relationship Id="rId45" Type="http://schemas.openxmlformats.org/officeDocument/2006/relationships/hyperlink" Target="https://d.book118.com/338117054033006043" TargetMode="External"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header" Target="header1.xml"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15</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