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转基因抗虫树木新品种行业企业战略发展规划及建议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3" w:history="1">
        <w:r>
          <w:rPr>
            <w:rFonts w:ascii="仿宋" w:eastAsia="仿宋" w:hAnsi="仿宋" w:cs="仿宋" w:hint="eastAsia"/>
            <w:lang w:eastAsia="zh-CN"/>
          </w:rPr>
          <w:t>一、风险应对评估</w:t>
        </w:r>
        <w:r>
          <w:tab/>
        </w:r>
        <w:r>
          <w:fldChar w:fldCharType="begin"/>
        </w:r>
        <w:r>
          <w:instrText xml:space="preserve"> PAGEREF _Toc25553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_Toc5536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_Toc3977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_Toc25442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7" w:history="1">
        <w:r>
          <w:rPr>
            <w:rFonts w:ascii="仿宋" w:eastAsia="仿宋" w:hAnsi="仿宋" w:cs="仿宋" w:hint="eastAsia"/>
            <w:lang w:eastAsia="zh-CN"/>
          </w:rPr>
          <w:t>三、转基因抗虫树木新品种项目质量管理方案</w:t>
        </w:r>
        <w:r>
          <w:tab/>
        </w:r>
        <w:r>
          <w:fldChar w:fldCharType="begin"/>
        </w:r>
        <w:r>
          <w:instrText xml:space="preserve"> PAGEREF _Toc15297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3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5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_Toc7405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四、运营管理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5" w:history="1">
        <w:r>
          <w:rPr>
            <w:rFonts w:ascii="仿宋" w:eastAsia="仿宋" w:hAnsi="仿宋" w:cs="仿宋" w:hint="eastAsia"/>
            <w:lang w:eastAsia="zh-CN"/>
          </w:rPr>
          <w:t>五、转基因抗虫树木新品种项目建设内容</w:t>
        </w:r>
        <w:r>
          <w:tab/>
        </w:r>
        <w:r>
          <w:fldChar w:fldCharType="begin"/>
        </w:r>
        <w:r>
          <w:instrText xml:space="preserve"> PAGEREF _Toc25105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2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_Toc10382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7" w:history="1">
        <w:r>
          <w:rPr>
            <w:rFonts w:ascii="仿宋" w:eastAsia="仿宋" w:hAnsi="仿宋" w:cs="仿宋" w:hint="eastAsia"/>
            <w:lang w:eastAsia="zh-CN"/>
          </w:rPr>
          <w:t>(一)、转基因抗虫树木新品种项目工程设计总体要求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九、公司基本情况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十、转基因抗虫树木新品种项目财务管理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十一、产品及建设方案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_Toc21295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2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_Toc28912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_Toc32412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十三、项目验收与总结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1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十四、节能方案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(一)、转基因抗虫树木新品种项目节能概述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(三)、转基因抗虫树木新品种项目节能措施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0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_Toc22420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十五、原辅材料供应及成品管理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(一)、转基因抗虫树木新品种项目建设期原辅材料供应情况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(二)、转基因抗虫树木新品种项目运营期原辅材料供应及质量管理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十九、转基因抗虫树木新品种项目节能分析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6" w:history="1">
        <w:r>
          <w:rPr>
            <w:rFonts w:ascii="仿宋" w:eastAsia="仿宋" w:hAnsi="仿宋" w:cs="仿宋" w:hint="eastAsia"/>
            <w:lang w:eastAsia="zh-CN"/>
          </w:rPr>
          <w:t>(二)、转基因抗虫树木新品种项目预期节能综合评价</w:t>
        </w:r>
        <w:r>
          <w:tab/>
        </w:r>
        <w:r>
          <w:fldChar w:fldCharType="begin"/>
        </w:r>
        <w:r>
          <w:instrText xml:space="preserve"> PAGEREF _Toc9036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(三)、转基因抗虫树木新品种项目节能设计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二十、转基因抗虫树木新品种行业高质量发展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9" w:history="1">
        <w:r>
          <w:rPr>
            <w:rFonts w:ascii="仿宋" w:eastAsia="仿宋" w:hAnsi="仿宋" w:cs="仿宋" w:hint="eastAsia"/>
            <w:lang w:eastAsia="zh-CN"/>
          </w:rPr>
          <w:t>二十一、产业协同与集群发展</w:t>
        </w:r>
        <w:r>
          <w:tab/>
        </w:r>
        <w:r>
          <w:fldChar w:fldCharType="begin"/>
        </w:r>
        <w:r>
          <w:instrText xml:space="preserve"> PAGEREF _Toc6869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二十二渠道管理概述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53"/>
      <w:r>
        <w:rPr>
          <w:rFonts w:ascii="仿宋" w:eastAsia="仿宋" w:hAnsi="仿宋" w:cs="仿宋" w:hint="eastAsia"/>
          <w:sz w:val="28"/>
          <w:lang w:eastAsia="zh-CN"/>
        </w:rPr>
        <w:t>一、风险应对评估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36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转基因抗虫树木新品种项目实施过程中，政策因素可能对转基因抗虫树木新品种项目产生一定的影响。为了应对潜在的政策风险，我们将密切关注国家和地方相关政策的变化。与相关政府部门建立良好的沟通渠道，及时获取政策信息，确保转基因抗虫树木新品种项目能够顺利推进。同时，制定灵活的应对方案，以适应政策环境的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01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社会风险主要包括社会舆论、公共关系等方面的风险。我们将建立健全的社会风险监测机制，定期评估社会反馈和舆情动态。通过积极参与社会责任活动，维护公司良好形象，减轻社会风险的影响。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https://d.book118.com/338117130014006043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转基因抗虫树木新品种行业企业战略发展规划及建议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转基因抗虫树木新品种行业企业战略发展规划及建议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转基因抗虫树木新品种行业企业战略发展规划及建议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转基因抗虫树木新品种行业企业战略发展规划及建议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转基因抗虫树木新品种行业企业战略发展规划及建议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FE4A98"/>
    <w:rsid w:val="4593521B"/>
    <w:rsid w:val="6EFE4A9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117130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2024-03-06T09:17:00Z</dcterms:created>
  <dcterms:modified xsi:type="dcterms:W3CDTF">2024-03-06T09:17:59Z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0D80562A0B3D4847B2EA15FE30EAB3A1_11</vt:lpwstr>
  </property>
  <property fmtid="{D5CDD505-2E9C-101B-9397-08002B2CF9AE}" pid="3" name="KSOProductBuildVer">
    <vt:lpwstr>2052-12.1.0.16399</vt:lpwstr>
  </property>
</Properties>
</file>