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6DE5AA51"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1EC3D033"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4F0672FC"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4575FED8" w14:textId="77777777">
                          <w:pPr>
                            <w:pStyle w:val="NoSpacing"/>
                            <w:jc w:val="right"/>
                            <w:rPr>
                              <w:color w:val="595959" w:themeColor="text1" w:themeTint="A6"/>
                              <w:sz w:val="32"/>
                              <w:szCs w:val="32"/>
                            </w:rPr>
                          </w:pPr>
                          <w:sdt>
                            <w:sdtPr>
                              <w:rPr>
                                <w:color w:val="595959" w:themeColor="text1" w:themeTint="A6"/>
                                <w:sz w:val="32"/>
                                <w:szCs w:val="32"/>
                              </w:rPr>
                              <w:alias w:val="摘要"/>
                              <w:id w:val="69772784"/>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964548064"/>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59764911"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29DE016C"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41442064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43CDB453"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59170839"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63A3486C"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A1E4FA6"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7E242CF"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E29DF2F"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3763DBB3"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CF042C3"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83DF96B"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C96821E"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350AA9AB"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51BC6D5"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45A7BEAF"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F4B093A"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CADE51E"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63B6AB9"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079DEE0"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E67FC89"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64FE05A"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415E823C"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61B711B6"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472F4BC2"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133702563"/>
        <w:docPartObj>
          <w:docPartGallery w:val="Table of Contents"/>
          <w:docPartUnique/>
        </w:docPartObj>
      </w:sdtPr>
      <w:sdtEndPr>
        <w:rPr>
          <w:b/>
          <w:bCs/>
        </w:rPr>
      </w:sdtEndPr>
      <w:sdtContent>
        <w:p w:rsidR="00483551" w:rsidRPr="00913CD1" w:rsidP="00457322" w14:paraId="7C7A26BE"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752D3BFC"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63632137"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6CFE1FC2"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C153B14"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58853CC"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A037161"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51217FE3"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D3405A7"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1FC99782"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3C626C7"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33CA5DE3"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75808CC7"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5FA59ACA"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6F3011D2"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22288859"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080376E8"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07F55B15"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6AB3DBF7"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110A7A6F"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5A07B6C9"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74FC1B47"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138269614"/>
        <w:docPartObj>
          <w:docPartGallery w:val="Table of Contents"/>
          <w:docPartUnique/>
        </w:docPartObj>
      </w:sdtPr>
      <w:sdtEndPr>
        <w:rPr>
          <w:b/>
          <w:bCs/>
        </w:rPr>
      </w:sdtEndPr>
      <w:sdtContent>
        <w:p w:rsidR="00483551" w:rsidRPr="00913CD1" w:rsidP="00457322" w14:paraId="06AF5FF8"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1101533C"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7AE2E9BA"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6E2D88F7"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63EC6A6F"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7FBC0427"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6AF85895"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546B3541"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FE6D276"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4524B629"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2C6D0CB3"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6E8D05A4"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331E63E2"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2FEA9FF5"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57073F16"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C0C1AF7"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077345C2"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6C47D6A6"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1B02A0D5"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4EE0CF0A"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21738D4C"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69006E34"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565315269"/>
        <w:docPartObj>
          <w:docPartGallery w:val="Table of Contents"/>
          <w:docPartUnique/>
        </w:docPartObj>
      </w:sdtPr>
      <w:sdtEndPr>
        <w:rPr>
          <w:b/>
          <w:bCs/>
        </w:rPr>
      </w:sdtEndPr>
      <w:sdtContent>
        <w:p w:rsidR="00483551" w:rsidRPr="00913CD1" w:rsidP="00457322" w14:paraId="5090B9AD"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5B2FF431"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59B7ED8A"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0020BD00"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02FF51C4"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17F0787D"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7F4B22AB"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007E012F"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7D00181A"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7A987D9"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DCD4C27"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17EF301D"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4E158800"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2B0F3C12"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028050BD"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0FA6201B"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732A5D30"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3B45DFD1"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02A825A1"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DE4294" w14:paraId="07B836A8" w14:textId="42F5CCED">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水溶性肥料项目可行性分析报告编制的主要目的和意义在于为项目的投资决策提供科学、系统的参考依据。通过深入的市场调研、技术评估、经济分析和社会评价，可行性分析报告能够帮助决策者清晰地了解项目的潜在收益、风险和不确定性，从而做出明智的投资决策。具体来说，其意义体现在以下几个方面：</w:t>
      </w:r>
      <w:r>
        <w:rPr>
          <w:rFonts w:ascii="仿宋" w:eastAsia="仿宋" w:hAnsi="仿宋"/>
          <w:sz w:val="28"/>
        </w:rPr>
        <w:br/>
        <w:t xml:space="preserve">    1.</w:t>
      </w:r>
      <w:r>
        <w:rPr>
          <w:rFonts w:ascii="仿宋" w:eastAsia="仿宋" w:hAnsi="仿宋"/>
          <w:sz w:val="28"/>
        </w:rPr>
        <w:t>市场洞察：通过对目标市场供需状况、价格走势、竞争态势的深入分析，为项目产品的市场定位和营销策略提供指导。</w:t>
      </w:r>
      <w:r>
        <w:rPr>
          <w:rFonts w:ascii="仿宋" w:eastAsia="仿宋" w:hAnsi="仿宋"/>
          <w:sz w:val="28"/>
        </w:rPr>
        <w:br/>
        <w:t xml:space="preserve">    2.</w:t>
      </w:r>
      <w:r>
        <w:rPr>
          <w:rFonts w:ascii="仿宋" w:eastAsia="仿宋" w:hAnsi="仿宋"/>
          <w:sz w:val="28"/>
        </w:rPr>
        <w:t>技术评估：对项目所采用的技术进行评估，确保其先进性、适用性和可靠性，为项目的技术路线和设备选型提供依据。</w:t>
      </w:r>
      <w:r>
        <w:rPr>
          <w:rFonts w:ascii="仿宋" w:eastAsia="仿宋" w:hAnsi="仿宋"/>
          <w:sz w:val="28"/>
        </w:rPr>
        <w:br/>
        <w:t xml:space="preserve">    3.</w:t>
      </w:r>
      <w:r>
        <w:rPr>
          <w:rFonts w:ascii="仿宋" w:eastAsia="仿宋" w:hAnsi="仿宋"/>
          <w:sz w:val="28"/>
        </w:rPr>
        <w:t>经济分析：通过对项目成本、收益、投资回报率等经济指标的测算，评估项目的经济可行性和财务可持续性。</w:t>
      </w:r>
      <w:r>
        <w:rPr>
          <w:rFonts w:ascii="仿宋" w:eastAsia="仿宋" w:hAnsi="仿宋"/>
          <w:sz w:val="28"/>
        </w:rPr>
        <w:br/>
        <w:t xml:space="preserve">    4.</w:t>
      </w:r>
      <w:r>
        <w:rPr>
          <w:rFonts w:ascii="仿宋" w:eastAsia="仿宋" w:hAnsi="仿宋"/>
          <w:sz w:val="28"/>
        </w:rPr>
        <w:t>风险评估：识别并评估项目可能面临的各种风险，如市场风险、技术风险、财务风险等，并提出相应的风险应对策略。</w:t>
      </w:r>
      <w:r>
        <w:rPr>
          <w:rFonts w:ascii="仿宋" w:eastAsia="仿宋" w:hAnsi="仿宋"/>
          <w:sz w:val="28"/>
        </w:rPr>
        <w:br/>
        <w:t xml:space="preserve">    5.</w:t>
      </w:r>
      <w:r>
        <w:rPr>
          <w:rFonts w:ascii="仿宋" w:eastAsia="仿宋" w:hAnsi="仿宋"/>
          <w:sz w:val="28"/>
        </w:rPr>
        <w:t>政策合规：确保项目符合国家相关法律法规和产业政策，降低政策风险，提高项目的合法性和可执行性。</w:t>
      </w:r>
      <w:r>
        <w:rPr>
          <w:rFonts w:ascii="仿宋" w:eastAsia="仿宋" w:hAnsi="仿宋"/>
          <w:sz w:val="28"/>
        </w:rPr>
        <w:br/>
        <w:t xml:space="preserve">    6.</w:t>
      </w:r>
      <w:r>
        <w:rPr>
          <w:rFonts w:ascii="仿宋" w:eastAsia="仿宋" w:hAnsi="仿宋"/>
          <w:sz w:val="28"/>
        </w:rPr>
        <w:t>环境和社会影响：评估项目对环境和当地社会可能产生的正面和负面影响，提出环境保护和社会和谐发展的措施。</w:t>
      </w:r>
    </w:p>
    <w:p w:rsidR="00DE4294" w14:textId="42F5CCED">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优化决策：为项目投资者提供全面、客观的信息，帮助其优化投资方案，降低投资风险，提高投资效益。</w:t>
      </w:r>
      <w:r>
        <w:rPr>
          <w:rFonts w:ascii="仿宋" w:eastAsia="仿宋" w:hAnsi="仿宋"/>
          <w:sz w:val="28"/>
        </w:rPr>
        <w:br/>
      </w:r>
      <w:r>
        <w:rPr>
          <w:rFonts w:ascii="仿宋" w:eastAsia="仿宋" w:hAnsi="仿宋"/>
          <w:sz w:val="28"/>
        </w:rPr>
        <w:t>综上所述，水溶性肥料项目可行性分析报告的编制是项目投资前不可或缺的一环，它为项目的顺利实施和长期成功奠定了坚实的基础。</w:t>
      </w:r>
    </w:p>
    <w:p w:rsidR="009D1637" w:rsidRPr="00913CD1" w:rsidP="00457322" w14:paraId="4115821B"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712D23AF"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6BBED1FB"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128A691F"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62EF83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1986840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588397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4B53E6E4"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6CCD939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25A2FA3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7866EAF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1F51331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0922C5A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1605D45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78AFCF5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0BB13BBB"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294D3E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1366EF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6F003BF3"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7708C9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272D90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1A12D6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5FBF58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4AA340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73E0CA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11D1AC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33C1B5B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项目建设。</w:t>
      </w:r>
    </w:p>
    <w:p w:rsidR="009D1637" w:rsidRPr="00913CD1" w:rsidP="00457322" w14:paraId="29648B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w:t>
      </w:r>
    </w:p>
    <w:p w:rsidR="009D1637" w:rsidRPr="00913CD1" w:rsidP="00457322" w14:paraId="11471C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701318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27B291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0872A1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30B4CF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238709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0E90D3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650C96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水溶性肥料产品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2EF88CC5"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水溶性肥料</w:t>
      </w:r>
      <w:r w:rsidRPr="00913CD1">
        <w:rPr>
          <w:rFonts w:ascii="仿宋" w:eastAsia="仿宋" w:hAnsi="仿宋"/>
        </w:rPr>
        <w:t>项目绪论</w:t>
      </w:r>
      <w:bookmarkEnd w:id="4"/>
    </w:p>
    <w:p w:rsidR="009D1637" w:rsidRPr="00913CD1" w:rsidP="00457322" w14:paraId="103D2A7A"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水溶性肥料</w:t>
      </w:r>
      <w:r w:rsidRPr="00913CD1">
        <w:rPr>
          <w:rFonts w:ascii="仿宋" w:eastAsia="仿宋" w:hAnsi="仿宋"/>
        </w:rPr>
        <w:t>项目名称及建设性质</w:t>
      </w:r>
      <w:bookmarkEnd w:id="5"/>
    </w:p>
    <w:p w:rsidR="009D1637" w:rsidRPr="00913CD1" w:rsidP="00457322" w14:paraId="159333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项目名称</w:t>
      </w:r>
    </w:p>
    <w:p w:rsidR="009D1637" w:rsidRPr="00913CD1" w:rsidP="00457322" w14:paraId="4B327E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w:t>
      </w:r>
    </w:p>
    <w:p w:rsidR="009D1637" w:rsidRPr="00913CD1" w:rsidP="00457322" w14:paraId="6B21D6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项目建设性质</w:t>
      </w:r>
    </w:p>
    <w:p w:rsidR="009D1637" w:rsidRPr="00913CD1" w:rsidP="00457322" w14:paraId="0C3A853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水溶性肥料</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3C154381"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水溶性肥料</w:t>
      </w:r>
      <w:r w:rsidRPr="00913CD1">
        <w:rPr>
          <w:rFonts w:ascii="仿宋" w:eastAsia="仿宋" w:hAnsi="仿宋"/>
        </w:rPr>
        <w:t>项目承办单位</w:t>
      </w:r>
      <w:bookmarkEnd w:id="6"/>
    </w:p>
    <w:p w:rsidR="009D1637" w:rsidRPr="00913CD1" w:rsidP="00457322" w14:paraId="16CB92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项目实施主体</w:t>
      </w:r>
    </w:p>
    <w:p w:rsidR="009D1637" w:rsidRPr="00913CD1" w:rsidP="00457322" w14:paraId="1ABAE6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0F1E52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19586A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项目信息。</w:t>
      </w:r>
    </w:p>
    <w:p w:rsidR="009D1637" w:rsidRPr="00913CD1" w:rsidP="00457322" w14:paraId="6FF610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4DD117D5"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698C3100"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4240B90C"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4807D85A"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7003CA1C"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水溶性肥料</w:t>
      </w:r>
      <w:r w:rsidRPr="00913CD1">
        <w:rPr>
          <w:rFonts w:ascii="仿宋" w:eastAsia="仿宋" w:hAnsi="仿宋"/>
        </w:rPr>
        <w:t>项目定位及建设理由</w:t>
      </w:r>
      <w:bookmarkEnd w:id="7"/>
    </w:p>
    <w:p w:rsidR="00DE4294" w14:paraId="5C6D9712" w14:textId="26AE91D1">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水溶性肥料项目可行性分析报告中的项目定位及建设理由应重点阐述以下内容：</w:t>
      </w:r>
      <w:r>
        <w:rPr>
          <w:rFonts w:ascii="仿宋" w:eastAsia="仿宋" w:hAnsi="仿宋"/>
          <w:sz w:val="28"/>
        </w:rPr>
        <w:br/>
        <w:t xml:space="preserve">    1.</w:t>
      </w:r>
      <w:r>
        <w:rPr>
          <w:rFonts w:ascii="仿宋" w:eastAsia="仿宋" w:hAnsi="仿宋"/>
          <w:sz w:val="28"/>
        </w:rPr>
        <w:t>项目定位</w:t>
      </w:r>
      <w:r>
        <w:rPr>
          <w:rFonts w:ascii="仿宋" w:eastAsia="仿宋" w:hAnsi="仿宋"/>
          <w:sz w:val="28"/>
        </w:rPr>
        <w:t>：明确项目在市场中的地位和目标，包括产品定位、市场定位和品牌定位。产品定位应基于技术特点和目标作物的需求，市场定位应考虑目标市场、客户群体和竞争对手情况，品牌定位则应体现企业的形象和品牌价值。</w:t>
      </w:r>
      <w:r>
        <w:rPr>
          <w:rFonts w:ascii="仿宋" w:eastAsia="仿宋" w:hAnsi="仿宋"/>
          <w:sz w:val="28"/>
        </w:rPr>
        <w:br/>
        <w:t xml:space="preserve">    2.</w:t>
      </w:r>
      <w:r>
        <w:rPr>
          <w:rFonts w:ascii="仿宋" w:eastAsia="仿宋" w:hAnsi="仿宋"/>
          <w:sz w:val="28"/>
        </w:rPr>
        <w:t>建设理由</w:t>
      </w:r>
      <w:r>
        <w:rPr>
          <w:rFonts w:ascii="仿宋" w:eastAsia="仿宋" w:hAnsi="仿宋"/>
          <w:sz w:val="28"/>
        </w:rPr>
        <w:t>：</w:t>
      </w:r>
      <w:r>
        <w:rPr>
          <w:rFonts w:ascii="仿宋" w:eastAsia="仿宋" w:hAnsi="仿宋"/>
          <w:sz w:val="28"/>
        </w:rPr>
        <w:br/>
        <w:t xml:space="preserve">    △</w:t>
      </w:r>
      <w:r>
        <w:rPr>
          <w:rFonts w:ascii="仿宋" w:eastAsia="仿宋" w:hAnsi="仿宋"/>
          <w:sz w:val="28"/>
        </w:rPr>
        <w:t>市场需求</w:t>
      </w:r>
      <w:r>
        <w:rPr>
          <w:rFonts w:ascii="仿宋" w:eastAsia="仿宋" w:hAnsi="仿宋"/>
          <w:sz w:val="28"/>
        </w:rPr>
        <w:t>：分析目标市场对水溶性肥料的需求现状和未来趋势，包括需求量、需求结构、价格走势等。</w:t>
      </w:r>
      <w:r>
        <w:rPr>
          <w:rFonts w:ascii="仿宋" w:eastAsia="仿宋" w:hAnsi="仿宋"/>
          <w:sz w:val="28"/>
        </w:rPr>
        <w:br/>
        <w:t xml:space="preserve">    △</w:t>
      </w:r>
      <w:r>
        <w:rPr>
          <w:rFonts w:ascii="仿宋" w:eastAsia="仿宋" w:hAnsi="仿宋"/>
          <w:sz w:val="28"/>
        </w:rPr>
        <w:t>技术优势</w:t>
      </w:r>
      <w:r>
        <w:rPr>
          <w:rFonts w:ascii="仿宋" w:eastAsia="仿宋" w:hAnsi="仿宋"/>
          <w:sz w:val="28"/>
        </w:rPr>
        <w:t>：说明项目采用的技术路线、工艺水平、产品质量等在行业中的领先地位，以及技术对提高农业生产效率和农产品质量的作用。</w:t>
      </w:r>
      <w:r>
        <w:rPr>
          <w:rFonts w:ascii="仿宋" w:eastAsia="仿宋" w:hAnsi="仿宋"/>
          <w:sz w:val="28"/>
        </w:rPr>
        <w:br/>
        <w:t xml:space="preserve">    △</w:t>
      </w:r>
      <w:r>
        <w:rPr>
          <w:rFonts w:ascii="仿宋" w:eastAsia="仿宋" w:hAnsi="仿宋"/>
          <w:sz w:val="28"/>
        </w:rPr>
        <w:t>政策支持</w:t>
      </w:r>
      <w:r>
        <w:rPr>
          <w:rFonts w:ascii="仿宋" w:eastAsia="仿宋" w:hAnsi="仿宋"/>
          <w:sz w:val="28"/>
        </w:rPr>
        <w:t>：阐述国家或地区相关农业政策、环保政策等对项目发展的支持作用。</w:t>
      </w:r>
      <w:r>
        <w:rPr>
          <w:rFonts w:ascii="仿宋" w:eastAsia="仿宋" w:hAnsi="仿宋"/>
          <w:sz w:val="28"/>
        </w:rPr>
        <w:br/>
        <w:t xml:space="preserve">    △</w:t>
      </w:r>
      <w:r>
        <w:rPr>
          <w:rFonts w:ascii="仿宋" w:eastAsia="仿宋" w:hAnsi="仿宋"/>
          <w:sz w:val="28"/>
        </w:rPr>
        <w:t>经济效益</w:t>
      </w:r>
      <w:r>
        <w:rPr>
          <w:rFonts w:ascii="仿宋" w:eastAsia="仿宋" w:hAnsi="仿宋"/>
          <w:sz w:val="28"/>
        </w:rPr>
        <w:t>：分析项目的预期经济效益，包括投资回报率、成本效益比、财务净现值等指标，以及项目对当地就业和税收的贡献。</w:t>
      </w:r>
      <w:r>
        <w:rPr>
          <w:rFonts w:ascii="仿宋" w:eastAsia="仿宋" w:hAnsi="仿宋"/>
          <w:sz w:val="28"/>
        </w:rPr>
        <w:br/>
        <w:t xml:space="preserve">    △</w:t>
      </w:r>
      <w:r>
        <w:rPr>
          <w:rFonts w:ascii="仿宋" w:eastAsia="仿宋" w:hAnsi="仿宋"/>
          <w:sz w:val="28"/>
        </w:rPr>
        <w:t>社会效益</w:t>
      </w:r>
      <w:r>
        <w:rPr>
          <w:rFonts w:ascii="仿宋" w:eastAsia="仿宋" w:hAnsi="仿宋"/>
          <w:sz w:val="28"/>
        </w:rPr>
        <w:t>：论述项目对提升农业可持续发展水平、保障国家粮食安全、促进乡村振兴等方面的积极影响。</w:t>
      </w:r>
      <w:r>
        <w:rPr>
          <w:rFonts w:ascii="仿宋" w:eastAsia="仿宋" w:hAnsi="仿宋"/>
          <w:sz w:val="28"/>
        </w:rPr>
        <w:br/>
        <w:t xml:space="preserve">    △</w:t>
      </w:r>
      <w:r>
        <w:rPr>
          <w:rFonts w:ascii="仿宋" w:eastAsia="仿宋" w:hAnsi="仿宋"/>
          <w:sz w:val="28"/>
        </w:rPr>
        <w:t>环境效益</w:t>
      </w:r>
    </w:p>
    <w:p w:rsidR="00DE4294" w14:textId="26AE91D1">
      <w:pPr>
        <w:ind w:firstLine="561"/>
      </w:pPr>
      <w:r>
        <w:rPr>
          <w:rFonts w:ascii="仿宋" w:eastAsia="仿宋" w:hAnsi="仿宋"/>
          <w:sz w:val="28"/>
        </w:rPr>
        <w:t>：评估项目在节能减排、环境保护、资源综合利用等方面的贡献。</w:t>
      </w:r>
      <w:r>
        <w:rPr>
          <w:rFonts w:ascii="仿宋" w:eastAsia="仿宋" w:hAnsi="仿宋"/>
          <w:sz w:val="28"/>
        </w:rPr>
        <w:br/>
        <w:t xml:space="preserve">    3.</w:t>
      </w:r>
      <w:r>
        <w:rPr>
          <w:rFonts w:ascii="仿宋" w:eastAsia="仿宋" w:hAnsi="仿宋"/>
          <w:sz w:val="28"/>
        </w:rPr>
        <w:t>风险评估</w:t>
      </w:r>
      <w:r>
        <w:rPr>
          <w:rFonts w:ascii="仿宋" w:eastAsia="仿宋" w:hAnsi="仿宋"/>
          <w:sz w:val="28"/>
        </w:rPr>
        <w:t>：客观分析项目可能面临的市场风险、技术风险、财务风险、管理风险等，并提出相应的应对措施。</w:t>
      </w:r>
      <w:r>
        <w:rPr>
          <w:rFonts w:ascii="仿宋" w:eastAsia="仿宋" w:hAnsi="仿宋"/>
          <w:sz w:val="28"/>
        </w:rPr>
        <w:br/>
        <w:t xml:space="preserve">    4.</w:t>
      </w:r>
      <w:r>
        <w:rPr>
          <w:rFonts w:ascii="仿宋" w:eastAsia="仿宋" w:hAnsi="仿宋"/>
          <w:sz w:val="28"/>
        </w:rPr>
        <w:t>项目实施计划</w:t>
      </w:r>
      <w:r>
        <w:rPr>
          <w:rFonts w:ascii="仿宋" w:eastAsia="仿宋" w:hAnsi="仿宋"/>
          <w:sz w:val="28"/>
        </w:rPr>
        <w:t>：概述项目的实施步骤、时间表、资金计划和人力资源配置等。</w:t>
      </w:r>
      <w:r>
        <w:rPr>
          <w:rFonts w:ascii="仿宋" w:eastAsia="仿宋" w:hAnsi="仿宋"/>
          <w:sz w:val="28"/>
        </w:rPr>
        <w:br/>
        <w:t xml:space="preserve">    5.</w:t>
      </w:r>
      <w:r>
        <w:rPr>
          <w:rFonts w:ascii="仿宋" w:eastAsia="仿宋" w:hAnsi="仿宋"/>
          <w:sz w:val="28"/>
        </w:rPr>
        <w:t>结论与建议</w:t>
      </w:r>
      <w:r>
        <w:rPr>
          <w:rFonts w:ascii="仿宋" w:eastAsia="仿宋" w:hAnsi="仿宋"/>
          <w:sz w:val="28"/>
        </w:rPr>
        <w:t>：基于上述分析，得出项目是否可行的结论，并提出相关建议，包括项目优化、风险规避、政策支持需求等。</w:t>
      </w:r>
      <w:r>
        <w:rPr>
          <w:rFonts w:ascii="仿宋" w:eastAsia="仿宋" w:hAnsi="仿宋"/>
          <w:sz w:val="28"/>
        </w:rPr>
        <w:br/>
      </w:r>
      <w:r>
        <w:rPr>
          <w:rFonts w:ascii="仿宋" w:eastAsia="仿宋" w:hAnsi="仿宋"/>
          <w:sz w:val="28"/>
        </w:rPr>
        <w:t>综上所述，水溶性肥料项目可行性分析报告中的项目定位及建设理由应基于市场调研、技术评估、政策解读和经济效益分析，全面论证项目的可行性和社会价值。</w:t>
      </w:r>
    </w:p>
    <w:p w:rsidR="009D1637" w:rsidRPr="00913CD1" w:rsidP="00457322" w14:paraId="734973F7"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63F2B0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705DD2D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5A6D6A4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3293E5D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水溶性肥料</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6EE42E3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水溶性肥料</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42CE8D3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水溶性肥料</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090B38B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0E8C7D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3EB2E07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F59C9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629E0E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项目功能、盈利性等</w:t>
      </w:r>
    </w:p>
    <w:p w:rsidR="007D3AEE" w:rsidRPr="00913CD1" w:rsidP="00457322" w14:paraId="64AC0F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37D0AB44"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5B4713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50D5B06A"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项目建设的可行性和效益的合理性。</w:t>
      </w:r>
    </w:p>
    <w:p w:rsidR="009D1637" w:rsidRPr="00913CD1" w:rsidP="00457322" w14:paraId="30DDA980"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水溶性肥料</w:t>
      </w:r>
      <w:r w:rsidRPr="00913CD1">
        <w:rPr>
          <w:rFonts w:ascii="仿宋" w:eastAsia="仿宋" w:hAnsi="仿宋"/>
        </w:rPr>
        <w:t>项目建设选址</w:t>
      </w:r>
      <w:bookmarkEnd w:id="9"/>
    </w:p>
    <w:p w:rsidR="009D1637" w:rsidRPr="00913CD1" w:rsidP="00457322" w14:paraId="42BC68E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项目选址及规划</w:t>
      </w:r>
    </w:p>
    <w:p w:rsidR="009D1637" w:rsidRPr="00913CD1" w:rsidP="00457322" w14:paraId="5111DBE8"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项目的建设。</w:t>
      </w:r>
    </w:p>
    <w:p w:rsidR="009D1637" w:rsidRPr="00913CD1" w:rsidP="00457322" w14:paraId="352E39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项目背景及选址理由</w:t>
      </w:r>
    </w:p>
    <w:p w:rsidR="009D1637" w:rsidRPr="00913CD1" w:rsidP="00457322" w14:paraId="4965DA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项目背景</w:t>
      </w:r>
    </w:p>
    <w:p w:rsidR="00DE4294" w14:paraId="6375F0F4" w14:textId="6E3E3DCC">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水溶性肥料项目背景分析：</w:t>
      </w:r>
      <w:r>
        <w:rPr>
          <w:rFonts w:ascii="仿宋" w:eastAsia="仿宋" w:hAnsi="仿宋"/>
          <w:sz w:val="28"/>
        </w:rPr>
        <w:br/>
      </w:r>
      <w:r>
        <w:rPr>
          <w:rFonts w:ascii="仿宋" w:eastAsia="仿宋" w:hAnsi="仿宋"/>
          <w:sz w:val="28"/>
        </w:rPr>
        <w:t>随着全球农业技术的不断进步和市场需求的日益增长，水溶性肥料作为一种高效、环保的肥料形式，正受到越来越多的关注。水溶性肥料以其溶解性好、养分吸收率高、施用方便等特点，成为传统肥料的有力替代品，尤其在现代设施农业、精准农业和高附加值作物种植中得到广泛应用。</w:t>
      </w:r>
      <w:r>
        <w:rPr>
          <w:rFonts w:ascii="仿宋" w:eastAsia="仿宋" w:hAnsi="仿宋"/>
          <w:sz w:val="28"/>
        </w:rPr>
        <w:br/>
      </w:r>
      <w:r>
        <w:rPr>
          <w:rFonts w:ascii="仿宋" w:eastAsia="仿宋" w:hAnsi="仿宋"/>
          <w:sz w:val="28"/>
        </w:rPr>
        <w:t>本项目旨在通过引进先进的生产技术和设备，建立一条高效、节能、环保的水溶性肥料生产线，以满足国内市场对高品质水溶性肥料日益增长的需求。项目将依托当地丰富的资源优势，结合先进的工艺流程，生产出符合国际标准的水溶性肥料产品，提升国内肥料行业的整体水平，促进农业可持续发展。</w:t>
      </w:r>
      <w:r>
        <w:rPr>
          <w:rFonts w:ascii="仿宋" w:eastAsia="仿宋" w:hAnsi="仿宋"/>
          <w:sz w:val="28"/>
        </w:rPr>
        <w:br/>
      </w:r>
      <w:r>
        <w:rPr>
          <w:rFonts w:ascii="仿宋" w:eastAsia="仿宋" w:hAnsi="仿宋"/>
          <w:sz w:val="28"/>
        </w:rPr>
        <w:t>市场调研显示，国内水溶性肥料市场潜力巨大，尤其是在高效农业和有机农业领域，对水溶性肥料的需求呈快速增长态势。同时，国家政策对绿色农业和高效肥料的扶持，也为本项目提供了良好的政策环境。</w:t>
      </w:r>
      <w:r>
        <w:rPr>
          <w:rFonts w:ascii="仿宋" w:eastAsia="仿宋" w:hAnsi="仿宋"/>
          <w:sz w:val="28"/>
        </w:rPr>
        <w:br/>
      </w:r>
      <w:r>
        <w:rPr>
          <w:rFonts w:ascii="仿宋" w:eastAsia="仿宋" w:hAnsi="仿宋"/>
          <w:sz w:val="28"/>
        </w:rPr>
        <w:t>综上所述，水溶性肥料项目具有良好的市场前景和政策支持，通过科学规划、合理实施，有望成为推动当地经济发展和农业技术进步的重要力量。</w:t>
      </w:r>
    </w:p>
    <w:p w:rsidR="009D1637" w:rsidRPr="00913CD1" w:rsidP="00457322" w14:paraId="3EA9A7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0D7B1C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470624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项目的发展和扩张。</w:t>
      </w:r>
    </w:p>
    <w:p w:rsidR="009D1637" w:rsidRPr="00913CD1" w:rsidP="00457322" w14:paraId="51A2FA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项目的可迗性。</w:t>
      </w:r>
    </w:p>
    <w:p w:rsidR="009D1637" w:rsidRPr="00913CD1" w:rsidP="00457322" w14:paraId="746040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项目建设提供了良好基础条件。</w:t>
      </w:r>
    </w:p>
    <w:p w:rsidR="009D1637" w:rsidRPr="00913CD1" w:rsidP="00457322" w14:paraId="2B8835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项目规模和扩展的需要。</w:t>
      </w:r>
    </w:p>
    <w:p w:rsidR="009D1637" w:rsidRPr="00913CD1" w:rsidP="00457322" w14:paraId="236C285C"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水溶性肥料</w:t>
      </w:r>
      <w:r w:rsidRPr="00913CD1">
        <w:rPr>
          <w:rFonts w:ascii="仿宋" w:eastAsia="仿宋" w:hAnsi="仿宋"/>
        </w:rPr>
        <w:t>项目生产规模</w:t>
      </w:r>
      <w:bookmarkEnd w:id="10"/>
    </w:p>
    <w:p w:rsidR="009D1637" w:rsidRPr="00913CD1" w:rsidP="00457322" w14:paraId="075509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64535598"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6C079B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7AD2800D"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78877B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项目实施过程中，对环境的影响降到最低。</w:t>
      </w:r>
    </w:p>
    <w:p w:rsidR="009D1637" w:rsidRPr="00913CD1" w:rsidP="00457322" w14:paraId="0092B15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16AAF5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379F02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6A377C1B"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水溶性肥料</w:t>
      </w:r>
      <w:r w:rsidRPr="00913CD1">
        <w:rPr>
          <w:rFonts w:ascii="仿宋" w:eastAsia="仿宋" w:hAnsi="仿宋"/>
        </w:rPr>
        <w:t>项目总投资及资金构成</w:t>
      </w:r>
      <w:bookmarkEnd w:id="13"/>
    </w:p>
    <w:p w:rsidR="009D1637" w:rsidRPr="00913CD1" w:rsidP="00457322" w14:paraId="6DA10F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的生产能力。</w:t>
      </w:r>
    </w:p>
    <w:p w:rsidR="009D1637" w:rsidRPr="00913CD1" w:rsidP="00457322" w14:paraId="56E3EB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项目总投资</w:t>
      </w:r>
    </w:p>
    <w:p w:rsidR="009D1637" w:rsidRPr="00913CD1" w:rsidP="00457322" w14:paraId="00BFB4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557A25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49EB26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5D20BC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4BF922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2FBFA4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661171E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464C91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项目的顺利建设奠定了财务基础。</w:t>
      </w:r>
    </w:p>
    <w:p w:rsidR="009D1637" w:rsidRPr="00913CD1" w:rsidP="00457322" w14:paraId="028047DF"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0E51F6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79711B52"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水溶性肥料</w:t>
      </w:r>
      <w:r w:rsidRPr="00913CD1">
        <w:rPr>
          <w:rFonts w:ascii="仿宋" w:eastAsia="仿宋" w:hAnsi="仿宋"/>
        </w:rPr>
        <w:t>项目预期经济效益规划目标</w:t>
      </w:r>
      <w:bookmarkEnd w:id="15"/>
    </w:p>
    <w:p w:rsidR="009D1637" w:rsidRPr="00913CD1" w:rsidP="00457322" w14:paraId="03320C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项目的盈利能力和市场竞争力。</w:t>
      </w:r>
    </w:p>
    <w:p w:rsidR="009D1637" w:rsidRPr="00913CD1" w:rsidP="00457322" w14:paraId="32210F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项目具有较高的投资价值和发展潜力。</w:t>
      </w:r>
    </w:p>
    <w:p w:rsidR="009D1637" w:rsidRPr="00913CD1" w:rsidP="00457322" w14:paraId="394A4621"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71712E83"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水溶性肥料</w:t>
      </w:r>
      <w:r w:rsidRPr="00913CD1">
        <w:rPr>
          <w:rFonts w:ascii="仿宋" w:eastAsia="仿宋" w:hAnsi="仿宋"/>
        </w:rPr>
        <w:t>项目建设进度规划</w:t>
      </w:r>
      <w:bookmarkEnd w:id="16"/>
    </w:p>
    <w:p w:rsidR="009D1637" w:rsidRPr="00913CD1" w:rsidP="00457322" w14:paraId="1E123F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项目的顺利进行和按时完成。</w:t>
      </w:r>
    </w:p>
    <w:p w:rsidR="009D1637" w:rsidRPr="00913CD1" w:rsidP="00457322" w14:paraId="3D1002E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水溶性肥料</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项目的质量和进度。</w:t>
      </w:r>
    </w:p>
    <w:p w:rsidR="009D1637" w:rsidRPr="00913CD1" w:rsidP="00457322" w14:paraId="2A4C8D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55F031F2"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水溶性肥料</w:t>
      </w:r>
      <w:r w:rsidRPr="00913CD1">
        <w:rPr>
          <w:rFonts w:ascii="仿宋" w:eastAsia="仿宋" w:hAnsi="仿宋"/>
        </w:rPr>
        <w:t>项目综合评价</w:t>
      </w:r>
      <w:bookmarkEnd w:id="17"/>
    </w:p>
    <w:p w:rsidR="00BF6395" w:rsidRPr="00913CD1" w:rsidP="00457322" w14:paraId="7AB907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水溶性肥料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27656DF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水溶性肥料项目的投资回报率稳定且可观。根据市场调查和预测，水溶性肥料市场需求持续增长，具有良好的市场前景和发展空间。我们的投资方向紧密结合国家产业政策和市场需求，为投资者创造可观的投资收益。</w:t>
      </w:r>
    </w:p>
    <w:p w:rsidR="00BF6395" w:rsidRPr="00913CD1" w:rsidP="00457322" w14:paraId="79399B6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水溶性肥料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320B174E"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在技术方案设计方面，我们注重方案的优化和效益的提升。通过科学合理的设计，实现水溶性肥料</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生产流程的高效化和产品的优质化。我们将采用先进的生产工艺和技术，提高生产效率，降低生产成本。同时，我们还将加强产品研发和创新，不断推出具有竞争力的新产品，满足水溶性肥料</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6E89EC5E"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p>
    <w:p w:rsidR="00BF6395"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此外，水溶性肥料项目的建设将带来显著的就业机会和社会效益。项目的实施将促进当地经济的发展，提升当地民众的生活水平。我们将积极履行社会责任，关注环境保护和可持续发展，为社会做出积极贡献。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3C3DB49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综上所述，本期水溶性肥料项目具备技术和经济的可行性，具有良好的市场前景和发展空间。我们将充分发挥自身优势，抓住市场机遇，为投资者创造丰厚的投资回报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26466BDC"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76A4B0AF"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271B1A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55D9E3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22EC97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696CA56B"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0812DA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5661D2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01D570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水溶性肥料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7445516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22514C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23EA87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77643B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5B5947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水溶性肥料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0B133F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7C6CA3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6EBED3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29B6FBA6"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6BE0D4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2B4965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水溶性肥料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39C995E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水溶性肥料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0587D9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水溶性肥料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47BA05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467D5B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523B32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水溶性肥料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440EA3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00A3A8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水溶性肥料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217449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0533C656"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2E4C7745"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46885FB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项目的顺利进行和迗成目标。</w:t>
      </w:r>
    </w:p>
    <w:p w:rsidR="009D1637" w:rsidRPr="00913CD1" w:rsidP="00457322" w14:paraId="78CD59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790156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水溶性肥料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436A3E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水溶性肥料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水溶性肥料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水溶性肥料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5DE894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水溶性肥料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3E964E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273CB7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5F5538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637580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2DC766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55B26C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38FCF8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5BC70B6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7E0E83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0DCB5E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4DE585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7934D8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7B7530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59CD1A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2C7137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0E5F11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702730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2A7AB38D"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4046E0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7A2AAA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51EB53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4C01ABF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772EC5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5866FD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020E47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8DA16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618EAF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39DE5AC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224CF1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7CD06B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62C98C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691D6B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水溶性肥料</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28B773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20CF536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4CC039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055CEA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58AD5F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0E37EC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1278FE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46D60A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1C54FC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0372B7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62FCA5E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1175BB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6CA61D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3BC1AE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104FB7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5D388A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5D1F5B35"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16FADDEB"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水溶性肥料</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312035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3BBC9A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4D7238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31EAEC1D"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水溶性肥料</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1C70D1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2F201C7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7DF0EC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1EABF5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45EACE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5C0C01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53AB67C8"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71B93F5E"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6AC0DF9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水溶性肥料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044DEFE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3CFA5C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6BA90E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4F9E00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水溶性肥料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7B83D4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0B8A8F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5DBBCA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085628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6C527B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335ED18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5798ADF6"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水溶性肥料</w:t>
      </w:r>
      <w:r w:rsidRPr="00913CD1">
        <w:rPr>
          <w:rFonts w:ascii="仿宋" w:eastAsia="仿宋" w:hAnsi="仿宋"/>
        </w:rPr>
        <w:t>项目技术工艺分析</w:t>
      </w:r>
      <w:bookmarkEnd w:id="28"/>
    </w:p>
    <w:p w:rsidR="009D1637" w:rsidRPr="00913CD1" w:rsidP="00457322" w14:paraId="17569D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70E99B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水溶性肥料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4D09F1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水溶性肥料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119288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3D9BF4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水溶性肥料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22ED2A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7F7D89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0E0045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水溶性肥料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3B89DBA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32BC0F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水溶性肥料</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73AC6590"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水溶性肥料项目</w:t>
      </w:r>
      <w:r w:rsidRPr="00913CD1">
        <w:rPr>
          <w:rFonts w:ascii="仿宋" w:eastAsia="仿宋" w:hAnsi="仿宋"/>
        </w:rPr>
        <w:t>质量管理</w:t>
      </w:r>
      <w:bookmarkEnd w:id="29"/>
    </w:p>
    <w:p w:rsidR="009D1637" w:rsidRPr="00913CD1" w:rsidP="00457322" w14:paraId="37C136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0A41A5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1372F6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3C59DD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5E8806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235E26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6DFAB2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水溶性肥料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4591CA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水溶性肥料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05050C5E"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水溶性肥料项目</w:t>
      </w:r>
      <w:r w:rsidRPr="00913CD1">
        <w:rPr>
          <w:rFonts w:ascii="仿宋" w:eastAsia="仿宋" w:hAnsi="仿宋"/>
        </w:rPr>
        <w:t>设备选型方案</w:t>
      </w:r>
      <w:bookmarkEnd w:id="30"/>
    </w:p>
    <w:p w:rsidR="009D1637" w:rsidRPr="00913CD1" w:rsidP="00457322" w14:paraId="2DB82F9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设备配置方案</w:t>
      </w:r>
    </w:p>
    <w:p w:rsidR="009D1637" w:rsidRPr="00913CD1" w:rsidP="00457322" w14:paraId="0E068B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C263A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水溶性肥料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51B0A2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005E4A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水溶性肥料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3C590C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3F4889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5CCC88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项目的高效运行和产品质量的稳定提升。</w:t>
      </w:r>
    </w:p>
    <w:p w:rsidR="009D1637" w:rsidRPr="00913CD1" w:rsidP="00457322" w14:paraId="2DA4B855"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23405A0A"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76CAFE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6487298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(一)适用法律法规和标准</w:t>
      </w:r>
    </w:p>
    <w:p w:rsidR="009D1637" w:rsidRPr="00913CD1" w:rsidP="00457322" w14:paraId="3050AD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221568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2A67DD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6D987D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0E1E73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413228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3C58D1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36637D6D"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21CF86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316311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40A43D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77CB34E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水溶性肥料</w:t>
      </w:r>
      <w:r w:rsidRPr="00913CD1" w:rsidR="006F4724">
        <w:rPr>
          <w:rFonts w:ascii="仿宋" w:eastAsia="仿宋" w:hAnsi="仿宋" w:cs="宋体" w:hint="eastAsia"/>
          <w:kern w:val="0"/>
          <w:sz w:val="28"/>
          <w:szCs w:val="28"/>
          <w14:ligatures w14:val="none"/>
        </w:rPr>
        <w:t>产品</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49BA12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025958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38A0C5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0ACD47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004C84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1296EB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42E1D8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水溶性肥料</w:t>
      </w:r>
      <w:r w:rsidRPr="00913CD1">
        <w:rPr>
          <w:rFonts w:ascii="仿宋" w:eastAsia="仿宋" w:hAnsi="仿宋" w:cs="宋体"/>
          <w:kern w:val="0"/>
          <w:sz w:val="28"/>
          <w:szCs w:val="28"/>
          <w14:ligatures w14:val="none"/>
        </w:rPr>
        <w:t>项目的安全生产，确保生产过程中职工的安全与健康。</w:t>
      </w:r>
    </w:p>
    <w:p w:rsidR="009D1637" w:rsidRPr="00913CD1" w:rsidP="00457322" w14:paraId="6D3D1B00" w14:textId="77777777">
      <w:pPr>
        <w:pStyle w:val="Heading3"/>
        <w:spacing w:before="0" w:after="0"/>
        <w:rPr>
          <w:rFonts w:ascii="仿宋" w:eastAsia="仿宋" w:hAnsi="仿宋"/>
        </w:rPr>
      </w:pPr>
      <w:r w:rsidRPr="00913CD1">
        <w:rPr>
          <w:rFonts w:ascii="仿宋" w:eastAsia="仿宋" w:hAnsi="仿宋"/>
        </w:rPr>
        <w:t>　　</w:t>
      </w:r>
      <w:bookmarkStart w:id="34" w:name="_Toc156748882"/>
      <w:r w:rsidRPr="00913CD1">
        <w:rPr>
          <w:rFonts w:ascii="仿宋" w:eastAsia="仿宋" w:hAnsi="仿宋"/>
        </w:rPr>
        <w:t>(</w:t>
      </w:r>
      <w:r w:rsidRPr="00913CD1" w:rsidR="008D6901">
        <w:rPr>
          <w:rFonts w:ascii="仿宋" w:eastAsia="仿宋" w:hAnsi="仿宋"/>
        </w:rPr>
        <w:t>三</w:t>
      </w:r>
      <w:r w:rsidRPr="00913CD1">
        <w:rPr>
          <w:rFonts w:ascii="仿宋" w:eastAsia="仿宋" w:hAnsi="仿宋"/>
        </w:rPr>
        <w:t>)、预期效果评价</w:t>
      </w:r>
      <w:bookmarkEnd w:id="34"/>
    </w:p>
    <w:p w:rsidR="009D1637" w:rsidRPr="00913CD1" w:rsidP="00457322" w14:paraId="5C41BE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根据上述内容，可以得出以下预期效果评价：</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https://d.book118.com/345003133034011103</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1A0B32A3" w14:textId="77777777">
    <w:pPr>
      <w:pStyle w:val="Footer"/>
      <w:jc w:val="center"/>
    </w:pPr>
  </w:p>
  <w:p w:rsidR="008D6901" w14:paraId="3AA2520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1B1300BC"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paraId="430FE2E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74180867"/>
      <w:docPartObj>
        <w:docPartGallery w:val="Page Numbers (Bottom of Page)"/>
        <w:docPartUnique/>
      </w:docPartObj>
    </w:sdtPr>
    <w:sdtContent>
      <w:sdt>
        <w:sdtPr>
          <w:id w:val="18728088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82807888"/>
      <w:docPartObj>
        <w:docPartGallery w:val="Page Numbers (Bottom of Page)"/>
        <w:docPartUnique/>
      </w:docPartObj>
    </w:sdtPr>
    <w:sdtContent>
      <w:sdt>
        <w:sdtPr>
          <w:id w:val="132555463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88962975"/>
      <w:docPartObj>
        <w:docPartGallery w:val="Page Numbers (Bottom of Page)"/>
        <w:docPartUnique/>
      </w:docPartObj>
    </w:sdtPr>
    <w:sdtContent>
      <w:sdt>
        <w:sdtPr>
          <w:id w:val="204747467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94764908"/>
      <w:docPartObj>
        <w:docPartGallery w:val="Page Numbers (Bottom of Page)"/>
        <w:docPartUnique/>
      </w:docPartObj>
    </w:sdtPr>
    <w:sdtContent>
      <w:sdt>
        <w:sdtPr>
          <w:id w:val="27196113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98693641"/>
      <w:docPartObj>
        <w:docPartGallery w:val="Page Numbers (Bottom of Page)"/>
        <w:docPartUnique/>
      </w:docPartObj>
    </w:sdtPr>
    <w:sdtContent>
      <w:sdt>
        <w:sdtPr>
          <w:id w:val="14880387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4420665"/>
      <w:docPartObj>
        <w:docPartGallery w:val="Page Numbers (Bottom of Page)"/>
        <w:docPartUnique/>
      </w:docPartObj>
    </w:sdtPr>
    <w:sdtContent>
      <w:sdt>
        <w:sdtPr>
          <w:id w:val="11747257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91102750"/>
      <w:docPartObj>
        <w:docPartGallery w:val="Page Numbers (Bottom of Page)"/>
        <w:docPartUnique/>
      </w:docPartObj>
    </w:sdtPr>
    <w:sdtContent>
      <w:sdt>
        <w:sdtPr>
          <w:id w:val="20987173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54910702"/>
      <w:docPartObj>
        <w:docPartGallery w:val="Page Numbers (Bottom of Page)"/>
        <w:docPartUnique/>
      </w:docPartObj>
    </w:sdtPr>
    <w:sdtContent>
      <w:sdt>
        <w:sdtPr>
          <w:id w:val="10997549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87190983"/>
      <w:docPartObj>
        <w:docPartGallery w:val="Page Numbers (Bottom of Page)"/>
        <w:docPartUnique/>
      </w:docPartObj>
    </w:sdtPr>
    <w:sdtContent>
      <w:sdt>
        <w:sdtPr>
          <w:id w:val="16333801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45936451"/>
      <w:docPartObj>
        <w:docPartGallery w:val="Page Numbers (Bottom of Page)"/>
        <w:docPartUnique/>
      </w:docPartObj>
    </w:sdtPr>
    <w:sdtContent>
      <w:sdt>
        <w:sdtPr>
          <w:id w:val="4519043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63026309"/>
      <w:docPartObj>
        <w:docPartGallery w:val="Page Numbers (Bottom of Page)"/>
        <w:docPartUnique/>
      </w:docPartObj>
    </w:sdtPr>
    <w:sdtContent>
      <w:sdt>
        <w:sdtPr>
          <w:id w:val="5805120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8467565"/>
      <w:docPartObj>
        <w:docPartGallery w:val="Page Numbers (Bottom of Page)"/>
        <w:docPartUnique/>
      </w:docPartObj>
    </w:sdtPr>
    <w:sdtContent>
      <w:sdt>
        <w:sdtPr>
          <w:id w:val="18272292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08687148"/>
      <w:docPartObj>
        <w:docPartGallery w:val="Page Numbers (Bottom of Page)"/>
        <w:docPartUnique/>
      </w:docPartObj>
    </w:sdtPr>
    <w:sdtContent>
      <w:sdt>
        <w:sdtPr>
          <w:id w:val="18657055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06679669"/>
      <w:docPartObj>
        <w:docPartGallery w:val="Page Numbers (Bottom of Page)"/>
        <w:docPartUnique/>
      </w:docPartObj>
    </w:sdtPr>
    <w:sdtContent>
      <w:sdt>
        <w:sdtPr>
          <w:id w:val="103022821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64082211"/>
      <w:docPartObj>
        <w:docPartGallery w:val="Page Numbers (Bottom of Page)"/>
        <w:docPartUnique/>
      </w:docPartObj>
    </w:sdtPr>
    <w:sdtContent>
      <w:sdt>
        <w:sdtPr>
          <w:id w:val="3698948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66873885"/>
      <w:docPartObj>
        <w:docPartGallery w:val="Page Numbers (Bottom of Page)"/>
        <w:docPartUnique/>
      </w:docPartObj>
    </w:sdtPr>
    <w:sdtContent>
      <w:sdt>
        <w:sdtPr>
          <w:id w:val="11545196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97302332"/>
      <w:docPartObj>
        <w:docPartGallery w:val="Page Numbers (Bottom of Page)"/>
        <w:docPartUnique/>
      </w:docPartObj>
    </w:sdtPr>
    <w:sdtContent>
      <w:sdt>
        <w:sdtPr>
          <w:id w:val="7607098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73302077"/>
      <w:docPartObj>
        <w:docPartGallery w:val="Page Numbers (Bottom of Page)"/>
        <w:docPartUnique/>
      </w:docPartObj>
    </w:sdtPr>
    <w:sdtContent>
      <w:sdt>
        <w:sdtPr>
          <w:id w:val="28151725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45067894"/>
      <w:docPartObj>
        <w:docPartGallery w:val="Page Numbers (Bottom of Page)"/>
        <w:docPartUnique/>
      </w:docPartObj>
    </w:sdtPr>
    <w:sdtContent>
      <w:sdt>
        <w:sdtPr>
          <w:id w:val="142479035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02040341"/>
      <w:docPartObj>
        <w:docPartGallery w:val="Page Numbers (Bottom of Page)"/>
        <w:docPartUnique/>
      </w:docPartObj>
    </w:sdtPr>
    <w:sdtContent>
      <w:sdt>
        <w:sdtPr>
          <w:id w:val="20227687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23932097"/>
      <w:docPartObj>
        <w:docPartGallery w:val="Page Numbers (Bottom of Page)"/>
        <w:docPartUnique/>
      </w:docPartObj>
    </w:sdtPr>
    <w:sdtContent>
      <w:sdt>
        <w:sdtPr>
          <w:id w:val="16069113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12966856"/>
      <w:docPartObj>
        <w:docPartGallery w:val="Page Numbers (Bottom of Page)"/>
        <w:docPartUnique/>
      </w:docPartObj>
    </w:sdtPr>
    <w:sdtContent>
      <w:sdt>
        <w:sdtPr>
          <w:id w:val="959306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04418401"/>
      <w:docPartObj>
        <w:docPartGallery w:val="Page Numbers (Bottom of Page)"/>
        <w:docPartUnique/>
      </w:docPartObj>
    </w:sdtPr>
    <w:sdtContent>
      <w:sdt>
        <w:sdtPr>
          <w:id w:val="532790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76775017"/>
      <w:docPartObj>
        <w:docPartGallery w:val="Page Numbers (Bottom of Page)"/>
        <w:docPartUnique/>
      </w:docPartObj>
    </w:sdtPr>
    <w:sdtContent>
      <w:sdt>
        <w:sdtPr>
          <w:id w:val="100291096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45794162"/>
      <w:docPartObj>
        <w:docPartGallery w:val="Page Numbers (Bottom of Page)"/>
        <w:docPartUnique/>
      </w:docPartObj>
    </w:sdtPr>
    <w:sdtContent>
      <w:sdt>
        <w:sdtPr>
          <w:id w:val="21159780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62528037"/>
      <w:docPartObj>
        <w:docPartGallery w:val="Page Numbers (Bottom of Page)"/>
        <w:docPartUnique/>
      </w:docPartObj>
    </w:sdtPr>
    <w:sdtContent>
      <w:sdt>
        <w:sdtPr>
          <w:id w:val="782966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218991"/>
      <w:docPartObj>
        <w:docPartGallery w:val="Page Numbers (Bottom of Page)"/>
        <w:docPartUnique/>
      </w:docPartObj>
    </w:sdtPr>
    <w:sdtContent>
      <w:sdt>
        <w:sdtPr>
          <w:id w:val="910233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24595621"/>
      <w:docPartObj>
        <w:docPartGallery w:val="Page Numbers (Bottom of Page)"/>
        <w:docPartUnique/>
      </w:docPartObj>
    </w:sdtPr>
    <w:sdtContent>
      <w:sdt>
        <w:sdtPr>
          <w:id w:val="167832884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36749221"/>
      <w:docPartObj>
        <w:docPartGallery w:val="Page Numbers (Bottom of Page)"/>
        <w:docPartUnique/>
      </w:docPartObj>
    </w:sdtPr>
    <w:sdtContent>
      <w:sdt>
        <w:sdtPr>
          <w:id w:val="143775901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5CB9FE8B" w14:textId="77777777">
    <w:pPr>
      <w:pStyle w:val="Header"/>
      <w:pBdr>
        <w:bottom w:val="single" w:sz="4" w:space="1" w:color="auto"/>
      </w:pBdr>
      <w:jc w:val="right"/>
    </w:pPr>
    <w:r>
      <w:t>2024年水溶性肥料项目可行性分析报告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2024年水溶性肥料项目可行性分析报告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2024年水溶性肥料项目可行性分析报告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2024年水溶性肥料项目可行性分析报告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2024年水溶性肥料项目可行性分析报告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16696822" w14:textId="77777777">
    <w:pPr>
      <w:pStyle w:val="Header"/>
      <w:pBdr>
        <w:bottom w:val="single" w:sz="4" w:space="1" w:color="auto"/>
      </w:pBdr>
      <w:jc w:val="right"/>
      <w:rPr>
        <w:sz w:val="24"/>
        <w:szCs w:val="24"/>
      </w:rPr>
    </w:pPr>
    <w:r>
      <w:t>2024年水溶性肥料项目可行性分析报告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2024年水溶性肥料项目可行性分析报告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2024年水溶性肥料项目可行性分析报告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2024年水溶性肥料项目可行性分析报告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2024年水溶性肥料项目可行性分析报告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2024年水溶性肥料项目可行性分析报告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2024年水溶性肥料项目可行性分析报告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2024年水溶性肥料项目可行性分析报告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2024年水溶性肥料项目可行性分析报告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2024年水溶性肥料项目可行性分析报告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2024年水溶性肥料项目可行性分析报告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2024年水溶性肥料项目可行性分析报告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2024年水溶性肥料项目可行性分析报告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2024年水溶性肥料项目可行性分析报告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2024年水溶性肥料项目可行性分析报告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2024年水溶性肥料项目可行性分析报告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2024年水溶性肥料项目可行性分析报告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2024年水溶性肥料项目可行性分析报告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2024年水溶性肥料项目可行性分析报告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2024年水溶性肥料项目可行性分析报告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2024年水溶性肥料项目可行性分析报告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2024年水溶性肥料项目可行性分析报告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2024年水溶性肥料项目可行性分析报告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2024年水溶性肥料项目可行性分析报告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2024年水溶性肥料项目可行性分析报告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2024年水溶性肥料项目可行性分析报告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2024年水溶性肥料项目可行性分析报告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2024年水溶性肥料项目可行性分析报告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2024年水溶性肥料项目可行性分析报告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2024年水溶性肥料项目可行性分析报告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E4294"/>
    <w:rsid w:val="00DF3407"/>
    <w:rsid w:val="00DF5FE6"/>
    <w:rsid w:val="00E05E18"/>
    <w:rsid w:val="00E33BE1"/>
    <w:rsid w:val="00E63E7B"/>
    <w:rsid w:val="00E8065F"/>
    <w:rsid w:val="00E94F0F"/>
    <w:rsid w:val="00EB5638"/>
    <w:rsid w:val="00EC4EE4"/>
    <w:rsid w:val="00EF4DFF"/>
    <w:rsid w:val="00F11211"/>
    <w:rsid w:val="00F259E3"/>
    <w:rsid w:val="00F925CB"/>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BC2A9D2"/>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345003133034011103"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41</Pages>
  <Words>7190</Words>
  <Characters>40986</Characters>
  <Application>Microsoft Office Word</Application>
  <DocSecurity>0</DocSecurity>
  <Lines>341</Lines>
  <Paragraphs>96</Paragraphs>
  <ScaleCrop>false</ScaleCrop>
  <Company/>
  <LinksUpToDate>false</LinksUpToDate>
  <CharactersWithSpaces>48080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2024-02-02T03:04:00Z</dcterms:modified>
</cp:coreProperties>
</file>