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before="227" w:line="199" w:lineRule="auto"/>
        <w:ind w:left="11584"/>
        <w:outlineLvl w:val="0"/>
        <w:rPr>
          <w:sz w:val="79"/>
          <w:szCs w:val="79"/>
        </w:rPr>
      </w:pPr>
      <w:r>
        <w:rPr>
          <w:b/>
          <w:bCs/>
          <w:color w:val="002856"/>
          <w:spacing w:val="58"/>
          <w:sz w:val="79"/>
          <w:szCs w:val="79"/>
        </w:rPr>
        <w:t>Leadership</w:t>
      </w:r>
    </w:p>
    <w:p>
      <w:pPr>
        <w:pStyle w:val="BodyText"/>
        <w:spacing w:before="101"/>
        <w:ind w:left="11527"/>
        <w:rPr>
          <w:sz w:val="79"/>
          <w:szCs w:val="79"/>
        </w:rPr>
      </w:pPr>
      <w:r>
        <w:rPr>
          <w:b/>
          <w:bCs/>
          <w:color w:val="002856"/>
          <w:spacing w:val="63"/>
          <w:sz w:val="79"/>
          <w:szCs w:val="79"/>
        </w:rPr>
        <w:t>Vision for 2024</w:t>
      </w:r>
    </w:p>
    <w:p>
      <w:pPr>
        <w:pStyle w:val="BodyText"/>
        <w:spacing w:before="141" w:line="249" w:lineRule="auto"/>
        <w:ind w:left="11557" w:right="1748" w:hanging="22"/>
        <w:rPr>
          <w:sz w:val="43"/>
          <w:szCs w:val="43"/>
        </w:rPr>
      </w:pPr>
      <w:r>
        <w:rPr>
          <w:b/>
          <w:bCs/>
          <w:color w:val="002856"/>
          <w:sz w:val="43"/>
          <w:szCs w:val="43"/>
        </w:rPr>
        <w:t>Top</w:t>
      </w:r>
      <w:r>
        <w:rPr>
          <w:b/>
          <w:bCs/>
          <w:color w:val="002856"/>
          <w:spacing w:val="28"/>
          <w:sz w:val="43"/>
          <w:szCs w:val="43"/>
        </w:rPr>
        <w:t xml:space="preserve"> 3 </w:t>
      </w:r>
      <w:r>
        <w:rPr>
          <w:b/>
          <w:bCs/>
          <w:color w:val="002856"/>
          <w:sz w:val="43"/>
          <w:szCs w:val="43"/>
        </w:rPr>
        <w:t>Strategic</w:t>
      </w:r>
      <w:r>
        <w:rPr>
          <w:b/>
          <w:bCs/>
          <w:color w:val="002856"/>
          <w:spacing w:val="37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Priorities</w:t>
      </w:r>
      <w:r>
        <w:rPr>
          <w:b/>
          <w:bCs/>
          <w:color w:val="002856"/>
          <w:spacing w:val="12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 xml:space="preserve">for </w:t>
      </w:r>
      <w:r>
        <w:rPr>
          <w:b/>
          <w:bCs/>
          <w:color w:val="002856"/>
          <w:sz w:val="43"/>
          <w:szCs w:val="43"/>
        </w:rPr>
        <w:t>Heads</w:t>
      </w:r>
      <w:r>
        <w:rPr>
          <w:b/>
          <w:bCs/>
          <w:color w:val="002856"/>
          <w:spacing w:val="16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of</w:t>
      </w:r>
      <w:r>
        <w:rPr>
          <w:b/>
          <w:bCs/>
          <w:color w:val="002856"/>
          <w:spacing w:val="25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ERM</w:t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before="37" w:line="168" w:lineRule="exact"/>
        <w:ind w:left="720"/>
      </w:pPr>
      <w:r>
        <w:rPr>
          <w:color w:val="FFFFFF"/>
          <w:spacing w:val="3"/>
          <w:position w:val="4"/>
        </w:rPr>
        <w:t>© 2023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6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Inc.</w:t>
      </w:r>
      <w:r>
        <w:rPr>
          <w:color w:val="FFFFFF"/>
          <w:spacing w:val="16"/>
          <w:w w:val="101"/>
          <w:position w:val="4"/>
        </w:rPr>
        <w:t xml:space="preserve"> </w:t>
      </w:r>
      <w:r>
        <w:rPr>
          <w:color w:val="FFFFFF"/>
          <w:spacing w:val="3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its affiliates. All rights</w:t>
      </w:r>
      <w:r>
        <w:rPr>
          <w:color w:val="FFFFFF"/>
          <w:spacing w:val="18"/>
          <w:position w:val="4"/>
        </w:rPr>
        <w:t xml:space="preserve"> </w:t>
      </w:r>
      <w:r>
        <w:rPr>
          <w:color w:val="FFFFFF"/>
          <w:spacing w:val="3"/>
          <w:position w:val="4"/>
        </w:rPr>
        <w:t>reserved.</w:t>
      </w:r>
      <w:r>
        <w:rPr>
          <w:color w:val="FFFFFF"/>
          <w:spacing w:val="15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This</w:t>
      </w:r>
      <w:r>
        <w:rPr>
          <w:color w:val="FFFFFF"/>
          <w:spacing w:val="11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presentation,</w:t>
      </w:r>
      <w:r>
        <w:rPr>
          <w:color w:val="FFFFFF"/>
          <w:spacing w:val="23"/>
          <w:position w:val="4"/>
        </w:rPr>
        <w:t xml:space="preserve"> </w:t>
      </w:r>
      <w:r>
        <w:rPr>
          <w:color w:val="FFFFFF"/>
          <w:spacing w:val="3"/>
          <w:position w:val="4"/>
        </w:rPr>
        <w:t>including all</w:t>
      </w:r>
      <w:r>
        <w:rPr>
          <w:color w:val="FFFFFF"/>
          <w:spacing w:val="7"/>
          <w:position w:val="4"/>
        </w:rPr>
        <w:t xml:space="preserve"> </w:t>
      </w:r>
      <w:r>
        <w:rPr>
          <w:color w:val="FFFFFF"/>
          <w:spacing w:val="3"/>
          <w:position w:val="4"/>
        </w:rPr>
        <w:t>supporting</w:t>
      </w:r>
      <w:r>
        <w:rPr>
          <w:color w:val="FFFFFF"/>
          <w:spacing w:val="20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materials,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is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proprietary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to</w:t>
      </w:r>
      <w:r>
        <w:rPr>
          <w:color w:val="FFFFFF"/>
          <w:spacing w:val="11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"/>
          <w:position w:val="4"/>
        </w:rPr>
        <w:t xml:space="preserve">  Inc.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2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2"/>
          <w:position w:val="4"/>
        </w:rPr>
        <w:t>its affiliates</w:t>
      </w:r>
      <w:r>
        <w:rPr>
          <w:color w:val="FFFFFF"/>
          <w:spacing w:val="12"/>
          <w:position w:val="4"/>
        </w:rPr>
        <w:t xml:space="preserve"> </w:t>
      </w:r>
      <w:r>
        <w:rPr>
          <w:color w:val="FFFFFF"/>
          <w:spacing w:val="2"/>
          <w:position w:val="4"/>
        </w:rPr>
        <w:t>and</w:t>
      </w:r>
      <w:r>
        <w:rPr>
          <w:color w:val="FFFFFF"/>
          <w:spacing w:val="15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is for</w:t>
      </w:r>
      <w:r>
        <w:rPr>
          <w:color w:val="FFFFFF"/>
          <w:spacing w:val="9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the</w:t>
      </w:r>
      <w:r>
        <w:rPr>
          <w:color w:val="FFFFFF"/>
          <w:spacing w:val="10"/>
          <w:w w:val="102"/>
          <w:position w:val="4"/>
        </w:rPr>
        <w:t xml:space="preserve"> </w:t>
      </w:r>
      <w:r>
        <w:rPr>
          <w:color w:val="FFFFFF"/>
          <w:spacing w:val="2"/>
          <w:position w:val="4"/>
        </w:rPr>
        <w:t>sole</w:t>
      </w:r>
    </w:p>
    <w:p>
      <w:pPr>
        <w:pStyle w:val="BodyText"/>
        <w:spacing w:before="1" w:line="209" w:lineRule="auto"/>
        <w:ind w:left="729"/>
      </w:pPr>
      <w:r>
        <w:rPr>
          <w:color w:val="FFFFFF"/>
          <w:spacing w:val="3"/>
        </w:rPr>
        <w:t>internal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use of the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intended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recipients.</w:t>
      </w:r>
      <w:r>
        <w:rPr>
          <w:color w:val="FFFFFF"/>
          <w:spacing w:val="19"/>
        </w:rPr>
        <w:t xml:space="preserve"> </w:t>
      </w:r>
      <w:r>
        <w:rPr>
          <w:color w:val="FFFFFF"/>
          <w:spacing w:val="3"/>
        </w:rPr>
        <w:t>Because this</w:t>
      </w:r>
      <w:r>
        <w:rPr>
          <w:color w:val="FFFFFF"/>
          <w:spacing w:val="14"/>
        </w:rPr>
        <w:t xml:space="preserve"> </w:t>
      </w:r>
      <w:r>
        <w:rPr>
          <w:color w:val="FFFFFF"/>
          <w:spacing w:val="3"/>
        </w:rPr>
        <w:t>presentation</w:t>
      </w:r>
      <w:r>
        <w:rPr>
          <w:color w:val="FFFFFF"/>
          <w:spacing w:val="22"/>
          <w:w w:val="102"/>
        </w:rPr>
        <w:t xml:space="preserve"> </w:t>
      </w:r>
      <w:r>
        <w:rPr>
          <w:color w:val="FFFFFF"/>
          <w:spacing w:val="3"/>
        </w:rPr>
        <w:t>may contain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information</w:t>
      </w:r>
      <w:r>
        <w:rPr>
          <w:color w:val="FFFFFF"/>
          <w:spacing w:val="11"/>
          <w:w w:val="101"/>
        </w:rPr>
        <w:t xml:space="preserve"> </w:t>
      </w:r>
      <w:r>
        <w:rPr>
          <w:color w:val="FFFFFF"/>
          <w:spacing w:val="3"/>
        </w:rPr>
        <w:t>that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is confidential,</w:t>
      </w:r>
      <w:r>
        <w:rPr>
          <w:color w:val="FFFFFF"/>
          <w:spacing w:val="18"/>
          <w:w w:val="102"/>
        </w:rPr>
        <w:t xml:space="preserve"> </w:t>
      </w:r>
      <w:r>
        <w:rPr>
          <w:color w:val="FFFFFF"/>
          <w:spacing w:val="3"/>
        </w:rPr>
        <w:t>proprietary</w:t>
      </w:r>
      <w:r>
        <w:rPr>
          <w:color w:val="FFFFFF"/>
          <w:spacing w:val="17"/>
          <w:w w:val="101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otherwise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legally</w:t>
      </w:r>
      <w:r>
        <w:rPr>
          <w:color w:val="FFFFFF"/>
          <w:spacing w:val="13"/>
          <w:w w:val="102"/>
        </w:rPr>
        <w:t xml:space="preserve"> </w:t>
      </w:r>
      <w:r>
        <w:rPr>
          <w:color w:val="FFFFFF"/>
          <w:spacing w:val="3"/>
        </w:rPr>
        <w:t>protected,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3"/>
        </w:rPr>
        <w:t>it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may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not</w:t>
      </w:r>
      <w:r>
        <w:rPr>
          <w:color w:val="FFFFFF"/>
          <w:spacing w:val="13"/>
          <w:w w:val="101"/>
        </w:rPr>
        <w:t xml:space="preserve"> </w:t>
      </w:r>
      <w:r>
        <w:rPr>
          <w:color w:val="FFFFFF"/>
          <w:spacing w:val="3"/>
        </w:rPr>
        <w:t>be furth</w:t>
      </w:r>
      <w:r>
        <w:rPr>
          <w:color w:val="FFFFFF"/>
          <w:spacing w:val="2"/>
        </w:rPr>
        <w:t>er</w:t>
      </w:r>
      <w:r>
        <w:rPr>
          <w:color w:val="FFFFFF"/>
          <w:spacing w:val="14"/>
          <w:w w:val="102"/>
        </w:rPr>
        <w:t xml:space="preserve"> </w:t>
      </w:r>
      <w:r>
        <w:rPr>
          <w:color w:val="FFFFFF"/>
          <w:spacing w:val="2"/>
        </w:rPr>
        <w:t>copied,</w:t>
      </w:r>
    </w:p>
    <w:p>
      <w:pPr>
        <w:pStyle w:val="BodyText"/>
        <w:spacing w:before="36" w:line="211" w:lineRule="auto"/>
        <w:ind w:left="724"/>
      </w:pPr>
      <w:r>
        <w:rPr>
          <w:color w:val="FFFFFF"/>
          <w:spacing w:val="3"/>
        </w:rPr>
        <w:t>distributed</w:t>
      </w:r>
      <w:r>
        <w:rPr>
          <w:color w:val="FFFFFF"/>
          <w:spacing w:val="26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3"/>
        </w:rPr>
        <w:t xml:space="preserve"> </w:t>
      </w:r>
      <w:r>
        <w:rPr>
          <w:color w:val="FFFFFF"/>
          <w:spacing w:val="3"/>
        </w:rPr>
        <w:t>publicly displayed without the express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written</w:t>
      </w:r>
      <w:r>
        <w:rPr>
          <w:color w:val="FFFFFF"/>
          <w:spacing w:val="17"/>
          <w:w w:val="102"/>
        </w:rPr>
        <w:t xml:space="preserve"> </w:t>
      </w:r>
      <w:r>
        <w:rPr>
          <w:color w:val="FFFFFF"/>
          <w:spacing w:val="3"/>
        </w:rPr>
        <w:t>permission</w:t>
      </w:r>
      <w:r>
        <w:rPr>
          <w:color w:val="FFFFFF"/>
          <w:spacing w:val="10"/>
          <w:w w:val="101"/>
        </w:rPr>
        <w:t xml:space="preserve"> </w:t>
      </w:r>
      <w:r>
        <w:rPr>
          <w:color w:val="FFFFFF"/>
          <w:spacing w:val="3"/>
        </w:rPr>
        <w:t>of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Gartner,</w:t>
      </w:r>
      <w:r>
        <w:rPr>
          <w:color w:val="FFFFFF"/>
          <w:spacing w:val="27"/>
        </w:rPr>
        <w:t xml:space="preserve"> </w:t>
      </w:r>
      <w:r>
        <w:rPr>
          <w:color w:val="FFFFFF"/>
          <w:spacing w:val="3"/>
        </w:rPr>
        <w:t>Inc.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0"/>
          <w:w w:val="102"/>
        </w:rPr>
        <w:t xml:space="preserve"> </w:t>
      </w:r>
      <w:r>
        <w:rPr>
          <w:color w:val="FFFFFF"/>
          <w:spacing w:val="3"/>
        </w:rPr>
        <w:t>its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affiliates.</w:t>
      </w:r>
    </w:p>
    <w:p>
      <w:pPr>
        <w:spacing w:line="211" w:lineRule="auto"/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233" w:line="210" w:lineRule="auto"/>
        <w:ind w:left="657" w:right="3099" w:hanging="1"/>
        <w:outlineLvl w:val="0"/>
        <w:rPr>
          <w:sz w:val="64"/>
          <w:szCs w:val="64"/>
        </w:rPr>
      </w:pPr>
      <w:r>
        <w:rPr>
          <w:b/>
          <w:bCs/>
          <w:color w:val="002856"/>
          <w:spacing w:val="44"/>
          <w:sz w:val="64"/>
          <w:szCs w:val="64"/>
        </w:rPr>
        <w:t xml:space="preserve">Leadership Vision for Heads </w:t>
      </w:r>
      <w:r>
        <w:rPr>
          <w:b/>
          <w:bCs/>
          <w:color w:val="002856"/>
          <w:spacing w:val="43"/>
          <w:sz w:val="64"/>
          <w:szCs w:val="64"/>
        </w:rPr>
        <w:t>of</w:t>
      </w:r>
      <w:r>
        <w:rPr>
          <w:b/>
          <w:bCs/>
          <w:color w:val="002856"/>
          <w:spacing w:val="99"/>
          <w:sz w:val="64"/>
          <w:szCs w:val="64"/>
        </w:rPr>
        <w:t xml:space="preserve"> </w:t>
      </w:r>
      <w:r>
        <w:rPr>
          <w:b/>
          <w:bCs/>
          <w:color w:val="002856"/>
          <w:spacing w:val="43"/>
          <w:sz w:val="64"/>
          <w:szCs w:val="64"/>
        </w:rPr>
        <w:t>Enterprise</w:t>
      </w:r>
      <w:r>
        <w:rPr>
          <w:b/>
          <w:bCs/>
          <w:color w:val="002856"/>
          <w:sz w:val="64"/>
          <w:szCs w:val="64"/>
        </w:rPr>
        <w:t xml:space="preserve"> </w:t>
      </w:r>
      <w:r>
        <w:rPr>
          <w:b/>
          <w:bCs/>
          <w:color w:val="002856"/>
          <w:spacing w:val="48"/>
          <w:sz w:val="64"/>
          <w:szCs w:val="64"/>
        </w:rPr>
        <w:t>Risk</w:t>
      </w:r>
      <w:r>
        <w:rPr>
          <w:b/>
          <w:bCs/>
          <w:color w:val="002856"/>
          <w:spacing w:val="84"/>
          <w:sz w:val="64"/>
          <w:szCs w:val="64"/>
        </w:rPr>
        <w:t xml:space="preserve"> </w:t>
      </w:r>
      <w:r>
        <w:rPr>
          <w:b/>
          <w:bCs/>
          <w:color w:val="002856"/>
          <w:spacing w:val="48"/>
          <w:sz w:val="64"/>
          <w:szCs w:val="64"/>
        </w:rPr>
        <w:t>Management (ERM)</w:t>
      </w:r>
      <w:r>
        <w:rPr>
          <w:b/>
          <w:bCs/>
          <w:color w:val="002856"/>
          <w:spacing w:val="79"/>
          <w:sz w:val="64"/>
          <w:szCs w:val="64"/>
        </w:rPr>
        <w:t xml:space="preserve"> </w:t>
      </w:r>
      <w:r>
        <w:rPr>
          <w:b/>
          <w:bCs/>
          <w:color w:val="002856"/>
          <w:spacing w:val="48"/>
          <w:sz w:val="64"/>
          <w:szCs w:val="64"/>
        </w:rPr>
        <w:t>in 2024</w:t>
      </w:r>
    </w:p>
    <w:p>
      <w:pPr>
        <w:pStyle w:val="BodyText"/>
        <w:spacing w:line="435" w:lineRule="auto"/>
        <w:rPr>
          <w:sz w:val="21"/>
        </w:rPr>
      </w:pPr>
    </w:p>
    <w:p>
      <w:pPr>
        <w:pStyle w:val="BodyText"/>
        <w:spacing w:before="90" w:line="202" w:lineRule="auto"/>
        <w:ind w:left="633"/>
        <w:rPr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3.25pt;height:184.2pt;margin-top:2.39pt;margin-left:485.39pt;position:absolute;z-index:251658240" filled="t" fillcolor="#f2f2f2" stroked="f">
            <o:lock v:ext="edit" aspectratio="f"/>
            <v:textbox inset="0,0,0,0">
              <w:txbxContent>
                <w:p>
                  <w:pPr>
                    <w:pStyle w:val="BodyText"/>
                    <w:spacing w:line="272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90" w:line="202" w:lineRule="auto"/>
                    <w:ind w:left="36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4"/>
                      <w:sz w:val="31"/>
                      <w:szCs w:val="31"/>
                    </w:rPr>
                    <w:t>Key questions address</w:t>
                  </w: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ed:</w:t>
                  </w:r>
                </w:p>
                <w:p>
                  <w:pPr>
                    <w:pStyle w:val="BodyText"/>
                    <w:spacing w:before="289" w:line="182" w:lineRule="auto"/>
                    <w:ind w:left="377"/>
                    <w:rPr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22"/>
                      <w:position w:val="5"/>
                      <w:sz w:val="26"/>
                      <w:szCs w:val="26"/>
                    </w:rPr>
                    <w:t>②</w:t>
                  </w: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78"/>
                      <w:position w:val="5"/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What</w:t>
                  </w:r>
                  <w:r>
                    <w:rPr>
                      <w:spacing w:val="22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are</w:t>
                  </w:r>
                  <w:r>
                    <w:rPr>
                      <w:spacing w:val="22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the</w:t>
                  </w:r>
                  <w:r>
                    <w:rPr>
                      <w:spacing w:val="26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major</w:t>
                  </w:r>
                  <w:r>
                    <w:rPr>
                      <w:spacing w:val="22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trends</w:t>
                  </w:r>
                  <w:r>
                    <w:rPr>
                      <w:spacing w:val="22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affecting</w:t>
                  </w:r>
                  <w:r>
                    <w:rPr>
                      <w:spacing w:val="25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heads</w:t>
                  </w:r>
                  <w:r>
                    <w:rPr>
                      <w:spacing w:val="22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of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ERM</w:t>
                  </w:r>
                  <w:r>
                    <w:rPr>
                      <w:spacing w:val="22"/>
                      <w:sz w:val="31"/>
                      <w:szCs w:val="31"/>
                    </w:rPr>
                    <w:t>?</w:t>
                  </w:r>
                </w:p>
                <w:p>
                  <w:pPr>
                    <w:pStyle w:val="BodyText"/>
                    <w:spacing w:before="285" w:line="242" w:lineRule="auto"/>
                    <w:ind w:left="796" w:right="1026" w:hanging="419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68275" cy="170688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275" cy="170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77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What challenges are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heads of</w:t>
                  </w:r>
                  <w:r>
                    <w:rPr>
                      <w:spacing w:val="19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ERM facing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in the</w:t>
                  </w:r>
                  <w:r>
                    <w:rPr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year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ahead</w:t>
                  </w:r>
                  <w:r>
                    <w:rPr>
                      <w:spacing w:val="24"/>
                      <w:sz w:val="31"/>
                      <w:szCs w:val="31"/>
                    </w:rPr>
                    <w:t>?</w:t>
                  </w:r>
                </w:p>
                <w:p>
                  <w:pPr>
                    <w:pStyle w:val="BodyText"/>
                    <w:spacing w:before="287" w:line="234" w:lineRule="auto"/>
                    <w:ind w:left="797" w:right="580" w:hanging="420"/>
                    <w:rPr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35"/>
                      <w:position w:val="5"/>
                      <w:sz w:val="26"/>
                      <w:szCs w:val="26"/>
                    </w:rPr>
                    <w:t>②</w:t>
                  </w: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79"/>
                      <w:w w:val="101"/>
                      <w:position w:val="5"/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What</w:t>
                  </w:r>
                  <w:r>
                    <w:rPr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actions</w:t>
                  </w:r>
                  <w:r>
                    <w:rPr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should</w:t>
                  </w:r>
                  <w:r>
                    <w:rPr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heads</w:t>
                  </w:r>
                  <w:r>
                    <w:rPr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of</w:t>
                  </w:r>
                  <w:r>
                    <w:rPr>
                      <w:spacing w:val="17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ERM</w:t>
                  </w:r>
                  <w:r>
                    <w:rPr>
                      <w:spacing w:val="17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and</w:t>
                  </w:r>
                  <w:r>
                    <w:rPr>
                      <w:spacing w:val="8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their</w:t>
                  </w:r>
                  <w:r>
                    <w:rPr>
                      <w:spacing w:val="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 xml:space="preserve">teams </w:t>
                  </w:r>
                  <w:r>
                    <w:rPr>
                      <w:sz w:val="31"/>
                      <w:szCs w:val="31"/>
                    </w:rPr>
                    <w:t>take</w:t>
                  </w:r>
                  <w:r>
                    <w:rPr>
                      <w:spacing w:val="28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to</w:t>
                  </w:r>
                  <w:r>
                    <w:rPr>
                      <w:spacing w:val="1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succeed</w:t>
                  </w:r>
                  <w:r>
                    <w:rPr>
                      <w:spacing w:val="28"/>
                      <w:sz w:val="31"/>
                      <w:szCs w:val="31"/>
                    </w:rPr>
                    <w:t>?</w:t>
                  </w:r>
                </w:p>
              </w:txbxContent>
            </v:textbox>
          </v:shape>
        </w:pict>
      </w:r>
      <w:r>
        <w:rPr>
          <w:sz w:val="31"/>
          <w:szCs w:val="31"/>
        </w:rPr>
        <w:t>New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technologies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rise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-26"/>
          <w:sz w:val="31"/>
          <w:szCs w:val="31"/>
        </w:rPr>
        <w:t xml:space="preserve"> </w:t>
      </w:r>
      <w:r>
        <w:rPr>
          <w:sz w:val="31"/>
          <w:szCs w:val="31"/>
        </w:rPr>
        <w:t>AI</w:t>
      </w:r>
      <w:r>
        <w:rPr>
          <w:spacing w:val="23"/>
          <w:sz w:val="31"/>
          <w:szCs w:val="31"/>
        </w:rPr>
        <w:t>,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privacy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concerns</w:t>
      </w:r>
      <w:r>
        <w:rPr>
          <w:spacing w:val="23"/>
          <w:sz w:val="31"/>
          <w:szCs w:val="31"/>
        </w:rPr>
        <w:t>,</w:t>
      </w:r>
    </w:p>
    <w:p>
      <w:pPr>
        <w:pStyle w:val="BodyText"/>
        <w:spacing w:before="45" w:line="202" w:lineRule="auto"/>
        <w:ind w:left="630"/>
        <w:rPr>
          <w:sz w:val="31"/>
          <w:szCs w:val="31"/>
        </w:rPr>
      </w:pPr>
      <w:r>
        <w:rPr>
          <w:spacing w:val="3"/>
          <w:sz w:val="31"/>
          <w:szCs w:val="31"/>
        </w:rPr>
        <w:t>regulatory</w:t>
      </w:r>
      <w:r>
        <w:rPr>
          <w:spacing w:val="30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requirements, environmental</w:t>
      </w:r>
      <w:r>
        <w:rPr>
          <w:spacing w:val="2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risks, and</w:t>
      </w:r>
    </w:p>
    <w:p>
      <w:pPr>
        <w:pStyle w:val="BodyText"/>
        <w:spacing w:before="45" w:line="233" w:lineRule="auto"/>
        <w:ind w:left="619"/>
        <w:rPr>
          <w:sz w:val="31"/>
          <w:szCs w:val="31"/>
        </w:rPr>
      </w:pPr>
      <w:r>
        <w:rPr>
          <w:spacing w:val="4"/>
          <w:sz w:val="31"/>
          <w:szCs w:val="31"/>
        </w:rPr>
        <w:t>geopolitical, economic and social change are s</w:t>
      </w:r>
      <w:r>
        <w:rPr>
          <w:spacing w:val="3"/>
          <w:sz w:val="31"/>
          <w:szCs w:val="31"/>
        </w:rPr>
        <w:t>haping</w:t>
      </w:r>
      <w:r>
        <w:rPr>
          <w:spacing w:val="2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how</w:t>
      </w:r>
    </w:p>
    <w:p>
      <w:pPr>
        <w:pStyle w:val="BodyText"/>
        <w:spacing w:before="1" w:line="201" w:lineRule="auto"/>
        <w:ind w:left="615"/>
        <w:rPr>
          <w:sz w:val="31"/>
          <w:szCs w:val="31"/>
        </w:rPr>
      </w:pPr>
      <w:r>
        <w:rPr>
          <w:sz w:val="31"/>
          <w:szCs w:val="31"/>
        </w:rPr>
        <w:t>the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best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organizations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will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manage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enterprise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risk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16"/>
          <w:sz w:val="31"/>
          <w:szCs w:val="31"/>
        </w:rPr>
        <w:t xml:space="preserve"> 2024.</w:t>
      </w:r>
    </w:p>
    <w:p>
      <w:pPr>
        <w:pStyle w:val="BodyText"/>
        <w:spacing w:before="285" w:line="233" w:lineRule="auto"/>
        <w:ind w:left="639"/>
        <w:rPr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context</w:t>
      </w:r>
      <w:r>
        <w:rPr>
          <w:spacing w:val="11"/>
          <w:sz w:val="31"/>
          <w:szCs w:val="31"/>
        </w:rPr>
        <w:t xml:space="preserve">, </w:t>
      </w:r>
      <w:r>
        <w:rPr>
          <w:sz w:val="31"/>
          <w:szCs w:val="31"/>
        </w:rPr>
        <w:t>the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top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priorities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for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heads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ERM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12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2024</w:t>
      </w:r>
    </w:p>
    <w:p>
      <w:pPr>
        <w:pStyle w:val="BodyText"/>
        <w:spacing w:line="361" w:lineRule="exact"/>
        <w:ind w:left="619"/>
        <w:rPr>
          <w:sz w:val="31"/>
          <w:szCs w:val="31"/>
        </w:rPr>
      </w:pPr>
      <w:r>
        <w:rPr>
          <w:sz w:val="31"/>
          <w:szCs w:val="31"/>
        </w:rPr>
        <w:t>should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be</w:t>
      </w:r>
      <w:r>
        <w:rPr>
          <w:spacing w:val="12"/>
          <w:sz w:val="31"/>
          <w:szCs w:val="31"/>
        </w:rPr>
        <w:t>:</w:t>
      </w:r>
    </w:p>
    <w:p>
      <w:pPr>
        <w:pStyle w:val="BodyText"/>
        <w:spacing w:before="196" w:line="215" w:lineRule="auto"/>
        <w:ind w:left="850" w:right="10721" w:hanging="222"/>
        <w:rPr>
          <w:sz w:val="31"/>
          <w:szCs w:val="31"/>
        </w:rPr>
      </w:pPr>
      <w:r>
        <w:rPr>
          <w:spacing w:val="22"/>
          <w:sz w:val="36"/>
          <w:szCs w:val="36"/>
        </w:rPr>
        <w:t xml:space="preserve">• </w:t>
      </w:r>
      <w:r>
        <w:rPr>
          <w:sz w:val="31"/>
          <w:szCs w:val="31"/>
        </w:rPr>
        <w:t>How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can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ERM</w:t>
      </w:r>
      <w:r>
        <w:rPr>
          <w:spacing w:val="26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increase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confidence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 xml:space="preserve">enterprise </w:t>
      </w:r>
      <w:r>
        <w:rPr>
          <w:sz w:val="31"/>
          <w:szCs w:val="31"/>
        </w:rPr>
        <w:t>risk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assessments</w:t>
      </w:r>
      <w:r>
        <w:rPr>
          <w:spacing w:val="31"/>
          <w:sz w:val="31"/>
          <w:szCs w:val="31"/>
        </w:rPr>
        <w:t>?</w:t>
      </w:r>
    </w:p>
    <w:p>
      <w:pPr>
        <w:pStyle w:val="BodyText"/>
        <w:spacing w:before="1" w:line="200" w:lineRule="auto"/>
        <w:ind w:left="628"/>
        <w:rPr>
          <w:sz w:val="31"/>
          <w:szCs w:val="31"/>
        </w:rPr>
      </w:pPr>
      <w:r>
        <w:rPr>
          <w:spacing w:val="18"/>
          <w:sz w:val="36"/>
          <w:szCs w:val="36"/>
        </w:rPr>
        <w:t xml:space="preserve">• </w:t>
      </w:r>
      <w:r>
        <w:rPr>
          <w:sz w:val="31"/>
          <w:szCs w:val="31"/>
        </w:rPr>
        <w:t>How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can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ERM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enhance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its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value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corporate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strategy</w:t>
      </w:r>
      <w:r>
        <w:rPr>
          <w:spacing w:val="18"/>
          <w:sz w:val="31"/>
          <w:szCs w:val="31"/>
        </w:rPr>
        <w:t>?</w:t>
      </w:r>
    </w:p>
    <w:p>
      <w:pPr>
        <w:pStyle w:val="BodyText"/>
        <w:spacing w:before="1" w:line="210" w:lineRule="auto"/>
        <w:ind w:left="840" w:right="9559" w:hanging="212"/>
        <w:rPr>
          <w:sz w:val="31"/>
          <w:szCs w:val="31"/>
        </w:rPr>
      </w:pPr>
      <w:r>
        <w:rPr>
          <w:spacing w:val="17"/>
          <w:sz w:val="36"/>
          <w:szCs w:val="36"/>
        </w:rPr>
        <w:t xml:space="preserve">• </w:t>
      </w:r>
      <w:r>
        <w:rPr>
          <w:sz w:val="31"/>
          <w:szCs w:val="31"/>
        </w:rPr>
        <w:t>How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can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ERM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help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organization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respond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 xml:space="preserve">risks </w:t>
      </w:r>
      <w:r>
        <w:rPr>
          <w:sz w:val="31"/>
          <w:szCs w:val="31"/>
        </w:rPr>
        <w:t>of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generative</w:t>
      </w:r>
      <w:r>
        <w:rPr>
          <w:spacing w:val="-14"/>
          <w:sz w:val="31"/>
          <w:szCs w:val="31"/>
        </w:rPr>
        <w:t xml:space="preserve"> </w:t>
      </w:r>
      <w:r>
        <w:rPr>
          <w:sz w:val="31"/>
          <w:szCs w:val="31"/>
        </w:rPr>
        <w:t>AI</w:t>
      </w:r>
      <w:r>
        <w:rPr>
          <w:spacing w:val="30"/>
          <w:sz w:val="31"/>
          <w:szCs w:val="31"/>
        </w:rPr>
        <w:t>?</w:t>
      </w:r>
    </w:p>
    <w:p>
      <w:pPr>
        <w:pStyle w:val="BodyText"/>
        <w:spacing w:line="300" w:lineRule="auto"/>
        <w:rPr>
          <w:sz w:val="21"/>
        </w:rPr>
      </w:pPr>
    </w:p>
    <w:p>
      <w:pPr>
        <w:pStyle w:val="BodyText"/>
        <w:spacing w:before="89" w:line="233" w:lineRule="auto"/>
        <w:ind w:left="634"/>
        <w:rPr>
          <w:sz w:val="31"/>
          <w:szCs w:val="31"/>
        </w:rPr>
      </w:pPr>
      <w:r>
        <w:rPr>
          <w:spacing w:val="3"/>
          <w:sz w:val="31"/>
          <w:szCs w:val="31"/>
        </w:rPr>
        <w:t>Heads of ERM can</w:t>
      </w:r>
      <w:r>
        <w:rPr>
          <w:spacing w:val="2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use this</w:t>
      </w:r>
      <w:r>
        <w:rPr>
          <w:spacing w:val="2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res</w:t>
      </w:r>
      <w:r>
        <w:rPr>
          <w:spacing w:val="2"/>
          <w:sz w:val="31"/>
          <w:szCs w:val="31"/>
        </w:rPr>
        <w:t>earch</w:t>
      </w:r>
      <w:r>
        <w:rPr>
          <w:spacing w:val="1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to</w:t>
      </w:r>
      <w:r>
        <w:rPr>
          <w:spacing w:val="15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stay</w:t>
      </w:r>
      <w:r>
        <w:rPr>
          <w:spacing w:val="18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ahead</w:t>
      </w:r>
      <w:r>
        <w:rPr>
          <w:spacing w:val="13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of</w:t>
      </w:r>
    </w:p>
    <w:p>
      <w:pPr>
        <w:pStyle w:val="BodyText"/>
        <w:spacing w:before="2" w:line="201" w:lineRule="auto"/>
        <w:ind w:left="630"/>
        <w:rPr>
          <w:sz w:val="31"/>
          <w:szCs w:val="31"/>
        </w:rPr>
      </w:pPr>
      <w:r>
        <w:rPr>
          <w:spacing w:val="4"/>
          <w:sz w:val="31"/>
          <w:szCs w:val="31"/>
        </w:rPr>
        <w:t>major trends and</w:t>
      </w:r>
      <w:r>
        <w:rPr>
          <w:spacing w:val="25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lead their tea</w:t>
      </w:r>
      <w:r>
        <w:rPr>
          <w:spacing w:val="3"/>
          <w:sz w:val="31"/>
          <w:szCs w:val="31"/>
        </w:rPr>
        <w:t>ms toward a</w:t>
      </w:r>
      <w:r>
        <w:rPr>
          <w:spacing w:val="1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successful</w:t>
      </w:r>
    </w:p>
    <w:p>
      <w:pPr>
        <w:pStyle w:val="BodyText"/>
        <w:spacing w:before="45" w:line="362" w:lineRule="exact"/>
        <w:ind w:left="612"/>
        <w:rPr>
          <w:sz w:val="31"/>
          <w:szCs w:val="31"/>
        </w:rPr>
      </w:pPr>
      <w:r>
        <w:rPr>
          <w:sz w:val="31"/>
          <w:szCs w:val="31"/>
        </w:rPr>
        <w:t>future</w:t>
      </w:r>
      <w:r>
        <w:rPr>
          <w:spacing w:val="23"/>
          <w:sz w:val="31"/>
          <w:szCs w:val="31"/>
        </w:rPr>
        <w:t>.</w:t>
      </w:r>
    </w:p>
    <w:p>
      <w:pPr>
        <w:spacing w:before="2"/>
      </w:pPr>
    </w:p>
    <w:p>
      <w:pPr>
        <w:spacing w:before="2"/>
      </w:pPr>
    </w:p>
    <w:p>
      <w:pPr>
        <w:spacing w:before="1"/>
        <w:sectPr>
          <w:headerReference w:type="default" r:id="rId7"/>
          <w:pgSz w:w="19200" w:h="10800"/>
          <w:pgMar w:top="400" w:right="717" w:bottom="0" w:left="110" w:header="0" w:footer="0" w:gutter="0"/>
          <w:pgNumType w:start="3"/>
          <w:cols w:num="1" w:space="708" w:equalWidth="0">
            <w:col w:w="18372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headerReference w:type="default" r:id="rId8"/>
          <w:type w:val="nextPage"/>
          <w:pgSz w:w="19200" w:h="10800"/>
          <w:pgMar w:top="400" w:right="717" w:bottom="0" w:left="110" w:header="0" w:footer="0" w:gutter="0"/>
          <w:pgNumType w:start="4"/>
          <w:cols w:num="1" w:space="708" w:equalWidth="0">
            <w:col w:w="18372" w:space="0"/>
          </w:cols>
          <w:titlePg w:val="0"/>
        </w:sectPr>
      </w:pPr>
    </w:p>
    <w:p>
      <w:pPr>
        <w:pStyle w:val="BodyText"/>
        <w:spacing w:before="294" w:line="189" w:lineRule="auto"/>
        <w:ind w:left="615"/>
        <w:rPr>
          <w:sz w:val="19"/>
          <w:szCs w:val="19"/>
        </w:rPr>
      </w:pPr>
      <w:r>
        <w:rPr>
          <w:sz w:val="19"/>
          <w:szCs w:val="19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32" w:line="207" w:lineRule="auto"/>
        <w:ind w:left="24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3" w:line="210" w:lineRule="auto"/>
      </w:pP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60" w:lineRule="exact"/>
      </w:pPr>
      <w:r>
        <w:rPr>
          <w:position w:val="-9"/>
        </w:rPr>
        <w:drawing>
          <wp:inline distT="0" distB="0" distL="0" distR="0">
            <wp:extent cx="1280159" cy="29173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0" w:lineRule="exact"/>
        <w:sectPr>
          <w:headerReference w:type="default" r:id="rId10"/>
          <w:type w:val="continuous"/>
          <w:pgSz w:w="19200" w:h="10800"/>
          <w:pgMar w:top="400" w:right="717" w:bottom="0" w:left="110" w:header="0" w:footer="0" w:gutter="0"/>
          <w:pgNumType w:start="5"/>
          <w:cols w:num="3" w:space="708" w:equalWidth="0">
            <w:col w:w="870" w:space="100"/>
            <w:col w:w="15282" w:space="100"/>
            <w:col w:w="2021" w:space="0"/>
          </w:cols>
        </w:sectPr>
      </w:pPr>
    </w:p>
    <w:p>
      <w:pPr>
        <w:pStyle w:val="BodyText"/>
        <w:spacing w:before="228" w:line="199" w:lineRule="auto"/>
        <w:ind w:left="8"/>
        <w:outlineLvl w:val="0"/>
        <w:rPr>
          <w:sz w:val="64"/>
          <w:szCs w:val="64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3154451</wp:posOffset>
            </wp:positionH>
            <wp:positionV relativeFrom="page">
              <wp:posOffset>3218653</wp:posOffset>
            </wp:positionV>
            <wp:extent cx="541277" cy="54675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277" cy="546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579119</wp:posOffset>
            </wp:positionH>
            <wp:positionV relativeFrom="page">
              <wp:posOffset>2266186</wp:posOffset>
            </wp:positionV>
            <wp:extent cx="2660904" cy="283311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0904" cy="2833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1764791</wp:posOffset>
            </wp:positionH>
            <wp:positionV relativeFrom="page">
              <wp:posOffset>1345691</wp:posOffset>
            </wp:positionV>
            <wp:extent cx="2164079" cy="466801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4079" cy="4668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10453116</wp:posOffset>
            </wp:positionH>
            <wp:positionV relativeFrom="page">
              <wp:posOffset>6242303</wp:posOffset>
            </wp:positionV>
            <wp:extent cx="1280159" cy="29260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2856"/>
          <w:spacing w:val="46"/>
          <w:sz w:val="64"/>
          <w:szCs w:val="64"/>
        </w:rPr>
        <w:t>2024</w:t>
      </w:r>
      <w:r>
        <w:rPr>
          <w:b/>
          <w:bCs/>
          <w:color w:val="002856"/>
          <w:spacing w:val="82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Potential</w:t>
      </w:r>
      <w:r>
        <w:rPr>
          <w:b/>
          <w:bCs/>
          <w:color w:val="002856"/>
          <w:spacing w:val="80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Enterp</w:t>
      </w:r>
      <w:r>
        <w:rPr>
          <w:b/>
          <w:bCs/>
          <w:color w:val="002856"/>
          <w:spacing w:val="45"/>
          <w:sz w:val="64"/>
          <w:szCs w:val="64"/>
        </w:rPr>
        <w:t>rise</w:t>
      </w:r>
      <w:r>
        <w:rPr>
          <w:b/>
          <w:bCs/>
          <w:color w:val="002856"/>
          <w:spacing w:val="84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Risk Trends</w:t>
      </w:r>
    </w:p>
    <w:p>
      <w:pPr>
        <w:pStyle w:val="BodyText"/>
        <w:spacing w:before="209" w:line="198" w:lineRule="auto"/>
        <w:ind w:left="18"/>
        <w:rPr>
          <w:sz w:val="36"/>
          <w:szCs w:val="36"/>
        </w:rPr>
      </w:pPr>
      <w:r>
        <w:rPr>
          <w:b/>
          <w:bCs/>
          <w:spacing w:val="-2"/>
          <w:sz w:val="36"/>
          <w:szCs w:val="36"/>
        </w:rPr>
        <w:t>Framework From Gartner</w:t>
      </w:r>
      <w:r>
        <w:rPr>
          <w:b/>
          <w:bCs/>
          <w:spacing w:val="23"/>
          <w:sz w:val="36"/>
          <w:szCs w:val="36"/>
        </w:rPr>
        <w:t xml:space="preserve"> </w:t>
      </w:r>
      <w:r>
        <w:rPr>
          <w:b/>
          <w:bCs/>
          <w:spacing w:val="-2"/>
          <w:sz w:val="36"/>
          <w:szCs w:val="36"/>
        </w:rPr>
        <w:t>Future</w:t>
      </w:r>
      <w:r>
        <w:rPr>
          <w:b/>
          <w:bCs/>
          <w:spacing w:val="26"/>
          <w:sz w:val="36"/>
          <w:szCs w:val="36"/>
        </w:rPr>
        <w:t xml:space="preserve"> </w:t>
      </w:r>
      <w:r>
        <w:rPr>
          <w:b/>
          <w:bCs/>
          <w:spacing w:val="-2"/>
          <w:sz w:val="36"/>
          <w:szCs w:val="36"/>
        </w:rPr>
        <w:t>Lab’s TPES</w:t>
      </w:r>
      <w:r>
        <w:rPr>
          <w:b/>
          <w:bCs/>
          <w:spacing w:val="-3"/>
          <w:sz w:val="36"/>
          <w:szCs w:val="36"/>
        </w:rPr>
        <w:t>TRE</w:t>
      </w:r>
      <w:r>
        <w:rPr>
          <w:b/>
          <w:bCs/>
          <w:spacing w:val="23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Project and Associated,</w:t>
      </w:r>
      <w:r>
        <w:rPr>
          <w:b/>
          <w:bCs/>
          <w:spacing w:val="38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Potential</w:t>
      </w:r>
      <w:r>
        <w:rPr>
          <w:b/>
          <w:bCs/>
          <w:spacing w:val="24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Risks</w:t>
      </w:r>
    </w:p>
    <w:tbl>
      <w:tblPr>
        <w:tblStyle w:val="TableNormal0"/>
        <w:tblW w:w="11253" w:type="dxa"/>
        <w:tblInd w:w="5418" w:type="dxa"/>
        <w:tblBorders>
          <w:top w:val="single" w:sz="2" w:space="0" w:color="6F7878"/>
          <w:left w:val="single" w:sz="2" w:space="0" w:color="6F7878"/>
          <w:bottom w:val="single" w:sz="2" w:space="0" w:color="6F7878"/>
          <w:right w:val="single" w:sz="2" w:space="0" w:color="6F7878"/>
          <w:insideH w:val="single" w:sz="2" w:space="0" w:color="6F7878"/>
          <w:insideV w:val="single" w:sz="2" w:space="0" w:color="6F7878"/>
        </w:tblBorders>
        <w:tblLayout w:type="fixed"/>
      </w:tblPr>
      <w:tblGrid>
        <w:gridCol w:w="1051"/>
        <w:gridCol w:w="2280"/>
        <w:gridCol w:w="263"/>
        <w:gridCol w:w="7659"/>
      </w:tblGrid>
      <w:tr>
        <w:tblPrEx>
          <w:tblW w:w="11253" w:type="dxa"/>
          <w:tblInd w:w="5418" w:type="dxa"/>
          <w:tblBorders>
            <w:top w:val="single" w:sz="2" w:space="0" w:color="6F7878"/>
            <w:left w:val="single" w:sz="2" w:space="0" w:color="6F7878"/>
            <w:bottom w:val="single" w:sz="2" w:space="0" w:color="6F7878"/>
            <w:right w:val="single" w:sz="2" w:space="0" w:color="6F7878"/>
            <w:insideH w:val="single" w:sz="2" w:space="0" w:color="6F7878"/>
            <w:insideV w:val="single" w:sz="2" w:space="0" w:color="6F7878"/>
          </w:tblBorders>
          <w:tblLayout w:type="fixed"/>
        </w:tblPrEx>
        <w:trPr>
          <w:trHeight w:val="1025"/>
        </w:trPr>
        <w:tc>
          <w:tcPr>
            <w:tcW w:w="105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TableText"/>
              <w:spacing w:line="249" w:lineRule="auto"/>
              <w:rPr>
                <w:sz w:val="21"/>
              </w:rPr>
            </w:pPr>
          </w:p>
          <w:p>
            <w:pPr>
              <w:spacing w:line="599" w:lineRule="exact"/>
              <w:ind w:firstLine="235"/>
            </w:pPr>
            <w:r>
              <w:rPr>
                <w:position w:val="-11"/>
              </w:rPr>
              <w:drawing>
                <wp:inline distT="0" distB="0" distL="0" distR="0">
                  <wp:extent cx="399148" cy="38042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48" cy="38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0" w:type="dxa"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spacing w:line="400" w:lineRule="auto"/>
              <w:rPr>
                <w:sz w:val="21"/>
              </w:rPr>
            </w:pPr>
          </w:p>
          <w:p>
            <w:pPr>
              <w:pStyle w:val="TableText"/>
              <w:spacing w:before="63" w:line="197" w:lineRule="auto"/>
              <w:ind w:left="140"/>
            </w:pPr>
            <w: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>
                      <wp:simplePos x="0" y="0"/>
                      <wp:positionH relativeFrom="column">
                        <wp:posOffset>-641730</wp:posOffset>
                      </wp:positionH>
                      <wp:positionV relativeFrom="paragraph">
                        <wp:posOffset>-255324</wp:posOffset>
                      </wp:positionV>
                      <wp:extent cx="7571740" cy="4658995"/>
                      <wp:effectExtent l="0" t="0" r="0" b="0"/>
                      <wp:wrapNone/>
                      <wp:docPr id="20" name="Rec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41730" y="-255324"/>
                                <a:ext cx="7571740" cy="4658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4F4F4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0" o:spid="_x0000_s1026" style="width:596.2pt;height:366.85pt;margin-top:-20.1pt;margin-left:-50.53pt;mso-wrap-distance-bottom:0;mso-wrap-distance-left:0;mso-wrap-distance-right:0;mso-wrap-distance-top:0;position:absolute;v-text-anchor:top;z-index:-251657216" fillcolor="#f4f4f4" stroked="f"/>
                  </w:pict>
                </mc:Fallback>
              </mc:AlternateContent>
            </w:r>
            <w:r>
              <w:rPr>
                <w:b/>
                <w:bCs/>
                <w:spacing w:val="-1"/>
              </w:rPr>
              <w:t>Technological</w:t>
            </w:r>
          </w:p>
        </w:tc>
        <w:tc>
          <w:tcPr>
            <w:tcW w:w="263" w:type="dxa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202" w:line="257" w:lineRule="auto"/>
              <w:ind w:left="147" w:right="47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TableText"/>
              <w:spacing w:before="202" w:line="264" w:lineRule="exact"/>
              <w:ind w:left="100"/>
            </w:pPr>
            <w:r>
              <w:rPr>
                <w:position w:val="5"/>
              </w:rPr>
              <w:t>Generative AI disrup</w:t>
            </w:r>
            <w:r>
              <w:rPr>
                <w:spacing w:val="-1"/>
                <w:position w:val="5"/>
              </w:rPr>
              <w:t>tions and impacts</w:t>
            </w:r>
          </w:p>
          <w:p>
            <w:pPr>
              <w:pStyle w:val="TableText"/>
              <w:spacing w:line="196" w:lineRule="auto"/>
              <w:ind w:left="106"/>
            </w:pPr>
            <w:r>
              <w:rPr>
                <w:spacing w:val="-1"/>
              </w:rPr>
              <w:t>Data model degradation</w:t>
            </w:r>
          </w:p>
          <w:p>
            <w:pPr>
              <w:pStyle w:val="TableText"/>
              <w:spacing w:before="56" w:line="199" w:lineRule="auto"/>
              <w:ind w:left="99"/>
            </w:pPr>
            <w:r>
              <w:rPr>
                <w:spacing w:val="-1"/>
              </w:rPr>
              <w:t>State-sponsored malware</w:t>
            </w:r>
          </w:p>
        </w:tc>
      </w:tr>
      <w:tr>
        <w:tblPrEx>
          <w:tblW w:w="11253" w:type="dxa"/>
          <w:tblInd w:w="5418" w:type="dxa"/>
          <w:tblLayout w:type="fixed"/>
        </w:tblPrEx>
        <w:trPr>
          <w:trHeight w:val="1019"/>
        </w:trPr>
        <w:tc>
          <w:tcPr>
            <w:tcW w:w="105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276" w:lineRule="auto"/>
              <w:rPr>
                <w:sz w:val="21"/>
              </w:rPr>
            </w:pPr>
          </w:p>
          <w:p>
            <w:pPr>
              <w:spacing w:line="478" w:lineRule="exact"/>
              <w:ind w:firstLine="266"/>
            </w:pPr>
            <w:r>
              <w:rPr>
                <w:position w:val="-9"/>
              </w:rPr>
              <w:pict>
                <v:shape id="_x0000_i1027" style="width:28.1pt;height:23.9pt;mso-position-horizontal-relative:char;mso-position-vertical-relative:line" coordorigin="0,0" coordsize="562,477" path="m513,290l280,207l48,290l513,290xm156,211l280,167l405,211l405,211c387,159,338,121,280,121c222,121,173,159,156,211m,477l,267l114,226c126,152,186,93,262,85l262,l355,l355,56l299,56l299,85c374,93,435,152,446,226l561,267l561,267l561,477l524,477l524,327l467,327l467,477l430,477l430,327l393,327l393,477l355,477l355,327l205,327l205,477l168,477l168,327l130,327l130,477l93,477l93,327l37,327l37,477l,477xe" filled="t" fillcolor="#002856" stroked="f">
                  <w10:wrap type="none"/>
                </v:shape>
              </w:pict>
            </w:r>
          </w:p>
        </w:tc>
        <w:tc>
          <w:tcPr>
            <w:tcW w:w="2280" w:type="dxa"/>
            <w:tcBorders>
              <w:left w:val="nil"/>
            </w:tcBorders>
            <w:vAlign w:val="top"/>
          </w:tcPr>
          <w:p>
            <w:pPr>
              <w:pStyle w:val="TableText"/>
              <w:spacing w:line="398" w:lineRule="auto"/>
              <w:rPr>
                <w:sz w:val="21"/>
              </w:rPr>
            </w:pPr>
          </w:p>
          <w:p>
            <w:pPr>
              <w:pStyle w:val="TableText"/>
              <w:spacing w:before="63" w:line="194" w:lineRule="auto"/>
              <w:ind w:left="151"/>
            </w:pPr>
            <w:r>
              <w:rPr>
                <w:b/>
                <w:bCs/>
                <w:spacing w:val="-2"/>
              </w:rPr>
              <w:t>Political</w:t>
            </w:r>
          </w:p>
        </w:tc>
        <w:tc>
          <w:tcPr>
            <w:tcW w:w="26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96" w:line="257" w:lineRule="auto"/>
              <w:ind w:left="147" w:right="46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97" w:line="263" w:lineRule="exact"/>
              <w:ind w:left="106"/>
            </w:pPr>
            <w:r>
              <w:rPr>
                <w:position w:val="3"/>
              </w:rPr>
              <w:t>Renationalization of int</w:t>
            </w:r>
            <w:r>
              <w:rPr>
                <w:spacing w:val="-1"/>
                <w:position w:val="3"/>
              </w:rPr>
              <w:t>ernational trade</w:t>
            </w:r>
          </w:p>
          <w:p>
            <w:pPr>
              <w:pStyle w:val="TableText"/>
              <w:spacing w:line="199" w:lineRule="auto"/>
              <w:ind w:left="100"/>
            </w:pPr>
            <w:r>
              <w:rPr>
                <w:spacing w:val="-1"/>
              </w:rPr>
              <w:t>Geopolitical conflict</w:t>
            </w:r>
          </w:p>
          <w:p>
            <w:pPr>
              <w:pStyle w:val="TableText"/>
              <w:spacing w:before="54" w:line="197" w:lineRule="auto"/>
              <w:ind w:left="106"/>
            </w:pPr>
            <w:r>
              <w:t>Political fractionalization and govern</w:t>
            </w:r>
            <w:r>
              <w:rPr>
                <w:spacing w:val="-1"/>
              </w:rPr>
              <w:t>ment dysfunction</w:t>
            </w:r>
          </w:p>
        </w:tc>
      </w:tr>
      <w:tr>
        <w:tblPrEx>
          <w:tblW w:w="11253" w:type="dxa"/>
          <w:tblInd w:w="5418" w:type="dxa"/>
          <w:tblLayout w:type="fixed"/>
        </w:tblPrEx>
        <w:trPr>
          <w:trHeight w:val="1019"/>
        </w:trPr>
        <w:tc>
          <w:tcPr>
            <w:tcW w:w="105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382" w:lineRule="auto"/>
              <w:rPr>
                <w:sz w:val="21"/>
              </w:rPr>
            </w:pPr>
          </w:p>
          <w:p>
            <w:pPr>
              <w:spacing w:line="370" w:lineRule="exact"/>
              <w:ind w:firstLine="225"/>
            </w:pPr>
            <w:r>
              <w:rPr>
                <w:position w:val="-7"/>
              </w:rPr>
              <w:pict>
                <v:shape id="_x0000_i1028" style="width:33pt;height:18.5pt;mso-position-horizontal-relative:char;mso-position-vertical-relative:line" coordorigin="0,0" coordsize="660,370" path="m618,328l618,123l577,123l577,287l123,287l123,328l618,328xm288,184c311,184,330,166,330,143c330,136,327,129,324,123c317,110,303,102,288,102c273,102,260,110,253,123c249,129,247,136,247,143c247,166,265,184,288,184m288,225c243,225,206,188,206,143c206,136,207,129,208,123c213,106,222,92,234,82c248,69,267,61,288,61c309,61,328,69,343,82c355,92,364,106,368,123c370,129,371,136,371,143c371,188,334,225,288,225m536,246l536,123l536,82l536,40l41,40l41,246l536,246xm82,369l82,287l,287l,l577,l577,82l660,82l660,369l82,369xe" filled="t" fillcolor="#002856" stroked="f">
                  <w10:wrap type="none"/>
                </v:shape>
              </w:pict>
            </w:r>
          </w:p>
        </w:tc>
        <w:tc>
          <w:tcPr>
            <w:tcW w:w="2280" w:type="dxa"/>
            <w:tcBorders>
              <w:left w:val="nil"/>
            </w:tcBorders>
            <w:vAlign w:val="top"/>
          </w:tcPr>
          <w:p>
            <w:pPr>
              <w:pStyle w:val="TableText"/>
              <w:spacing w:line="398" w:lineRule="auto"/>
              <w:rPr>
                <w:sz w:val="21"/>
              </w:rPr>
            </w:pPr>
          </w:p>
          <w:p>
            <w:pPr>
              <w:pStyle w:val="TableText"/>
              <w:spacing w:before="64" w:line="194" w:lineRule="auto"/>
              <w:ind w:left="151"/>
            </w:pPr>
            <w:r>
              <w:rPr>
                <w:b/>
                <w:bCs/>
                <w:spacing w:val="-2"/>
              </w:rPr>
              <w:t>Economic</w:t>
            </w:r>
          </w:p>
        </w:tc>
        <w:tc>
          <w:tcPr>
            <w:tcW w:w="26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96" w:line="257" w:lineRule="auto"/>
              <w:ind w:left="147" w:right="47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97" w:line="197" w:lineRule="auto"/>
              <w:ind w:left="109"/>
            </w:pPr>
            <w:r>
              <w:rPr>
                <w:spacing w:val="-1"/>
              </w:rPr>
              <w:t>Interest rate uncertai</w:t>
            </w:r>
            <w:r>
              <w:rPr>
                <w:spacing w:val="-2"/>
              </w:rPr>
              <w:t>nty</w:t>
            </w:r>
          </w:p>
          <w:p>
            <w:pPr>
              <w:pStyle w:val="TableText"/>
              <w:spacing w:before="56" w:line="264" w:lineRule="exact"/>
              <w:ind w:left="106"/>
            </w:pPr>
            <w:r>
              <w:rPr>
                <w:position w:val="5"/>
              </w:rPr>
              <w:t>Persistence of inflationary a</w:t>
            </w:r>
            <w:r>
              <w:rPr>
                <w:spacing w:val="-1"/>
                <w:position w:val="5"/>
              </w:rPr>
              <w:t>nd labor market challenges</w:t>
            </w:r>
          </w:p>
          <w:p>
            <w:pPr>
              <w:pStyle w:val="TableText"/>
              <w:spacing w:line="238" w:lineRule="auto"/>
              <w:ind w:left="106"/>
            </w:pPr>
            <w:r>
              <w:rPr>
                <w:spacing w:val="-3"/>
              </w:rPr>
              <w:t>Price</w:t>
            </w:r>
            <w:r>
              <w:rPr>
                <w:spacing w:val="17"/>
              </w:rPr>
              <w:t xml:space="preserve"> </w:t>
            </w:r>
            <w:r>
              <w:rPr>
                <w:spacing w:val="-3"/>
              </w:rPr>
              <w:t>bubbles</w:t>
            </w:r>
          </w:p>
        </w:tc>
      </w:tr>
      <w:tr>
        <w:tblPrEx>
          <w:tblW w:w="11253" w:type="dxa"/>
          <w:tblInd w:w="5418" w:type="dxa"/>
          <w:tblLayout w:type="fixed"/>
        </w:tblPrEx>
        <w:trPr>
          <w:trHeight w:val="1019"/>
        </w:trPr>
        <w:tc>
          <w:tcPr>
            <w:tcW w:w="105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330" w:lineRule="auto"/>
              <w:rPr>
                <w:sz w:val="21"/>
              </w:rPr>
            </w:pPr>
          </w:p>
          <w:p>
            <w:pPr>
              <w:spacing w:line="500" w:lineRule="exact"/>
              <w:ind w:firstLine="203"/>
            </w:pPr>
            <w:r>
              <w:rPr>
                <w:position w:val="-9"/>
              </w:rPr>
              <w:pict>
                <v:shape id="_x0000_i1029" style="width:35.4pt;height:25pt;mso-position-horizontal-relative:char;mso-position-vertical-relative:line" coordorigin="0,0" coordsize="708,500" path="m125,454c131,454,137,453,142,449c155,440,157,422,148,409c143,402,134,398,125,398c120,398,114,399,109,403c96,412,93,430,102,443c108,450,117,454,125,454m582,454c583,454,585,454,586,454c594,453,600,449,605,443c614,430,611,412,599,403c594,399,587,398,582,398c573,398,564,402,559,409c550,422,552,440,565,449c570,453,576,454,582,454m354,366c368,366,382,363,395,358l395,334l312,334l312,358c325,363,339,366,354,366m75,277c81,277,86,276,91,272c97,268,102,261,103,253c104,246,102,238,98,232l98,232c93,226,87,222,79,221c77,221,76,221,75,221c69,221,63,222,58,226c52,230,47,237,46,245c45,252,47,260,52,266c57,273,66,277,75,277m354,277c359,277,365,276,370,272c383,263,386,245,377,232c372,226,365,222,358,221c357,221,355,221,354,221c347,221,342,222,337,226c331,230,327,237,325,245c324,252,326,260,331,266c336,273,345,277,354,277m632,277c634,277,635,277,637,277c645,276,651,272,655,266c660,260,662,252,661,245c660,237,655,230,649,226c644,222,639,221,633,221c631,221,630,221,628,221c621,222,614,226,609,232c605,238,603,246,604,253c605,261,610,268,616,272c621,276,626,277,632,277m439,329c459,308,471,280,471,249c471,185,418,132,354,132c289,132,236,185,236,249c236,280,248,308,268,329l268,290l294,290c283,275,279,256,282,238c285,218,295,202,311,190c323,181,338,176,353,176c357,176,361,177,365,177c384,180,401,191,413,206c431,232,431,265,414,290l439,290l439,329xm125,101c131,101,137,99,142,95c148,91,152,84,154,77c155,69,153,62,148,55l148,55c144,49,137,45,130,44c128,44,127,44,125,44c119,44,114,46,109,49c102,54,98,60,97,68c96,75,98,83,102,89c107,95,113,99,121,100c122,100,124,101,125,101m582,101c583,101,585,100,586,100c594,99,600,95,605,89c609,83,611,75,610,68c609,60,605,54,599,49c594,46,588,44,582,44c580,44,579,44,577,44c570,45,563,49,559,55c554,62,552,69,554,77c555,84,559,91,565,95c570,99,576,101,582,101m125,499c102,498,80,488,66,469c43,436,50,391,83,367c95,358,110,353,125,353c137,353,150,357,161,363l209,321c202,306,196,289,194,271l144,271c139,286,130,299,117,308c105,317,90,322,75,322c52,322,30,311,15,292c4,276,,257,3,238c5,218,16,202,32,190c44,181,59,176,74,176c78,176,82,177,86,177c105,180,122,191,134,206c138,213,141,220,144,227l194,227c196,209,202,192,209,177l161,135c150,142,138,145,125,145c122,145,118,144,114,144c95,141,78,130,66,115c55,99,50,80,53,61c56,42,67,25,83,13c95,4,110,,125,c129,,133,,137,c156,4,173,14,184,30c196,45,200,64,197,84c196,90,194,97,191,103l235,140c264,108,307,88,354,88c401,88,443,108,472,140l516,103c513,97,511,90,510,84c507,64,511,45,523,30c534,14,551,4,570,c574,,578,,582,c597,,612,4,625,13c640,25,651,42,654,61c657,80,652,99,641,115c629,130,612,141,593,144c589,144,585,145,582,145c569,145,557,142,546,135l498,177c506,192,511,209,514,227l563,227c566,220,569,213,574,206c585,191,602,180,621,177c625,177,629,176,633,176c648,176,663,181,675,190c691,202,702,218,705,238c707,257,703,276,692,292c677,311,655,322,632,322c617,322,603,317,590,308c577,299,568,286,563,271l514,271c511,289,506,306,498,321l546,363c557,357,570,353,582,353c597,353,612,358,625,367c657,391,664,436,641,469c627,488,605,498,582,499l581,499c566,498,552,494,539,485c510,464,501,426,516,395l472,358c443,390,401,410,354,410c307,410,264,390,235,358l191,395c206,426,197,464,168,485c155,494,141,498,126,499l125,499xe" filled="t" fillcolor="#002856" stroked="f">
                  <w10:wrap type="none"/>
                </v:shape>
              </w:pict>
            </w:r>
          </w:p>
        </w:tc>
        <w:tc>
          <w:tcPr>
            <w:tcW w:w="2280" w:type="dxa"/>
            <w:tcBorders>
              <w:left w:val="nil"/>
            </w:tcBorders>
            <w:vAlign w:val="top"/>
          </w:tcPr>
          <w:p>
            <w:pPr>
              <w:pStyle w:val="TableText"/>
              <w:spacing w:line="396" w:lineRule="auto"/>
              <w:rPr>
                <w:sz w:val="21"/>
              </w:rPr>
            </w:pPr>
          </w:p>
          <w:p>
            <w:pPr>
              <w:pStyle w:val="TableText"/>
              <w:spacing w:before="63" w:line="197" w:lineRule="auto"/>
              <w:ind w:left="143"/>
            </w:pPr>
            <w:r>
              <w:rPr>
                <w:b/>
                <w:bCs/>
                <w:spacing w:val="-1"/>
              </w:rPr>
              <w:t>Social/Cultural</w:t>
            </w:r>
          </w:p>
        </w:tc>
        <w:tc>
          <w:tcPr>
            <w:tcW w:w="26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99" w:line="256" w:lineRule="auto"/>
              <w:ind w:left="147" w:right="47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98" w:line="199" w:lineRule="auto"/>
              <w:ind w:left="99"/>
            </w:pPr>
            <w:r>
              <w:rPr>
                <w:spacing w:val="-2"/>
              </w:rPr>
              <w:t>Social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2"/>
              </w:rPr>
              <w:t>polarization</w:t>
            </w:r>
          </w:p>
          <w:p>
            <w:pPr>
              <w:pStyle w:val="TableText"/>
              <w:spacing w:before="54" w:line="238" w:lineRule="auto"/>
              <w:ind w:left="106"/>
            </w:pPr>
            <w:r>
              <w:rPr>
                <w:spacing w:val="-2"/>
              </w:rPr>
              <w:t>Retirement wave</w:t>
            </w:r>
          </w:p>
          <w:p>
            <w:pPr>
              <w:pStyle w:val="TableText"/>
              <w:spacing w:before="12" w:line="197" w:lineRule="auto"/>
              <w:ind w:left="106"/>
            </w:pPr>
            <w:r>
              <w:rPr>
                <w:spacing w:val="-2"/>
              </w:rPr>
              <w:t>Declining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2"/>
              </w:rPr>
              <w:t>productivity</w:t>
            </w:r>
          </w:p>
        </w:tc>
      </w:tr>
      <w:tr>
        <w:tblPrEx>
          <w:tblW w:w="11253" w:type="dxa"/>
          <w:tblInd w:w="5418" w:type="dxa"/>
          <w:tblLayout w:type="fixed"/>
        </w:tblPrEx>
        <w:trPr>
          <w:trHeight w:val="1019"/>
        </w:trPr>
        <w:tc>
          <w:tcPr>
            <w:tcW w:w="105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365" w:lineRule="auto"/>
              <w:rPr>
                <w:sz w:val="21"/>
              </w:rPr>
            </w:pPr>
          </w:p>
          <w:p>
            <w:pPr>
              <w:spacing w:line="394" w:lineRule="exact"/>
              <w:ind w:firstLine="276"/>
            </w:pPr>
            <w:r>
              <w:rPr>
                <w:position w:val="-7"/>
              </w:rPr>
              <w:drawing>
                <wp:inline distT="0" distB="0" distL="0" distR="0">
                  <wp:extent cx="360766" cy="249996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766" cy="249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0" w:type="dxa"/>
            <w:tcBorders>
              <w:left w:val="nil"/>
            </w:tcBorders>
            <w:vAlign w:val="top"/>
          </w:tcPr>
          <w:p>
            <w:pPr>
              <w:pStyle w:val="TableText"/>
              <w:spacing w:line="397" w:lineRule="auto"/>
              <w:rPr>
                <w:sz w:val="21"/>
              </w:rPr>
            </w:pPr>
          </w:p>
          <w:p>
            <w:pPr>
              <w:pStyle w:val="TableText"/>
              <w:spacing w:before="64" w:line="196" w:lineRule="auto"/>
              <w:ind w:left="140"/>
            </w:pPr>
            <w:r>
              <w:rPr>
                <w:b/>
                <w:bCs/>
                <w:spacing w:val="-1"/>
              </w:rPr>
              <w:t>Trust/Ethics</w:t>
            </w:r>
          </w:p>
        </w:tc>
        <w:tc>
          <w:tcPr>
            <w:tcW w:w="26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99" w:line="256" w:lineRule="auto"/>
              <w:ind w:left="147" w:right="47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99" w:line="264" w:lineRule="exact"/>
              <w:ind w:left="106"/>
            </w:pPr>
            <w:r>
              <w:rPr>
                <w:position w:val="5"/>
              </w:rPr>
              <w:t>Expectations for actio</w:t>
            </w:r>
            <w:r>
              <w:rPr>
                <w:spacing w:val="-1"/>
                <w:position w:val="5"/>
              </w:rPr>
              <w:t>n on controversial issues</w:t>
            </w:r>
          </w:p>
          <w:p>
            <w:pPr>
              <w:pStyle w:val="TableText"/>
              <w:spacing w:line="196" w:lineRule="auto"/>
              <w:ind w:left="89"/>
            </w:pPr>
            <w:r>
              <w:rPr>
                <w:spacing w:val="-1"/>
              </w:rPr>
              <w:t>AI privacy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concerns</w:t>
            </w:r>
          </w:p>
          <w:p>
            <w:pPr>
              <w:pStyle w:val="TableText"/>
              <w:spacing w:before="56" w:line="238" w:lineRule="auto"/>
              <w:ind w:left="89"/>
            </w:pPr>
            <w:r>
              <w:t>AI</w:t>
            </w:r>
            <w:r>
              <w:rPr>
                <w:spacing w:val="2"/>
              </w:rPr>
              <w:t>-</w:t>
            </w:r>
            <w:r>
              <w:t>driven</w:t>
            </w:r>
            <w:r>
              <w:rPr>
                <w:spacing w:val="2"/>
              </w:rPr>
              <w:t xml:space="preserve"> </w:t>
            </w:r>
            <w:r>
              <w:t>misinformation</w:t>
            </w:r>
          </w:p>
        </w:tc>
      </w:tr>
      <w:tr>
        <w:tblPrEx>
          <w:tblW w:w="11253" w:type="dxa"/>
          <w:tblInd w:w="5418" w:type="dxa"/>
          <w:tblLayout w:type="fixed"/>
        </w:tblPrEx>
        <w:trPr>
          <w:trHeight w:val="1019"/>
        </w:trPr>
        <w:tc>
          <w:tcPr>
            <w:tcW w:w="105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line="306" w:lineRule="auto"/>
              <w:rPr>
                <w:sz w:val="21"/>
              </w:rPr>
            </w:pPr>
          </w:p>
          <w:p>
            <w:pPr>
              <w:spacing w:line="463" w:lineRule="exact"/>
              <w:ind w:firstLine="287"/>
            </w:pPr>
            <w:r>
              <w:rPr>
                <w:position w:val="-9"/>
              </w:rPr>
              <w:pict>
                <v:shape id="_x0000_i1030" style="width:25.95pt;height:23.2pt;mso-position-horizontal-relative:char;mso-position-vertical-relative:line" coordorigin="0,0" coordsize="519,464" path="m354,l182,137l209,170l225,157l271,213l,430l26,463l297,246l337,295l320,308l347,341l518,203l492,171l475,183l364,45l380,32l354,xm264,139l337,80l436,202l363,261l264,139xm295,457l515,457l515,394l295,394l295,457xe" filled="t" fillcolor="#002856" stroked="f">
                  <w10:wrap type="none"/>
                </v:shape>
              </w:pict>
            </w:r>
          </w:p>
        </w:tc>
        <w:tc>
          <w:tcPr>
            <w:tcW w:w="2280" w:type="dxa"/>
            <w:tcBorders>
              <w:left w:val="nil"/>
            </w:tcBorders>
            <w:vAlign w:val="top"/>
          </w:tcPr>
          <w:p>
            <w:pPr>
              <w:pStyle w:val="TableText"/>
              <w:spacing w:line="266" w:lineRule="auto"/>
              <w:rPr>
                <w:sz w:val="21"/>
              </w:rPr>
            </w:pPr>
          </w:p>
          <w:p>
            <w:pPr>
              <w:pStyle w:val="TableText"/>
              <w:spacing w:before="64" w:line="264" w:lineRule="exact"/>
              <w:ind w:left="151"/>
            </w:pPr>
            <w:r>
              <w:rPr>
                <w:b/>
                <w:bCs/>
                <w:spacing w:val="-2"/>
                <w:position w:val="5"/>
              </w:rPr>
              <w:t>Regulatory/</w:t>
            </w:r>
          </w:p>
          <w:p>
            <w:pPr>
              <w:pStyle w:val="TableText"/>
              <w:spacing w:line="196" w:lineRule="auto"/>
              <w:ind w:left="152"/>
            </w:pPr>
            <w:r>
              <w:rPr>
                <w:b/>
                <w:bCs/>
                <w:spacing w:val="-4"/>
              </w:rPr>
              <w:t>Legal</w:t>
            </w:r>
          </w:p>
        </w:tc>
        <w:tc>
          <w:tcPr>
            <w:tcW w:w="26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99" w:line="256" w:lineRule="auto"/>
              <w:ind w:left="147" w:right="47"/>
              <w:jc w:val="both"/>
            </w:pP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  <w:r>
              <w:t xml:space="preserve"> </w:t>
            </w:r>
            <w:r>
              <w:rPr>
                <w:spacing w:val="-12"/>
              </w:rPr>
              <w:t>•</w:t>
            </w:r>
          </w:p>
        </w:tc>
        <w:tc>
          <w:tcPr>
            <w:tcW w:w="7659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99" w:line="197" w:lineRule="auto"/>
              <w:ind w:left="89"/>
            </w:pPr>
            <w:r>
              <w:t>Anti-trust targeting technology pro</w:t>
            </w:r>
            <w:r>
              <w:rPr>
                <w:spacing w:val="-1"/>
              </w:rPr>
              <w:t>viders</w:t>
            </w:r>
          </w:p>
          <w:p>
            <w:pPr>
              <w:pStyle w:val="TableText"/>
              <w:spacing w:before="56" w:line="197" w:lineRule="auto"/>
              <w:ind w:left="107"/>
            </w:pPr>
            <w:r>
              <w:t>Fragmentation of dat</w:t>
            </w:r>
            <w:r>
              <w:rPr>
                <w:spacing w:val="-1"/>
              </w:rPr>
              <w:t>a governance regulations</w:t>
            </w:r>
          </w:p>
          <w:p>
            <w:pPr>
              <w:pStyle w:val="TableText"/>
              <w:spacing w:before="56" w:line="197" w:lineRule="auto"/>
              <w:ind w:left="100"/>
            </w:pPr>
            <w:r>
              <w:t>Cybersecurity disclosure and governance req</w:t>
            </w:r>
            <w:r>
              <w:rPr>
                <w:spacing w:val="-1"/>
              </w:rPr>
              <w:t>uirements</w:t>
            </w:r>
          </w:p>
        </w:tc>
      </w:tr>
    </w:tbl>
    <w:p>
      <w:pPr>
        <w:sectPr>
          <w:headerReference w:type="default" r:id="rId16"/>
          <w:pgSz w:w="19200" w:h="10800"/>
          <w:pgMar w:top="400" w:right="722" w:bottom="0" w:left="728" w:header="0" w:footer="0" w:gutter="0"/>
          <w:pgNumType w:start="6"/>
          <w:cols w:space="708"/>
        </w:sectPr>
      </w:pPr>
    </w:p>
    <w:tbl>
      <w:tblPr>
        <w:tblStyle w:val="TableNormal1"/>
        <w:tblW w:w="11253" w:type="dxa"/>
        <w:tblInd w:w="5418" w:type="dxa"/>
        <w:tblBorders>
          <w:top w:val="single" w:sz="2" w:space="0" w:color="6F7878"/>
          <w:left w:val="single" w:sz="2" w:space="0" w:color="6F7878"/>
          <w:bottom w:val="single" w:sz="2" w:space="0" w:color="6F7878"/>
          <w:right w:val="single" w:sz="2" w:space="0" w:color="6F7878"/>
          <w:insideH w:val="single" w:sz="2" w:space="0" w:color="6F7878"/>
          <w:insideV w:val="single" w:sz="2" w:space="0" w:color="6F7878"/>
        </w:tblBorders>
        <w:tblLayout w:type="fixed"/>
      </w:tblPr>
      <w:tblGrid>
        <w:gridCol w:w="1051"/>
        <w:gridCol w:w="2280"/>
        <w:gridCol w:w="7922"/>
      </w:tblGrid>
      <w:tr>
        <w:tblPrEx>
          <w:tblW w:w="11253" w:type="dxa"/>
          <w:tblInd w:w="5418" w:type="dxa"/>
          <w:tblBorders>
            <w:top w:val="single" w:sz="2" w:space="0" w:color="6F7878"/>
            <w:left w:val="single" w:sz="2" w:space="0" w:color="6F7878"/>
            <w:bottom w:val="single" w:sz="2" w:space="0" w:color="6F7878"/>
            <w:right w:val="single" w:sz="2" w:space="0" w:color="6F7878"/>
            <w:insideH w:val="single" w:sz="2" w:space="0" w:color="6F7878"/>
            <w:insideV w:val="single" w:sz="2" w:space="0" w:color="6F7878"/>
          </w:tblBorders>
          <w:tblLayout w:type="fixed"/>
        </w:tblPrEx>
        <w:trPr>
          <w:trHeight w:val="1202"/>
        </w:trPr>
        <w:tc>
          <w:tcPr>
            <w:tcW w:w="105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line="380" w:lineRule="auto"/>
              <w:rPr>
                <w:sz w:val="21"/>
              </w:rPr>
            </w:pPr>
          </w:p>
          <w:p>
            <w:pPr>
              <w:spacing w:line="606" w:lineRule="exact"/>
              <w:ind w:firstLine="342"/>
            </w:pPr>
            <w:r>
              <w:rPr>
                <w:position w:val="-12"/>
              </w:rPr>
              <w:drawing>
                <wp:inline distT="0" distB="0" distL="0" distR="0">
                  <wp:extent cx="248525" cy="38526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25" cy="385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0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before="63" w:line="194" w:lineRule="auto"/>
              <w:ind w:left="151"/>
            </w:pPr>
            <w:r>
              <w:rPr>
                <w:b/>
                <w:bCs/>
                <w:spacing w:val="-2"/>
              </w:rPr>
              <w:t>Environmental</w:t>
            </w:r>
          </w:p>
        </w:tc>
        <w:tc>
          <w:tcPr>
            <w:tcW w:w="7922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291" w:line="197" w:lineRule="auto"/>
              <w:ind w:left="147"/>
            </w:pPr>
            <w:r>
              <w:rPr>
                <w:spacing w:val="-1"/>
              </w:rPr>
              <w:t>•</w:t>
            </w:r>
            <w:r>
              <w:rPr>
                <w:spacing w:val="24"/>
              </w:rPr>
              <w:t xml:space="preserve">  </w:t>
            </w:r>
            <w:r>
              <w:rPr>
                <w:spacing w:val="-1"/>
              </w:rPr>
              <w:t>Environmental, social and governance (ESG) risks</w:t>
            </w:r>
          </w:p>
          <w:p>
            <w:pPr>
              <w:pStyle w:val="TableText"/>
              <w:spacing w:before="56" w:line="238" w:lineRule="auto"/>
              <w:ind w:left="147"/>
            </w:pPr>
            <w:r>
              <w:rPr>
                <w:spacing w:val="-2"/>
              </w:rPr>
              <w:t>•</w:t>
            </w:r>
            <w:r>
              <w:rPr>
                <w:spacing w:val="21"/>
                <w:w w:val="101"/>
              </w:rPr>
              <w:t xml:space="preserve">  </w:t>
            </w:r>
            <w:r>
              <w:rPr>
                <w:spacing w:val="-2"/>
              </w:rPr>
              <w:t>Extreme weather events</w:t>
            </w:r>
          </w:p>
          <w:p>
            <w:pPr>
              <w:pStyle w:val="TableText"/>
              <w:spacing w:before="12" w:line="197" w:lineRule="auto"/>
              <w:ind w:left="147"/>
            </w:pPr>
            <w:r>
              <w:t>•</w:t>
            </w:r>
            <w:r>
              <w:rPr>
                <w:spacing w:val="15"/>
                <w:w w:val="101"/>
              </w:rPr>
              <w:t xml:space="preserve">  </w:t>
            </w:r>
            <w:r>
              <w:t>Degraded water supplies, soil</w:t>
            </w:r>
            <w:r>
              <w:rPr>
                <w:spacing w:val="-1"/>
              </w:rPr>
              <w:t>, air and other natural resources</w:t>
            </w:r>
          </w:p>
        </w:tc>
      </w:tr>
    </w:tbl>
    <w:p>
      <w:pPr>
        <w:pStyle w:val="BodyText"/>
        <w:spacing w:before="203" w:line="197" w:lineRule="auto"/>
        <w:ind w:left="368"/>
        <w:rPr>
          <w:sz w:val="16"/>
          <w:szCs w:val="16"/>
        </w:rPr>
      </w:pPr>
      <w:r>
        <w:rPr>
          <w:spacing w:val="-1"/>
          <w:sz w:val="16"/>
          <w:szCs w:val="16"/>
        </w:rPr>
        <w:t>Source:</w:t>
      </w:r>
      <w:r>
        <w:rPr>
          <w:spacing w:val="11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Gartner</w:t>
      </w:r>
    </w:p>
    <w:p>
      <w:pPr>
        <w:pStyle w:val="BodyText"/>
        <w:spacing w:before="138" w:line="207" w:lineRule="auto"/>
        <w:ind w:left="376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2" w:line="210" w:lineRule="auto"/>
        <w:ind w:left="351"/>
      </w:pPr>
      <w:r>
        <w:pict>
          <v:shape id="_x0000_s1031" type="#_x0000_t202" style="width:7.15pt;height:11.2pt;margin-top:0.54pt;margin-left:-1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3</w:t>
                  </w:r>
                </w:p>
              </w:txbxContent>
            </v:textbox>
          </v:shape>
        </w:pict>
      </w: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spacing w:line="21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https://d.book118.com/345033231112011042</w:t>
        </w:r>
      </w:hyperlink>
    </w:p>
    <w:p>
      <w:pPr>
        <w:spacing w:line="210" w:lineRule="auto"/>
      </w:pPr>
    </w:p>
    <w:sectPr>
      <w:headerReference w:type="default" r:id="rId19"/>
      <w:type w:val="nextPage"/>
      <w:pgSz w:w="19200" w:h="10800"/>
      <w:pgMar w:top="400" w:right="722" w:bottom="0" w:left="728" w:header="0" w:footer="0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002856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069369367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002856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20567451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7451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3"/>
      <w:szCs w:val="1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6.xml" /><Relationship Id="rId17" Type="http://schemas.openxmlformats.org/officeDocument/2006/relationships/image" Target="media/image9.png" /><Relationship Id="rId18" Type="http://schemas.openxmlformats.org/officeDocument/2006/relationships/hyperlink" Target="https://d.book118.com/345033231112011042" TargetMode="Externa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Vision for 2024: Heads of ERM</dc:title>
  <dc:subject>2021 - Ver 2020-1104</dc:subject>
  <dc:creator>Jamie Kohn</dc:creator>
  <cp:revision>0</cp:revision>
  <dcterms:created xsi:type="dcterms:W3CDTF">2024-01-15T08:41:04Z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2024-01-15T08:53:53Z</vt:filetime>
  </property>
  <property fmtid="{D5CDD505-2E9C-101B-9397-08002B2CF9AE}" pid="3" name="CRO">
    <vt:lpwstr>wqlLaW5nc29mdCBQREYgdG8gV1BTIDkw</vt:lpwstr>
  </property>
</Properties>
</file>