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4"/>
        <w:ind w:left="940" w:right="0" w:firstLine="0"/>
        <w:jc w:val="left"/>
        <w:rPr>
          <w:rFonts w:ascii="黑体" w:eastAsia="黑体"/>
          <w:sz w:val="30"/>
        </w:rPr>
      </w:pPr>
      <w:r>
        <w:rPr>
          <w:rFonts w:ascii="黑体" w:eastAsia="黑体"/>
          <w:spacing w:val="-1"/>
          <w:sz w:val="30"/>
        </w:rPr>
        <w:t>中华人民共和国环境保护行业标准</w:t>
      </w:r>
    </w:p>
    <w:p>
      <w:pPr>
        <w:pStyle w:val="BodyText"/>
        <w:spacing w:before="11"/>
        <w:rPr>
          <w:rFonts w:ascii="黑体"/>
          <w:sz w:val="23"/>
        </w:rPr>
      </w:pPr>
    </w:p>
    <w:p>
      <w:pPr>
        <w:spacing w:after="0"/>
        <w:rPr>
          <w:rFonts w:ascii="黑体"/>
          <w:sz w:val="23"/>
        </w:rPr>
        <w:sectPr>
          <w:footerReference w:type="even" r:id="rId4"/>
          <w:footerReference w:type="default" r:id="rId5"/>
          <w:type w:val="continuous"/>
          <w:pgSz w:w="11910" w:h="16840"/>
          <w:pgMar w:top="1480" w:right="1500" w:bottom="1377" w:left="1580" w:header="0" w:footer="990"/>
          <w:pgNumType w:start="600"/>
          <w:cols w:space="708"/>
        </w:sectPr>
      </w:pPr>
    </w:p>
    <w:p>
      <w:pPr>
        <w:pStyle w:val="Title"/>
        <w:spacing w:line="208" w:lineRule="auto"/>
      </w:pPr>
      <w:r>
        <w:rPr>
          <w:spacing w:val="70"/>
        </w:rPr>
        <w:t>环境影响评价技术导则</w:t>
      </w:r>
      <w:r>
        <w:rPr>
          <w:spacing w:val="-2"/>
        </w:rPr>
        <w:t>地面水环境</w:t>
      </w:r>
    </w:p>
    <w:p>
      <w:pPr>
        <w:pStyle w:val="BodyText"/>
        <w:spacing w:before="5"/>
        <w:rPr>
          <w:rFonts w:ascii="黑体"/>
          <w:sz w:val="26"/>
        </w:rPr>
      </w:pPr>
    </w:p>
    <w:p>
      <w:pPr>
        <w:pStyle w:val="BodyText"/>
        <w:spacing w:line="309" w:lineRule="auto"/>
        <w:ind w:left="734" w:right="40"/>
        <w:jc w:val="center"/>
        <w:rPr>
          <w:rFonts w:ascii="Times New Roman"/>
        </w:rPr>
      </w:pPr>
      <w:r>
        <w:rPr>
          <w:rFonts w:ascii="Times New Roman"/>
        </w:rPr>
        <w:t>Technical</w:t>
      </w:r>
      <w:r>
        <w:rPr>
          <w:rFonts w:ascii="Times New Roman"/>
          <w:spacing w:val="-8"/>
        </w:rPr>
        <w:t xml:space="preserve"> </w:t>
      </w:r>
      <w:r>
        <w:rPr>
          <w:rFonts w:ascii="Times New Roman"/>
        </w:rPr>
        <w:t>guidelines</w:t>
      </w:r>
      <w:r>
        <w:rPr>
          <w:rFonts w:ascii="Times New Roman"/>
          <w:spacing w:val="-8"/>
        </w:rPr>
        <w:t xml:space="preserve"> </w:t>
      </w:r>
      <w:r>
        <w:rPr>
          <w:rFonts w:ascii="Times New Roman"/>
        </w:rPr>
        <w:t>for</w:t>
      </w:r>
      <w:r>
        <w:rPr>
          <w:rFonts w:ascii="Times New Roman"/>
          <w:spacing w:val="-8"/>
        </w:rPr>
        <w:t xml:space="preserve"> </w:t>
      </w:r>
      <w:r>
        <w:rPr>
          <w:rFonts w:ascii="Times New Roman"/>
        </w:rPr>
        <w:t>environmental</w:t>
      </w:r>
      <w:r>
        <w:rPr>
          <w:rFonts w:ascii="Times New Roman"/>
          <w:spacing w:val="-8"/>
        </w:rPr>
        <w:t xml:space="preserve"> </w:t>
      </w:r>
      <w:r>
        <w:rPr>
          <w:rFonts w:ascii="Times New Roman"/>
        </w:rPr>
        <w:t>impact</w:t>
      </w:r>
      <w:r>
        <w:rPr>
          <w:rFonts w:ascii="Times New Roman"/>
          <w:spacing w:val="-9"/>
        </w:rPr>
        <w:t xml:space="preserve"> </w:t>
      </w:r>
      <w:r>
        <w:rPr>
          <w:rFonts w:ascii="Times New Roman"/>
        </w:rPr>
        <w:t>assessment Surfacewater environment</w:t>
      </w:r>
    </w:p>
    <w:p>
      <w:pPr>
        <w:spacing w:before="0" w:line="240" w:lineRule="auto"/>
        <w:rPr>
          <w:rFonts w:ascii="Times New Roman"/>
          <w:sz w:val="20"/>
        </w:rPr>
      </w:pPr>
      <w:r>
        <w:br w:type="column"/>
      </w:r>
    </w:p>
    <w:p>
      <w:pPr>
        <w:pStyle w:val="BodyText"/>
        <w:spacing w:before="175"/>
        <w:ind w:left="732"/>
        <w:rPr>
          <w:rFonts w:ascii="黑体"/>
        </w:rPr>
      </w:pPr>
      <w:r>
        <w:rPr>
          <w:rFonts w:ascii="黑体"/>
        </w:rPr>
        <w:t>HJ/T 2.3-</w:t>
      </w:r>
      <w:r>
        <w:rPr>
          <w:rFonts w:ascii="黑体"/>
          <w:spacing w:val="-5"/>
        </w:rPr>
        <w:t>93</w:t>
      </w:r>
    </w:p>
    <w:p>
      <w:pPr>
        <w:spacing w:after="0"/>
        <w:rPr>
          <w:rFonts w:ascii="黑体"/>
        </w:rPr>
        <w:sectPr>
          <w:footerReference w:type="even" r:id="rId6"/>
          <w:footerReference w:type="default" r:id="rId7"/>
          <w:type w:val="continuous"/>
          <w:pgSz w:w="11910" w:h="16840"/>
          <w:pgMar w:top="1480" w:right="1500" w:bottom="1180" w:left="1580" w:header="0" w:footer="990"/>
          <w:pgNumType w:start="601"/>
          <w:cols w:num="2" w:space="708" w:equalWidth="0">
            <w:col w:w="5689" w:space="422"/>
            <w:col w:w="2719" w:space="0"/>
          </w:cols>
        </w:sectPr>
      </w:pPr>
    </w:p>
    <w:p>
      <w:pPr>
        <w:pStyle w:val="BodyText"/>
        <w:spacing w:before="12"/>
        <w:rPr>
          <w:rFonts w:ascii="黑体"/>
          <w:sz w:val="12"/>
        </w:rPr>
      </w:pPr>
    </w:p>
    <w:p>
      <w:pPr>
        <w:pStyle w:val="BodyText"/>
        <w:spacing w:line="20" w:lineRule="exact"/>
        <w:ind w:left="220"/>
        <w:rPr>
          <w:rFonts w:ascii="黑体"/>
          <w:sz w:val="2"/>
        </w:rPr>
      </w:pPr>
      <w:r>
        <w:rPr>
          <w:rFonts w:ascii="黑体"/>
          <w:sz w:val="2"/>
        </w:rPr>
        <w:pict>
          <v:group id="_x0000_i1025" style="width:423pt;height:1pt;mso-position-horizontal-relative:char;mso-position-vertical-relative:line" coordorigin="0,0" coordsize="8460,20">
            <v:line id="_x0000_s1026" style="position:absolute" from="0,10" to="8460,10" stroked="t" strokecolor="black" strokeweight="1pt">
              <v:stroke dashstyle="solid"/>
            </v:line>
            <w10:wrap type="none"/>
          </v:group>
        </w:pict>
      </w:r>
    </w:p>
    <w:p>
      <w:pPr>
        <w:pStyle w:val="BodyText"/>
        <w:spacing w:before="11"/>
        <w:rPr>
          <w:rFonts w:ascii="黑体"/>
          <w:sz w:val="20"/>
        </w:rPr>
      </w:pPr>
    </w:p>
    <w:p>
      <w:pPr>
        <w:pStyle w:val="BodyText"/>
        <w:spacing w:before="70" w:line="285" w:lineRule="auto"/>
        <w:ind w:left="220" w:right="297" w:firstLine="420"/>
      </w:pPr>
      <w:r>
        <w:rPr>
          <w:spacing w:val="-16"/>
        </w:rPr>
        <w:t>为贯彻《中华人民共和国环境保护法》、《建设项目环境保护管理办法》以及《环境影响</w:t>
      </w:r>
      <w:r>
        <w:rPr>
          <w:spacing w:val="-12"/>
        </w:rPr>
        <w:t>评价技术导则总纲》，制定本标准。</w:t>
      </w:r>
    </w:p>
    <w:p>
      <w:pPr>
        <w:pStyle w:val="ListParagraph"/>
        <w:numPr>
          <w:ilvl w:val="0"/>
          <w:numId w:val="39"/>
        </w:numPr>
        <w:tabs>
          <w:tab w:val="left" w:pos="534"/>
          <w:tab w:val="left" w:pos="535"/>
        </w:tabs>
        <w:spacing w:before="0" w:after="0" w:line="269" w:lineRule="exact"/>
        <w:ind w:left="535" w:right="0" w:hanging="315"/>
        <w:jc w:val="left"/>
        <w:rPr>
          <w:rFonts w:ascii="黑体" w:eastAsia="黑体"/>
          <w:sz w:val="21"/>
        </w:rPr>
      </w:pPr>
      <w:r>
        <w:rPr>
          <w:rFonts w:ascii="黑体" w:eastAsia="黑体"/>
          <w:spacing w:val="-2"/>
          <w:sz w:val="21"/>
        </w:rPr>
        <w:t>主题内容与适用范围</w:t>
      </w:r>
    </w:p>
    <w:p>
      <w:pPr>
        <w:pStyle w:val="BodyText"/>
        <w:spacing w:before="51"/>
        <w:ind w:left="640"/>
      </w:pPr>
      <w:r>
        <w:rPr>
          <w:spacing w:val="-1"/>
        </w:rPr>
        <w:t>本标准规定了地面水环境影响评价的原则、方法及要求。</w:t>
      </w:r>
    </w:p>
    <w:p>
      <w:pPr>
        <w:pStyle w:val="BodyText"/>
        <w:spacing w:before="51" w:line="285" w:lineRule="auto"/>
        <w:ind w:left="220" w:right="298" w:firstLine="420"/>
      </w:pPr>
      <w:r>
        <w:rPr>
          <w:spacing w:val="-4"/>
        </w:rPr>
        <w:t>本标准适用于厂矿企业、事业单位建设项目的地面水环境影响评价。其他建设项目的地</w:t>
      </w:r>
      <w:r>
        <w:rPr>
          <w:spacing w:val="-2"/>
        </w:rPr>
        <w:t>面水环境影响评价也可参照执行。</w:t>
      </w:r>
    </w:p>
    <w:p>
      <w:pPr>
        <w:pStyle w:val="ListParagraph"/>
        <w:numPr>
          <w:ilvl w:val="0"/>
          <w:numId w:val="39"/>
        </w:numPr>
        <w:tabs>
          <w:tab w:val="left" w:pos="534"/>
          <w:tab w:val="left" w:pos="535"/>
        </w:tabs>
        <w:spacing w:before="0" w:after="0" w:line="269" w:lineRule="exact"/>
        <w:ind w:left="535" w:right="0" w:hanging="315"/>
        <w:jc w:val="left"/>
        <w:rPr>
          <w:rFonts w:ascii="黑体" w:eastAsia="黑体"/>
          <w:sz w:val="21"/>
        </w:rPr>
      </w:pPr>
      <w:r>
        <w:rPr>
          <w:rFonts w:ascii="黑体" w:eastAsia="黑体"/>
          <w:spacing w:val="-3"/>
          <w:sz w:val="21"/>
        </w:rPr>
        <w:t>引用标准</w:t>
      </w:r>
    </w:p>
    <w:p>
      <w:pPr>
        <w:pStyle w:val="BodyText"/>
        <w:tabs>
          <w:tab w:val="left" w:pos="1613"/>
        </w:tabs>
        <w:spacing w:before="51"/>
        <w:ind w:left="640"/>
      </w:pPr>
      <w:r>
        <w:rPr>
          <w:rFonts w:ascii="Times New Roman" w:eastAsia="Times New Roman"/>
        </w:rPr>
        <w:t>GB</w:t>
      </w:r>
      <w:r>
        <w:rPr>
          <w:rFonts w:ascii="Times New Roman" w:eastAsia="Times New Roman"/>
          <w:spacing w:val="-2"/>
        </w:rPr>
        <w:t xml:space="preserve"> </w:t>
      </w:r>
      <w:r>
        <w:rPr>
          <w:rFonts w:ascii="Times New Roman" w:eastAsia="Times New Roman"/>
          <w:spacing w:val="-4"/>
        </w:rPr>
        <w:t>3838</w:t>
      </w:r>
      <w:r>
        <w:rPr>
          <w:rFonts w:ascii="Times New Roman" w:eastAsia="Times New Roman"/>
        </w:rPr>
        <w:tab/>
      </w:r>
      <w:r>
        <w:rPr>
          <w:spacing w:val="-2"/>
        </w:rPr>
        <w:t>地面水环境质量标准</w:t>
      </w:r>
    </w:p>
    <w:p>
      <w:pPr>
        <w:pStyle w:val="BodyText"/>
        <w:tabs>
          <w:tab w:val="left" w:pos="1613"/>
        </w:tabs>
        <w:spacing w:before="51"/>
        <w:ind w:left="640"/>
      </w:pPr>
      <w:r>
        <w:rPr>
          <w:rFonts w:ascii="Times New Roman" w:eastAsia="Times New Roman"/>
        </w:rPr>
        <w:t>GB</w:t>
      </w:r>
      <w:r>
        <w:rPr>
          <w:rFonts w:ascii="Times New Roman" w:eastAsia="Times New Roman"/>
          <w:spacing w:val="-2"/>
        </w:rPr>
        <w:t xml:space="preserve"> </w:t>
      </w:r>
      <w:r>
        <w:rPr>
          <w:rFonts w:ascii="Times New Roman" w:eastAsia="Times New Roman"/>
          <w:spacing w:val="-4"/>
        </w:rPr>
        <w:t>8978</w:t>
      </w:r>
      <w:r>
        <w:rPr>
          <w:rFonts w:ascii="Times New Roman" w:eastAsia="Times New Roman"/>
        </w:rPr>
        <w:tab/>
      </w:r>
      <w:r>
        <w:rPr>
          <w:spacing w:val="-2"/>
        </w:rPr>
        <w:t>污水综合排放标准</w:t>
      </w:r>
    </w:p>
    <w:p>
      <w:pPr>
        <w:pStyle w:val="BodyText"/>
        <w:tabs>
          <w:tab w:val="left" w:pos="1613"/>
        </w:tabs>
        <w:spacing w:before="51"/>
        <w:ind w:left="640"/>
      </w:pPr>
      <w:r>
        <w:rPr>
          <w:rFonts w:ascii="Times New Roman" w:eastAsia="Times New Roman"/>
        </w:rPr>
        <w:t>GB</w:t>
      </w:r>
      <w:r>
        <w:rPr>
          <w:rFonts w:ascii="Times New Roman" w:eastAsia="Times New Roman"/>
          <w:spacing w:val="-2"/>
        </w:rPr>
        <w:t xml:space="preserve"> </w:t>
      </w:r>
      <w:r>
        <w:rPr>
          <w:rFonts w:ascii="Times New Roman" w:eastAsia="Times New Roman"/>
          <w:spacing w:val="-4"/>
        </w:rPr>
        <w:t>3097</w:t>
      </w:r>
      <w:r>
        <w:rPr>
          <w:rFonts w:ascii="Times New Roman" w:eastAsia="Times New Roman"/>
        </w:rPr>
        <w:tab/>
      </w:r>
      <w:r>
        <w:rPr>
          <w:spacing w:val="-2"/>
        </w:rPr>
        <w:t>海水水质标准</w:t>
      </w:r>
    </w:p>
    <w:p>
      <w:pPr>
        <w:pStyle w:val="BodyText"/>
        <w:spacing w:before="51"/>
        <w:ind w:left="640"/>
      </w:pPr>
      <w:r>
        <w:rPr>
          <w:rFonts w:ascii="Times New Roman" w:eastAsia="Times New Roman"/>
        </w:rPr>
        <w:t>GB</w:t>
      </w:r>
      <w:r>
        <w:rPr>
          <w:rFonts w:ascii="Times New Roman" w:eastAsia="Times New Roman"/>
          <w:spacing w:val="-2"/>
        </w:rPr>
        <w:t xml:space="preserve"> </w:t>
      </w:r>
      <w:r>
        <w:rPr>
          <w:rFonts w:ascii="Times New Roman" w:eastAsia="Times New Roman"/>
        </w:rPr>
        <w:t>12763</w:t>
      </w:r>
      <w:r>
        <w:rPr>
          <w:rFonts w:ascii="Times New Roman" w:eastAsia="Times New Roman"/>
          <w:spacing w:val="52"/>
        </w:rPr>
        <w:t xml:space="preserve"> </w:t>
      </w:r>
      <w:r>
        <w:rPr>
          <w:spacing w:val="-2"/>
        </w:rPr>
        <w:t>海洋调查规范</w:t>
      </w:r>
    </w:p>
    <w:p>
      <w:pPr>
        <w:pStyle w:val="BodyText"/>
        <w:tabs>
          <w:tab w:val="left" w:pos="1584"/>
          <w:tab w:val="left" w:pos="3894"/>
        </w:tabs>
        <w:spacing w:before="51"/>
        <w:ind w:left="640"/>
      </w:pPr>
      <w:r>
        <w:rPr>
          <w:rFonts w:ascii="Times New Roman" w:eastAsia="Times New Roman"/>
        </w:rPr>
        <w:t>HJ/T</w:t>
      </w:r>
      <w:r>
        <w:rPr>
          <w:rFonts w:ascii="Times New Roman" w:eastAsia="Times New Roman"/>
          <w:spacing w:val="-4"/>
        </w:rPr>
        <w:t xml:space="preserve"> </w:t>
      </w:r>
      <w:r>
        <w:rPr>
          <w:rFonts w:ascii="Times New Roman" w:eastAsia="Times New Roman"/>
          <w:spacing w:val="-5"/>
        </w:rPr>
        <w:t>2.1</w:t>
      </w:r>
      <w:r>
        <w:rPr>
          <w:rFonts w:ascii="Times New Roman" w:eastAsia="Times New Roman"/>
        </w:rPr>
        <w:tab/>
      </w:r>
      <w:r>
        <w:t>环境影响评价技术导</w:t>
      </w:r>
      <w:r>
        <w:rPr>
          <w:spacing w:val="-10"/>
        </w:rPr>
        <w:t>则</w:t>
      </w:r>
      <w:r>
        <w:tab/>
        <w:t>总</w:t>
      </w:r>
      <w:r>
        <w:rPr>
          <w:spacing w:val="-10"/>
        </w:rPr>
        <w:t>纲</w:t>
      </w:r>
    </w:p>
    <w:p>
      <w:pPr>
        <w:pStyle w:val="BodyText"/>
        <w:spacing w:before="51"/>
        <w:ind w:left="640"/>
      </w:pPr>
      <w:r>
        <w:rPr>
          <w:rFonts w:ascii="Times New Roman" w:eastAsia="Times New Roman"/>
        </w:rPr>
        <w:t>HY</w:t>
      </w:r>
      <w:r>
        <w:rPr>
          <w:rFonts w:ascii="Times New Roman" w:eastAsia="Times New Roman"/>
          <w:spacing w:val="-2"/>
        </w:rPr>
        <w:t xml:space="preserve"> </w:t>
      </w:r>
      <w:r>
        <w:rPr>
          <w:rFonts w:ascii="Times New Roman" w:eastAsia="Times New Roman"/>
        </w:rPr>
        <w:t>003.1~HY/T</w:t>
      </w:r>
      <w:r>
        <w:rPr>
          <w:rFonts w:ascii="Times New Roman" w:eastAsia="Times New Roman"/>
          <w:spacing w:val="-2"/>
        </w:rPr>
        <w:t xml:space="preserve"> </w:t>
      </w:r>
      <w:r>
        <w:rPr>
          <w:rFonts w:ascii="Times New Roman" w:eastAsia="Times New Roman"/>
        </w:rPr>
        <w:t>003.10</w:t>
      </w:r>
      <w:r>
        <w:rPr>
          <w:rFonts w:ascii="Times New Roman" w:eastAsia="Times New Roman"/>
          <w:spacing w:val="51"/>
        </w:rPr>
        <w:t xml:space="preserve"> </w:t>
      </w:r>
      <w:r>
        <w:rPr>
          <w:spacing w:val="-2"/>
        </w:rPr>
        <w:t>海洋监测规范</w:t>
      </w:r>
    </w:p>
    <w:p>
      <w:pPr>
        <w:pStyle w:val="ListParagraph"/>
        <w:numPr>
          <w:ilvl w:val="0"/>
          <w:numId w:val="39"/>
        </w:numPr>
        <w:tabs>
          <w:tab w:val="left" w:pos="534"/>
          <w:tab w:val="left" w:pos="535"/>
        </w:tabs>
        <w:spacing w:before="51" w:after="0" w:line="240" w:lineRule="auto"/>
        <w:ind w:left="535" w:right="0" w:hanging="315"/>
        <w:jc w:val="left"/>
        <w:rPr>
          <w:rFonts w:ascii="黑体" w:eastAsia="黑体"/>
          <w:sz w:val="21"/>
        </w:rPr>
      </w:pPr>
      <w:r>
        <w:rPr>
          <w:rFonts w:ascii="黑体" w:eastAsia="黑体"/>
          <w:spacing w:val="-2"/>
          <w:sz w:val="21"/>
        </w:rPr>
        <w:t>术语、符号</w:t>
      </w:r>
    </w:p>
    <w:p>
      <w:pPr>
        <w:pStyle w:val="BodyText"/>
        <w:spacing w:before="51"/>
        <w:ind w:left="640"/>
      </w:pPr>
      <w:r>
        <w:rPr>
          <w:spacing w:val="-3"/>
        </w:rPr>
        <w:t xml:space="preserve">本标准使用的主要符号的意义与单位见表 </w:t>
      </w:r>
      <w:r>
        <w:rPr>
          <w:rFonts w:ascii="Times New Roman" w:eastAsia="Times New Roman"/>
        </w:rPr>
        <w:t>1</w:t>
      </w:r>
      <w:r>
        <w:rPr>
          <w:spacing w:val="-10"/>
        </w:rPr>
        <w:t>。</w:t>
      </w:r>
    </w:p>
    <w:p>
      <w:pPr>
        <w:pStyle w:val="ListParagraph"/>
        <w:numPr>
          <w:ilvl w:val="1"/>
          <w:numId w:val="39"/>
        </w:numPr>
        <w:tabs>
          <w:tab w:val="left" w:pos="692"/>
          <w:tab w:val="left" w:pos="693"/>
        </w:tabs>
        <w:spacing w:before="51" w:after="0" w:line="240" w:lineRule="auto"/>
        <w:ind w:left="692" w:right="0" w:hanging="473"/>
        <w:jc w:val="left"/>
        <w:rPr>
          <w:sz w:val="21"/>
        </w:rPr>
      </w:pPr>
      <w:r>
        <w:rPr>
          <w:spacing w:val="-5"/>
          <w:sz w:val="21"/>
        </w:rPr>
        <w:t>术语</w:t>
      </w:r>
    </w:p>
    <w:p>
      <w:pPr>
        <w:pStyle w:val="BodyText"/>
        <w:spacing w:before="51" w:line="285" w:lineRule="auto"/>
        <w:ind w:left="220" w:right="298" w:firstLine="420"/>
      </w:pPr>
      <w:r>
        <w:t>地面水 指存在于陆地表面的各种河流（包括河口</w:t>
      </w:r>
      <w:r>
        <w:rPr>
          <w:spacing w:val="-105"/>
        </w:rPr>
        <w:t>）</w:t>
      </w:r>
      <w:r>
        <w:t>、湖泊、水库。考虑到地面水与海</w:t>
      </w:r>
      <w:r>
        <w:rPr>
          <w:spacing w:val="-2"/>
        </w:rPr>
        <w:t>洋之间的联系，本标准还包括了有关海湾（包括海岸带）的部分内容。</w:t>
      </w:r>
    </w:p>
    <w:p>
      <w:pPr>
        <w:pStyle w:val="ListParagraph"/>
        <w:numPr>
          <w:ilvl w:val="1"/>
          <w:numId w:val="39"/>
        </w:numPr>
        <w:tabs>
          <w:tab w:val="left" w:pos="692"/>
          <w:tab w:val="left" w:pos="693"/>
        </w:tabs>
        <w:spacing w:before="0" w:after="0" w:line="269" w:lineRule="exact"/>
        <w:ind w:left="692" w:right="0" w:hanging="473"/>
        <w:jc w:val="left"/>
        <w:rPr>
          <w:sz w:val="21"/>
        </w:rPr>
      </w:pPr>
      <w:r>
        <w:rPr>
          <w:spacing w:val="-5"/>
          <w:sz w:val="21"/>
        </w:rPr>
        <w:t>符号</w:t>
      </w:r>
    </w:p>
    <w:p>
      <w:pPr>
        <w:pStyle w:val="BodyText"/>
        <w:spacing w:before="51"/>
        <w:ind w:left="640"/>
      </w:pPr>
      <w:r>
        <w:rPr>
          <w:spacing w:val="-4"/>
        </w:rPr>
        <w:t xml:space="preserve">本标准使用的符号的含义与单位见表 </w:t>
      </w:r>
      <w:r>
        <w:rPr>
          <w:rFonts w:ascii="Times New Roman" w:eastAsia="Times New Roman"/>
        </w:rPr>
        <w:t>1</w:t>
      </w:r>
      <w:r>
        <w:rPr>
          <w:spacing w:val="-10"/>
        </w:rPr>
        <w:t>。</w:t>
      </w:r>
    </w:p>
    <w:p>
      <w:pPr>
        <w:pStyle w:val="BodyText"/>
        <w:tabs>
          <w:tab w:val="left" w:pos="577"/>
        </w:tabs>
        <w:spacing w:before="51" w:after="5"/>
        <w:ind w:right="78"/>
        <w:jc w:val="center"/>
      </w:pPr>
      <w:r>
        <w:t>表</w:t>
      </w:r>
      <w:r>
        <w:rPr>
          <w:spacing w:val="-53"/>
        </w:rPr>
        <w:t xml:space="preserve"> </w:t>
      </w:r>
      <w:r>
        <w:rPr>
          <w:rFonts w:ascii="Times New Roman" w:eastAsia="Times New Roman"/>
          <w:spacing w:val="-10"/>
        </w:rPr>
        <w:t>1</w:t>
      </w:r>
      <w:r>
        <w:rPr>
          <w:rFonts w:ascii="Times New Roman" w:eastAsia="Times New Roman"/>
        </w:rPr>
        <w:tab/>
      </w:r>
      <w:r>
        <w:t>符号一览</w:t>
      </w:r>
      <w:r>
        <w:rPr>
          <w:spacing w:val="-10"/>
        </w:rPr>
        <w:t>表</w:t>
      </w:r>
    </w:p>
    <w:tbl>
      <w:tblPr>
        <w:tblStyle w:val="TableNormal"/>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9"/>
        <w:gridCol w:w="1377"/>
        <w:gridCol w:w="4743"/>
        <w:gridCol w:w="1619"/>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60"/>
              <w:ind w:left="217" w:right="217"/>
              <w:jc w:val="center"/>
              <w:rPr>
                <w:sz w:val="18"/>
              </w:rPr>
            </w:pPr>
            <w:r>
              <w:rPr>
                <w:spacing w:val="-5"/>
                <w:sz w:val="18"/>
              </w:rPr>
              <w:t>序号</w:t>
            </w:r>
          </w:p>
        </w:tc>
        <w:tc>
          <w:tcPr>
            <w:tcW w:w="1377" w:type="dxa"/>
          </w:tcPr>
          <w:p>
            <w:pPr>
              <w:pStyle w:val="TableParagraph"/>
              <w:spacing w:before="60"/>
              <w:ind w:left="133" w:right="133"/>
              <w:jc w:val="center"/>
              <w:rPr>
                <w:sz w:val="18"/>
              </w:rPr>
            </w:pPr>
            <w:r>
              <w:rPr>
                <w:sz w:val="18"/>
              </w:rPr>
              <w:t>符</w:t>
            </w:r>
            <w:r>
              <w:rPr>
                <w:spacing w:val="45"/>
                <w:w w:val="150"/>
                <w:sz w:val="18"/>
              </w:rPr>
              <w:t xml:space="preserve"> </w:t>
            </w:r>
            <w:r>
              <w:rPr>
                <w:spacing w:val="-10"/>
                <w:sz w:val="18"/>
              </w:rPr>
              <w:t>号</w:t>
            </w:r>
          </w:p>
        </w:tc>
        <w:tc>
          <w:tcPr>
            <w:tcW w:w="4743" w:type="dxa"/>
          </w:tcPr>
          <w:p>
            <w:pPr>
              <w:pStyle w:val="TableParagraph"/>
              <w:tabs>
                <w:tab w:val="left" w:pos="1169"/>
              </w:tabs>
              <w:spacing w:before="60"/>
              <w:jc w:val="center"/>
              <w:rPr>
                <w:sz w:val="18"/>
              </w:rPr>
            </w:pPr>
            <w:r>
              <w:rPr>
                <w:spacing w:val="-10"/>
                <w:sz w:val="18"/>
              </w:rPr>
              <w:t>含</w:t>
            </w:r>
            <w:r>
              <w:rPr>
                <w:sz w:val="18"/>
              </w:rPr>
              <w:tab/>
            </w:r>
            <w:r>
              <w:rPr>
                <w:spacing w:val="-10"/>
                <w:sz w:val="18"/>
              </w:rPr>
              <w:t>义</w:t>
            </w:r>
          </w:p>
        </w:tc>
        <w:tc>
          <w:tcPr>
            <w:tcW w:w="1619" w:type="dxa"/>
            <w:tcBorders>
              <w:right w:val="nil"/>
            </w:tcBorders>
          </w:tcPr>
          <w:p>
            <w:pPr>
              <w:pStyle w:val="TableParagraph"/>
              <w:spacing w:before="60"/>
              <w:ind w:right="555"/>
              <w:jc w:val="right"/>
              <w:rPr>
                <w:sz w:val="18"/>
              </w:rPr>
            </w:pPr>
            <w:r>
              <w:rPr>
                <w:sz w:val="18"/>
              </w:rPr>
              <w:t>单</w:t>
            </w:r>
            <w:r>
              <w:rPr>
                <w:spacing w:val="45"/>
                <w:w w:val="150"/>
                <w:sz w:val="18"/>
              </w:rPr>
              <w:t xml:space="preserve"> </w:t>
            </w:r>
            <w:r>
              <w:rPr>
                <w:spacing w:val="-10"/>
                <w:sz w:val="18"/>
              </w:rPr>
              <w:t>位</w:t>
            </w:r>
          </w:p>
        </w:tc>
      </w:tr>
      <w:tr>
        <w:tblPrEx>
          <w:tblW w:w="0" w:type="auto"/>
          <w:jc w:val="left"/>
          <w:tblInd w:w="119" w:type="dxa"/>
          <w:tblLayout w:type="fixed"/>
          <w:tblCellMar>
            <w:top w:w="0" w:type="dxa"/>
            <w:left w:w="0" w:type="dxa"/>
            <w:bottom w:w="0" w:type="dxa"/>
            <w:right w:w="0" w:type="dxa"/>
          </w:tblCellMar>
          <w:tblLook w:val="01E0"/>
        </w:tblPrEx>
        <w:trPr>
          <w:trHeight w:val="559"/>
          <w:jc w:val="left"/>
        </w:trPr>
        <w:tc>
          <w:tcPr>
            <w:tcW w:w="829" w:type="dxa"/>
            <w:tcBorders>
              <w:left w:val="nil"/>
            </w:tcBorders>
          </w:tcPr>
          <w:p>
            <w:pPr>
              <w:pStyle w:val="TableParagraph"/>
              <w:spacing w:before="3"/>
              <w:rPr>
                <w:sz w:val="15"/>
              </w:rPr>
            </w:pPr>
          </w:p>
          <w:p>
            <w:pPr>
              <w:pStyle w:val="TableParagraph"/>
              <w:jc w:val="center"/>
              <w:rPr>
                <w:rFonts w:ascii="Times New Roman"/>
                <w:sz w:val="18"/>
              </w:rPr>
            </w:pPr>
            <w:r>
              <w:rPr>
                <w:rFonts w:ascii="Times New Roman"/>
                <w:sz w:val="18"/>
              </w:rPr>
              <w:t>1</w:t>
            </w:r>
          </w:p>
        </w:tc>
        <w:tc>
          <w:tcPr>
            <w:tcW w:w="1377" w:type="dxa"/>
          </w:tcPr>
          <w:p>
            <w:pPr>
              <w:pStyle w:val="TableParagraph"/>
              <w:spacing w:before="3"/>
              <w:rPr>
                <w:sz w:val="15"/>
              </w:rPr>
            </w:pPr>
          </w:p>
          <w:p>
            <w:pPr>
              <w:pStyle w:val="TableParagraph"/>
              <w:jc w:val="center"/>
              <w:rPr>
                <w:rFonts w:ascii="Times New Roman"/>
                <w:sz w:val="18"/>
              </w:rPr>
            </w:pPr>
            <w:r>
              <w:rPr>
                <w:rFonts w:ascii="Times New Roman"/>
                <w:sz w:val="18"/>
              </w:rPr>
              <w:t>A</w:t>
            </w:r>
          </w:p>
        </w:tc>
        <w:tc>
          <w:tcPr>
            <w:tcW w:w="4743" w:type="dxa"/>
          </w:tcPr>
          <w:p>
            <w:pPr>
              <w:pStyle w:val="TableParagraph"/>
              <w:spacing w:before="4"/>
              <w:rPr>
                <w:sz w:val="14"/>
              </w:rPr>
            </w:pPr>
          </w:p>
          <w:p>
            <w:pPr>
              <w:pStyle w:val="TableParagraph"/>
              <w:ind w:left="103"/>
              <w:rPr>
                <w:sz w:val="18"/>
              </w:rPr>
            </w:pPr>
            <w:r>
              <w:rPr>
                <w:spacing w:val="-2"/>
                <w:sz w:val="18"/>
              </w:rPr>
              <w:t>样方流失量</w:t>
            </w:r>
          </w:p>
        </w:tc>
        <w:tc>
          <w:tcPr>
            <w:tcW w:w="1619" w:type="dxa"/>
            <w:tcBorders>
              <w:right w:val="nil"/>
            </w:tcBorders>
          </w:tcPr>
          <w:p>
            <w:pPr>
              <w:pStyle w:val="TableParagraph"/>
              <w:spacing w:line="280" w:lineRule="exact"/>
              <w:ind w:left="183" w:right="150" w:hanging="78"/>
              <w:rPr>
                <w:sz w:val="18"/>
              </w:rPr>
            </w:pPr>
            <w:r>
              <w:rPr>
                <w:rFonts w:ascii="Times New Roman" w:eastAsia="Times New Roman" w:hAnsi="Times New Roman"/>
                <w:spacing w:val="-2"/>
                <w:sz w:val="18"/>
              </w:rPr>
              <w:t>kg/(m</w:t>
            </w:r>
            <w:r>
              <w:rPr>
                <w:rFonts w:ascii="Times New Roman" w:eastAsia="Times New Roman" w:hAnsi="Times New Roman"/>
                <w:spacing w:val="-2"/>
                <w:position w:val="5"/>
                <w:sz w:val="12"/>
              </w:rPr>
              <w:t>2</w:t>
            </w:r>
            <w:r>
              <w:rPr>
                <w:spacing w:val="-2"/>
                <w:sz w:val="18"/>
              </w:rPr>
              <w:t>·</w:t>
            </w:r>
            <w:r>
              <w:rPr>
                <w:rFonts w:ascii="Times New Roman" w:eastAsia="Times New Roman" w:hAnsi="Times New Roman"/>
                <w:spacing w:val="-2"/>
                <w:sz w:val="18"/>
              </w:rPr>
              <w:t>a)</w:t>
            </w:r>
            <w:r>
              <w:rPr>
                <w:spacing w:val="-2"/>
                <w:sz w:val="18"/>
              </w:rPr>
              <w:t>（一场</w:t>
            </w:r>
            <w:r>
              <w:rPr>
                <w:spacing w:val="-11"/>
                <w:sz w:val="18"/>
              </w:rPr>
              <w:t xml:space="preserve">雨时为 </w:t>
            </w:r>
            <w:r>
              <w:rPr>
                <w:rFonts w:ascii="Times New Roman" w:eastAsia="Times New Roman" w:hAnsi="Times New Roman"/>
                <w:sz w:val="18"/>
              </w:rPr>
              <w:t>kg/m</w:t>
            </w:r>
            <w:r>
              <w:rPr>
                <w:rFonts w:ascii="Times New Roman" w:eastAsia="Times New Roman" w:hAnsi="Times New Roman"/>
                <w:position w:val="5"/>
                <w:sz w:val="12"/>
              </w:rPr>
              <w:t>2</w:t>
            </w: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jc w:val="center"/>
              <w:rPr>
                <w:rFonts w:ascii="Times New Roman"/>
                <w:sz w:val="18"/>
              </w:rPr>
            </w:pPr>
            <w:r>
              <w:rPr>
                <w:rFonts w:ascii="Times New Roman"/>
                <w:sz w:val="18"/>
              </w:rPr>
              <w:t>2</w:t>
            </w:r>
          </w:p>
        </w:tc>
        <w:tc>
          <w:tcPr>
            <w:tcW w:w="1377" w:type="dxa"/>
          </w:tcPr>
          <w:p>
            <w:pPr>
              <w:pStyle w:val="TableParagraph"/>
              <w:spacing w:before="72"/>
              <w:jc w:val="center"/>
              <w:rPr>
                <w:rFonts w:ascii="Times New Roman"/>
                <w:sz w:val="18"/>
              </w:rPr>
            </w:pPr>
            <w:r>
              <w:rPr>
                <w:rFonts w:ascii="Times New Roman"/>
                <w:sz w:val="18"/>
              </w:rPr>
              <w:t>a</w:t>
            </w:r>
          </w:p>
        </w:tc>
        <w:tc>
          <w:tcPr>
            <w:tcW w:w="4743" w:type="dxa"/>
          </w:tcPr>
          <w:p>
            <w:pPr>
              <w:pStyle w:val="TableParagraph"/>
              <w:spacing w:before="60"/>
              <w:ind w:left="103"/>
              <w:rPr>
                <w:sz w:val="18"/>
              </w:rPr>
            </w:pPr>
            <w:r>
              <w:rPr>
                <w:spacing w:val="-2"/>
                <w:sz w:val="18"/>
              </w:rPr>
              <w:t>排放口到岸边的距离</w:t>
            </w:r>
          </w:p>
        </w:tc>
        <w:tc>
          <w:tcPr>
            <w:tcW w:w="1619" w:type="dxa"/>
            <w:tcBorders>
              <w:right w:val="nil"/>
            </w:tcBorders>
          </w:tcPr>
          <w:p>
            <w:pPr>
              <w:pStyle w:val="TableParagraph"/>
              <w:spacing w:before="72"/>
              <w:ind w:right="43"/>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jc w:val="center"/>
              <w:rPr>
                <w:rFonts w:ascii="Times New Roman"/>
                <w:sz w:val="18"/>
              </w:rPr>
            </w:pPr>
            <w:r>
              <w:rPr>
                <w:rFonts w:ascii="Times New Roman"/>
                <w:sz w:val="18"/>
              </w:rPr>
              <w:t>3</w:t>
            </w:r>
          </w:p>
        </w:tc>
        <w:tc>
          <w:tcPr>
            <w:tcW w:w="1377" w:type="dxa"/>
          </w:tcPr>
          <w:p>
            <w:pPr>
              <w:pStyle w:val="TableParagraph"/>
              <w:spacing w:before="72"/>
              <w:jc w:val="center"/>
              <w:rPr>
                <w:rFonts w:ascii="Times New Roman"/>
                <w:sz w:val="18"/>
              </w:rPr>
            </w:pPr>
            <w:r>
              <w:rPr>
                <w:rFonts w:ascii="Times New Roman"/>
                <w:sz w:val="18"/>
              </w:rPr>
              <w:t>B</w:t>
            </w:r>
          </w:p>
        </w:tc>
        <w:tc>
          <w:tcPr>
            <w:tcW w:w="4743" w:type="dxa"/>
          </w:tcPr>
          <w:p>
            <w:pPr>
              <w:pStyle w:val="TableParagraph"/>
              <w:spacing w:before="60"/>
              <w:ind w:left="103"/>
              <w:rPr>
                <w:sz w:val="18"/>
              </w:rPr>
            </w:pPr>
            <w:r>
              <w:rPr>
                <w:spacing w:val="-3"/>
                <w:sz w:val="18"/>
              </w:rPr>
              <w:t>河流宽度</w:t>
            </w:r>
          </w:p>
        </w:tc>
        <w:tc>
          <w:tcPr>
            <w:tcW w:w="1619" w:type="dxa"/>
            <w:tcBorders>
              <w:right w:val="nil"/>
            </w:tcBorders>
          </w:tcPr>
          <w:p>
            <w:pPr>
              <w:pStyle w:val="TableParagraph"/>
              <w:spacing w:before="72"/>
              <w:ind w:right="43"/>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jc w:val="center"/>
              <w:rPr>
                <w:rFonts w:ascii="Times New Roman"/>
                <w:sz w:val="18"/>
              </w:rPr>
            </w:pPr>
            <w:r>
              <w:rPr>
                <w:rFonts w:ascii="Times New Roman"/>
                <w:sz w:val="18"/>
              </w:rPr>
              <w:t>4</w:t>
            </w:r>
          </w:p>
        </w:tc>
        <w:tc>
          <w:tcPr>
            <w:tcW w:w="1377" w:type="dxa"/>
          </w:tcPr>
          <w:p>
            <w:pPr>
              <w:pStyle w:val="TableParagraph"/>
              <w:spacing w:before="72"/>
              <w:jc w:val="center"/>
              <w:rPr>
                <w:rFonts w:ascii="Times New Roman"/>
                <w:sz w:val="18"/>
              </w:rPr>
            </w:pPr>
            <w:r>
              <w:rPr>
                <w:rFonts w:ascii="Times New Roman"/>
                <w:sz w:val="18"/>
              </w:rPr>
              <w:t>b</w:t>
            </w:r>
          </w:p>
        </w:tc>
        <w:tc>
          <w:tcPr>
            <w:tcW w:w="4743" w:type="dxa"/>
          </w:tcPr>
          <w:p>
            <w:pPr>
              <w:pStyle w:val="TableParagraph"/>
              <w:spacing w:before="60"/>
              <w:ind w:left="103"/>
              <w:rPr>
                <w:sz w:val="18"/>
              </w:rPr>
            </w:pPr>
            <w:r>
              <w:rPr>
                <w:spacing w:val="-2"/>
                <w:sz w:val="18"/>
              </w:rPr>
              <w:t>河流主槽宽度</w:t>
            </w:r>
          </w:p>
        </w:tc>
        <w:tc>
          <w:tcPr>
            <w:tcW w:w="1619" w:type="dxa"/>
            <w:tcBorders>
              <w:right w:val="nil"/>
            </w:tcBorders>
          </w:tcPr>
          <w:p>
            <w:pPr>
              <w:pStyle w:val="TableParagraph"/>
              <w:spacing w:before="72"/>
              <w:ind w:right="43"/>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560"/>
          <w:jc w:val="left"/>
        </w:trPr>
        <w:tc>
          <w:tcPr>
            <w:tcW w:w="829" w:type="dxa"/>
            <w:tcBorders>
              <w:left w:val="nil"/>
            </w:tcBorders>
          </w:tcPr>
          <w:p>
            <w:pPr>
              <w:pStyle w:val="TableParagraph"/>
              <w:spacing w:before="3"/>
              <w:rPr>
                <w:sz w:val="15"/>
              </w:rPr>
            </w:pPr>
          </w:p>
          <w:p>
            <w:pPr>
              <w:pStyle w:val="TableParagraph"/>
              <w:jc w:val="center"/>
              <w:rPr>
                <w:rFonts w:ascii="Times New Roman"/>
                <w:sz w:val="18"/>
              </w:rPr>
            </w:pPr>
            <w:r>
              <w:rPr>
                <w:rFonts w:ascii="Times New Roman"/>
                <w:sz w:val="18"/>
              </w:rPr>
              <w:t>5</w:t>
            </w:r>
          </w:p>
        </w:tc>
        <w:tc>
          <w:tcPr>
            <w:tcW w:w="1377" w:type="dxa"/>
            <w:tcBorders>
              <w:bottom w:val="nil"/>
            </w:tcBorders>
          </w:tcPr>
          <w:p>
            <w:pPr>
              <w:pStyle w:val="TableParagraph"/>
              <w:spacing w:before="3"/>
              <w:rPr>
                <w:sz w:val="15"/>
              </w:rPr>
            </w:pPr>
          </w:p>
          <w:p>
            <w:pPr>
              <w:pStyle w:val="TableParagraph"/>
              <w:jc w:val="center"/>
              <w:rPr>
                <w:rFonts w:ascii="Times New Roman"/>
                <w:sz w:val="18"/>
              </w:rPr>
            </w:pPr>
            <w:r>
              <w:rPr>
                <w:rFonts w:ascii="Times New Roman"/>
                <w:sz w:val="18"/>
              </w:rPr>
              <w:t>c</w:t>
            </w:r>
          </w:p>
        </w:tc>
        <w:tc>
          <w:tcPr>
            <w:tcW w:w="4743" w:type="dxa"/>
          </w:tcPr>
          <w:p>
            <w:pPr>
              <w:pStyle w:val="TableParagraph"/>
              <w:spacing w:line="280" w:lineRule="exact"/>
              <w:ind w:left="103" w:right="101"/>
              <w:rPr>
                <w:sz w:val="18"/>
              </w:rPr>
            </w:pPr>
            <w:r>
              <w:rPr>
                <w:spacing w:val="-2"/>
                <w:sz w:val="18"/>
              </w:rPr>
              <w:t>污染物浓度，垂向平均浓度，断面平均浓度或湖（库）</w:t>
            </w:r>
            <w:r>
              <w:rPr>
                <w:spacing w:val="-2"/>
                <w:sz w:val="18"/>
              </w:rPr>
              <w:t>平</w:t>
            </w:r>
            <w:r>
              <w:rPr>
                <w:spacing w:val="-4"/>
                <w:sz w:val="18"/>
              </w:rPr>
              <w:t>均浓度</w:t>
            </w:r>
          </w:p>
        </w:tc>
        <w:tc>
          <w:tcPr>
            <w:tcW w:w="1619" w:type="dxa"/>
            <w:tcBorders>
              <w:right w:val="nil"/>
            </w:tcBorders>
          </w:tcPr>
          <w:p>
            <w:pPr>
              <w:pStyle w:val="TableParagraph"/>
              <w:spacing w:before="3"/>
              <w:rPr>
                <w:sz w:val="15"/>
              </w:rPr>
            </w:pPr>
          </w:p>
          <w:p>
            <w:pPr>
              <w:pStyle w:val="TableParagraph"/>
              <w:ind w:left="578" w:right="621"/>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jc w:val="center"/>
              <w:rPr>
                <w:rFonts w:ascii="Times New Roman"/>
                <w:sz w:val="18"/>
              </w:rPr>
            </w:pPr>
            <w:r>
              <w:rPr>
                <w:rFonts w:ascii="Times New Roman"/>
                <w:sz w:val="18"/>
              </w:rPr>
              <w:t>6</w:t>
            </w:r>
          </w:p>
        </w:tc>
        <w:tc>
          <w:tcPr>
            <w:tcW w:w="1377" w:type="dxa"/>
            <w:tcBorders>
              <w:top w:val="nil"/>
            </w:tcBorders>
          </w:tcPr>
          <w:p>
            <w:pPr>
              <w:pStyle w:val="TableParagraph"/>
              <w:spacing w:before="16"/>
              <w:ind w:right="6"/>
              <w:jc w:val="center"/>
              <w:rPr>
                <w:rFonts w:ascii="Times New Roman"/>
                <w:i/>
                <w:sz w:val="24"/>
              </w:rPr>
            </w:pPr>
            <w:r>
              <w:rPr>
                <w:rFonts w:ascii="Times New Roman"/>
                <w:i/>
                <w:sz w:val="24"/>
              </w:rPr>
              <w:t>c</w:t>
            </w:r>
          </w:p>
        </w:tc>
        <w:tc>
          <w:tcPr>
            <w:tcW w:w="4743" w:type="dxa"/>
          </w:tcPr>
          <w:p>
            <w:pPr>
              <w:pStyle w:val="TableParagraph"/>
              <w:spacing w:before="60"/>
              <w:ind w:left="103"/>
              <w:rPr>
                <w:sz w:val="18"/>
              </w:rPr>
            </w:pPr>
            <w:r>
              <w:rPr>
                <w:spacing w:val="-1"/>
                <w:sz w:val="18"/>
              </w:rPr>
              <w:t>污染物多次监测的平均浓度</w:t>
            </w:r>
          </w:p>
        </w:tc>
        <w:tc>
          <w:tcPr>
            <w:tcW w:w="1619" w:type="dxa"/>
            <w:tcBorders>
              <w:right w:val="nil"/>
            </w:tcBorders>
          </w:tcPr>
          <w:p>
            <w:pPr>
              <w:pStyle w:val="TableParagraph"/>
              <w:spacing w:before="72"/>
              <w:ind w:left="578" w:right="621"/>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jc w:val="center"/>
              <w:rPr>
                <w:rFonts w:ascii="Times New Roman"/>
                <w:sz w:val="18"/>
              </w:rPr>
            </w:pPr>
            <w:r>
              <w:rPr>
                <w:rFonts w:ascii="Times New Roman"/>
                <w:sz w:val="18"/>
              </w:rPr>
              <w:t>7</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A</w:t>
            </w:r>
          </w:p>
        </w:tc>
        <w:tc>
          <w:tcPr>
            <w:tcW w:w="4743" w:type="dxa"/>
          </w:tcPr>
          <w:p>
            <w:pPr>
              <w:pStyle w:val="TableParagraph"/>
              <w:spacing w:before="60"/>
              <w:ind w:left="103"/>
              <w:rPr>
                <w:sz w:val="18"/>
              </w:rPr>
            </w:pPr>
            <w:r>
              <w:rPr>
                <w:spacing w:val="-8"/>
                <w:sz w:val="18"/>
              </w:rPr>
              <w:t xml:space="preserve">河流中断面 </w:t>
            </w:r>
            <w:r>
              <w:rPr>
                <w:rFonts w:ascii="Times New Roman" w:eastAsia="Times New Roman"/>
                <w:sz w:val="18"/>
              </w:rPr>
              <w:t>A</w:t>
            </w:r>
            <w:r>
              <w:rPr>
                <w:rFonts w:ascii="Times New Roman" w:eastAsia="Times New Roman"/>
                <w:spacing w:val="-1"/>
                <w:sz w:val="18"/>
              </w:rPr>
              <w:t xml:space="preserve"> </w:t>
            </w:r>
            <w:r>
              <w:rPr>
                <w:spacing w:val="-9"/>
                <w:sz w:val="18"/>
              </w:rPr>
              <w:t xml:space="preserve">或湖泊中 </w:t>
            </w:r>
            <w:r>
              <w:rPr>
                <w:rFonts w:ascii="Times New Roman" w:eastAsia="Times New Roman"/>
                <w:sz w:val="18"/>
              </w:rPr>
              <w:t>r=r</w:t>
            </w:r>
            <w:r>
              <w:rPr>
                <w:rFonts w:ascii="Times New Roman" w:eastAsia="Times New Roman"/>
                <w:sz w:val="18"/>
                <w:vertAlign w:val="subscript"/>
              </w:rPr>
              <w:t>A</w:t>
            </w:r>
            <w:r>
              <w:rPr>
                <w:rFonts w:ascii="Times New Roman" w:eastAsia="Times New Roman"/>
                <w:spacing w:val="-15"/>
                <w:sz w:val="18"/>
                <w:vertAlign w:val="baseline"/>
              </w:rPr>
              <w:t xml:space="preserve"> </w:t>
            </w:r>
            <w:r>
              <w:rPr>
                <w:spacing w:val="-1"/>
                <w:sz w:val="18"/>
                <w:vertAlign w:val="baseline"/>
              </w:rPr>
              <w:t>时弧面的污染物平均浓度</w:t>
            </w:r>
          </w:p>
        </w:tc>
        <w:tc>
          <w:tcPr>
            <w:tcW w:w="1619" w:type="dxa"/>
            <w:tcBorders>
              <w:right w:val="nil"/>
            </w:tcBorders>
          </w:tcPr>
          <w:p>
            <w:pPr>
              <w:pStyle w:val="TableParagraph"/>
              <w:spacing w:before="72"/>
              <w:ind w:left="578" w:right="621"/>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jc w:val="center"/>
              <w:rPr>
                <w:rFonts w:ascii="Times New Roman"/>
                <w:sz w:val="18"/>
              </w:rPr>
            </w:pPr>
            <w:r>
              <w:rPr>
                <w:rFonts w:ascii="Times New Roman"/>
                <w:sz w:val="18"/>
              </w:rPr>
              <w:t>8</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ap</w:t>
            </w:r>
          </w:p>
        </w:tc>
        <w:tc>
          <w:tcPr>
            <w:tcW w:w="4743" w:type="dxa"/>
          </w:tcPr>
          <w:p>
            <w:pPr>
              <w:pStyle w:val="TableParagraph"/>
              <w:spacing w:before="60"/>
              <w:ind w:left="103"/>
              <w:rPr>
                <w:sz w:val="18"/>
              </w:rPr>
            </w:pPr>
            <w:r>
              <w:rPr>
                <w:spacing w:val="-2"/>
                <w:sz w:val="18"/>
              </w:rPr>
              <w:t>排放废水中的酸度</w:t>
            </w:r>
          </w:p>
        </w:tc>
        <w:tc>
          <w:tcPr>
            <w:tcW w:w="1619" w:type="dxa"/>
            <w:tcBorders>
              <w:right w:val="nil"/>
            </w:tcBorders>
          </w:tcPr>
          <w:p>
            <w:pPr>
              <w:pStyle w:val="TableParagraph"/>
              <w:spacing w:before="72"/>
              <w:ind w:right="565"/>
              <w:jc w:val="right"/>
              <w:rPr>
                <w:rFonts w:ascii="Times New Roman"/>
                <w:sz w:val="18"/>
              </w:rPr>
            </w:pPr>
            <w:r>
              <w:rPr>
                <w:rFonts w:ascii="Times New Roman"/>
                <w:spacing w:val="-2"/>
                <w:sz w:val="18"/>
              </w:rPr>
              <w:t>mgN/L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jc w:val="center"/>
              <w:rPr>
                <w:rFonts w:ascii="Times New Roman"/>
                <w:sz w:val="18"/>
              </w:rPr>
            </w:pPr>
            <w:r>
              <w:rPr>
                <w:rFonts w:ascii="Times New Roman"/>
                <w:sz w:val="18"/>
              </w:rPr>
              <w:t>9</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B</w:t>
            </w:r>
          </w:p>
        </w:tc>
        <w:tc>
          <w:tcPr>
            <w:tcW w:w="4743" w:type="dxa"/>
          </w:tcPr>
          <w:p>
            <w:pPr>
              <w:pStyle w:val="TableParagraph"/>
              <w:spacing w:before="60"/>
              <w:ind w:left="103"/>
              <w:rPr>
                <w:sz w:val="18"/>
              </w:rPr>
            </w:pPr>
            <w:r>
              <w:rPr>
                <w:spacing w:val="-8"/>
                <w:sz w:val="18"/>
              </w:rPr>
              <w:t xml:space="preserve">河流中断面 </w:t>
            </w:r>
            <w:r>
              <w:rPr>
                <w:rFonts w:ascii="Times New Roman" w:eastAsia="Times New Roman"/>
                <w:sz w:val="18"/>
              </w:rPr>
              <w:t xml:space="preserve">B </w:t>
            </w:r>
            <w:r>
              <w:rPr>
                <w:spacing w:val="-9"/>
                <w:sz w:val="18"/>
              </w:rPr>
              <w:t xml:space="preserve">或湖泊中 </w:t>
            </w:r>
            <w:r>
              <w:rPr>
                <w:rFonts w:ascii="Times New Roman" w:eastAsia="Times New Roman"/>
                <w:sz w:val="18"/>
              </w:rPr>
              <w:t>r=r</w:t>
            </w:r>
            <w:r>
              <w:rPr>
                <w:rFonts w:ascii="Times New Roman" w:eastAsia="Times New Roman"/>
                <w:sz w:val="18"/>
                <w:vertAlign w:val="subscript"/>
              </w:rPr>
              <w:t>B</w:t>
            </w:r>
            <w:r>
              <w:rPr>
                <w:rFonts w:ascii="Times New Roman" w:eastAsia="Times New Roman"/>
                <w:spacing w:val="-15"/>
                <w:sz w:val="18"/>
                <w:vertAlign w:val="baseline"/>
              </w:rPr>
              <w:t xml:space="preserve"> </w:t>
            </w:r>
            <w:r>
              <w:rPr>
                <w:spacing w:val="-1"/>
                <w:sz w:val="18"/>
                <w:vertAlign w:val="baseline"/>
              </w:rPr>
              <w:t>时弧面的污染物平均浓度</w:t>
            </w:r>
          </w:p>
        </w:tc>
        <w:tc>
          <w:tcPr>
            <w:tcW w:w="1619" w:type="dxa"/>
            <w:tcBorders>
              <w:right w:val="nil"/>
            </w:tcBorders>
          </w:tcPr>
          <w:p>
            <w:pPr>
              <w:pStyle w:val="TableParagraph"/>
              <w:spacing w:before="72"/>
              <w:ind w:left="578" w:right="621"/>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10</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bh</w:t>
            </w:r>
          </w:p>
        </w:tc>
        <w:tc>
          <w:tcPr>
            <w:tcW w:w="4743" w:type="dxa"/>
          </w:tcPr>
          <w:p>
            <w:pPr>
              <w:pStyle w:val="TableParagraph"/>
              <w:spacing w:before="60"/>
              <w:ind w:left="103"/>
              <w:rPr>
                <w:sz w:val="18"/>
              </w:rPr>
            </w:pPr>
            <w:r>
              <w:rPr>
                <w:sz w:val="18"/>
              </w:rPr>
              <w:t>河流或湖（库）</w:t>
            </w:r>
            <w:r>
              <w:rPr>
                <w:spacing w:val="-3"/>
                <w:sz w:val="18"/>
              </w:rPr>
              <w:t>中的碱度</w:t>
            </w:r>
          </w:p>
        </w:tc>
        <w:tc>
          <w:tcPr>
            <w:tcW w:w="1619" w:type="dxa"/>
            <w:tcBorders>
              <w:right w:val="nil"/>
            </w:tcBorders>
          </w:tcPr>
          <w:p>
            <w:pPr>
              <w:pStyle w:val="TableParagraph"/>
              <w:spacing w:before="72"/>
              <w:ind w:right="565"/>
              <w:jc w:val="right"/>
              <w:rPr>
                <w:rFonts w:ascii="Times New Roman"/>
                <w:sz w:val="18"/>
              </w:rPr>
            </w:pPr>
            <w:r>
              <w:rPr>
                <w:rFonts w:ascii="Times New Roman"/>
                <w:spacing w:val="-2"/>
                <w:sz w:val="18"/>
              </w:rPr>
              <w:t>mgN/L</w:t>
            </w:r>
          </w:p>
        </w:tc>
      </w:tr>
    </w:tbl>
    <w:p>
      <w:pPr>
        <w:spacing w:after="0"/>
        <w:jc w:val="right"/>
        <w:rPr>
          <w:rFonts w:ascii="Times New Roman"/>
          <w:sz w:val="18"/>
        </w:rPr>
        <w:sectPr>
          <w:footerReference w:type="even" r:id="rId8"/>
          <w:footerReference w:type="default" r:id="rId9"/>
          <w:type w:val="continuous"/>
          <w:pgSz w:w="11910" w:h="16840"/>
          <w:pgMar w:top="1480" w:right="1500" w:bottom="1180" w:left="1580" w:header="0" w:footer="990"/>
          <w:pgNumType w:start="602"/>
          <w:cols w:space="708"/>
        </w:sectPr>
      </w:pPr>
    </w:p>
    <w:tbl>
      <w:tblPr>
        <w:tblStyle w:val="TableNormal0"/>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9"/>
        <w:gridCol w:w="1377"/>
        <w:gridCol w:w="4743"/>
        <w:gridCol w:w="1573"/>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60"/>
              <w:ind w:left="217" w:right="217"/>
              <w:jc w:val="center"/>
              <w:rPr>
                <w:sz w:val="18"/>
              </w:rPr>
            </w:pPr>
            <w:r>
              <w:rPr>
                <w:spacing w:val="-5"/>
                <w:sz w:val="18"/>
              </w:rPr>
              <w:t>序号</w:t>
            </w:r>
          </w:p>
        </w:tc>
        <w:tc>
          <w:tcPr>
            <w:tcW w:w="1377" w:type="dxa"/>
          </w:tcPr>
          <w:p>
            <w:pPr>
              <w:pStyle w:val="TableParagraph"/>
              <w:spacing w:before="60"/>
              <w:ind w:left="133" w:right="133"/>
              <w:jc w:val="center"/>
              <w:rPr>
                <w:sz w:val="18"/>
              </w:rPr>
            </w:pPr>
            <w:r>
              <w:rPr>
                <w:sz w:val="18"/>
              </w:rPr>
              <w:t>符</w:t>
            </w:r>
            <w:r>
              <w:rPr>
                <w:spacing w:val="45"/>
                <w:w w:val="150"/>
                <w:sz w:val="18"/>
              </w:rPr>
              <w:t xml:space="preserve"> </w:t>
            </w:r>
            <w:r>
              <w:rPr>
                <w:spacing w:val="-10"/>
                <w:sz w:val="18"/>
              </w:rPr>
              <w:t>号</w:t>
            </w:r>
          </w:p>
        </w:tc>
        <w:tc>
          <w:tcPr>
            <w:tcW w:w="4743" w:type="dxa"/>
          </w:tcPr>
          <w:p>
            <w:pPr>
              <w:pStyle w:val="TableParagraph"/>
              <w:tabs>
                <w:tab w:val="left" w:pos="1169"/>
              </w:tabs>
              <w:spacing w:before="60"/>
              <w:jc w:val="center"/>
              <w:rPr>
                <w:sz w:val="18"/>
              </w:rPr>
            </w:pPr>
            <w:r>
              <w:rPr>
                <w:spacing w:val="-10"/>
                <w:sz w:val="18"/>
              </w:rPr>
              <w:t>含</w:t>
            </w:r>
            <w:r>
              <w:rPr>
                <w:sz w:val="18"/>
              </w:rPr>
              <w:tab/>
            </w:r>
            <w:r>
              <w:rPr>
                <w:spacing w:val="-10"/>
                <w:sz w:val="18"/>
              </w:rPr>
              <w:t>义</w:t>
            </w:r>
          </w:p>
        </w:tc>
        <w:tc>
          <w:tcPr>
            <w:tcW w:w="1573" w:type="dxa"/>
            <w:tcBorders>
              <w:right w:val="nil"/>
            </w:tcBorders>
          </w:tcPr>
          <w:p>
            <w:pPr>
              <w:pStyle w:val="TableParagraph"/>
              <w:spacing w:before="60"/>
              <w:ind w:left="214" w:right="214"/>
              <w:jc w:val="center"/>
              <w:rPr>
                <w:sz w:val="18"/>
              </w:rPr>
            </w:pPr>
            <w:r>
              <w:rPr>
                <w:sz w:val="18"/>
              </w:rPr>
              <w:t>单</w:t>
            </w:r>
            <w:r>
              <w:rPr>
                <w:spacing w:val="45"/>
                <w:w w:val="150"/>
                <w:sz w:val="18"/>
              </w:rPr>
              <w:t xml:space="preserve"> </w:t>
            </w:r>
            <w:r>
              <w:rPr>
                <w:spacing w:val="-10"/>
                <w:sz w:val="18"/>
              </w:rPr>
              <w:t>位</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11</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bp</w:t>
            </w:r>
          </w:p>
        </w:tc>
        <w:tc>
          <w:tcPr>
            <w:tcW w:w="4743" w:type="dxa"/>
          </w:tcPr>
          <w:p>
            <w:pPr>
              <w:pStyle w:val="TableParagraph"/>
              <w:spacing w:before="60"/>
              <w:ind w:left="103"/>
              <w:rPr>
                <w:sz w:val="18"/>
              </w:rPr>
            </w:pPr>
            <w:r>
              <w:rPr>
                <w:spacing w:val="-2"/>
                <w:sz w:val="18"/>
              </w:rPr>
              <w:t>排放废水中的碱度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2"/>
                <w:sz w:val="18"/>
              </w:rPr>
              <w:t>mgN/L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12</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E</w:t>
            </w:r>
          </w:p>
        </w:tc>
        <w:tc>
          <w:tcPr>
            <w:tcW w:w="4743" w:type="dxa"/>
          </w:tcPr>
          <w:p>
            <w:pPr>
              <w:pStyle w:val="TableParagraph"/>
              <w:spacing w:before="60"/>
              <w:ind w:left="103"/>
              <w:rPr>
                <w:sz w:val="18"/>
              </w:rPr>
            </w:pPr>
            <w:r>
              <w:rPr>
                <w:sz w:val="18"/>
              </w:rPr>
              <w:t>分层湖（库）</w:t>
            </w:r>
            <w:r>
              <w:rPr>
                <w:spacing w:val="-2"/>
                <w:sz w:val="18"/>
              </w:rPr>
              <w:t>上层的平均浓度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13</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H</w:t>
            </w:r>
          </w:p>
        </w:tc>
        <w:tc>
          <w:tcPr>
            <w:tcW w:w="4743" w:type="dxa"/>
          </w:tcPr>
          <w:p>
            <w:pPr>
              <w:pStyle w:val="TableParagraph"/>
              <w:spacing w:before="60"/>
              <w:ind w:left="103"/>
              <w:rPr>
                <w:sz w:val="18"/>
              </w:rPr>
            </w:pPr>
            <w:r>
              <w:rPr>
                <w:sz w:val="18"/>
              </w:rPr>
              <w:t>分层湖（库）</w:t>
            </w:r>
            <w:r>
              <w:rPr>
                <w:spacing w:val="-2"/>
                <w:sz w:val="18"/>
              </w:rPr>
              <w:t>下层的平均浓度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14</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h</w:t>
            </w:r>
          </w:p>
        </w:tc>
        <w:tc>
          <w:tcPr>
            <w:tcW w:w="4743" w:type="dxa"/>
          </w:tcPr>
          <w:p>
            <w:pPr>
              <w:pStyle w:val="TableParagraph"/>
              <w:spacing w:before="60"/>
              <w:ind w:left="103"/>
              <w:rPr>
                <w:sz w:val="18"/>
              </w:rPr>
            </w:pPr>
            <w:r>
              <w:rPr>
                <w:sz w:val="18"/>
              </w:rPr>
              <w:t>河流上游污染物浓度或湖（库</w:t>
            </w:r>
            <w:r>
              <w:rPr>
                <w:spacing w:val="-90"/>
                <w:sz w:val="18"/>
              </w:rPr>
              <w:t>）</w:t>
            </w:r>
            <w:r>
              <w:rPr>
                <w:spacing w:val="-1"/>
                <w:sz w:val="18"/>
              </w:rPr>
              <w:t>、海中污染物现状浓度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560"/>
          <w:jc w:val="left"/>
        </w:trPr>
        <w:tc>
          <w:tcPr>
            <w:tcW w:w="829" w:type="dxa"/>
            <w:tcBorders>
              <w:left w:val="nil"/>
            </w:tcBorders>
          </w:tcPr>
          <w:p>
            <w:pPr>
              <w:pStyle w:val="TableParagraph"/>
              <w:spacing w:before="3"/>
              <w:rPr>
                <w:sz w:val="15"/>
              </w:rPr>
            </w:pPr>
          </w:p>
          <w:p>
            <w:pPr>
              <w:pStyle w:val="TableParagraph"/>
              <w:ind w:left="217" w:right="217"/>
              <w:jc w:val="center"/>
              <w:rPr>
                <w:rFonts w:ascii="Times New Roman"/>
                <w:sz w:val="18"/>
              </w:rPr>
            </w:pPr>
            <w:r>
              <w:rPr>
                <w:rFonts w:ascii="Times New Roman"/>
                <w:spacing w:val="-5"/>
                <w:sz w:val="18"/>
              </w:rPr>
              <w:t>15</w:t>
            </w:r>
          </w:p>
        </w:tc>
        <w:tc>
          <w:tcPr>
            <w:tcW w:w="1377" w:type="dxa"/>
          </w:tcPr>
          <w:p>
            <w:pPr>
              <w:pStyle w:val="TableParagraph"/>
              <w:rPr>
                <w:sz w:val="15"/>
              </w:rPr>
            </w:pPr>
          </w:p>
          <w:p>
            <w:pPr>
              <w:pStyle w:val="TableParagraph"/>
              <w:ind w:left="133" w:right="133"/>
              <w:jc w:val="center"/>
              <w:rPr>
                <w:rFonts w:ascii="Times New Roman"/>
                <w:sz w:val="12"/>
              </w:rPr>
            </w:pPr>
            <w:r>
              <w:rPr>
                <w:rFonts w:ascii="Times New Roman"/>
                <w:spacing w:val="-4"/>
                <w:position w:val="3"/>
                <w:sz w:val="18"/>
              </w:rPr>
              <w:t>c</w:t>
            </w:r>
            <w:r>
              <w:rPr>
                <w:rFonts w:ascii="Times New Roman"/>
                <w:spacing w:val="-4"/>
                <w:sz w:val="12"/>
              </w:rPr>
              <w:t>i,j</w:t>
            </w:r>
          </w:p>
        </w:tc>
        <w:tc>
          <w:tcPr>
            <w:tcW w:w="4743" w:type="dxa"/>
          </w:tcPr>
          <w:p>
            <w:pPr>
              <w:pStyle w:val="TableParagraph"/>
              <w:spacing w:line="280" w:lineRule="exact"/>
              <w:ind w:left="103" w:right="146"/>
              <w:rPr>
                <w:sz w:val="18"/>
              </w:rPr>
            </w:pPr>
            <w:r>
              <w:rPr>
                <w:sz w:val="18"/>
              </w:rPr>
              <w:t>（</w:t>
            </w:r>
            <w:r>
              <w:rPr>
                <w:rFonts w:ascii="Times New Roman" w:eastAsia="Times New Roman"/>
                <w:sz w:val="18"/>
              </w:rPr>
              <w:t>i,j</w:t>
            </w:r>
            <w:r>
              <w:rPr>
                <w:sz w:val="18"/>
              </w:rPr>
              <w:t>）</w:t>
            </w:r>
            <w:r>
              <w:rPr>
                <w:spacing w:val="-4"/>
                <w:sz w:val="18"/>
              </w:rPr>
              <w:t xml:space="preserve">点的污染物浓度或污染物 </w:t>
            </w:r>
            <w:r>
              <w:rPr>
                <w:rFonts w:ascii="Times New Roman" w:eastAsia="Times New Roman"/>
                <w:i/>
                <w:sz w:val="18"/>
              </w:rPr>
              <w:t>i</w:t>
            </w:r>
            <w:r>
              <w:rPr>
                <w:rFonts w:ascii="Times New Roman" w:eastAsia="Times New Roman"/>
                <w:i/>
                <w:spacing w:val="-12"/>
                <w:sz w:val="18"/>
              </w:rPr>
              <w:t xml:space="preserve"> </w:t>
            </w:r>
            <w:r>
              <w:rPr>
                <w:sz w:val="18"/>
              </w:rPr>
              <w:t>在预测点（或监测点</w:t>
            </w:r>
            <w:r>
              <w:rPr>
                <w:sz w:val="18"/>
              </w:rPr>
              <w:t>）</w:t>
            </w:r>
            <w:r>
              <w:rPr>
                <w:rFonts w:ascii="Times New Roman" w:eastAsia="Times New Roman"/>
                <w:sz w:val="18"/>
              </w:rPr>
              <w:t>j</w:t>
            </w:r>
            <w:r>
              <w:rPr>
                <w:spacing w:val="-4"/>
                <w:sz w:val="18"/>
              </w:rPr>
              <w:t>的浓度</w:t>
            </w:r>
          </w:p>
        </w:tc>
        <w:tc>
          <w:tcPr>
            <w:tcW w:w="1573" w:type="dxa"/>
            <w:tcBorders>
              <w:right w:val="nil"/>
            </w:tcBorders>
          </w:tcPr>
          <w:p>
            <w:pPr>
              <w:pStyle w:val="TableParagraph"/>
              <w:spacing w:before="3"/>
              <w:rPr>
                <w:sz w:val="15"/>
              </w:rPr>
            </w:pPr>
          </w:p>
          <w:p>
            <w:pPr>
              <w:pStyle w:val="TableParagraph"/>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16</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L</w:t>
            </w:r>
          </w:p>
        </w:tc>
        <w:tc>
          <w:tcPr>
            <w:tcW w:w="4743" w:type="dxa"/>
          </w:tcPr>
          <w:p>
            <w:pPr>
              <w:pStyle w:val="TableParagraph"/>
              <w:spacing w:before="60"/>
              <w:ind w:left="103"/>
              <w:rPr>
                <w:sz w:val="18"/>
              </w:rPr>
            </w:pPr>
            <w:r>
              <w:rPr>
                <w:spacing w:val="-1"/>
                <w:sz w:val="18"/>
              </w:rPr>
              <w:t>流失物中污染物的含量</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5"/>
                <w:sz w:val="18"/>
              </w:rPr>
              <w:t>g/g</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17</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l</w:t>
            </w:r>
          </w:p>
        </w:tc>
        <w:tc>
          <w:tcPr>
            <w:tcW w:w="4743" w:type="dxa"/>
          </w:tcPr>
          <w:p>
            <w:pPr>
              <w:pStyle w:val="TableParagraph"/>
              <w:spacing w:before="60"/>
              <w:ind w:left="103"/>
              <w:rPr>
                <w:sz w:val="18"/>
              </w:rPr>
            </w:pPr>
            <w:r>
              <w:rPr>
                <w:spacing w:val="-1"/>
                <w:sz w:val="18"/>
              </w:rPr>
              <w:t>狭长湖出口污染物平均浓度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18</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M</w:t>
            </w:r>
          </w:p>
        </w:tc>
        <w:tc>
          <w:tcPr>
            <w:tcW w:w="4743" w:type="dxa"/>
          </w:tcPr>
          <w:p>
            <w:pPr>
              <w:pStyle w:val="TableParagraph"/>
              <w:spacing w:before="60"/>
              <w:ind w:left="103"/>
              <w:rPr>
                <w:sz w:val="18"/>
              </w:rPr>
            </w:pPr>
            <w:r>
              <w:rPr>
                <w:sz w:val="18"/>
              </w:rPr>
              <w:t>分层湖（库）</w:t>
            </w:r>
            <w:r>
              <w:rPr>
                <w:spacing w:val="-1"/>
                <w:sz w:val="18"/>
              </w:rPr>
              <w:t>非成层期污染物平均浓度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19</w:t>
            </w:r>
          </w:p>
        </w:tc>
        <w:tc>
          <w:tcPr>
            <w:tcW w:w="1377" w:type="dxa"/>
          </w:tcPr>
          <w:p>
            <w:pPr>
              <w:pStyle w:val="TableParagraph"/>
              <w:spacing w:before="69" w:line="223" w:lineRule="exact"/>
              <w:ind w:left="133" w:right="133"/>
              <w:jc w:val="center"/>
              <w:rPr>
                <w:rFonts w:ascii="Times New Roman"/>
                <w:sz w:val="12"/>
              </w:rPr>
            </w:pPr>
            <w:r>
              <w:rPr>
                <w:rFonts w:ascii="Times New Roman"/>
                <w:spacing w:val="-4"/>
                <w:position w:val="3"/>
                <w:sz w:val="18"/>
              </w:rPr>
              <w:t>c</w:t>
            </w:r>
            <w:r>
              <w:rPr>
                <w:rFonts w:ascii="Times New Roman"/>
                <w:spacing w:val="-4"/>
                <w:sz w:val="12"/>
              </w:rPr>
              <w:t>max</w:t>
            </w:r>
          </w:p>
        </w:tc>
        <w:tc>
          <w:tcPr>
            <w:tcW w:w="4743" w:type="dxa"/>
          </w:tcPr>
          <w:p>
            <w:pPr>
              <w:pStyle w:val="TableParagraph"/>
              <w:spacing w:before="60"/>
              <w:ind w:left="103"/>
              <w:rPr>
                <w:sz w:val="18"/>
              </w:rPr>
            </w:pPr>
            <w:r>
              <w:rPr>
                <w:spacing w:val="-1"/>
                <w:sz w:val="18"/>
              </w:rPr>
              <w:t>污染物多次监测的最大浓度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560"/>
          <w:jc w:val="left"/>
        </w:trPr>
        <w:tc>
          <w:tcPr>
            <w:tcW w:w="829" w:type="dxa"/>
            <w:tcBorders>
              <w:left w:val="nil"/>
            </w:tcBorders>
          </w:tcPr>
          <w:p>
            <w:pPr>
              <w:pStyle w:val="TableParagraph"/>
              <w:spacing w:before="3"/>
              <w:rPr>
                <w:sz w:val="15"/>
              </w:rPr>
            </w:pPr>
          </w:p>
          <w:p>
            <w:pPr>
              <w:pStyle w:val="TableParagraph"/>
              <w:ind w:left="217" w:right="217"/>
              <w:jc w:val="center"/>
              <w:rPr>
                <w:rFonts w:ascii="Times New Roman"/>
                <w:sz w:val="18"/>
              </w:rPr>
            </w:pPr>
            <w:r>
              <w:rPr>
                <w:rFonts w:ascii="Times New Roman"/>
                <w:spacing w:val="-5"/>
                <w:sz w:val="18"/>
              </w:rPr>
              <w:t>20</w:t>
            </w:r>
          </w:p>
        </w:tc>
        <w:tc>
          <w:tcPr>
            <w:tcW w:w="1377" w:type="dxa"/>
          </w:tcPr>
          <w:p>
            <w:pPr>
              <w:pStyle w:val="TableParagraph"/>
              <w:spacing w:before="3"/>
              <w:rPr>
                <w:sz w:val="15"/>
              </w:rPr>
            </w:pPr>
          </w:p>
          <w:p>
            <w:pPr>
              <w:pStyle w:val="TableParagraph"/>
              <w:ind w:left="133" w:right="133"/>
              <w:jc w:val="center"/>
              <w:rPr>
                <w:rFonts w:ascii="Times New Roman"/>
                <w:sz w:val="18"/>
              </w:rPr>
            </w:pPr>
            <w:r>
              <w:rPr>
                <w:rFonts w:ascii="Times New Roman"/>
                <w:spacing w:val="-5"/>
                <w:sz w:val="18"/>
              </w:rPr>
              <w:t>c</w:t>
            </w:r>
            <w:r>
              <w:rPr>
                <w:rFonts w:ascii="Times New Roman"/>
                <w:spacing w:val="-5"/>
                <w:sz w:val="18"/>
                <w:vertAlign w:val="subscript"/>
              </w:rPr>
              <w:t>N</w:t>
            </w:r>
          </w:p>
        </w:tc>
        <w:tc>
          <w:tcPr>
            <w:tcW w:w="4743" w:type="dxa"/>
          </w:tcPr>
          <w:p>
            <w:pPr>
              <w:pStyle w:val="TableParagraph"/>
              <w:spacing w:line="280" w:lineRule="exact"/>
              <w:ind w:left="103" w:right="102"/>
              <w:rPr>
                <w:sz w:val="18"/>
              </w:rPr>
            </w:pPr>
            <w:r>
              <w:rPr>
                <w:spacing w:val="-10"/>
                <w:sz w:val="18"/>
              </w:rPr>
              <w:t xml:space="preserve">稀释倍数为 </w:t>
            </w:r>
            <w:r>
              <w:rPr>
                <w:rFonts w:ascii="Times New Roman" w:eastAsia="Times New Roman"/>
                <w:spacing w:val="-2"/>
                <w:sz w:val="18"/>
              </w:rPr>
              <w:t>N</w:t>
            </w:r>
            <w:r>
              <w:rPr>
                <w:rFonts w:ascii="Times New Roman" w:eastAsia="Times New Roman"/>
                <w:spacing w:val="-3"/>
                <w:sz w:val="18"/>
              </w:rPr>
              <w:t xml:space="preserve"> </w:t>
            </w:r>
            <w:r>
              <w:rPr>
                <w:spacing w:val="-2"/>
                <w:sz w:val="18"/>
              </w:rPr>
              <w:t>时计算断面（混合过程范围内）的污染物平</w:t>
            </w:r>
            <w:r>
              <w:rPr>
                <w:spacing w:val="-4"/>
                <w:sz w:val="18"/>
              </w:rPr>
              <w:t>均浓度</w:t>
            </w:r>
          </w:p>
        </w:tc>
        <w:tc>
          <w:tcPr>
            <w:tcW w:w="1573" w:type="dxa"/>
            <w:tcBorders>
              <w:right w:val="nil"/>
            </w:tcBorders>
          </w:tcPr>
          <w:p>
            <w:pPr>
              <w:pStyle w:val="TableParagraph"/>
              <w:spacing w:before="3"/>
              <w:rPr>
                <w:sz w:val="15"/>
              </w:rPr>
            </w:pPr>
          </w:p>
          <w:p>
            <w:pPr>
              <w:pStyle w:val="TableParagraph"/>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73"/>
          <w:jc w:val="left"/>
        </w:trPr>
        <w:tc>
          <w:tcPr>
            <w:tcW w:w="829" w:type="dxa"/>
            <w:tcBorders>
              <w:left w:val="nil"/>
            </w:tcBorders>
          </w:tcPr>
          <w:p>
            <w:pPr>
              <w:pStyle w:val="TableParagraph"/>
              <w:spacing w:before="103"/>
              <w:ind w:left="217" w:right="217"/>
              <w:jc w:val="center"/>
              <w:rPr>
                <w:rFonts w:ascii="Times New Roman"/>
                <w:sz w:val="18"/>
              </w:rPr>
            </w:pPr>
            <w:r>
              <w:rPr>
                <w:rFonts w:ascii="Times New Roman"/>
                <w:spacing w:val="-5"/>
                <w:sz w:val="18"/>
              </w:rPr>
              <w:t>21</w:t>
            </w:r>
          </w:p>
        </w:tc>
        <w:tc>
          <w:tcPr>
            <w:tcW w:w="1377" w:type="dxa"/>
          </w:tcPr>
          <w:p>
            <w:pPr>
              <w:pStyle w:val="TableParagraph"/>
              <w:spacing w:before="100" w:line="136" w:lineRule="auto"/>
              <w:ind w:left="69" w:right="133"/>
              <w:jc w:val="center"/>
              <w:rPr>
                <w:rFonts w:ascii="Times New Roman"/>
                <w:sz w:val="13"/>
              </w:rPr>
            </w:pPr>
            <w:r>
              <w:rPr>
                <w:rFonts w:ascii="Times New Roman"/>
                <w:i/>
                <w:spacing w:val="-5"/>
                <w:position w:val="-8"/>
                <w:sz w:val="20"/>
              </w:rPr>
              <w:t>c</w:t>
            </w:r>
            <w:r>
              <w:rPr>
                <w:rFonts w:ascii="Times New Roman"/>
                <w:spacing w:val="-5"/>
                <w:sz w:val="13"/>
              </w:rPr>
              <w:t>'</w:t>
            </w:r>
          </w:p>
          <w:p>
            <w:pPr>
              <w:pStyle w:val="TableParagraph"/>
              <w:spacing w:line="93" w:lineRule="exact"/>
              <w:ind w:left="93"/>
              <w:jc w:val="center"/>
              <w:rPr>
                <w:rFonts w:ascii="Times New Roman"/>
                <w:i/>
                <w:sz w:val="13"/>
              </w:rPr>
            </w:pPr>
            <w:r>
              <w:rPr>
                <w:rFonts w:ascii="Times New Roman"/>
                <w:i/>
                <w:w w:val="100"/>
                <w:sz w:val="13"/>
              </w:rPr>
              <w:t>p</w:t>
            </w:r>
          </w:p>
        </w:tc>
        <w:tc>
          <w:tcPr>
            <w:tcW w:w="4743" w:type="dxa"/>
          </w:tcPr>
          <w:p>
            <w:pPr>
              <w:pStyle w:val="TableParagraph"/>
              <w:spacing w:before="91"/>
              <w:ind w:left="103"/>
              <w:rPr>
                <w:sz w:val="18"/>
              </w:rPr>
            </w:pPr>
            <w:r>
              <w:rPr>
                <w:spacing w:val="-3"/>
                <w:sz w:val="18"/>
              </w:rPr>
              <w:t>水的比热</w:t>
            </w:r>
          </w:p>
        </w:tc>
        <w:tc>
          <w:tcPr>
            <w:tcW w:w="1573" w:type="dxa"/>
            <w:tcBorders>
              <w:right w:val="nil"/>
            </w:tcBorders>
          </w:tcPr>
          <w:p>
            <w:pPr>
              <w:pStyle w:val="TableParagraph"/>
              <w:spacing w:before="91"/>
              <w:ind w:left="214" w:right="214"/>
              <w:jc w:val="center"/>
              <w:rPr>
                <w:rFonts w:ascii="Times New Roman" w:hAnsi="Times New Roman"/>
                <w:sz w:val="18"/>
              </w:rPr>
            </w:pPr>
            <w:r>
              <w:rPr>
                <w:rFonts w:ascii="Times New Roman" w:hAnsi="Times New Roman"/>
                <w:spacing w:val="-2"/>
                <w:sz w:val="18"/>
              </w:rPr>
              <w:t>J/(kg</w:t>
            </w:r>
            <w:r>
              <w:rPr>
                <w:spacing w:val="-2"/>
                <w:sz w:val="18"/>
              </w:rPr>
              <w:t>·℃</w:t>
            </w:r>
            <w:r>
              <w:rPr>
                <w:rFonts w:ascii="Times New Roman" w:hAnsi="Times New Roman"/>
                <w:spacing w:val="-2"/>
                <w:sz w:val="18"/>
              </w:rPr>
              <w:t>)</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22</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p</w:t>
            </w:r>
          </w:p>
        </w:tc>
        <w:tc>
          <w:tcPr>
            <w:tcW w:w="4743" w:type="dxa"/>
          </w:tcPr>
          <w:p>
            <w:pPr>
              <w:pStyle w:val="TableParagraph"/>
              <w:spacing w:before="60"/>
              <w:ind w:left="103"/>
              <w:rPr>
                <w:sz w:val="18"/>
              </w:rPr>
            </w:pPr>
            <w:r>
              <w:rPr>
                <w:spacing w:val="-2"/>
                <w:sz w:val="18"/>
              </w:rPr>
              <w:t>污染物排放浓度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23</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PE</w:t>
            </w:r>
          </w:p>
        </w:tc>
        <w:tc>
          <w:tcPr>
            <w:tcW w:w="4743" w:type="dxa"/>
          </w:tcPr>
          <w:p>
            <w:pPr>
              <w:pStyle w:val="TableParagraph"/>
              <w:spacing w:before="60"/>
              <w:ind w:left="103"/>
              <w:rPr>
                <w:sz w:val="18"/>
              </w:rPr>
            </w:pPr>
            <w:r>
              <w:rPr>
                <w:spacing w:val="-1"/>
                <w:sz w:val="18"/>
              </w:rPr>
              <w:t>向分层湖上层排放的污染物浓度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24</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PH</w:t>
            </w:r>
          </w:p>
        </w:tc>
        <w:tc>
          <w:tcPr>
            <w:tcW w:w="4743" w:type="dxa"/>
          </w:tcPr>
          <w:p>
            <w:pPr>
              <w:pStyle w:val="TableParagraph"/>
              <w:spacing w:before="60"/>
              <w:ind w:left="103"/>
              <w:rPr>
                <w:sz w:val="18"/>
              </w:rPr>
            </w:pPr>
            <w:r>
              <w:rPr>
                <w:spacing w:val="-1"/>
                <w:sz w:val="18"/>
              </w:rPr>
              <w:t>向分层湖下层排放的污染物浓度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25</w:t>
            </w:r>
          </w:p>
        </w:tc>
        <w:tc>
          <w:tcPr>
            <w:tcW w:w="1377" w:type="dxa"/>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r</w:t>
            </w:r>
          </w:p>
        </w:tc>
        <w:tc>
          <w:tcPr>
            <w:tcW w:w="4743" w:type="dxa"/>
          </w:tcPr>
          <w:p>
            <w:pPr>
              <w:pStyle w:val="TableParagraph"/>
              <w:spacing w:before="60"/>
              <w:ind w:left="103"/>
              <w:rPr>
                <w:sz w:val="18"/>
              </w:rPr>
            </w:pPr>
            <w:r>
              <w:rPr>
                <w:spacing w:val="-2"/>
                <w:sz w:val="18"/>
              </w:rPr>
              <w:t>污染物弧面平均浓度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26</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rs</w:t>
            </w:r>
          </w:p>
        </w:tc>
        <w:tc>
          <w:tcPr>
            <w:tcW w:w="4743" w:type="dxa"/>
          </w:tcPr>
          <w:p>
            <w:pPr>
              <w:pStyle w:val="TableParagraph"/>
              <w:spacing w:before="60"/>
              <w:ind w:left="103"/>
              <w:rPr>
                <w:sz w:val="18"/>
              </w:rPr>
            </w:pPr>
            <w:r>
              <w:rPr>
                <w:spacing w:val="-2"/>
                <w:sz w:val="18"/>
              </w:rPr>
              <w:t>径流中的悬浮物浓度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27</w:t>
            </w:r>
          </w:p>
        </w:tc>
        <w:tc>
          <w:tcPr>
            <w:tcW w:w="1377" w:type="dxa"/>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rc</w:t>
            </w:r>
          </w:p>
        </w:tc>
        <w:tc>
          <w:tcPr>
            <w:tcW w:w="4743" w:type="dxa"/>
          </w:tcPr>
          <w:p>
            <w:pPr>
              <w:pStyle w:val="TableParagraph"/>
              <w:spacing w:before="60"/>
              <w:ind w:left="103"/>
              <w:rPr>
                <w:sz w:val="18"/>
              </w:rPr>
            </w:pPr>
            <w:r>
              <w:rPr>
                <w:spacing w:val="-1"/>
                <w:sz w:val="18"/>
              </w:rPr>
              <w:t>径流中其他污染物浓度</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405"/>
          <w:jc w:val="left"/>
        </w:trPr>
        <w:tc>
          <w:tcPr>
            <w:tcW w:w="829" w:type="dxa"/>
            <w:tcBorders>
              <w:left w:val="nil"/>
            </w:tcBorders>
          </w:tcPr>
          <w:p>
            <w:pPr>
              <w:pStyle w:val="TableParagraph"/>
              <w:spacing w:before="118"/>
              <w:ind w:left="217" w:right="217"/>
              <w:jc w:val="center"/>
              <w:rPr>
                <w:rFonts w:ascii="Times New Roman"/>
                <w:sz w:val="18"/>
              </w:rPr>
            </w:pPr>
            <w:r>
              <w:rPr>
                <w:rFonts w:ascii="Times New Roman"/>
                <w:spacing w:val="-5"/>
                <w:sz w:val="18"/>
              </w:rPr>
              <w:t>28</w:t>
            </w:r>
          </w:p>
        </w:tc>
        <w:tc>
          <w:tcPr>
            <w:tcW w:w="1377" w:type="dxa"/>
          </w:tcPr>
          <w:p>
            <w:pPr>
              <w:pStyle w:val="TableParagraph"/>
              <w:spacing w:before="27" w:line="275" w:lineRule="exact"/>
              <w:ind w:left="78" w:right="133"/>
              <w:jc w:val="center"/>
              <w:rPr>
                <w:rFonts w:ascii="Times New Roman"/>
                <w:i/>
                <w:sz w:val="16"/>
              </w:rPr>
            </w:pPr>
            <w:r>
              <w:rPr>
                <w:rFonts w:ascii="Times New Roman"/>
                <w:i/>
                <w:spacing w:val="-5"/>
                <w:sz w:val="24"/>
              </w:rPr>
              <w:t>c</w:t>
            </w:r>
            <w:r>
              <w:rPr>
                <w:rFonts w:ascii="Times New Roman"/>
                <w:i/>
                <w:spacing w:val="-5"/>
                <w:position w:val="-5"/>
                <w:sz w:val="16"/>
              </w:rPr>
              <w:t>r</w:t>
            </w:r>
          </w:p>
          <w:p>
            <w:pPr>
              <w:pStyle w:val="TableParagraph"/>
              <w:spacing w:line="71" w:lineRule="exact"/>
              <w:ind w:left="141"/>
              <w:jc w:val="center"/>
              <w:rPr>
                <w:rFonts w:ascii="Times New Roman"/>
                <w:sz w:val="10"/>
              </w:rPr>
            </w:pPr>
            <w:r>
              <w:rPr>
                <w:rFonts w:ascii="Times New Roman"/>
                <w:sz w:val="10"/>
              </w:rPr>
              <w:t>0</w:t>
            </w:r>
          </w:p>
        </w:tc>
        <w:tc>
          <w:tcPr>
            <w:tcW w:w="4743" w:type="dxa"/>
          </w:tcPr>
          <w:p>
            <w:pPr>
              <w:pStyle w:val="TableParagraph"/>
              <w:spacing w:before="106"/>
              <w:ind w:left="103"/>
              <w:rPr>
                <w:sz w:val="18"/>
              </w:rPr>
            </w:pPr>
            <w:r>
              <w:rPr>
                <w:rFonts w:ascii="Times New Roman" w:eastAsia="Times New Roman"/>
                <w:sz w:val="18"/>
              </w:rPr>
              <w:t xml:space="preserve">r </w:t>
            </w:r>
            <w:r>
              <w:rPr>
                <w:spacing w:val="-2"/>
                <w:sz w:val="18"/>
              </w:rPr>
              <w:t>点的污染物已知浓度</w:t>
            </w:r>
          </w:p>
        </w:tc>
        <w:tc>
          <w:tcPr>
            <w:tcW w:w="1573" w:type="dxa"/>
            <w:tcBorders>
              <w:right w:val="nil"/>
            </w:tcBorders>
          </w:tcPr>
          <w:p>
            <w:pPr>
              <w:pStyle w:val="TableParagraph"/>
              <w:spacing w:before="118"/>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29</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c</w:t>
            </w:r>
            <w:r>
              <w:rPr>
                <w:rFonts w:ascii="Times New Roman"/>
                <w:spacing w:val="-5"/>
                <w:sz w:val="12"/>
              </w:rPr>
              <w:t>si</w:t>
            </w:r>
          </w:p>
        </w:tc>
        <w:tc>
          <w:tcPr>
            <w:tcW w:w="4743" w:type="dxa"/>
            <w:tcBorders>
              <w:left w:val="dashed" w:sz="4" w:space="0" w:color="000000"/>
              <w:right w:val="dashed" w:sz="4" w:space="0" w:color="000000"/>
            </w:tcBorders>
          </w:tcPr>
          <w:p>
            <w:pPr>
              <w:pStyle w:val="TableParagraph"/>
              <w:spacing w:before="60"/>
              <w:ind w:left="103"/>
              <w:rPr>
                <w:sz w:val="18"/>
              </w:rPr>
            </w:pPr>
            <w:r>
              <w:rPr>
                <w:spacing w:val="-9"/>
                <w:sz w:val="18"/>
              </w:rPr>
              <w:t xml:space="preserve">水质参数 </w:t>
            </w:r>
            <w:r>
              <w:rPr>
                <w:rFonts w:ascii="Times New Roman" w:eastAsia="Times New Roman"/>
                <w:sz w:val="18"/>
              </w:rPr>
              <w:t xml:space="preserve">i </w:t>
            </w:r>
            <w:r>
              <w:rPr>
                <w:spacing w:val="-2"/>
                <w:sz w:val="18"/>
              </w:rPr>
              <w:t>的地面水水质标准</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T</w:t>
            </w:r>
          </w:p>
        </w:tc>
        <w:tc>
          <w:tcPr>
            <w:tcW w:w="4743" w:type="dxa"/>
            <w:tcBorders>
              <w:left w:val="dashed" w:sz="4" w:space="0" w:color="000000"/>
              <w:right w:val="dashed" w:sz="4" w:space="0" w:color="000000"/>
            </w:tcBorders>
          </w:tcPr>
          <w:p>
            <w:pPr>
              <w:pStyle w:val="TableParagraph"/>
              <w:spacing w:before="60"/>
              <w:ind w:left="103"/>
              <w:rPr>
                <w:sz w:val="18"/>
              </w:rPr>
            </w:pPr>
            <w:r>
              <w:rPr>
                <w:sz w:val="18"/>
              </w:rPr>
              <w:t>分层湖（库）</w:t>
            </w:r>
            <w:r>
              <w:rPr>
                <w:spacing w:val="-1"/>
                <w:sz w:val="18"/>
              </w:rPr>
              <w:t>上、下层混合后的污染物平均浓度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t</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植物覆盖因子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w</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分配系数，即水相中污染物量与其总量之比</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33</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2"/>
                <w:position w:val="3"/>
                <w:sz w:val="18"/>
              </w:rPr>
              <w:t>c</w:t>
            </w:r>
            <w:r>
              <w:rPr>
                <w:rFonts w:ascii="Times New Roman"/>
                <w:spacing w:val="-2"/>
                <w:sz w:val="12"/>
              </w:rPr>
              <w:t>(x,q)</w:t>
            </w:r>
          </w:p>
        </w:tc>
        <w:tc>
          <w:tcPr>
            <w:tcW w:w="4743" w:type="dxa"/>
            <w:tcBorders>
              <w:left w:val="dashed" w:sz="4" w:space="0" w:color="000000"/>
              <w:right w:val="dashed" w:sz="4" w:space="0" w:color="000000"/>
            </w:tcBorders>
          </w:tcPr>
          <w:p>
            <w:pPr>
              <w:pStyle w:val="TableParagraph"/>
              <w:spacing w:before="60"/>
              <w:ind w:left="103"/>
              <w:rPr>
                <w:sz w:val="18"/>
              </w:rPr>
            </w:pPr>
            <w:r>
              <w:rPr>
                <w:sz w:val="18"/>
              </w:rPr>
              <w:t>（</w:t>
            </w:r>
            <w:r>
              <w:rPr>
                <w:rFonts w:ascii="Times New Roman" w:eastAsia="Times New Roman"/>
                <w:sz w:val="18"/>
              </w:rPr>
              <w:t>x,q</w:t>
            </w:r>
            <w:r>
              <w:rPr>
                <w:sz w:val="18"/>
              </w:rPr>
              <w:t>）</w:t>
            </w:r>
            <w:r>
              <w:rPr>
                <w:spacing w:val="-1"/>
                <w:sz w:val="18"/>
              </w:rPr>
              <w:t>处污染物垂向平均浓度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34</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2"/>
                <w:position w:val="3"/>
                <w:sz w:val="18"/>
              </w:rPr>
              <w:t>c</w:t>
            </w:r>
            <w:r>
              <w:rPr>
                <w:rFonts w:ascii="Times New Roman"/>
                <w:spacing w:val="-2"/>
                <w:sz w:val="12"/>
              </w:rPr>
              <w:t>(x,y)</w:t>
            </w:r>
          </w:p>
        </w:tc>
        <w:tc>
          <w:tcPr>
            <w:tcW w:w="4743" w:type="dxa"/>
            <w:tcBorders>
              <w:left w:val="dashed" w:sz="4" w:space="0" w:color="000000"/>
              <w:right w:val="dashed" w:sz="4" w:space="0" w:color="000000"/>
            </w:tcBorders>
          </w:tcPr>
          <w:p>
            <w:pPr>
              <w:pStyle w:val="TableParagraph"/>
              <w:spacing w:before="60"/>
              <w:ind w:left="103"/>
              <w:rPr>
                <w:sz w:val="18"/>
              </w:rPr>
            </w:pPr>
            <w:r>
              <w:rPr>
                <w:sz w:val="18"/>
              </w:rPr>
              <w:t>（</w:t>
            </w:r>
            <w:r>
              <w:rPr>
                <w:rFonts w:ascii="Times New Roman" w:eastAsia="Times New Roman"/>
                <w:sz w:val="18"/>
              </w:rPr>
              <w:t>x,y</w:t>
            </w:r>
            <w:r>
              <w:rPr>
                <w:sz w:val="18"/>
              </w:rPr>
              <w:t>）</w:t>
            </w:r>
            <w:r>
              <w:rPr>
                <w:spacing w:val="-1"/>
                <w:sz w:val="18"/>
              </w:rPr>
              <w:t>点污染物垂向平均浓度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35</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z</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谢才系数</w:t>
            </w:r>
          </w:p>
        </w:tc>
        <w:tc>
          <w:tcPr>
            <w:tcW w:w="1573" w:type="dxa"/>
            <w:tcBorders>
              <w:left w:val="dashed" w:sz="4" w:space="0" w:color="000000"/>
              <w:right w:val="nil"/>
            </w:tcBorders>
          </w:tcPr>
          <w:p>
            <w:pPr>
              <w:pStyle w:val="TableParagraph"/>
              <w:spacing w:before="67"/>
              <w:ind w:left="214" w:right="214"/>
              <w:jc w:val="center"/>
              <w:rPr>
                <w:rFonts w:ascii="Times New Roman"/>
                <w:sz w:val="18"/>
              </w:rPr>
            </w:pPr>
            <w:r>
              <w:rPr>
                <w:rFonts w:ascii="Times New Roman"/>
                <w:spacing w:val="-2"/>
                <w:position w:val="-4"/>
                <w:sz w:val="18"/>
              </w:rPr>
              <w:t>m</w:t>
            </w:r>
            <w:r>
              <w:rPr>
                <w:rFonts w:ascii="Times New Roman"/>
                <w:spacing w:val="-2"/>
                <w:sz w:val="12"/>
              </w:rPr>
              <w:t>1/2</w:t>
            </w:r>
            <w:r>
              <w:rPr>
                <w:rFonts w:ascii="Times New Roman"/>
                <w:spacing w:val="-2"/>
                <w:position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c</w:t>
            </w:r>
            <w:r>
              <w:rPr>
                <w:rFonts w:ascii="Times New Roman"/>
                <w:spacing w:val="-5"/>
                <w:sz w:val="18"/>
                <w:vertAlign w:val="subscript"/>
              </w:rPr>
              <w:t>0</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计算初始点污染物浓度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37</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D</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亏氧量，即饱和溶解氧浓度与溶解氧浓度的差值</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38</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d</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混合深度</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39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D</w:t>
            </w:r>
            <w:r>
              <w:rPr>
                <w:rFonts w:ascii="Times New Roman"/>
                <w:spacing w:val="-5"/>
                <w:sz w:val="18"/>
                <w:vertAlign w:val="subscript"/>
              </w:rPr>
              <w:t>h</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河流上游亏氧量或湖、海现状亏氧量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40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D</w:t>
            </w:r>
            <w:r>
              <w:rPr>
                <w:rFonts w:ascii="Times New Roman"/>
                <w:spacing w:val="-5"/>
                <w:sz w:val="18"/>
                <w:vertAlign w:val="subscript"/>
              </w:rPr>
              <w:t>m</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分子扩散系数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2</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41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DO</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溶解氧浓度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42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DO</w:t>
            </w:r>
            <w:r>
              <w:rPr>
                <w:rFonts w:ascii="Times New Roman"/>
                <w:spacing w:val="-5"/>
                <w:sz w:val="18"/>
                <w:vertAlign w:val="subscript"/>
              </w:rPr>
              <w:t>f</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饱和溶解氧浓度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43</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DO</w:t>
            </w:r>
            <w:r>
              <w:rPr>
                <w:rFonts w:ascii="Times New Roman"/>
                <w:spacing w:val="-5"/>
                <w:sz w:val="18"/>
                <w:vertAlign w:val="subscript"/>
              </w:rPr>
              <w:t>s</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溶解氧的地面水水质标准</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560"/>
          <w:jc w:val="left"/>
        </w:trPr>
        <w:tc>
          <w:tcPr>
            <w:tcW w:w="829" w:type="dxa"/>
            <w:tcBorders>
              <w:left w:val="nil"/>
            </w:tcBorders>
          </w:tcPr>
          <w:p>
            <w:pPr>
              <w:pStyle w:val="TableParagraph"/>
              <w:spacing w:before="3"/>
              <w:rPr>
                <w:sz w:val="15"/>
              </w:rPr>
            </w:pPr>
          </w:p>
          <w:p>
            <w:pPr>
              <w:pStyle w:val="TableParagraph"/>
              <w:ind w:left="217" w:right="217"/>
              <w:jc w:val="center"/>
              <w:rPr>
                <w:rFonts w:ascii="Times New Roman"/>
                <w:sz w:val="18"/>
              </w:rPr>
            </w:pPr>
            <w:r>
              <w:rPr>
                <w:rFonts w:ascii="Times New Roman"/>
                <w:spacing w:val="-5"/>
                <w:sz w:val="18"/>
              </w:rPr>
              <w:t>44</w:t>
            </w:r>
          </w:p>
        </w:tc>
        <w:tc>
          <w:tcPr>
            <w:tcW w:w="1377" w:type="dxa"/>
          </w:tcPr>
          <w:p>
            <w:pPr>
              <w:pStyle w:val="TableParagraph"/>
              <w:spacing w:line="280" w:lineRule="exact"/>
              <w:ind w:left="273" w:right="268"/>
              <w:rPr>
                <w:rFonts w:ascii="Times New Roman" w:eastAsia="Times New Roman"/>
                <w:sz w:val="18"/>
              </w:rPr>
            </w:pPr>
            <w:r>
              <w:rPr>
                <w:rFonts w:ascii="Times New Roman" w:eastAsia="Times New Roman"/>
                <w:spacing w:val="-2"/>
                <w:sz w:val="18"/>
              </w:rPr>
              <w:t>DO</w:t>
            </w:r>
            <w:r>
              <w:rPr>
                <w:rFonts w:ascii="Times New Roman" w:eastAsia="Times New Roman"/>
                <w:spacing w:val="-2"/>
                <w:sz w:val="18"/>
                <w:vertAlign w:val="subscript"/>
              </w:rPr>
              <w:t>1</w:t>
            </w:r>
            <w:r>
              <w:rPr>
                <w:spacing w:val="-2"/>
                <w:sz w:val="18"/>
                <w:vertAlign w:val="baseline"/>
              </w:rPr>
              <w:t>、</w:t>
            </w:r>
            <w:r>
              <w:rPr>
                <w:rFonts w:ascii="Times New Roman" w:eastAsia="Times New Roman"/>
                <w:spacing w:val="-2"/>
                <w:sz w:val="18"/>
                <w:vertAlign w:val="baseline"/>
              </w:rPr>
              <w:t>DO</w:t>
            </w:r>
            <w:r>
              <w:rPr>
                <w:rFonts w:ascii="Times New Roman" w:eastAsia="Times New Roman"/>
                <w:spacing w:val="-2"/>
                <w:sz w:val="18"/>
                <w:vertAlign w:val="subscript"/>
              </w:rPr>
              <w:t>2</w:t>
            </w:r>
            <w:r>
              <w:rPr>
                <w:rFonts w:ascii="Times New Roman" w:eastAsia="Times New Roman"/>
                <w:spacing w:val="-2"/>
                <w:sz w:val="18"/>
                <w:vertAlign w:val="baseline"/>
              </w:rPr>
              <w:t xml:space="preserve"> DO</w:t>
            </w:r>
            <w:r>
              <w:rPr>
                <w:rFonts w:ascii="Times New Roman" w:eastAsia="Times New Roman"/>
                <w:spacing w:val="-2"/>
                <w:sz w:val="18"/>
                <w:vertAlign w:val="subscript"/>
              </w:rPr>
              <w:t>3</w:t>
            </w:r>
            <w:r>
              <w:rPr>
                <w:spacing w:val="-2"/>
                <w:sz w:val="18"/>
                <w:vertAlign w:val="baseline"/>
              </w:rPr>
              <w:t>、</w:t>
            </w:r>
            <w:r>
              <w:rPr>
                <w:rFonts w:ascii="Times New Roman" w:eastAsia="Times New Roman"/>
                <w:spacing w:val="-5"/>
                <w:sz w:val="18"/>
                <w:vertAlign w:val="baseline"/>
              </w:rPr>
              <w:t>DO</w:t>
            </w:r>
            <w:r>
              <w:rPr>
                <w:rFonts w:ascii="Times New Roman" w:eastAsia="Times New Roman"/>
                <w:spacing w:val="-5"/>
                <w:sz w:val="18"/>
                <w:vertAlign w:val="subscript"/>
              </w:rPr>
              <w:t>4</w:t>
            </w:r>
          </w:p>
        </w:tc>
        <w:tc>
          <w:tcPr>
            <w:tcW w:w="4743" w:type="dxa"/>
          </w:tcPr>
          <w:p>
            <w:pPr>
              <w:pStyle w:val="TableParagraph"/>
              <w:spacing w:before="4"/>
              <w:rPr>
                <w:sz w:val="14"/>
              </w:rPr>
            </w:pPr>
          </w:p>
          <w:p>
            <w:pPr>
              <w:pStyle w:val="TableParagraph"/>
              <w:ind w:left="103"/>
              <w:rPr>
                <w:sz w:val="18"/>
              </w:rPr>
            </w:pPr>
            <w:r>
              <w:rPr>
                <w:spacing w:val="-6"/>
                <w:sz w:val="18"/>
              </w:rPr>
              <w:t xml:space="preserve">河流等距离断面 </w:t>
            </w:r>
            <w:r>
              <w:rPr>
                <w:rFonts w:ascii="Times New Roman" w:eastAsia="Times New Roman"/>
                <w:sz w:val="18"/>
              </w:rPr>
              <w:t>1</w:t>
            </w:r>
            <w:r>
              <w:rPr>
                <w:sz w:val="18"/>
              </w:rPr>
              <w:t>、</w:t>
            </w:r>
            <w:r>
              <w:rPr>
                <w:rFonts w:ascii="Times New Roman" w:eastAsia="Times New Roman"/>
                <w:sz w:val="18"/>
              </w:rPr>
              <w:t>2</w:t>
            </w:r>
            <w:r>
              <w:rPr>
                <w:sz w:val="18"/>
              </w:rPr>
              <w:t>、</w:t>
            </w:r>
            <w:r>
              <w:rPr>
                <w:rFonts w:ascii="Times New Roman" w:eastAsia="Times New Roman"/>
                <w:sz w:val="18"/>
              </w:rPr>
              <w:t>3</w:t>
            </w:r>
            <w:r>
              <w:rPr>
                <w:sz w:val="18"/>
              </w:rPr>
              <w:t>、</w:t>
            </w:r>
            <w:r>
              <w:rPr>
                <w:rFonts w:ascii="Times New Roman" w:eastAsia="Times New Roman"/>
                <w:sz w:val="18"/>
              </w:rPr>
              <w:t xml:space="preserve">4 </w:t>
            </w:r>
            <w:r>
              <w:rPr>
                <w:spacing w:val="-2"/>
                <w:sz w:val="18"/>
              </w:rPr>
              <w:t>的溶解氧浓度</w:t>
            </w:r>
          </w:p>
        </w:tc>
        <w:tc>
          <w:tcPr>
            <w:tcW w:w="1573" w:type="dxa"/>
            <w:tcBorders>
              <w:right w:val="nil"/>
            </w:tcBorders>
          </w:tcPr>
          <w:p>
            <w:pPr>
              <w:pStyle w:val="TableParagraph"/>
              <w:spacing w:before="3"/>
              <w:rPr>
                <w:sz w:val="15"/>
              </w:rPr>
            </w:pPr>
          </w:p>
          <w:p>
            <w:pPr>
              <w:pStyle w:val="TableParagraph"/>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45</w:t>
            </w:r>
          </w:p>
        </w:tc>
        <w:tc>
          <w:tcPr>
            <w:tcW w:w="1377" w:type="dxa"/>
          </w:tcPr>
          <w:p>
            <w:pPr>
              <w:pStyle w:val="TableParagraph"/>
              <w:spacing w:before="72"/>
              <w:ind w:left="133" w:right="133"/>
              <w:jc w:val="center"/>
              <w:rPr>
                <w:rFonts w:ascii="Times New Roman"/>
                <w:sz w:val="18"/>
              </w:rPr>
            </w:pPr>
            <w:r>
              <w:rPr>
                <w:rFonts w:ascii="Times New Roman"/>
                <w:spacing w:val="-5"/>
                <w:sz w:val="18"/>
              </w:rPr>
              <w:t>D</w:t>
            </w:r>
            <w:r>
              <w:rPr>
                <w:rFonts w:ascii="Times New Roman"/>
                <w:spacing w:val="-5"/>
                <w:sz w:val="18"/>
                <w:vertAlign w:val="subscript"/>
              </w:rPr>
              <w:t>p</w:t>
            </w:r>
          </w:p>
        </w:tc>
        <w:tc>
          <w:tcPr>
            <w:tcW w:w="4743" w:type="dxa"/>
          </w:tcPr>
          <w:p>
            <w:pPr>
              <w:pStyle w:val="TableParagraph"/>
              <w:spacing w:before="60"/>
              <w:ind w:left="103"/>
              <w:rPr>
                <w:sz w:val="18"/>
              </w:rPr>
            </w:pPr>
            <w:r>
              <w:rPr>
                <w:spacing w:val="-2"/>
                <w:sz w:val="18"/>
              </w:rPr>
              <w:t>排放废水中的亏氧量</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46</w:t>
            </w:r>
          </w:p>
        </w:tc>
        <w:tc>
          <w:tcPr>
            <w:tcW w:w="1377" w:type="dxa"/>
          </w:tcPr>
          <w:p>
            <w:pPr>
              <w:pStyle w:val="TableParagraph"/>
              <w:spacing w:before="72"/>
              <w:ind w:left="133" w:right="133"/>
              <w:jc w:val="center"/>
              <w:rPr>
                <w:rFonts w:ascii="Times New Roman"/>
                <w:sz w:val="18"/>
              </w:rPr>
            </w:pPr>
            <w:r>
              <w:rPr>
                <w:rFonts w:ascii="Times New Roman"/>
                <w:spacing w:val="-5"/>
                <w:sz w:val="18"/>
              </w:rPr>
              <w:t>D</w:t>
            </w:r>
            <w:r>
              <w:rPr>
                <w:rFonts w:ascii="Times New Roman"/>
                <w:spacing w:val="-5"/>
                <w:sz w:val="18"/>
                <w:vertAlign w:val="subscript"/>
              </w:rPr>
              <w:t>0</w:t>
            </w:r>
          </w:p>
        </w:tc>
        <w:tc>
          <w:tcPr>
            <w:tcW w:w="4743" w:type="dxa"/>
          </w:tcPr>
          <w:p>
            <w:pPr>
              <w:pStyle w:val="TableParagraph"/>
              <w:spacing w:before="60"/>
              <w:ind w:left="103"/>
              <w:rPr>
                <w:sz w:val="18"/>
              </w:rPr>
            </w:pPr>
            <w:r>
              <w:rPr>
                <w:spacing w:val="-2"/>
                <w:sz w:val="18"/>
              </w:rPr>
              <w:t>计算初始断面亏氧量</w:t>
            </w:r>
          </w:p>
        </w:tc>
        <w:tc>
          <w:tcPr>
            <w:tcW w:w="1573" w:type="dxa"/>
            <w:tcBorders>
              <w:right w:val="nil"/>
            </w:tcBorders>
          </w:tcPr>
          <w:p>
            <w:pPr>
              <w:pStyle w:val="TableParagraph"/>
              <w:spacing w:before="72"/>
              <w:ind w:left="214" w:right="214"/>
              <w:jc w:val="center"/>
              <w:rPr>
                <w:rFonts w:ascii="Times New Roman"/>
                <w:sz w:val="18"/>
              </w:rPr>
            </w:pPr>
            <w:r>
              <w:rPr>
                <w:rFonts w:ascii="Times New Roman"/>
                <w:spacing w:val="-4"/>
                <w:sz w:val="18"/>
              </w:rPr>
              <w:t>mg/L</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47</w:t>
            </w:r>
          </w:p>
        </w:tc>
        <w:tc>
          <w:tcPr>
            <w:tcW w:w="1377" w:type="dxa"/>
          </w:tcPr>
          <w:p>
            <w:pPr>
              <w:pStyle w:val="TableParagraph"/>
              <w:spacing w:before="72"/>
              <w:jc w:val="center"/>
              <w:rPr>
                <w:rFonts w:ascii="Times New Roman"/>
                <w:sz w:val="18"/>
              </w:rPr>
            </w:pPr>
            <w:r>
              <w:rPr>
                <w:rFonts w:ascii="Times New Roman"/>
                <w:sz w:val="18"/>
              </w:rPr>
              <w:t>E</w:t>
            </w:r>
          </w:p>
        </w:tc>
        <w:tc>
          <w:tcPr>
            <w:tcW w:w="4743" w:type="dxa"/>
          </w:tcPr>
          <w:p>
            <w:pPr>
              <w:pStyle w:val="TableParagraph"/>
              <w:spacing w:before="60"/>
              <w:ind w:left="103"/>
              <w:rPr>
                <w:sz w:val="18"/>
              </w:rPr>
            </w:pPr>
            <w:r>
              <w:rPr>
                <w:spacing w:val="-2"/>
                <w:sz w:val="18"/>
              </w:rPr>
              <w:t>贝赛尔函数的阶数</w:t>
            </w:r>
          </w:p>
        </w:tc>
        <w:tc>
          <w:tcPr>
            <w:tcW w:w="1573" w:type="dxa"/>
            <w:tcBorders>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48</w:t>
            </w:r>
          </w:p>
        </w:tc>
        <w:tc>
          <w:tcPr>
            <w:tcW w:w="1377" w:type="dxa"/>
          </w:tcPr>
          <w:p>
            <w:pPr>
              <w:pStyle w:val="TableParagraph"/>
              <w:spacing w:before="72"/>
              <w:jc w:val="center"/>
              <w:rPr>
                <w:rFonts w:ascii="Times New Roman"/>
                <w:sz w:val="18"/>
              </w:rPr>
            </w:pPr>
            <w:r>
              <w:rPr>
                <w:rFonts w:ascii="Times New Roman"/>
                <w:sz w:val="18"/>
              </w:rPr>
              <w:t>F</w:t>
            </w:r>
          </w:p>
        </w:tc>
        <w:tc>
          <w:tcPr>
            <w:tcW w:w="4743" w:type="dxa"/>
          </w:tcPr>
          <w:p>
            <w:pPr>
              <w:pStyle w:val="TableParagraph"/>
              <w:spacing w:before="60"/>
              <w:ind w:left="103"/>
              <w:rPr>
                <w:sz w:val="18"/>
              </w:rPr>
            </w:pPr>
            <w:r>
              <w:rPr>
                <w:spacing w:val="-2"/>
                <w:sz w:val="18"/>
              </w:rPr>
              <w:t>过水断面面积</w:t>
            </w:r>
          </w:p>
        </w:tc>
        <w:tc>
          <w:tcPr>
            <w:tcW w:w="1573" w:type="dxa"/>
            <w:tcBorders>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2</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tcBorders>
          </w:tcPr>
          <w:p>
            <w:pPr>
              <w:pStyle w:val="TableParagraph"/>
              <w:spacing w:before="72"/>
              <w:ind w:left="217" w:right="217"/>
              <w:jc w:val="center"/>
              <w:rPr>
                <w:rFonts w:ascii="Times New Roman"/>
                <w:sz w:val="18"/>
              </w:rPr>
            </w:pPr>
            <w:r>
              <w:rPr>
                <w:rFonts w:ascii="Times New Roman"/>
                <w:spacing w:val="-5"/>
                <w:sz w:val="18"/>
              </w:rPr>
              <w:t>49</w:t>
            </w:r>
          </w:p>
        </w:tc>
        <w:tc>
          <w:tcPr>
            <w:tcW w:w="1377" w:type="dxa"/>
          </w:tcPr>
          <w:p>
            <w:pPr>
              <w:pStyle w:val="TableParagraph"/>
              <w:spacing w:before="72"/>
              <w:ind w:left="133" w:right="133"/>
              <w:jc w:val="center"/>
              <w:rPr>
                <w:rFonts w:ascii="Times New Roman" w:hAnsi="Times New Roman"/>
                <w:sz w:val="18"/>
              </w:rPr>
            </w:pPr>
            <w:r>
              <w:rPr>
                <w:rFonts w:ascii="Times New Roman" w:hAnsi="Times New Roman"/>
                <w:spacing w:val="-5"/>
                <w:sz w:val="18"/>
              </w:rPr>
              <w:t>F’</w:t>
            </w:r>
          </w:p>
        </w:tc>
        <w:tc>
          <w:tcPr>
            <w:tcW w:w="4743" w:type="dxa"/>
          </w:tcPr>
          <w:p>
            <w:pPr>
              <w:pStyle w:val="TableParagraph"/>
              <w:spacing w:before="60"/>
              <w:ind w:left="103"/>
              <w:rPr>
                <w:sz w:val="18"/>
              </w:rPr>
            </w:pPr>
            <w:r>
              <w:rPr>
                <w:spacing w:val="-2"/>
                <w:sz w:val="18"/>
              </w:rPr>
              <w:t>流失区面积</w:t>
            </w:r>
          </w:p>
        </w:tc>
        <w:tc>
          <w:tcPr>
            <w:tcW w:w="1573" w:type="dxa"/>
            <w:tcBorders>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2</w:t>
            </w:r>
          </w:p>
        </w:tc>
      </w:tr>
    </w:tbl>
    <w:p>
      <w:pPr>
        <w:spacing w:after="0"/>
        <w:jc w:val="center"/>
        <w:rPr>
          <w:rFonts w:ascii="Times New Roman"/>
          <w:sz w:val="12"/>
        </w:rPr>
        <w:sectPr>
          <w:footerReference w:type="even" r:id="rId10"/>
          <w:footerReference w:type="default" r:id="rId11"/>
          <w:type w:val="continuous"/>
          <w:pgSz w:w="11910" w:h="16840"/>
          <w:pgMar w:top="1400" w:right="1500" w:bottom="1507" w:left="1580" w:header="0" w:footer="990"/>
          <w:pgNumType w:start="603"/>
          <w:cols w:space="708"/>
        </w:sectPr>
      </w:pPr>
    </w:p>
    <w:tbl>
      <w:tblPr>
        <w:tblStyle w:val="TableNormal1"/>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9"/>
        <w:gridCol w:w="1377"/>
        <w:gridCol w:w="4743"/>
        <w:gridCol w:w="1573"/>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60"/>
              <w:ind w:left="217" w:right="217"/>
              <w:jc w:val="center"/>
              <w:rPr>
                <w:sz w:val="18"/>
              </w:rPr>
            </w:pPr>
            <w:r>
              <w:rPr>
                <w:spacing w:val="-5"/>
                <w:sz w:val="18"/>
              </w:rPr>
              <w:t>序号</w:t>
            </w:r>
          </w:p>
        </w:tc>
        <w:tc>
          <w:tcPr>
            <w:tcW w:w="1377" w:type="dxa"/>
            <w:tcBorders>
              <w:left w:val="dashed" w:sz="4" w:space="0" w:color="000000"/>
              <w:right w:val="dashed" w:sz="4" w:space="0" w:color="000000"/>
            </w:tcBorders>
          </w:tcPr>
          <w:p>
            <w:pPr>
              <w:pStyle w:val="TableParagraph"/>
              <w:spacing w:before="60"/>
              <w:ind w:left="133" w:right="133"/>
              <w:jc w:val="center"/>
              <w:rPr>
                <w:sz w:val="18"/>
              </w:rPr>
            </w:pPr>
            <w:r>
              <w:rPr>
                <w:sz w:val="18"/>
              </w:rPr>
              <w:t>符</w:t>
            </w:r>
            <w:r>
              <w:rPr>
                <w:spacing w:val="45"/>
                <w:w w:val="150"/>
                <w:sz w:val="18"/>
              </w:rPr>
              <w:t xml:space="preserve"> </w:t>
            </w:r>
            <w:r>
              <w:rPr>
                <w:spacing w:val="-10"/>
                <w:sz w:val="18"/>
              </w:rPr>
              <w:t>号</w:t>
            </w:r>
          </w:p>
        </w:tc>
        <w:tc>
          <w:tcPr>
            <w:tcW w:w="4743" w:type="dxa"/>
            <w:tcBorders>
              <w:left w:val="dashed" w:sz="4" w:space="0" w:color="000000"/>
              <w:right w:val="dashed" w:sz="4" w:space="0" w:color="000000"/>
            </w:tcBorders>
          </w:tcPr>
          <w:p>
            <w:pPr>
              <w:pStyle w:val="TableParagraph"/>
              <w:tabs>
                <w:tab w:val="left" w:pos="1169"/>
              </w:tabs>
              <w:spacing w:before="60"/>
              <w:jc w:val="center"/>
              <w:rPr>
                <w:sz w:val="18"/>
              </w:rPr>
            </w:pPr>
            <w:r>
              <w:rPr>
                <w:spacing w:val="-10"/>
                <w:sz w:val="18"/>
              </w:rPr>
              <w:t>含</w:t>
            </w:r>
            <w:r>
              <w:rPr>
                <w:sz w:val="18"/>
              </w:rPr>
              <w:tab/>
            </w:r>
            <w:r>
              <w:rPr>
                <w:spacing w:val="-10"/>
                <w:sz w:val="18"/>
              </w:rPr>
              <w:t>义</w:t>
            </w:r>
          </w:p>
        </w:tc>
        <w:tc>
          <w:tcPr>
            <w:tcW w:w="1573" w:type="dxa"/>
            <w:tcBorders>
              <w:left w:val="dashed" w:sz="4" w:space="0" w:color="000000"/>
              <w:right w:val="nil"/>
            </w:tcBorders>
          </w:tcPr>
          <w:p>
            <w:pPr>
              <w:pStyle w:val="TableParagraph"/>
              <w:spacing w:before="60"/>
              <w:ind w:left="214" w:right="214"/>
              <w:jc w:val="center"/>
              <w:rPr>
                <w:sz w:val="18"/>
              </w:rPr>
            </w:pPr>
            <w:r>
              <w:rPr>
                <w:sz w:val="18"/>
              </w:rPr>
              <w:t>单</w:t>
            </w:r>
            <w:r>
              <w:rPr>
                <w:spacing w:val="45"/>
                <w:w w:val="150"/>
                <w:sz w:val="18"/>
              </w:rPr>
              <w:t xml:space="preserve"> </w:t>
            </w:r>
            <w:r>
              <w:rPr>
                <w:spacing w:val="-10"/>
                <w:sz w:val="18"/>
              </w:rPr>
              <w:t>位</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50</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f</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柯氏力系数，</w:t>
            </w:r>
            <w:r>
              <w:rPr>
                <w:rFonts w:ascii="Times New Roman" w:eastAsia="Times New Roman" w:hAnsi="Times New Roman"/>
                <w:spacing w:val="-2"/>
                <w:sz w:val="18"/>
              </w:rPr>
              <w:t>f=2</w:t>
            </w:r>
            <w:r>
              <w:rPr>
                <w:spacing w:val="-2"/>
                <w:sz w:val="18"/>
              </w:rPr>
              <w:t>ω</w:t>
            </w:r>
            <w:r>
              <w:rPr>
                <w:rFonts w:ascii="Times New Roman" w:eastAsia="Times New Roman" w:hAnsi="Times New Roman"/>
                <w:spacing w:val="-2"/>
                <w:sz w:val="18"/>
              </w:rPr>
              <w:t>sin</w:t>
            </w:r>
            <w:r>
              <w:rPr>
                <w:spacing w:val="-2"/>
                <w:sz w:val="18"/>
              </w:rPr>
              <w:t>φ</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F</w:t>
            </w:r>
            <w:r>
              <w:rPr>
                <w:rFonts w:ascii="Times New Roman"/>
                <w:spacing w:val="-5"/>
                <w:sz w:val="18"/>
                <w:vertAlign w:val="subscript"/>
              </w:rPr>
              <w:t>s</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堆积物表面积</w:t>
            </w:r>
          </w:p>
        </w:tc>
        <w:tc>
          <w:tcPr>
            <w:tcW w:w="1573" w:type="dxa"/>
            <w:tcBorders>
              <w:left w:val="dashed" w:sz="4" w:space="0" w:color="000000"/>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2</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F</w:t>
            </w:r>
            <w:r>
              <w:rPr>
                <w:rFonts w:ascii="Times New Roman"/>
                <w:spacing w:val="-5"/>
                <w:sz w:val="18"/>
                <w:vertAlign w:val="subscript"/>
              </w:rPr>
              <w:t>0</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x=x</w:t>
            </w:r>
            <w:r>
              <w:rPr>
                <w:rFonts w:ascii="Times New Roman" w:eastAsia="Times New Roman"/>
                <w:sz w:val="18"/>
                <w:vertAlign w:val="subscript"/>
              </w:rPr>
              <w:t>0</w:t>
            </w:r>
            <w:r>
              <w:rPr>
                <w:rFonts w:ascii="Times New Roman" w:eastAsia="Times New Roman"/>
                <w:spacing w:val="-15"/>
                <w:sz w:val="18"/>
                <w:vertAlign w:val="baseline"/>
              </w:rPr>
              <w:t xml:space="preserve"> </w:t>
            </w:r>
            <w:r>
              <w:rPr>
                <w:spacing w:val="-2"/>
                <w:sz w:val="18"/>
                <w:vertAlign w:val="baseline"/>
              </w:rPr>
              <w:t>时的河流断面面积</w:t>
            </w:r>
          </w:p>
        </w:tc>
        <w:tc>
          <w:tcPr>
            <w:tcW w:w="1573" w:type="dxa"/>
            <w:tcBorders>
              <w:left w:val="dashed" w:sz="4" w:space="0" w:color="000000"/>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2</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53</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g</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重力加速度</w:t>
            </w:r>
          </w:p>
        </w:tc>
        <w:tc>
          <w:tcPr>
            <w:tcW w:w="1573" w:type="dxa"/>
            <w:tcBorders>
              <w:left w:val="dashed" w:sz="4" w:space="0" w:color="000000"/>
              <w:right w:val="nil"/>
            </w:tcBorders>
          </w:tcPr>
          <w:p>
            <w:pPr>
              <w:pStyle w:val="TableParagraph"/>
              <w:spacing w:before="72"/>
              <w:ind w:left="214" w:right="214"/>
              <w:jc w:val="center"/>
              <w:rPr>
                <w:rFonts w:ascii="Times New Roman"/>
                <w:sz w:val="12"/>
              </w:rPr>
            </w:pPr>
            <w:r>
              <w:rPr>
                <w:rFonts w:ascii="Times New Roman"/>
                <w:spacing w:val="-4"/>
                <w:sz w:val="18"/>
              </w:rPr>
              <w:t>m/s</w:t>
            </w:r>
            <w:r>
              <w:rPr>
                <w:rFonts w:ascii="Times New Roman"/>
                <w:spacing w:val="-4"/>
                <w:position w:val="5"/>
                <w:sz w:val="12"/>
              </w:rPr>
              <w:t>2</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54</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H</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平均水深</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55</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h</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某点平均水面到水底的深度</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56</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4"/>
                <w:position w:val="3"/>
                <w:sz w:val="18"/>
              </w:rPr>
              <w:t>h</w:t>
            </w:r>
            <w:r>
              <w:rPr>
                <w:rFonts w:ascii="Times New Roman"/>
                <w:spacing w:val="-4"/>
                <w:sz w:val="12"/>
              </w:rPr>
              <w:t>max</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平均水面到水底的最大深度</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57</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H</w:t>
            </w:r>
            <w:r>
              <w:rPr>
                <w:rFonts w:ascii="Times New Roman"/>
                <w:spacing w:val="-5"/>
                <w:sz w:val="18"/>
                <w:vertAlign w:val="subscript"/>
              </w:rPr>
              <w:t>r</w:t>
            </w:r>
          </w:p>
        </w:tc>
        <w:tc>
          <w:tcPr>
            <w:tcW w:w="4743" w:type="dxa"/>
            <w:tcBorders>
              <w:left w:val="dashed" w:sz="4" w:space="0" w:color="000000"/>
              <w:right w:val="dashed" w:sz="4" w:space="0" w:color="000000"/>
            </w:tcBorders>
          </w:tcPr>
          <w:p>
            <w:pPr>
              <w:pStyle w:val="TableParagraph"/>
              <w:spacing w:before="60"/>
              <w:ind w:left="103"/>
              <w:rPr>
                <w:sz w:val="18"/>
              </w:rPr>
            </w:pPr>
            <w:r>
              <w:rPr>
                <w:spacing w:val="-4"/>
                <w:sz w:val="18"/>
              </w:rPr>
              <w:t>降雨量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58</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H</w:t>
            </w:r>
            <w:r>
              <w:rPr>
                <w:rFonts w:ascii="Times New Roman"/>
                <w:spacing w:val="-5"/>
                <w:sz w:val="18"/>
                <w:vertAlign w:val="subscript"/>
              </w:rPr>
              <w:t>s</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太阳短波辐射</w:t>
            </w:r>
          </w:p>
        </w:tc>
        <w:tc>
          <w:tcPr>
            <w:tcW w:w="1573" w:type="dxa"/>
            <w:tcBorders>
              <w:left w:val="dashed" w:sz="4" w:space="0" w:color="000000"/>
              <w:right w:val="nil"/>
            </w:tcBorders>
          </w:tcPr>
          <w:p>
            <w:pPr>
              <w:pStyle w:val="TableParagraph"/>
              <w:spacing w:before="72"/>
              <w:ind w:left="214" w:right="214"/>
              <w:jc w:val="center"/>
              <w:rPr>
                <w:rFonts w:ascii="Times New Roman"/>
                <w:sz w:val="12"/>
              </w:rPr>
            </w:pPr>
            <w:r>
              <w:rPr>
                <w:rFonts w:ascii="Times New Roman"/>
                <w:spacing w:val="-4"/>
                <w:sz w:val="18"/>
              </w:rPr>
              <w:t>W/m</w:t>
            </w:r>
            <w:r>
              <w:rPr>
                <w:rFonts w:ascii="Times New Roman"/>
                <w:spacing w:val="-4"/>
                <w:position w:val="5"/>
                <w:sz w:val="12"/>
              </w:rPr>
              <w:t>2</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59</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I</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河流底坡或地面坡度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60</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i</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降雨强度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2"/>
                <w:sz w:val="18"/>
              </w:rPr>
              <w:t>mm/min</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61</w:t>
            </w:r>
          </w:p>
        </w:tc>
        <w:tc>
          <w:tcPr>
            <w:tcW w:w="1377" w:type="dxa"/>
            <w:tcBorders>
              <w:left w:val="dashed" w:sz="4" w:space="0" w:color="000000"/>
              <w:right w:val="dashed" w:sz="4" w:space="0" w:color="000000"/>
            </w:tcBorders>
          </w:tcPr>
          <w:p>
            <w:pPr>
              <w:pStyle w:val="TableParagraph"/>
              <w:spacing w:before="60"/>
              <w:ind w:left="133" w:right="133"/>
              <w:jc w:val="center"/>
              <w:rPr>
                <w:sz w:val="18"/>
              </w:rPr>
            </w:pPr>
            <w:r>
              <w:rPr>
                <w:rFonts w:ascii="Times New Roman" w:eastAsia="Times New Roman"/>
                <w:sz w:val="18"/>
              </w:rPr>
              <w:t>i</w:t>
            </w:r>
            <w:r>
              <w:rPr>
                <w:sz w:val="18"/>
              </w:rPr>
              <w:t>（下标</w:t>
            </w:r>
            <w:r>
              <w:rPr>
                <w:spacing w:val="-10"/>
                <w:sz w:val="18"/>
              </w:rPr>
              <w:t>）</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x </w:t>
            </w:r>
            <w:r>
              <w:rPr>
                <w:spacing w:val="-1"/>
                <w:sz w:val="18"/>
              </w:rPr>
              <w:t>方向位置标号或者污染物标号</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62</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4"/>
                <w:position w:val="3"/>
                <w:sz w:val="18"/>
              </w:rPr>
              <w:t>I</w:t>
            </w:r>
            <w:r>
              <w:rPr>
                <w:rFonts w:ascii="Times New Roman"/>
                <w:spacing w:val="-4"/>
                <w:sz w:val="12"/>
              </w:rPr>
              <w:t>i,j</w:t>
            </w:r>
          </w:p>
        </w:tc>
        <w:tc>
          <w:tcPr>
            <w:tcW w:w="4743" w:type="dxa"/>
            <w:tcBorders>
              <w:left w:val="dashed" w:sz="4" w:space="0" w:color="000000"/>
              <w:right w:val="dashed" w:sz="4" w:space="0" w:color="000000"/>
            </w:tcBorders>
          </w:tcPr>
          <w:p>
            <w:pPr>
              <w:pStyle w:val="TableParagraph"/>
              <w:spacing w:before="60"/>
              <w:ind w:left="103"/>
              <w:rPr>
                <w:sz w:val="18"/>
              </w:rPr>
            </w:pPr>
            <w:r>
              <w:rPr>
                <w:spacing w:val="-12"/>
                <w:sz w:val="18"/>
              </w:rPr>
              <w:t xml:space="preserve">污染物 </w:t>
            </w:r>
            <w:r>
              <w:rPr>
                <w:rFonts w:ascii="Times New Roman" w:eastAsia="Times New Roman"/>
                <w:sz w:val="18"/>
              </w:rPr>
              <w:t xml:space="preserve">i </w:t>
            </w:r>
            <w:r>
              <w:rPr>
                <w:spacing w:val="-23"/>
                <w:sz w:val="18"/>
              </w:rPr>
              <w:t xml:space="preserve">在 </w:t>
            </w:r>
            <w:r>
              <w:rPr>
                <w:rFonts w:ascii="Times New Roman" w:eastAsia="Times New Roman"/>
                <w:sz w:val="18"/>
              </w:rPr>
              <w:t xml:space="preserve">j </w:t>
            </w:r>
            <w:r>
              <w:rPr>
                <w:spacing w:val="-2"/>
                <w:sz w:val="18"/>
              </w:rPr>
              <w:t>点的水质指数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63</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i</w:t>
            </w:r>
            <w:r>
              <w:rPr>
                <w:rFonts w:ascii="Times New Roman"/>
                <w:spacing w:val="-5"/>
                <w:sz w:val="12"/>
              </w:rPr>
              <w:t>30</w:t>
            </w:r>
          </w:p>
        </w:tc>
        <w:tc>
          <w:tcPr>
            <w:tcW w:w="4743" w:type="dxa"/>
            <w:tcBorders>
              <w:left w:val="dashed" w:sz="4" w:space="0" w:color="000000"/>
              <w:right w:val="dashed" w:sz="4" w:space="0" w:color="000000"/>
            </w:tcBorders>
          </w:tcPr>
          <w:p>
            <w:pPr>
              <w:pStyle w:val="TableParagraph"/>
              <w:spacing w:before="60"/>
              <w:ind w:left="103"/>
              <w:rPr>
                <w:sz w:val="18"/>
              </w:rPr>
            </w:pPr>
            <w:r>
              <w:rPr>
                <w:spacing w:val="-15"/>
                <w:sz w:val="18"/>
              </w:rPr>
              <w:t xml:space="preserve">连续 </w:t>
            </w:r>
            <w:r>
              <w:rPr>
                <w:rFonts w:ascii="Times New Roman" w:eastAsia="Times New Roman"/>
                <w:sz w:val="18"/>
              </w:rPr>
              <w:t xml:space="preserve">30 </w:t>
            </w:r>
            <w:r>
              <w:rPr>
                <w:spacing w:val="-1"/>
                <w:sz w:val="18"/>
              </w:rPr>
              <w:t>分钟降雨的最大降雨强度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2"/>
                <w:sz w:val="18"/>
              </w:rPr>
              <w:t>mm/min</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ISE</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污染物排序指标</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65</w:t>
            </w:r>
          </w:p>
        </w:tc>
        <w:tc>
          <w:tcPr>
            <w:tcW w:w="1377" w:type="dxa"/>
            <w:tcBorders>
              <w:left w:val="dashed" w:sz="4" w:space="0" w:color="000000"/>
              <w:right w:val="dashed" w:sz="4" w:space="0" w:color="000000"/>
            </w:tcBorders>
          </w:tcPr>
          <w:p>
            <w:pPr>
              <w:pStyle w:val="TableParagraph"/>
              <w:spacing w:before="60"/>
              <w:ind w:left="133" w:right="133"/>
              <w:jc w:val="center"/>
              <w:rPr>
                <w:sz w:val="18"/>
              </w:rPr>
            </w:pPr>
            <w:r>
              <w:rPr>
                <w:rFonts w:ascii="Times New Roman" w:eastAsia="Times New Roman"/>
                <w:sz w:val="18"/>
              </w:rPr>
              <w:t>j</w:t>
            </w:r>
            <w:r>
              <w:rPr>
                <w:sz w:val="18"/>
              </w:rPr>
              <w:t>（下标</w:t>
            </w:r>
            <w:r>
              <w:rPr>
                <w:spacing w:val="-10"/>
                <w:sz w:val="18"/>
              </w:rPr>
              <w:t>）</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y </w:t>
            </w:r>
            <w:r>
              <w:rPr>
                <w:sz w:val="18"/>
              </w:rPr>
              <w:t>方向位置标号或者预测点（监测点）</w:t>
            </w:r>
            <w:r>
              <w:rPr>
                <w:spacing w:val="-5"/>
                <w:sz w:val="18"/>
              </w:rPr>
              <w:t>标号</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J</w:t>
            </w:r>
            <w:r>
              <w:rPr>
                <w:rFonts w:ascii="Times New Roman"/>
                <w:spacing w:val="-5"/>
                <w:sz w:val="18"/>
                <w:vertAlign w:val="subscript"/>
              </w:rPr>
              <w:t>E</w:t>
            </w:r>
          </w:p>
        </w:tc>
        <w:tc>
          <w:tcPr>
            <w:tcW w:w="4743" w:type="dxa"/>
            <w:tcBorders>
              <w:left w:val="dashed" w:sz="4" w:space="0" w:color="000000"/>
              <w:right w:val="dashed" w:sz="4" w:space="0" w:color="000000"/>
            </w:tcBorders>
          </w:tcPr>
          <w:p>
            <w:pPr>
              <w:pStyle w:val="TableParagraph"/>
              <w:spacing w:before="60"/>
              <w:ind w:left="103"/>
              <w:rPr>
                <w:sz w:val="18"/>
              </w:rPr>
            </w:pPr>
            <w:r>
              <w:rPr>
                <w:spacing w:val="-12"/>
                <w:sz w:val="18"/>
              </w:rPr>
              <w:t xml:space="preserve">第一类 </w:t>
            </w:r>
            <w:r>
              <w:rPr>
                <w:rFonts w:ascii="Times New Roman" w:eastAsia="Times New Roman"/>
                <w:sz w:val="18"/>
              </w:rPr>
              <w:t xml:space="preserve">E </w:t>
            </w:r>
            <w:r>
              <w:rPr>
                <w:spacing w:val="-2"/>
                <w:sz w:val="18"/>
              </w:rPr>
              <w:t>阶贝赛尔函数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67</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K</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综合消减系数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l/d</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68</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K</w:t>
            </w:r>
            <w:r>
              <w:rPr>
                <w:rFonts w:ascii="Times New Roman"/>
                <w:spacing w:val="-5"/>
                <w:sz w:val="12"/>
              </w:rPr>
              <w:t>al</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碳酸一级平衡常数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69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K</w:t>
            </w:r>
            <w:r>
              <w:rPr>
                <w:rFonts w:ascii="Times New Roman"/>
                <w:spacing w:val="-5"/>
                <w:sz w:val="18"/>
                <w:vertAlign w:val="subscript"/>
              </w:rPr>
              <w:t>e</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土壤受侵蚀因子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K</w:t>
            </w:r>
            <w:r>
              <w:rPr>
                <w:rFonts w:ascii="Times New Roman"/>
                <w:spacing w:val="-5"/>
                <w:sz w:val="18"/>
                <w:vertAlign w:val="subscript"/>
              </w:rPr>
              <w:t>h</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71</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K</w:t>
            </w:r>
            <w:r>
              <w:rPr>
                <w:rFonts w:ascii="Times New Roman"/>
                <w:spacing w:val="-5"/>
                <w:sz w:val="12"/>
              </w:rPr>
              <w:t>TS</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表面热交换系数</w:t>
            </w:r>
          </w:p>
        </w:tc>
        <w:tc>
          <w:tcPr>
            <w:tcW w:w="1573" w:type="dxa"/>
            <w:tcBorders>
              <w:left w:val="dashed" w:sz="4" w:space="0" w:color="000000"/>
              <w:right w:val="nil"/>
            </w:tcBorders>
          </w:tcPr>
          <w:p>
            <w:pPr>
              <w:pStyle w:val="TableParagraph"/>
              <w:spacing w:before="60"/>
              <w:ind w:left="214" w:right="214"/>
              <w:jc w:val="center"/>
              <w:rPr>
                <w:rFonts w:ascii="Times New Roman" w:hAnsi="Times New Roman"/>
                <w:sz w:val="18"/>
              </w:rPr>
            </w:pPr>
            <w:r>
              <w:rPr>
                <w:rFonts w:ascii="Times New Roman" w:hAnsi="Times New Roman"/>
                <w:spacing w:val="-2"/>
                <w:sz w:val="18"/>
              </w:rPr>
              <w:t>W/(m</w:t>
            </w:r>
            <w:r>
              <w:rPr>
                <w:spacing w:val="-2"/>
                <w:sz w:val="18"/>
              </w:rPr>
              <w:t>·℃</w:t>
            </w:r>
            <w:r>
              <w:rPr>
                <w:rFonts w:ascii="Times New Roman" w:hAnsi="Times New Roman"/>
                <w:spacing w:val="-2"/>
                <w:sz w:val="18"/>
              </w:rPr>
              <w:t>)</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K</w:t>
            </w:r>
            <w:r>
              <w:rPr>
                <w:rFonts w:ascii="Times New Roman"/>
                <w:spacing w:val="-5"/>
                <w:sz w:val="18"/>
                <w:vertAlign w:val="subscript"/>
              </w:rPr>
              <w:t>I</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耗氧系数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l/d</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73</w:t>
            </w:r>
          </w:p>
        </w:tc>
        <w:tc>
          <w:tcPr>
            <w:tcW w:w="1377" w:type="dxa"/>
            <w:tcBorders>
              <w:left w:val="dashed" w:sz="4" w:space="0" w:color="000000"/>
              <w:right w:val="dashed" w:sz="4" w:space="0" w:color="000000"/>
            </w:tcBorders>
          </w:tcPr>
          <w:p>
            <w:pPr>
              <w:pStyle w:val="TableParagraph"/>
              <w:spacing w:before="67"/>
              <w:ind w:left="133" w:right="133"/>
              <w:jc w:val="center"/>
              <w:rPr>
                <w:rFonts w:ascii="Times New Roman" w:hAnsi="Times New Roman"/>
                <w:sz w:val="12"/>
              </w:rPr>
            </w:pPr>
            <w:r>
              <w:rPr>
                <w:rFonts w:ascii="Times New Roman" w:hAnsi="Times New Roman"/>
                <w:spacing w:val="-5"/>
                <w:position w:val="-4"/>
                <w:sz w:val="18"/>
              </w:rPr>
              <w:t>K</w:t>
            </w:r>
            <w:r>
              <w:rPr>
                <w:rFonts w:ascii="Times New Roman" w:hAnsi="Times New Roman"/>
                <w:spacing w:val="-5"/>
                <w:position w:val="-7"/>
                <w:sz w:val="12"/>
              </w:rPr>
              <w:t>1</w:t>
            </w:r>
            <w:r>
              <w:rPr>
                <w:rFonts w:ascii="Times New Roman" w:hAnsi="Times New Roman"/>
                <w:spacing w:val="-5"/>
                <w:sz w:val="12"/>
              </w:rPr>
              <w:t>’</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实验室测定的耗氧系数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l/d</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K</w:t>
            </w:r>
            <w:r>
              <w:rPr>
                <w:rFonts w:ascii="Times New Roman"/>
                <w:spacing w:val="-5"/>
                <w:sz w:val="18"/>
                <w:vertAlign w:val="subscript"/>
              </w:rPr>
              <w:t>2</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复氧系数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l/d</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75</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K</w:t>
            </w:r>
            <w:r>
              <w:rPr>
                <w:rFonts w:ascii="Times New Roman"/>
                <w:spacing w:val="-5"/>
                <w:sz w:val="18"/>
                <w:vertAlign w:val="subscript"/>
              </w:rPr>
              <w:t>3</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沉降系数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l/d</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76</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l</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混合过程段长度</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77</w:t>
            </w:r>
          </w:p>
        </w:tc>
        <w:tc>
          <w:tcPr>
            <w:tcW w:w="1377" w:type="dxa"/>
            <w:tcBorders>
              <w:left w:val="dashed" w:sz="4" w:space="0" w:color="000000"/>
              <w:right w:val="dashed" w:sz="4" w:space="0" w:color="000000"/>
            </w:tcBorders>
          </w:tcPr>
          <w:p>
            <w:pPr>
              <w:pStyle w:val="TableParagraph"/>
              <w:spacing w:before="60"/>
              <w:ind w:left="133" w:right="133"/>
              <w:jc w:val="center"/>
              <w:rPr>
                <w:sz w:val="18"/>
              </w:rPr>
            </w:pPr>
            <w:r>
              <w:rPr>
                <w:rFonts w:ascii="Times New Roman" w:eastAsia="Times New Roman"/>
                <w:sz w:val="18"/>
              </w:rPr>
              <w:t>(l)</w:t>
            </w:r>
            <w:r>
              <w:rPr>
                <w:spacing w:val="-2"/>
                <w:sz w:val="18"/>
              </w:rPr>
              <w:t>下标或上标</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时间序列标号</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78</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L</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坡长因子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79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l</w:t>
            </w:r>
            <w:r>
              <w:rPr>
                <w:rFonts w:ascii="Times New Roman"/>
                <w:spacing w:val="-5"/>
                <w:sz w:val="18"/>
                <w:vertAlign w:val="subscript"/>
              </w:rPr>
              <w:t>1</w:t>
            </w:r>
          </w:p>
        </w:tc>
        <w:tc>
          <w:tcPr>
            <w:tcW w:w="4743" w:type="dxa"/>
            <w:tcBorders>
              <w:left w:val="dashed" w:sz="4" w:space="0" w:color="000000"/>
              <w:right w:val="dashed" w:sz="4" w:space="0" w:color="000000"/>
            </w:tcBorders>
          </w:tcPr>
          <w:p>
            <w:pPr>
              <w:pStyle w:val="TableParagraph"/>
              <w:spacing w:before="60"/>
              <w:ind w:left="103"/>
              <w:rPr>
                <w:sz w:val="18"/>
              </w:rPr>
            </w:pPr>
            <w:r>
              <w:rPr>
                <w:spacing w:val="-5"/>
                <w:sz w:val="18"/>
              </w:rPr>
              <w:t>坡长</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80</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M</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81</w:t>
            </w:r>
          </w:p>
        </w:tc>
        <w:tc>
          <w:tcPr>
            <w:tcW w:w="1377" w:type="dxa"/>
            <w:tcBorders>
              <w:left w:val="dashed" w:sz="4" w:space="0" w:color="000000"/>
              <w:right w:val="dashed" w:sz="4" w:space="0" w:color="000000"/>
            </w:tcBorders>
          </w:tcPr>
          <w:p>
            <w:pPr>
              <w:pStyle w:val="TableParagraph"/>
              <w:spacing w:before="60"/>
              <w:ind w:left="133" w:right="133"/>
              <w:jc w:val="center"/>
              <w:rPr>
                <w:rFonts w:ascii="Times New Roman" w:eastAsia="Times New Roman"/>
                <w:sz w:val="18"/>
              </w:rPr>
            </w:pPr>
            <w:r>
              <w:rPr>
                <w:rFonts w:ascii="Times New Roman" w:eastAsia="Times New Roman"/>
                <w:spacing w:val="-2"/>
                <w:sz w:val="18"/>
              </w:rPr>
              <w:t>M(</w:t>
            </w:r>
            <w:r>
              <w:rPr>
                <w:spacing w:val="-2"/>
                <w:sz w:val="18"/>
              </w:rPr>
              <w:t>下标</w:t>
            </w:r>
            <w:r>
              <w:rPr>
                <w:rFonts w:ascii="Times New Roman" w:eastAsia="Times New Roman"/>
                <w:spacing w:val="-10"/>
                <w:sz w:val="18"/>
              </w:rPr>
              <w:t>)</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x </w:t>
            </w:r>
            <w:r>
              <w:rPr>
                <w:spacing w:val="-2"/>
                <w:sz w:val="18"/>
              </w:rPr>
              <w:t>方向边界上的点</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82</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m</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测点数或综合评价的水质参数数量或年降雨次数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83</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c</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降雨溶解的面源污染物</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kg</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d</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污染物溶出量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kg</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85</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l</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断面纵向混合系数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2</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q</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累积流量坐标系下的横向混合系数</w:t>
            </w:r>
          </w:p>
        </w:tc>
        <w:tc>
          <w:tcPr>
            <w:tcW w:w="1573" w:type="dxa"/>
            <w:tcBorders>
              <w:left w:val="dashed" w:sz="4" w:space="0" w:color="000000"/>
              <w:right w:val="nil"/>
            </w:tcBorders>
          </w:tcPr>
          <w:p>
            <w:pPr>
              <w:pStyle w:val="TableParagraph"/>
              <w:spacing w:before="72"/>
              <w:ind w:left="214" w:right="214"/>
              <w:jc w:val="center"/>
              <w:rPr>
                <w:rFonts w:ascii="Times New Roman"/>
                <w:sz w:val="12"/>
              </w:rPr>
            </w:pPr>
            <w:r>
              <w:rPr>
                <w:rFonts w:ascii="Times New Roman"/>
                <w:spacing w:val="-2"/>
                <w:sz w:val="18"/>
              </w:rPr>
              <w:t>m</w:t>
            </w:r>
            <w:r>
              <w:rPr>
                <w:rFonts w:ascii="Times New Roman"/>
                <w:spacing w:val="-2"/>
                <w:position w:val="5"/>
                <w:sz w:val="12"/>
              </w:rPr>
              <w:t>2</w:t>
            </w:r>
            <w:r>
              <w:rPr>
                <w:rFonts w:ascii="Times New Roman"/>
                <w:spacing w:val="-2"/>
                <w:sz w:val="18"/>
              </w:rPr>
              <w:t>/s</w:t>
            </w:r>
            <w:r>
              <w:rPr>
                <w:rFonts w:ascii="Times New Roman"/>
                <w:spacing w:val="-2"/>
                <w:position w:val="5"/>
                <w:sz w:val="12"/>
              </w:rPr>
              <w:t>2</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87</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r</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径向混合系数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2</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88</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M</w:t>
            </w:r>
            <w:r>
              <w:rPr>
                <w:rFonts w:ascii="Times New Roman"/>
                <w:spacing w:val="-5"/>
                <w:sz w:val="12"/>
              </w:rPr>
              <w:t>SC</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因降雨径流流失的悬浮物中挟带的污染物量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kg</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89</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M</w:t>
            </w:r>
            <w:r>
              <w:rPr>
                <w:rFonts w:ascii="Times New Roman"/>
                <w:spacing w:val="-5"/>
                <w:sz w:val="12"/>
              </w:rPr>
              <w:t>SS</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降雨径流产生的悬浮物流失量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kg</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v</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混合速度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x</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纵向混合系数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2</w:t>
            </w:r>
            <w:r>
              <w:rPr>
                <w:rFonts w:ascii="Times New Roman"/>
                <w:spacing w:val="-4"/>
                <w:sz w:val="18"/>
              </w:rPr>
              <w:t>/s</w:t>
            </w:r>
          </w:p>
        </w:tc>
      </w:tr>
    </w:tbl>
    <w:p>
      <w:pPr>
        <w:spacing w:after="0"/>
        <w:jc w:val="center"/>
        <w:rPr>
          <w:rFonts w:ascii="Times New Roman"/>
          <w:sz w:val="18"/>
        </w:rPr>
        <w:sectPr>
          <w:footerReference w:type="even" r:id="rId12"/>
          <w:footerReference w:type="default" r:id="rId13"/>
          <w:type w:val="continuous"/>
          <w:pgSz w:w="11910" w:h="16840"/>
          <w:pgMar w:top="1400" w:right="1500" w:bottom="1442" w:left="1580" w:header="0" w:footer="990"/>
          <w:pgNumType w:start="604"/>
          <w:cols w:space="708"/>
        </w:sectPr>
      </w:pPr>
    </w:p>
    <w:tbl>
      <w:tblPr>
        <w:tblStyle w:val="TableNormal2"/>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9"/>
        <w:gridCol w:w="1377"/>
        <w:gridCol w:w="4743"/>
        <w:gridCol w:w="1573"/>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60"/>
              <w:ind w:right="227"/>
              <w:jc w:val="right"/>
              <w:rPr>
                <w:sz w:val="18"/>
              </w:rPr>
            </w:pPr>
            <w:r>
              <w:rPr>
                <w:spacing w:val="-5"/>
                <w:sz w:val="18"/>
              </w:rPr>
              <w:t>序号</w:t>
            </w:r>
          </w:p>
        </w:tc>
        <w:tc>
          <w:tcPr>
            <w:tcW w:w="1377" w:type="dxa"/>
            <w:tcBorders>
              <w:left w:val="dashed" w:sz="4" w:space="0" w:color="000000"/>
              <w:right w:val="dashed" w:sz="4" w:space="0" w:color="000000"/>
            </w:tcBorders>
          </w:tcPr>
          <w:p>
            <w:pPr>
              <w:pStyle w:val="TableParagraph"/>
              <w:spacing w:before="60"/>
              <w:ind w:left="133" w:right="133"/>
              <w:jc w:val="center"/>
              <w:rPr>
                <w:sz w:val="18"/>
              </w:rPr>
            </w:pPr>
            <w:r>
              <w:rPr>
                <w:sz w:val="18"/>
              </w:rPr>
              <w:t>符</w:t>
            </w:r>
            <w:r>
              <w:rPr>
                <w:spacing w:val="45"/>
                <w:w w:val="150"/>
                <w:sz w:val="18"/>
              </w:rPr>
              <w:t xml:space="preserve"> </w:t>
            </w:r>
            <w:r>
              <w:rPr>
                <w:spacing w:val="-10"/>
                <w:sz w:val="18"/>
              </w:rPr>
              <w:t>号</w:t>
            </w:r>
          </w:p>
        </w:tc>
        <w:tc>
          <w:tcPr>
            <w:tcW w:w="4743" w:type="dxa"/>
            <w:tcBorders>
              <w:left w:val="dashed" w:sz="4" w:space="0" w:color="000000"/>
              <w:right w:val="dashed" w:sz="4" w:space="0" w:color="000000"/>
            </w:tcBorders>
          </w:tcPr>
          <w:p>
            <w:pPr>
              <w:pStyle w:val="TableParagraph"/>
              <w:tabs>
                <w:tab w:val="left" w:pos="1169"/>
              </w:tabs>
              <w:spacing w:before="60"/>
              <w:jc w:val="center"/>
              <w:rPr>
                <w:sz w:val="18"/>
              </w:rPr>
            </w:pPr>
            <w:r>
              <w:rPr>
                <w:spacing w:val="-10"/>
                <w:sz w:val="18"/>
              </w:rPr>
              <w:t>含</w:t>
            </w:r>
            <w:r>
              <w:rPr>
                <w:sz w:val="18"/>
              </w:rPr>
              <w:tab/>
            </w:r>
            <w:r>
              <w:rPr>
                <w:spacing w:val="-10"/>
                <w:sz w:val="18"/>
              </w:rPr>
              <w:t>义</w:t>
            </w:r>
          </w:p>
        </w:tc>
        <w:tc>
          <w:tcPr>
            <w:tcW w:w="1573" w:type="dxa"/>
            <w:tcBorders>
              <w:left w:val="dashed" w:sz="4" w:space="0" w:color="000000"/>
              <w:right w:val="nil"/>
            </w:tcBorders>
          </w:tcPr>
          <w:p>
            <w:pPr>
              <w:pStyle w:val="TableParagraph"/>
              <w:spacing w:before="60"/>
              <w:ind w:left="214" w:right="214"/>
              <w:jc w:val="center"/>
              <w:rPr>
                <w:sz w:val="18"/>
              </w:rPr>
            </w:pPr>
            <w:r>
              <w:rPr>
                <w:sz w:val="18"/>
              </w:rPr>
              <w:t>单</w:t>
            </w:r>
            <w:r>
              <w:rPr>
                <w:spacing w:val="45"/>
                <w:w w:val="150"/>
                <w:sz w:val="18"/>
              </w:rPr>
              <w:t xml:space="preserve"> </w:t>
            </w:r>
            <w:r>
              <w:rPr>
                <w:spacing w:val="-10"/>
                <w:sz w:val="18"/>
              </w:rPr>
              <w:t>位</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M</w:t>
            </w:r>
            <w:r>
              <w:rPr>
                <w:rFonts w:ascii="Times New Roman"/>
                <w:spacing w:val="-5"/>
                <w:sz w:val="18"/>
                <w:vertAlign w:val="subscript"/>
              </w:rPr>
              <w:t>y</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横向混合系数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2</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93</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N</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稀释倍数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N</w:t>
            </w:r>
            <w:r>
              <w:rPr>
                <w:rFonts w:ascii="Times New Roman"/>
                <w:spacing w:val="-5"/>
                <w:sz w:val="18"/>
                <w:vertAlign w:val="subscript"/>
              </w:rPr>
              <w:t>E</w:t>
            </w:r>
          </w:p>
        </w:tc>
        <w:tc>
          <w:tcPr>
            <w:tcW w:w="4743" w:type="dxa"/>
            <w:tcBorders>
              <w:left w:val="dashed" w:sz="4" w:space="0" w:color="000000"/>
              <w:right w:val="dashed" w:sz="4" w:space="0" w:color="000000"/>
            </w:tcBorders>
          </w:tcPr>
          <w:p>
            <w:pPr>
              <w:pStyle w:val="TableParagraph"/>
              <w:spacing w:before="60"/>
              <w:ind w:left="103"/>
              <w:rPr>
                <w:sz w:val="18"/>
              </w:rPr>
            </w:pPr>
            <w:r>
              <w:rPr>
                <w:spacing w:val="-12"/>
                <w:sz w:val="18"/>
              </w:rPr>
              <w:t xml:space="preserve">第二类 </w:t>
            </w:r>
            <w:r>
              <w:rPr>
                <w:rFonts w:ascii="Times New Roman" w:eastAsia="Times New Roman"/>
                <w:sz w:val="18"/>
              </w:rPr>
              <w:t xml:space="preserve">E </w:t>
            </w:r>
            <w:r>
              <w:rPr>
                <w:spacing w:val="-2"/>
                <w:sz w:val="18"/>
              </w:rPr>
              <w:t>阶贝赛尔函数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95</w:t>
            </w:r>
          </w:p>
        </w:tc>
        <w:tc>
          <w:tcPr>
            <w:tcW w:w="1377" w:type="dxa"/>
            <w:tcBorders>
              <w:left w:val="dashed" w:sz="4" w:space="0" w:color="000000"/>
              <w:right w:val="dashed" w:sz="4" w:space="0" w:color="000000"/>
            </w:tcBorders>
          </w:tcPr>
          <w:p>
            <w:pPr>
              <w:pStyle w:val="TableParagraph"/>
              <w:spacing w:before="60"/>
              <w:ind w:left="133" w:right="133"/>
              <w:jc w:val="center"/>
              <w:rPr>
                <w:rFonts w:ascii="Times New Roman" w:eastAsia="Times New Roman"/>
                <w:sz w:val="18"/>
              </w:rPr>
            </w:pPr>
            <w:r>
              <w:rPr>
                <w:rFonts w:ascii="Times New Roman" w:eastAsia="Times New Roman"/>
                <w:spacing w:val="-2"/>
                <w:sz w:val="18"/>
              </w:rPr>
              <w:t>N(</w:t>
            </w:r>
            <w:r>
              <w:rPr>
                <w:spacing w:val="-2"/>
                <w:sz w:val="18"/>
              </w:rPr>
              <w:t>下标</w:t>
            </w:r>
            <w:r>
              <w:rPr>
                <w:rFonts w:ascii="Times New Roman" w:eastAsia="Times New Roman"/>
                <w:spacing w:val="-10"/>
                <w:sz w:val="18"/>
              </w:rPr>
              <w:t>)</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y </w:t>
            </w:r>
            <w:r>
              <w:rPr>
                <w:spacing w:val="-2"/>
                <w:sz w:val="18"/>
              </w:rPr>
              <w:t>方向边界上的点</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96</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n</w:t>
            </w:r>
          </w:p>
        </w:tc>
        <w:tc>
          <w:tcPr>
            <w:tcW w:w="4743" w:type="dxa"/>
            <w:tcBorders>
              <w:left w:val="dashed" w:sz="4" w:space="0" w:color="000000"/>
              <w:right w:val="dashed" w:sz="4" w:space="0" w:color="000000"/>
            </w:tcBorders>
          </w:tcPr>
          <w:p>
            <w:pPr>
              <w:pStyle w:val="TableParagraph"/>
              <w:spacing w:before="60"/>
              <w:ind w:left="103"/>
              <w:rPr>
                <w:sz w:val="18"/>
              </w:rPr>
            </w:pPr>
            <w:r>
              <w:rPr>
                <w:sz w:val="18"/>
              </w:rPr>
              <w:t>粗糙系数（糙率</w:t>
            </w:r>
            <w:r>
              <w:rPr>
                <w:spacing w:val="-10"/>
                <w:sz w:val="18"/>
              </w:rPr>
              <w:t>）</w:t>
            </w:r>
          </w:p>
        </w:tc>
        <w:tc>
          <w:tcPr>
            <w:tcW w:w="1573" w:type="dxa"/>
            <w:tcBorders>
              <w:left w:val="dashed" w:sz="4" w:space="0" w:color="000000"/>
              <w:right w:val="nil"/>
            </w:tcBorders>
          </w:tcPr>
          <w:p>
            <w:pPr>
              <w:pStyle w:val="TableParagraph"/>
              <w:spacing w:before="55"/>
              <w:ind w:left="214" w:right="214"/>
              <w:jc w:val="center"/>
              <w:rPr>
                <w:rFonts w:ascii="Times New Roman" w:hAnsi="Times New Roman"/>
                <w:sz w:val="18"/>
              </w:rPr>
            </w:pPr>
            <w:r>
              <w:rPr>
                <w:rFonts w:ascii="Times New Roman" w:hAnsi="Times New Roman"/>
                <w:position w:val="-4"/>
                <w:sz w:val="18"/>
              </w:rPr>
              <w:t>m</w:t>
            </w:r>
            <w:r>
              <w:rPr>
                <w:rFonts w:ascii="Times New Roman" w:hAnsi="Times New Roman"/>
                <w:sz w:val="12"/>
              </w:rPr>
              <w:t>-</w:t>
            </w:r>
            <w:r>
              <w:rPr>
                <w:rFonts w:ascii="Times New Roman" w:hAnsi="Times New Roman"/>
                <w:spacing w:val="-2"/>
                <w:sz w:val="12"/>
              </w:rPr>
              <w:t>1/3</w:t>
            </w:r>
            <w:r>
              <w:rPr>
                <w:spacing w:val="-2"/>
                <w:position w:val="-4"/>
                <w:sz w:val="18"/>
              </w:rPr>
              <w:t>·</w:t>
            </w:r>
            <w:r>
              <w:rPr>
                <w:rFonts w:ascii="Times New Roman" w:hAnsi="Times New Roman"/>
                <w:spacing w:val="-2"/>
                <w:position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97</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p</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侵蚀控制措施因子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98</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P</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自净利用指数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17" w:right="217"/>
              <w:jc w:val="center"/>
              <w:rPr>
                <w:rFonts w:ascii="Times New Roman"/>
                <w:sz w:val="18"/>
              </w:rPr>
            </w:pPr>
            <w:r>
              <w:rPr>
                <w:rFonts w:ascii="Times New Roman"/>
                <w:spacing w:val="-5"/>
                <w:sz w:val="18"/>
              </w:rPr>
              <w:t>99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pH</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氢离子浓度的负对数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pH</w:t>
            </w:r>
            <w:r>
              <w:rPr>
                <w:rFonts w:ascii="Times New Roman"/>
                <w:spacing w:val="-5"/>
                <w:sz w:val="18"/>
                <w:vertAlign w:val="subscript"/>
              </w:rPr>
              <w:t>h</w:t>
            </w:r>
          </w:p>
        </w:tc>
        <w:tc>
          <w:tcPr>
            <w:tcW w:w="4743" w:type="dxa"/>
            <w:tcBorders>
              <w:left w:val="dashed" w:sz="4" w:space="0" w:color="000000"/>
              <w:right w:val="dashed" w:sz="4" w:space="0" w:color="000000"/>
            </w:tcBorders>
          </w:tcPr>
          <w:p>
            <w:pPr>
              <w:pStyle w:val="TableParagraph"/>
              <w:spacing w:before="60"/>
              <w:ind w:left="103"/>
              <w:rPr>
                <w:rFonts w:ascii="Times New Roman" w:eastAsia="Times New Roman"/>
                <w:sz w:val="18"/>
              </w:rPr>
            </w:pPr>
            <w:r>
              <w:rPr>
                <w:sz w:val="18"/>
              </w:rPr>
              <w:t>河流上游或湖（库</w:t>
            </w:r>
            <w:r>
              <w:rPr>
                <w:spacing w:val="-90"/>
                <w:sz w:val="18"/>
              </w:rPr>
              <w:t>）</w:t>
            </w:r>
            <w:r>
              <w:rPr>
                <w:spacing w:val="-8"/>
                <w:sz w:val="18"/>
              </w:rPr>
              <w:t xml:space="preserve">、海现状的 </w:t>
            </w:r>
            <w:r>
              <w:rPr>
                <w:rFonts w:ascii="Times New Roman" w:eastAsia="Times New Roman"/>
                <w:spacing w:val="-5"/>
                <w:sz w:val="18"/>
              </w:rPr>
              <w:t>pH</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4"/>
                <w:sz w:val="18"/>
              </w:rPr>
              <w:t>pH</w:t>
            </w:r>
            <w:r>
              <w:rPr>
                <w:rFonts w:ascii="Times New Roman"/>
                <w:spacing w:val="-4"/>
                <w:sz w:val="18"/>
                <w:vertAlign w:val="subscript"/>
              </w:rPr>
              <w:t>sd</w:t>
            </w:r>
          </w:p>
        </w:tc>
        <w:tc>
          <w:tcPr>
            <w:tcW w:w="4743" w:type="dxa"/>
            <w:tcBorders>
              <w:left w:val="dashed" w:sz="4" w:space="0" w:color="000000"/>
              <w:right w:val="dashed" w:sz="4" w:space="0" w:color="000000"/>
            </w:tcBorders>
          </w:tcPr>
          <w:p>
            <w:pPr>
              <w:pStyle w:val="TableParagraph"/>
              <w:spacing w:before="60"/>
              <w:ind w:left="103"/>
              <w:rPr>
                <w:sz w:val="18"/>
              </w:rPr>
            </w:pPr>
            <w:r>
              <w:rPr>
                <w:spacing w:val="-4"/>
                <w:sz w:val="18"/>
              </w:rPr>
              <w:t xml:space="preserve">地面水水质标准中规定的 </w:t>
            </w:r>
            <w:r>
              <w:rPr>
                <w:rFonts w:ascii="Times New Roman" w:eastAsia="Times New Roman"/>
                <w:sz w:val="18"/>
              </w:rPr>
              <w:t xml:space="preserve">pH </w:t>
            </w:r>
            <w:r>
              <w:rPr>
                <w:spacing w:val="-4"/>
                <w:sz w:val="18"/>
              </w:rPr>
              <w:t>值下限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4"/>
                <w:sz w:val="18"/>
              </w:rPr>
              <w:t>pH</w:t>
            </w:r>
            <w:r>
              <w:rPr>
                <w:rFonts w:ascii="Times New Roman"/>
                <w:spacing w:val="-4"/>
                <w:sz w:val="18"/>
                <w:vertAlign w:val="subscript"/>
              </w:rPr>
              <w:t>su</w:t>
            </w:r>
          </w:p>
        </w:tc>
        <w:tc>
          <w:tcPr>
            <w:tcW w:w="4743" w:type="dxa"/>
            <w:tcBorders>
              <w:left w:val="dashed" w:sz="4" w:space="0" w:color="000000"/>
              <w:right w:val="dashed" w:sz="4" w:space="0" w:color="000000"/>
            </w:tcBorders>
          </w:tcPr>
          <w:p>
            <w:pPr>
              <w:pStyle w:val="TableParagraph"/>
              <w:spacing w:before="60"/>
              <w:ind w:left="103"/>
              <w:rPr>
                <w:sz w:val="18"/>
              </w:rPr>
            </w:pPr>
            <w:r>
              <w:rPr>
                <w:spacing w:val="-4"/>
                <w:sz w:val="18"/>
              </w:rPr>
              <w:t xml:space="preserve">地面水水质标准中规定的 </w:t>
            </w:r>
            <w:r>
              <w:rPr>
                <w:rFonts w:ascii="Times New Roman" w:eastAsia="Times New Roman"/>
                <w:sz w:val="18"/>
              </w:rPr>
              <w:t xml:space="preserve">pH </w:t>
            </w:r>
            <w:r>
              <w:rPr>
                <w:spacing w:val="-4"/>
                <w:sz w:val="18"/>
              </w:rPr>
              <w:t>值上限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103</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q</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累积流量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Q</w:t>
            </w:r>
            <w:r>
              <w:rPr>
                <w:rFonts w:ascii="Times New Roman"/>
                <w:spacing w:val="-5"/>
                <w:sz w:val="18"/>
                <w:vertAlign w:val="subscript"/>
              </w:rPr>
              <w:t>c</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取水水量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105</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Q</w:t>
            </w:r>
            <w:r>
              <w:rPr>
                <w:rFonts w:ascii="Times New Roman"/>
                <w:spacing w:val="-5"/>
                <w:sz w:val="18"/>
                <w:vertAlign w:val="subscript"/>
              </w:rPr>
              <w:t>f</w:t>
            </w:r>
          </w:p>
        </w:tc>
        <w:tc>
          <w:tcPr>
            <w:tcW w:w="4743" w:type="dxa"/>
            <w:tcBorders>
              <w:left w:val="dashed" w:sz="4" w:space="0" w:color="000000"/>
              <w:right w:val="dashed" w:sz="4" w:space="0" w:color="000000"/>
            </w:tcBorders>
          </w:tcPr>
          <w:p>
            <w:pPr>
              <w:pStyle w:val="TableParagraph"/>
              <w:spacing w:before="60"/>
              <w:ind w:left="103"/>
              <w:rPr>
                <w:sz w:val="18"/>
              </w:rPr>
            </w:pPr>
            <w:r>
              <w:rPr>
                <w:spacing w:val="-4"/>
                <w:sz w:val="18"/>
              </w:rPr>
              <w:t>径流量</w:t>
            </w:r>
          </w:p>
        </w:tc>
        <w:tc>
          <w:tcPr>
            <w:tcW w:w="1573" w:type="dxa"/>
            <w:tcBorders>
              <w:left w:val="dashed" w:sz="4" w:space="0" w:color="000000"/>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3</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Q</w:t>
            </w:r>
            <w:r>
              <w:rPr>
                <w:rFonts w:ascii="Times New Roman"/>
                <w:spacing w:val="-5"/>
                <w:sz w:val="18"/>
                <w:vertAlign w:val="subscript"/>
              </w:rPr>
              <w:t>h</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河流流量或湖水流出量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107</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Q</w:t>
            </w:r>
            <w:r>
              <w:rPr>
                <w:rFonts w:ascii="Times New Roman"/>
                <w:spacing w:val="-5"/>
                <w:sz w:val="18"/>
                <w:vertAlign w:val="subscript"/>
              </w:rPr>
              <w:t>p</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废水排放量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108</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Q</w:t>
            </w:r>
            <w:r>
              <w:rPr>
                <w:rFonts w:ascii="Times New Roman"/>
                <w:spacing w:val="-5"/>
                <w:sz w:val="12"/>
              </w:rPr>
              <w:t>PE</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排入分层湖上层的废水量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109</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5"/>
                <w:position w:val="3"/>
                <w:sz w:val="18"/>
              </w:rPr>
              <w:t>Q</w:t>
            </w:r>
            <w:r>
              <w:rPr>
                <w:rFonts w:ascii="Times New Roman"/>
                <w:spacing w:val="-5"/>
                <w:sz w:val="12"/>
              </w:rPr>
              <w:t>pH</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排入分层湖下层的废水量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Q</w:t>
            </w:r>
            <w:r>
              <w:rPr>
                <w:rFonts w:ascii="Times New Roman"/>
                <w:spacing w:val="-5"/>
                <w:sz w:val="18"/>
                <w:vertAlign w:val="subscript"/>
              </w:rPr>
              <w:t>r</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峰值径流量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111</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R</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水力半径</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112</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r</w:t>
            </w:r>
          </w:p>
        </w:tc>
        <w:tc>
          <w:tcPr>
            <w:tcW w:w="4743" w:type="dxa"/>
            <w:tcBorders>
              <w:left w:val="dashed" w:sz="4" w:space="0" w:color="000000"/>
              <w:right w:val="dashed" w:sz="4" w:space="0" w:color="000000"/>
            </w:tcBorders>
          </w:tcPr>
          <w:p>
            <w:pPr>
              <w:pStyle w:val="TableParagraph"/>
              <w:spacing w:before="60"/>
              <w:ind w:left="103"/>
              <w:rPr>
                <w:sz w:val="18"/>
              </w:rPr>
            </w:pPr>
            <w:r>
              <w:rPr>
                <w:sz w:val="18"/>
              </w:rPr>
              <w:t>排放口到预测点的距离（即极坐标中的径向坐标</w:t>
            </w:r>
            <w:r>
              <w:rPr>
                <w:spacing w:val="-10"/>
                <w:sz w:val="18"/>
              </w:rPr>
              <w:t>）</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113</w:t>
            </w:r>
          </w:p>
        </w:tc>
        <w:tc>
          <w:tcPr>
            <w:tcW w:w="1377" w:type="dxa"/>
            <w:tcBorders>
              <w:left w:val="dashed" w:sz="4" w:space="0" w:color="000000"/>
              <w:right w:val="dashed" w:sz="4" w:space="0" w:color="000000"/>
            </w:tcBorders>
          </w:tcPr>
          <w:p>
            <w:pPr>
              <w:pStyle w:val="TableParagraph"/>
              <w:spacing w:before="60"/>
              <w:ind w:left="133" w:right="133"/>
              <w:jc w:val="center"/>
              <w:rPr>
                <w:rFonts w:ascii="Times New Roman" w:eastAsia="Times New Roman"/>
                <w:sz w:val="18"/>
              </w:rPr>
            </w:pPr>
            <w:r>
              <w:rPr>
                <w:rFonts w:ascii="Times New Roman" w:eastAsia="Times New Roman"/>
                <w:sz w:val="18"/>
              </w:rPr>
              <w:t>r</w:t>
            </w:r>
            <w:r>
              <w:rPr>
                <w:rFonts w:ascii="Times New Roman" w:eastAsia="Times New Roman"/>
                <w:sz w:val="18"/>
                <w:vertAlign w:val="subscript"/>
              </w:rPr>
              <w:t>A</w:t>
            </w:r>
            <w:r>
              <w:rPr>
                <w:sz w:val="18"/>
                <w:vertAlign w:val="baseline"/>
              </w:rPr>
              <w:t>、</w:t>
            </w:r>
            <w:r>
              <w:rPr>
                <w:rFonts w:ascii="Times New Roman" w:eastAsia="Times New Roman"/>
                <w:sz w:val="18"/>
                <w:vertAlign w:val="baseline"/>
              </w:rPr>
              <w:t>r</w:t>
            </w:r>
            <w:r>
              <w:rPr>
                <w:rFonts w:ascii="Times New Roman" w:eastAsia="Times New Roman"/>
                <w:sz w:val="18"/>
                <w:vertAlign w:val="subscript"/>
              </w:rPr>
              <w:t>B</w:t>
            </w:r>
            <w:r>
              <w:rPr>
                <w:sz w:val="18"/>
                <w:vertAlign w:val="baseline"/>
              </w:rPr>
              <w:t>、</w:t>
            </w:r>
            <w:r>
              <w:rPr>
                <w:rFonts w:ascii="Times New Roman" w:eastAsia="Times New Roman"/>
                <w:spacing w:val="-5"/>
                <w:sz w:val="18"/>
                <w:vertAlign w:val="baseline"/>
              </w:rPr>
              <w:t>r</w:t>
            </w:r>
            <w:r>
              <w:rPr>
                <w:rFonts w:ascii="Times New Roman" w:eastAsia="Times New Roman"/>
                <w:spacing w:val="-5"/>
                <w:sz w:val="18"/>
                <w:vertAlign w:val="subscript"/>
              </w:rPr>
              <w:t>i</w:t>
            </w:r>
          </w:p>
        </w:tc>
        <w:tc>
          <w:tcPr>
            <w:tcW w:w="4743" w:type="dxa"/>
            <w:tcBorders>
              <w:left w:val="dashed" w:sz="4" w:space="0" w:color="000000"/>
              <w:right w:val="dashed" w:sz="4" w:space="0" w:color="000000"/>
            </w:tcBorders>
          </w:tcPr>
          <w:p>
            <w:pPr>
              <w:pStyle w:val="TableParagraph"/>
              <w:spacing w:before="60"/>
              <w:ind w:left="103"/>
              <w:rPr>
                <w:sz w:val="18"/>
              </w:rPr>
            </w:pPr>
            <w:r>
              <w:rPr>
                <w:sz w:val="18"/>
              </w:rPr>
              <w:t>湖（库）</w:t>
            </w:r>
            <w:r>
              <w:rPr>
                <w:spacing w:val="-23"/>
                <w:sz w:val="18"/>
              </w:rPr>
              <w:t xml:space="preserve">中 </w:t>
            </w:r>
            <w:r>
              <w:rPr>
                <w:rFonts w:ascii="Times New Roman" w:eastAsia="Times New Roman"/>
                <w:sz w:val="18"/>
              </w:rPr>
              <w:t>A</w:t>
            </w:r>
            <w:r>
              <w:rPr>
                <w:sz w:val="18"/>
              </w:rPr>
              <w:t>、</w:t>
            </w:r>
            <w:r>
              <w:rPr>
                <w:rFonts w:ascii="Times New Roman" w:eastAsia="Times New Roman"/>
                <w:sz w:val="18"/>
              </w:rPr>
              <w:t>B</w:t>
            </w:r>
            <w:r>
              <w:rPr>
                <w:sz w:val="18"/>
              </w:rPr>
              <w:t>、</w:t>
            </w:r>
            <w:r>
              <w:rPr>
                <w:rFonts w:ascii="Times New Roman" w:eastAsia="Times New Roman"/>
                <w:sz w:val="18"/>
              </w:rPr>
              <w:t>I</w:t>
            </w:r>
            <w:r>
              <w:rPr>
                <w:rFonts w:ascii="Times New Roman" w:eastAsia="Times New Roman"/>
                <w:spacing w:val="-1"/>
                <w:sz w:val="18"/>
              </w:rPr>
              <w:t xml:space="preserve"> </w:t>
            </w:r>
            <w:r>
              <w:rPr>
                <w:spacing w:val="-2"/>
                <w:sz w:val="18"/>
              </w:rPr>
              <w:t>点到排放口的距离</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R</w:t>
            </w:r>
            <w:r>
              <w:rPr>
                <w:rFonts w:ascii="Times New Roman"/>
                <w:spacing w:val="-5"/>
                <w:sz w:val="18"/>
                <w:vertAlign w:val="subscript"/>
              </w:rPr>
              <w:t>e</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降雨侵蚀因子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74"/>
          <w:jc w:val="left"/>
        </w:trPr>
        <w:tc>
          <w:tcPr>
            <w:tcW w:w="829" w:type="dxa"/>
            <w:tcBorders>
              <w:left w:val="nil"/>
              <w:right w:val="dashed" w:sz="4" w:space="0" w:color="000000"/>
            </w:tcBorders>
          </w:tcPr>
          <w:p>
            <w:pPr>
              <w:pStyle w:val="TableParagraph"/>
              <w:spacing w:before="103"/>
              <w:ind w:right="272"/>
              <w:jc w:val="right"/>
              <w:rPr>
                <w:rFonts w:ascii="Times New Roman"/>
                <w:sz w:val="18"/>
              </w:rPr>
            </w:pPr>
            <w:r>
              <w:rPr>
                <w:rFonts w:ascii="Times New Roman"/>
                <w:spacing w:val="-5"/>
                <w:sz w:val="18"/>
              </w:rPr>
              <w:t>115</w:t>
            </w:r>
          </w:p>
        </w:tc>
        <w:tc>
          <w:tcPr>
            <w:tcW w:w="1377" w:type="dxa"/>
            <w:tcBorders>
              <w:left w:val="dashed" w:sz="4" w:space="0" w:color="000000"/>
              <w:right w:val="dashed" w:sz="4" w:space="0" w:color="000000"/>
            </w:tcBorders>
          </w:tcPr>
          <w:p>
            <w:pPr>
              <w:pStyle w:val="TableParagraph"/>
              <w:spacing w:before="56" w:line="132" w:lineRule="auto"/>
              <w:ind w:left="119" w:right="133"/>
              <w:jc w:val="center"/>
              <w:rPr>
                <w:rFonts w:ascii="Times New Roman"/>
                <w:sz w:val="16"/>
              </w:rPr>
            </w:pPr>
            <w:r>
              <w:rPr>
                <w:rFonts w:ascii="Times New Roman"/>
                <w:i/>
                <w:position w:val="-10"/>
                <w:sz w:val="24"/>
              </w:rPr>
              <w:t>R</w:t>
            </w:r>
            <w:r>
              <w:rPr>
                <w:rFonts w:ascii="Times New Roman"/>
                <w:i/>
                <w:spacing w:val="-40"/>
                <w:position w:val="-10"/>
                <w:sz w:val="24"/>
              </w:rPr>
              <w:t xml:space="preserve"> </w:t>
            </w:r>
            <w:r>
              <w:rPr>
                <w:rFonts w:ascii="Times New Roman"/>
                <w:spacing w:val="-10"/>
                <w:sz w:val="16"/>
              </w:rPr>
              <w:t>'</w:t>
            </w:r>
          </w:p>
          <w:p>
            <w:pPr>
              <w:pStyle w:val="TableParagraph"/>
              <w:spacing w:line="107" w:lineRule="exact"/>
              <w:ind w:left="152"/>
              <w:jc w:val="center"/>
              <w:rPr>
                <w:rFonts w:ascii="Times New Roman"/>
                <w:i/>
                <w:sz w:val="16"/>
              </w:rPr>
            </w:pPr>
            <w:r>
              <w:rPr>
                <w:rFonts w:ascii="Times New Roman"/>
                <w:i/>
                <w:sz w:val="16"/>
              </w:rPr>
              <w:t>e</w:t>
            </w:r>
          </w:p>
        </w:tc>
        <w:tc>
          <w:tcPr>
            <w:tcW w:w="4743" w:type="dxa"/>
            <w:tcBorders>
              <w:left w:val="dashed" w:sz="4" w:space="0" w:color="000000"/>
              <w:right w:val="dashed" w:sz="4" w:space="0" w:color="000000"/>
            </w:tcBorders>
          </w:tcPr>
          <w:p>
            <w:pPr>
              <w:pStyle w:val="TableParagraph"/>
              <w:spacing w:before="91"/>
              <w:ind w:left="103"/>
              <w:rPr>
                <w:sz w:val="18"/>
              </w:rPr>
            </w:pPr>
            <w:r>
              <w:rPr>
                <w:spacing w:val="-1"/>
                <w:sz w:val="18"/>
              </w:rPr>
              <w:t>一场雨的降雨侵蚀因子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r</w:t>
            </w:r>
            <w:r>
              <w:rPr>
                <w:rFonts w:ascii="Times New Roman"/>
                <w:spacing w:val="-5"/>
                <w:sz w:val="18"/>
                <w:vertAlign w:val="subscript"/>
              </w:rPr>
              <w:t>0</w:t>
            </w:r>
          </w:p>
        </w:tc>
        <w:tc>
          <w:tcPr>
            <w:tcW w:w="4743" w:type="dxa"/>
            <w:tcBorders>
              <w:left w:val="dashed" w:sz="4" w:space="0" w:color="000000"/>
              <w:right w:val="dashed" w:sz="4" w:space="0" w:color="000000"/>
            </w:tcBorders>
          </w:tcPr>
          <w:p>
            <w:pPr>
              <w:pStyle w:val="TableParagraph"/>
              <w:spacing w:before="60"/>
              <w:ind w:left="103"/>
              <w:rPr>
                <w:sz w:val="18"/>
              </w:rPr>
            </w:pPr>
            <w:r>
              <w:rPr>
                <w:sz w:val="18"/>
              </w:rPr>
              <w:t>某已知点到排放口的距离（极坐标系</w:t>
            </w:r>
            <w:r>
              <w:rPr>
                <w:spacing w:val="-10"/>
                <w:sz w:val="18"/>
              </w:rPr>
              <w:t>）</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117</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S</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综合评价指数或标准指数</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118</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S</w:t>
            </w:r>
            <w:r>
              <w:rPr>
                <w:rFonts w:ascii="Times New Roman"/>
                <w:spacing w:val="-5"/>
                <w:sz w:val="18"/>
                <w:vertAlign w:val="subscript"/>
              </w:rPr>
              <w:t>I</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坡度因子</w:t>
            </w:r>
          </w:p>
        </w:tc>
        <w:tc>
          <w:tcPr>
            <w:tcW w:w="1573" w:type="dxa"/>
            <w:tcBorders>
              <w:left w:val="dashed" w:sz="4" w:space="0" w:color="000000"/>
              <w:right w:val="nil"/>
            </w:tcBorders>
          </w:tcPr>
          <w:p>
            <w:pPr>
              <w:pStyle w:val="TableParagraph"/>
              <w:rPr>
                <w:rFonts w:ascii="Times New Roman"/>
                <w:sz w:val="16"/>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119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S</w:t>
            </w:r>
            <w:r>
              <w:rPr>
                <w:rFonts w:ascii="Times New Roman"/>
                <w:spacing w:val="-5"/>
                <w:sz w:val="18"/>
                <w:vertAlign w:val="subscript"/>
              </w:rPr>
              <w:t>p</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污染源强</w:t>
            </w:r>
          </w:p>
        </w:tc>
        <w:tc>
          <w:tcPr>
            <w:tcW w:w="1573" w:type="dxa"/>
            <w:tcBorders>
              <w:left w:val="dashed" w:sz="4" w:space="0" w:color="000000"/>
              <w:right w:val="nil"/>
            </w:tcBorders>
          </w:tcPr>
          <w:p>
            <w:pPr>
              <w:pStyle w:val="TableParagraph"/>
              <w:spacing w:before="60"/>
              <w:ind w:left="214" w:right="214"/>
              <w:jc w:val="center"/>
              <w:rPr>
                <w:sz w:val="18"/>
              </w:rPr>
            </w:pPr>
            <w:r>
              <w:rPr>
                <w:rFonts w:ascii="Times New Roman" w:eastAsia="Times New Roman" w:hAnsi="Times New Roman"/>
                <w:sz w:val="18"/>
              </w:rPr>
              <w:t>mg/L</w:t>
            </w:r>
            <w:r>
              <w:rPr>
                <w:sz w:val="18"/>
              </w:rPr>
              <w:t>（或</w:t>
            </w:r>
            <w:r>
              <w:rPr>
                <w:spacing w:val="-5"/>
                <w:sz w:val="18"/>
              </w:rPr>
              <w:t>℃）</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S</w:t>
            </w:r>
            <w:r>
              <w:rPr>
                <w:rFonts w:ascii="Times New Roman"/>
                <w:spacing w:val="-5"/>
                <w:sz w:val="18"/>
                <w:vertAlign w:val="subscript"/>
              </w:rPr>
              <w:t>b</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断面平均盐度</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121</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T</w:t>
            </w:r>
          </w:p>
        </w:tc>
        <w:tc>
          <w:tcPr>
            <w:tcW w:w="4743" w:type="dxa"/>
            <w:tcBorders>
              <w:left w:val="dashed" w:sz="4" w:space="0" w:color="000000"/>
              <w:right w:val="dashed" w:sz="4" w:space="0" w:color="000000"/>
            </w:tcBorders>
          </w:tcPr>
          <w:p>
            <w:pPr>
              <w:pStyle w:val="TableParagraph"/>
              <w:spacing w:before="60"/>
              <w:ind w:left="103"/>
              <w:rPr>
                <w:sz w:val="18"/>
              </w:rPr>
            </w:pPr>
            <w:r>
              <w:rPr>
                <w:spacing w:val="-5"/>
                <w:sz w:val="18"/>
              </w:rPr>
              <w:t>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122</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t</w:t>
            </w:r>
          </w:p>
        </w:tc>
        <w:tc>
          <w:tcPr>
            <w:tcW w:w="4743" w:type="dxa"/>
            <w:tcBorders>
              <w:left w:val="dashed" w:sz="4" w:space="0" w:color="000000"/>
              <w:right w:val="dashed" w:sz="4" w:space="0" w:color="000000"/>
            </w:tcBorders>
          </w:tcPr>
          <w:p>
            <w:pPr>
              <w:pStyle w:val="TableParagraph"/>
              <w:spacing w:before="60"/>
              <w:ind w:left="103"/>
              <w:rPr>
                <w:sz w:val="18"/>
              </w:rPr>
            </w:pPr>
            <w:r>
              <w:rPr>
                <w:spacing w:val="-5"/>
                <w:sz w:val="18"/>
              </w:rPr>
              <w:t>时间</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123</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d</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露点温度</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e</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平衡水温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125</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h</w:t>
            </w:r>
          </w:p>
        </w:tc>
        <w:tc>
          <w:tcPr>
            <w:tcW w:w="4743" w:type="dxa"/>
            <w:tcBorders>
              <w:left w:val="dashed" w:sz="4" w:space="0" w:color="000000"/>
              <w:right w:val="dashed" w:sz="4" w:space="0" w:color="000000"/>
            </w:tcBorders>
          </w:tcPr>
          <w:p>
            <w:pPr>
              <w:pStyle w:val="TableParagraph"/>
              <w:spacing w:before="60"/>
              <w:ind w:left="103"/>
              <w:rPr>
                <w:sz w:val="18"/>
              </w:rPr>
            </w:pPr>
            <w:r>
              <w:rPr>
                <w:sz w:val="18"/>
              </w:rPr>
              <w:t>河流上游水温或湖（库</w:t>
            </w:r>
            <w:r>
              <w:rPr>
                <w:spacing w:val="-90"/>
                <w:sz w:val="18"/>
              </w:rPr>
              <w:t>）</w:t>
            </w:r>
            <w:r>
              <w:rPr>
                <w:spacing w:val="-2"/>
                <w:sz w:val="18"/>
              </w:rPr>
              <w:t>、海现状水温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p</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废水水温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127</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s</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表面水温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128</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2"/>
                <w:position w:val="3"/>
                <w:sz w:val="18"/>
              </w:rPr>
              <w:t>T</w:t>
            </w:r>
            <w:r>
              <w:rPr>
                <w:rFonts w:ascii="Times New Roman"/>
                <w:spacing w:val="-2"/>
                <w:sz w:val="12"/>
              </w:rPr>
              <w:t>(x,y)</w:t>
            </w:r>
          </w:p>
        </w:tc>
        <w:tc>
          <w:tcPr>
            <w:tcW w:w="4743" w:type="dxa"/>
            <w:tcBorders>
              <w:left w:val="dashed" w:sz="4" w:space="0" w:color="000000"/>
              <w:right w:val="dashed" w:sz="4" w:space="0" w:color="000000"/>
            </w:tcBorders>
          </w:tcPr>
          <w:p>
            <w:pPr>
              <w:pStyle w:val="TableParagraph"/>
              <w:spacing w:before="60"/>
              <w:ind w:left="103"/>
              <w:rPr>
                <w:sz w:val="18"/>
              </w:rPr>
            </w:pPr>
            <w:r>
              <w:rPr>
                <w:sz w:val="18"/>
              </w:rPr>
              <w:t>（</w:t>
            </w:r>
            <w:r>
              <w:rPr>
                <w:rFonts w:ascii="Times New Roman" w:eastAsia="Times New Roman"/>
                <w:sz w:val="18"/>
              </w:rPr>
              <w:t>x,y</w:t>
            </w:r>
            <w:r>
              <w:rPr>
                <w:sz w:val="18"/>
              </w:rPr>
              <w:t>）</w:t>
            </w:r>
            <w:r>
              <w:rPr>
                <w:spacing w:val="-4"/>
                <w:sz w:val="18"/>
              </w:rPr>
              <w:t>点水温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129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0</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计算初始断面水温</w:t>
            </w:r>
          </w:p>
        </w:tc>
        <w:tc>
          <w:tcPr>
            <w:tcW w:w="1573" w:type="dxa"/>
            <w:tcBorders>
              <w:left w:val="dashed" w:sz="4" w:space="0" w:color="000000"/>
              <w:right w:val="nil"/>
            </w:tcBorders>
          </w:tcPr>
          <w:p>
            <w:pPr>
              <w:pStyle w:val="TableParagraph"/>
              <w:spacing w:before="60"/>
              <w:jc w:val="center"/>
              <w:rPr>
                <w:sz w:val="18"/>
              </w:rPr>
            </w:pPr>
            <w:r>
              <w:rPr>
                <w:sz w:val="18"/>
              </w:rPr>
              <w:t>℃</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130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1</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成层期天数</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d</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131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t</w:t>
            </w:r>
            <w:r>
              <w:rPr>
                <w:rFonts w:ascii="Times New Roman"/>
                <w:spacing w:val="-5"/>
                <w:sz w:val="18"/>
                <w:vertAlign w:val="subscript"/>
              </w:rPr>
              <w:t>2</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自成层期到非成层期结束的天数</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d</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132</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u</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x </w:t>
            </w:r>
            <w:r>
              <w:rPr>
                <w:sz w:val="18"/>
              </w:rPr>
              <w:t>方向流速（表示河流中断面平均流速</w:t>
            </w:r>
            <w:r>
              <w:rPr>
                <w:spacing w:val="-10"/>
                <w:sz w:val="18"/>
              </w:rPr>
              <w:t>）</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m/s</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right="272"/>
              <w:jc w:val="right"/>
              <w:rPr>
                <w:rFonts w:ascii="Times New Roman"/>
                <w:sz w:val="18"/>
              </w:rPr>
            </w:pPr>
            <w:r>
              <w:rPr>
                <w:rFonts w:ascii="Times New Roman"/>
                <w:spacing w:val="-5"/>
                <w:sz w:val="18"/>
              </w:rPr>
              <w:t>133</w:t>
            </w:r>
          </w:p>
        </w:tc>
        <w:tc>
          <w:tcPr>
            <w:tcW w:w="1377" w:type="dxa"/>
            <w:tcBorders>
              <w:left w:val="dashed" w:sz="4" w:space="0" w:color="000000"/>
              <w:right w:val="dashed" w:sz="4" w:space="0" w:color="000000"/>
            </w:tcBorders>
          </w:tcPr>
          <w:p>
            <w:pPr>
              <w:pStyle w:val="TableParagraph"/>
              <w:spacing w:before="69" w:line="223" w:lineRule="exact"/>
              <w:ind w:left="133" w:right="133"/>
              <w:jc w:val="center"/>
              <w:rPr>
                <w:rFonts w:ascii="Times New Roman"/>
                <w:sz w:val="12"/>
              </w:rPr>
            </w:pPr>
            <w:r>
              <w:rPr>
                <w:rFonts w:ascii="Times New Roman"/>
                <w:spacing w:val="-4"/>
                <w:position w:val="3"/>
                <w:sz w:val="18"/>
              </w:rPr>
              <w:t>u</w:t>
            </w:r>
            <w:r>
              <w:rPr>
                <w:rFonts w:ascii="Times New Roman"/>
                <w:spacing w:val="-4"/>
                <w:sz w:val="12"/>
              </w:rPr>
              <w:t>max</w:t>
            </w:r>
          </w:p>
        </w:tc>
        <w:tc>
          <w:tcPr>
            <w:tcW w:w="4743" w:type="dxa"/>
            <w:tcBorders>
              <w:left w:val="dashed" w:sz="4" w:space="0" w:color="000000"/>
              <w:right w:val="dashed" w:sz="4" w:space="0" w:color="000000"/>
            </w:tcBorders>
          </w:tcPr>
          <w:p>
            <w:pPr>
              <w:pStyle w:val="TableParagraph"/>
              <w:spacing w:before="60"/>
              <w:ind w:left="103"/>
              <w:rPr>
                <w:sz w:val="18"/>
              </w:rPr>
            </w:pPr>
            <w:r>
              <w:rPr>
                <w:sz w:val="18"/>
              </w:rPr>
              <w:t>最大断面平均流速（有潮汐时</w:t>
            </w:r>
            <w:r>
              <w:rPr>
                <w:spacing w:val="-10"/>
                <w:sz w:val="18"/>
              </w:rPr>
              <w:t>）</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m/s</w:t>
            </w:r>
          </w:p>
        </w:tc>
      </w:tr>
    </w:tbl>
    <w:p>
      <w:pPr>
        <w:spacing w:after="0"/>
        <w:jc w:val="center"/>
        <w:rPr>
          <w:rFonts w:ascii="Times New Roman"/>
          <w:sz w:val="18"/>
        </w:rPr>
        <w:sectPr>
          <w:footerReference w:type="even" r:id="rId14"/>
          <w:footerReference w:type="default" r:id="rId15"/>
          <w:type w:val="continuous"/>
          <w:pgSz w:w="11910" w:h="16840"/>
          <w:pgMar w:top="1400" w:right="1500" w:bottom="1381" w:left="1580" w:header="0" w:footer="990"/>
          <w:pgNumType w:start="605"/>
          <w:cols w:space="708"/>
        </w:sectPr>
      </w:pPr>
    </w:p>
    <w:tbl>
      <w:tblPr>
        <w:tblStyle w:val="TableNormal3"/>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9"/>
        <w:gridCol w:w="1377"/>
        <w:gridCol w:w="4743"/>
        <w:gridCol w:w="1573"/>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60"/>
              <w:ind w:left="229"/>
              <w:rPr>
                <w:sz w:val="18"/>
              </w:rPr>
            </w:pPr>
            <w:r>
              <w:rPr>
                <w:spacing w:val="-5"/>
                <w:sz w:val="18"/>
              </w:rPr>
              <w:t>序号</w:t>
            </w:r>
          </w:p>
        </w:tc>
        <w:tc>
          <w:tcPr>
            <w:tcW w:w="1377" w:type="dxa"/>
            <w:tcBorders>
              <w:left w:val="dashed" w:sz="4" w:space="0" w:color="000000"/>
              <w:right w:val="dashed" w:sz="4" w:space="0" w:color="000000"/>
            </w:tcBorders>
          </w:tcPr>
          <w:p>
            <w:pPr>
              <w:pStyle w:val="TableParagraph"/>
              <w:spacing w:before="60"/>
              <w:ind w:left="133" w:right="133"/>
              <w:jc w:val="center"/>
              <w:rPr>
                <w:sz w:val="18"/>
              </w:rPr>
            </w:pPr>
            <w:r>
              <w:rPr>
                <w:sz w:val="18"/>
              </w:rPr>
              <w:t>符</w:t>
            </w:r>
            <w:r>
              <w:rPr>
                <w:spacing w:val="45"/>
                <w:w w:val="150"/>
                <w:sz w:val="18"/>
              </w:rPr>
              <w:t xml:space="preserve"> </w:t>
            </w:r>
            <w:r>
              <w:rPr>
                <w:spacing w:val="-10"/>
                <w:sz w:val="18"/>
              </w:rPr>
              <w:t>号</w:t>
            </w:r>
          </w:p>
        </w:tc>
        <w:tc>
          <w:tcPr>
            <w:tcW w:w="4743" w:type="dxa"/>
            <w:tcBorders>
              <w:left w:val="dashed" w:sz="4" w:space="0" w:color="000000"/>
              <w:right w:val="dashed" w:sz="4" w:space="0" w:color="000000"/>
            </w:tcBorders>
          </w:tcPr>
          <w:p>
            <w:pPr>
              <w:pStyle w:val="TableParagraph"/>
              <w:tabs>
                <w:tab w:val="left" w:pos="1169"/>
              </w:tabs>
              <w:spacing w:before="60"/>
              <w:jc w:val="center"/>
              <w:rPr>
                <w:sz w:val="18"/>
              </w:rPr>
            </w:pPr>
            <w:r>
              <w:rPr>
                <w:spacing w:val="-10"/>
                <w:sz w:val="18"/>
              </w:rPr>
              <w:t>含</w:t>
            </w:r>
            <w:r>
              <w:rPr>
                <w:sz w:val="18"/>
              </w:rPr>
              <w:tab/>
            </w:r>
            <w:r>
              <w:rPr>
                <w:spacing w:val="-10"/>
                <w:sz w:val="18"/>
              </w:rPr>
              <w:t>义</w:t>
            </w:r>
          </w:p>
        </w:tc>
        <w:tc>
          <w:tcPr>
            <w:tcW w:w="1573" w:type="dxa"/>
            <w:tcBorders>
              <w:left w:val="dashed" w:sz="4" w:space="0" w:color="000000"/>
              <w:right w:val="nil"/>
            </w:tcBorders>
          </w:tcPr>
          <w:p>
            <w:pPr>
              <w:pStyle w:val="TableParagraph"/>
              <w:spacing w:before="60"/>
              <w:ind w:left="214" w:right="214"/>
              <w:jc w:val="center"/>
              <w:rPr>
                <w:sz w:val="18"/>
              </w:rPr>
            </w:pPr>
            <w:r>
              <w:rPr>
                <w:sz w:val="18"/>
              </w:rPr>
              <w:t>单</w:t>
            </w:r>
            <w:r>
              <w:rPr>
                <w:spacing w:val="45"/>
                <w:w w:val="150"/>
                <w:sz w:val="18"/>
              </w:rPr>
              <w:t xml:space="preserve"> </w:t>
            </w:r>
            <w:r>
              <w:rPr>
                <w:spacing w:val="-10"/>
                <w:sz w:val="18"/>
              </w:rPr>
              <w:t>位</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134</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V</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湖水体积</w:t>
            </w:r>
          </w:p>
        </w:tc>
        <w:tc>
          <w:tcPr>
            <w:tcW w:w="1573" w:type="dxa"/>
            <w:tcBorders>
              <w:left w:val="dashed" w:sz="4" w:space="0" w:color="000000"/>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3</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135</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ν</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y </w:t>
            </w:r>
            <w:r>
              <w:rPr>
                <w:spacing w:val="-2"/>
                <w:sz w:val="18"/>
              </w:rPr>
              <w:t>方向的流速</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136</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V</w:t>
            </w:r>
            <w:r>
              <w:rPr>
                <w:rFonts w:ascii="Times New Roman"/>
                <w:spacing w:val="-5"/>
                <w:sz w:val="18"/>
                <w:vertAlign w:val="subscript"/>
              </w:rPr>
              <w:t>E</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分层湖上层体积</w:t>
            </w:r>
          </w:p>
        </w:tc>
        <w:tc>
          <w:tcPr>
            <w:tcW w:w="1573" w:type="dxa"/>
            <w:tcBorders>
              <w:left w:val="dashed" w:sz="4" w:space="0" w:color="000000"/>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3</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137</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V</w:t>
            </w:r>
            <w:r>
              <w:rPr>
                <w:rFonts w:ascii="Times New Roman"/>
                <w:spacing w:val="-5"/>
                <w:sz w:val="18"/>
                <w:vertAlign w:val="subscript"/>
              </w:rPr>
              <w:t>H</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分层湖下层体积</w:t>
            </w:r>
          </w:p>
        </w:tc>
        <w:tc>
          <w:tcPr>
            <w:tcW w:w="1573" w:type="dxa"/>
            <w:tcBorders>
              <w:left w:val="dashed" w:sz="4" w:space="0" w:color="000000"/>
              <w:right w:val="nil"/>
            </w:tcBorders>
          </w:tcPr>
          <w:p>
            <w:pPr>
              <w:pStyle w:val="TableParagraph"/>
              <w:spacing w:before="67"/>
              <w:ind w:left="214" w:right="214"/>
              <w:jc w:val="center"/>
              <w:rPr>
                <w:rFonts w:ascii="Times New Roman"/>
                <w:sz w:val="12"/>
              </w:rPr>
            </w:pPr>
            <w:r>
              <w:rPr>
                <w:rFonts w:ascii="Times New Roman"/>
                <w:spacing w:val="-5"/>
                <w:position w:val="-4"/>
                <w:sz w:val="18"/>
              </w:rPr>
              <w:t>m</w:t>
            </w:r>
            <w:r>
              <w:rPr>
                <w:rFonts w:ascii="Times New Roman"/>
                <w:spacing w:val="-5"/>
                <w:sz w:val="12"/>
              </w:rPr>
              <w:t>3</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138</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2"/>
                <w:sz w:val="18"/>
              </w:rPr>
              <w:t>X,Y,Z</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迪卡尔坐标系</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139</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2"/>
                <w:sz w:val="18"/>
              </w:rPr>
              <w:t>x,y,z</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迪卡尔坐标系的坐标</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140</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x</w:t>
            </w:r>
            <w:r>
              <w:rPr>
                <w:rFonts w:ascii="Times New Roman"/>
                <w:spacing w:val="-5"/>
                <w:sz w:val="18"/>
                <w:vertAlign w:val="subscript"/>
              </w:rPr>
              <w:t>c</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最大亏氧点到计算初始点的距离</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141</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x</w:t>
            </w:r>
            <w:r>
              <w:rPr>
                <w:rFonts w:ascii="Times New Roman"/>
                <w:spacing w:val="-5"/>
                <w:sz w:val="18"/>
                <w:vertAlign w:val="subscript"/>
              </w:rPr>
              <w:t>0</w:t>
            </w:r>
          </w:p>
        </w:tc>
        <w:tc>
          <w:tcPr>
            <w:tcW w:w="4743" w:type="dxa"/>
            <w:tcBorders>
              <w:left w:val="dashed" w:sz="4" w:space="0" w:color="000000"/>
              <w:right w:val="dashed" w:sz="4" w:space="0" w:color="000000"/>
            </w:tcBorders>
          </w:tcPr>
          <w:p>
            <w:pPr>
              <w:pStyle w:val="TableParagraph"/>
              <w:spacing w:before="60"/>
              <w:ind w:left="103"/>
              <w:rPr>
                <w:sz w:val="18"/>
              </w:rPr>
            </w:pPr>
            <w:r>
              <w:rPr>
                <w:spacing w:val="-1"/>
                <w:sz w:val="18"/>
              </w:rPr>
              <w:t>某已知点到排放口的距离</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142</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x</w:t>
            </w:r>
            <w:r>
              <w:rPr>
                <w:rFonts w:ascii="Times New Roman"/>
                <w:spacing w:val="-5"/>
                <w:sz w:val="18"/>
                <w:vertAlign w:val="subscript"/>
              </w:rPr>
              <w:t>i</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i </w:t>
            </w:r>
            <w:r>
              <w:rPr>
                <w:spacing w:val="-2"/>
                <w:sz w:val="18"/>
              </w:rPr>
              <w:t>点到排放口的距离</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143</w:t>
            </w:r>
          </w:p>
        </w:tc>
        <w:tc>
          <w:tcPr>
            <w:tcW w:w="1377" w:type="dxa"/>
            <w:tcBorders>
              <w:left w:val="dashed" w:sz="4" w:space="0" w:color="000000"/>
              <w:right w:val="dashed" w:sz="4" w:space="0" w:color="000000"/>
            </w:tcBorders>
          </w:tcPr>
          <w:p>
            <w:pPr>
              <w:pStyle w:val="TableParagraph"/>
              <w:spacing w:before="72"/>
              <w:jc w:val="center"/>
              <w:rPr>
                <w:rFonts w:ascii="Times New Roman"/>
                <w:sz w:val="18"/>
              </w:rPr>
            </w:pPr>
            <w:r>
              <w:rPr>
                <w:rFonts w:ascii="Times New Roman"/>
                <w:sz w:val="18"/>
              </w:rPr>
              <w:t>W</w:t>
            </w:r>
          </w:p>
        </w:tc>
        <w:tc>
          <w:tcPr>
            <w:tcW w:w="4743" w:type="dxa"/>
            <w:tcBorders>
              <w:left w:val="dashed" w:sz="4" w:space="0" w:color="000000"/>
              <w:right w:val="dashed" w:sz="4" w:space="0" w:color="000000"/>
            </w:tcBorders>
          </w:tcPr>
          <w:p>
            <w:pPr>
              <w:pStyle w:val="TableParagraph"/>
              <w:spacing w:before="60"/>
              <w:ind w:left="103"/>
              <w:rPr>
                <w:sz w:val="18"/>
              </w:rPr>
            </w:pPr>
            <w:r>
              <w:rPr>
                <w:spacing w:val="-5"/>
                <w:sz w:val="18"/>
              </w:rPr>
              <w:t>权值</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144</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W</w:t>
            </w:r>
            <w:r>
              <w:rPr>
                <w:rFonts w:ascii="Times New Roman"/>
                <w:spacing w:val="-5"/>
                <w:sz w:val="18"/>
                <w:vertAlign w:val="subscript"/>
              </w:rPr>
              <w:t>z</w:t>
            </w:r>
          </w:p>
        </w:tc>
        <w:tc>
          <w:tcPr>
            <w:tcW w:w="4743" w:type="dxa"/>
            <w:tcBorders>
              <w:left w:val="dashed" w:sz="4" w:space="0" w:color="000000"/>
              <w:right w:val="dashed" w:sz="4" w:space="0" w:color="000000"/>
            </w:tcBorders>
          </w:tcPr>
          <w:p>
            <w:pPr>
              <w:pStyle w:val="TableParagraph"/>
              <w:spacing w:before="60"/>
              <w:ind w:left="103"/>
              <w:rPr>
                <w:sz w:val="18"/>
              </w:rPr>
            </w:pPr>
            <w:r>
              <w:rPr>
                <w:spacing w:val="-12"/>
                <w:sz w:val="18"/>
              </w:rPr>
              <w:t xml:space="preserve">水面上 </w:t>
            </w:r>
            <w:r>
              <w:rPr>
                <w:rFonts w:ascii="Times New Roman" w:eastAsia="Times New Roman"/>
                <w:sz w:val="18"/>
              </w:rPr>
              <w:t xml:space="preserve">10m </w:t>
            </w:r>
            <w:r>
              <w:rPr>
                <w:spacing w:val="-2"/>
                <w:sz w:val="18"/>
              </w:rPr>
              <w:t>高处的风速</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145</w:t>
            </w:r>
          </w:p>
        </w:tc>
        <w:tc>
          <w:tcPr>
            <w:tcW w:w="1377" w:type="dxa"/>
            <w:tcBorders>
              <w:left w:val="dashed" w:sz="4" w:space="0" w:color="000000"/>
              <w:right w:val="dashed" w:sz="4" w:space="0" w:color="000000"/>
            </w:tcBorders>
          </w:tcPr>
          <w:p>
            <w:pPr>
              <w:pStyle w:val="TableParagraph"/>
              <w:spacing w:before="72"/>
              <w:ind w:left="133" w:right="133"/>
              <w:jc w:val="center"/>
              <w:rPr>
                <w:rFonts w:ascii="Times New Roman"/>
                <w:sz w:val="18"/>
              </w:rPr>
            </w:pPr>
            <w:r>
              <w:rPr>
                <w:rFonts w:ascii="Times New Roman"/>
                <w:spacing w:val="-5"/>
                <w:sz w:val="18"/>
              </w:rPr>
              <w:t>W</w:t>
            </w:r>
            <w:r>
              <w:rPr>
                <w:rFonts w:ascii="Times New Roman"/>
                <w:spacing w:val="-5"/>
                <w:sz w:val="18"/>
                <w:vertAlign w:val="subscript"/>
              </w:rPr>
              <w:t>0</w:t>
            </w:r>
          </w:p>
        </w:tc>
        <w:tc>
          <w:tcPr>
            <w:tcW w:w="4743" w:type="dxa"/>
            <w:tcBorders>
              <w:left w:val="dashed" w:sz="4" w:space="0" w:color="000000"/>
              <w:right w:val="dashed" w:sz="4" w:space="0" w:color="000000"/>
            </w:tcBorders>
          </w:tcPr>
          <w:p>
            <w:pPr>
              <w:pStyle w:val="TableParagraph"/>
              <w:spacing w:before="60"/>
              <w:ind w:left="103"/>
              <w:rPr>
                <w:sz w:val="18"/>
              </w:rPr>
            </w:pPr>
            <w:r>
              <w:rPr>
                <w:sz w:val="18"/>
              </w:rPr>
              <w:t>湖（库）</w:t>
            </w:r>
            <w:r>
              <w:rPr>
                <w:spacing w:val="-1"/>
                <w:sz w:val="18"/>
              </w:rPr>
              <w:t>中现有污染物的排入量</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g/s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146</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α</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147</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β</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148</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γ</w:t>
            </w:r>
          </w:p>
        </w:tc>
        <w:tc>
          <w:tcPr>
            <w:tcW w:w="4743" w:type="dxa"/>
            <w:tcBorders>
              <w:left w:val="dashed" w:sz="4" w:space="0" w:color="000000"/>
              <w:right w:val="dashed" w:sz="4" w:space="0" w:color="000000"/>
            </w:tcBorders>
          </w:tcPr>
          <w:p>
            <w:pPr>
              <w:pStyle w:val="TableParagraph"/>
              <w:spacing w:before="60"/>
              <w:ind w:left="103"/>
              <w:rPr>
                <w:sz w:val="18"/>
              </w:rPr>
            </w:pPr>
            <w:r>
              <w:rPr>
                <w:spacing w:val="-4"/>
                <w:sz w:val="18"/>
              </w:rPr>
              <w:t>稀释比</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1"/>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149</w:t>
            </w:r>
          </w:p>
        </w:tc>
        <w:tc>
          <w:tcPr>
            <w:tcW w:w="1377" w:type="dxa"/>
            <w:tcBorders>
              <w:left w:val="dashed" w:sz="4" w:space="0" w:color="000000"/>
              <w:right w:val="dashed" w:sz="4" w:space="0" w:color="000000"/>
            </w:tcBorders>
          </w:tcPr>
          <w:p>
            <w:pPr>
              <w:pStyle w:val="TableParagraph"/>
              <w:spacing w:before="60"/>
              <w:ind w:left="133" w:right="133"/>
              <w:jc w:val="center"/>
              <w:rPr>
                <w:rFonts w:ascii="Times New Roman" w:hAnsi="Times New Roman"/>
                <w:sz w:val="18"/>
              </w:rPr>
            </w:pPr>
            <w:r>
              <w:rPr>
                <w:spacing w:val="-5"/>
                <w:sz w:val="18"/>
              </w:rPr>
              <w:t>Δ</w:t>
            </w:r>
            <w:r>
              <w:rPr>
                <w:rFonts w:ascii="Times New Roman" w:hAnsi="Times New Roman"/>
                <w:spacing w:val="-5"/>
                <w:sz w:val="18"/>
              </w:rPr>
              <w:t>t</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时间步长</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150</w:t>
            </w:r>
          </w:p>
        </w:tc>
        <w:tc>
          <w:tcPr>
            <w:tcW w:w="1377" w:type="dxa"/>
            <w:tcBorders>
              <w:left w:val="dashed" w:sz="4" w:space="0" w:color="000000"/>
              <w:right w:val="dashed" w:sz="4" w:space="0" w:color="000000"/>
            </w:tcBorders>
          </w:tcPr>
          <w:p>
            <w:pPr>
              <w:pStyle w:val="TableParagraph"/>
              <w:spacing w:before="60"/>
              <w:ind w:left="133" w:right="133"/>
              <w:jc w:val="center"/>
              <w:rPr>
                <w:rFonts w:ascii="Times New Roman" w:hAnsi="Times New Roman"/>
                <w:sz w:val="18"/>
              </w:rPr>
            </w:pPr>
            <w:r>
              <w:rPr>
                <w:spacing w:val="-5"/>
                <w:sz w:val="18"/>
              </w:rPr>
              <w:t>Δ</w:t>
            </w:r>
            <w:r>
              <w:rPr>
                <w:rFonts w:ascii="Times New Roman" w:hAnsi="Times New Roman"/>
                <w:spacing w:val="-5"/>
                <w:sz w:val="18"/>
              </w:rPr>
              <w:t>x</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x </w:t>
            </w:r>
            <w:r>
              <w:rPr>
                <w:spacing w:val="-1"/>
                <w:sz w:val="18"/>
              </w:rPr>
              <w:t>方向的步长或相邻两断面距离</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151</w:t>
            </w:r>
          </w:p>
        </w:tc>
        <w:tc>
          <w:tcPr>
            <w:tcW w:w="1377" w:type="dxa"/>
            <w:tcBorders>
              <w:left w:val="dashed" w:sz="4" w:space="0" w:color="000000"/>
              <w:right w:val="dashed" w:sz="4" w:space="0" w:color="000000"/>
            </w:tcBorders>
          </w:tcPr>
          <w:p>
            <w:pPr>
              <w:pStyle w:val="TableParagraph"/>
              <w:spacing w:before="60"/>
              <w:ind w:left="133" w:right="133"/>
              <w:jc w:val="center"/>
              <w:rPr>
                <w:rFonts w:ascii="Times New Roman" w:hAnsi="Times New Roman"/>
                <w:sz w:val="18"/>
              </w:rPr>
            </w:pPr>
            <w:r>
              <w:rPr>
                <w:spacing w:val="-5"/>
                <w:sz w:val="18"/>
              </w:rPr>
              <w:t>Δ</w:t>
            </w:r>
            <w:r>
              <w:rPr>
                <w:rFonts w:ascii="Times New Roman" w:hAnsi="Times New Roman"/>
                <w:spacing w:val="-5"/>
                <w:sz w:val="18"/>
              </w:rPr>
              <w:t>y</w:t>
            </w:r>
          </w:p>
        </w:tc>
        <w:tc>
          <w:tcPr>
            <w:tcW w:w="4743" w:type="dxa"/>
            <w:tcBorders>
              <w:left w:val="dashed" w:sz="4" w:space="0" w:color="000000"/>
              <w:right w:val="dashed" w:sz="4" w:space="0" w:color="000000"/>
            </w:tcBorders>
          </w:tcPr>
          <w:p>
            <w:pPr>
              <w:pStyle w:val="TableParagraph"/>
              <w:spacing w:before="60"/>
              <w:ind w:left="103"/>
              <w:rPr>
                <w:sz w:val="18"/>
              </w:rPr>
            </w:pPr>
            <w:r>
              <w:rPr>
                <w:rFonts w:ascii="Times New Roman" w:eastAsia="Times New Roman"/>
                <w:sz w:val="18"/>
              </w:rPr>
              <w:t xml:space="preserve">y </w:t>
            </w:r>
            <w:r>
              <w:rPr>
                <w:spacing w:val="-2"/>
                <w:sz w:val="18"/>
              </w:rPr>
              <w:t>方向的步长</w:t>
            </w:r>
          </w:p>
        </w:tc>
        <w:tc>
          <w:tcPr>
            <w:tcW w:w="1573" w:type="dxa"/>
            <w:tcBorders>
              <w:left w:val="dashed" w:sz="4" w:space="0" w:color="000000"/>
              <w:right w:val="nil"/>
            </w:tcBorders>
          </w:tcPr>
          <w:p>
            <w:pPr>
              <w:pStyle w:val="TableParagraph"/>
              <w:spacing w:before="72"/>
              <w:jc w:val="center"/>
              <w:rPr>
                <w:rFonts w:ascii="Times New Roman"/>
                <w:sz w:val="18"/>
              </w:rPr>
            </w:pPr>
            <w:r>
              <w:rPr>
                <w:rFonts w:ascii="Times New Roman"/>
                <w:sz w:val="18"/>
              </w:rPr>
              <w:t>m</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152</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ε</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排放口系数</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153</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ζ</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154</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η</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155</w:t>
            </w:r>
          </w:p>
        </w:tc>
        <w:tc>
          <w:tcPr>
            <w:tcW w:w="1377" w:type="dxa"/>
            <w:tcBorders>
              <w:left w:val="dashed" w:sz="4" w:space="0" w:color="000000"/>
              <w:right w:val="dashed" w:sz="4" w:space="0" w:color="000000"/>
            </w:tcBorders>
          </w:tcPr>
          <w:p>
            <w:pPr>
              <w:pStyle w:val="TableParagraph"/>
              <w:spacing w:before="60"/>
              <w:jc w:val="center"/>
              <w:rPr>
                <w:sz w:val="18"/>
              </w:rPr>
            </w:pPr>
            <w:r>
              <w:rPr>
                <w:w w:val="200"/>
                <w:sz w:val="18"/>
              </w:rPr>
              <w:t>*</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自净能力允许利用率</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156</w:t>
            </w:r>
          </w:p>
        </w:tc>
        <w:tc>
          <w:tcPr>
            <w:tcW w:w="1377" w:type="dxa"/>
            <w:tcBorders>
              <w:left w:val="dashed" w:sz="4" w:space="0" w:color="000000"/>
              <w:right w:val="dashed" w:sz="4" w:space="0" w:color="000000"/>
            </w:tcBorders>
          </w:tcPr>
          <w:p>
            <w:pPr>
              <w:pStyle w:val="TableParagraph"/>
              <w:spacing w:before="60"/>
              <w:jc w:val="center"/>
              <w:rPr>
                <w:sz w:val="18"/>
              </w:rPr>
            </w:pPr>
            <w:r>
              <w:rPr>
                <w:smallCaps/>
                <w:w w:val="128"/>
                <w:sz w:val="18"/>
              </w:rPr>
              <w:t>υ</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动力粘滞性系数</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4"/>
                <w:sz w:val="18"/>
              </w:rPr>
              <w:t>m</w:t>
            </w:r>
            <w:r>
              <w:rPr>
                <w:rFonts w:ascii="Times New Roman"/>
                <w:spacing w:val="-4"/>
                <w:position w:val="5"/>
                <w:sz w:val="12"/>
              </w:rPr>
              <w:t>2</w:t>
            </w:r>
            <w:r>
              <w:rPr>
                <w:rFonts w:ascii="Times New Roman"/>
                <w:spacing w:val="-4"/>
                <w:sz w:val="18"/>
              </w:rPr>
              <w:t>/s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157</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ξ</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中间变量</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158</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π</w:t>
            </w:r>
          </w:p>
        </w:tc>
        <w:tc>
          <w:tcPr>
            <w:tcW w:w="4743" w:type="dxa"/>
            <w:tcBorders>
              <w:left w:val="dashed" w:sz="4" w:space="0" w:color="000000"/>
              <w:right w:val="dashed" w:sz="4" w:space="0" w:color="000000"/>
            </w:tcBorders>
          </w:tcPr>
          <w:p>
            <w:pPr>
              <w:pStyle w:val="TableParagraph"/>
              <w:spacing w:before="60"/>
              <w:ind w:left="103"/>
              <w:rPr>
                <w:sz w:val="18"/>
              </w:rPr>
            </w:pPr>
            <w:r>
              <w:rPr>
                <w:spacing w:val="-4"/>
                <w:sz w:val="18"/>
              </w:rPr>
              <w:t>圆周率</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159</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ρ</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水的密度</w:t>
            </w:r>
          </w:p>
        </w:tc>
        <w:tc>
          <w:tcPr>
            <w:tcW w:w="1573" w:type="dxa"/>
            <w:tcBorders>
              <w:left w:val="dashed" w:sz="4" w:space="0" w:color="000000"/>
              <w:right w:val="nil"/>
            </w:tcBorders>
          </w:tcPr>
          <w:p>
            <w:pPr>
              <w:pStyle w:val="TableParagraph"/>
              <w:spacing w:before="72"/>
              <w:ind w:left="214" w:right="214"/>
              <w:jc w:val="center"/>
              <w:rPr>
                <w:rFonts w:ascii="Times New Roman"/>
                <w:sz w:val="12"/>
              </w:rPr>
            </w:pPr>
            <w:r>
              <w:rPr>
                <w:rFonts w:ascii="Times New Roman"/>
                <w:spacing w:val="-2"/>
                <w:sz w:val="18"/>
              </w:rPr>
              <w:t>mg/m</w:t>
            </w:r>
            <w:r>
              <w:rPr>
                <w:rFonts w:ascii="Times New Roman"/>
                <w:spacing w:val="-2"/>
                <w:position w:val="5"/>
                <w:sz w:val="12"/>
              </w:rPr>
              <w:t>3</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160</w:t>
            </w:r>
          </w:p>
        </w:tc>
        <w:tc>
          <w:tcPr>
            <w:tcW w:w="1377" w:type="dxa"/>
            <w:tcBorders>
              <w:left w:val="dashed" w:sz="4" w:space="0" w:color="000000"/>
              <w:right w:val="dashed" w:sz="4" w:space="0" w:color="000000"/>
            </w:tcBorders>
          </w:tcPr>
          <w:p>
            <w:pPr>
              <w:pStyle w:val="TableParagraph"/>
              <w:spacing w:line="292" w:lineRule="exact"/>
              <w:ind w:left="25"/>
              <w:jc w:val="center"/>
              <w:rPr>
                <w:rFonts w:ascii="Verdana" w:hAnsi="Verdana"/>
                <w:i/>
                <w:sz w:val="25"/>
              </w:rPr>
            </w:pPr>
            <w:r>
              <w:rPr>
                <w:rFonts w:ascii="Verdana" w:hAnsi="Verdana"/>
                <w:i/>
                <w:w w:val="73"/>
                <w:sz w:val="25"/>
              </w:rPr>
              <w:t>φ</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北纬纬度</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161</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Φ</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混合角度</w:t>
            </w:r>
          </w:p>
        </w:tc>
        <w:tc>
          <w:tcPr>
            <w:tcW w:w="1573" w:type="dxa"/>
            <w:tcBorders>
              <w:left w:val="dashed" w:sz="4" w:space="0" w:color="000000"/>
              <w:right w:val="nil"/>
            </w:tcBorders>
          </w:tcPr>
          <w:p>
            <w:pPr>
              <w:pStyle w:val="TableParagraph"/>
              <w:spacing w:before="60"/>
              <w:ind w:left="214" w:right="214"/>
              <w:jc w:val="center"/>
              <w:rPr>
                <w:sz w:val="18"/>
              </w:rPr>
            </w:pPr>
            <w:r>
              <w:rPr>
                <w:spacing w:val="-5"/>
                <w:sz w:val="18"/>
              </w:rPr>
              <w:t>弧度</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162</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ψ</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径流系数</w:t>
            </w:r>
          </w:p>
        </w:tc>
        <w:tc>
          <w:tcPr>
            <w:tcW w:w="1573" w:type="dxa"/>
            <w:tcBorders>
              <w:left w:val="dashed" w:sz="4" w:space="0" w:color="000000"/>
              <w:right w:val="nil"/>
            </w:tcBorders>
          </w:tcPr>
          <w:p>
            <w:pPr>
              <w:pStyle w:val="TableParagraph"/>
              <w:rPr>
                <w:rFonts w:ascii="Times New Roman"/>
                <w:sz w:val="18"/>
              </w:rPr>
            </w:pP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163</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ω</w:t>
            </w:r>
          </w:p>
        </w:tc>
        <w:tc>
          <w:tcPr>
            <w:tcW w:w="4743" w:type="dxa"/>
            <w:tcBorders>
              <w:left w:val="dashed" w:sz="4" w:space="0" w:color="000000"/>
              <w:right w:val="dashed" w:sz="4" w:space="0" w:color="000000"/>
            </w:tcBorders>
          </w:tcPr>
          <w:p>
            <w:pPr>
              <w:pStyle w:val="TableParagraph"/>
              <w:spacing w:before="60"/>
              <w:ind w:left="103"/>
              <w:rPr>
                <w:sz w:val="18"/>
              </w:rPr>
            </w:pPr>
            <w:r>
              <w:rPr>
                <w:spacing w:val="-2"/>
                <w:sz w:val="18"/>
              </w:rPr>
              <w:t>地球自转角速度</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l/s</w:t>
            </w:r>
          </w:p>
        </w:tc>
      </w:tr>
      <w:tr>
        <w:tblPrEx>
          <w:tblW w:w="0" w:type="auto"/>
          <w:jc w:val="left"/>
          <w:tblInd w:w="119" w:type="dxa"/>
          <w:tblLayout w:type="fixed"/>
          <w:tblCellMar>
            <w:top w:w="0" w:type="dxa"/>
            <w:left w:w="0" w:type="dxa"/>
            <w:bottom w:w="0" w:type="dxa"/>
            <w:right w:w="0" w:type="dxa"/>
          </w:tblCellMar>
          <w:tblLook w:val="01E0"/>
        </w:tblPrEx>
        <w:trPr>
          <w:trHeight w:val="312"/>
          <w:jc w:val="left"/>
        </w:trPr>
        <w:tc>
          <w:tcPr>
            <w:tcW w:w="829" w:type="dxa"/>
            <w:tcBorders>
              <w:left w:val="nil"/>
              <w:right w:val="dashed" w:sz="4" w:space="0" w:color="000000"/>
            </w:tcBorders>
          </w:tcPr>
          <w:p>
            <w:pPr>
              <w:pStyle w:val="TableParagraph"/>
              <w:spacing w:before="72"/>
              <w:ind w:left="274"/>
              <w:rPr>
                <w:rFonts w:ascii="Times New Roman"/>
                <w:sz w:val="18"/>
              </w:rPr>
            </w:pPr>
            <w:r>
              <w:rPr>
                <w:rFonts w:ascii="Times New Roman"/>
                <w:spacing w:val="-5"/>
                <w:sz w:val="18"/>
              </w:rPr>
              <w:t>164</w:t>
            </w:r>
          </w:p>
        </w:tc>
        <w:tc>
          <w:tcPr>
            <w:tcW w:w="1377" w:type="dxa"/>
            <w:tcBorders>
              <w:left w:val="dashed" w:sz="4" w:space="0" w:color="000000"/>
              <w:right w:val="dashed" w:sz="4" w:space="0" w:color="000000"/>
            </w:tcBorders>
          </w:tcPr>
          <w:p>
            <w:pPr>
              <w:pStyle w:val="TableParagraph"/>
              <w:spacing w:before="60"/>
              <w:jc w:val="center"/>
              <w:rPr>
                <w:sz w:val="18"/>
              </w:rPr>
            </w:pPr>
            <w:r>
              <w:rPr>
                <w:sz w:val="18"/>
              </w:rPr>
              <w:t>τ</w:t>
            </w:r>
          </w:p>
        </w:tc>
        <w:tc>
          <w:tcPr>
            <w:tcW w:w="4743" w:type="dxa"/>
            <w:tcBorders>
              <w:left w:val="dashed" w:sz="4" w:space="0" w:color="000000"/>
              <w:right w:val="dashed" w:sz="4" w:space="0" w:color="000000"/>
            </w:tcBorders>
          </w:tcPr>
          <w:p>
            <w:pPr>
              <w:pStyle w:val="TableParagraph"/>
              <w:spacing w:before="60"/>
              <w:ind w:left="103"/>
              <w:rPr>
                <w:sz w:val="18"/>
              </w:rPr>
            </w:pPr>
            <w:r>
              <w:rPr>
                <w:spacing w:val="-3"/>
                <w:sz w:val="18"/>
              </w:rPr>
              <w:t>降雨历时</w:t>
            </w:r>
          </w:p>
        </w:tc>
        <w:tc>
          <w:tcPr>
            <w:tcW w:w="1573" w:type="dxa"/>
            <w:tcBorders>
              <w:left w:val="dashed" w:sz="4" w:space="0" w:color="000000"/>
              <w:right w:val="nil"/>
            </w:tcBorders>
          </w:tcPr>
          <w:p>
            <w:pPr>
              <w:pStyle w:val="TableParagraph"/>
              <w:spacing w:before="72"/>
              <w:ind w:left="214" w:right="214"/>
              <w:jc w:val="center"/>
              <w:rPr>
                <w:rFonts w:ascii="Times New Roman"/>
                <w:sz w:val="18"/>
              </w:rPr>
            </w:pPr>
            <w:r>
              <w:rPr>
                <w:rFonts w:ascii="Times New Roman"/>
                <w:spacing w:val="-5"/>
                <w:sz w:val="18"/>
              </w:rPr>
              <w:t>min</w:t>
            </w:r>
          </w:p>
        </w:tc>
      </w:tr>
    </w:tbl>
    <w:p>
      <w:pPr>
        <w:pStyle w:val="BodyText"/>
        <w:rPr>
          <w:sz w:val="20"/>
        </w:rPr>
      </w:pPr>
    </w:p>
    <w:p>
      <w:pPr>
        <w:pStyle w:val="BodyText"/>
        <w:spacing w:before="11"/>
        <w:rPr>
          <w:sz w:val="16"/>
        </w:rPr>
      </w:pPr>
    </w:p>
    <w:p>
      <w:pPr>
        <w:pStyle w:val="ListParagraph"/>
        <w:numPr>
          <w:ilvl w:val="0"/>
          <w:numId w:val="39"/>
        </w:numPr>
        <w:tabs>
          <w:tab w:val="left" w:pos="535"/>
        </w:tabs>
        <w:spacing w:before="0" w:after="0" w:line="240" w:lineRule="auto"/>
        <w:ind w:left="535" w:right="0" w:hanging="315"/>
        <w:jc w:val="both"/>
        <w:rPr>
          <w:rFonts w:ascii="黑体" w:eastAsia="黑体"/>
          <w:sz w:val="21"/>
        </w:rPr>
      </w:pPr>
      <w:r>
        <w:rPr>
          <w:rFonts w:ascii="黑体" w:eastAsia="黑体"/>
          <w:spacing w:val="-5"/>
          <w:sz w:val="21"/>
        </w:rPr>
        <w:t>总则</w:t>
      </w:r>
    </w:p>
    <w:p>
      <w:pPr>
        <w:pStyle w:val="ListParagraph"/>
        <w:numPr>
          <w:ilvl w:val="1"/>
          <w:numId w:val="39"/>
        </w:numPr>
        <w:tabs>
          <w:tab w:val="left" w:pos="693"/>
        </w:tabs>
        <w:spacing w:before="51" w:after="0" w:line="240" w:lineRule="auto"/>
        <w:ind w:left="692" w:right="0" w:hanging="473"/>
        <w:jc w:val="both"/>
        <w:rPr>
          <w:sz w:val="21"/>
        </w:rPr>
      </w:pPr>
      <w:r>
        <w:rPr>
          <w:spacing w:val="-2"/>
          <w:sz w:val="21"/>
        </w:rPr>
        <w:t xml:space="preserve">地面水环境影响评价工作分为三级。其分级的原则与判据见第 </w:t>
      </w:r>
      <w:r>
        <w:rPr>
          <w:rFonts w:ascii="Times New Roman" w:eastAsia="Times New Roman"/>
          <w:sz w:val="21"/>
        </w:rPr>
        <w:t xml:space="preserve">5 </w:t>
      </w:r>
      <w:r>
        <w:rPr>
          <w:spacing w:val="-5"/>
          <w:sz w:val="21"/>
        </w:rPr>
        <w:t>条。</w:t>
      </w:r>
    </w:p>
    <w:p>
      <w:pPr>
        <w:pStyle w:val="ListParagraph"/>
        <w:numPr>
          <w:ilvl w:val="1"/>
          <w:numId w:val="39"/>
        </w:numPr>
        <w:tabs>
          <w:tab w:val="left" w:pos="696"/>
        </w:tabs>
        <w:spacing w:before="51" w:after="0" w:line="285" w:lineRule="auto"/>
        <w:ind w:left="220" w:right="298" w:firstLine="0"/>
        <w:jc w:val="both"/>
        <w:rPr>
          <w:sz w:val="21"/>
        </w:rPr>
      </w:pPr>
      <w:r>
        <w:rPr>
          <w:spacing w:val="-2"/>
          <w:sz w:val="21"/>
        </w:rPr>
        <w:t>对于不同级别的地面水环境影响评价与环境现状调查、环境影响预测、评价建设项目</w:t>
      </w:r>
      <w:r>
        <w:rPr>
          <w:spacing w:val="-2"/>
          <w:sz w:val="21"/>
        </w:rPr>
        <w:t>的环境影响及小结等相应的技术要求，按本标准有关条目的规定执行。</w:t>
      </w:r>
    </w:p>
    <w:p>
      <w:pPr>
        <w:pStyle w:val="ListParagraph"/>
        <w:numPr>
          <w:ilvl w:val="1"/>
          <w:numId w:val="39"/>
        </w:numPr>
        <w:tabs>
          <w:tab w:val="left" w:pos="696"/>
        </w:tabs>
        <w:spacing w:before="0" w:after="0" w:line="285" w:lineRule="auto"/>
        <w:ind w:left="220" w:right="297" w:firstLine="0"/>
        <w:jc w:val="both"/>
        <w:rPr>
          <w:sz w:val="21"/>
        </w:rPr>
      </w:pPr>
      <w:r>
        <w:rPr>
          <w:spacing w:val="-2"/>
          <w:sz w:val="21"/>
        </w:rPr>
        <w:t>低于第三级地面水环境影响评价条件的建设项目，不必进行地面水环境影响评价，只</w:t>
      </w:r>
      <w:r>
        <w:rPr>
          <w:spacing w:val="-4"/>
          <w:sz w:val="21"/>
        </w:rPr>
        <w:t>需按照环境影响报告表的有关规定，简要说明所排放的污染物类型和数量、给排水状况、排</w:t>
      </w:r>
      <w:r>
        <w:rPr>
          <w:spacing w:val="-2"/>
          <w:sz w:val="21"/>
        </w:rPr>
        <w:t>水去向等，并进行一些简单的环境影响分析。</w:t>
      </w:r>
    </w:p>
    <w:p>
      <w:pPr>
        <w:pStyle w:val="ListParagraph"/>
        <w:numPr>
          <w:ilvl w:val="1"/>
          <w:numId w:val="39"/>
        </w:numPr>
        <w:tabs>
          <w:tab w:val="left" w:pos="696"/>
        </w:tabs>
        <w:spacing w:before="0" w:after="0" w:line="285" w:lineRule="auto"/>
        <w:ind w:left="220" w:right="298" w:firstLine="0"/>
        <w:jc w:val="both"/>
        <w:rPr>
          <w:sz w:val="21"/>
        </w:rPr>
      </w:pPr>
      <w:r>
        <w:rPr>
          <w:spacing w:val="-2"/>
          <w:sz w:val="21"/>
        </w:rPr>
        <w:t>拟进行地面水环境影响评价的厂矿企业、事业单位建设项目，其所排污水的水质、水</w:t>
      </w:r>
      <w:r>
        <w:rPr>
          <w:spacing w:val="-3"/>
          <w:sz w:val="21"/>
        </w:rPr>
        <w:t xml:space="preserve">量应符合 </w:t>
      </w:r>
      <w:r>
        <w:rPr>
          <w:rFonts w:ascii="Times New Roman" w:eastAsia="Times New Roman"/>
          <w:sz w:val="21"/>
        </w:rPr>
        <w:t xml:space="preserve">GB 8978 </w:t>
      </w:r>
      <w:r>
        <w:rPr>
          <w:sz w:val="21"/>
        </w:rPr>
        <w:t>或其他有关排放标准。</w:t>
      </w:r>
    </w:p>
    <w:p>
      <w:pPr>
        <w:pStyle w:val="ListParagraph"/>
        <w:numPr>
          <w:ilvl w:val="1"/>
          <w:numId w:val="39"/>
        </w:numPr>
        <w:tabs>
          <w:tab w:val="left" w:pos="693"/>
        </w:tabs>
        <w:spacing w:before="0" w:after="0" w:line="269" w:lineRule="exact"/>
        <w:ind w:left="692" w:right="0" w:hanging="473"/>
        <w:jc w:val="both"/>
        <w:rPr>
          <w:sz w:val="21"/>
        </w:rPr>
      </w:pPr>
      <w:r>
        <w:rPr>
          <w:spacing w:val="-4"/>
          <w:sz w:val="21"/>
        </w:rPr>
        <w:t xml:space="preserve">地面水环境影响评价的工作程序见图 </w:t>
      </w:r>
      <w:r>
        <w:rPr>
          <w:rFonts w:ascii="Times New Roman" w:eastAsia="Times New Roman"/>
          <w:sz w:val="21"/>
        </w:rPr>
        <w:t>1</w:t>
      </w:r>
      <w:r>
        <w:rPr>
          <w:spacing w:val="-10"/>
          <w:sz w:val="21"/>
        </w:rPr>
        <w:t>。</w:t>
      </w:r>
    </w:p>
    <w:p>
      <w:pPr>
        <w:spacing w:after="0" w:line="269" w:lineRule="exact"/>
        <w:jc w:val="both"/>
        <w:rPr>
          <w:sz w:val="21"/>
        </w:rPr>
        <w:sectPr>
          <w:footerReference w:type="even" r:id="rId16"/>
          <w:footerReference w:type="default" r:id="rId17"/>
          <w:type w:val="continuous"/>
          <w:pgSz w:w="11910" w:h="16840"/>
          <w:pgMar w:top="1400" w:right="1500" w:bottom="1180" w:left="1580" w:header="0" w:footer="990"/>
          <w:pgNumType w:start="606"/>
          <w:cols w:space="708"/>
        </w:sectPr>
      </w:pPr>
    </w:p>
    <w:p>
      <w:pPr>
        <w:pStyle w:val="BodyText"/>
        <w:rPr>
          <w:sz w:val="20"/>
        </w:rPr>
      </w:pPr>
    </w:p>
    <w:p>
      <w:pPr>
        <w:pStyle w:val="BodyText"/>
        <w:spacing w:before="11"/>
        <w:rPr>
          <w:sz w:val="22"/>
        </w:rPr>
      </w:pPr>
    </w:p>
    <w:p>
      <w:pPr>
        <w:spacing w:before="115" w:line="187" w:lineRule="auto"/>
        <w:ind w:left="8432" w:right="211" w:firstLine="0"/>
        <w:jc w:val="both"/>
        <w:rPr>
          <w:sz w:val="18"/>
        </w:rPr>
      </w:pPr>
      <w:r>
        <w:pict>
          <v:group id="_x0000_s1027" style="width:396.75pt;height:367.5pt;margin-top:-26.54pt;margin-left:89.62pt;mso-position-horizontal-relative:page;position:absolute;z-index:251658240" coordorigin="1793,-531" coordsize="7935,7350">
            <v:rect id="_x0000_s1028" style="width:2520;height:468;left:5040;position:absolute;top:5092" filled="f" stroked="t" strokecolor="black" strokeweight="0.75pt">
              <v:stroke dashstyle="solid"/>
            </v:rect>
            <v:shape id="_x0000_s1029" style="width:120;height:120;left:6240;position:absolute;top:4972" coordorigin="6240,4973" coordsize="120,120" path="m6300,5093l6240,4973,6360,4973,6300,5093xe" filled="t" fillcolor="black" stroked="f">
              <v:fill type="solid"/>
              <v:path arrowok="t"/>
            </v:shape>
            <v:rect id="_x0000_s1030" style="width:1260;height:624;left:2700;position:absolute;top:1816" filled="f" stroked="t" strokecolor="black" strokeweight="0.75pt">
              <v:stroke dashstyle="solid"/>
            </v:rect>
            <v:shape id="_x0000_s1031" style="width:120;height:120;left:3720;position:absolute;top:1696" coordorigin="3720,1697" coordsize="120,120" path="m3780,1817l3720,1697,3840,1697,3780,1817xe" filled="t" fillcolor="black" stroked="f">
              <v:fill type="solid"/>
              <v:path arrowok="t"/>
            </v:shape>
            <v:rect id="_x0000_s1032" style="width:2520;height:312;left:3420;position:absolute;top:1192" filled="f" stroked="t" strokecolor="black" strokeweight="0.75pt">
              <v:stroke dashstyle="solid"/>
            </v:rect>
            <v:line id="_x0000_s1033" style="position:absolute" from="3780,1505" to="3780,1794" stroked="t" strokecolor="black" strokeweight="0.75pt">
              <v:stroke dashstyle="solid"/>
            </v:line>
            <v:rect id="_x0000_s1034" style="width:720;height:624;left:4140;position:absolute;top:1816" filled="f" stroked="t" strokecolor="black" strokeweight="0.75pt">
              <v:stroke dashstyle="solid"/>
            </v:rect>
            <v:shape id="_x0000_s1035" style="width:120;height:120;left:4440;position:absolute;top:1696" coordorigin="4440,1697" coordsize="120,120" path="m4500,1817l4440,1697,4560,1697,4500,1817xe" filled="t" fillcolor="black" stroked="f">
              <v:fill type="solid"/>
              <v:path arrowok="t"/>
            </v:shape>
            <v:line id="_x0000_s1036" style="position:absolute" from="4500,1505" to="4500,1794" stroked="t" strokecolor="black" strokeweight="0.75pt">
              <v:stroke dashstyle="solid"/>
            </v:line>
            <v:rect id="_x0000_s1037" style="width:900;height:624;left:5040;position:absolute;top:1816" filled="f" stroked="t" strokecolor="black" strokeweight="0.75pt">
              <v:stroke dashstyle="solid"/>
            </v:rect>
            <v:shape id="_x0000_s1038" style="width:120;height:120;left:5520;position:absolute;top:1696" coordorigin="5520,1697" coordsize="120,120" path="m5580,1817l5520,1697,5640,1697,5580,1817xe" filled="t" fillcolor="black" stroked="f">
              <v:fill type="solid"/>
              <v:path arrowok="t"/>
            </v:shape>
            <v:line id="_x0000_s1039" style="position:absolute" from="5580,1505" to="5580,1794" stroked="t" strokecolor="black" strokeweight="0.75pt">
              <v:stroke dashstyle="solid"/>
            </v:line>
            <v:line id="_x0000_s1040" style="position:absolute" from="3780,1193" to="3780,569" stroked="t" strokecolor="black" strokeweight="0.75pt">
              <v:stroke dashstyle="solid"/>
            </v:line>
            <v:rect id="_x0000_s1041" style="width:2682;height:624;left:5040;position:absolute;top:412" filled="f" stroked="t" strokecolor="black" strokeweight="0.75pt">
              <v:stroke dashstyle="solid"/>
            </v:rect>
            <v:shape id="_x0000_s1042" style="width:120;height:120;left:4920;position:absolute;top:508" coordorigin="4920,509" coordsize="120,120" path="m4920,629l4920,509,5040,569,4920,629xe" filled="t" fillcolor="black" stroked="f">
              <v:fill type="solid"/>
              <v:path arrowok="t"/>
            </v:shape>
            <v:line id="_x0000_s1043" style="position:absolute" from="3780,569" to="5018,569" stroked="t" strokecolor="black" strokeweight="0.75pt">
              <v:stroke dashstyle="solid"/>
            </v:line>
            <v:line id="_x0000_s1044" style="position:absolute" from="5040,881" to="4500,881" stroked="t" strokecolor="black" strokeweight="0.75pt">
              <v:stroke dashstyle="solid"/>
            </v:line>
            <v:shape id="_x0000_s1045" style="width:120;height:120;left:4440;position:absolute;top:1072" coordorigin="4440,1073" coordsize="120,120" path="m4500,1193l4440,1073,4560,1073,4500,1193xe" filled="t" fillcolor="black" stroked="f">
              <v:fill type="solid"/>
              <v:path arrowok="t"/>
            </v:shape>
            <v:line id="_x0000_s1046" style="position:absolute" from="4500,881" to="4500,1170" stroked="t" strokecolor="black" strokeweight="0.75pt">
              <v:stroke dashstyle="solid"/>
            </v:line>
            <v:line id="_x0000_s1047" style="position:absolute" from="1800,1349" to="3420,1349" stroked="t" strokecolor="black" strokeweight="0.75pt">
              <v:stroke dashstyle="solid"/>
            </v:line>
            <v:rect id="_x0000_s1048" style="width:1980;height:312;left:7560;position:absolute;top:1192" filled="f" stroked="t" strokecolor="black" strokeweight="0.75pt">
              <v:stroke dashstyle="solid"/>
            </v:rect>
            <v:line id="_x0000_s1049" style="position:absolute" from="5940,1349" to="7560,1349" stroked="t" strokecolor="black" strokeweight="0.75pt">
              <v:stroke dashstyle="solid"/>
            </v:line>
            <v:line id="_x0000_s1050" style="position:absolute" from="7722,881" to="8100,881" stroked="t" strokecolor="black" strokeweight="0.75pt">
              <v:stroke dashstyle="solid"/>
            </v:line>
            <v:shape id="_x0000_s1051" style="width:120;height:120;left:8040;position:absolute;top:1072" coordorigin="8040,1073" coordsize="120,120" path="m8100,1193l8040,1073,8160,1073,8100,1193xe" filled="t" fillcolor="black" stroked="f">
              <v:fill type="solid"/>
              <v:path arrowok="t"/>
            </v:shape>
            <v:line id="_x0000_s1052" style="position:absolute" from="8100,881" to="8100,1170" stroked="t" strokecolor="black" strokeweight="0.75pt">
              <v:stroke dashstyle="solid"/>
            </v:line>
            <v:line id="_x0000_s1053" style="position:absolute" from="8820,1193" to="8820,569" stroked="t" strokecolor="black" strokeweight="0.75pt">
              <v:stroke dashstyle="solid"/>
            </v:line>
            <v:shape id="_x0000_s1054" style="width:120;height:120;left:7722;position:absolute;top:508" coordorigin="7722,509" coordsize="120,120" path="m7842,629l7722,569,7842,509,7842,629xe" filled="t" fillcolor="black" stroked="f">
              <v:fill type="solid"/>
              <v:path arrowok="t"/>
            </v:shape>
            <v:line id="_x0000_s1055" style="position:absolute" from="8820,569" to="7745,569" stroked="t" strokecolor="black" strokeweight="0.75pt">
              <v:stroke dashstyle="solid"/>
            </v:line>
            <v:shape id="_x0000_s1056" style="width:120;height:120;left:6240;position:absolute;top:292" coordorigin="6240,293" coordsize="120,120" path="m6300,413l6240,293,6360,293,6300,413xe" filled="t" fillcolor="black" stroked="f">
              <v:fill type="solid"/>
              <v:path arrowok="t"/>
            </v:shape>
            <v:line id="_x0000_s1057" style="position:absolute" from="6300,101" to="6300,390" stroked="t" strokecolor="black" strokeweight="0.75pt">
              <v:stroke dashstyle="solid"/>
            </v:line>
            <v:line id="_x0000_s1058" style="position:absolute" from="4860,2129" to="4860,2441" stroked="t" strokecolor="black" strokeweight="0.75pt">
              <v:stroke dashstyle="solid"/>
            </v:line>
            <v:shape id="_x0000_s1059" style="width:120;height:121;left:6234;position:absolute;top:2922" coordorigin="6234,2923" coordsize="120,121" path="m6294,3043l6234,2923,6354,2923,6294,3043xe" filled="t" fillcolor="black" stroked="f">
              <v:fill type="solid"/>
              <v:path arrowok="t"/>
            </v:shape>
            <v:line id="_x0000_s1060" style="position:absolute" from="6300,1037" to="6294,3020" stroked="t" strokecolor="black" strokeweight="0.75pt">
              <v:stroke dashstyle="solid"/>
            </v:line>
            <v:line id="_x0000_s1061" style="position:absolute" from="3240,2753" to="5580,2753" stroked="t" strokecolor="black" strokeweight="0.75pt">
              <v:stroke dashstyle="solid"/>
            </v:line>
            <v:line id="_x0000_s1062" style="position:absolute" from="3240,2441" to="3240,2753" stroked="t" strokecolor="black" strokeweight="0.75pt">
              <v:stroke dashstyle="solid"/>
            </v:line>
            <v:line id="_x0000_s1063" style="position:absolute" from="4500,2441" to="4500,2753" stroked="t" strokecolor="black" strokeweight="0.75pt">
              <v:stroke dashstyle="solid"/>
            </v:line>
            <v:line id="_x0000_s1064" style="position:absolute" from="5580,2441" to="5580,2753" stroked="t" strokecolor="black" strokeweight="0.75pt">
              <v:stroke dashstyle="solid"/>
            </v:line>
            <v:rect id="_x0000_s1065" style="width:1620;height:312;left:3960;position:absolute;top:3376" filled="f" stroked="t" strokecolor="black" strokeweight="0.75pt">
              <v:stroke dashstyle="solid"/>
            </v:rect>
            <v:shape id="_x0000_s1066" style="width:120;height:120;left:4620;position:absolute;top:3256" coordorigin="4620,3257" coordsize="120,120" path="m4680,3377l4620,3257,4740,3257,4680,3377xe" filled="t" fillcolor="black" stroked="f">
              <v:fill type="solid"/>
              <v:path arrowok="t"/>
            </v:shape>
            <v:line id="_x0000_s1067" style="position:absolute" from="4680,3065" to="4680,3354" stroked="t" strokecolor="black" strokeweight="0.75pt">
              <v:stroke dashstyle="solid"/>
            </v:line>
            <v:rect id="_x0000_s1068" style="width:2160;height:312;left:6660;position:absolute;top:3376" filled="f" stroked="t" strokecolor="black" strokeweight="0.75pt">
              <v:stroke dashstyle="solid"/>
            </v:rect>
            <v:shape id="_x0000_s1069" style="width:120;height:120;left:7860;position:absolute;top:3256" coordorigin="7860,3257" coordsize="120,120" path="m7920,3377l7860,3257,7980,3257,7920,3377xe" filled="t" fillcolor="black" stroked="f">
              <v:fill type="solid"/>
              <v:path arrowok="t"/>
            </v:shape>
            <v:line id="_x0000_s1070" style="position:absolute" from="7920,3065" to="7920,3354" stroked="t" strokecolor="black" strokeweight="0.75pt">
              <v:stroke dashstyle="solid"/>
            </v:line>
            <v:line id="_x0000_s1071" style="position:absolute" from="4680,3065" to="7920,3065" stroked="t" strokecolor="black" strokeweight="0.75pt">
              <v:stroke dashstyle="solid"/>
            </v:line>
            <v:shape id="_x0000_s1072" style="width:133;height:119;left:6300;position:absolute;top:2945" coordorigin="6300,2946" coordsize="133,119" path="m6300,3065l6362,2946,6432,3043,6300,3065xe" filled="t" fillcolor="black" stroked="f">
              <v:fill type="solid"/>
              <v:path arrowok="t"/>
            </v:shape>
            <v:line id="_x0000_s1073" style="position:absolute" from="8460,1505" to="6318,3052" stroked="t" strokecolor="black" strokeweight="0.75pt">
              <v:stroke dashstyle="solid"/>
            </v:line>
            <v:shape id="_x0000_s1074" style="width:129;height:119;left:6171;position:absolute;top:2985" coordorigin="6172,2985" coordsize="129,119" path="m6172,3103l6192,2985,6300,3065,6172,3103xe" filled="t" fillcolor="black" stroked="f">
              <v:fill type="solid"/>
              <v:path arrowok="t"/>
            </v:shape>
            <v:line id="_x0000_s1075" style="position:absolute" from="4500,2753" to="6278,3061" stroked="t" strokecolor="black" strokeweight="0.75pt">
              <v:stroke dashstyle="solid"/>
            </v:line>
            <v:line id="_x0000_s1076" style="position:absolute" from="5580,3533" to="6120,3533" stroked="t" strokecolor="black" strokeweight="0.75pt">
              <v:stroke dashstyle="solid"/>
            </v:line>
            <v:line id="_x0000_s1077" style="position:absolute" from="6480,3533" to="6660,3533" stroked="t" strokecolor="black" strokeweight="0.75pt">
              <v:stroke dashstyle="solid"/>
            </v:line>
            <v:rect id="_x0000_s1078" style="width:2340;height:312;left:5040;position:absolute;top:4000" filled="f" stroked="t" strokecolor="black" strokeweight="0.75pt">
              <v:stroke dashstyle="solid"/>
            </v:rect>
            <v:shape id="_x0000_s1079" style="width:120;height:120;left:5160;position:absolute;top:3880" coordorigin="5160,3881" coordsize="120,120" path="m5220,4001l5160,3881,5280,3881,5220,4001xe" filled="t" fillcolor="black" stroked="f">
              <v:fill type="solid"/>
              <v:path arrowok="t"/>
            </v:shape>
            <v:line id="_x0000_s1080" style="position:absolute" from="5220,3689" to="5220,3978" stroked="t" strokecolor="black" strokeweight="0.75pt">
              <v:stroke dashstyle="solid"/>
            </v:line>
            <v:shape id="_x0000_s1081" style="width:120;height:120;left:7140;position:absolute;top:3880" coordorigin="7140,3881" coordsize="120,120" path="m7200,4001l7140,3881,7260,3881,7200,4001xe" filled="t" fillcolor="black" stroked="f">
              <v:fill type="solid"/>
              <v:path arrowok="t"/>
            </v:shape>
            <v:line id="_x0000_s1082" style="position:absolute" from="7200,3689" to="7200,3978" stroked="t" strokecolor="black" strokeweight="0.75pt">
              <v:stroke dashstyle="solid"/>
            </v:line>
            <v:shape id="_x0000_s1083" style="width:360;height:156;left:6120;position:absolute;top:3376" coordorigin="6120,3377" coordsize="360,156" path="m6120,3533l6165,3475,6210,3425,6255,3390,6300,3377,6345,3390,6390,3425,6435,3475,6480,3533e" filled="f" stroked="t" strokecolor="black" strokeweight="0.75pt">
              <v:stroke dashstyle="solid"/>
              <v:path arrowok="t"/>
            </v:shape>
            <v:line id="_x0000_s1084" style="position:absolute" from="6300,4313" to="6300,5070" stroked="t" strokecolor="black" strokeweight="0.75pt">
              <v:stroke dashstyle="solid"/>
            </v:line>
            <v:shape id="_x0000_s1085" style="width:120;height:120;left:6180;position:absolute;top:4720" coordorigin="6180,4721" coordsize="120,120" path="m6180,4841l6180,4721,6300,4781,6180,4841xe" filled="t" fillcolor="black" stroked="f">
              <v:fill type="solid"/>
              <v:path arrowok="t"/>
            </v:shape>
            <v:line id="_x0000_s1086" style="position:absolute" from="4860,4781" to="6278,4781" stroked="t" strokecolor="black" strokeweight="0.75pt">
              <v:stroke dashstyle="solid"/>
            </v:line>
            <v:shape id="_x0000_s1087" style="width:120;height:120;left:6240;position:absolute;top:5908" coordorigin="6240,5909" coordsize="120,120" path="m6300,6029l6240,5909,6360,5909,6300,6029xe" filled="t" fillcolor="black" stroked="f">
              <v:fill type="solid"/>
              <v:path arrowok="t"/>
            </v:shape>
            <v:line id="_x0000_s1088" style="position:absolute" from="6300,5561" to="6300,6006" stroked="t" strokecolor="black" strokeweight="0.75pt">
              <v:stroke dashstyle="solid"/>
            </v:line>
            <v:line id="_x0000_s1089" style="position:absolute" from="1800,6812" to="9720,6809" stroked="t" strokecolor="black" strokeweight="0.75pt">
              <v:stroke dashstyle="solid"/>
            </v:line>
            <v:shape id="_x0000_s1090" style="width:3240;height:7020;left:1800;position:absolute;top:-212" coordorigin="1800,-211" coordsize="3240,7020" path="m1800,6809l1800,-211m1800,-211l5040,-211e" filled="f" stroked="t" strokecolor="black" strokeweight="0.75pt">
              <v:stroke dashstyle="solid"/>
              <v:path arrowok="t"/>
            </v:shape>
            <v:line id="_x0000_s1091" style="position:absolute" from="7560,-211" to="9720,-211" stroked="t" strokecolor="black" strokeweight="0.75pt">
              <v:stroke dashstyle="solid"/>
            </v:line>
            <v:line id="_x0000_s1092" style="position:absolute" from="9720,-211" to="9720,6809" stroked="t" strokecolor="black" strokeweight="0.75pt">
              <v:stroke dashstyle="solid"/>
            </v:line>
            <v:line id="_x0000_s1093" style="position:absolute" from="1800,5717" to="9720,5717" stroked="t" strokecolor="black" strokeweight="0.75pt">
              <v:stroke dashstyle="solid"/>
            </v:line>
            <v:line id="_x0000_s1094" style="position:absolute" from="9540,1349" to="9720,1349" stroked="t" strokecolor="black" strokeweight="0.75pt">
              <v:stroke dashstyle="solid"/>
            </v:line>
            <v:shape id="_x0000_s1095" style="width:120;height:120;left:6234;position:absolute;top:3914" coordorigin="6234,3915" coordsize="120,120" path="m6294,4035l6234,3915,6354,3915,6294,4035xe" filled="t" fillcolor="black" stroked="f">
              <v:fill type="solid"/>
              <v:path arrowok="t"/>
            </v:shape>
            <v:line id="_x0000_s1096" style="position:absolute" from="6294,2981" to="6294,4012" stroked="t" strokecolor="black" strokeweight="0.75pt">
              <v:stroke dashstyle="solid"/>
            </v:line>
            <v:shapetype id="_x0000_t202" coordsize="21600,21600" o:spt="202" path="m,l,21600r21600,l21600,xe">
              <v:stroke joinstyle="miter"/>
              <v:path gradientshapeok="t" o:connecttype="rect"/>
            </v:shapetype>
            <v:shape id="_x0000_s1097" type="#_x0000_t202" style="width:2360;height:420;left:5211;position:absolute;top:529" filled="f" stroked="f">
              <v:textbox inset="0,0,0,0">
                <w:txbxContent>
                  <w:p>
                    <w:pPr>
                      <w:spacing w:before="0" w:line="205" w:lineRule="exact"/>
                      <w:ind w:left="0" w:right="18" w:firstLine="0"/>
                      <w:jc w:val="center"/>
                      <w:rPr>
                        <w:sz w:val="18"/>
                      </w:rPr>
                    </w:pPr>
                    <w:r>
                      <w:rPr>
                        <w:spacing w:val="-1"/>
                        <w:sz w:val="18"/>
                      </w:rPr>
                      <w:t>地面水环境影响评价分级</w:t>
                    </w:r>
                  </w:p>
                  <w:p>
                    <w:pPr>
                      <w:spacing w:before="9" w:line="205" w:lineRule="exact"/>
                      <w:ind w:left="0" w:right="18" w:firstLine="0"/>
                      <w:jc w:val="center"/>
                      <w:rPr>
                        <w:sz w:val="18"/>
                      </w:rPr>
                    </w:pPr>
                    <w:r>
                      <w:rPr>
                        <w:spacing w:val="-1"/>
                        <w:sz w:val="18"/>
                      </w:rPr>
                      <w:t>和编写工作大纲的地面水部份</w:t>
                    </w:r>
                  </w:p>
                </w:txbxContent>
              </v:textbox>
            </v:shape>
            <v:shape id="_x0000_s1098" type="#_x0000_t202" style="width:1100;height:180;left:4140;position:absolute;top:1237" filled="f" stroked="f">
              <v:textbox inset="0,0,0,0">
                <w:txbxContent>
                  <w:p>
                    <w:pPr>
                      <w:spacing w:before="0" w:line="180" w:lineRule="exact"/>
                      <w:ind w:left="0" w:right="0" w:firstLine="0"/>
                      <w:jc w:val="left"/>
                      <w:rPr>
                        <w:sz w:val="18"/>
                      </w:rPr>
                    </w:pPr>
                    <w:r>
                      <w:rPr>
                        <w:spacing w:val="-2"/>
                        <w:sz w:val="18"/>
                      </w:rPr>
                      <w:t>环境现状调查</w:t>
                    </w:r>
                  </w:p>
                </w:txbxContent>
              </v:textbox>
            </v:shape>
            <v:shape id="_x0000_s1099" type="#_x0000_t202" style="width:1640;height:180;left:7740;position:absolute;top:1237" filled="f" stroked="f">
              <v:textbox inset="0,0,0,0">
                <w:txbxContent>
                  <w:p>
                    <w:pPr>
                      <w:spacing w:before="0" w:line="180" w:lineRule="exact"/>
                      <w:ind w:left="0" w:right="0" w:firstLine="0"/>
                      <w:jc w:val="left"/>
                      <w:rPr>
                        <w:sz w:val="18"/>
                      </w:rPr>
                    </w:pPr>
                    <w:r>
                      <w:rPr>
                        <w:spacing w:val="-2"/>
                        <w:sz w:val="18"/>
                      </w:rPr>
                      <w:t>建设项目的工程分析</w:t>
                    </w:r>
                  </w:p>
                </w:txbxContent>
              </v:textbox>
            </v:shape>
            <v:shape id="_x0000_s1100" type="#_x0000_t202" style="width:920;height:420;left:2880;position:absolute;top:1861" filled="f" stroked="f">
              <v:textbox inset="0,0,0,0">
                <w:txbxContent>
                  <w:p>
                    <w:pPr>
                      <w:spacing w:before="0" w:line="205" w:lineRule="exact"/>
                      <w:ind w:left="90" w:right="0" w:firstLine="0"/>
                      <w:jc w:val="left"/>
                      <w:rPr>
                        <w:sz w:val="18"/>
                      </w:rPr>
                    </w:pPr>
                    <w:r>
                      <w:rPr>
                        <w:spacing w:val="-3"/>
                        <w:sz w:val="18"/>
                      </w:rPr>
                      <w:t>水文调查</w:t>
                    </w:r>
                  </w:p>
                  <w:p>
                    <w:pPr>
                      <w:spacing w:before="9" w:line="205" w:lineRule="exact"/>
                      <w:ind w:left="0" w:right="0" w:firstLine="0"/>
                      <w:jc w:val="left"/>
                      <w:rPr>
                        <w:sz w:val="18"/>
                      </w:rPr>
                    </w:pPr>
                    <w:r>
                      <w:rPr>
                        <w:spacing w:val="-2"/>
                        <w:sz w:val="18"/>
                      </w:rPr>
                      <w:t>与水文测量</w:t>
                    </w:r>
                  </w:p>
                </w:txbxContent>
              </v:textbox>
            </v:shape>
            <v:shape id="_x0000_s1101" type="#_x0000_t202" style="width:380;height:420;left:4320;position:absolute;top:1861" filled="f" stroked="f">
              <v:textbox inset="0,0,0,0">
                <w:txbxContent>
                  <w:p>
                    <w:pPr>
                      <w:spacing w:before="0" w:line="205" w:lineRule="exact"/>
                      <w:ind w:left="0" w:right="0" w:firstLine="0"/>
                      <w:jc w:val="left"/>
                      <w:rPr>
                        <w:sz w:val="18"/>
                      </w:rPr>
                    </w:pPr>
                    <w:r>
                      <w:rPr>
                        <w:spacing w:val="-5"/>
                        <w:sz w:val="18"/>
                      </w:rPr>
                      <w:t>水质</w:t>
                    </w:r>
                  </w:p>
                  <w:p>
                    <w:pPr>
                      <w:spacing w:before="9" w:line="205" w:lineRule="exact"/>
                      <w:ind w:left="0" w:right="0" w:firstLine="0"/>
                      <w:jc w:val="left"/>
                      <w:rPr>
                        <w:sz w:val="18"/>
                      </w:rPr>
                    </w:pPr>
                    <w:r>
                      <w:rPr>
                        <w:spacing w:val="-5"/>
                        <w:sz w:val="18"/>
                      </w:rPr>
                      <w:t>调查</w:t>
                    </w:r>
                  </w:p>
                </w:txbxContent>
              </v:textbox>
            </v:shape>
            <v:shape id="_x0000_s1102" type="#_x0000_t202" style="width:560;height:420;left:5220;position:absolute;top:1861" filled="f" stroked="f">
              <v:textbox inset="0,0,0,0">
                <w:txbxContent>
                  <w:p>
                    <w:pPr>
                      <w:spacing w:before="0" w:line="205" w:lineRule="exact"/>
                      <w:ind w:left="0" w:right="0" w:firstLine="0"/>
                      <w:jc w:val="left"/>
                      <w:rPr>
                        <w:sz w:val="18"/>
                      </w:rPr>
                    </w:pPr>
                    <w:r>
                      <w:rPr>
                        <w:spacing w:val="-4"/>
                        <w:sz w:val="18"/>
                      </w:rPr>
                      <w:t>污染源</w:t>
                    </w:r>
                  </w:p>
                  <w:p>
                    <w:pPr>
                      <w:spacing w:before="9" w:line="205" w:lineRule="exact"/>
                      <w:ind w:left="90" w:right="0" w:firstLine="0"/>
                      <w:jc w:val="left"/>
                      <w:rPr>
                        <w:sz w:val="18"/>
                      </w:rPr>
                    </w:pPr>
                    <w:r>
                      <w:rPr>
                        <w:spacing w:val="-5"/>
                        <w:sz w:val="18"/>
                      </w:rPr>
                      <w:t>调查</w:t>
                    </w:r>
                  </w:p>
                </w:txbxContent>
              </v:textbox>
            </v:shape>
            <v:shape id="_x0000_s1103" type="#_x0000_t202" style="width:1100;height:180;left:4230;position:absolute;top:3421" filled="f" stroked="f">
              <v:textbox inset="0,0,0,0">
                <w:txbxContent>
                  <w:p>
                    <w:pPr>
                      <w:spacing w:before="0" w:line="180" w:lineRule="exact"/>
                      <w:ind w:left="0" w:right="0" w:firstLine="0"/>
                      <w:jc w:val="left"/>
                      <w:rPr>
                        <w:sz w:val="18"/>
                      </w:rPr>
                    </w:pPr>
                    <w:r>
                      <w:rPr>
                        <w:spacing w:val="-2"/>
                        <w:sz w:val="18"/>
                      </w:rPr>
                      <w:t>选择预测方法</w:t>
                    </w:r>
                  </w:p>
                </w:txbxContent>
              </v:textbox>
            </v:shape>
            <v:shape id="_x0000_s1104" type="#_x0000_t202" style="width:1820;height:180;left:6840;position:absolute;top:3421" filled="f" stroked="f">
              <v:textbox inset="0,0,0,0">
                <w:txbxContent>
                  <w:p>
                    <w:pPr>
                      <w:spacing w:before="0" w:line="180" w:lineRule="exact"/>
                      <w:ind w:left="0" w:right="0" w:firstLine="0"/>
                      <w:jc w:val="left"/>
                      <w:rPr>
                        <w:sz w:val="18"/>
                      </w:rPr>
                    </w:pPr>
                    <w:r>
                      <w:rPr>
                        <w:spacing w:val="-1"/>
                        <w:sz w:val="18"/>
                      </w:rPr>
                      <w:t>筛选拟预测的水质参数</w:t>
                    </w:r>
                  </w:p>
                </w:txbxContent>
              </v:textbox>
            </v:shape>
            <v:shape id="_x0000_s1105" type="#_x0000_t202" style="width:1100;height:180;left:5670;position:absolute;top:4045" filled="f" stroked="f">
              <v:textbox inset="0,0,0,0">
                <w:txbxContent>
                  <w:p>
                    <w:pPr>
                      <w:spacing w:before="0" w:line="180" w:lineRule="exact"/>
                      <w:ind w:left="0" w:right="0" w:firstLine="0"/>
                      <w:jc w:val="left"/>
                      <w:rPr>
                        <w:sz w:val="18"/>
                      </w:rPr>
                    </w:pPr>
                    <w:r>
                      <w:rPr>
                        <w:spacing w:val="-2"/>
                        <w:sz w:val="18"/>
                      </w:rPr>
                      <w:t>预测环境影响</w:t>
                    </w:r>
                  </w:p>
                </w:txbxContent>
              </v:textbox>
            </v:shape>
            <v:shape id="_x0000_s1106" type="#_x0000_t202" style="width:2000;height:180;left:5310;position:absolute;top:5209" filled="f" stroked="f">
              <v:textbox inset="0,0,0,0">
                <w:txbxContent>
                  <w:p>
                    <w:pPr>
                      <w:spacing w:before="0" w:line="180" w:lineRule="exact"/>
                      <w:ind w:left="0" w:right="0" w:firstLine="0"/>
                      <w:jc w:val="left"/>
                      <w:rPr>
                        <w:sz w:val="18"/>
                      </w:rPr>
                    </w:pPr>
                    <w:r>
                      <w:rPr>
                        <w:spacing w:val="-1"/>
                        <w:sz w:val="18"/>
                      </w:rPr>
                      <w:t>评价建设项目的环境影响</w:t>
                    </w:r>
                  </w:p>
                </w:txbxContent>
              </v:textbox>
            </v:shape>
            <v:shape id="_x0000_s1107" type="#_x0000_t202" style="width:2520;height:624;left:5040;position:absolute;top:-524" filled="f" stroked="t" strokecolor="black" strokeweight="0.75pt">
              <v:stroke dashstyle="solid"/>
              <v:textbox inset="0,0,0,0">
                <w:txbxContent>
                  <w:p>
                    <w:pPr>
                      <w:spacing w:before="84" w:line="249" w:lineRule="auto"/>
                      <w:ind w:left="172" w:right="170" w:firstLine="180"/>
                      <w:jc w:val="left"/>
                      <w:rPr>
                        <w:sz w:val="18"/>
                      </w:rPr>
                    </w:pPr>
                    <w:r>
                      <w:rPr>
                        <w:spacing w:val="-2"/>
                        <w:sz w:val="18"/>
                      </w:rPr>
                      <w:t>建设项目的工程概况及</w:t>
                    </w:r>
                    <w:r>
                      <w:rPr>
                        <w:spacing w:val="-2"/>
                        <w:sz w:val="18"/>
                      </w:rPr>
                      <w:t xml:space="preserve"> </w:t>
                    </w:r>
                    <w:r>
                      <w:rPr>
                        <w:spacing w:val="-2"/>
                        <w:sz w:val="18"/>
                      </w:rPr>
                      <w:t>工程性质（参阅有关文件）</w:t>
                    </w:r>
                  </w:p>
                </w:txbxContent>
              </v:textbox>
            </v:shape>
            <v:shape id="_x0000_s1108" type="#_x0000_t202" style="width:1980;height:624;left:2880;position:absolute;top:4468" filled="f" stroked="t" strokecolor="black" strokeweight="0.75pt">
              <v:stroke dashstyle="solid"/>
              <v:textbox inset="0,0,0,0">
                <w:txbxContent>
                  <w:p>
                    <w:pPr>
                      <w:spacing w:before="12" w:line="249" w:lineRule="auto"/>
                      <w:ind w:left="172" w:right="170" w:firstLine="0"/>
                      <w:jc w:val="left"/>
                      <w:rPr>
                        <w:sz w:val="18"/>
                      </w:rPr>
                    </w:pPr>
                    <w:r>
                      <w:rPr>
                        <w:spacing w:val="-2"/>
                        <w:sz w:val="18"/>
                      </w:rPr>
                      <w:t>国家、地方有关地面</w:t>
                    </w:r>
                    <w:r>
                      <w:rPr>
                        <w:sz w:val="18"/>
                      </w:rPr>
                      <w:t>水的法规（含标准</w:t>
                    </w:r>
                    <w:r>
                      <w:rPr>
                        <w:spacing w:val="-10"/>
                        <w:sz w:val="18"/>
                      </w:rPr>
                      <w:t>）</w:t>
                    </w:r>
                  </w:p>
                </w:txbxContent>
              </v:textbox>
            </v:shape>
            <v:shape id="_x0000_s1109" type="#_x0000_t202" style="width:2520;height:624;left:5040;position:absolute;top:6028" filled="f" stroked="t" strokecolor="black" strokeweight="0.75pt">
              <v:stroke dashstyle="solid"/>
              <v:textbox inset="0,0,0,0">
                <w:txbxContent>
                  <w:p>
                    <w:pPr>
                      <w:numPr>
                        <w:ilvl w:val="0"/>
                        <w:numId w:val="38"/>
                      </w:numPr>
                      <w:tabs>
                        <w:tab w:val="left" w:pos="415"/>
                      </w:tabs>
                      <w:spacing w:before="84"/>
                      <w:ind w:left="415" w:right="0" w:hanging="272"/>
                      <w:jc w:val="left"/>
                      <w:rPr>
                        <w:sz w:val="18"/>
                      </w:rPr>
                    </w:pPr>
                    <w:r>
                      <w:rPr>
                        <w:spacing w:val="-2"/>
                        <w:sz w:val="18"/>
                      </w:rPr>
                      <w:t>提出环保建议和措施</w:t>
                    </w:r>
                  </w:p>
                  <w:p>
                    <w:pPr>
                      <w:numPr>
                        <w:ilvl w:val="0"/>
                        <w:numId w:val="38"/>
                      </w:numPr>
                      <w:tabs>
                        <w:tab w:val="left" w:pos="415"/>
                      </w:tabs>
                      <w:spacing w:before="9"/>
                      <w:ind w:left="415" w:right="0" w:hanging="272"/>
                      <w:jc w:val="left"/>
                      <w:rPr>
                        <w:sz w:val="18"/>
                      </w:rPr>
                    </w:pPr>
                    <w:r>
                      <w:rPr>
                        <w:spacing w:val="-5"/>
                        <w:sz w:val="18"/>
                      </w:rPr>
                      <w:t>小结</w:t>
                    </w:r>
                  </w:p>
                </w:txbxContent>
              </v:textbox>
            </v:shape>
          </v:group>
        </w:pict>
      </w:r>
      <w:r>
        <w:rPr>
          <w:spacing w:val="-10"/>
          <w:sz w:val="18"/>
        </w:rPr>
        <w:t>第</w:t>
      </w:r>
      <w:r>
        <w:rPr>
          <w:spacing w:val="-10"/>
          <w:sz w:val="18"/>
        </w:rPr>
        <w:t>一</w:t>
      </w:r>
      <w:r>
        <w:rPr>
          <w:spacing w:val="-10"/>
          <w:sz w:val="18"/>
        </w:rPr>
        <w:t>阶</w:t>
      </w:r>
      <w:r>
        <w:rPr>
          <w:spacing w:val="-10"/>
          <w:sz w:val="18"/>
        </w:rPr>
        <w:t>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4"/>
        </w:rPr>
      </w:pPr>
    </w:p>
    <w:p>
      <w:pPr>
        <w:spacing w:before="114" w:line="187" w:lineRule="auto"/>
        <w:ind w:left="8432" w:right="211" w:firstLine="0"/>
        <w:jc w:val="both"/>
        <w:rPr>
          <w:sz w:val="18"/>
        </w:rPr>
      </w:pPr>
      <w:r>
        <w:rPr>
          <w:spacing w:val="-10"/>
          <w:sz w:val="18"/>
        </w:rPr>
        <w:t>第</w:t>
      </w:r>
      <w:r>
        <w:rPr>
          <w:spacing w:val="-10"/>
          <w:sz w:val="18"/>
        </w:rPr>
        <w:t>二</w:t>
      </w:r>
      <w:r>
        <w:rPr>
          <w:spacing w:val="-10"/>
          <w:sz w:val="18"/>
        </w:rPr>
        <w:t>阶</w:t>
      </w:r>
      <w:r>
        <w:rPr>
          <w:spacing w:val="-10"/>
          <w:sz w:val="18"/>
        </w:rPr>
        <w:t>段</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6"/>
        </w:rPr>
      </w:pPr>
    </w:p>
    <w:p>
      <w:pPr>
        <w:spacing w:before="115" w:line="187" w:lineRule="auto"/>
        <w:ind w:left="8432" w:right="211" w:firstLine="0"/>
        <w:jc w:val="both"/>
        <w:rPr>
          <w:sz w:val="18"/>
        </w:rPr>
      </w:pPr>
      <w:r>
        <w:rPr>
          <w:spacing w:val="-10"/>
          <w:sz w:val="18"/>
        </w:rPr>
        <w:t>第</w:t>
      </w:r>
      <w:r>
        <w:rPr>
          <w:spacing w:val="-10"/>
          <w:sz w:val="18"/>
        </w:rPr>
        <w:t>三</w:t>
      </w:r>
      <w:r>
        <w:rPr>
          <w:spacing w:val="-10"/>
          <w:sz w:val="18"/>
        </w:rPr>
        <w:t>阶</w:t>
      </w:r>
      <w:r>
        <w:rPr>
          <w:spacing w:val="-10"/>
          <w:sz w:val="18"/>
        </w:rPr>
        <w:t>段</w:t>
      </w:r>
    </w:p>
    <w:p>
      <w:pPr>
        <w:pStyle w:val="BodyText"/>
        <w:spacing w:before="5"/>
        <w:rPr>
          <w:sz w:val="17"/>
        </w:rPr>
      </w:pPr>
    </w:p>
    <w:p>
      <w:pPr>
        <w:pStyle w:val="BodyText"/>
        <w:tabs>
          <w:tab w:val="left" w:pos="3718"/>
        </w:tabs>
        <w:spacing w:before="77"/>
        <w:ind w:left="3141"/>
      </w:pPr>
      <w:r>
        <w:t>图</w:t>
      </w:r>
      <w:r>
        <w:rPr>
          <w:spacing w:val="-53"/>
        </w:rPr>
        <w:t xml:space="preserve"> </w:t>
      </w:r>
      <w:r>
        <w:rPr>
          <w:rFonts w:ascii="Times New Roman" w:eastAsia="Times New Roman"/>
          <w:spacing w:val="-10"/>
        </w:rPr>
        <w:t>1</w:t>
      </w:r>
      <w:r>
        <w:rPr>
          <w:rFonts w:ascii="Times New Roman" w:eastAsia="Times New Roman"/>
        </w:rPr>
        <w:tab/>
      </w:r>
      <w:r>
        <w:t>地面水环境影响评价的工作程</w:t>
      </w:r>
      <w:r>
        <w:rPr>
          <w:spacing w:val="-10"/>
        </w:rPr>
        <w:t>序</w:t>
      </w:r>
    </w:p>
    <w:p>
      <w:pPr>
        <w:pStyle w:val="BodyText"/>
        <w:spacing w:before="11"/>
        <w:rPr>
          <w:sz w:val="11"/>
        </w:rPr>
      </w:pPr>
    </w:p>
    <w:p>
      <w:pPr>
        <w:pStyle w:val="ListParagraph"/>
        <w:numPr>
          <w:ilvl w:val="0"/>
          <w:numId w:val="39"/>
        </w:numPr>
        <w:tabs>
          <w:tab w:val="left" w:pos="535"/>
        </w:tabs>
        <w:spacing w:before="71" w:after="0" w:line="240" w:lineRule="auto"/>
        <w:ind w:left="535" w:right="0" w:hanging="315"/>
        <w:jc w:val="both"/>
        <w:rPr>
          <w:rFonts w:ascii="黑体" w:eastAsia="黑体"/>
          <w:sz w:val="21"/>
        </w:rPr>
      </w:pPr>
      <w:r>
        <w:rPr>
          <w:rFonts w:ascii="黑体" w:eastAsia="黑体"/>
          <w:spacing w:val="-1"/>
          <w:sz w:val="21"/>
        </w:rPr>
        <w:t>地面水环境影响评价工作分级</w:t>
      </w:r>
    </w:p>
    <w:p>
      <w:pPr>
        <w:pStyle w:val="ListParagraph"/>
        <w:numPr>
          <w:ilvl w:val="1"/>
          <w:numId w:val="39"/>
        </w:numPr>
        <w:tabs>
          <w:tab w:val="left" w:pos="693"/>
        </w:tabs>
        <w:spacing w:before="51" w:after="0" w:line="285" w:lineRule="auto"/>
        <w:ind w:left="220" w:right="297" w:firstLine="0"/>
        <w:jc w:val="both"/>
        <w:rPr>
          <w:sz w:val="21"/>
        </w:rPr>
      </w:pPr>
      <w:r>
        <w:rPr>
          <w:spacing w:val="-2"/>
          <w:sz w:val="21"/>
        </w:rPr>
        <w:t>地面水环境影响评价工作级别的划分（以后简称地面水环境影响评价分级</w:t>
      </w:r>
      <w:r>
        <w:rPr>
          <w:spacing w:val="-63"/>
          <w:sz w:val="21"/>
        </w:rPr>
        <w:t>）</w:t>
      </w:r>
      <w:r>
        <w:rPr>
          <w:spacing w:val="-15"/>
          <w:sz w:val="21"/>
        </w:rPr>
        <w:t>，根据下列</w:t>
      </w:r>
      <w:r>
        <w:rPr>
          <w:spacing w:val="-16"/>
          <w:sz w:val="21"/>
        </w:rPr>
        <w:t>条件进行，即：建设项目的污水排放量、污水水质的复杂程度，各种受纳污水的地面水域</w:t>
      </w:r>
      <w:r>
        <w:rPr>
          <w:spacing w:val="-6"/>
          <w:sz w:val="21"/>
        </w:rPr>
        <w:t>（以</w:t>
      </w:r>
      <w:r>
        <w:rPr>
          <w:spacing w:val="-2"/>
          <w:sz w:val="21"/>
        </w:rPr>
        <w:t>后简称受纳水域）</w:t>
      </w:r>
      <w:r>
        <w:rPr>
          <w:spacing w:val="-4"/>
          <w:sz w:val="21"/>
        </w:rPr>
        <w:t xml:space="preserve">的规模以及对它的水质要求。其分级判据见表 </w:t>
      </w:r>
      <w:r>
        <w:rPr>
          <w:rFonts w:ascii="Times New Roman" w:eastAsia="Times New Roman"/>
          <w:spacing w:val="-2"/>
          <w:sz w:val="21"/>
        </w:rPr>
        <w:t>2</w:t>
      </w:r>
      <w:r>
        <w:rPr>
          <w:spacing w:val="-2"/>
          <w:sz w:val="21"/>
        </w:rPr>
        <w:t>。海湾环境影响评价分级</w:t>
      </w:r>
      <w:r>
        <w:rPr>
          <w:spacing w:val="-9"/>
          <w:sz w:val="21"/>
        </w:rPr>
        <w:t xml:space="preserve">判据见表 </w:t>
      </w:r>
      <w:r>
        <w:rPr>
          <w:rFonts w:ascii="Times New Roman" w:eastAsia="Times New Roman"/>
          <w:sz w:val="21"/>
        </w:rPr>
        <w:t>3</w:t>
      </w:r>
      <w:r>
        <w:rPr>
          <w:sz w:val="21"/>
        </w:rPr>
        <w:t>。</w:t>
      </w:r>
    </w:p>
    <w:p>
      <w:pPr>
        <w:spacing w:after="0" w:line="285" w:lineRule="auto"/>
        <w:jc w:val="both"/>
        <w:rPr>
          <w:sz w:val="21"/>
        </w:rPr>
        <w:sectPr>
          <w:footerReference w:type="even" r:id="rId18"/>
          <w:footerReference w:type="default" r:id="rId19"/>
          <w:pgSz w:w="11910" w:h="16840"/>
          <w:pgMar w:top="1920" w:right="1500" w:bottom="1180" w:left="1580" w:header="0" w:footer="990"/>
          <w:pgNumType w:start="607"/>
          <w:cols w:space="708"/>
        </w:sectPr>
      </w:pPr>
    </w:p>
    <w:p>
      <w:pPr>
        <w:pStyle w:val="BodyText"/>
        <w:tabs>
          <w:tab w:val="left" w:pos="577"/>
        </w:tabs>
        <w:spacing w:before="52" w:after="21"/>
        <w:ind w:right="78"/>
        <w:jc w:val="center"/>
      </w:pPr>
      <w:r>
        <w:t>表</w:t>
      </w:r>
      <w:r>
        <w:rPr>
          <w:spacing w:val="-53"/>
        </w:rPr>
        <w:t xml:space="preserve"> </w:t>
      </w:r>
      <w:r>
        <w:rPr>
          <w:rFonts w:ascii="Times New Roman" w:eastAsia="Times New Roman"/>
          <w:spacing w:val="-10"/>
        </w:rPr>
        <w:t>2</w:t>
      </w:r>
      <w:r>
        <w:rPr>
          <w:rFonts w:ascii="Times New Roman" w:eastAsia="Times New Roman"/>
        </w:rPr>
        <w:tab/>
      </w:r>
      <w:r>
        <w:t>地面水环境影响评价分级判</w:t>
      </w:r>
      <w:r>
        <w:rPr>
          <w:spacing w:val="-10"/>
        </w:rPr>
        <w:t>据</w:t>
      </w:r>
    </w:p>
    <w:tbl>
      <w:tblPr>
        <w:tblStyle w:val="TableNormal4"/>
        <w:tblW w:w="0" w:type="auto"/>
        <w:jc w:val="left"/>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52"/>
        <w:gridCol w:w="1047"/>
        <w:gridCol w:w="1053"/>
        <w:gridCol w:w="1054"/>
        <w:gridCol w:w="1053"/>
        <w:gridCol w:w="1054"/>
        <w:gridCol w:w="1054"/>
        <w:gridCol w:w="1053"/>
      </w:tblGrid>
      <w:tr>
        <w:tblPrEx>
          <w:tblW w:w="0" w:type="auto"/>
          <w:jc w:val="left"/>
          <w:tblInd w:w="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40"/>
          <w:jc w:val="left"/>
        </w:trPr>
        <w:tc>
          <w:tcPr>
            <w:tcW w:w="1052" w:type="dxa"/>
            <w:vMerge w:val="restart"/>
            <w:tcBorders>
              <w:left w:val="nil"/>
            </w:tcBorders>
          </w:tcPr>
          <w:p>
            <w:pPr>
              <w:pStyle w:val="TableParagraph"/>
              <w:spacing w:before="7"/>
              <w:rPr>
                <w:sz w:val="19"/>
              </w:rPr>
            </w:pPr>
          </w:p>
          <w:p>
            <w:pPr>
              <w:pStyle w:val="TableParagraph"/>
              <w:spacing w:line="338" w:lineRule="auto"/>
              <w:ind w:left="70" w:right="70"/>
              <w:jc w:val="center"/>
              <w:rPr>
                <w:rFonts w:ascii="Times New Roman" w:eastAsia="Times New Roman"/>
                <w:sz w:val="18"/>
              </w:rPr>
            </w:pPr>
            <w:r>
              <w:rPr>
                <w:spacing w:val="-2"/>
                <w:sz w:val="18"/>
              </w:rPr>
              <w:t>建设项目污</w:t>
            </w:r>
            <w:r>
              <w:rPr>
                <w:spacing w:val="-4"/>
                <w:sz w:val="18"/>
              </w:rPr>
              <w:t>水排放量</w:t>
            </w:r>
            <w:r>
              <w:rPr>
                <w:spacing w:val="-4"/>
                <w:sz w:val="18"/>
              </w:rPr>
              <w:t xml:space="preserve"> </w:t>
            </w:r>
            <w:r>
              <w:rPr>
                <w:rFonts w:ascii="Times New Roman" w:eastAsia="Times New Roman"/>
                <w:spacing w:val="-4"/>
                <w:sz w:val="18"/>
              </w:rPr>
              <w:t>m</w:t>
            </w:r>
            <w:r>
              <w:rPr>
                <w:rFonts w:ascii="Times New Roman" w:eastAsia="Times New Roman"/>
                <w:spacing w:val="-4"/>
                <w:position w:val="5"/>
                <w:sz w:val="12"/>
              </w:rPr>
              <w:t>3</w:t>
            </w:r>
            <w:r>
              <w:rPr>
                <w:rFonts w:ascii="Times New Roman" w:eastAsia="Times New Roman"/>
                <w:spacing w:val="-4"/>
                <w:sz w:val="18"/>
              </w:rPr>
              <w:t>/d</w:t>
            </w:r>
          </w:p>
        </w:tc>
        <w:tc>
          <w:tcPr>
            <w:tcW w:w="1047" w:type="dxa"/>
            <w:vMerge w:val="restart"/>
          </w:tcPr>
          <w:p>
            <w:pPr>
              <w:pStyle w:val="TableParagraph"/>
              <w:spacing w:before="7"/>
              <w:rPr>
                <w:sz w:val="19"/>
              </w:rPr>
            </w:pPr>
          </w:p>
          <w:p>
            <w:pPr>
              <w:pStyle w:val="TableParagraph"/>
              <w:spacing w:line="333" w:lineRule="auto"/>
              <w:ind w:left="68" w:right="66"/>
              <w:jc w:val="center"/>
              <w:rPr>
                <w:sz w:val="18"/>
              </w:rPr>
            </w:pPr>
            <w:r>
              <w:rPr>
                <w:spacing w:val="-2"/>
                <w:sz w:val="18"/>
              </w:rPr>
              <w:t>建设项目污</w:t>
            </w:r>
            <w:r>
              <w:rPr>
                <w:spacing w:val="-2"/>
                <w:sz w:val="18"/>
              </w:rPr>
              <w:t>水水质的复</w:t>
            </w:r>
            <w:r>
              <w:rPr>
                <w:spacing w:val="-4"/>
                <w:sz w:val="18"/>
              </w:rPr>
              <w:t>杂程度</w:t>
            </w:r>
          </w:p>
        </w:tc>
        <w:tc>
          <w:tcPr>
            <w:tcW w:w="2107" w:type="dxa"/>
            <w:gridSpan w:val="2"/>
          </w:tcPr>
          <w:p>
            <w:pPr>
              <w:pStyle w:val="TableParagraph"/>
              <w:tabs>
                <w:tab w:val="left" w:pos="1408"/>
              </w:tabs>
              <w:spacing w:before="86"/>
              <w:ind w:left="508"/>
              <w:rPr>
                <w:sz w:val="18"/>
              </w:rPr>
            </w:pPr>
            <w:r>
              <w:rPr>
                <w:spacing w:val="-10"/>
                <w:sz w:val="18"/>
              </w:rPr>
              <w:t>—</w:t>
            </w:r>
            <w:r>
              <w:rPr>
                <w:sz w:val="18"/>
              </w:rPr>
              <w:tab/>
            </w:r>
            <w:r>
              <w:rPr>
                <w:spacing w:val="-10"/>
                <w:sz w:val="18"/>
              </w:rPr>
              <w:t>级</w:t>
            </w:r>
          </w:p>
        </w:tc>
        <w:tc>
          <w:tcPr>
            <w:tcW w:w="2107" w:type="dxa"/>
            <w:gridSpan w:val="2"/>
          </w:tcPr>
          <w:p>
            <w:pPr>
              <w:pStyle w:val="TableParagraph"/>
              <w:tabs>
                <w:tab w:val="left" w:pos="1408"/>
              </w:tabs>
              <w:spacing w:before="86"/>
              <w:ind w:left="508"/>
              <w:rPr>
                <w:sz w:val="18"/>
              </w:rPr>
            </w:pPr>
            <w:r>
              <w:rPr>
                <w:spacing w:val="-10"/>
                <w:sz w:val="18"/>
              </w:rPr>
              <w:t>二</w:t>
            </w:r>
            <w:r>
              <w:rPr>
                <w:sz w:val="18"/>
              </w:rPr>
              <w:tab/>
            </w:r>
            <w:r>
              <w:rPr>
                <w:spacing w:val="-10"/>
                <w:sz w:val="18"/>
              </w:rPr>
              <w:t>级</w:t>
            </w:r>
          </w:p>
        </w:tc>
        <w:tc>
          <w:tcPr>
            <w:tcW w:w="2107" w:type="dxa"/>
            <w:gridSpan w:val="2"/>
            <w:tcBorders>
              <w:right w:val="nil"/>
            </w:tcBorders>
          </w:tcPr>
          <w:p>
            <w:pPr>
              <w:pStyle w:val="TableParagraph"/>
              <w:tabs>
                <w:tab w:val="left" w:pos="1408"/>
              </w:tabs>
              <w:spacing w:before="86"/>
              <w:ind w:left="508"/>
              <w:rPr>
                <w:sz w:val="18"/>
              </w:rPr>
            </w:pPr>
            <w:r>
              <w:rPr>
                <w:spacing w:val="-10"/>
                <w:sz w:val="18"/>
              </w:rPr>
              <w:t>三</w:t>
            </w:r>
            <w:r>
              <w:rPr>
                <w:sz w:val="18"/>
              </w:rPr>
              <w:tab/>
            </w:r>
            <w:r>
              <w:rPr>
                <w:spacing w:val="-10"/>
                <w:sz w:val="18"/>
              </w:rPr>
              <w:t>级</w:t>
            </w:r>
          </w:p>
        </w:tc>
      </w:tr>
      <w:tr>
        <w:tblPrEx>
          <w:tblW w:w="0" w:type="auto"/>
          <w:jc w:val="left"/>
          <w:tblInd w:w="170" w:type="dxa"/>
          <w:tblLayout w:type="fixed"/>
          <w:tblCellMar>
            <w:top w:w="0" w:type="dxa"/>
            <w:left w:w="0" w:type="dxa"/>
            <w:bottom w:w="0" w:type="dxa"/>
            <w:right w:w="0" w:type="dxa"/>
          </w:tblCellMar>
          <w:tblLook w:val="01E0"/>
        </w:tblPrEx>
        <w:trPr>
          <w:trHeight w:val="96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Pr>
          <w:p>
            <w:pPr>
              <w:pStyle w:val="TableParagraph"/>
              <w:spacing w:before="76" w:line="333" w:lineRule="auto"/>
              <w:ind w:left="251" w:right="159" w:hanging="90"/>
              <w:rPr>
                <w:sz w:val="18"/>
              </w:rPr>
            </w:pPr>
            <w:r>
              <w:rPr>
                <w:spacing w:val="-4"/>
                <w:sz w:val="18"/>
              </w:rPr>
              <w:t>地面水域</w:t>
            </w:r>
            <w:r>
              <w:rPr>
                <w:spacing w:val="13"/>
                <w:sz w:val="18"/>
              </w:rPr>
              <w:t>规 模</w:t>
            </w:r>
          </w:p>
          <w:p>
            <w:pPr>
              <w:pStyle w:val="TableParagraph"/>
              <w:spacing w:line="223" w:lineRule="exact"/>
              <w:ind w:left="101"/>
              <w:rPr>
                <w:rFonts w:ascii="Times New Roman" w:eastAsia="Times New Roman"/>
                <w:sz w:val="18"/>
              </w:rPr>
            </w:pPr>
            <w:r>
              <w:rPr>
                <w:rFonts w:ascii="Times New Roman" w:eastAsia="Times New Roman"/>
                <w:sz w:val="18"/>
              </w:rPr>
              <w:t>(</w:t>
            </w:r>
            <w:r>
              <w:rPr>
                <w:sz w:val="18"/>
              </w:rPr>
              <w:t>大小规模</w:t>
            </w:r>
            <w:r>
              <w:rPr>
                <w:rFonts w:ascii="Times New Roman" w:eastAsia="Times New Roman"/>
                <w:spacing w:val="-10"/>
                <w:sz w:val="18"/>
              </w:rPr>
              <w:t>)</w:t>
            </w:r>
          </w:p>
        </w:tc>
        <w:tc>
          <w:tcPr>
            <w:tcW w:w="1054" w:type="dxa"/>
          </w:tcPr>
          <w:p>
            <w:pPr>
              <w:pStyle w:val="TableParagraph"/>
              <w:spacing w:before="76" w:line="333" w:lineRule="auto"/>
              <w:ind w:left="252" w:right="71" w:hanging="180"/>
              <w:rPr>
                <w:sz w:val="18"/>
              </w:rPr>
            </w:pPr>
            <w:r>
              <w:rPr>
                <w:spacing w:val="-2"/>
                <w:sz w:val="18"/>
              </w:rPr>
              <w:t>地面水水质</w:t>
            </w:r>
            <w:r>
              <w:rPr>
                <w:spacing w:val="13"/>
                <w:sz w:val="18"/>
              </w:rPr>
              <w:t>要 求</w:t>
            </w:r>
          </w:p>
          <w:p>
            <w:pPr>
              <w:pStyle w:val="TableParagraph"/>
              <w:spacing w:line="223" w:lineRule="exact"/>
              <w:ind w:left="102"/>
              <w:rPr>
                <w:rFonts w:ascii="Times New Roman" w:eastAsia="Times New Roman"/>
                <w:sz w:val="18"/>
              </w:rPr>
            </w:pPr>
            <w:r>
              <w:rPr>
                <w:rFonts w:ascii="Times New Roman" w:eastAsia="Times New Roman"/>
                <w:sz w:val="18"/>
              </w:rPr>
              <w:t>(</w:t>
            </w:r>
            <w:r>
              <w:rPr>
                <w:sz w:val="18"/>
              </w:rPr>
              <w:t>水质类别</w:t>
            </w:r>
            <w:r>
              <w:rPr>
                <w:rFonts w:ascii="Times New Roman" w:eastAsia="Times New Roman"/>
                <w:spacing w:val="-10"/>
                <w:sz w:val="18"/>
              </w:rPr>
              <w:t>)</w:t>
            </w:r>
          </w:p>
        </w:tc>
        <w:tc>
          <w:tcPr>
            <w:tcW w:w="1053" w:type="dxa"/>
          </w:tcPr>
          <w:p>
            <w:pPr>
              <w:pStyle w:val="TableParagraph"/>
              <w:spacing w:before="76" w:line="333" w:lineRule="auto"/>
              <w:ind w:left="251" w:right="159" w:hanging="90"/>
              <w:rPr>
                <w:sz w:val="18"/>
              </w:rPr>
            </w:pPr>
            <w:r>
              <w:rPr>
                <w:spacing w:val="-4"/>
                <w:sz w:val="18"/>
              </w:rPr>
              <w:t>地面水域</w:t>
            </w:r>
            <w:r>
              <w:rPr>
                <w:spacing w:val="13"/>
                <w:sz w:val="18"/>
              </w:rPr>
              <w:t>规 模</w:t>
            </w:r>
          </w:p>
          <w:p>
            <w:pPr>
              <w:pStyle w:val="TableParagraph"/>
              <w:spacing w:line="223" w:lineRule="exact"/>
              <w:ind w:left="101"/>
              <w:rPr>
                <w:rFonts w:ascii="Times New Roman" w:eastAsia="Times New Roman"/>
                <w:sz w:val="18"/>
              </w:rPr>
            </w:pPr>
            <w:r>
              <w:rPr>
                <w:rFonts w:ascii="Times New Roman" w:eastAsia="Times New Roman"/>
                <w:sz w:val="18"/>
              </w:rPr>
              <w:t>(</w:t>
            </w:r>
            <w:r>
              <w:rPr>
                <w:sz w:val="18"/>
              </w:rPr>
              <w:t>大小规模</w:t>
            </w:r>
            <w:r>
              <w:rPr>
                <w:rFonts w:ascii="Times New Roman" w:eastAsia="Times New Roman"/>
                <w:spacing w:val="-10"/>
                <w:sz w:val="18"/>
              </w:rPr>
              <w:t>)</w:t>
            </w:r>
          </w:p>
        </w:tc>
        <w:tc>
          <w:tcPr>
            <w:tcW w:w="1054" w:type="dxa"/>
          </w:tcPr>
          <w:p>
            <w:pPr>
              <w:pStyle w:val="TableParagraph"/>
              <w:spacing w:before="76" w:line="333" w:lineRule="auto"/>
              <w:ind w:left="252" w:right="71" w:hanging="180"/>
              <w:rPr>
                <w:sz w:val="18"/>
              </w:rPr>
            </w:pPr>
            <w:r>
              <w:rPr>
                <w:spacing w:val="-2"/>
                <w:sz w:val="18"/>
              </w:rPr>
              <w:t>地面水水质</w:t>
            </w:r>
            <w:r>
              <w:rPr>
                <w:spacing w:val="13"/>
                <w:sz w:val="18"/>
              </w:rPr>
              <w:t>要 求</w:t>
            </w:r>
          </w:p>
          <w:p>
            <w:pPr>
              <w:pStyle w:val="TableParagraph"/>
              <w:spacing w:line="223" w:lineRule="exact"/>
              <w:ind w:left="102"/>
              <w:rPr>
                <w:rFonts w:ascii="Times New Roman" w:eastAsia="Times New Roman"/>
                <w:sz w:val="18"/>
              </w:rPr>
            </w:pPr>
            <w:r>
              <w:rPr>
                <w:rFonts w:ascii="Times New Roman" w:eastAsia="Times New Roman"/>
                <w:sz w:val="18"/>
              </w:rPr>
              <w:t>(</w:t>
            </w:r>
            <w:r>
              <w:rPr>
                <w:sz w:val="18"/>
              </w:rPr>
              <w:t>水质类别</w:t>
            </w:r>
            <w:r>
              <w:rPr>
                <w:rFonts w:ascii="Times New Roman" w:eastAsia="Times New Roman"/>
                <w:spacing w:val="-10"/>
                <w:sz w:val="18"/>
              </w:rPr>
              <w:t>)</w:t>
            </w:r>
          </w:p>
        </w:tc>
        <w:tc>
          <w:tcPr>
            <w:tcW w:w="1054" w:type="dxa"/>
          </w:tcPr>
          <w:p>
            <w:pPr>
              <w:pStyle w:val="TableParagraph"/>
              <w:spacing w:before="76" w:line="333" w:lineRule="auto"/>
              <w:ind w:left="251" w:right="160" w:hanging="90"/>
              <w:rPr>
                <w:sz w:val="18"/>
              </w:rPr>
            </w:pPr>
            <w:r>
              <w:rPr>
                <w:spacing w:val="-4"/>
                <w:sz w:val="18"/>
              </w:rPr>
              <w:t>地面水域</w:t>
            </w:r>
            <w:r>
              <w:rPr>
                <w:spacing w:val="13"/>
                <w:sz w:val="18"/>
              </w:rPr>
              <w:t>规 模</w:t>
            </w:r>
          </w:p>
          <w:p>
            <w:pPr>
              <w:pStyle w:val="TableParagraph"/>
              <w:spacing w:line="223" w:lineRule="exact"/>
              <w:ind w:left="102"/>
              <w:rPr>
                <w:rFonts w:ascii="Times New Roman" w:eastAsia="Times New Roman"/>
                <w:sz w:val="18"/>
              </w:rPr>
            </w:pPr>
            <w:r>
              <w:rPr>
                <w:rFonts w:ascii="Times New Roman" w:eastAsia="Times New Roman"/>
                <w:sz w:val="18"/>
              </w:rPr>
              <w:t>(</w:t>
            </w:r>
            <w:r>
              <w:rPr>
                <w:sz w:val="18"/>
              </w:rPr>
              <w:t>大小规模</w:t>
            </w:r>
            <w:r>
              <w:rPr>
                <w:rFonts w:ascii="Times New Roman" w:eastAsia="Times New Roman"/>
                <w:spacing w:val="-10"/>
                <w:sz w:val="18"/>
              </w:rPr>
              <w:t>)</w:t>
            </w:r>
          </w:p>
        </w:tc>
        <w:tc>
          <w:tcPr>
            <w:tcW w:w="1053" w:type="dxa"/>
            <w:tcBorders>
              <w:right w:val="nil"/>
            </w:tcBorders>
          </w:tcPr>
          <w:p>
            <w:pPr>
              <w:pStyle w:val="TableParagraph"/>
              <w:spacing w:before="76" w:line="333" w:lineRule="auto"/>
              <w:ind w:left="251" w:right="69" w:hanging="180"/>
              <w:rPr>
                <w:sz w:val="18"/>
              </w:rPr>
            </w:pPr>
            <w:r>
              <w:rPr>
                <w:spacing w:val="-2"/>
                <w:sz w:val="18"/>
              </w:rPr>
              <w:t>地面水水质</w:t>
            </w:r>
            <w:r>
              <w:rPr>
                <w:spacing w:val="13"/>
                <w:sz w:val="18"/>
              </w:rPr>
              <w:t>要 求</w:t>
            </w:r>
          </w:p>
          <w:p>
            <w:pPr>
              <w:pStyle w:val="TableParagraph"/>
              <w:spacing w:line="223" w:lineRule="exact"/>
              <w:ind w:left="101"/>
              <w:rPr>
                <w:rFonts w:ascii="Times New Roman" w:eastAsia="Times New Roman"/>
                <w:sz w:val="18"/>
              </w:rPr>
            </w:pPr>
            <w:r>
              <w:rPr>
                <w:rFonts w:ascii="Times New Roman" w:eastAsia="Times New Roman"/>
                <w:sz w:val="18"/>
              </w:rPr>
              <w:t>(</w:t>
            </w:r>
            <w:r>
              <w:rPr>
                <w:sz w:val="18"/>
              </w:rPr>
              <w:t>水质类别</w:t>
            </w:r>
            <w:r>
              <w:rPr>
                <w:rFonts w:ascii="Times New Roman" w:eastAsia="Times New Roman"/>
                <w:spacing w:val="-10"/>
                <w:sz w:val="18"/>
              </w:rPr>
              <w:t>)</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val="restart"/>
            <w:tcBorders>
              <w:left w:val="nil"/>
            </w:tcBorders>
          </w:tcPr>
          <w:p>
            <w:pPr>
              <w:pStyle w:val="TableParagraph"/>
              <w:rPr>
                <w:sz w:val="20"/>
              </w:rPr>
            </w:pPr>
          </w:p>
          <w:p>
            <w:pPr>
              <w:pStyle w:val="TableParagraph"/>
              <w:rPr>
                <w:sz w:val="20"/>
              </w:rPr>
            </w:pPr>
          </w:p>
          <w:p>
            <w:pPr>
              <w:pStyle w:val="TableParagraph"/>
              <w:rPr>
                <w:sz w:val="20"/>
              </w:rPr>
            </w:pPr>
          </w:p>
          <w:p>
            <w:pPr>
              <w:pStyle w:val="TableParagraph"/>
              <w:rPr>
                <w:sz w:val="15"/>
              </w:rPr>
            </w:pPr>
          </w:p>
          <w:p>
            <w:pPr>
              <w:pStyle w:val="TableParagraph"/>
              <w:ind w:left="205"/>
              <w:rPr>
                <w:rFonts w:ascii="Times New Roman" w:hAnsi="Times New Roman"/>
                <w:sz w:val="18"/>
              </w:rPr>
            </w:pPr>
            <w:r>
              <w:rPr>
                <w:spacing w:val="-2"/>
                <w:sz w:val="18"/>
              </w:rPr>
              <w:t>≥</w:t>
            </w:r>
            <w:r>
              <w:rPr>
                <w:rFonts w:ascii="Times New Roman" w:hAnsi="Times New Roman"/>
                <w:spacing w:val="-2"/>
                <w:sz w:val="18"/>
              </w:rPr>
              <w:t>20000</w:t>
            </w:r>
          </w:p>
        </w:tc>
        <w:tc>
          <w:tcPr>
            <w:tcW w:w="1047" w:type="dxa"/>
            <w:vMerge w:val="restart"/>
          </w:tcPr>
          <w:p>
            <w:pPr>
              <w:pStyle w:val="TableParagraph"/>
              <w:spacing w:before="4"/>
              <w:rPr>
                <w:sz w:val="20"/>
              </w:rPr>
            </w:pPr>
          </w:p>
          <w:p>
            <w:pPr>
              <w:pStyle w:val="TableParagraph"/>
              <w:ind w:left="248"/>
              <w:rPr>
                <w:sz w:val="18"/>
              </w:rPr>
            </w:pPr>
            <w:r>
              <w:rPr>
                <w:sz w:val="18"/>
              </w:rPr>
              <w:t>复</w:t>
            </w:r>
            <w:r>
              <w:rPr>
                <w:spacing w:val="45"/>
                <w:w w:val="150"/>
                <w:sz w:val="18"/>
              </w:rPr>
              <w:t xml:space="preserve"> </w:t>
            </w:r>
            <w:r>
              <w:rPr>
                <w:spacing w:val="-10"/>
                <w:sz w:val="18"/>
              </w:rPr>
              <w:t>杂</w:t>
            </w:r>
          </w:p>
        </w:tc>
        <w:tc>
          <w:tcPr>
            <w:tcW w:w="1053" w:type="dxa"/>
            <w:tcBorders>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Ⅳ、Ⅴ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Ⅳ</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中</w:t>
            </w:r>
            <w:r>
              <w:rPr>
                <w:spacing w:val="45"/>
                <w:w w:val="150"/>
                <w:sz w:val="18"/>
              </w:rPr>
              <w:t xml:space="preserve"> </w:t>
            </w:r>
            <w:r>
              <w:rPr>
                <w:spacing w:val="-10"/>
                <w:sz w:val="18"/>
              </w:rPr>
              <w:t>等</w:t>
            </w:r>
          </w:p>
        </w:tc>
        <w:tc>
          <w:tcPr>
            <w:tcW w:w="1053" w:type="dxa"/>
            <w:tcBorders>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Ⅳ、Ⅴ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Ⅳ</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简</w:t>
            </w:r>
            <w:r>
              <w:rPr>
                <w:spacing w:val="45"/>
                <w:w w:val="150"/>
                <w:sz w:val="18"/>
              </w:rPr>
              <w:t xml:space="preserve"> </w:t>
            </w:r>
            <w:r>
              <w:rPr>
                <w:spacing w:val="-10"/>
                <w:sz w:val="18"/>
              </w:rPr>
              <w:t>单</w:t>
            </w:r>
          </w:p>
        </w:tc>
        <w:tc>
          <w:tcPr>
            <w:tcW w:w="1053" w:type="dxa"/>
            <w:tcBorders>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Ⅲ</w:t>
            </w:r>
            <w:r>
              <w:rPr>
                <w:rFonts w:ascii="Times New Roman" w:hAnsi="Times New Roman"/>
                <w:spacing w:val="-5"/>
                <w:sz w:val="18"/>
              </w:rPr>
              <w:t>~</w:t>
            </w:r>
            <w:r>
              <w:rPr>
                <w:spacing w:val="-5"/>
                <w:sz w:val="18"/>
              </w:rPr>
              <w:t>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Ⅳ、Ⅴ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val="restart"/>
            <w:tcBorders>
              <w:left w:val="nil"/>
            </w:tcBorders>
          </w:tcPr>
          <w:p>
            <w:pPr>
              <w:pStyle w:val="TableParagraph"/>
              <w:rPr>
                <w:sz w:val="20"/>
              </w:rPr>
            </w:pPr>
          </w:p>
          <w:p>
            <w:pPr>
              <w:pStyle w:val="TableParagraph"/>
              <w:rPr>
                <w:sz w:val="20"/>
              </w:rPr>
            </w:pPr>
          </w:p>
          <w:p>
            <w:pPr>
              <w:pStyle w:val="TableParagraph"/>
              <w:spacing w:before="5"/>
              <w:rPr>
                <w:sz w:val="23"/>
              </w:rPr>
            </w:pPr>
          </w:p>
          <w:p>
            <w:pPr>
              <w:pStyle w:val="TableParagraph"/>
              <w:ind w:left="245"/>
              <w:rPr>
                <w:rFonts w:ascii="Times New Roman"/>
                <w:sz w:val="18"/>
              </w:rPr>
            </w:pPr>
            <w:r>
              <w:rPr>
                <w:rFonts w:ascii="Times New Roman"/>
                <w:spacing w:val="-2"/>
                <w:sz w:val="18"/>
              </w:rPr>
              <w:t>&lt;20000</w:t>
            </w:r>
          </w:p>
          <w:p>
            <w:pPr>
              <w:pStyle w:val="TableParagraph"/>
              <w:spacing w:before="102"/>
              <w:ind w:left="205"/>
              <w:rPr>
                <w:rFonts w:ascii="Times New Roman" w:hAnsi="Times New Roman"/>
                <w:sz w:val="18"/>
              </w:rPr>
            </w:pPr>
            <w:r>
              <w:rPr>
                <w:spacing w:val="-2"/>
                <w:sz w:val="18"/>
              </w:rPr>
              <w:t>≥</w:t>
            </w:r>
            <w:r>
              <w:rPr>
                <w:rFonts w:ascii="Times New Roman" w:hAnsi="Times New Roman"/>
                <w:spacing w:val="-2"/>
                <w:sz w:val="18"/>
              </w:rPr>
              <w:t>10000</w:t>
            </w:r>
          </w:p>
        </w:tc>
        <w:tc>
          <w:tcPr>
            <w:tcW w:w="1047" w:type="dxa"/>
            <w:vMerge w:val="restart"/>
          </w:tcPr>
          <w:p>
            <w:pPr>
              <w:pStyle w:val="TableParagraph"/>
              <w:spacing w:before="4"/>
              <w:rPr>
                <w:sz w:val="20"/>
              </w:rPr>
            </w:pPr>
          </w:p>
          <w:p>
            <w:pPr>
              <w:pStyle w:val="TableParagraph"/>
              <w:ind w:left="248"/>
              <w:rPr>
                <w:sz w:val="18"/>
              </w:rPr>
            </w:pPr>
            <w:r>
              <w:rPr>
                <w:sz w:val="18"/>
              </w:rPr>
              <w:t>复</w:t>
            </w:r>
            <w:r>
              <w:rPr>
                <w:spacing w:val="45"/>
                <w:w w:val="150"/>
                <w:sz w:val="18"/>
              </w:rPr>
              <w:t xml:space="preserve"> </w:t>
            </w:r>
            <w:r>
              <w:rPr>
                <w:spacing w:val="-10"/>
                <w:sz w:val="18"/>
              </w:rPr>
              <w:t>杂</w:t>
            </w:r>
          </w:p>
        </w:tc>
        <w:tc>
          <w:tcPr>
            <w:tcW w:w="1053" w:type="dxa"/>
            <w:tcBorders>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Ⅳ、Ⅴ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Ⅳ</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中</w:t>
            </w:r>
            <w:r>
              <w:rPr>
                <w:spacing w:val="45"/>
                <w:w w:val="150"/>
                <w:sz w:val="18"/>
              </w:rPr>
              <w:t xml:space="preserve"> </w:t>
            </w:r>
            <w:r>
              <w:rPr>
                <w:spacing w:val="-10"/>
                <w:sz w:val="18"/>
              </w:rPr>
              <w:t>等</w:t>
            </w:r>
          </w:p>
        </w:tc>
        <w:tc>
          <w:tcPr>
            <w:tcW w:w="1053" w:type="dxa"/>
            <w:tcBorders>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Ⅲ、Ⅳ</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3" w:type="dxa"/>
            <w:tcBorders>
              <w:left w:val="dashed" w:sz="4" w:space="0" w:color="000000"/>
              <w:right w:val="nil"/>
            </w:tcBorders>
          </w:tcPr>
          <w:p>
            <w:pPr>
              <w:pStyle w:val="TableParagraph"/>
              <w:spacing w:before="86"/>
              <w:jc w:val="center"/>
              <w:rPr>
                <w:sz w:val="18"/>
              </w:rPr>
            </w:pPr>
            <w:r>
              <w:rPr>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Ⅲ</w:t>
            </w:r>
            <w:r>
              <w:rPr>
                <w:rFonts w:ascii="Times New Roman" w:hAnsi="Times New Roman"/>
                <w:spacing w:val="-5"/>
                <w:sz w:val="18"/>
              </w:rPr>
              <w:t>~</w:t>
            </w:r>
            <w:r>
              <w:rPr>
                <w:spacing w:val="-5"/>
                <w:sz w:val="18"/>
              </w:rPr>
              <w:t>Ⅴ</w:t>
            </w: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nil"/>
            </w:tcBorders>
          </w:tcPr>
          <w:p>
            <w:pPr>
              <w:pStyle w:val="TableParagraph"/>
              <w:rPr>
                <w:rFonts w:ascii="Times New Roman"/>
                <w:sz w:val="18"/>
              </w:rPr>
            </w:pP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简</w:t>
            </w:r>
            <w:r>
              <w:rPr>
                <w:spacing w:val="45"/>
                <w:w w:val="150"/>
                <w:sz w:val="18"/>
              </w:rPr>
              <w:t xml:space="preserve"> </w:t>
            </w:r>
            <w:r>
              <w:rPr>
                <w:spacing w:val="-10"/>
                <w:sz w:val="18"/>
              </w:rPr>
              <w:t>单</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大</w:t>
            </w:r>
          </w:p>
        </w:tc>
        <w:tc>
          <w:tcPr>
            <w:tcW w:w="1053" w:type="dxa"/>
            <w:tcBorders>
              <w:left w:val="dashed" w:sz="4" w:space="0" w:color="000000"/>
              <w:right w:val="nil"/>
            </w:tcBorders>
          </w:tcPr>
          <w:p>
            <w:pPr>
              <w:pStyle w:val="TableParagraph"/>
              <w:spacing w:before="86"/>
              <w:ind w:left="240" w:right="240"/>
              <w:jc w:val="center"/>
              <w:rPr>
                <w:sz w:val="18"/>
              </w:rPr>
            </w:pPr>
            <w:r>
              <w:rPr>
                <w:spacing w:val="-4"/>
                <w:sz w:val="18"/>
              </w:rPr>
              <w:t>Ⅳ、Ⅴ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Ⅰ</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中、小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Ⅱ</w:t>
            </w:r>
            <w:r>
              <w:rPr>
                <w:rFonts w:ascii="Times New Roman" w:hAnsi="Times New Roman"/>
                <w:spacing w:val="-5"/>
                <w:sz w:val="18"/>
              </w:rPr>
              <w:t>~</w:t>
            </w:r>
            <w:r>
              <w:rPr>
                <w:spacing w:val="-5"/>
                <w:sz w:val="18"/>
              </w:rPr>
              <w:t>Ⅳ</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中、小</w:t>
            </w:r>
          </w:p>
        </w:tc>
        <w:tc>
          <w:tcPr>
            <w:tcW w:w="1053" w:type="dxa"/>
            <w:tcBorders>
              <w:left w:val="dashed" w:sz="4" w:space="0" w:color="000000"/>
              <w:right w:val="nil"/>
            </w:tcBorders>
          </w:tcPr>
          <w:p>
            <w:pPr>
              <w:pStyle w:val="TableParagraph"/>
              <w:spacing w:before="86"/>
              <w:jc w:val="center"/>
              <w:rPr>
                <w:sz w:val="18"/>
              </w:rPr>
            </w:pPr>
            <w:r>
              <w:rPr>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val="restart"/>
            <w:tcBorders>
              <w:left w:val="nil"/>
            </w:tcBorders>
          </w:tcPr>
          <w:p>
            <w:pPr>
              <w:pStyle w:val="TableParagraph"/>
              <w:rPr>
                <w:sz w:val="20"/>
              </w:rPr>
            </w:pPr>
          </w:p>
          <w:p>
            <w:pPr>
              <w:pStyle w:val="TableParagraph"/>
              <w:rPr>
                <w:sz w:val="20"/>
              </w:rPr>
            </w:pPr>
          </w:p>
          <w:p>
            <w:pPr>
              <w:pStyle w:val="TableParagraph"/>
              <w:spacing w:before="5"/>
              <w:rPr>
                <w:sz w:val="23"/>
              </w:rPr>
            </w:pPr>
          </w:p>
          <w:p>
            <w:pPr>
              <w:pStyle w:val="TableParagraph"/>
              <w:ind w:left="245"/>
              <w:rPr>
                <w:rFonts w:ascii="Times New Roman"/>
                <w:sz w:val="18"/>
              </w:rPr>
            </w:pPr>
            <w:r>
              <w:rPr>
                <w:rFonts w:ascii="Times New Roman"/>
                <w:spacing w:val="-2"/>
                <w:sz w:val="18"/>
              </w:rPr>
              <w:t>&lt;10000</w:t>
            </w:r>
          </w:p>
          <w:p>
            <w:pPr>
              <w:pStyle w:val="TableParagraph"/>
              <w:spacing w:before="102"/>
              <w:ind w:left="250"/>
              <w:rPr>
                <w:rFonts w:ascii="Times New Roman" w:hAnsi="Times New Roman"/>
                <w:sz w:val="18"/>
              </w:rPr>
            </w:pPr>
            <w:r>
              <w:rPr>
                <w:spacing w:val="-2"/>
                <w:sz w:val="18"/>
              </w:rPr>
              <w:t>≥</w:t>
            </w:r>
            <w:r>
              <w:rPr>
                <w:rFonts w:ascii="Times New Roman" w:hAnsi="Times New Roman"/>
                <w:spacing w:val="-2"/>
                <w:sz w:val="18"/>
              </w:rPr>
              <w:t>5000</w:t>
            </w:r>
          </w:p>
        </w:tc>
        <w:tc>
          <w:tcPr>
            <w:tcW w:w="1047" w:type="dxa"/>
            <w:vMerge w:val="restart"/>
          </w:tcPr>
          <w:p>
            <w:pPr>
              <w:pStyle w:val="TableParagraph"/>
              <w:spacing w:before="4"/>
              <w:rPr>
                <w:sz w:val="20"/>
              </w:rPr>
            </w:pPr>
          </w:p>
          <w:p>
            <w:pPr>
              <w:pStyle w:val="TableParagraph"/>
              <w:ind w:left="248"/>
              <w:rPr>
                <w:sz w:val="18"/>
              </w:rPr>
            </w:pPr>
            <w:r>
              <w:rPr>
                <w:sz w:val="18"/>
              </w:rPr>
              <w:t>复</w:t>
            </w:r>
            <w:r>
              <w:rPr>
                <w:spacing w:val="45"/>
                <w:w w:val="150"/>
                <w:sz w:val="18"/>
              </w:rPr>
              <w:t xml:space="preserve"> </w:t>
            </w:r>
            <w:r>
              <w:rPr>
                <w:spacing w:val="-10"/>
                <w:sz w:val="18"/>
              </w:rPr>
              <w:t>杂</w:t>
            </w:r>
          </w:p>
        </w:tc>
        <w:tc>
          <w:tcPr>
            <w:tcW w:w="1053" w:type="dxa"/>
            <w:tcBorders>
              <w:right w:val="dashed" w:sz="4" w:space="0" w:color="000000"/>
            </w:tcBorders>
          </w:tcPr>
          <w:p>
            <w:pPr>
              <w:pStyle w:val="TableParagraph"/>
              <w:spacing w:before="86"/>
              <w:ind w:left="237" w:right="237"/>
              <w:jc w:val="center"/>
              <w:rPr>
                <w:sz w:val="18"/>
              </w:rPr>
            </w:pPr>
            <w:r>
              <w:rPr>
                <w:spacing w:val="-4"/>
                <w:sz w:val="18"/>
              </w:rPr>
              <w:t>大、中</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大、中</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Ⅲ、Ⅳ</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jc w:val="center"/>
              <w:rPr>
                <w:sz w:val="18"/>
              </w:rPr>
            </w:pPr>
            <w:r>
              <w:rPr>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Ⅲ、Ⅳ</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jc w:val="center"/>
              <w:rPr>
                <w:sz w:val="18"/>
              </w:rPr>
            </w:pPr>
            <w:r>
              <w:rPr>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中</w:t>
            </w:r>
            <w:r>
              <w:rPr>
                <w:spacing w:val="45"/>
                <w:w w:val="150"/>
                <w:sz w:val="18"/>
              </w:rPr>
              <w:t xml:space="preserve"> </w:t>
            </w:r>
            <w:r>
              <w:rPr>
                <w:spacing w:val="-10"/>
                <w:sz w:val="18"/>
              </w:rPr>
              <w:t>等</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大、中</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4"/>
                <w:sz w:val="18"/>
              </w:rPr>
              <w:t>Ⅳ、Ⅴ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Ⅰ</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Ⅱ</w:t>
            </w:r>
            <w:r>
              <w:rPr>
                <w:rFonts w:ascii="Times New Roman" w:hAnsi="Times New Roman"/>
                <w:spacing w:val="-5"/>
                <w:sz w:val="18"/>
              </w:rPr>
              <w:t>~</w:t>
            </w:r>
            <w:r>
              <w:rPr>
                <w:spacing w:val="-5"/>
                <w:sz w:val="18"/>
              </w:rPr>
              <w:t>Ⅳ</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jc w:val="center"/>
              <w:rPr>
                <w:sz w:val="18"/>
              </w:rPr>
            </w:pPr>
            <w:r>
              <w:rPr>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简</w:t>
            </w:r>
            <w:r>
              <w:rPr>
                <w:spacing w:val="45"/>
                <w:w w:val="150"/>
                <w:sz w:val="18"/>
              </w:rPr>
              <w:t xml:space="preserve"> </w:t>
            </w:r>
            <w:r>
              <w:rPr>
                <w:spacing w:val="-10"/>
                <w:sz w:val="18"/>
              </w:rPr>
              <w:t>单</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大、中</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Ⅲ</w:t>
            </w:r>
            <w:r>
              <w:rPr>
                <w:rFonts w:ascii="Times New Roman" w:hAnsi="Times New Roman"/>
                <w:spacing w:val="-5"/>
                <w:sz w:val="18"/>
              </w:rPr>
              <w:t>~</w:t>
            </w:r>
            <w:r>
              <w:rPr>
                <w:spacing w:val="-5"/>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ind w:left="240" w:right="240"/>
              <w:jc w:val="center"/>
              <w:rPr>
                <w:sz w:val="18"/>
              </w:rPr>
            </w:pPr>
            <w:r>
              <w:rPr>
                <w:spacing w:val="-4"/>
                <w:sz w:val="18"/>
              </w:rPr>
              <w:t>Ⅳ、Ⅴ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val="restart"/>
            <w:tcBorders>
              <w:left w:val="nil"/>
            </w:tcBorders>
          </w:tcPr>
          <w:p>
            <w:pPr>
              <w:pStyle w:val="TableParagraph"/>
              <w:rPr>
                <w:sz w:val="20"/>
              </w:rPr>
            </w:pPr>
          </w:p>
          <w:p>
            <w:pPr>
              <w:pStyle w:val="TableParagraph"/>
              <w:rPr>
                <w:sz w:val="20"/>
              </w:rPr>
            </w:pPr>
          </w:p>
          <w:p>
            <w:pPr>
              <w:pStyle w:val="TableParagraph"/>
              <w:spacing w:before="5"/>
              <w:rPr>
                <w:sz w:val="23"/>
              </w:rPr>
            </w:pPr>
          </w:p>
          <w:p>
            <w:pPr>
              <w:pStyle w:val="TableParagraph"/>
              <w:ind w:left="290"/>
              <w:rPr>
                <w:rFonts w:ascii="Times New Roman"/>
                <w:sz w:val="18"/>
              </w:rPr>
            </w:pPr>
            <w:r>
              <w:rPr>
                <w:rFonts w:ascii="Times New Roman"/>
                <w:spacing w:val="-2"/>
                <w:sz w:val="18"/>
              </w:rPr>
              <w:t>&lt;5000</w:t>
            </w:r>
          </w:p>
          <w:p>
            <w:pPr>
              <w:pStyle w:val="TableParagraph"/>
              <w:spacing w:before="102"/>
              <w:ind w:left="250"/>
              <w:rPr>
                <w:rFonts w:ascii="Times New Roman" w:hAnsi="Times New Roman"/>
                <w:sz w:val="18"/>
              </w:rPr>
            </w:pPr>
            <w:r>
              <w:rPr>
                <w:spacing w:val="-2"/>
                <w:sz w:val="18"/>
              </w:rPr>
              <w:t>≥</w:t>
            </w:r>
            <w:r>
              <w:rPr>
                <w:rFonts w:ascii="Times New Roman" w:hAnsi="Times New Roman"/>
                <w:spacing w:val="-2"/>
                <w:sz w:val="18"/>
              </w:rPr>
              <w:t>1000</w:t>
            </w:r>
          </w:p>
        </w:tc>
        <w:tc>
          <w:tcPr>
            <w:tcW w:w="1047" w:type="dxa"/>
            <w:vMerge w:val="restart"/>
          </w:tcPr>
          <w:p>
            <w:pPr>
              <w:pStyle w:val="TableParagraph"/>
              <w:spacing w:before="4"/>
              <w:rPr>
                <w:sz w:val="20"/>
              </w:rPr>
            </w:pPr>
          </w:p>
          <w:p>
            <w:pPr>
              <w:pStyle w:val="TableParagraph"/>
              <w:ind w:left="248"/>
              <w:rPr>
                <w:sz w:val="18"/>
              </w:rPr>
            </w:pPr>
            <w:r>
              <w:rPr>
                <w:sz w:val="18"/>
              </w:rPr>
              <w:t>复</w:t>
            </w:r>
            <w:r>
              <w:rPr>
                <w:spacing w:val="45"/>
                <w:w w:val="150"/>
                <w:sz w:val="18"/>
              </w:rPr>
              <w:t xml:space="preserve"> </w:t>
            </w:r>
            <w:r>
              <w:rPr>
                <w:spacing w:val="-10"/>
                <w:sz w:val="18"/>
              </w:rPr>
              <w:t>杂</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大、中</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4"/>
                <w:sz w:val="18"/>
              </w:rPr>
              <w:t>Ⅳ、Ⅴ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Ⅰ</w:t>
            </w:r>
          </w:p>
        </w:tc>
        <w:tc>
          <w:tcPr>
            <w:tcW w:w="1053"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Ⅱ</w:t>
            </w:r>
            <w:r>
              <w:rPr>
                <w:rFonts w:ascii="Times New Roman" w:hAnsi="Times New Roman"/>
                <w:spacing w:val="-5"/>
                <w:sz w:val="18"/>
              </w:rPr>
              <w:t>~</w:t>
            </w:r>
            <w:r>
              <w:rPr>
                <w:spacing w:val="-5"/>
                <w:sz w:val="18"/>
              </w:rPr>
              <w:t>Ⅳ</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jc w:val="center"/>
              <w:rPr>
                <w:sz w:val="18"/>
              </w:rPr>
            </w:pPr>
            <w:r>
              <w:rPr>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中</w:t>
            </w:r>
            <w:r>
              <w:rPr>
                <w:spacing w:val="45"/>
                <w:w w:val="150"/>
                <w:sz w:val="18"/>
              </w:rPr>
              <w:t xml:space="preserve"> </w:t>
            </w:r>
            <w:r>
              <w:rPr>
                <w:spacing w:val="-10"/>
                <w:sz w:val="18"/>
              </w:rPr>
              <w:t>等</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ind w:left="237" w:right="237"/>
              <w:jc w:val="center"/>
              <w:rPr>
                <w:sz w:val="18"/>
              </w:rPr>
            </w:pPr>
            <w:r>
              <w:rPr>
                <w:spacing w:val="-4"/>
                <w:sz w:val="18"/>
              </w:rPr>
              <w:t>大、中</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Ⅰ、Ⅱ</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Ⅲ</w:t>
            </w:r>
            <w:r>
              <w:rPr>
                <w:rFonts w:ascii="Times New Roman" w:hAnsi="Times New Roman"/>
                <w:spacing w:val="-5"/>
                <w:sz w:val="18"/>
              </w:rPr>
              <w:t>~</w:t>
            </w:r>
            <w:r>
              <w:rPr>
                <w:spacing w:val="-5"/>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5"/>
                <w:sz w:val="18"/>
              </w:rPr>
              <w:t>Ⅰ</w:t>
            </w:r>
            <w:r>
              <w:rPr>
                <w:rFonts w:ascii="Times New Roman" w:hAnsi="Times New Roman"/>
                <w:spacing w:val="-5"/>
                <w:sz w:val="18"/>
              </w:rPr>
              <w:t>~</w:t>
            </w:r>
            <w:r>
              <w:rPr>
                <w:spacing w:val="-5"/>
                <w:sz w:val="18"/>
              </w:rPr>
              <w:t>Ⅲ</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ind w:left="240" w:right="240"/>
              <w:jc w:val="center"/>
              <w:rPr>
                <w:sz w:val="18"/>
              </w:rPr>
            </w:pPr>
            <w:r>
              <w:rPr>
                <w:spacing w:val="-4"/>
                <w:sz w:val="18"/>
              </w:rPr>
              <w:t>Ⅳ、Ⅴ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简</w:t>
            </w:r>
            <w:r>
              <w:rPr>
                <w:spacing w:val="45"/>
                <w:w w:val="150"/>
                <w:sz w:val="18"/>
              </w:rPr>
              <w:t xml:space="preserve"> </w:t>
            </w:r>
            <w:r>
              <w:rPr>
                <w:spacing w:val="-10"/>
                <w:sz w:val="18"/>
              </w:rPr>
              <w:t>单</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Ⅰ</w:t>
            </w:r>
            <w:r>
              <w:rPr>
                <w:rFonts w:ascii="Times New Roman" w:hAnsi="Times New Roman"/>
                <w:spacing w:val="-5"/>
                <w:sz w:val="18"/>
              </w:rPr>
              <w:t>~</w:t>
            </w:r>
            <w:r>
              <w:rPr>
                <w:spacing w:val="-5"/>
                <w:sz w:val="18"/>
              </w:rPr>
              <w:t>Ⅳ</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Ⅰ</w:t>
            </w: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Ⅱ</w:t>
            </w:r>
            <w:r>
              <w:rPr>
                <w:rFonts w:ascii="Times New Roman" w:hAnsi="Times New Roman"/>
                <w:spacing w:val="-5"/>
                <w:sz w:val="18"/>
              </w:rPr>
              <w:t>~</w:t>
            </w:r>
            <w:r>
              <w:rPr>
                <w:spacing w:val="-5"/>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val="restart"/>
            <w:tcBorders>
              <w:left w:val="nil"/>
            </w:tcBorders>
          </w:tcPr>
          <w:p>
            <w:pPr>
              <w:pStyle w:val="TableParagraph"/>
              <w:rPr>
                <w:sz w:val="20"/>
              </w:rPr>
            </w:pPr>
          </w:p>
          <w:p>
            <w:pPr>
              <w:pStyle w:val="TableParagraph"/>
              <w:spacing w:before="10"/>
              <w:rPr>
                <w:sz w:val="29"/>
              </w:rPr>
            </w:pPr>
          </w:p>
          <w:p>
            <w:pPr>
              <w:pStyle w:val="TableParagraph"/>
              <w:ind w:left="290"/>
              <w:rPr>
                <w:rFonts w:ascii="Times New Roman"/>
                <w:sz w:val="18"/>
              </w:rPr>
            </w:pPr>
            <w:r>
              <w:rPr>
                <w:rFonts w:ascii="Times New Roman"/>
                <w:spacing w:val="-2"/>
                <w:sz w:val="18"/>
              </w:rPr>
              <w:t>&lt;1000</w:t>
            </w:r>
          </w:p>
          <w:p>
            <w:pPr>
              <w:pStyle w:val="TableParagraph"/>
              <w:spacing w:before="101"/>
              <w:ind w:left="295"/>
              <w:rPr>
                <w:rFonts w:ascii="Times New Roman" w:hAnsi="Times New Roman"/>
                <w:sz w:val="18"/>
              </w:rPr>
            </w:pPr>
            <w:r>
              <w:rPr>
                <w:spacing w:val="-4"/>
                <w:sz w:val="18"/>
              </w:rPr>
              <w:t>≥</w:t>
            </w:r>
            <w:r>
              <w:rPr>
                <w:rFonts w:ascii="Times New Roman" w:hAnsi="Times New Roman"/>
                <w:spacing w:val="-4"/>
                <w:sz w:val="18"/>
              </w:rPr>
              <w:t>200</w:t>
            </w:r>
          </w:p>
        </w:tc>
        <w:tc>
          <w:tcPr>
            <w:tcW w:w="1047" w:type="dxa"/>
            <w:vMerge w:val="restart"/>
          </w:tcPr>
          <w:p>
            <w:pPr>
              <w:pStyle w:val="TableParagraph"/>
              <w:spacing w:before="4"/>
              <w:rPr>
                <w:sz w:val="20"/>
              </w:rPr>
            </w:pPr>
          </w:p>
          <w:p>
            <w:pPr>
              <w:pStyle w:val="TableParagraph"/>
              <w:ind w:left="248"/>
              <w:rPr>
                <w:sz w:val="18"/>
              </w:rPr>
            </w:pPr>
            <w:r>
              <w:rPr>
                <w:sz w:val="18"/>
              </w:rPr>
              <w:t>复</w:t>
            </w:r>
            <w:r>
              <w:rPr>
                <w:spacing w:val="45"/>
                <w:w w:val="150"/>
                <w:sz w:val="18"/>
              </w:rPr>
              <w:t xml:space="preserve"> </w:t>
            </w:r>
            <w:r>
              <w:rPr>
                <w:spacing w:val="-10"/>
                <w:sz w:val="18"/>
              </w:rPr>
              <w:t>杂</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Ⅰ</w:t>
            </w:r>
            <w:r>
              <w:rPr>
                <w:rFonts w:ascii="Times New Roman" w:hAnsi="Times New Roman"/>
                <w:spacing w:val="-5"/>
                <w:sz w:val="18"/>
              </w:rPr>
              <w:t>~</w:t>
            </w:r>
            <w:r>
              <w:rPr>
                <w:spacing w:val="-5"/>
                <w:sz w:val="18"/>
              </w:rPr>
              <w:t>Ⅳ</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Ⅰ</w:t>
            </w:r>
            <w:r>
              <w:rPr>
                <w:rFonts w:ascii="Times New Roman" w:hAnsi="Times New Roman"/>
                <w:spacing w:val="-5"/>
                <w:sz w:val="18"/>
              </w:rPr>
              <w:t>~</w:t>
            </w:r>
            <w:r>
              <w:rPr>
                <w:spacing w:val="-5"/>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val="restart"/>
          </w:tcPr>
          <w:p>
            <w:pPr>
              <w:pStyle w:val="TableParagraph"/>
              <w:spacing w:before="4"/>
              <w:rPr>
                <w:sz w:val="20"/>
              </w:rPr>
            </w:pPr>
          </w:p>
          <w:p>
            <w:pPr>
              <w:pStyle w:val="TableParagraph"/>
              <w:ind w:left="248"/>
              <w:rPr>
                <w:sz w:val="18"/>
              </w:rPr>
            </w:pPr>
            <w:r>
              <w:rPr>
                <w:sz w:val="18"/>
              </w:rPr>
              <w:t>中</w:t>
            </w:r>
            <w:r>
              <w:rPr>
                <w:spacing w:val="45"/>
                <w:w w:val="150"/>
                <w:sz w:val="18"/>
              </w:rPr>
              <w:t xml:space="preserve"> </w:t>
            </w:r>
            <w:r>
              <w:rPr>
                <w:spacing w:val="-10"/>
                <w:sz w:val="18"/>
              </w:rPr>
              <w:t>等</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大、中</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Ⅰ</w:t>
            </w:r>
            <w:r>
              <w:rPr>
                <w:rFonts w:ascii="Times New Roman" w:hAnsi="Times New Roman"/>
                <w:spacing w:val="-5"/>
                <w:sz w:val="18"/>
              </w:rPr>
              <w:t>~</w:t>
            </w:r>
            <w:r>
              <w:rPr>
                <w:spacing w:val="-5"/>
                <w:sz w:val="18"/>
              </w:rPr>
              <w:t>Ⅳ</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vMerge/>
            <w:tcBorders>
              <w:top w:val="nil"/>
            </w:tcBorders>
          </w:tcPr>
          <w:p>
            <w:pPr>
              <w:rPr>
                <w:sz w:val="2"/>
                <w:szCs w:val="2"/>
              </w:rPr>
            </w:pP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spacing w:before="86"/>
              <w:jc w:val="center"/>
              <w:rPr>
                <w:sz w:val="18"/>
              </w:rPr>
            </w:pPr>
            <w:r>
              <w:rPr>
                <w:sz w:val="18"/>
              </w:rPr>
              <w:t>小</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Ⅰ</w:t>
            </w:r>
            <w:r>
              <w:rPr>
                <w:rFonts w:ascii="Times New Roman" w:hAnsi="Times New Roman"/>
                <w:spacing w:val="-5"/>
                <w:sz w:val="18"/>
              </w:rPr>
              <w:t>~</w:t>
            </w:r>
            <w:r>
              <w:rPr>
                <w:spacing w:val="-5"/>
                <w:sz w:val="18"/>
              </w:rPr>
              <w:t>Ⅴ</w:t>
            </w:r>
          </w:p>
        </w:tc>
      </w:tr>
      <w:tr>
        <w:tblPrEx>
          <w:tblW w:w="0" w:type="auto"/>
          <w:jc w:val="left"/>
          <w:tblInd w:w="170" w:type="dxa"/>
          <w:tblLayout w:type="fixed"/>
          <w:tblCellMar>
            <w:top w:w="0" w:type="dxa"/>
            <w:left w:w="0" w:type="dxa"/>
            <w:bottom w:w="0" w:type="dxa"/>
            <w:right w:w="0" w:type="dxa"/>
          </w:tblCellMar>
          <w:tblLook w:val="01E0"/>
        </w:tblPrEx>
        <w:trPr>
          <w:trHeight w:val="340"/>
          <w:jc w:val="left"/>
        </w:trPr>
        <w:tc>
          <w:tcPr>
            <w:tcW w:w="1052" w:type="dxa"/>
            <w:vMerge/>
            <w:tcBorders>
              <w:top w:val="nil"/>
              <w:left w:val="nil"/>
            </w:tcBorders>
          </w:tcPr>
          <w:p>
            <w:pPr>
              <w:rPr>
                <w:sz w:val="2"/>
                <w:szCs w:val="2"/>
              </w:rPr>
            </w:pPr>
          </w:p>
        </w:tc>
        <w:tc>
          <w:tcPr>
            <w:tcW w:w="1047" w:type="dxa"/>
          </w:tcPr>
          <w:p>
            <w:pPr>
              <w:pStyle w:val="TableParagraph"/>
              <w:spacing w:before="86"/>
              <w:ind w:left="248"/>
              <w:rPr>
                <w:sz w:val="18"/>
              </w:rPr>
            </w:pPr>
            <w:r>
              <w:rPr>
                <w:sz w:val="18"/>
              </w:rPr>
              <w:t>简</w:t>
            </w:r>
            <w:r>
              <w:rPr>
                <w:spacing w:val="45"/>
                <w:w w:val="150"/>
                <w:sz w:val="18"/>
              </w:rPr>
              <w:t xml:space="preserve"> </w:t>
            </w:r>
            <w:r>
              <w:rPr>
                <w:spacing w:val="-10"/>
                <w:sz w:val="18"/>
              </w:rPr>
              <w:t>单</w:t>
            </w:r>
          </w:p>
        </w:tc>
        <w:tc>
          <w:tcPr>
            <w:tcW w:w="1053" w:type="dxa"/>
            <w:tcBorders>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3"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rPr>
                <w:rFonts w:ascii="Times New Roman"/>
                <w:sz w:val="18"/>
              </w:rPr>
            </w:pPr>
          </w:p>
        </w:tc>
        <w:tc>
          <w:tcPr>
            <w:tcW w:w="1054" w:type="dxa"/>
            <w:tcBorders>
              <w:left w:val="dashed" w:sz="4" w:space="0" w:color="000000"/>
              <w:right w:val="dashed" w:sz="4" w:space="0" w:color="000000"/>
            </w:tcBorders>
          </w:tcPr>
          <w:p>
            <w:pPr>
              <w:pStyle w:val="TableParagraph"/>
              <w:spacing w:before="86"/>
              <w:ind w:left="238" w:right="238"/>
              <w:jc w:val="center"/>
              <w:rPr>
                <w:sz w:val="18"/>
              </w:rPr>
            </w:pPr>
            <w:r>
              <w:rPr>
                <w:spacing w:val="-4"/>
                <w:sz w:val="18"/>
              </w:rPr>
              <w:t>中、小</w:t>
            </w:r>
          </w:p>
        </w:tc>
        <w:tc>
          <w:tcPr>
            <w:tcW w:w="1053" w:type="dxa"/>
            <w:tcBorders>
              <w:left w:val="dashed" w:sz="4" w:space="0" w:color="000000"/>
              <w:right w:val="nil"/>
            </w:tcBorders>
          </w:tcPr>
          <w:p>
            <w:pPr>
              <w:pStyle w:val="TableParagraph"/>
              <w:spacing w:before="86"/>
              <w:ind w:left="240" w:right="240"/>
              <w:jc w:val="center"/>
              <w:rPr>
                <w:sz w:val="18"/>
              </w:rPr>
            </w:pPr>
            <w:r>
              <w:rPr>
                <w:spacing w:val="-5"/>
                <w:sz w:val="18"/>
              </w:rPr>
              <w:t>Ⅰ</w:t>
            </w:r>
            <w:r>
              <w:rPr>
                <w:rFonts w:ascii="Times New Roman" w:hAnsi="Times New Roman"/>
                <w:spacing w:val="-5"/>
                <w:sz w:val="18"/>
              </w:rPr>
              <w:t>~</w:t>
            </w:r>
            <w:r>
              <w:rPr>
                <w:spacing w:val="-5"/>
                <w:sz w:val="18"/>
              </w:rPr>
              <w:t>Ⅳ</w:t>
            </w:r>
          </w:p>
        </w:tc>
      </w:tr>
    </w:tbl>
    <w:p>
      <w:pPr>
        <w:spacing w:after="0"/>
        <w:jc w:val="center"/>
        <w:rPr>
          <w:sz w:val="18"/>
        </w:rPr>
        <w:sectPr>
          <w:footerReference w:type="even" r:id="rId20"/>
          <w:footerReference w:type="default" r:id="rId21"/>
          <w:pgSz w:w="11910" w:h="16840"/>
          <w:pgMar w:top="1880" w:right="1500" w:bottom="1180" w:left="1580" w:header="0" w:footer="990"/>
          <w:pgNumType w:start="608"/>
          <w:cols w:space="708"/>
        </w:sectPr>
      </w:pPr>
    </w:p>
    <w:p>
      <w:pPr>
        <w:pStyle w:val="BodyText"/>
        <w:tabs>
          <w:tab w:val="left" w:pos="577"/>
        </w:tabs>
        <w:spacing w:before="52" w:after="21"/>
        <w:ind w:right="78"/>
        <w:jc w:val="center"/>
      </w:pPr>
      <w:r>
        <w:t>表</w:t>
      </w:r>
      <w:r>
        <w:rPr>
          <w:spacing w:val="-53"/>
        </w:rPr>
        <w:t xml:space="preserve"> </w:t>
      </w:r>
      <w:r>
        <w:rPr>
          <w:rFonts w:ascii="Times New Roman" w:eastAsia="Times New Roman"/>
          <w:spacing w:val="-10"/>
        </w:rPr>
        <w:t>3</w:t>
      </w:r>
      <w:r>
        <w:rPr>
          <w:rFonts w:ascii="Times New Roman" w:eastAsia="Times New Roman"/>
        </w:rPr>
        <w:tab/>
      </w:r>
      <w:r>
        <w:t>海湾环境影响评价分级判</w:t>
      </w:r>
      <w:r>
        <w:rPr>
          <w:spacing w:val="-10"/>
        </w:rPr>
        <w:t>据</w:t>
      </w:r>
    </w:p>
    <w:tbl>
      <w:tblPr>
        <w:tblStyle w:val="TableNormal5"/>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4"/>
        <w:gridCol w:w="1704"/>
        <w:gridCol w:w="1704"/>
        <w:gridCol w:w="1705"/>
        <w:gridCol w:w="1705"/>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60"/>
          <w:jc w:val="left"/>
        </w:trPr>
        <w:tc>
          <w:tcPr>
            <w:tcW w:w="1704" w:type="dxa"/>
            <w:tcBorders>
              <w:left w:val="nil"/>
            </w:tcBorders>
          </w:tcPr>
          <w:p>
            <w:pPr>
              <w:pStyle w:val="TableParagraph"/>
              <w:spacing w:before="44"/>
              <w:ind w:left="384" w:right="384"/>
              <w:jc w:val="center"/>
              <w:rPr>
                <w:sz w:val="18"/>
              </w:rPr>
            </w:pPr>
            <w:r>
              <w:rPr>
                <w:spacing w:val="-2"/>
                <w:sz w:val="18"/>
              </w:rPr>
              <w:t>污水排放量</w:t>
            </w:r>
          </w:p>
          <w:p>
            <w:pPr>
              <w:pStyle w:val="TableParagraph"/>
              <w:spacing w:before="61" w:line="204" w:lineRule="exact"/>
              <w:ind w:left="384" w:right="384"/>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/d</w:t>
            </w:r>
          </w:p>
        </w:tc>
        <w:tc>
          <w:tcPr>
            <w:tcW w:w="1704" w:type="dxa"/>
          </w:tcPr>
          <w:p>
            <w:pPr>
              <w:pStyle w:val="TableParagraph"/>
              <w:spacing w:line="280" w:lineRule="exact"/>
              <w:ind w:left="486" w:right="395" w:hanging="90"/>
              <w:rPr>
                <w:sz w:val="18"/>
              </w:rPr>
            </w:pPr>
            <w:r>
              <w:rPr>
                <w:spacing w:val="-2"/>
                <w:sz w:val="18"/>
              </w:rPr>
              <w:t>污水水质的</w:t>
            </w:r>
            <w:r>
              <w:rPr>
                <w:spacing w:val="-4"/>
                <w:sz w:val="18"/>
              </w:rPr>
              <w:t>复杂程度</w:t>
            </w:r>
          </w:p>
        </w:tc>
        <w:tc>
          <w:tcPr>
            <w:tcW w:w="1704" w:type="dxa"/>
          </w:tcPr>
          <w:p>
            <w:pPr>
              <w:pStyle w:val="TableParagraph"/>
              <w:spacing w:before="4"/>
              <w:rPr>
                <w:sz w:val="14"/>
              </w:rPr>
            </w:pPr>
          </w:p>
          <w:p>
            <w:pPr>
              <w:pStyle w:val="TableParagraph"/>
              <w:ind w:left="293" w:right="293"/>
              <w:jc w:val="center"/>
              <w:rPr>
                <w:sz w:val="18"/>
              </w:rPr>
            </w:pPr>
            <w:r>
              <w:rPr>
                <w:sz w:val="18"/>
              </w:rPr>
              <w:t>—</w:t>
            </w:r>
            <w:r>
              <w:rPr>
                <w:spacing w:val="45"/>
                <w:w w:val="150"/>
                <w:sz w:val="18"/>
              </w:rPr>
              <w:t xml:space="preserve"> </w:t>
            </w:r>
            <w:r>
              <w:rPr>
                <w:spacing w:val="-10"/>
                <w:sz w:val="18"/>
              </w:rPr>
              <w:t>级</w:t>
            </w:r>
          </w:p>
        </w:tc>
        <w:tc>
          <w:tcPr>
            <w:tcW w:w="1705" w:type="dxa"/>
          </w:tcPr>
          <w:p>
            <w:pPr>
              <w:pStyle w:val="TableParagraph"/>
              <w:spacing w:before="4"/>
              <w:rPr>
                <w:sz w:val="14"/>
              </w:rPr>
            </w:pPr>
          </w:p>
          <w:p>
            <w:pPr>
              <w:pStyle w:val="TableParagraph"/>
              <w:ind w:left="293" w:right="293"/>
              <w:jc w:val="center"/>
              <w:rPr>
                <w:sz w:val="18"/>
              </w:rPr>
            </w:pPr>
            <w:r>
              <w:rPr>
                <w:sz w:val="18"/>
              </w:rPr>
              <w:t>二</w:t>
            </w:r>
            <w:r>
              <w:rPr>
                <w:spacing w:val="45"/>
                <w:w w:val="150"/>
                <w:sz w:val="18"/>
              </w:rPr>
              <w:t xml:space="preserve"> </w:t>
            </w:r>
            <w:r>
              <w:rPr>
                <w:spacing w:val="-10"/>
                <w:sz w:val="18"/>
              </w:rPr>
              <w:t>级</w:t>
            </w:r>
          </w:p>
        </w:tc>
        <w:tc>
          <w:tcPr>
            <w:tcW w:w="1705" w:type="dxa"/>
            <w:tcBorders>
              <w:right w:val="nil"/>
            </w:tcBorders>
          </w:tcPr>
          <w:p>
            <w:pPr>
              <w:pStyle w:val="TableParagraph"/>
              <w:spacing w:before="4"/>
              <w:rPr>
                <w:sz w:val="14"/>
              </w:rPr>
            </w:pPr>
          </w:p>
          <w:p>
            <w:pPr>
              <w:pStyle w:val="TableParagraph"/>
              <w:ind w:left="296" w:right="296"/>
              <w:jc w:val="center"/>
              <w:rPr>
                <w:sz w:val="18"/>
              </w:rPr>
            </w:pPr>
            <w:r>
              <w:rPr>
                <w:sz w:val="18"/>
              </w:rPr>
              <w:t>三</w:t>
            </w:r>
            <w:r>
              <w:rPr>
                <w:spacing w:val="45"/>
                <w:w w:val="150"/>
                <w:sz w:val="18"/>
              </w:rPr>
              <w:t xml:space="preserve"> </w:t>
            </w:r>
            <w:r>
              <w:rPr>
                <w:spacing w:val="-10"/>
                <w:sz w:val="18"/>
              </w:rPr>
              <w:t>级</w:t>
            </w: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val="restart"/>
            <w:tcBorders>
              <w:left w:val="nil"/>
            </w:tcBorders>
          </w:tcPr>
          <w:p>
            <w:pPr>
              <w:pStyle w:val="TableParagraph"/>
              <w:rPr>
                <w:sz w:val="26"/>
              </w:rPr>
            </w:pPr>
          </w:p>
          <w:p>
            <w:pPr>
              <w:pStyle w:val="TableParagraph"/>
              <w:spacing w:before="1"/>
              <w:ind w:left="532"/>
              <w:rPr>
                <w:rFonts w:ascii="Times New Roman" w:hAnsi="Times New Roman"/>
                <w:sz w:val="18"/>
              </w:rPr>
            </w:pPr>
            <w:r>
              <w:rPr>
                <w:spacing w:val="-2"/>
                <w:sz w:val="18"/>
              </w:rPr>
              <w:t>≥</w:t>
            </w:r>
            <w:r>
              <w:rPr>
                <w:rFonts w:ascii="Times New Roman" w:hAnsi="Times New Roman"/>
                <w:spacing w:val="-2"/>
                <w:sz w:val="18"/>
              </w:rPr>
              <w:t>20000</w:t>
            </w:r>
          </w:p>
        </w:tc>
        <w:tc>
          <w:tcPr>
            <w:tcW w:w="1704" w:type="dxa"/>
          </w:tcPr>
          <w:p>
            <w:pPr>
              <w:pStyle w:val="TableParagraph"/>
              <w:spacing w:before="44" w:line="216" w:lineRule="exact"/>
              <w:ind w:left="293" w:right="293"/>
              <w:jc w:val="center"/>
              <w:rPr>
                <w:sz w:val="18"/>
              </w:rPr>
            </w:pPr>
            <w:r>
              <w:rPr>
                <w:sz w:val="18"/>
              </w:rPr>
              <w:t>复</w:t>
            </w:r>
            <w:r>
              <w:rPr>
                <w:spacing w:val="45"/>
                <w:w w:val="150"/>
                <w:sz w:val="18"/>
              </w:rPr>
              <w:t xml:space="preserve"> </w:t>
            </w:r>
            <w:r>
              <w:rPr>
                <w:spacing w:val="-10"/>
                <w:sz w:val="18"/>
              </w:rPr>
              <w:t>杂</w:t>
            </w:r>
          </w:p>
        </w:tc>
        <w:tc>
          <w:tcPr>
            <w:tcW w:w="1704" w:type="dxa"/>
          </w:tcPr>
          <w:p>
            <w:pPr>
              <w:pStyle w:val="TableParagraph"/>
              <w:spacing w:before="44" w:line="216" w:lineRule="exact"/>
              <w:ind w:left="293" w:right="293"/>
              <w:jc w:val="center"/>
              <w:rPr>
                <w:sz w:val="18"/>
              </w:rPr>
            </w:pPr>
            <w:r>
              <w:rPr>
                <w:spacing w:val="-3"/>
                <w:sz w:val="18"/>
              </w:rPr>
              <w:t>各类海湾</w:t>
            </w:r>
          </w:p>
        </w:tc>
        <w:tc>
          <w:tcPr>
            <w:tcW w:w="1705" w:type="dxa"/>
          </w:tcPr>
          <w:p>
            <w:pPr>
              <w:pStyle w:val="TableParagraph"/>
              <w:rPr>
                <w:rFonts w:ascii="Times New Roman"/>
                <w:sz w:val="20"/>
              </w:rPr>
            </w:pPr>
          </w:p>
        </w:tc>
        <w:tc>
          <w:tcPr>
            <w:tcW w:w="1705" w:type="dxa"/>
            <w:tcBorders>
              <w:right w:val="nil"/>
            </w:tcBorders>
          </w:tcPr>
          <w:p>
            <w:pPr>
              <w:pStyle w:val="TableParagraph"/>
              <w:rPr>
                <w:rFonts w:ascii="Times New Roman"/>
                <w:sz w:val="20"/>
              </w:rPr>
            </w:pP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tcBorders>
              <w:top w:val="nil"/>
              <w:left w:val="nil"/>
            </w:tcBorders>
          </w:tcPr>
          <w:p>
            <w:pPr>
              <w:rPr>
                <w:sz w:val="2"/>
                <w:szCs w:val="2"/>
              </w:rPr>
            </w:pPr>
          </w:p>
        </w:tc>
        <w:tc>
          <w:tcPr>
            <w:tcW w:w="1704" w:type="dxa"/>
          </w:tcPr>
          <w:p>
            <w:pPr>
              <w:pStyle w:val="TableParagraph"/>
              <w:spacing w:before="44" w:line="216" w:lineRule="exact"/>
              <w:ind w:left="293" w:right="293"/>
              <w:jc w:val="center"/>
              <w:rPr>
                <w:sz w:val="18"/>
              </w:rPr>
            </w:pPr>
            <w:r>
              <w:rPr>
                <w:sz w:val="18"/>
              </w:rPr>
              <w:t>中</w:t>
            </w:r>
            <w:r>
              <w:rPr>
                <w:spacing w:val="45"/>
                <w:w w:val="150"/>
                <w:sz w:val="18"/>
              </w:rPr>
              <w:t xml:space="preserve"> </w:t>
            </w:r>
            <w:r>
              <w:rPr>
                <w:spacing w:val="-10"/>
                <w:sz w:val="18"/>
              </w:rPr>
              <w:t>等</w:t>
            </w:r>
          </w:p>
        </w:tc>
        <w:tc>
          <w:tcPr>
            <w:tcW w:w="1704" w:type="dxa"/>
          </w:tcPr>
          <w:p>
            <w:pPr>
              <w:pStyle w:val="TableParagraph"/>
              <w:spacing w:before="44" w:line="216" w:lineRule="exact"/>
              <w:ind w:left="293" w:right="293"/>
              <w:jc w:val="center"/>
              <w:rPr>
                <w:sz w:val="18"/>
              </w:rPr>
            </w:pPr>
            <w:r>
              <w:rPr>
                <w:spacing w:val="-3"/>
                <w:sz w:val="18"/>
              </w:rPr>
              <w:t>各类海湾</w:t>
            </w:r>
          </w:p>
        </w:tc>
        <w:tc>
          <w:tcPr>
            <w:tcW w:w="1705" w:type="dxa"/>
          </w:tcPr>
          <w:p>
            <w:pPr>
              <w:pStyle w:val="TableParagraph"/>
              <w:rPr>
                <w:rFonts w:ascii="Times New Roman"/>
                <w:sz w:val="20"/>
              </w:rPr>
            </w:pPr>
          </w:p>
        </w:tc>
        <w:tc>
          <w:tcPr>
            <w:tcW w:w="1705" w:type="dxa"/>
            <w:tcBorders>
              <w:right w:val="nil"/>
            </w:tcBorders>
          </w:tcPr>
          <w:p>
            <w:pPr>
              <w:pStyle w:val="TableParagraph"/>
              <w:rPr>
                <w:rFonts w:ascii="Times New Roman"/>
                <w:sz w:val="20"/>
              </w:rPr>
            </w:pP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tcBorders>
              <w:top w:val="nil"/>
              <w:left w:val="nil"/>
            </w:tcBorders>
          </w:tcPr>
          <w:p>
            <w:pPr>
              <w:rPr>
                <w:sz w:val="2"/>
                <w:szCs w:val="2"/>
              </w:rPr>
            </w:pPr>
          </w:p>
        </w:tc>
        <w:tc>
          <w:tcPr>
            <w:tcW w:w="1704" w:type="dxa"/>
          </w:tcPr>
          <w:p>
            <w:pPr>
              <w:pStyle w:val="TableParagraph"/>
              <w:spacing w:before="44" w:line="216" w:lineRule="exact"/>
              <w:ind w:left="293" w:right="293"/>
              <w:jc w:val="center"/>
              <w:rPr>
                <w:sz w:val="18"/>
              </w:rPr>
            </w:pPr>
            <w:r>
              <w:rPr>
                <w:sz w:val="18"/>
              </w:rPr>
              <w:t>简</w:t>
            </w:r>
            <w:r>
              <w:rPr>
                <w:spacing w:val="45"/>
                <w:w w:val="150"/>
                <w:sz w:val="18"/>
              </w:rPr>
              <w:t xml:space="preserve"> </w:t>
            </w:r>
            <w:r>
              <w:rPr>
                <w:spacing w:val="-10"/>
                <w:sz w:val="18"/>
              </w:rPr>
              <w:t>单</w:t>
            </w:r>
          </w:p>
        </w:tc>
        <w:tc>
          <w:tcPr>
            <w:tcW w:w="1704" w:type="dxa"/>
          </w:tcPr>
          <w:p>
            <w:pPr>
              <w:pStyle w:val="TableParagraph"/>
              <w:spacing w:before="44" w:line="216" w:lineRule="exact"/>
              <w:ind w:left="293" w:right="293"/>
              <w:jc w:val="center"/>
              <w:rPr>
                <w:sz w:val="18"/>
              </w:rPr>
            </w:pPr>
            <w:r>
              <w:rPr>
                <w:spacing w:val="-2"/>
                <w:sz w:val="18"/>
              </w:rPr>
              <w:t>小型封闭海湾</w:t>
            </w:r>
          </w:p>
        </w:tc>
        <w:tc>
          <w:tcPr>
            <w:tcW w:w="1705" w:type="dxa"/>
          </w:tcPr>
          <w:p>
            <w:pPr>
              <w:pStyle w:val="TableParagraph"/>
              <w:spacing w:before="44" w:line="216" w:lineRule="exact"/>
              <w:ind w:left="293" w:right="293"/>
              <w:jc w:val="center"/>
              <w:rPr>
                <w:sz w:val="18"/>
              </w:rPr>
            </w:pPr>
            <w:r>
              <w:rPr>
                <w:spacing w:val="-2"/>
                <w:sz w:val="18"/>
              </w:rPr>
              <w:t>其他各类海湾</w:t>
            </w:r>
          </w:p>
        </w:tc>
        <w:tc>
          <w:tcPr>
            <w:tcW w:w="1705" w:type="dxa"/>
            <w:tcBorders>
              <w:right w:val="nil"/>
            </w:tcBorders>
          </w:tcPr>
          <w:p>
            <w:pPr>
              <w:pStyle w:val="TableParagraph"/>
              <w:rPr>
                <w:rFonts w:ascii="Times New Roman"/>
                <w:sz w:val="20"/>
              </w:rPr>
            </w:pP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val="restart"/>
            <w:tcBorders>
              <w:left w:val="nil"/>
            </w:tcBorders>
          </w:tcPr>
          <w:p>
            <w:pPr>
              <w:pStyle w:val="TableParagraph"/>
              <w:rPr>
                <w:sz w:val="16"/>
              </w:rPr>
            </w:pPr>
          </w:p>
          <w:p>
            <w:pPr>
              <w:pStyle w:val="TableParagraph"/>
              <w:spacing w:before="1"/>
              <w:ind w:left="384" w:right="384"/>
              <w:jc w:val="center"/>
              <w:rPr>
                <w:rFonts w:ascii="Times New Roman"/>
                <w:sz w:val="18"/>
              </w:rPr>
            </w:pPr>
            <w:r>
              <w:rPr>
                <w:rFonts w:ascii="Times New Roman"/>
                <w:spacing w:val="-2"/>
                <w:sz w:val="18"/>
              </w:rPr>
              <w:t>&lt;20000</w:t>
            </w:r>
          </w:p>
          <w:p>
            <w:pPr>
              <w:pStyle w:val="TableParagraph"/>
              <w:spacing w:before="61"/>
              <w:ind w:left="384" w:right="384"/>
              <w:jc w:val="center"/>
              <w:rPr>
                <w:rFonts w:ascii="Times New Roman" w:hAnsi="Times New Roman"/>
                <w:sz w:val="18"/>
              </w:rPr>
            </w:pPr>
            <w:r>
              <w:rPr>
                <w:spacing w:val="-2"/>
                <w:sz w:val="18"/>
              </w:rPr>
              <w:t>≥</w:t>
            </w:r>
            <w:r>
              <w:rPr>
                <w:rFonts w:ascii="Times New Roman" w:hAnsi="Times New Roman"/>
                <w:spacing w:val="-2"/>
                <w:sz w:val="18"/>
              </w:rPr>
              <w:t>5000</w:t>
            </w:r>
          </w:p>
        </w:tc>
        <w:tc>
          <w:tcPr>
            <w:tcW w:w="1704" w:type="dxa"/>
          </w:tcPr>
          <w:p>
            <w:pPr>
              <w:pStyle w:val="TableParagraph"/>
              <w:spacing w:before="44" w:line="216" w:lineRule="exact"/>
              <w:ind w:left="293" w:right="293"/>
              <w:jc w:val="center"/>
              <w:rPr>
                <w:sz w:val="18"/>
              </w:rPr>
            </w:pPr>
            <w:r>
              <w:rPr>
                <w:sz w:val="18"/>
              </w:rPr>
              <w:t>复</w:t>
            </w:r>
            <w:r>
              <w:rPr>
                <w:spacing w:val="45"/>
                <w:w w:val="150"/>
                <w:sz w:val="18"/>
              </w:rPr>
              <w:t xml:space="preserve"> </w:t>
            </w:r>
            <w:r>
              <w:rPr>
                <w:spacing w:val="-10"/>
                <w:sz w:val="18"/>
              </w:rPr>
              <w:t>杂</w:t>
            </w:r>
          </w:p>
        </w:tc>
        <w:tc>
          <w:tcPr>
            <w:tcW w:w="1704" w:type="dxa"/>
          </w:tcPr>
          <w:p>
            <w:pPr>
              <w:pStyle w:val="TableParagraph"/>
              <w:spacing w:before="44" w:line="216" w:lineRule="exact"/>
              <w:ind w:left="293" w:right="293"/>
              <w:jc w:val="center"/>
              <w:rPr>
                <w:sz w:val="18"/>
              </w:rPr>
            </w:pPr>
            <w:r>
              <w:rPr>
                <w:spacing w:val="-2"/>
                <w:sz w:val="18"/>
              </w:rPr>
              <w:t>小型封闭海湾</w:t>
            </w:r>
          </w:p>
        </w:tc>
        <w:tc>
          <w:tcPr>
            <w:tcW w:w="1705" w:type="dxa"/>
          </w:tcPr>
          <w:p>
            <w:pPr>
              <w:pStyle w:val="TableParagraph"/>
              <w:spacing w:before="44" w:line="216" w:lineRule="exact"/>
              <w:ind w:left="293" w:right="293"/>
              <w:jc w:val="center"/>
              <w:rPr>
                <w:sz w:val="18"/>
              </w:rPr>
            </w:pPr>
            <w:r>
              <w:rPr>
                <w:spacing w:val="-2"/>
                <w:sz w:val="18"/>
              </w:rPr>
              <w:t>其他各类海湾</w:t>
            </w:r>
          </w:p>
        </w:tc>
        <w:tc>
          <w:tcPr>
            <w:tcW w:w="1705" w:type="dxa"/>
            <w:tcBorders>
              <w:right w:val="nil"/>
            </w:tcBorders>
          </w:tcPr>
          <w:p>
            <w:pPr>
              <w:pStyle w:val="TableParagraph"/>
              <w:rPr>
                <w:rFonts w:ascii="Times New Roman"/>
                <w:sz w:val="20"/>
              </w:rPr>
            </w:pP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tcBorders>
              <w:top w:val="nil"/>
              <w:left w:val="nil"/>
            </w:tcBorders>
          </w:tcPr>
          <w:p>
            <w:pPr>
              <w:rPr>
                <w:sz w:val="2"/>
                <w:szCs w:val="2"/>
              </w:rPr>
            </w:pPr>
          </w:p>
        </w:tc>
        <w:tc>
          <w:tcPr>
            <w:tcW w:w="1704" w:type="dxa"/>
          </w:tcPr>
          <w:p>
            <w:pPr>
              <w:pStyle w:val="TableParagraph"/>
              <w:spacing w:before="44" w:line="216" w:lineRule="exact"/>
              <w:ind w:left="293" w:right="293"/>
              <w:jc w:val="center"/>
              <w:rPr>
                <w:sz w:val="18"/>
              </w:rPr>
            </w:pPr>
            <w:r>
              <w:rPr>
                <w:sz w:val="18"/>
              </w:rPr>
              <w:t>中</w:t>
            </w:r>
            <w:r>
              <w:rPr>
                <w:spacing w:val="45"/>
                <w:w w:val="150"/>
                <w:sz w:val="18"/>
              </w:rPr>
              <w:t xml:space="preserve"> </w:t>
            </w:r>
            <w:r>
              <w:rPr>
                <w:spacing w:val="-10"/>
                <w:sz w:val="18"/>
              </w:rPr>
              <w:t>等</w:t>
            </w:r>
          </w:p>
        </w:tc>
        <w:tc>
          <w:tcPr>
            <w:tcW w:w="1704" w:type="dxa"/>
          </w:tcPr>
          <w:p>
            <w:pPr>
              <w:pStyle w:val="TableParagraph"/>
              <w:rPr>
                <w:rFonts w:ascii="Times New Roman"/>
                <w:sz w:val="20"/>
              </w:rPr>
            </w:pPr>
          </w:p>
        </w:tc>
        <w:tc>
          <w:tcPr>
            <w:tcW w:w="1705" w:type="dxa"/>
          </w:tcPr>
          <w:p>
            <w:pPr>
              <w:pStyle w:val="TableParagraph"/>
              <w:spacing w:before="44" w:line="216" w:lineRule="exact"/>
              <w:ind w:left="293" w:right="293"/>
              <w:jc w:val="center"/>
              <w:rPr>
                <w:sz w:val="18"/>
              </w:rPr>
            </w:pPr>
            <w:r>
              <w:rPr>
                <w:spacing w:val="-2"/>
                <w:sz w:val="18"/>
              </w:rPr>
              <w:t>小型封闭海湾</w:t>
            </w:r>
          </w:p>
        </w:tc>
        <w:tc>
          <w:tcPr>
            <w:tcW w:w="1705" w:type="dxa"/>
            <w:tcBorders>
              <w:right w:val="nil"/>
            </w:tcBorders>
          </w:tcPr>
          <w:p>
            <w:pPr>
              <w:pStyle w:val="TableParagraph"/>
              <w:spacing w:before="44" w:line="216" w:lineRule="exact"/>
              <w:ind w:left="296" w:right="296"/>
              <w:jc w:val="center"/>
              <w:rPr>
                <w:sz w:val="18"/>
              </w:rPr>
            </w:pPr>
            <w:r>
              <w:rPr>
                <w:spacing w:val="-2"/>
                <w:sz w:val="18"/>
              </w:rPr>
              <w:t>其他各类海湾</w:t>
            </w: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tcBorders>
              <w:top w:val="nil"/>
              <w:left w:val="nil"/>
            </w:tcBorders>
          </w:tcPr>
          <w:p>
            <w:pPr>
              <w:rPr>
                <w:sz w:val="2"/>
                <w:szCs w:val="2"/>
              </w:rPr>
            </w:pPr>
          </w:p>
        </w:tc>
        <w:tc>
          <w:tcPr>
            <w:tcW w:w="1704" w:type="dxa"/>
          </w:tcPr>
          <w:p>
            <w:pPr>
              <w:pStyle w:val="TableParagraph"/>
              <w:spacing w:before="44" w:line="216" w:lineRule="exact"/>
              <w:ind w:left="293" w:right="293"/>
              <w:jc w:val="center"/>
              <w:rPr>
                <w:sz w:val="18"/>
              </w:rPr>
            </w:pPr>
            <w:r>
              <w:rPr>
                <w:sz w:val="18"/>
              </w:rPr>
              <w:t>简</w:t>
            </w:r>
            <w:r>
              <w:rPr>
                <w:spacing w:val="45"/>
                <w:w w:val="150"/>
                <w:sz w:val="18"/>
              </w:rPr>
              <w:t xml:space="preserve"> </w:t>
            </w:r>
            <w:r>
              <w:rPr>
                <w:spacing w:val="-10"/>
                <w:sz w:val="18"/>
              </w:rPr>
              <w:t>单</w:t>
            </w:r>
          </w:p>
        </w:tc>
        <w:tc>
          <w:tcPr>
            <w:tcW w:w="1704" w:type="dxa"/>
          </w:tcPr>
          <w:p>
            <w:pPr>
              <w:pStyle w:val="TableParagraph"/>
              <w:rPr>
                <w:rFonts w:ascii="Times New Roman"/>
                <w:sz w:val="20"/>
              </w:rPr>
            </w:pPr>
          </w:p>
        </w:tc>
        <w:tc>
          <w:tcPr>
            <w:tcW w:w="1705" w:type="dxa"/>
          </w:tcPr>
          <w:p>
            <w:pPr>
              <w:pStyle w:val="TableParagraph"/>
              <w:spacing w:before="44" w:line="216" w:lineRule="exact"/>
              <w:ind w:left="293" w:right="293"/>
              <w:jc w:val="center"/>
              <w:rPr>
                <w:sz w:val="18"/>
              </w:rPr>
            </w:pPr>
            <w:r>
              <w:rPr>
                <w:spacing w:val="-2"/>
                <w:sz w:val="18"/>
              </w:rPr>
              <w:t>小型封闭海湾</w:t>
            </w:r>
          </w:p>
        </w:tc>
        <w:tc>
          <w:tcPr>
            <w:tcW w:w="1705" w:type="dxa"/>
            <w:tcBorders>
              <w:right w:val="nil"/>
            </w:tcBorders>
          </w:tcPr>
          <w:p>
            <w:pPr>
              <w:pStyle w:val="TableParagraph"/>
              <w:spacing w:before="44" w:line="216" w:lineRule="exact"/>
              <w:ind w:left="296" w:right="296"/>
              <w:jc w:val="center"/>
              <w:rPr>
                <w:sz w:val="18"/>
              </w:rPr>
            </w:pPr>
            <w:r>
              <w:rPr>
                <w:spacing w:val="-2"/>
                <w:sz w:val="18"/>
              </w:rPr>
              <w:t>其他各类海湾</w:t>
            </w: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val="restart"/>
            <w:tcBorders>
              <w:left w:val="nil"/>
            </w:tcBorders>
          </w:tcPr>
          <w:p>
            <w:pPr>
              <w:pStyle w:val="TableParagraph"/>
              <w:spacing w:before="61"/>
              <w:ind w:left="384" w:right="384"/>
              <w:jc w:val="center"/>
              <w:rPr>
                <w:rFonts w:ascii="Times New Roman"/>
                <w:sz w:val="18"/>
              </w:rPr>
            </w:pPr>
            <w:r>
              <w:rPr>
                <w:rFonts w:ascii="Times New Roman"/>
                <w:spacing w:val="-2"/>
                <w:sz w:val="18"/>
              </w:rPr>
              <w:t>&lt;5000</w:t>
            </w:r>
          </w:p>
          <w:p>
            <w:pPr>
              <w:pStyle w:val="TableParagraph"/>
              <w:spacing w:before="61" w:line="221" w:lineRule="exact"/>
              <w:ind w:left="384" w:right="384"/>
              <w:jc w:val="center"/>
              <w:rPr>
                <w:rFonts w:ascii="Times New Roman" w:hAnsi="Times New Roman"/>
                <w:sz w:val="18"/>
              </w:rPr>
            </w:pPr>
            <w:r>
              <w:rPr>
                <w:spacing w:val="-2"/>
                <w:sz w:val="18"/>
              </w:rPr>
              <w:t>≥</w:t>
            </w:r>
            <w:r>
              <w:rPr>
                <w:rFonts w:ascii="Times New Roman" w:hAnsi="Times New Roman"/>
                <w:spacing w:val="-2"/>
                <w:sz w:val="18"/>
              </w:rPr>
              <w:t>1000</w:t>
            </w:r>
          </w:p>
        </w:tc>
        <w:tc>
          <w:tcPr>
            <w:tcW w:w="1704" w:type="dxa"/>
          </w:tcPr>
          <w:p>
            <w:pPr>
              <w:pStyle w:val="TableParagraph"/>
              <w:spacing w:before="44" w:line="216" w:lineRule="exact"/>
              <w:ind w:left="293" w:right="293"/>
              <w:jc w:val="center"/>
              <w:rPr>
                <w:sz w:val="18"/>
              </w:rPr>
            </w:pPr>
            <w:r>
              <w:rPr>
                <w:sz w:val="18"/>
              </w:rPr>
              <w:t>复</w:t>
            </w:r>
            <w:r>
              <w:rPr>
                <w:spacing w:val="45"/>
                <w:w w:val="150"/>
                <w:sz w:val="18"/>
              </w:rPr>
              <w:t xml:space="preserve"> </w:t>
            </w:r>
            <w:r>
              <w:rPr>
                <w:spacing w:val="-10"/>
                <w:sz w:val="18"/>
              </w:rPr>
              <w:t>杂</w:t>
            </w:r>
          </w:p>
        </w:tc>
        <w:tc>
          <w:tcPr>
            <w:tcW w:w="1704" w:type="dxa"/>
          </w:tcPr>
          <w:p>
            <w:pPr>
              <w:pStyle w:val="TableParagraph"/>
              <w:rPr>
                <w:rFonts w:ascii="Times New Roman"/>
                <w:sz w:val="20"/>
              </w:rPr>
            </w:pPr>
          </w:p>
        </w:tc>
        <w:tc>
          <w:tcPr>
            <w:tcW w:w="1705" w:type="dxa"/>
          </w:tcPr>
          <w:p>
            <w:pPr>
              <w:pStyle w:val="TableParagraph"/>
              <w:spacing w:before="44" w:line="216" w:lineRule="exact"/>
              <w:ind w:left="293" w:right="293"/>
              <w:jc w:val="center"/>
              <w:rPr>
                <w:sz w:val="18"/>
              </w:rPr>
            </w:pPr>
            <w:r>
              <w:rPr>
                <w:spacing w:val="-2"/>
                <w:sz w:val="18"/>
              </w:rPr>
              <w:t>小型封闭海湾</w:t>
            </w:r>
          </w:p>
        </w:tc>
        <w:tc>
          <w:tcPr>
            <w:tcW w:w="1705" w:type="dxa"/>
            <w:tcBorders>
              <w:right w:val="nil"/>
            </w:tcBorders>
          </w:tcPr>
          <w:p>
            <w:pPr>
              <w:pStyle w:val="TableParagraph"/>
              <w:spacing w:before="44" w:line="216" w:lineRule="exact"/>
              <w:ind w:left="296" w:right="296"/>
              <w:jc w:val="center"/>
              <w:rPr>
                <w:sz w:val="18"/>
              </w:rPr>
            </w:pPr>
            <w:r>
              <w:rPr>
                <w:spacing w:val="-2"/>
                <w:sz w:val="18"/>
              </w:rPr>
              <w:t>其他各类海湾</w:t>
            </w:r>
          </w:p>
        </w:tc>
      </w:tr>
      <w:tr>
        <w:tblPrEx>
          <w:tblW w:w="0" w:type="auto"/>
          <w:jc w:val="left"/>
          <w:tblInd w:w="119" w:type="dxa"/>
          <w:tblLayout w:type="fixed"/>
          <w:tblCellMar>
            <w:top w:w="0" w:type="dxa"/>
            <w:left w:w="0" w:type="dxa"/>
            <w:bottom w:w="0" w:type="dxa"/>
            <w:right w:w="0" w:type="dxa"/>
          </w:tblCellMar>
          <w:tblLook w:val="01E0"/>
        </w:tblPrEx>
        <w:trPr>
          <w:trHeight w:val="280"/>
          <w:jc w:val="left"/>
        </w:trPr>
        <w:tc>
          <w:tcPr>
            <w:tcW w:w="1704" w:type="dxa"/>
            <w:vMerge/>
            <w:tcBorders>
              <w:top w:val="nil"/>
              <w:left w:val="nil"/>
            </w:tcBorders>
          </w:tcPr>
          <w:p>
            <w:pPr>
              <w:rPr>
                <w:sz w:val="2"/>
                <w:szCs w:val="2"/>
              </w:rPr>
            </w:pPr>
          </w:p>
        </w:tc>
        <w:tc>
          <w:tcPr>
            <w:tcW w:w="1704" w:type="dxa"/>
          </w:tcPr>
          <w:p>
            <w:pPr>
              <w:pStyle w:val="TableParagraph"/>
              <w:spacing w:before="44" w:line="216" w:lineRule="exact"/>
              <w:ind w:left="293" w:right="293"/>
              <w:jc w:val="center"/>
              <w:rPr>
                <w:sz w:val="18"/>
              </w:rPr>
            </w:pPr>
            <w:r>
              <w:rPr>
                <w:spacing w:val="-2"/>
                <w:sz w:val="18"/>
              </w:rPr>
              <w:t>中等或简单</w:t>
            </w:r>
          </w:p>
        </w:tc>
        <w:tc>
          <w:tcPr>
            <w:tcW w:w="1704" w:type="dxa"/>
          </w:tcPr>
          <w:p>
            <w:pPr>
              <w:pStyle w:val="TableParagraph"/>
              <w:rPr>
                <w:rFonts w:ascii="Times New Roman"/>
                <w:sz w:val="20"/>
              </w:rPr>
            </w:pPr>
          </w:p>
        </w:tc>
        <w:tc>
          <w:tcPr>
            <w:tcW w:w="1705" w:type="dxa"/>
          </w:tcPr>
          <w:p>
            <w:pPr>
              <w:pStyle w:val="TableParagraph"/>
              <w:rPr>
                <w:rFonts w:ascii="Times New Roman"/>
                <w:sz w:val="20"/>
              </w:rPr>
            </w:pPr>
          </w:p>
        </w:tc>
        <w:tc>
          <w:tcPr>
            <w:tcW w:w="1705" w:type="dxa"/>
            <w:tcBorders>
              <w:right w:val="nil"/>
            </w:tcBorders>
          </w:tcPr>
          <w:p>
            <w:pPr>
              <w:pStyle w:val="TableParagraph"/>
              <w:spacing w:before="44" w:line="216" w:lineRule="exact"/>
              <w:ind w:left="296" w:right="296"/>
              <w:jc w:val="center"/>
              <w:rPr>
                <w:sz w:val="18"/>
              </w:rPr>
            </w:pPr>
            <w:r>
              <w:rPr>
                <w:spacing w:val="-3"/>
                <w:sz w:val="18"/>
              </w:rPr>
              <w:t>各类海湾</w:t>
            </w:r>
          </w:p>
        </w:tc>
      </w:tr>
      <w:tr>
        <w:tblPrEx>
          <w:tblW w:w="0" w:type="auto"/>
          <w:jc w:val="left"/>
          <w:tblInd w:w="119" w:type="dxa"/>
          <w:tblLayout w:type="fixed"/>
          <w:tblCellMar>
            <w:top w:w="0" w:type="dxa"/>
            <w:left w:w="0" w:type="dxa"/>
            <w:bottom w:w="0" w:type="dxa"/>
            <w:right w:w="0" w:type="dxa"/>
          </w:tblCellMar>
          <w:tblLook w:val="01E0"/>
        </w:tblPrEx>
        <w:trPr>
          <w:trHeight w:val="640"/>
          <w:jc w:val="left"/>
        </w:trPr>
        <w:tc>
          <w:tcPr>
            <w:tcW w:w="1704" w:type="dxa"/>
            <w:tcBorders>
              <w:left w:val="nil"/>
            </w:tcBorders>
          </w:tcPr>
          <w:p>
            <w:pPr>
              <w:pStyle w:val="TableParagraph"/>
              <w:spacing w:before="96"/>
              <w:ind w:left="384" w:right="384"/>
              <w:jc w:val="center"/>
              <w:rPr>
                <w:rFonts w:ascii="Times New Roman"/>
                <w:sz w:val="18"/>
              </w:rPr>
            </w:pPr>
            <w:r>
              <w:rPr>
                <w:rFonts w:ascii="Times New Roman"/>
                <w:spacing w:val="-2"/>
                <w:sz w:val="18"/>
              </w:rPr>
              <w:t>&lt;1000</w:t>
            </w:r>
          </w:p>
          <w:p>
            <w:pPr>
              <w:pStyle w:val="TableParagraph"/>
              <w:spacing w:before="61"/>
              <w:ind w:left="384" w:right="384"/>
              <w:jc w:val="center"/>
              <w:rPr>
                <w:rFonts w:ascii="Times New Roman" w:hAnsi="Times New Roman"/>
                <w:sz w:val="18"/>
              </w:rPr>
            </w:pPr>
            <w:r>
              <w:rPr>
                <w:spacing w:val="-4"/>
                <w:sz w:val="18"/>
              </w:rPr>
              <w:t>≥</w:t>
            </w:r>
            <w:r>
              <w:rPr>
                <w:rFonts w:ascii="Times New Roman" w:hAnsi="Times New Roman"/>
                <w:spacing w:val="-4"/>
                <w:sz w:val="18"/>
              </w:rPr>
              <w:t>500</w:t>
            </w:r>
          </w:p>
        </w:tc>
        <w:tc>
          <w:tcPr>
            <w:tcW w:w="1704" w:type="dxa"/>
          </w:tcPr>
          <w:p>
            <w:pPr>
              <w:pStyle w:val="TableParagraph"/>
              <w:spacing w:before="6"/>
              <w:rPr>
                <w:sz w:val="17"/>
              </w:rPr>
            </w:pPr>
          </w:p>
          <w:p>
            <w:pPr>
              <w:pStyle w:val="TableParagraph"/>
              <w:ind w:left="293" w:right="293"/>
              <w:jc w:val="center"/>
              <w:rPr>
                <w:sz w:val="18"/>
              </w:rPr>
            </w:pPr>
            <w:r>
              <w:rPr>
                <w:sz w:val="18"/>
              </w:rPr>
              <w:t>复</w:t>
            </w:r>
            <w:r>
              <w:rPr>
                <w:spacing w:val="45"/>
                <w:w w:val="150"/>
                <w:sz w:val="18"/>
              </w:rPr>
              <w:t xml:space="preserve"> </w:t>
            </w:r>
            <w:r>
              <w:rPr>
                <w:spacing w:val="-10"/>
                <w:sz w:val="18"/>
              </w:rPr>
              <w:t>杂</w:t>
            </w:r>
          </w:p>
        </w:tc>
        <w:tc>
          <w:tcPr>
            <w:tcW w:w="1704" w:type="dxa"/>
          </w:tcPr>
          <w:p>
            <w:pPr>
              <w:pStyle w:val="TableParagraph"/>
              <w:rPr>
                <w:rFonts w:ascii="Times New Roman"/>
                <w:sz w:val="20"/>
              </w:rPr>
            </w:pPr>
          </w:p>
        </w:tc>
        <w:tc>
          <w:tcPr>
            <w:tcW w:w="1705" w:type="dxa"/>
          </w:tcPr>
          <w:p>
            <w:pPr>
              <w:pStyle w:val="TableParagraph"/>
              <w:rPr>
                <w:rFonts w:ascii="Times New Roman"/>
                <w:sz w:val="20"/>
              </w:rPr>
            </w:pPr>
          </w:p>
        </w:tc>
        <w:tc>
          <w:tcPr>
            <w:tcW w:w="1705" w:type="dxa"/>
            <w:tcBorders>
              <w:right w:val="nil"/>
            </w:tcBorders>
          </w:tcPr>
          <w:p>
            <w:pPr>
              <w:pStyle w:val="TableParagraph"/>
              <w:spacing w:before="6"/>
              <w:rPr>
                <w:sz w:val="17"/>
              </w:rPr>
            </w:pPr>
          </w:p>
          <w:p>
            <w:pPr>
              <w:pStyle w:val="TableParagraph"/>
              <w:ind w:left="296" w:right="296"/>
              <w:jc w:val="center"/>
              <w:rPr>
                <w:sz w:val="18"/>
              </w:rPr>
            </w:pPr>
            <w:r>
              <w:rPr>
                <w:spacing w:val="-3"/>
                <w:sz w:val="18"/>
              </w:rPr>
              <w:t>各类海湾</w:t>
            </w:r>
          </w:p>
        </w:tc>
      </w:tr>
    </w:tbl>
    <w:p>
      <w:pPr>
        <w:pStyle w:val="BodyText"/>
        <w:spacing w:before="9"/>
        <w:rPr>
          <w:sz w:val="15"/>
        </w:rPr>
      </w:pPr>
    </w:p>
    <w:p>
      <w:pPr>
        <w:pStyle w:val="ListParagraph"/>
        <w:numPr>
          <w:ilvl w:val="1"/>
          <w:numId w:val="40"/>
        </w:numPr>
        <w:tabs>
          <w:tab w:val="left" w:pos="692"/>
          <w:tab w:val="left" w:pos="693"/>
        </w:tabs>
        <w:spacing w:before="1" w:after="0" w:line="240" w:lineRule="auto"/>
        <w:ind w:left="692" w:right="0" w:hanging="473"/>
        <w:jc w:val="left"/>
        <w:rPr>
          <w:sz w:val="21"/>
        </w:rPr>
      </w:pPr>
      <w:r>
        <w:rPr>
          <w:spacing w:val="-27"/>
          <w:sz w:val="21"/>
        </w:rPr>
        <w:t xml:space="preserve">表 </w:t>
      </w:r>
      <w:r>
        <w:rPr>
          <w:rFonts w:ascii="Times New Roman" w:eastAsia="Times New Roman"/>
          <w:sz w:val="21"/>
        </w:rPr>
        <w:t xml:space="preserve">2 </w:t>
      </w:r>
      <w:r>
        <w:rPr>
          <w:spacing w:val="-18"/>
          <w:sz w:val="21"/>
        </w:rPr>
        <w:t xml:space="preserve">及表 </w:t>
      </w:r>
      <w:r>
        <w:rPr>
          <w:rFonts w:ascii="Times New Roman" w:eastAsia="Times New Roman"/>
          <w:sz w:val="21"/>
        </w:rPr>
        <w:t xml:space="preserve">3 </w:t>
      </w:r>
      <w:r>
        <w:rPr>
          <w:spacing w:val="-2"/>
          <w:sz w:val="21"/>
        </w:rPr>
        <w:t>的具体内容</w:t>
      </w:r>
    </w:p>
    <w:p>
      <w:pPr>
        <w:pStyle w:val="ListParagraph"/>
        <w:numPr>
          <w:ilvl w:val="2"/>
          <w:numId w:val="40"/>
        </w:numPr>
        <w:tabs>
          <w:tab w:val="left" w:pos="849"/>
          <w:tab w:val="left" w:pos="850"/>
        </w:tabs>
        <w:spacing w:before="50" w:after="0" w:line="285" w:lineRule="auto"/>
        <w:ind w:left="220" w:right="100" w:firstLine="0"/>
        <w:jc w:val="left"/>
        <w:rPr>
          <w:sz w:val="21"/>
        </w:rPr>
      </w:pPr>
      <w:r>
        <w:rPr>
          <w:spacing w:val="-9"/>
          <w:sz w:val="21"/>
        </w:rPr>
        <w:t>污水排放量中不包括间接冷却水、循环水以及其它含污染物极少的清净下水的排放量，</w:t>
      </w:r>
      <w:r>
        <w:rPr>
          <w:spacing w:val="-2"/>
          <w:sz w:val="21"/>
        </w:rPr>
        <w:t>但包括含热量大的冷却水的排放量。</w:t>
      </w:r>
    </w:p>
    <w:p>
      <w:pPr>
        <w:pStyle w:val="ListParagraph"/>
        <w:numPr>
          <w:ilvl w:val="2"/>
          <w:numId w:val="40"/>
        </w:numPr>
        <w:tabs>
          <w:tab w:val="left" w:pos="856"/>
          <w:tab w:val="left" w:pos="857"/>
        </w:tabs>
        <w:spacing w:before="0" w:after="0" w:line="285" w:lineRule="auto"/>
        <w:ind w:left="220" w:right="298" w:firstLine="0"/>
        <w:jc w:val="left"/>
        <w:rPr>
          <w:sz w:val="21"/>
        </w:rPr>
      </w:pPr>
      <w:r>
        <w:rPr>
          <w:spacing w:val="-2"/>
          <w:sz w:val="21"/>
        </w:rPr>
        <w:t>污水水质的复杂程度按污水中拟预测的污染物类型以及某类污染物中水质参数的多</w:t>
      </w:r>
      <w:r>
        <w:rPr>
          <w:spacing w:val="-2"/>
          <w:sz w:val="21"/>
        </w:rPr>
        <w:t>少划分为复杂、中等和简单三类。</w:t>
      </w:r>
    </w:p>
    <w:p>
      <w:pPr>
        <w:pStyle w:val="ListParagraph"/>
        <w:numPr>
          <w:ilvl w:val="3"/>
          <w:numId w:val="40"/>
        </w:numPr>
        <w:tabs>
          <w:tab w:val="left" w:pos="1007"/>
          <w:tab w:val="left" w:pos="1008"/>
        </w:tabs>
        <w:spacing w:before="0" w:after="0" w:line="269" w:lineRule="exact"/>
        <w:ind w:left="1007" w:right="0" w:hanging="788"/>
        <w:jc w:val="left"/>
        <w:rPr>
          <w:sz w:val="21"/>
        </w:rPr>
      </w:pPr>
      <w:r>
        <w:rPr>
          <w:spacing w:val="-1"/>
          <w:sz w:val="21"/>
        </w:rPr>
        <w:t>根据污染物在水环境中输移、衰减特点以及它们的预测模式，将污染物分为四类。</w:t>
      </w:r>
    </w:p>
    <w:p>
      <w:pPr>
        <w:pStyle w:val="ListParagraph"/>
        <w:numPr>
          <w:ilvl w:val="4"/>
          <w:numId w:val="40"/>
        </w:numPr>
        <w:tabs>
          <w:tab w:val="left" w:pos="891"/>
        </w:tabs>
        <w:spacing w:before="51" w:after="0" w:line="240" w:lineRule="auto"/>
        <w:ind w:left="890" w:right="0" w:hanging="251"/>
        <w:jc w:val="left"/>
        <w:rPr>
          <w:sz w:val="21"/>
        </w:rPr>
      </w:pPr>
      <w:r>
        <w:rPr>
          <w:sz w:val="21"/>
        </w:rPr>
        <w:t>持久性污染物（其中还包括在水环境中难降解、毒性大、易长期积累的有毒物质</w:t>
      </w:r>
      <w:r>
        <w:rPr>
          <w:spacing w:val="-110"/>
          <w:sz w:val="21"/>
        </w:rPr>
        <w:t>）</w:t>
      </w:r>
      <w:r>
        <w:rPr>
          <w:spacing w:val="-5"/>
          <w:sz w:val="21"/>
        </w:rPr>
        <w:t>；</w:t>
      </w:r>
    </w:p>
    <w:p>
      <w:pPr>
        <w:pStyle w:val="ListParagraph"/>
        <w:numPr>
          <w:ilvl w:val="4"/>
          <w:numId w:val="40"/>
        </w:numPr>
        <w:tabs>
          <w:tab w:val="left" w:pos="903"/>
        </w:tabs>
        <w:spacing w:before="51" w:after="0" w:line="240" w:lineRule="auto"/>
        <w:ind w:left="902" w:right="0" w:hanging="263"/>
        <w:jc w:val="left"/>
        <w:rPr>
          <w:sz w:val="21"/>
        </w:rPr>
      </w:pPr>
      <w:r>
        <w:rPr>
          <w:spacing w:val="-2"/>
          <w:sz w:val="21"/>
        </w:rPr>
        <w:t>非持久性污染物；</w:t>
      </w:r>
    </w:p>
    <w:p>
      <w:pPr>
        <w:pStyle w:val="ListParagraph"/>
        <w:numPr>
          <w:ilvl w:val="4"/>
          <w:numId w:val="40"/>
        </w:numPr>
        <w:tabs>
          <w:tab w:val="left" w:pos="891"/>
        </w:tabs>
        <w:spacing w:before="51" w:after="0" w:line="240" w:lineRule="auto"/>
        <w:ind w:left="890" w:right="0" w:hanging="251"/>
        <w:jc w:val="left"/>
        <w:rPr>
          <w:sz w:val="21"/>
        </w:rPr>
      </w:pPr>
      <w:r>
        <w:rPr>
          <w:sz w:val="21"/>
        </w:rPr>
        <w:t>酸和碱（</w:t>
      </w:r>
      <w:r>
        <w:rPr>
          <w:spacing w:val="-27"/>
          <w:sz w:val="21"/>
        </w:rPr>
        <w:t xml:space="preserve">以 </w:t>
      </w:r>
      <w:r>
        <w:rPr>
          <w:rFonts w:ascii="Times New Roman" w:eastAsia="Times New Roman"/>
          <w:sz w:val="21"/>
        </w:rPr>
        <w:t xml:space="preserve">pH </w:t>
      </w:r>
      <w:r>
        <w:rPr>
          <w:sz w:val="21"/>
        </w:rPr>
        <w:t>表征</w:t>
      </w:r>
      <w:r>
        <w:rPr>
          <w:spacing w:val="-110"/>
          <w:sz w:val="21"/>
        </w:rPr>
        <w:t>）</w:t>
      </w:r>
      <w:r>
        <w:rPr>
          <w:spacing w:val="-5"/>
          <w:sz w:val="21"/>
        </w:rPr>
        <w:t>；</w:t>
      </w:r>
    </w:p>
    <w:p>
      <w:pPr>
        <w:pStyle w:val="ListParagraph"/>
        <w:numPr>
          <w:ilvl w:val="4"/>
          <w:numId w:val="40"/>
        </w:numPr>
        <w:tabs>
          <w:tab w:val="left" w:pos="903"/>
        </w:tabs>
        <w:spacing w:before="51" w:after="0" w:line="240" w:lineRule="auto"/>
        <w:ind w:left="902" w:right="0" w:hanging="263"/>
        <w:jc w:val="left"/>
        <w:rPr>
          <w:sz w:val="21"/>
        </w:rPr>
      </w:pPr>
      <w:r>
        <w:rPr>
          <w:sz w:val="21"/>
        </w:rPr>
        <w:t>热（以温度表征</w:t>
      </w:r>
      <w:r>
        <w:rPr>
          <w:spacing w:val="-105"/>
          <w:sz w:val="21"/>
        </w:rPr>
        <w:t>）</w:t>
      </w:r>
      <w:r>
        <w:rPr>
          <w:spacing w:val="-10"/>
          <w:sz w:val="21"/>
        </w:rPr>
        <w:t>。</w:t>
      </w:r>
    </w:p>
    <w:p>
      <w:pPr>
        <w:pStyle w:val="ListParagraph"/>
        <w:numPr>
          <w:ilvl w:val="3"/>
          <w:numId w:val="40"/>
        </w:numPr>
        <w:tabs>
          <w:tab w:val="left" w:pos="1007"/>
          <w:tab w:val="left" w:pos="1008"/>
        </w:tabs>
        <w:spacing w:before="51" w:after="0" w:line="240" w:lineRule="auto"/>
        <w:ind w:left="1007" w:right="0" w:hanging="788"/>
        <w:jc w:val="left"/>
        <w:rPr>
          <w:sz w:val="21"/>
        </w:rPr>
      </w:pPr>
      <w:r>
        <w:rPr>
          <w:spacing w:val="-2"/>
          <w:sz w:val="21"/>
        </w:rPr>
        <w:t>污水水质的复杂程度</w:t>
      </w:r>
    </w:p>
    <w:p>
      <w:pPr>
        <w:pStyle w:val="BodyText"/>
        <w:spacing w:before="51"/>
        <w:ind w:left="640"/>
      </w:pPr>
      <w:r>
        <w:t>复杂：污染物类型数≥</w:t>
      </w:r>
      <w:r>
        <w:rPr>
          <w:rFonts w:ascii="Times New Roman" w:eastAsia="Times New Roman" w:hAnsi="Times New Roman"/>
        </w:rPr>
        <w:t>3</w:t>
      </w:r>
      <w:r>
        <w:rPr>
          <w:spacing w:val="-1"/>
        </w:rPr>
        <w:t>，或者只含有两类污染物，但需预测其浓度的水质参数数目≥</w:t>
      </w:r>
    </w:p>
    <w:p>
      <w:pPr>
        <w:pStyle w:val="BodyText"/>
        <w:spacing w:before="51"/>
        <w:ind w:left="220"/>
      </w:pPr>
      <w:r>
        <w:rPr>
          <w:rFonts w:ascii="Times New Roman" w:eastAsia="Times New Roman"/>
          <w:spacing w:val="-5"/>
        </w:rPr>
        <w:t>10</w:t>
      </w:r>
      <w:r>
        <w:rPr>
          <w:spacing w:val="-5"/>
        </w:rPr>
        <w:t>；</w:t>
      </w:r>
    </w:p>
    <w:p>
      <w:pPr>
        <w:pStyle w:val="BodyText"/>
        <w:spacing w:before="51" w:line="285" w:lineRule="auto"/>
        <w:ind w:left="220" w:right="192" w:firstLine="420"/>
      </w:pPr>
      <w:r>
        <w:rPr>
          <w:spacing w:val="-4"/>
        </w:rPr>
        <w:t>中等：污染物类型数</w:t>
      </w:r>
      <w:r>
        <w:rPr>
          <w:rFonts w:ascii="Times New Roman" w:eastAsia="Times New Roman" w:hAnsi="Times New Roman"/>
          <w:spacing w:val="-4"/>
        </w:rPr>
        <w:t>=2</w:t>
      </w:r>
      <w:r>
        <w:rPr>
          <w:spacing w:val="-4"/>
        </w:rPr>
        <w:t>，且需预测其浓度的水质参数数目</w:t>
      </w:r>
      <w:r>
        <w:rPr>
          <w:rFonts w:ascii="Times New Roman" w:eastAsia="Times New Roman" w:hAnsi="Times New Roman"/>
          <w:spacing w:val="-4"/>
        </w:rPr>
        <w:t>&lt;10</w:t>
      </w:r>
      <w:r>
        <w:rPr>
          <w:spacing w:val="-4"/>
        </w:rPr>
        <w:t>；或者只含有一类污染物，</w:t>
      </w:r>
      <w:r>
        <w:rPr>
          <w:spacing w:val="-2"/>
        </w:rPr>
        <w:t>但需预测其浓度的水质参数数目≥</w:t>
      </w:r>
      <w:r>
        <w:rPr>
          <w:rFonts w:ascii="Times New Roman" w:eastAsia="Times New Roman" w:hAnsi="Times New Roman"/>
          <w:spacing w:val="-2"/>
        </w:rPr>
        <w:t>7</w:t>
      </w:r>
      <w:r>
        <w:rPr>
          <w:spacing w:val="-2"/>
        </w:rPr>
        <w:t>；</w:t>
      </w:r>
    </w:p>
    <w:p>
      <w:pPr>
        <w:pStyle w:val="BodyText"/>
        <w:spacing w:line="269" w:lineRule="exact"/>
        <w:ind w:left="640"/>
      </w:pPr>
      <w:r>
        <w:t>简单：污染物类型数</w:t>
      </w:r>
      <w:r>
        <w:rPr>
          <w:rFonts w:ascii="Times New Roman" w:eastAsia="Times New Roman"/>
        </w:rPr>
        <w:t>=1</w:t>
      </w:r>
      <w:r>
        <w:t>，需预测浓度的水质参数数目</w:t>
      </w:r>
      <w:r>
        <w:rPr>
          <w:rFonts w:ascii="Times New Roman" w:eastAsia="Times New Roman"/>
        </w:rPr>
        <w:t>&lt;7</w:t>
      </w:r>
      <w:r>
        <w:rPr>
          <w:spacing w:val="-10"/>
        </w:rPr>
        <w:t>。</w:t>
      </w:r>
    </w:p>
    <w:p>
      <w:pPr>
        <w:pStyle w:val="ListParagraph"/>
        <w:numPr>
          <w:ilvl w:val="2"/>
          <w:numId w:val="40"/>
        </w:numPr>
        <w:tabs>
          <w:tab w:val="left" w:pos="849"/>
          <w:tab w:val="left" w:pos="850"/>
        </w:tabs>
        <w:spacing w:before="51" w:after="0" w:line="240" w:lineRule="auto"/>
        <w:ind w:left="850" w:right="0" w:hanging="630"/>
        <w:jc w:val="left"/>
        <w:rPr>
          <w:sz w:val="21"/>
        </w:rPr>
      </w:pPr>
      <w:r>
        <w:rPr>
          <w:spacing w:val="-1"/>
          <w:sz w:val="21"/>
        </w:rPr>
        <w:t>各类地面水域的规模是指地面水体的大小规模，本标准具体规定如下。</w:t>
      </w:r>
    </w:p>
    <w:p>
      <w:pPr>
        <w:pStyle w:val="ListParagraph"/>
        <w:numPr>
          <w:ilvl w:val="3"/>
          <w:numId w:val="40"/>
        </w:numPr>
        <w:tabs>
          <w:tab w:val="left" w:pos="1007"/>
          <w:tab w:val="left" w:pos="1008"/>
          <w:tab w:val="left" w:pos="1269"/>
        </w:tabs>
        <w:spacing w:before="50" w:after="0" w:line="285" w:lineRule="auto"/>
        <w:ind w:left="640" w:right="193" w:hanging="420"/>
        <w:jc w:val="left"/>
        <w:rPr>
          <w:rFonts w:ascii="Times New Roman" w:eastAsia="Times New Roman" w:hAnsi="Times New Roman"/>
          <w:sz w:val="21"/>
        </w:rPr>
      </w:pPr>
      <w:r>
        <w:rPr>
          <w:spacing w:val="-2"/>
          <w:sz w:val="21"/>
        </w:rPr>
        <w:t>河</w:t>
      </w:r>
      <w:r>
        <w:rPr>
          <w:spacing w:val="-2"/>
          <w:sz w:val="21"/>
        </w:rPr>
        <w:t>流</w:t>
      </w:r>
      <w:r>
        <w:rPr>
          <w:spacing w:val="-2"/>
          <w:sz w:val="21"/>
        </w:rPr>
        <w:t>与</w:t>
      </w:r>
      <w:r>
        <w:rPr>
          <w:spacing w:val="-2"/>
          <w:sz w:val="21"/>
        </w:rPr>
        <w:t>河</w:t>
      </w:r>
      <w:r>
        <w:rPr>
          <w:spacing w:val="-2"/>
          <w:sz w:val="21"/>
        </w:rPr>
        <w:t>口</w:t>
      </w:r>
      <w:r>
        <w:rPr>
          <w:spacing w:val="-95"/>
          <w:sz w:val="21"/>
        </w:rPr>
        <w:t>，</w:t>
      </w:r>
      <w:r>
        <w:rPr>
          <w:spacing w:val="-2"/>
          <w:sz w:val="21"/>
        </w:rPr>
        <w:t>按</w:t>
      </w:r>
      <w:r>
        <w:rPr>
          <w:spacing w:val="-2"/>
          <w:sz w:val="21"/>
        </w:rPr>
        <w:t>建</w:t>
      </w:r>
      <w:r>
        <w:rPr>
          <w:spacing w:val="-2"/>
          <w:sz w:val="21"/>
        </w:rPr>
        <w:t>设</w:t>
      </w:r>
      <w:r>
        <w:rPr>
          <w:spacing w:val="-2"/>
          <w:sz w:val="21"/>
        </w:rPr>
        <w:t>项</w:t>
      </w:r>
      <w:r>
        <w:rPr>
          <w:spacing w:val="-2"/>
          <w:sz w:val="21"/>
        </w:rPr>
        <w:t>目</w:t>
      </w:r>
      <w:r>
        <w:rPr>
          <w:spacing w:val="-2"/>
          <w:sz w:val="21"/>
        </w:rPr>
        <w:t>排</w:t>
      </w:r>
      <w:r>
        <w:rPr>
          <w:spacing w:val="-2"/>
          <w:sz w:val="21"/>
        </w:rPr>
        <w:t>污</w:t>
      </w:r>
      <w:r>
        <w:rPr>
          <w:spacing w:val="-2"/>
          <w:sz w:val="21"/>
        </w:rPr>
        <w:t>口</w:t>
      </w:r>
      <w:r>
        <w:rPr>
          <w:spacing w:val="-2"/>
          <w:sz w:val="21"/>
        </w:rPr>
        <w:t>附</w:t>
      </w:r>
      <w:r>
        <w:rPr>
          <w:spacing w:val="-2"/>
          <w:sz w:val="21"/>
        </w:rPr>
        <w:t>近</w:t>
      </w:r>
      <w:r>
        <w:rPr>
          <w:spacing w:val="-2"/>
          <w:sz w:val="21"/>
        </w:rPr>
        <w:t>河</w:t>
      </w:r>
      <w:r>
        <w:rPr>
          <w:spacing w:val="-2"/>
          <w:sz w:val="21"/>
        </w:rPr>
        <w:t>段</w:t>
      </w:r>
      <w:r>
        <w:rPr>
          <w:spacing w:val="-2"/>
          <w:sz w:val="21"/>
        </w:rPr>
        <w:t>的</w:t>
      </w:r>
      <w:r>
        <w:rPr>
          <w:spacing w:val="-2"/>
          <w:sz w:val="21"/>
        </w:rPr>
        <w:t>多</w:t>
      </w:r>
      <w:r>
        <w:rPr>
          <w:spacing w:val="-2"/>
          <w:sz w:val="21"/>
        </w:rPr>
        <w:t>年</w:t>
      </w:r>
      <w:r>
        <w:rPr>
          <w:spacing w:val="-2"/>
          <w:sz w:val="21"/>
        </w:rPr>
        <w:t>平</w:t>
      </w:r>
      <w:r>
        <w:rPr>
          <w:spacing w:val="-2"/>
          <w:sz w:val="21"/>
        </w:rPr>
        <w:t>均</w:t>
      </w:r>
      <w:r>
        <w:rPr>
          <w:spacing w:val="-2"/>
          <w:sz w:val="21"/>
        </w:rPr>
        <w:t>流</w:t>
      </w:r>
      <w:r>
        <w:rPr>
          <w:spacing w:val="-2"/>
          <w:sz w:val="21"/>
        </w:rPr>
        <w:t>量</w:t>
      </w:r>
      <w:r>
        <w:rPr>
          <w:spacing w:val="-2"/>
          <w:sz w:val="21"/>
        </w:rPr>
        <w:t>或</w:t>
      </w:r>
      <w:r>
        <w:rPr>
          <w:spacing w:val="-2"/>
          <w:sz w:val="21"/>
        </w:rPr>
        <w:t>平</w:t>
      </w:r>
      <w:r>
        <w:rPr>
          <w:spacing w:val="-2"/>
          <w:sz w:val="21"/>
        </w:rPr>
        <w:t>水</w:t>
      </w:r>
      <w:r>
        <w:rPr>
          <w:spacing w:val="-2"/>
          <w:sz w:val="21"/>
        </w:rPr>
        <w:t>期</w:t>
      </w:r>
      <w:r>
        <w:rPr>
          <w:spacing w:val="-2"/>
          <w:sz w:val="21"/>
        </w:rPr>
        <w:t>平</w:t>
      </w:r>
      <w:r>
        <w:rPr>
          <w:spacing w:val="-2"/>
          <w:sz w:val="21"/>
        </w:rPr>
        <w:t>均</w:t>
      </w:r>
      <w:r>
        <w:rPr>
          <w:spacing w:val="-2"/>
          <w:sz w:val="21"/>
        </w:rPr>
        <w:t>流</w:t>
      </w:r>
      <w:r>
        <w:rPr>
          <w:spacing w:val="-2"/>
          <w:sz w:val="21"/>
        </w:rPr>
        <w:t>量</w:t>
      </w:r>
      <w:r>
        <w:rPr>
          <w:spacing w:val="-2"/>
          <w:sz w:val="21"/>
        </w:rPr>
        <w:t>划</w:t>
      </w:r>
      <w:r>
        <w:rPr>
          <w:spacing w:val="-2"/>
          <w:sz w:val="21"/>
        </w:rPr>
        <w:t>分</w:t>
      </w:r>
      <w:r>
        <w:rPr>
          <w:spacing w:val="-53"/>
          <w:sz w:val="21"/>
        </w:rPr>
        <w:t>为</w:t>
      </w:r>
      <w:r>
        <w:rPr>
          <w:spacing w:val="-2"/>
          <w:sz w:val="21"/>
        </w:rPr>
        <w:t>：</w:t>
      </w:r>
      <w:r>
        <w:rPr>
          <w:spacing w:val="-6"/>
          <w:sz w:val="21"/>
        </w:rPr>
        <w:t>大</w:t>
      </w:r>
      <w:r>
        <w:rPr>
          <w:spacing w:val="-6"/>
          <w:sz w:val="21"/>
        </w:rPr>
        <w:t>河</w:t>
      </w:r>
      <w:r>
        <w:rPr>
          <w:sz w:val="21"/>
        </w:rPr>
        <w:tab/>
      </w:r>
      <w:r>
        <w:rPr>
          <w:spacing w:val="-2"/>
          <w:sz w:val="21"/>
        </w:rPr>
        <w:t>≥</w:t>
      </w:r>
      <w:r>
        <w:rPr>
          <w:rFonts w:ascii="Times New Roman" w:eastAsia="Times New Roman" w:hAnsi="Times New Roman"/>
          <w:spacing w:val="-2"/>
          <w:sz w:val="21"/>
        </w:rPr>
        <w:t>150m</w:t>
      </w:r>
      <w:r>
        <w:rPr>
          <w:rFonts w:ascii="Times New Roman" w:eastAsia="Times New Roman" w:hAnsi="Times New Roman"/>
          <w:spacing w:val="-2"/>
          <w:position w:val="6"/>
          <w:sz w:val="14"/>
        </w:rPr>
        <w:t>3</w:t>
      </w:r>
      <w:r>
        <w:rPr>
          <w:rFonts w:ascii="Times New Roman" w:eastAsia="Times New Roman" w:hAnsi="Times New Roman"/>
          <w:spacing w:val="-2"/>
          <w:sz w:val="21"/>
        </w:rPr>
        <w:t>/s</w:t>
      </w:r>
    </w:p>
    <w:p>
      <w:pPr>
        <w:pStyle w:val="BodyText"/>
        <w:tabs>
          <w:tab w:val="left" w:pos="1269"/>
        </w:tabs>
        <w:spacing w:line="285" w:lineRule="auto"/>
        <w:ind w:left="640" w:right="6331"/>
      </w:pPr>
      <w:r>
        <w:rPr>
          <w:spacing w:val="-6"/>
        </w:rPr>
        <w:t>中</w:t>
      </w:r>
      <w:r>
        <w:rPr>
          <w:spacing w:val="-6"/>
        </w:rPr>
        <w:t>河</w:t>
      </w:r>
      <w:r>
        <w:tab/>
      </w:r>
      <w:r>
        <w:rPr>
          <w:rFonts w:ascii="Times New Roman" w:eastAsia="Times New Roman"/>
          <w:spacing w:val="-2"/>
        </w:rPr>
        <w:t>15~150m</w:t>
      </w:r>
      <w:r>
        <w:rPr>
          <w:rFonts w:ascii="Times New Roman" w:eastAsia="Times New Roman"/>
          <w:spacing w:val="-2"/>
          <w:position w:val="6"/>
          <w:sz w:val="14"/>
        </w:rPr>
        <w:t>3</w:t>
      </w:r>
      <w:r>
        <w:rPr>
          <w:rFonts w:ascii="Times New Roman" w:eastAsia="Times New Roman"/>
          <w:spacing w:val="-2"/>
        </w:rPr>
        <w:t>/s</w:t>
      </w:r>
      <w:r>
        <w:rPr>
          <w:spacing w:val="-2"/>
        </w:rPr>
        <w:t>；</w:t>
      </w:r>
      <w:r>
        <w:rPr>
          <w:spacing w:val="-6"/>
        </w:rPr>
        <w:t>小</w:t>
      </w:r>
      <w:r>
        <w:rPr>
          <w:spacing w:val="-6"/>
        </w:rPr>
        <w:t>河</w:t>
      </w:r>
      <w:r>
        <w:tab/>
      </w:r>
      <w:r>
        <w:rPr>
          <w:rFonts w:ascii="Times New Roman" w:eastAsia="Times New Roman"/>
          <w:spacing w:val="-2"/>
        </w:rPr>
        <w:t>&lt;15m</w:t>
      </w:r>
      <w:r>
        <w:rPr>
          <w:rFonts w:ascii="Times New Roman" w:eastAsia="Times New Roman"/>
          <w:spacing w:val="-2"/>
          <w:position w:val="6"/>
          <w:sz w:val="14"/>
        </w:rPr>
        <w:t>3</w:t>
      </w:r>
      <w:r>
        <w:rPr>
          <w:rFonts w:ascii="Times New Roman" w:eastAsia="Times New Roman"/>
          <w:spacing w:val="-2"/>
        </w:rPr>
        <w:t>/s</w:t>
      </w:r>
      <w:r>
        <w:rPr>
          <w:spacing w:val="-2"/>
        </w:rPr>
        <w:t>。</w:t>
      </w:r>
    </w:p>
    <w:p>
      <w:pPr>
        <w:pStyle w:val="ListParagraph"/>
        <w:numPr>
          <w:ilvl w:val="3"/>
          <w:numId w:val="40"/>
        </w:numPr>
        <w:tabs>
          <w:tab w:val="left" w:pos="1007"/>
          <w:tab w:val="left" w:pos="1008"/>
        </w:tabs>
        <w:spacing w:before="0" w:after="0" w:line="285" w:lineRule="auto"/>
        <w:ind w:left="640" w:right="1516" w:hanging="420"/>
        <w:jc w:val="left"/>
        <w:rPr>
          <w:sz w:val="21"/>
        </w:rPr>
      </w:pPr>
      <w:r>
        <w:rPr>
          <w:spacing w:val="-2"/>
          <w:sz w:val="21"/>
        </w:rPr>
        <w:t>湖泊和水库，按枯水期湖泊或水库的平均水深以及水面面积划分为：</w:t>
      </w:r>
      <w:r>
        <w:rPr>
          <w:sz w:val="21"/>
        </w:rPr>
        <w:t>当平均水深≥</w:t>
      </w:r>
      <w:r>
        <w:rPr>
          <w:rFonts w:ascii="Times New Roman" w:eastAsia="Times New Roman" w:hAnsi="Times New Roman"/>
          <w:sz w:val="21"/>
        </w:rPr>
        <w:t xml:space="preserve">10m </w:t>
      </w:r>
      <w:r>
        <w:rPr>
          <w:sz w:val="21"/>
        </w:rPr>
        <w:t>时：</w:t>
      </w:r>
    </w:p>
    <w:p>
      <w:pPr>
        <w:pStyle w:val="BodyText"/>
        <w:tabs>
          <w:tab w:val="left" w:pos="2319"/>
        </w:tabs>
        <w:spacing w:line="285" w:lineRule="auto"/>
        <w:ind w:left="1060" w:right="5369"/>
      </w:pPr>
      <w:r>
        <w:rPr>
          <w:spacing w:val="-2"/>
        </w:rPr>
        <w:t>大</w:t>
      </w:r>
      <w:r>
        <w:rPr>
          <w:spacing w:val="-2"/>
        </w:rPr>
        <w:t>湖</w:t>
      </w:r>
      <w:r>
        <w:rPr>
          <w:spacing w:val="-2"/>
        </w:rPr>
        <w:t>（</w:t>
      </w:r>
      <w:r>
        <w:rPr>
          <w:spacing w:val="-2"/>
        </w:rPr>
        <w:t>库</w:t>
      </w:r>
      <w:r>
        <w:rPr>
          <w:spacing w:val="-2"/>
        </w:rPr>
        <w:t>）</w:t>
      </w:r>
      <w:r>
        <w:tab/>
      </w:r>
      <w:r>
        <w:rPr>
          <w:spacing w:val="-2"/>
        </w:rPr>
        <w:t>≥</w:t>
      </w:r>
      <w:r>
        <w:rPr>
          <w:rFonts w:ascii="Times New Roman" w:eastAsia="Times New Roman" w:hAnsi="Times New Roman"/>
          <w:spacing w:val="-2"/>
        </w:rPr>
        <w:t>25km</w:t>
      </w:r>
      <w:r>
        <w:rPr>
          <w:rFonts w:ascii="Times New Roman" w:eastAsia="Times New Roman" w:hAnsi="Times New Roman"/>
          <w:spacing w:val="-2"/>
          <w:position w:val="6"/>
          <w:sz w:val="14"/>
        </w:rPr>
        <w:t>2</w:t>
      </w:r>
      <w:r>
        <w:rPr>
          <w:spacing w:val="-2"/>
        </w:rPr>
        <w:t>；</w:t>
      </w:r>
      <w:r>
        <w:rPr>
          <w:spacing w:val="-2"/>
        </w:rPr>
        <w:t>中</w:t>
      </w:r>
      <w:r>
        <w:rPr>
          <w:spacing w:val="-2"/>
        </w:rPr>
        <w:t>湖</w:t>
      </w:r>
      <w:r>
        <w:rPr>
          <w:spacing w:val="-2"/>
        </w:rPr>
        <w:t>（</w:t>
      </w:r>
      <w:r>
        <w:rPr>
          <w:spacing w:val="-2"/>
        </w:rPr>
        <w:t>库</w:t>
      </w:r>
      <w:r>
        <w:rPr>
          <w:spacing w:val="-2"/>
        </w:rPr>
        <w:t>）</w:t>
      </w:r>
      <w:r>
        <w:tab/>
      </w:r>
      <w:r>
        <w:rPr>
          <w:rFonts w:ascii="Times New Roman" w:eastAsia="Times New Roman" w:hAnsi="Times New Roman"/>
          <w:spacing w:val="-2"/>
        </w:rPr>
        <w:t>2.5~25km</w:t>
      </w:r>
      <w:r>
        <w:rPr>
          <w:rFonts w:ascii="Times New Roman" w:eastAsia="Times New Roman" w:hAnsi="Times New Roman"/>
          <w:spacing w:val="-2"/>
          <w:position w:val="6"/>
          <w:sz w:val="14"/>
        </w:rPr>
        <w:t>2</w:t>
      </w:r>
      <w:r>
        <w:rPr>
          <w:spacing w:val="-2"/>
        </w:rPr>
        <w:t>；小</w:t>
      </w:r>
      <w:r>
        <w:rPr>
          <w:spacing w:val="-2"/>
        </w:rPr>
        <w:t>湖</w:t>
      </w:r>
      <w:r>
        <w:rPr>
          <w:spacing w:val="-2"/>
        </w:rPr>
        <w:t>（</w:t>
      </w:r>
      <w:r>
        <w:rPr>
          <w:spacing w:val="-2"/>
        </w:rPr>
        <w:t>库</w:t>
      </w:r>
      <w:r>
        <w:rPr>
          <w:spacing w:val="-2"/>
        </w:rPr>
        <w:t>）</w:t>
      </w:r>
      <w:r>
        <w:tab/>
      </w:r>
      <w:r>
        <w:rPr>
          <w:rFonts w:ascii="Times New Roman" w:eastAsia="Times New Roman" w:hAnsi="Times New Roman"/>
          <w:spacing w:val="-2"/>
        </w:rPr>
        <w:t>&lt;2.5km</w:t>
      </w:r>
      <w:r>
        <w:rPr>
          <w:rFonts w:ascii="Times New Roman" w:eastAsia="Times New Roman" w:hAnsi="Times New Roman"/>
          <w:spacing w:val="-2"/>
          <w:position w:val="6"/>
          <w:sz w:val="14"/>
        </w:rPr>
        <w:t>2</w:t>
      </w:r>
      <w:r>
        <w:rPr>
          <w:spacing w:val="-2"/>
        </w:rPr>
        <w:t>。</w:t>
      </w:r>
    </w:p>
    <w:p>
      <w:pPr>
        <w:pStyle w:val="BodyText"/>
        <w:spacing w:line="269" w:lineRule="exact"/>
        <w:ind w:left="640"/>
      </w:pPr>
      <w:r>
        <w:t>当平均水深</w:t>
      </w:r>
      <w:r>
        <w:rPr>
          <w:rFonts w:ascii="Times New Roman" w:eastAsia="Times New Roman"/>
        </w:rPr>
        <w:t xml:space="preserve">&lt;10m </w:t>
      </w:r>
      <w:r>
        <w:rPr>
          <w:spacing w:val="-5"/>
        </w:rPr>
        <w:t>时：</w:t>
      </w:r>
    </w:p>
    <w:p>
      <w:pPr>
        <w:pStyle w:val="BodyText"/>
        <w:tabs>
          <w:tab w:val="left" w:pos="2319"/>
        </w:tabs>
        <w:spacing w:before="50" w:line="285" w:lineRule="auto"/>
        <w:ind w:left="1060" w:right="5527"/>
        <w:rPr>
          <w:rFonts w:ascii="Times New Roman" w:eastAsia="Times New Roman" w:hAnsi="Times New Roman"/>
          <w:sz w:val="14"/>
        </w:rPr>
      </w:pPr>
      <w:r>
        <w:rPr>
          <w:spacing w:val="-2"/>
        </w:rPr>
        <w:t>大</w:t>
      </w:r>
      <w:r>
        <w:rPr>
          <w:spacing w:val="-2"/>
        </w:rPr>
        <w:t>湖</w:t>
      </w:r>
      <w:r>
        <w:rPr>
          <w:spacing w:val="-2"/>
        </w:rPr>
        <w:t>（</w:t>
      </w:r>
      <w:r>
        <w:rPr>
          <w:spacing w:val="-2"/>
        </w:rPr>
        <w:t>库</w:t>
      </w:r>
      <w:r>
        <w:rPr>
          <w:spacing w:val="-2"/>
        </w:rPr>
        <w:t>）</w:t>
      </w:r>
      <w:r>
        <w:tab/>
      </w:r>
      <w:r>
        <w:rPr>
          <w:spacing w:val="-2"/>
        </w:rPr>
        <w:t>≥</w:t>
      </w:r>
      <w:r>
        <w:rPr>
          <w:rFonts w:ascii="Times New Roman" w:eastAsia="Times New Roman" w:hAnsi="Times New Roman"/>
          <w:spacing w:val="-2"/>
        </w:rPr>
        <w:t>50km</w:t>
      </w:r>
      <w:r>
        <w:rPr>
          <w:rFonts w:ascii="Times New Roman" w:eastAsia="Times New Roman" w:hAnsi="Times New Roman"/>
          <w:spacing w:val="-2"/>
          <w:position w:val="6"/>
          <w:sz w:val="14"/>
        </w:rPr>
        <w:t>2</w:t>
      </w:r>
      <w:r>
        <w:rPr>
          <w:rFonts w:ascii="Times New Roman" w:eastAsia="Times New Roman" w:hAnsi="Times New Roman"/>
          <w:spacing w:val="40"/>
          <w:position w:val="6"/>
          <w:sz w:val="14"/>
        </w:rPr>
        <w:t xml:space="preserve"> </w:t>
      </w:r>
      <w:r>
        <w:rPr>
          <w:spacing w:val="-2"/>
        </w:rPr>
        <w:t>中</w:t>
      </w:r>
      <w:r>
        <w:rPr>
          <w:spacing w:val="-2"/>
        </w:rPr>
        <w:t>湖</w:t>
      </w:r>
      <w:r>
        <w:rPr>
          <w:spacing w:val="-2"/>
        </w:rPr>
        <w:t>（</w:t>
      </w:r>
      <w:r>
        <w:rPr>
          <w:spacing w:val="-2"/>
        </w:rPr>
        <w:t>库</w:t>
      </w:r>
      <w:r>
        <w:rPr>
          <w:spacing w:val="-2"/>
        </w:rPr>
        <w:t>）</w:t>
      </w:r>
      <w:r>
        <w:tab/>
      </w:r>
      <w:r>
        <w:rPr>
          <w:rFonts w:ascii="Times New Roman" w:eastAsia="Times New Roman" w:hAnsi="Times New Roman"/>
          <w:spacing w:val="-2"/>
        </w:rPr>
        <w:t>5~50km</w:t>
      </w:r>
      <w:r>
        <w:rPr>
          <w:rFonts w:ascii="Times New Roman" w:eastAsia="Times New Roman" w:hAnsi="Times New Roman"/>
          <w:spacing w:val="-2"/>
          <w:position w:val="6"/>
          <w:sz w:val="14"/>
        </w:rPr>
        <w:t>2</w:t>
      </w:r>
      <w:r>
        <w:rPr>
          <w:spacing w:val="-2"/>
        </w:rPr>
        <w:t>；</w:t>
      </w:r>
      <w:r>
        <w:rPr>
          <w:spacing w:val="-2"/>
        </w:rPr>
        <w:t>小</w:t>
      </w:r>
      <w:r>
        <w:rPr>
          <w:spacing w:val="-2"/>
        </w:rPr>
        <w:t>湖</w:t>
      </w:r>
      <w:r>
        <w:rPr>
          <w:spacing w:val="-2"/>
        </w:rPr>
        <w:t>（</w:t>
      </w:r>
      <w:r>
        <w:rPr>
          <w:spacing w:val="-2"/>
        </w:rPr>
        <w:t>库</w:t>
      </w:r>
      <w:r>
        <w:rPr>
          <w:spacing w:val="-2"/>
        </w:rPr>
        <w:t>）</w:t>
      </w:r>
      <w:r>
        <w:tab/>
      </w:r>
      <w:r>
        <w:rPr>
          <w:rFonts w:ascii="Times New Roman" w:eastAsia="Times New Roman" w:hAnsi="Times New Roman"/>
          <w:spacing w:val="-4"/>
        </w:rPr>
        <w:t>&lt;5km</w:t>
      </w:r>
      <w:r>
        <w:rPr>
          <w:rFonts w:ascii="Times New Roman" w:eastAsia="Times New Roman" w:hAnsi="Times New Roman"/>
          <w:spacing w:val="-4"/>
          <w:position w:val="6"/>
          <w:sz w:val="14"/>
        </w:rPr>
        <w:t>2</w:t>
      </w:r>
    </w:p>
    <w:p>
      <w:pPr>
        <w:spacing w:after="0" w:line="285" w:lineRule="auto"/>
        <w:rPr>
          <w:rFonts w:ascii="Times New Roman" w:eastAsia="Times New Roman" w:hAnsi="Times New Roman"/>
          <w:sz w:val="14"/>
        </w:rPr>
        <w:sectPr>
          <w:footerReference w:type="even" r:id="rId22"/>
          <w:footerReference w:type="default" r:id="rId23"/>
          <w:pgSz w:w="11910" w:h="16840"/>
          <w:pgMar w:top="1480" w:right="1500" w:bottom="1180" w:left="1580" w:header="0" w:footer="990"/>
          <w:pgNumType w:start="609"/>
          <w:cols w:space="708"/>
        </w:sectPr>
      </w:pPr>
    </w:p>
    <w:p>
      <w:pPr>
        <w:pStyle w:val="BodyText"/>
        <w:spacing w:before="48" w:line="285" w:lineRule="auto"/>
        <w:ind w:left="220" w:right="297" w:firstLine="420"/>
      </w:pPr>
      <w:r>
        <w:rPr>
          <w:spacing w:val="-4"/>
        </w:rPr>
        <w:t>在具体应用上述划分原则时，可根据我国南、北方以及干旱、湿润地区的特点进行适当</w:t>
      </w:r>
      <w:r>
        <w:rPr>
          <w:spacing w:val="-4"/>
        </w:rPr>
        <w:t>调整。</w:t>
      </w:r>
    </w:p>
    <w:p>
      <w:pPr>
        <w:pStyle w:val="ListParagraph"/>
        <w:numPr>
          <w:ilvl w:val="2"/>
          <w:numId w:val="39"/>
        </w:numPr>
        <w:tabs>
          <w:tab w:val="left" w:pos="850"/>
        </w:tabs>
        <w:spacing w:before="0" w:after="0" w:line="285" w:lineRule="auto"/>
        <w:ind w:left="220" w:right="297" w:firstLine="0"/>
        <w:jc w:val="both"/>
        <w:rPr>
          <w:sz w:val="21"/>
        </w:rPr>
      </w:pPr>
      <w:r>
        <w:rPr>
          <w:spacing w:val="-2"/>
          <w:sz w:val="21"/>
        </w:rPr>
        <w:t>对地面水域的水质要求（即水质类别）</w:t>
      </w:r>
      <w:r>
        <w:rPr>
          <w:spacing w:val="-14"/>
          <w:sz w:val="21"/>
        </w:rPr>
        <w:t xml:space="preserve">以 </w:t>
      </w:r>
      <w:r>
        <w:rPr>
          <w:rFonts w:ascii="Times New Roman" w:eastAsia="Times New Roman"/>
          <w:spacing w:val="-2"/>
          <w:sz w:val="21"/>
        </w:rPr>
        <w:t>GB</w:t>
      </w:r>
      <w:r>
        <w:rPr>
          <w:rFonts w:ascii="Times New Roman" w:eastAsia="Times New Roman"/>
          <w:spacing w:val="-11"/>
          <w:sz w:val="21"/>
        </w:rPr>
        <w:t xml:space="preserve"> </w:t>
      </w:r>
      <w:r>
        <w:rPr>
          <w:rFonts w:ascii="Times New Roman" w:eastAsia="Times New Roman"/>
          <w:spacing w:val="-2"/>
          <w:sz w:val="21"/>
        </w:rPr>
        <w:t>3838</w:t>
      </w:r>
      <w:r>
        <w:rPr>
          <w:rFonts w:ascii="Times New Roman" w:eastAsia="Times New Roman"/>
          <w:spacing w:val="-11"/>
          <w:sz w:val="21"/>
        </w:rPr>
        <w:t xml:space="preserve"> </w:t>
      </w:r>
      <w:r>
        <w:rPr>
          <w:spacing w:val="-5"/>
          <w:sz w:val="21"/>
        </w:rPr>
        <w:t xml:space="preserve">为依据。目前以 </w:t>
      </w:r>
      <w:r>
        <w:rPr>
          <w:rFonts w:ascii="Times New Roman" w:eastAsia="Times New Roman"/>
          <w:spacing w:val="-2"/>
          <w:sz w:val="21"/>
        </w:rPr>
        <w:t>1988</w:t>
      </w:r>
      <w:r>
        <w:rPr>
          <w:rFonts w:ascii="Times New Roman" w:eastAsia="Times New Roman"/>
          <w:spacing w:val="-6"/>
          <w:sz w:val="21"/>
        </w:rPr>
        <w:t xml:space="preserve"> </w:t>
      </w:r>
      <w:r>
        <w:rPr>
          <w:spacing w:val="-2"/>
          <w:sz w:val="21"/>
        </w:rPr>
        <w:t>年新修订的</w:t>
      </w:r>
      <w:r>
        <w:rPr>
          <w:spacing w:val="-4"/>
          <w:sz w:val="21"/>
        </w:rPr>
        <w:t>标准为依据。该标准将地面水环境质量分为五类。如受纳水域的实际功能与该标准的水质分</w:t>
      </w:r>
      <w:r>
        <w:rPr>
          <w:spacing w:val="-2"/>
          <w:sz w:val="21"/>
        </w:rPr>
        <w:t>类不一致时，由当地环保部门对其水质提出具体要求。</w:t>
      </w:r>
    </w:p>
    <w:p>
      <w:pPr>
        <w:pStyle w:val="ListParagraph"/>
        <w:numPr>
          <w:ilvl w:val="1"/>
          <w:numId w:val="39"/>
        </w:numPr>
        <w:tabs>
          <w:tab w:val="left" w:pos="693"/>
        </w:tabs>
        <w:spacing w:before="0" w:after="0" w:line="269" w:lineRule="exact"/>
        <w:ind w:left="692" w:right="0" w:hanging="473"/>
        <w:jc w:val="both"/>
        <w:rPr>
          <w:sz w:val="21"/>
        </w:rPr>
      </w:pPr>
      <w:r>
        <w:rPr>
          <w:spacing w:val="-11"/>
          <w:sz w:val="21"/>
        </w:rPr>
        <w:t xml:space="preserve">在应用表 </w:t>
      </w:r>
      <w:r>
        <w:rPr>
          <w:rFonts w:ascii="Times New Roman" w:eastAsia="Times New Roman"/>
          <w:sz w:val="21"/>
        </w:rPr>
        <w:t xml:space="preserve">2 </w:t>
      </w:r>
      <w:r>
        <w:rPr>
          <w:spacing w:val="-18"/>
          <w:sz w:val="21"/>
        </w:rPr>
        <w:t xml:space="preserve">和表 </w:t>
      </w:r>
      <w:r>
        <w:rPr>
          <w:rFonts w:ascii="Times New Roman" w:eastAsia="Times New Roman"/>
          <w:sz w:val="21"/>
        </w:rPr>
        <w:t xml:space="preserve">3 </w:t>
      </w:r>
      <w:r>
        <w:rPr>
          <w:spacing w:val="-1"/>
          <w:sz w:val="21"/>
        </w:rPr>
        <w:t>时，可根据建设项目及受纳水域的具体情况适当调整评价级别。</w:t>
      </w:r>
    </w:p>
    <w:p>
      <w:pPr>
        <w:pStyle w:val="ListParagraph"/>
        <w:numPr>
          <w:ilvl w:val="0"/>
          <w:numId w:val="39"/>
        </w:numPr>
        <w:tabs>
          <w:tab w:val="left" w:pos="535"/>
        </w:tabs>
        <w:spacing w:before="50" w:after="0" w:line="240" w:lineRule="auto"/>
        <w:ind w:left="535" w:right="0" w:hanging="315"/>
        <w:jc w:val="both"/>
        <w:rPr>
          <w:rFonts w:ascii="黑体" w:eastAsia="黑体"/>
          <w:sz w:val="21"/>
        </w:rPr>
      </w:pPr>
      <w:r>
        <w:rPr>
          <w:rFonts w:ascii="黑体" w:eastAsia="黑体"/>
          <w:spacing w:val="-2"/>
          <w:sz w:val="21"/>
        </w:rPr>
        <w:t>环境现状调查</w:t>
      </w:r>
    </w:p>
    <w:p>
      <w:pPr>
        <w:pStyle w:val="ListParagraph"/>
        <w:numPr>
          <w:ilvl w:val="1"/>
          <w:numId w:val="39"/>
        </w:numPr>
        <w:tabs>
          <w:tab w:val="left" w:pos="693"/>
        </w:tabs>
        <w:spacing w:before="51" w:after="0" w:line="240" w:lineRule="auto"/>
        <w:ind w:left="692" w:right="0" w:hanging="473"/>
        <w:jc w:val="both"/>
        <w:rPr>
          <w:sz w:val="21"/>
        </w:rPr>
      </w:pPr>
      <w:r>
        <w:rPr>
          <w:spacing w:val="-2"/>
          <w:sz w:val="21"/>
        </w:rPr>
        <w:t>环境现状的调查范围</w:t>
      </w:r>
    </w:p>
    <w:p>
      <w:pPr>
        <w:pStyle w:val="ListParagraph"/>
        <w:numPr>
          <w:ilvl w:val="2"/>
          <w:numId w:val="39"/>
        </w:numPr>
        <w:tabs>
          <w:tab w:val="left" w:pos="850"/>
        </w:tabs>
        <w:spacing w:before="51" w:after="0" w:line="285" w:lineRule="auto"/>
        <w:ind w:left="220" w:right="298" w:firstLine="0"/>
        <w:jc w:val="both"/>
        <w:rPr>
          <w:sz w:val="21"/>
        </w:rPr>
      </w:pPr>
      <w:r>
        <w:rPr>
          <w:spacing w:val="-4"/>
          <w:sz w:val="21"/>
        </w:rPr>
        <w:t>环境现状的调查范围，应能包括建设项目对周围地面水环境影响较显著的区域。在此</w:t>
      </w:r>
      <w:r>
        <w:rPr>
          <w:spacing w:val="-4"/>
          <w:sz w:val="21"/>
        </w:rPr>
        <w:t>区域内进行的调查，能全面说明与地面水环境相联系的环境基本状况，并能充分满足环境影</w:t>
      </w:r>
      <w:r>
        <w:rPr>
          <w:spacing w:val="-2"/>
          <w:sz w:val="21"/>
        </w:rPr>
        <w:t>响预测的要求。</w:t>
      </w:r>
    </w:p>
    <w:p>
      <w:pPr>
        <w:pStyle w:val="ListParagraph"/>
        <w:numPr>
          <w:ilvl w:val="2"/>
          <w:numId w:val="39"/>
        </w:numPr>
        <w:tabs>
          <w:tab w:val="left" w:pos="850"/>
        </w:tabs>
        <w:spacing w:before="0" w:after="0" w:line="285" w:lineRule="auto"/>
        <w:ind w:left="220" w:right="298" w:firstLine="0"/>
        <w:jc w:val="both"/>
        <w:rPr>
          <w:sz w:val="21"/>
        </w:rPr>
      </w:pPr>
      <w:r>
        <w:rPr>
          <w:spacing w:val="-7"/>
          <w:sz w:val="21"/>
        </w:rPr>
        <w:t>在确定某项具体工程的地面水环境调查范围时，应尽量按照将来污染物排放后可能的</w:t>
      </w:r>
      <w:r>
        <w:rPr>
          <w:spacing w:val="-4"/>
          <w:sz w:val="21"/>
        </w:rPr>
        <w:t xml:space="preserve">达标范围，参考表 </w:t>
      </w:r>
      <w:r>
        <w:rPr>
          <w:rFonts w:ascii="Times New Roman" w:eastAsia="Times New Roman"/>
          <w:spacing w:val="-2"/>
          <w:sz w:val="21"/>
        </w:rPr>
        <w:t>4</w:t>
      </w:r>
      <w:r>
        <w:rPr>
          <w:spacing w:val="-7"/>
          <w:sz w:val="21"/>
        </w:rPr>
        <w:t xml:space="preserve">、表 </w:t>
      </w:r>
      <w:r>
        <w:rPr>
          <w:rFonts w:ascii="Times New Roman" w:eastAsia="Times New Roman"/>
          <w:spacing w:val="-2"/>
          <w:sz w:val="21"/>
        </w:rPr>
        <w:t>5</w:t>
      </w:r>
      <w:r>
        <w:rPr>
          <w:spacing w:val="-7"/>
          <w:sz w:val="21"/>
        </w:rPr>
        <w:t xml:space="preserve">、表 </w:t>
      </w:r>
      <w:r>
        <w:rPr>
          <w:rFonts w:ascii="Times New Roman" w:eastAsia="Times New Roman"/>
          <w:spacing w:val="-2"/>
          <w:sz w:val="21"/>
        </w:rPr>
        <w:t>6</w:t>
      </w:r>
      <w:r>
        <w:rPr>
          <w:spacing w:val="-2"/>
          <w:sz w:val="21"/>
        </w:rPr>
        <w:t>，并考虑评价等级的高低（评价等级高时可取调查范围略</w:t>
      </w:r>
      <w:r>
        <w:rPr>
          <w:spacing w:val="-2"/>
          <w:sz w:val="21"/>
        </w:rPr>
        <w:t>大，反之可略小）后决定。</w:t>
      </w:r>
    </w:p>
    <w:p>
      <w:pPr>
        <w:pStyle w:val="BodyText"/>
        <w:spacing w:after="5" w:line="269" w:lineRule="exact"/>
        <w:ind w:left="1844"/>
        <w:jc w:val="both"/>
      </w:pPr>
      <w:r>
        <w:pict>
          <v:group id="_x0000_s1110" style="width:107.75pt;height:60pt;margin-top:13.92pt;margin-left:83.45pt;mso-position-horizontal-relative:page;position:absolute;z-index:251659264" coordorigin="1669,278" coordsize="2155,1200">
            <v:shape id="_x0000_s1111" style="width:1060;height:1190;left:2757;position:absolute;top:283" coordorigin="2757,283" coordsize="1060,1190" path="m3817,1473l2757,283e" filled="t" fillcolor="white" stroked="f">
              <v:fill type="solid"/>
              <v:path arrowok="t"/>
            </v:shape>
            <v:line id="_x0000_s1112" style="position:absolute" from="2757,283" to="3817,1473" stroked="t" strokecolor="black" strokeweight="0.5pt">
              <v:stroke dashstyle="solid"/>
            </v:line>
            <v:shape id="_x0000_s1113" style="width:2145;height:826;left:1674;position:absolute;top:645" coordorigin="1674,645" coordsize="2145,826" path="m3819,1471l1674,645e" filled="t" fillcolor="white" stroked="f">
              <v:fill type="solid"/>
              <v:path arrowok="t"/>
            </v:shape>
            <v:line id="_x0000_s1114" style="position:absolute" from="1674,645" to="3819,1471" stroked="t" strokecolor="black" strokeweight="0.5pt">
              <v:stroke dashstyle="solid"/>
            </v:line>
          </v:group>
        </w:pict>
      </w:r>
      <w:r>
        <w:rPr>
          <w:spacing w:val="-27"/>
        </w:rPr>
        <w:t xml:space="preserve">表 </w:t>
      </w:r>
      <w:r>
        <w:rPr>
          <w:rFonts w:ascii="Times New Roman" w:eastAsia="Times New Roman"/>
        </w:rPr>
        <w:t>4</w:t>
      </w:r>
      <w:r>
        <w:rPr>
          <w:rFonts w:ascii="Times New Roman" w:eastAsia="Times New Roman"/>
          <w:spacing w:val="52"/>
        </w:rPr>
        <w:t xml:space="preserve">  </w:t>
      </w:r>
      <w:r>
        <w:t>不同污水排放量时河流环境现状调查范围</w:t>
      </w:r>
      <w:r>
        <w:rPr>
          <w:rFonts w:ascii="Times New Roman" w:eastAsia="Times New Roman"/>
          <w:vertAlign w:val="superscript"/>
        </w:rPr>
        <w:t>*</w:t>
      </w:r>
      <w:r>
        <w:rPr>
          <w:spacing w:val="-4"/>
          <w:vertAlign w:val="baseline"/>
        </w:rPr>
        <w:t>参考表</w:t>
      </w:r>
    </w:p>
    <w:tbl>
      <w:tblPr>
        <w:tblStyle w:val="TableNormal6"/>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0"/>
        <w:gridCol w:w="2130"/>
        <w:gridCol w:w="2131"/>
        <w:gridCol w:w="2131"/>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195"/>
          <w:jc w:val="left"/>
        </w:trPr>
        <w:tc>
          <w:tcPr>
            <w:tcW w:w="2130" w:type="dxa"/>
            <w:tcBorders>
              <w:left w:val="nil"/>
            </w:tcBorders>
          </w:tcPr>
          <w:p>
            <w:pPr>
              <w:pStyle w:val="TableParagraph"/>
              <w:spacing w:before="28"/>
              <w:ind w:left="1297"/>
              <w:rPr>
                <w:sz w:val="18"/>
              </w:rPr>
            </w:pPr>
            <w:r>
              <w:rPr>
                <w:spacing w:val="-3"/>
                <w:sz w:val="18"/>
              </w:rPr>
              <w:t>河流规模</w:t>
            </w:r>
          </w:p>
          <w:p>
            <w:pPr>
              <w:pStyle w:val="TableParagraph"/>
              <w:spacing w:before="29"/>
              <w:ind w:left="265"/>
              <w:rPr>
                <w:rFonts w:ascii="Times New Roman" w:eastAsia="Times New Roman"/>
                <w:sz w:val="18"/>
              </w:rPr>
            </w:pPr>
            <w:r>
              <w:rPr>
                <w:spacing w:val="-9"/>
                <w:sz w:val="18"/>
              </w:rPr>
              <w:t xml:space="preserve">调查范围 </w:t>
            </w:r>
            <w:r>
              <w:rPr>
                <w:rFonts w:ascii="Times New Roman" w:eastAsia="Times New Roman"/>
                <w:spacing w:val="-5"/>
                <w:sz w:val="18"/>
              </w:rPr>
              <w:t>km</w:t>
            </w:r>
          </w:p>
          <w:p>
            <w:pPr>
              <w:pStyle w:val="TableParagraph"/>
              <w:spacing w:before="29"/>
              <w:ind w:left="103"/>
              <w:rPr>
                <w:sz w:val="18"/>
              </w:rPr>
            </w:pPr>
            <w:r>
              <w:rPr>
                <w:spacing w:val="-5"/>
                <w:sz w:val="18"/>
              </w:rPr>
              <w:t>污水</w:t>
            </w:r>
          </w:p>
          <w:p>
            <w:pPr>
              <w:pStyle w:val="TableParagraph"/>
              <w:spacing w:before="30"/>
              <w:ind w:left="103"/>
              <w:rPr>
                <w:rFonts w:ascii="Times New Roman" w:eastAsia="Times New Roman"/>
                <w:sz w:val="18"/>
              </w:rPr>
            </w:pPr>
            <w:r>
              <w:rPr>
                <w:spacing w:val="-12"/>
                <w:sz w:val="18"/>
              </w:rPr>
              <w:t xml:space="preserve">排放量 </w:t>
            </w:r>
            <w:r>
              <w:rPr>
                <w:rFonts w:ascii="Times New Roman" w:eastAsia="Times New Roman"/>
                <w:spacing w:val="-4"/>
                <w:sz w:val="18"/>
              </w:rPr>
              <w:t>m</w:t>
            </w:r>
            <w:r>
              <w:rPr>
                <w:rFonts w:ascii="Times New Roman" w:eastAsia="Times New Roman"/>
                <w:spacing w:val="-4"/>
                <w:position w:val="5"/>
                <w:sz w:val="12"/>
              </w:rPr>
              <w:t>3</w:t>
            </w:r>
            <w:r>
              <w:rPr>
                <w:rFonts w:ascii="Times New Roman" w:eastAsia="Times New Roman"/>
                <w:spacing w:val="-4"/>
                <w:sz w:val="18"/>
              </w:rPr>
              <w:t>/d</w:t>
            </w:r>
          </w:p>
        </w:tc>
        <w:tc>
          <w:tcPr>
            <w:tcW w:w="2130" w:type="dxa"/>
          </w:tcPr>
          <w:p>
            <w:pPr>
              <w:pStyle w:val="TableParagraph"/>
              <w:rPr>
                <w:sz w:val="18"/>
              </w:rPr>
            </w:pPr>
          </w:p>
          <w:p>
            <w:pPr>
              <w:pStyle w:val="TableParagraph"/>
              <w:spacing w:before="1"/>
              <w:rPr>
                <w:sz w:val="22"/>
              </w:rPr>
            </w:pPr>
          </w:p>
          <w:p>
            <w:pPr>
              <w:pStyle w:val="TableParagraph"/>
              <w:ind w:left="775" w:right="775"/>
              <w:jc w:val="center"/>
              <w:rPr>
                <w:sz w:val="18"/>
              </w:rPr>
            </w:pPr>
            <w:r>
              <w:rPr>
                <w:sz w:val="18"/>
              </w:rPr>
              <w:t>大</w:t>
            </w:r>
            <w:r>
              <w:rPr>
                <w:spacing w:val="45"/>
                <w:w w:val="150"/>
                <w:sz w:val="18"/>
              </w:rPr>
              <w:t xml:space="preserve"> </w:t>
            </w:r>
            <w:r>
              <w:rPr>
                <w:spacing w:val="-10"/>
                <w:sz w:val="18"/>
              </w:rPr>
              <w:t>河</w:t>
            </w:r>
          </w:p>
        </w:tc>
        <w:tc>
          <w:tcPr>
            <w:tcW w:w="2131" w:type="dxa"/>
          </w:tcPr>
          <w:p>
            <w:pPr>
              <w:pStyle w:val="TableParagraph"/>
              <w:rPr>
                <w:sz w:val="18"/>
              </w:rPr>
            </w:pPr>
          </w:p>
          <w:p>
            <w:pPr>
              <w:pStyle w:val="TableParagraph"/>
              <w:spacing w:before="1"/>
              <w:rPr>
                <w:sz w:val="22"/>
              </w:rPr>
            </w:pPr>
          </w:p>
          <w:p>
            <w:pPr>
              <w:pStyle w:val="TableParagraph"/>
              <w:ind w:left="685" w:right="685"/>
              <w:jc w:val="center"/>
              <w:rPr>
                <w:sz w:val="18"/>
              </w:rPr>
            </w:pPr>
            <w:r>
              <w:rPr>
                <w:sz w:val="18"/>
              </w:rPr>
              <w:t>中</w:t>
            </w:r>
            <w:r>
              <w:rPr>
                <w:spacing w:val="45"/>
                <w:w w:val="150"/>
                <w:sz w:val="18"/>
              </w:rPr>
              <w:t xml:space="preserve"> </w:t>
            </w:r>
            <w:r>
              <w:rPr>
                <w:spacing w:val="-10"/>
                <w:sz w:val="18"/>
              </w:rPr>
              <w:t>河</w:t>
            </w:r>
          </w:p>
        </w:tc>
        <w:tc>
          <w:tcPr>
            <w:tcW w:w="2131" w:type="dxa"/>
            <w:tcBorders>
              <w:right w:val="nil"/>
            </w:tcBorders>
          </w:tcPr>
          <w:p>
            <w:pPr>
              <w:pStyle w:val="TableParagraph"/>
              <w:rPr>
                <w:sz w:val="18"/>
              </w:rPr>
            </w:pPr>
          </w:p>
          <w:p>
            <w:pPr>
              <w:pStyle w:val="TableParagraph"/>
              <w:spacing w:before="1"/>
              <w:rPr>
                <w:sz w:val="22"/>
              </w:rPr>
            </w:pPr>
          </w:p>
          <w:p>
            <w:pPr>
              <w:pStyle w:val="TableParagraph"/>
              <w:ind w:right="788"/>
              <w:jc w:val="right"/>
              <w:rPr>
                <w:sz w:val="18"/>
              </w:rPr>
            </w:pPr>
            <w:r>
              <w:rPr>
                <w:sz w:val="18"/>
              </w:rPr>
              <w:t>小</w:t>
            </w:r>
            <w:r>
              <w:rPr>
                <w:spacing w:val="45"/>
                <w:w w:val="150"/>
                <w:sz w:val="18"/>
              </w:rPr>
              <w:t xml:space="preserve"> </w:t>
            </w:r>
            <w:r>
              <w:rPr>
                <w:spacing w:val="-10"/>
                <w:sz w:val="18"/>
              </w:rPr>
              <w:t>河</w:t>
            </w:r>
          </w:p>
        </w:tc>
      </w:tr>
      <w:tr>
        <w:tblPrEx>
          <w:tblW w:w="0" w:type="auto"/>
          <w:jc w:val="left"/>
          <w:tblInd w:w="119" w:type="dxa"/>
          <w:tblLayout w:type="fixed"/>
          <w:tblCellMar>
            <w:top w:w="0" w:type="dxa"/>
            <w:left w:w="0" w:type="dxa"/>
            <w:bottom w:w="0" w:type="dxa"/>
            <w:right w:w="0" w:type="dxa"/>
          </w:tblCellMar>
          <w:tblLook w:val="01E0"/>
        </w:tblPrEx>
        <w:trPr>
          <w:trHeight w:val="300"/>
          <w:jc w:val="left"/>
        </w:trPr>
        <w:tc>
          <w:tcPr>
            <w:tcW w:w="2130" w:type="dxa"/>
            <w:tcBorders>
              <w:left w:val="nil"/>
            </w:tcBorders>
          </w:tcPr>
          <w:p>
            <w:pPr>
              <w:pStyle w:val="TableParagraph"/>
              <w:spacing w:before="72"/>
              <w:ind w:left="554" w:right="554"/>
              <w:jc w:val="center"/>
              <w:rPr>
                <w:rFonts w:ascii="Times New Roman"/>
                <w:sz w:val="18"/>
              </w:rPr>
            </w:pPr>
            <w:r>
              <w:rPr>
                <w:rFonts w:ascii="Times New Roman"/>
                <w:spacing w:val="-2"/>
                <w:sz w:val="18"/>
              </w:rPr>
              <w:t>&gt;50000</w:t>
            </w:r>
          </w:p>
        </w:tc>
        <w:tc>
          <w:tcPr>
            <w:tcW w:w="2130" w:type="dxa"/>
          </w:tcPr>
          <w:p>
            <w:pPr>
              <w:pStyle w:val="TableParagraph"/>
              <w:spacing w:before="72"/>
              <w:ind w:left="775" w:right="775"/>
              <w:jc w:val="center"/>
              <w:rPr>
                <w:rFonts w:ascii="Times New Roman"/>
                <w:sz w:val="18"/>
              </w:rPr>
            </w:pPr>
            <w:r>
              <w:rPr>
                <w:rFonts w:ascii="Times New Roman"/>
                <w:spacing w:val="-2"/>
                <w:sz w:val="18"/>
              </w:rPr>
              <w:t>15~30</w:t>
            </w:r>
          </w:p>
        </w:tc>
        <w:tc>
          <w:tcPr>
            <w:tcW w:w="2131" w:type="dxa"/>
          </w:tcPr>
          <w:p>
            <w:pPr>
              <w:pStyle w:val="TableParagraph"/>
              <w:spacing w:before="72"/>
              <w:ind w:left="685" w:right="685"/>
              <w:jc w:val="center"/>
              <w:rPr>
                <w:rFonts w:ascii="Times New Roman"/>
                <w:sz w:val="18"/>
              </w:rPr>
            </w:pPr>
            <w:r>
              <w:rPr>
                <w:rFonts w:ascii="Times New Roman"/>
                <w:spacing w:val="-2"/>
                <w:sz w:val="18"/>
              </w:rPr>
              <w:t>20~40</w:t>
            </w:r>
          </w:p>
        </w:tc>
        <w:tc>
          <w:tcPr>
            <w:tcW w:w="2131" w:type="dxa"/>
            <w:tcBorders>
              <w:right w:val="nil"/>
            </w:tcBorders>
          </w:tcPr>
          <w:p>
            <w:pPr>
              <w:pStyle w:val="TableParagraph"/>
              <w:spacing w:before="72"/>
              <w:ind w:right="829"/>
              <w:jc w:val="right"/>
              <w:rPr>
                <w:rFonts w:ascii="Times New Roman"/>
                <w:sz w:val="18"/>
              </w:rPr>
            </w:pPr>
            <w:r>
              <w:rPr>
                <w:rFonts w:ascii="Times New Roman"/>
                <w:spacing w:val="-2"/>
                <w:sz w:val="18"/>
              </w:rPr>
              <w:t>30~50</w:t>
            </w:r>
          </w:p>
        </w:tc>
      </w:tr>
      <w:tr>
        <w:tblPrEx>
          <w:tblW w:w="0" w:type="auto"/>
          <w:jc w:val="left"/>
          <w:tblInd w:w="119" w:type="dxa"/>
          <w:tblLayout w:type="fixed"/>
          <w:tblCellMar>
            <w:top w:w="0" w:type="dxa"/>
            <w:left w:w="0" w:type="dxa"/>
            <w:bottom w:w="0" w:type="dxa"/>
            <w:right w:w="0" w:type="dxa"/>
          </w:tblCellMar>
          <w:tblLook w:val="01E0"/>
        </w:tblPrEx>
        <w:trPr>
          <w:trHeight w:val="300"/>
          <w:jc w:val="left"/>
        </w:trPr>
        <w:tc>
          <w:tcPr>
            <w:tcW w:w="2130" w:type="dxa"/>
            <w:tcBorders>
              <w:left w:val="nil"/>
            </w:tcBorders>
          </w:tcPr>
          <w:p>
            <w:pPr>
              <w:pStyle w:val="TableParagraph"/>
              <w:spacing w:before="72"/>
              <w:ind w:left="554" w:right="554"/>
              <w:jc w:val="center"/>
              <w:rPr>
                <w:rFonts w:ascii="Times New Roman"/>
                <w:sz w:val="18"/>
              </w:rPr>
            </w:pPr>
            <w:r>
              <w:rPr>
                <w:rFonts w:ascii="Times New Roman"/>
                <w:spacing w:val="-2"/>
                <w:sz w:val="18"/>
              </w:rPr>
              <w:t>50000~20000</w:t>
            </w:r>
          </w:p>
        </w:tc>
        <w:tc>
          <w:tcPr>
            <w:tcW w:w="2130" w:type="dxa"/>
          </w:tcPr>
          <w:p>
            <w:pPr>
              <w:pStyle w:val="TableParagraph"/>
              <w:spacing w:before="72"/>
              <w:ind w:left="775" w:right="775"/>
              <w:jc w:val="center"/>
              <w:rPr>
                <w:rFonts w:ascii="Times New Roman"/>
                <w:sz w:val="18"/>
              </w:rPr>
            </w:pPr>
            <w:r>
              <w:rPr>
                <w:rFonts w:ascii="Times New Roman"/>
                <w:spacing w:val="-2"/>
                <w:sz w:val="18"/>
              </w:rPr>
              <w:t>10~20</w:t>
            </w:r>
          </w:p>
        </w:tc>
        <w:tc>
          <w:tcPr>
            <w:tcW w:w="2131" w:type="dxa"/>
          </w:tcPr>
          <w:p>
            <w:pPr>
              <w:pStyle w:val="TableParagraph"/>
              <w:spacing w:before="72"/>
              <w:ind w:left="685" w:right="685"/>
              <w:jc w:val="center"/>
              <w:rPr>
                <w:rFonts w:ascii="Times New Roman"/>
                <w:sz w:val="18"/>
              </w:rPr>
            </w:pPr>
            <w:r>
              <w:rPr>
                <w:rFonts w:ascii="Times New Roman"/>
                <w:spacing w:val="-2"/>
                <w:sz w:val="18"/>
              </w:rPr>
              <w:t>15~30</w:t>
            </w:r>
          </w:p>
        </w:tc>
        <w:tc>
          <w:tcPr>
            <w:tcW w:w="2131" w:type="dxa"/>
            <w:tcBorders>
              <w:right w:val="nil"/>
            </w:tcBorders>
          </w:tcPr>
          <w:p>
            <w:pPr>
              <w:pStyle w:val="TableParagraph"/>
              <w:spacing w:before="72"/>
              <w:ind w:right="829"/>
              <w:jc w:val="right"/>
              <w:rPr>
                <w:rFonts w:ascii="Times New Roman"/>
                <w:sz w:val="18"/>
              </w:rPr>
            </w:pPr>
            <w:r>
              <w:rPr>
                <w:rFonts w:ascii="Times New Roman"/>
                <w:spacing w:val="-2"/>
                <w:sz w:val="18"/>
              </w:rPr>
              <w:t>25~40</w:t>
            </w:r>
          </w:p>
        </w:tc>
      </w:tr>
      <w:tr>
        <w:tblPrEx>
          <w:tblW w:w="0" w:type="auto"/>
          <w:jc w:val="left"/>
          <w:tblInd w:w="119" w:type="dxa"/>
          <w:tblLayout w:type="fixed"/>
          <w:tblCellMar>
            <w:top w:w="0" w:type="dxa"/>
            <w:left w:w="0" w:type="dxa"/>
            <w:bottom w:w="0" w:type="dxa"/>
            <w:right w:w="0" w:type="dxa"/>
          </w:tblCellMar>
          <w:tblLook w:val="01E0"/>
        </w:tblPrEx>
        <w:trPr>
          <w:trHeight w:val="300"/>
          <w:jc w:val="left"/>
        </w:trPr>
        <w:tc>
          <w:tcPr>
            <w:tcW w:w="2130" w:type="dxa"/>
            <w:tcBorders>
              <w:left w:val="nil"/>
            </w:tcBorders>
          </w:tcPr>
          <w:p>
            <w:pPr>
              <w:pStyle w:val="TableParagraph"/>
              <w:spacing w:before="72"/>
              <w:ind w:left="554" w:right="554"/>
              <w:jc w:val="center"/>
              <w:rPr>
                <w:rFonts w:ascii="Times New Roman"/>
                <w:sz w:val="18"/>
              </w:rPr>
            </w:pPr>
            <w:r>
              <w:rPr>
                <w:rFonts w:ascii="Times New Roman"/>
                <w:spacing w:val="-2"/>
                <w:sz w:val="18"/>
              </w:rPr>
              <w:t>20000~10000</w:t>
            </w:r>
          </w:p>
        </w:tc>
        <w:tc>
          <w:tcPr>
            <w:tcW w:w="2130" w:type="dxa"/>
          </w:tcPr>
          <w:p>
            <w:pPr>
              <w:pStyle w:val="TableParagraph"/>
              <w:spacing w:before="72"/>
              <w:ind w:left="775" w:right="775"/>
              <w:jc w:val="center"/>
              <w:rPr>
                <w:rFonts w:ascii="Times New Roman"/>
                <w:sz w:val="18"/>
              </w:rPr>
            </w:pPr>
            <w:r>
              <w:rPr>
                <w:rFonts w:ascii="Times New Roman"/>
                <w:spacing w:val="-4"/>
                <w:sz w:val="18"/>
              </w:rPr>
              <w:t>5~10</w:t>
            </w:r>
          </w:p>
        </w:tc>
        <w:tc>
          <w:tcPr>
            <w:tcW w:w="2131" w:type="dxa"/>
          </w:tcPr>
          <w:p>
            <w:pPr>
              <w:pStyle w:val="TableParagraph"/>
              <w:spacing w:before="72"/>
              <w:ind w:left="685" w:right="685"/>
              <w:jc w:val="center"/>
              <w:rPr>
                <w:rFonts w:ascii="Times New Roman"/>
                <w:sz w:val="18"/>
              </w:rPr>
            </w:pPr>
            <w:r>
              <w:rPr>
                <w:rFonts w:ascii="Times New Roman"/>
                <w:spacing w:val="-2"/>
                <w:sz w:val="18"/>
              </w:rPr>
              <w:t>10~20</w:t>
            </w:r>
          </w:p>
        </w:tc>
        <w:tc>
          <w:tcPr>
            <w:tcW w:w="2131" w:type="dxa"/>
            <w:tcBorders>
              <w:right w:val="nil"/>
            </w:tcBorders>
          </w:tcPr>
          <w:p>
            <w:pPr>
              <w:pStyle w:val="TableParagraph"/>
              <w:spacing w:before="72"/>
              <w:ind w:right="829"/>
              <w:jc w:val="right"/>
              <w:rPr>
                <w:rFonts w:ascii="Times New Roman"/>
                <w:sz w:val="18"/>
              </w:rPr>
            </w:pPr>
            <w:r>
              <w:rPr>
                <w:rFonts w:ascii="Times New Roman"/>
                <w:spacing w:val="-2"/>
                <w:sz w:val="18"/>
              </w:rPr>
              <w:t>15~30</w:t>
            </w:r>
          </w:p>
        </w:tc>
      </w:tr>
      <w:tr>
        <w:tblPrEx>
          <w:tblW w:w="0" w:type="auto"/>
          <w:jc w:val="left"/>
          <w:tblInd w:w="119" w:type="dxa"/>
          <w:tblLayout w:type="fixed"/>
          <w:tblCellMar>
            <w:top w:w="0" w:type="dxa"/>
            <w:left w:w="0" w:type="dxa"/>
            <w:bottom w:w="0" w:type="dxa"/>
            <w:right w:w="0" w:type="dxa"/>
          </w:tblCellMar>
          <w:tblLook w:val="01E0"/>
        </w:tblPrEx>
        <w:trPr>
          <w:trHeight w:val="300"/>
          <w:jc w:val="left"/>
        </w:trPr>
        <w:tc>
          <w:tcPr>
            <w:tcW w:w="2130" w:type="dxa"/>
            <w:tcBorders>
              <w:left w:val="nil"/>
            </w:tcBorders>
          </w:tcPr>
          <w:p>
            <w:pPr>
              <w:pStyle w:val="TableParagraph"/>
              <w:spacing w:before="72"/>
              <w:ind w:left="554" w:right="554"/>
              <w:jc w:val="center"/>
              <w:rPr>
                <w:rFonts w:ascii="Times New Roman"/>
                <w:sz w:val="18"/>
              </w:rPr>
            </w:pPr>
            <w:r>
              <w:rPr>
                <w:rFonts w:ascii="Times New Roman"/>
                <w:spacing w:val="-2"/>
                <w:sz w:val="18"/>
              </w:rPr>
              <w:t>10000~5000</w:t>
            </w:r>
          </w:p>
        </w:tc>
        <w:tc>
          <w:tcPr>
            <w:tcW w:w="2130" w:type="dxa"/>
          </w:tcPr>
          <w:p>
            <w:pPr>
              <w:pStyle w:val="TableParagraph"/>
              <w:spacing w:before="72"/>
              <w:ind w:left="775" w:right="775"/>
              <w:jc w:val="center"/>
              <w:rPr>
                <w:rFonts w:ascii="Times New Roman"/>
                <w:sz w:val="18"/>
              </w:rPr>
            </w:pPr>
            <w:r>
              <w:rPr>
                <w:rFonts w:ascii="Times New Roman"/>
                <w:spacing w:val="-5"/>
                <w:sz w:val="18"/>
              </w:rPr>
              <w:t>2~5</w:t>
            </w:r>
          </w:p>
        </w:tc>
        <w:tc>
          <w:tcPr>
            <w:tcW w:w="2131" w:type="dxa"/>
          </w:tcPr>
          <w:p>
            <w:pPr>
              <w:pStyle w:val="TableParagraph"/>
              <w:spacing w:before="72"/>
              <w:ind w:left="685" w:right="685"/>
              <w:jc w:val="center"/>
              <w:rPr>
                <w:rFonts w:ascii="Times New Roman"/>
                <w:sz w:val="18"/>
              </w:rPr>
            </w:pPr>
            <w:r>
              <w:rPr>
                <w:rFonts w:ascii="Times New Roman"/>
                <w:spacing w:val="-4"/>
                <w:sz w:val="18"/>
              </w:rPr>
              <w:t>5~10</w:t>
            </w:r>
          </w:p>
        </w:tc>
        <w:tc>
          <w:tcPr>
            <w:tcW w:w="2131" w:type="dxa"/>
            <w:tcBorders>
              <w:right w:val="nil"/>
            </w:tcBorders>
          </w:tcPr>
          <w:p>
            <w:pPr>
              <w:pStyle w:val="TableParagraph"/>
              <w:spacing w:before="72"/>
              <w:ind w:right="829"/>
              <w:jc w:val="right"/>
              <w:rPr>
                <w:rFonts w:ascii="Times New Roman"/>
                <w:sz w:val="18"/>
              </w:rPr>
            </w:pPr>
            <w:r>
              <w:rPr>
                <w:rFonts w:ascii="Times New Roman"/>
                <w:spacing w:val="-2"/>
                <w:sz w:val="18"/>
              </w:rPr>
              <w:t>10~25</w:t>
            </w:r>
          </w:p>
        </w:tc>
      </w:tr>
      <w:tr>
        <w:tblPrEx>
          <w:tblW w:w="0" w:type="auto"/>
          <w:jc w:val="left"/>
          <w:tblInd w:w="119" w:type="dxa"/>
          <w:tblLayout w:type="fixed"/>
          <w:tblCellMar>
            <w:top w:w="0" w:type="dxa"/>
            <w:left w:w="0" w:type="dxa"/>
            <w:bottom w:w="0" w:type="dxa"/>
            <w:right w:w="0" w:type="dxa"/>
          </w:tblCellMar>
          <w:tblLook w:val="01E0"/>
        </w:tblPrEx>
        <w:trPr>
          <w:trHeight w:val="300"/>
          <w:jc w:val="left"/>
        </w:trPr>
        <w:tc>
          <w:tcPr>
            <w:tcW w:w="2130" w:type="dxa"/>
            <w:tcBorders>
              <w:left w:val="nil"/>
            </w:tcBorders>
          </w:tcPr>
          <w:p>
            <w:pPr>
              <w:pStyle w:val="TableParagraph"/>
              <w:spacing w:before="72"/>
              <w:ind w:left="554" w:right="554"/>
              <w:jc w:val="center"/>
              <w:rPr>
                <w:rFonts w:ascii="Times New Roman"/>
                <w:sz w:val="18"/>
              </w:rPr>
            </w:pPr>
            <w:r>
              <w:rPr>
                <w:rFonts w:ascii="Times New Roman"/>
                <w:spacing w:val="-2"/>
                <w:sz w:val="18"/>
              </w:rPr>
              <w:t>&lt;5000</w:t>
            </w:r>
          </w:p>
        </w:tc>
        <w:tc>
          <w:tcPr>
            <w:tcW w:w="2130" w:type="dxa"/>
          </w:tcPr>
          <w:p>
            <w:pPr>
              <w:pStyle w:val="TableParagraph"/>
              <w:spacing w:before="72"/>
              <w:ind w:left="775" w:right="775"/>
              <w:jc w:val="center"/>
              <w:rPr>
                <w:rFonts w:ascii="Times New Roman"/>
                <w:sz w:val="18"/>
              </w:rPr>
            </w:pPr>
            <w:r>
              <w:rPr>
                <w:rFonts w:ascii="Times New Roman"/>
                <w:spacing w:val="-5"/>
                <w:sz w:val="18"/>
              </w:rPr>
              <w:t>&lt;3</w:t>
            </w:r>
          </w:p>
        </w:tc>
        <w:tc>
          <w:tcPr>
            <w:tcW w:w="2131" w:type="dxa"/>
          </w:tcPr>
          <w:p>
            <w:pPr>
              <w:pStyle w:val="TableParagraph"/>
              <w:spacing w:before="72"/>
              <w:ind w:left="685" w:right="685"/>
              <w:jc w:val="center"/>
              <w:rPr>
                <w:rFonts w:ascii="Times New Roman"/>
                <w:sz w:val="18"/>
              </w:rPr>
            </w:pPr>
            <w:r>
              <w:rPr>
                <w:rFonts w:ascii="Times New Roman"/>
                <w:spacing w:val="-5"/>
                <w:sz w:val="18"/>
              </w:rPr>
              <w:t>&lt;5</w:t>
            </w:r>
          </w:p>
        </w:tc>
        <w:tc>
          <w:tcPr>
            <w:tcW w:w="2131" w:type="dxa"/>
            <w:tcBorders>
              <w:right w:val="nil"/>
            </w:tcBorders>
          </w:tcPr>
          <w:p>
            <w:pPr>
              <w:pStyle w:val="TableParagraph"/>
              <w:spacing w:before="72"/>
              <w:ind w:right="874"/>
              <w:jc w:val="right"/>
              <w:rPr>
                <w:rFonts w:ascii="Times New Roman"/>
                <w:sz w:val="18"/>
              </w:rPr>
            </w:pPr>
            <w:r>
              <w:rPr>
                <w:rFonts w:ascii="Times New Roman"/>
                <w:spacing w:val="-4"/>
                <w:sz w:val="18"/>
              </w:rPr>
              <w:t>5~15</w:t>
            </w:r>
          </w:p>
        </w:tc>
      </w:tr>
    </w:tbl>
    <w:p>
      <w:pPr>
        <w:pStyle w:val="ListParagraph"/>
        <w:numPr>
          <w:ilvl w:val="0"/>
          <w:numId w:val="37"/>
        </w:numPr>
        <w:tabs>
          <w:tab w:val="left" w:pos="400"/>
        </w:tabs>
        <w:spacing w:before="77" w:after="0" w:line="240" w:lineRule="auto"/>
        <w:ind w:left="400" w:right="0" w:hanging="180"/>
        <w:jc w:val="left"/>
        <w:rPr>
          <w:sz w:val="18"/>
        </w:rPr>
      </w:pPr>
      <w:r>
        <w:rPr>
          <w:spacing w:val="-1"/>
          <w:sz w:val="18"/>
        </w:rPr>
        <w:t>指排污口下游应调查的河段长度。</w:t>
      </w:r>
    </w:p>
    <w:p>
      <w:pPr>
        <w:pStyle w:val="BodyText"/>
        <w:tabs>
          <w:tab w:val="left" w:pos="577"/>
        </w:tabs>
        <w:spacing w:before="123" w:after="21"/>
        <w:ind w:right="78"/>
        <w:jc w:val="center"/>
      </w:pPr>
      <w:r>
        <w:t>表</w:t>
      </w:r>
      <w:r>
        <w:rPr>
          <w:spacing w:val="-53"/>
        </w:rPr>
        <w:t xml:space="preserve"> </w:t>
      </w:r>
      <w:r>
        <w:rPr>
          <w:rFonts w:ascii="Times New Roman" w:eastAsia="Times New Roman"/>
          <w:spacing w:val="-10"/>
        </w:rPr>
        <w:t>5</w:t>
      </w:r>
      <w:r>
        <w:rPr>
          <w:rFonts w:ascii="Times New Roman" w:eastAsia="Times New Roman"/>
        </w:rPr>
        <w:tab/>
      </w:r>
      <w:r>
        <w:t>不同污水排放量时湖泊（水库）环境现状调查范围参考</w:t>
      </w:r>
      <w:r>
        <w:rPr>
          <w:spacing w:val="-10"/>
        </w:rPr>
        <w:t>表</w:t>
      </w:r>
    </w:p>
    <w:tbl>
      <w:tblPr>
        <w:tblStyle w:val="TableNormal6"/>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40"/>
        <w:gridCol w:w="2841"/>
        <w:gridCol w:w="2841"/>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20"/>
          <w:jc w:val="left"/>
        </w:trPr>
        <w:tc>
          <w:tcPr>
            <w:tcW w:w="2840" w:type="dxa"/>
            <w:vMerge w:val="restart"/>
            <w:tcBorders>
              <w:left w:val="nil"/>
            </w:tcBorders>
          </w:tcPr>
          <w:p>
            <w:pPr>
              <w:pStyle w:val="TableParagraph"/>
              <w:spacing w:before="76"/>
              <w:ind w:left="909" w:right="909"/>
              <w:jc w:val="center"/>
              <w:rPr>
                <w:sz w:val="18"/>
              </w:rPr>
            </w:pPr>
            <w:r>
              <w:rPr>
                <w:spacing w:val="-2"/>
                <w:sz w:val="18"/>
              </w:rPr>
              <w:t>污水排放量</w:t>
            </w:r>
          </w:p>
          <w:p>
            <w:pPr>
              <w:pStyle w:val="TableParagraph"/>
              <w:spacing w:before="101"/>
              <w:ind w:left="909" w:right="909"/>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/d</w:t>
            </w:r>
          </w:p>
        </w:tc>
        <w:tc>
          <w:tcPr>
            <w:tcW w:w="5682" w:type="dxa"/>
            <w:gridSpan w:val="2"/>
            <w:tcBorders>
              <w:right w:val="nil"/>
            </w:tcBorders>
          </w:tcPr>
          <w:p>
            <w:pPr>
              <w:pStyle w:val="TableParagraph"/>
              <w:tabs>
                <w:tab w:val="left" w:pos="539"/>
                <w:tab w:val="left" w:pos="1079"/>
                <w:tab w:val="left" w:pos="1619"/>
              </w:tabs>
              <w:spacing w:before="76" w:line="224" w:lineRule="exact"/>
              <w:jc w:val="center"/>
              <w:rPr>
                <w:sz w:val="18"/>
              </w:rPr>
            </w:pPr>
            <w:r>
              <w:rPr>
                <w:spacing w:val="-10"/>
                <w:sz w:val="18"/>
              </w:rPr>
              <w:t>调</w:t>
            </w:r>
            <w:r>
              <w:rPr>
                <w:sz w:val="18"/>
              </w:rPr>
              <w:tab/>
            </w:r>
            <w:r>
              <w:rPr>
                <w:spacing w:val="-10"/>
                <w:sz w:val="18"/>
              </w:rPr>
              <w:t>查</w:t>
            </w:r>
            <w:r>
              <w:rPr>
                <w:sz w:val="18"/>
              </w:rPr>
              <w:tab/>
            </w:r>
            <w:r>
              <w:rPr>
                <w:spacing w:val="-10"/>
                <w:sz w:val="18"/>
              </w:rPr>
              <w:t>范</w:t>
            </w:r>
            <w:r>
              <w:rPr>
                <w:sz w:val="18"/>
              </w:rPr>
              <w:tab/>
            </w:r>
            <w:r>
              <w:rPr>
                <w:spacing w:val="-10"/>
                <w:sz w:val="18"/>
              </w:rPr>
              <w:t>围</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vMerge/>
            <w:tcBorders>
              <w:top w:val="nil"/>
              <w:left w:val="nil"/>
            </w:tcBorders>
          </w:tcPr>
          <w:p>
            <w:pPr>
              <w:rPr>
                <w:sz w:val="2"/>
                <w:szCs w:val="2"/>
              </w:rPr>
            </w:pPr>
          </w:p>
        </w:tc>
        <w:tc>
          <w:tcPr>
            <w:tcW w:w="2841" w:type="dxa"/>
          </w:tcPr>
          <w:p>
            <w:pPr>
              <w:pStyle w:val="TableParagraph"/>
              <w:spacing w:before="76" w:line="224" w:lineRule="exact"/>
              <w:ind w:left="903" w:right="903"/>
              <w:jc w:val="center"/>
              <w:rPr>
                <w:rFonts w:ascii="Times New Roman" w:eastAsia="Times New Roman"/>
                <w:sz w:val="18"/>
              </w:rPr>
            </w:pPr>
            <w:r>
              <w:rPr>
                <w:spacing w:val="-9"/>
                <w:sz w:val="18"/>
              </w:rPr>
              <w:t xml:space="preserve">调查半径 </w:t>
            </w:r>
            <w:r>
              <w:rPr>
                <w:rFonts w:ascii="Times New Roman" w:eastAsia="Times New Roman"/>
                <w:spacing w:val="-5"/>
                <w:sz w:val="18"/>
              </w:rPr>
              <w:t>km</w:t>
            </w:r>
          </w:p>
        </w:tc>
        <w:tc>
          <w:tcPr>
            <w:tcW w:w="2841" w:type="dxa"/>
            <w:tcBorders>
              <w:right w:val="nil"/>
            </w:tcBorders>
          </w:tcPr>
          <w:p>
            <w:pPr>
              <w:pStyle w:val="TableParagraph"/>
              <w:spacing w:before="76" w:line="224" w:lineRule="exact"/>
              <w:ind w:left="227" w:right="255"/>
              <w:jc w:val="center"/>
              <w:rPr>
                <w:rFonts w:ascii="Times New Roman" w:eastAsia="Times New Roman"/>
                <w:sz w:val="12"/>
              </w:rPr>
            </w:pPr>
            <w:r>
              <w:rPr>
                <w:sz w:val="18"/>
              </w:rPr>
              <w:t>调查面积</w:t>
            </w:r>
            <w:r>
              <w:rPr>
                <w:rFonts w:ascii="Times New Roman" w:eastAsia="Times New Roman"/>
                <w:sz w:val="18"/>
                <w:vertAlign w:val="superscript"/>
              </w:rPr>
              <w:t>*</w:t>
            </w:r>
            <w:r>
              <w:rPr>
                <w:sz w:val="18"/>
                <w:vertAlign w:val="baseline"/>
              </w:rPr>
              <w:t>（按半圆计算</w:t>
            </w:r>
            <w:r>
              <w:rPr>
                <w:spacing w:val="-4"/>
                <w:sz w:val="18"/>
                <w:vertAlign w:val="baseline"/>
              </w:rPr>
              <w:t>）</w:t>
            </w:r>
            <w:r>
              <w:rPr>
                <w:rFonts w:ascii="Times New Roman" w:eastAsia="Times New Roman"/>
                <w:spacing w:val="-4"/>
                <w:sz w:val="18"/>
                <w:vertAlign w:val="baseline"/>
              </w:rPr>
              <w:t>km</w:t>
            </w:r>
            <w:r>
              <w:rPr>
                <w:rFonts w:ascii="Times New Roman" w:eastAsia="Times New Roman"/>
                <w:spacing w:val="-4"/>
                <w:position w:val="5"/>
                <w:sz w:val="12"/>
                <w:vertAlign w:val="baseline"/>
              </w:rPr>
              <w:t>2</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&gt;50000</w:t>
            </w:r>
          </w:p>
        </w:tc>
        <w:tc>
          <w:tcPr>
            <w:tcW w:w="2841" w:type="dxa"/>
          </w:tcPr>
          <w:p>
            <w:pPr>
              <w:pStyle w:val="TableParagraph"/>
              <w:spacing w:before="88"/>
              <w:ind w:left="903" w:right="903"/>
              <w:jc w:val="center"/>
              <w:rPr>
                <w:rFonts w:ascii="Times New Roman"/>
                <w:sz w:val="18"/>
              </w:rPr>
            </w:pPr>
            <w:r>
              <w:rPr>
                <w:rFonts w:ascii="Times New Roman"/>
                <w:spacing w:val="-5"/>
                <w:sz w:val="18"/>
              </w:rPr>
              <w:t>4~7</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25~80</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50000~20000</w:t>
            </w:r>
          </w:p>
        </w:tc>
        <w:tc>
          <w:tcPr>
            <w:tcW w:w="2841" w:type="dxa"/>
          </w:tcPr>
          <w:p>
            <w:pPr>
              <w:pStyle w:val="TableParagraph"/>
              <w:spacing w:before="88"/>
              <w:ind w:left="903" w:right="903"/>
              <w:jc w:val="center"/>
              <w:rPr>
                <w:rFonts w:ascii="Times New Roman"/>
                <w:sz w:val="18"/>
              </w:rPr>
            </w:pPr>
            <w:r>
              <w:rPr>
                <w:rFonts w:ascii="Times New Roman"/>
                <w:spacing w:val="-2"/>
                <w:sz w:val="18"/>
              </w:rPr>
              <w:t>2.5~4</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10~25</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20000~10000</w:t>
            </w:r>
          </w:p>
        </w:tc>
        <w:tc>
          <w:tcPr>
            <w:tcW w:w="2841" w:type="dxa"/>
          </w:tcPr>
          <w:p>
            <w:pPr>
              <w:pStyle w:val="TableParagraph"/>
              <w:spacing w:before="88"/>
              <w:ind w:left="903" w:right="903"/>
              <w:jc w:val="center"/>
              <w:rPr>
                <w:rFonts w:ascii="Times New Roman"/>
                <w:sz w:val="18"/>
              </w:rPr>
            </w:pPr>
            <w:r>
              <w:rPr>
                <w:rFonts w:ascii="Times New Roman"/>
                <w:spacing w:val="-2"/>
                <w:sz w:val="18"/>
              </w:rPr>
              <w:t>1.5~2.5</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3.5~10</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10000~5000</w:t>
            </w:r>
          </w:p>
        </w:tc>
        <w:tc>
          <w:tcPr>
            <w:tcW w:w="2841" w:type="dxa"/>
          </w:tcPr>
          <w:p>
            <w:pPr>
              <w:pStyle w:val="TableParagraph"/>
              <w:spacing w:before="88"/>
              <w:ind w:left="903" w:right="903"/>
              <w:jc w:val="center"/>
              <w:rPr>
                <w:rFonts w:ascii="Times New Roman"/>
                <w:sz w:val="18"/>
              </w:rPr>
            </w:pPr>
            <w:r>
              <w:rPr>
                <w:rFonts w:ascii="Times New Roman"/>
                <w:spacing w:val="-2"/>
                <w:sz w:val="18"/>
              </w:rPr>
              <w:t>1~1.5</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2~3.5</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&lt;5000</w:t>
            </w:r>
          </w:p>
        </w:tc>
        <w:tc>
          <w:tcPr>
            <w:tcW w:w="2841" w:type="dxa"/>
          </w:tcPr>
          <w:p>
            <w:pPr>
              <w:pStyle w:val="TableParagraph"/>
              <w:spacing w:before="76" w:line="224" w:lineRule="exact"/>
              <w:ind w:left="903" w:right="903"/>
              <w:jc w:val="center"/>
              <w:rPr>
                <w:rFonts w:ascii="Times New Roman" w:hAnsi="Times New Roman"/>
                <w:sz w:val="18"/>
              </w:rPr>
            </w:pPr>
            <w:r>
              <w:rPr>
                <w:spacing w:val="-5"/>
                <w:sz w:val="18"/>
              </w:rPr>
              <w:t>≤</w:t>
            </w:r>
            <w:r>
              <w:rPr>
                <w:rFonts w:ascii="Times New Roman" w:hAnsi="Times New Roman"/>
                <w:spacing w:val="-5"/>
                <w:sz w:val="18"/>
              </w:rPr>
              <w:t>1</w:t>
            </w:r>
          </w:p>
        </w:tc>
        <w:tc>
          <w:tcPr>
            <w:tcW w:w="2841" w:type="dxa"/>
            <w:tcBorders>
              <w:right w:val="nil"/>
            </w:tcBorders>
          </w:tcPr>
          <w:p>
            <w:pPr>
              <w:pStyle w:val="TableParagraph"/>
              <w:spacing w:before="76" w:line="224" w:lineRule="exact"/>
              <w:ind w:left="227" w:right="227"/>
              <w:jc w:val="center"/>
              <w:rPr>
                <w:rFonts w:ascii="Times New Roman" w:hAnsi="Times New Roman"/>
                <w:sz w:val="18"/>
              </w:rPr>
            </w:pPr>
            <w:r>
              <w:rPr>
                <w:spacing w:val="-5"/>
                <w:sz w:val="18"/>
              </w:rPr>
              <w:t>≤</w:t>
            </w:r>
            <w:r>
              <w:rPr>
                <w:rFonts w:ascii="Times New Roman" w:hAnsi="Times New Roman"/>
                <w:spacing w:val="-5"/>
                <w:sz w:val="18"/>
              </w:rPr>
              <w:t>2</w:t>
            </w:r>
          </w:p>
        </w:tc>
      </w:tr>
    </w:tbl>
    <w:p>
      <w:pPr>
        <w:pStyle w:val="ListParagraph"/>
        <w:numPr>
          <w:ilvl w:val="0"/>
          <w:numId w:val="37"/>
        </w:numPr>
        <w:tabs>
          <w:tab w:val="left" w:pos="400"/>
        </w:tabs>
        <w:spacing w:before="60" w:after="0" w:line="240" w:lineRule="auto"/>
        <w:ind w:left="400" w:right="0" w:hanging="180"/>
        <w:jc w:val="left"/>
        <w:rPr>
          <w:sz w:val="18"/>
        </w:rPr>
      </w:pPr>
      <w:r>
        <w:rPr>
          <w:spacing w:val="-1"/>
          <w:sz w:val="18"/>
        </w:rPr>
        <w:t>为以排污口为圆心，以调查半径为半径的半圆形面积。</w:t>
      </w:r>
    </w:p>
    <w:p>
      <w:pPr>
        <w:pStyle w:val="BodyText"/>
        <w:tabs>
          <w:tab w:val="left" w:pos="577"/>
        </w:tabs>
        <w:spacing w:before="119" w:after="21"/>
        <w:ind w:right="78"/>
        <w:jc w:val="center"/>
      </w:pPr>
      <w:r>
        <w:t>表</w:t>
      </w:r>
      <w:r>
        <w:rPr>
          <w:spacing w:val="-53"/>
        </w:rPr>
        <w:t xml:space="preserve"> </w:t>
      </w:r>
      <w:r>
        <w:rPr>
          <w:rFonts w:ascii="Times New Roman" w:eastAsia="Times New Roman"/>
          <w:spacing w:val="-10"/>
        </w:rPr>
        <w:t>6</w:t>
      </w:r>
      <w:r>
        <w:rPr>
          <w:rFonts w:ascii="Times New Roman" w:eastAsia="Times New Roman"/>
        </w:rPr>
        <w:tab/>
      </w:r>
      <w:r>
        <w:t>不同污水排放量时海湾环境现状调查范围参考</w:t>
      </w:r>
      <w:r>
        <w:rPr>
          <w:spacing w:val="-10"/>
        </w:rPr>
        <w:t>表</w:t>
      </w:r>
    </w:p>
    <w:tbl>
      <w:tblPr>
        <w:tblStyle w:val="TableNormal6"/>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40"/>
        <w:gridCol w:w="2841"/>
        <w:gridCol w:w="2841"/>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20"/>
          <w:jc w:val="left"/>
        </w:trPr>
        <w:tc>
          <w:tcPr>
            <w:tcW w:w="2840" w:type="dxa"/>
            <w:vMerge w:val="restart"/>
            <w:tcBorders>
              <w:left w:val="nil"/>
            </w:tcBorders>
          </w:tcPr>
          <w:p>
            <w:pPr>
              <w:pStyle w:val="TableParagraph"/>
              <w:spacing w:before="76"/>
              <w:ind w:left="909" w:right="909"/>
              <w:jc w:val="center"/>
              <w:rPr>
                <w:sz w:val="18"/>
              </w:rPr>
            </w:pPr>
            <w:r>
              <w:rPr>
                <w:spacing w:val="-2"/>
                <w:sz w:val="18"/>
              </w:rPr>
              <w:t>污水排放量</w:t>
            </w:r>
          </w:p>
          <w:p>
            <w:pPr>
              <w:pStyle w:val="TableParagraph"/>
              <w:spacing w:before="101"/>
              <w:ind w:left="909" w:right="909"/>
              <w:jc w:val="center"/>
              <w:rPr>
                <w:rFonts w:ascii="Times New Roman"/>
                <w:sz w:val="18"/>
              </w:rPr>
            </w:pPr>
            <w:r>
              <w:rPr>
                <w:rFonts w:ascii="Times New Roman"/>
                <w:spacing w:val="-4"/>
                <w:sz w:val="18"/>
              </w:rPr>
              <w:t>m</w:t>
            </w:r>
            <w:r>
              <w:rPr>
                <w:rFonts w:ascii="Times New Roman"/>
                <w:spacing w:val="-4"/>
                <w:position w:val="5"/>
                <w:sz w:val="12"/>
              </w:rPr>
              <w:t>3</w:t>
            </w:r>
            <w:r>
              <w:rPr>
                <w:rFonts w:ascii="Times New Roman"/>
                <w:spacing w:val="-4"/>
                <w:sz w:val="18"/>
              </w:rPr>
              <w:t>/d</w:t>
            </w:r>
          </w:p>
        </w:tc>
        <w:tc>
          <w:tcPr>
            <w:tcW w:w="5682" w:type="dxa"/>
            <w:gridSpan w:val="2"/>
            <w:tcBorders>
              <w:right w:val="nil"/>
            </w:tcBorders>
          </w:tcPr>
          <w:p>
            <w:pPr>
              <w:pStyle w:val="TableParagraph"/>
              <w:tabs>
                <w:tab w:val="left" w:pos="539"/>
                <w:tab w:val="left" w:pos="1079"/>
                <w:tab w:val="left" w:pos="1619"/>
              </w:tabs>
              <w:spacing w:before="76" w:line="224" w:lineRule="exact"/>
              <w:jc w:val="center"/>
              <w:rPr>
                <w:sz w:val="18"/>
              </w:rPr>
            </w:pPr>
            <w:r>
              <w:rPr>
                <w:spacing w:val="-10"/>
                <w:sz w:val="18"/>
              </w:rPr>
              <w:t>调</w:t>
            </w:r>
            <w:r>
              <w:rPr>
                <w:sz w:val="18"/>
              </w:rPr>
              <w:tab/>
            </w:r>
            <w:r>
              <w:rPr>
                <w:spacing w:val="-10"/>
                <w:sz w:val="18"/>
              </w:rPr>
              <w:t>查</w:t>
            </w:r>
            <w:r>
              <w:rPr>
                <w:sz w:val="18"/>
              </w:rPr>
              <w:tab/>
            </w:r>
            <w:r>
              <w:rPr>
                <w:spacing w:val="-10"/>
                <w:sz w:val="18"/>
              </w:rPr>
              <w:t>范</w:t>
            </w:r>
            <w:r>
              <w:rPr>
                <w:sz w:val="18"/>
              </w:rPr>
              <w:tab/>
            </w:r>
            <w:r>
              <w:rPr>
                <w:spacing w:val="-10"/>
                <w:sz w:val="18"/>
              </w:rPr>
              <w:t>围</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vMerge/>
            <w:tcBorders>
              <w:top w:val="nil"/>
              <w:left w:val="nil"/>
            </w:tcBorders>
          </w:tcPr>
          <w:p>
            <w:pPr>
              <w:rPr>
                <w:sz w:val="2"/>
                <w:szCs w:val="2"/>
              </w:rPr>
            </w:pPr>
          </w:p>
        </w:tc>
        <w:tc>
          <w:tcPr>
            <w:tcW w:w="2841" w:type="dxa"/>
          </w:tcPr>
          <w:p>
            <w:pPr>
              <w:pStyle w:val="TableParagraph"/>
              <w:spacing w:before="76" w:line="224" w:lineRule="exact"/>
              <w:ind w:left="903" w:right="903"/>
              <w:jc w:val="center"/>
              <w:rPr>
                <w:rFonts w:ascii="Times New Roman" w:eastAsia="Times New Roman"/>
                <w:sz w:val="18"/>
              </w:rPr>
            </w:pPr>
            <w:r>
              <w:rPr>
                <w:spacing w:val="-9"/>
                <w:sz w:val="18"/>
              </w:rPr>
              <w:t xml:space="preserve">调查半径 </w:t>
            </w:r>
            <w:r>
              <w:rPr>
                <w:rFonts w:ascii="Times New Roman" w:eastAsia="Times New Roman"/>
                <w:spacing w:val="-5"/>
                <w:sz w:val="18"/>
              </w:rPr>
              <w:t>km</w:t>
            </w:r>
          </w:p>
        </w:tc>
        <w:tc>
          <w:tcPr>
            <w:tcW w:w="2841" w:type="dxa"/>
            <w:tcBorders>
              <w:right w:val="nil"/>
            </w:tcBorders>
          </w:tcPr>
          <w:p>
            <w:pPr>
              <w:pStyle w:val="TableParagraph"/>
              <w:spacing w:before="76" w:line="224" w:lineRule="exact"/>
              <w:ind w:left="227" w:right="255"/>
              <w:jc w:val="center"/>
              <w:rPr>
                <w:rFonts w:ascii="Times New Roman" w:eastAsia="Times New Roman"/>
                <w:sz w:val="12"/>
              </w:rPr>
            </w:pPr>
            <w:r>
              <w:rPr>
                <w:sz w:val="18"/>
              </w:rPr>
              <w:t>调查面积</w:t>
            </w:r>
            <w:r>
              <w:rPr>
                <w:rFonts w:ascii="Times New Roman" w:eastAsia="Times New Roman"/>
                <w:sz w:val="18"/>
                <w:vertAlign w:val="superscript"/>
              </w:rPr>
              <w:t>*</w:t>
            </w:r>
            <w:r>
              <w:rPr>
                <w:sz w:val="18"/>
                <w:vertAlign w:val="baseline"/>
              </w:rPr>
              <w:t>（按半圆计算</w:t>
            </w:r>
            <w:r>
              <w:rPr>
                <w:spacing w:val="-4"/>
                <w:sz w:val="18"/>
                <w:vertAlign w:val="baseline"/>
              </w:rPr>
              <w:t>）</w:t>
            </w:r>
            <w:r>
              <w:rPr>
                <w:rFonts w:ascii="Times New Roman" w:eastAsia="Times New Roman"/>
                <w:spacing w:val="-4"/>
                <w:sz w:val="18"/>
                <w:vertAlign w:val="baseline"/>
              </w:rPr>
              <w:t>km</w:t>
            </w:r>
            <w:r>
              <w:rPr>
                <w:rFonts w:ascii="Times New Roman" w:eastAsia="Times New Roman"/>
                <w:spacing w:val="-4"/>
                <w:position w:val="5"/>
                <w:sz w:val="12"/>
                <w:vertAlign w:val="baseline"/>
              </w:rPr>
              <w:t>2</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&gt;50000</w:t>
            </w:r>
          </w:p>
        </w:tc>
        <w:tc>
          <w:tcPr>
            <w:tcW w:w="2841" w:type="dxa"/>
          </w:tcPr>
          <w:p>
            <w:pPr>
              <w:pStyle w:val="TableParagraph"/>
              <w:spacing w:before="88"/>
              <w:ind w:left="903" w:right="903"/>
              <w:jc w:val="center"/>
              <w:rPr>
                <w:rFonts w:ascii="Times New Roman"/>
                <w:sz w:val="18"/>
              </w:rPr>
            </w:pPr>
            <w:r>
              <w:rPr>
                <w:rFonts w:ascii="Times New Roman"/>
                <w:spacing w:val="-5"/>
                <w:sz w:val="18"/>
              </w:rPr>
              <w:t>5~8</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40~100</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50000~20000</w:t>
            </w:r>
          </w:p>
        </w:tc>
        <w:tc>
          <w:tcPr>
            <w:tcW w:w="2841" w:type="dxa"/>
          </w:tcPr>
          <w:p>
            <w:pPr>
              <w:pStyle w:val="TableParagraph"/>
              <w:spacing w:before="88"/>
              <w:ind w:left="903" w:right="903"/>
              <w:jc w:val="center"/>
              <w:rPr>
                <w:rFonts w:ascii="Times New Roman"/>
                <w:sz w:val="18"/>
              </w:rPr>
            </w:pPr>
            <w:r>
              <w:rPr>
                <w:rFonts w:ascii="Times New Roman"/>
                <w:spacing w:val="-5"/>
                <w:sz w:val="18"/>
              </w:rPr>
              <w:t>3~5</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15~40</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20000~10000</w:t>
            </w:r>
          </w:p>
        </w:tc>
        <w:tc>
          <w:tcPr>
            <w:tcW w:w="2841" w:type="dxa"/>
          </w:tcPr>
          <w:p>
            <w:pPr>
              <w:pStyle w:val="TableParagraph"/>
              <w:spacing w:before="88"/>
              <w:ind w:left="903" w:right="903"/>
              <w:jc w:val="center"/>
              <w:rPr>
                <w:rFonts w:ascii="Times New Roman"/>
                <w:sz w:val="18"/>
              </w:rPr>
            </w:pPr>
            <w:r>
              <w:rPr>
                <w:rFonts w:ascii="Times New Roman"/>
                <w:spacing w:val="-2"/>
                <w:sz w:val="18"/>
              </w:rPr>
              <w:t>1.5~3</w:t>
            </w:r>
          </w:p>
        </w:tc>
        <w:tc>
          <w:tcPr>
            <w:tcW w:w="2841" w:type="dxa"/>
            <w:tcBorders>
              <w:right w:val="nil"/>
            </w:tcBorders>
          </w:tcPr>
          <w:p>
            <w:pPr>
              <w:pStyle w:val="TableParagraph"/>
              <w:spacing w:before="88"/>
              <w:ind w:left="227" w:right="227"/>
              <w:jc w:val="center"/>
              <w:rPr>
                <w:rFonts w:ascii="Times New Roman"/>
                <w:sz w:val="18"/>
              </w:rPr>
            </w:pPr>
            <w:r>
              <w:rPr>
                <w:rFonts w:ascii="Times New Roman"/>
                <w:spacing w:val="-2"/>
                <w:sz w:val="18"/>
              </w:rPr>
              <w:t>3.5~15</w:t>
            </w:r>
          </w:p>
        </w:tc>
      </w:tr>
      <w:tr>
        <w:tblPrEx>
          <w:tblW w:w="0" w:type="auto"/>
          <w:jc w:val="left"/>
          <w:tblInd w:w="119" w:type="dxa"/>
          <w:tblLayout w:type="fixed"/>
          <w:tblCellMar>
            <w:top w:w="0" w:type="dxa"/>
            <w:left w:w="0" w:type="dxa"/>
            <w:bottom w:w="0" w:type="dxa"/>
            <w:right w:w="0" w:type="dxa"/>
          </w:tblCellMar>
          <w:tblLook w:val="01E0"/>
        </w:tblPrEx>
        <w:trPr>
          <w:trHeight w:val="320"/>
          <w:jc w:val="left"/>
        </w:trPr>
        <w:tc>
          <w:tcPr>
            <w:tcW w:w="2840" w:type="dxa"/>
            <w:tcBorders>
              <w:left w:val="nil"/>
            </w:tcBorders>
          </w:tcPr>
          <w:p>
            <w:pPr>
              <w:pStyle w:val="TableParagraph"/>
              <w:spacing w:before="88"/>
              <w:ind w:left="909" w:right="909"/>
              <w:jc w:val="center"/>
              <w:rPr>
                <w:rFonts w:ascii="Times New Roman"/>
                <w:sz w:val="18"/>
              </w:rPr>
            </w:pPr>
            <w:r>
              <w:rPr>
                <w:rFonts w:ascii="Times New Roman"/>
                <w:spacing w:val="-2"/>
                <w:sz w:val="18"/>
              </w:rPr>
              <w:t>&lt;5000</w:t>
            </w:r>
          </w:p>
        </w:tc>
        <w:tc>
          <w:tcPr>
            <w:tcW w:w="2841" w:type="dxa"/>
          </w:tcPr>
          <w:p>
            <w:pPr>
              <w:pStyle w:val="TableParagraph"/>
              <w:spacing w:before="76" w:line="224" w:lineRule="exact"/>
              <w:ind w:left="903" w:right="903"/>
              <w:jc w:val="center"/>
              <w:rPr>
                <w:rFonts w:ascii="Times New Roman" w:hAnsi="Times New Roman"/>
                <w:sz w:val="18"/>
              </w:rPr>
            </w:pPr>
            <w:r>
              <w:rPr>
                <w:spacing w:val="-4"/>
                <w:sz w:val="18"/>
              </w:rPr>
              <w:t>≤</w:t>
            </w:r>
            <w:r>
              <w:rPr>
                <w:rFonts w:ascii="Times New Roman" w:hAnsi="Times New Roman"/>
                <w:spacing w:val="-4"/>
                <w:sz w:val="18"/>
              </w:rPr>
              <w:t>1.5</w:t>
            </w:r>
          </w:p>
        </w:tc>
        <w:tc>
          <w:tcPr>
            <w:tcW w:w="2841" w:type="dxa"/>
            <w:tcBorders>
              <w:right w:val="nil"/>
            </w:tcBorders>
          </w:tcPr>
          <w:p>
            <w:pPr>
              <w:pStyle w:val="TableParagraph"/>
              <w:spacing w:before="76" w:line="224" w:lineRule="exact"/>
              <w:ind w:left="227" w:right="227"/>
              <w:jc w:val="center"/>
              <w:rPr>
                <w:rFonts w:ascii="Times New Roman" w:hAnsi="Times New Roman"/>
                <w:sz w:val="18"/>
              </w:rPr>
            </w:pPr>
            <w:r>
              <w:rPr>
                <w:spacing w:val="-4"/>
                <w:sz w:val="18"/>
              </w:rPr>
              <w:t>≤</w:t>
            </w:r>
            <w:r>
              <w:rPr>
                <w:rFonts w:ascii="Times New Roman" w:hAnsi="Times New Roman"/>
                <w:spacing w:val="-4"/>
                <w:sz w:val="18"/>
              </w:rPr>
              <w:t>3.5</w:t>
            </w:r>
          </w:p>
        </w:tc>
      </w:tr>
    </w:tbl>
    <w:p>
      <w:pPr>
        <w:pStyle w:val="ListParagraph"/>
        <w:numPr>
          <w:ilvl w:val="0"/>
          <w:numId w:val="37"/>
        </w:numPr>
        <w:tabs>
          <w:tab w:val="left" w:pos="400"/>
        </w:tabs>
        <w:spacing w:before="60" w:after="0" w:line="240" w:lineRule="auto"/>
        <w:ind w:left="400" w:right="0" w:hanging="180"/>
        <w:jc w:val="left"/>
        <w:rPr>
          <w:sz w:val="18"/>
        </w:rPr>
      </w:pPr>
      <w:r>
        <w:rPr>
          <w:spacing w:val="-1"/>
          <w:sz w:val="18"/>
        </w:rPr>
        <w:t>为以排污口为圆心，以调查半径为半径的半圆形面积。</w:t>
      </w:r>
    </w:p>
    <w:p>
      <w:pPr>
        <w:pStyle w:val="ListParagraph"/>
        <w:numPr>
          <w:ilvl w:val="1"/>
          <w:numId w:val="39"/>
        </w:numPr>
        <w:tabs>
          <w:tab w:val="left" w:pos="693"/>
        </w:tabs>
        <w:spacing w:before="55" w:after="0" w:line="240" w:lineRule="auto"/>
        <w:ind w:left="692" w:right="0" w:hanging="473"/>
        <w:jc w:val="both"/>
        <w:rPr>
          <w:sz w:val="21"/>
        </w:rPr>
      </w:pPr>
      <w:r>
        <w:rPr>
          <w:spacing w:val="-2"/>
          <w:sz w:val="21"/>
        </w:rPr>
        <w:t>环境现状的调查时间</w:t>
      </w:r>
    </w:p>
    <w:p>
      <w:pPr>
        <w:spacing w:after="0" w:line="240" w:lineRule="auto"/>
        <w:jc w:val="both"/>
        <w:rPr>
          <w:sz w:val="21"/>
        </w:rPr>
        <w:sectPr>
          <w:footerReference w:type="even" r:id="rId24"/>
          <w:footerReference w:type="default" r:id="rId25"/>
          <w:pgSz w:w="11910" w:h="16840"/>
          <w:pgMar w:top="1420" w:right="1500" w:bottom="1180" w:left="1580" w:header="0" w:footer="990"/>
          <w:pgNumType w:start="610"/>
          <w:cols w:space="708"/>
        </w:sectPr>
      </w:pPr>
    </w:p>
    <w:p>
      <w:pPr>
        <w:pStyle w:val="ListParagraph"/>
        <w:numPr>
          <w:ilvl w:val="2"/>
          <w:numId w:val="39"/>
        </w:numPr>
        <w:tabs>
          <w:tab w:val="left" w:pos="849"/>
          <w:tab w:val="left" w:pos="850"/>
        </w:tabs>
        <w:spacing w:before="48" w:after="0" w:line="285" w:lineRule="auto"/>
        <w:ind w:left="220" w:right="193" w:firstLine="0"/>
        <w:jc w:val="left"/>
        <w:rPr>
          <w:sz w:val="21"/>
        </w:rPr>
      </w:pPr>
      <w:r>
        <w:rPr>
          <w:spacing w:val="-2"/>
          <w:sz w:val="21"/>
        </w:rPr>
        <w:t>根据当地的水文资料初步确定河流、河口、湖泊、水库的丰水期、平水期、枯水期，</w:t>
      </w:r>
      <w:r>
        <w:rPr>
          <w:spacing w:val="-11"/>
          <w:sz w:val="21"/>
        </w:rPr>
        <w:t>同时确定最能代表这三个时期的季节或月份。对于海湾，应确定评价期间的大潮期和小潮期。</w:t>
      </w:r>
    </w:p>
    <w:p>
      <w:pPr>
        <w:pStyle w:val="ListParagraph"/>
        <w:numPr>
          <w:ilvl w:val="2"/>
          <w:numId w:val="39"/>
        </w:numPr>
        <w:tabs>
          <w:tab w:val="left" w:pos="849"/>
          <w:tab w:val="left" w:pos="850"/>
        </w:tabs>
        <w:spacing w:before="0" w:after="0" w:line="285" w:lineRule="auto"/>
        <w:ind w:left="220" w:right="298" w:firstLine="0"/>
        <w:jc w:val="left"/>
        <w:rPr>
          <w:sz w:val="21"/>
        </w:rPr>
      </w:pPr>
      <w:r>
        <w:rPr>
          <w:spacing w:val="-6"/>
          <w:sz w:val="21"/>
        </w:rPr>
        <w:t xml:space="preserve">评价等级不同，对各类水域调查时期的要求也不同。表 </w:t>
      </w:r>
      <w:r>
        <w:rPr>
          <w:rFonts w:ascii="Times New Roman" w:eastAsia="Times New Roman"/>
          <w:spacing w:val="-4"/>
          <w:sz w:val="21"/>
        </w:rPr>
        <w:t xml:space="preserve">7 </w:t>
      </w:r>
      <w:r>
        <w:rPr>
          <w:spacing w:val="-4"/>
          <w:sz w:val="21"/>
        </w:rPr>
        <w:t>列出了不同评价等级时各类</w:t>
      </w:r>
      <w:r>
        <w:rPr>
          <w:spacing w:val="-2"/>
          <w:sz w:val="21"/>
        </w:rPr>
        <w:t>水域的水质调查时期。</w:t>
      </w:r>
    </w:p>
    <w:p>
      <w:pPr>
        <w:pStyle w:val="BodyText"/>
        <w:tabs>
          <w:tab w:val="left" w:pos="2666"/>
        </w:tabs>
        <w:spacing w:after="5" w:line="269" w:lineRule="exact"/>
        <w:ind w:left="2089"/>
      </w:pPr>
      <w:r>
        <w:t>表</w:t>
      </w:r>
      <w:r>
        <w:rPr>
          <w:spacing w:val="-53"/>
        </w:rPr>
        <w:t xml:space="preserve"> </w:t>
      </w:r>
      <w:r>
        <w:rPr>
          <w:rFonts w:ascii="Times New Roman" w:eastAsia="Times New Roman"/>
          <w:spacing w:val="-10"/>
        </w:rPr>
        <w:t>7</w:t>
      </w:r>
      <w:r>
        <w:rPr>
          <w:rFonts w:ascii="Times New Roman" w:eastAsia="Times New Roman"/>
        </w:rPr>
        <w:tab/>
      </w:r>
      <w:r>
        <w:t>各类水域在不同评价等级时水质的调查时</w:t>
      </w:r>
      <w:r>
        <w:rPr>
          <w:spacing w:val="-10"/>
        </w:rPr>
        <w:t>期</w:t>
      </w:r>
    </w:p>
    <w:tbl>
      <w:tblPr>
        <w:tblStyle w:val="TableNormal7"/>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08"/>
        <w:gridCol w:w="2504"/>
        <w:gridCol w:w="2505"/>
        <w:gridCol w:w="2505"/>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20"/>
          <w:jc w:val="left"/>
        </w:trPr>
        <w:tc>
          <w:tcPr>
            <w:tcW w:w="1008" w:type="dxa"/>
            <w:tcBorders>
              <w:left w:val="nil"/>
            </w:tcBorders>
          </w:tcPr>
          <w:p>
            <w:pPr>
              <w:pStyle w:val="TableParagraph"/>
              <w:rPr>
                <w:rFonts w:ascii="Times New Roman"/>
                <w:sz w:val="18"/>
              </w:rPr>
            </w:pPr>
          </w:p>
        </w:tc>
        <w:tc>
          <w:tcPr>
            <w:tcW w:w="2504" w:type="dxa"/>
          </w:tcPr>
          <w:p>
            <w:pPr>
              <w:pStyle w:val="TableParagraph"/>
              <w:tabs>
                <w:tab w:val="left" w:pos="539"/>
              </w:tabs>
              <w:spacing w:before="76" w:line="224" w:lineRule="exact"/>
              <w:jc w:val="center"/>
              <w:rPr>
                <w:sz w:val="18"/>
              </w:rPr>
            </w:pPr>
            <w:r>
              <w:rPr>
                <w:spacing w:val="-10"/>
                <w:sz w:val="18"/>
              </w:rPr>
              <w:t>—</w:t>
            </w:r>
            <w:r>
              <w:rPr>
                <w:sz w:val="18"/>
              </w:rPr>
              <w:tab/>
            </w:r>
            <w:r>
              <w:rPr>
                <w:spacing w:val="-10"/>
                <w:sz w:val="18"/>
              </w:rPr>
              <w:t>级</w:t>
            </w:r>
          </w:p>
        </w:tc>
        <w:tc>
          <w:tcPr>
            <w:tcW w:w="2505" w:type="dxa"/>
          </w:tcPr>
          <w:p>
            <w:pPr>
              <w:pStyle w:val="TableParagraph"/>
              <w:tabs>
                <w:tab w:val="left" w:pos="539"/>
              </w:tabs>
              <w:spacing w:before="76" w:line="224" w:lineRule="exact"/>
              <w:jc w:val="center"/>
              <w:rPr>
                <w:sz w:val="18"/>
              </w:rPr>
            </w:pPr>
            <w:r>
              <w:rPr>
                <w:spacing w:val="-10"/>
                <w:sz w:val="18"/>
              </w:rPr>
              <w:t>二</w:t>
            </w:r>
            <w:r>
              <w:rPr>
                <w:sz w:val="18"/>
              </w:rPr>
              <w:tab/>
            </w:r>
            <w:r>
              <w:rPr>
                <w:spacing w:val="-10"/>
                <w:sz w:val="18"/>
              </w:rPr>
              <w:t>级</w:t>
            </w:r>
          </w:p>
        </w:tc>
        <w:tc>
          <w:tcPr>
            <w:tcW w:w="2505" w:type="dxa"/>
            <w:tcBorders>
              <w:right w:val="nil"/>
            </w:tcBorders>
          </w:tcPr>
          <w:p>
            <w:pPr>
              <w:pStyle w:val="TableParagraph"/>
              <w:tabs>
                <w:tab w:val="left" w:pos="539"/>
              </w:tabs>
              <w:spacing w:before="76" w:line="224" w:lineRule="exact"/>
              <w:jc w:val="center"/>
              <w:rPr>
                <w:sz w:val="18"/>
              </w:rPr>
            </w:pPr>
            <w:r>
              <w:rPr>
                <w:spacing w:val="-10"/>
                <w:sz w:val="18"/>
              </w:rPr>
              <w:t>三</w:t>
            </w:r>
            <w:r>
              <w:rPr>
                <w:sz w:val="18"/>
              </w:rPr>
              <w:tab/>
            </w:r>
            <w:r>
              <w:rPr>
                <w:spacing w:val="-10"/>
                <w:sz w:val="18"/>
              </w:rPr>
              <w:t>级</w:t>
            </w:r>
          </w:p>
        </w:tc>
      </w:tr>
      <w:tr>
        <w:tblPrEx>
          <w:tblW w:w="0" w:type="auto"/>
          <w:jc w:val="left"/>
          <w:tblInd w:w="119" w:type="dxa"/>
          <w:tblLayout w:type="fixed"/>
          <w:tblCellMar>
            <w:top w:w="0" w:type="dxa"/>
            <w:left w:w="0" w:type="dxa"/>
            <w:bottom w:w="0" w:type="dxa"/>
            <w:right w:w="0" w:type="dxa"/>
          </w:tblCellMar>
          <w:tblLook w:val="01E0"/>
        </w:tblPrEx>
        <w:trPr>
          <w:trHeight w:val="2240"/>
          <w:jc w:val="left"/>
        </w:trPr>
        <w:tc>
          <w:tcPr>
            <w:tcW w:w="1008" w:type="dxa"/>
            <w:tcBorders>
              <w:left w:val="nil"/>
            </w:tcBorders>
          </w:tcPr>
          <w:p>
            <w:pPr>
              <w:pStyle w:val="TableParagraph"/>
              <w:rPr>
                <w:sz w:val="18"/>
              </w:rPr>
            </w:pPr>
          </w:p>
          <w:p>
            <w:pPr>
              <w:pStyle w:val="TableParagraph"/>
              <w:rPr>
                <w:sz w:val="18"/>
              </w:rPr>
            </w:pPr>
          </w:p>
          <w:p>
            <w:pPr>
              <w:pStyle w:val="TableParagraph"/>
              <w:spacing w:before="4"/>
              <w:rPr>
                <w:sz w:val="21"/>
              </w:rPr>
            </w:pPr>
          </w:p>
          <w:p>
            <w:pPr>
              <w:pStyle w:val="TableParagraph"/>
              <w:spacing w:line="561" w:lineRule="auto"/>
              <w:ind w:left="377" w:right="438"/>
              <w:jc w:val="center"/>
              <w:rPr>
                <w:sz w:val="18"/>
              </w:rPr>
            </w:pPr>
            <w:r>
              <w:rPr>
                <w:spacing w:val="-10"/>
                <w:sz w:val="18"/>
              </w:rPr>
              <w:t>河</w:t>
            </w:r>
            <w:r>
              <w:rPr>
                <w:spacing w:val="-10"/>
                <w:sz w:val="18"/>
              </w:rPr>
              <w:t>流</w:t>
            </w:r>
          </w:p>
        </w:tc>
        <w:tc>
          <w:tcPr>
            <w:tcW w:w="2504" w:type="dxa"/>
          </w:tcPr>
          <w:p>
            <w:pPr>
              <w:pStyle w:val="TableParagraph"/>
              <w:spacing w:before="76" w:line="333" w:lineRule="auto"/>
              <w:ind w:left="103" w:right="50" w:firstLine="360"/>
              <w:jc w:val="right"/>
              <w:rPr>
                <w:sz w:val="18"/>
              </w:rPr>
            </w:pPr>
            <w:r>
              <w:rPr>
                <w:spacing w:val="-10"/>
                <w:sz w:val="18"/>
              </w:rPr>
              <w:t>一般情况，为一个水文年</w:t>
            </w:r>
            <w:r>
              <w:rPr>
                <w:spacing w:val="-2"/>
                <w:sz w:val="18"/>
              </w:rPr>
              <w:t>的丰水期、平水期和枯水期；</w:t>
            </w:r>
            <w:r>
              <w:rPr>
                <w:spacing w:val="-9"/>
                <w:sz w:val="18"/>
              </w:rPr>
              <w:t>若评价时间不够，至少应</w:t>
            </w:r>
          </w:p>
          <w:p>
            <w:pPr>
              <w:pStyle w:val="TableParagraph"/>
              <w:spacing w:line="229" w:lineRule="exact"/>
              <w:ind w:left="103"/>
              <w:rPr>
                <w:sz w:val="18"/>
              </w:rPr>
            </w:pPr>
            <w:r>
              <w:rPr>
                <w:spacing w:val="-2"/>
                <w:sz w:val="18"/>
              </w:rPr>
              <w:t>调查平水期和枯水期</w:t>
            </w:r>
          </w:p>
        </w:tc>
        <w:tc>
          <w:tcPr>
            <w:tcW w:w="2505" w:type="dxa"/>
          </w:tcPr>
          <w:p>
            <w:pPr>
              <w:pStyle w:val="TableParagraph"/>
              <w:spacing w:before="76" w:line="333" w:lineRule="auto"/>
              <w:ind w:left="103" w:right="100" w:firstLine="360"/>
              <w:jc w:val="both"/>
              <w:rPr>
                <w:sz w:val="18"/>
              </w:rPr>
            </w:pPr>
            <w:r>
              <w:rPr>
                <w:spacing w:val="-9"/>
                <w:sz w:val="18"/>
              </w:rPr>
              <w:t>条件许可，可调查一个水</w:t>
            </w:r>
            <w:r>
              <w:rPr>
                <w:spacing w:val="-9"/>
                <w:sz w:val="18"/>
              </w:rPr>
              <w:t>文年的丰水期、平水期和枯水</w:t>
            </w:r>
            <w:r>
              <w:rPr>
                <w:spacing w:val="-6"/>
                <w:sz w:val="18"/>
              </w:rPr>
              <w:t>期；</w:t>
            </w:r>
          </w:p>
          <w:p>
            <w:pPr>
              <w:pStyle w:val="TableParagraph"/>
              <w:spacing w:line="333" w:lineRule="auto"/>
              <w:ind w:left="103" w:right="100" w:firstLine="360"/>
              <w:rPr>
                <w:sz w:val="18"/>
              </w:rPr>
            </w:pPr>
            <w:r>
              <w:rPr>
                <w:spacing w:val="-9"/>
                <w:sz w:val="18"/>
              </w:rPr>
              <w:t>一般情况，可只调查枯水</w:t>
            </w:r>
            <w:r>
              <w:rPr>
                <w:spacing w:val="-2"/>
                <w:sz w:val="18"/>
              </w:rPr>
              <w:t>期和平水期；</w:t>
            </w:r>
          </w:p>
          <w:p>
            <w:pPr>
              <w:pStyle w:val="TableParagraph"/>
              <w:spacing w:line="229" w:lineRule="exact"/>
              <w:ind w:left="463"/>
              <w:rPr>
                <w:sz w:val="18"/>
              </w:rPr>
            </w:pPr>
            <w:r>
              <w:rPr>
                <w:spacing w:val="-8"/>
                <w:sz w:val="18"/>
              </w:rPr>
              <w:t>若评价时间不够，可只调</w:t>
            </w:r>
          </w:p>
          <w:p>
            <w:pPr>
              <w:pStyle w:val="TableParagraph"/>
              <w:spacing w:before="87" w:line="224" w:lineRule="exact"/>
              <w:ind w:left="103"/>
              <w:rPr>
                <w:sz w:val="18"/>
              </w:rPr>
            </w:pPr>
            <w:r>
              <w:rPr>
                <w:spacing w:val="-3"/>
                <w:sz w:val="18"/>
              </w:rPr>
              <w:t>查枯水期</w:t>
            </w:r>
          </w:p>
        </w:tc>
        <w:tc>
          <w:tcPr>
            <w:tcW w:w="2505" w:type="dxa"/>
            <w:tcBorders>
              <w:right w:val="nil"/>
            </w:tcBorders>
          </w:tcPr>
          <w:p>
            <w:pPr>
              <w:pStyle w:val="TableParagraph"/>
              <w:spacing w:before="76" w:line="333" w:lineRule="auto"/>
              <w:ind w:left="103" w:right="100" w:firstLine="360"/>
              <w:rPr>
                <w:sz w:val="18"/>
              </w:rPr>
            </w:pPr>
            <w:r>
              <w:rPr>
                <w:spacing w:val="-9"/>
                <w:sz w:val="18"/>
              </w:rPr>
              <w:t>一般情况，可只在枯水期</w:t>
            </w:r>
            <w:r>
              <w:rPr>
                <w:spacing w:val="-6"/>
                <w:sz w:val="18"/>
              </w:rPr>
              <w:t>调查</w:t>
            </w:r>
          </w:p>
        </w:tc>
      </w:tr>
      <w:tr>
        <w:tblPrEx>
          <w:tblW w:w="0" w:type="auto"/>
          <w:jc w:val="left"/>
          <w:tblInd w:w="119" w:type="dxa"/>
          <w:tblLayout w:type="fixed"/>
          <w:tblCellMar>
            <w:top w:w="0" w:type="dxa"/>
            <w:left w:w="0" w:type="dxa"/>
            <w:bottom w:w="0" w:type="dxa"/>
            <w:right w:w="0" w:type="dxa"/>
          </w:tblCellMar>
          <w:tblLook w:val="01E0"/>
        </w:tblPrEx>
        <w:trPr>
          <w:trHeight w:val="1280"/>
          <w:jc w:val="left"/>
        </w:trPr>
        <w:tc>
          <w:tcPr>
            <w:tcW w:w="1008" w:type="dxa"/>
            <w:tcBorders>
              <w:left w:val="nil"/>
            </w:tcBorders>
          </w:tcPr>
          <w:p>
            <w:pPr>
              <w:pStyle w:val="TableParagraph"/>
              <w:spacing w:before="2" w:line="540" w:lineRule="exact"/>
              <w:ind w:left="377" w:right="438"/>
              <w:jc w:val="center"/>
              <w:rPr>
                <w:sz w:val="18"/>
              </w:rPr>
            </w:pPr>
            <w:r>
              <w:rPr>
                <w:spacing w:val="-10"/>
                <w:sz w:val="18"/>
              </w:rPr>
              <w:t>河</w:t>
            </w:r>
            <w:r>
              <w:rPr>
                <w:spacing w:val="-10"/>
                <w:sz w:val="18"/>
              </w:rPr>
              <w:t>口</w:t>
            </w:r>
          </w:p>
        </w:tc>
        <w:tc>
          <w:tcPr>
            <w:tcW w:w="2504" w:type="dxa"/>
          </w:tcPr>
          <w:p>
            <w:pPr>
              <w:pStyle w:val="TableParagraph"/>
              <w:spacing w:before="76" w:line="333" w:lineRule="auto"/>
              <w:ind w:left="103" w:right="50" w:firstLine="360"/>
              <w:jc w:val="right"/>
              <w:rPr>
                <w:sz w:val="18"/>
              </w:rPr>
            </w:pPr>
            <w:r>
              <w:rPr>
                <w:spacing w:val="-10"/>
                <w:sz w:val="18"/>
              </w:rPr>
              <w:t>一般情况，为一个潮汐年</w:t>
            </w:r>
            <w:r>
              <w:rPr>
                <w:spacing w:val="-2"/>
                <w:sz w:val="18"/>
              </w:rPr>
              <w:t>的丰水期、平水期和枯水期；</w:t>
            </w:r>
            <w:r>
              <w:rPr>
                <w:spacing w:val="-9"/>
                <w:sz w:val="18"/>
              </w:rPr>
              <w:t>若评价时间不够，至少应</w:t>
            </w:r>
          </w:p>
          <w:p>
            <w:pPr>
              <w:pStyle w:val="TableParagraph"/>
              <w:spacing w:line="222" w:lineRule="exact"/>
              <w:ind w:left="103"/>
              <w:rPr>
                <w:sz w:val="18"/>
              </w:rPr>
            </w:pPr>
            <w:r>
              <w:rPr>
                <w:spacing w:val="-2"/>
                <w:sz w:val="18"/>
              </w:rPr>
              <w:t>调查平水期和枯水期</w:t>
            </w:r>
          </w:p>
        </w:tc>
        <w:tc>
          <w:tcPr>
            <w:tcW w:w="2505" w:type="dxa"/>
          </w:tcPr>
          <w:p>
            <w:pPr>
              <w:pStyle w:val="TableParagraph"/>
              <w:spacing w:before="76" w:line="333" w:lineRule="auto"/>
              <w:ind w:left="103" w:right="100" w:firstLine="360"/>
              <w:rPr>
                <w:sz w:val="18"/>
              </w:rPr>
            </w:pPr>
            <w:r>
              <w:rPr>
                <w:spacing w:val="-9"/>
                <w:sz w:val="18"/>
              </w:rPr>
              <w:t>一般情况，应调查平水期</w:t>
            </w:r>
            <w:r>
              <w:rPr>
                <w:spacing w:val="-2"/>
                <w:sz w:val="18"/>
              </w:rPr>
              <w:t>和枯水期；</w:t>
            </w:r>
          </w:p>
          <w:p>
            <w:pPr>
              <w:pStyle w:val="TableParagraph"/>
              <w:spacing w:line="229" w:lineRule="exact"/>
              <w:ind w:left="463"/>
              <w:rPr>
                <w:sz w:val="18"/>
              </w:rPr>
            </w:pPr>
            <w:r>
              <w:rPr>
                <w:spacing w:val="-8"/>
                <w:sz w:val="18"/>
              </w:rPr>
              <w:t>若评价时间不够，可只调</w:t>
            </w:r>
          </w:p>
          <w:p>
            <w:pPr>
              <w:pStyle w:val="TableParagraph"/>
              <w:spacing w:before="89" w:line="224" w:lineRule="exact"/>
              <w:ind w:left="103"/>
              <w:rPr>
                <w:sz w:val="18"/>
              </w:rPr>
            </w:pPr>
            <w:r>
              <w:rPr>
                <w:spacing w:val="-3"/>
                <w:sz w:val="18"/>
              </w:rPr>
              <w:t>查枯水期</w:t>
            </w:r>
          </w:p>
        </w:tc>
        <w:tc>
          <w:tcPr>
            <w:tcW w:w="2505" w:type="dxa"/>
            <w:tcBorders>
              <w:right w:val="nil"/>
            </w:tcBorders>
          </w:tcPr>
          <w:p>
            <w:pPr>
              <w:pStyle w:val="TableParagraph"/>
              <w:spacing w:before="76"/>
              <w:jc w:val="center"/>
              <w:rPr>
                <w:sz w:val="18"/>
              </w:rPr>
            </w:pPr>
            <w:r>
              <w:rPr>
                <w:spacing w:val="-9"/>
                <w:sz w:val="18"/>
              </w:rPr>
              <w:t>一般情况，可只在枯水期调查</w:t>
            </w:r>
          </w:p>
        </w:tc>
      </w:tr>
      <w:tr>
        <w:tblPrEx>
          <w:tblW w:w="0" w:type="auto"/>
          <w:jc w:val="left"/>
          <w:tblInd w:w="119" w:type="dxa"/>
          <w:tblLayout w:type="fixed"/>
          <w:tblCellMar>
            <w:top w:w="0" w:type="dxa"/>
            <w:left w:w="0" w:type="dxa"/>
            <w:bottom w:w="0" w:type="dxa"/>
            <w:right w:w="0" w:type="dxa"/>
          </w:tblCellMar>
          <w:tblLook w:val="01E0"/>
        </w:tblPrEx>
        <w:trPr>
          <w:trHeight w:val="1280"/>
          <w:jc w:val="left"/>
        </w:trPr>
        <w:tc>
          <w:tcPr>
            <w:tcW w:w="1008" w:type="dxa"/>
            <w:tcBorders>
              <w:left w:val="nil"/>
            </w:tcBorders>
          </w:tcPr>
          <w:p>
            <w:pPr>
              <w:pStyle w:val="TableParagraph"/>
              <w:spacing w:before="159" w:line="187" w:lineRule="auto"/>
              <w:ind w:left="377" w:right="438"/>
              <w:jc w:val="center"/>
              <w:rPr>
                <w:sz w:val="18"/>
              </w:rPr>
            </w:pPr>
            <w:r>
              <w:rPr>
                <w:spacing w:val="-10"/>
                <w:sz w:val="18"/>
              </w:rPr>
              <w:t>湖</w:t>
            </w:r>
            <w:r>
              <w:rPr>
                <w:spacing w:val="-10"/>
                <w:sz w:val="18"/>
              </w:rPr>
              <w:t>泊</w:t>
            </w:r>
          </w:p>
          <w:p>
            <w:pPr>
              <w:pStyle w:val="TableParagraph"/>
              <w:spacing w:line="187" w:lineRule="auto"/>
              <w:ind w:left="377" w:right="438"/>
              <w:jc w:val="both"/>
              <w:rPr>
                <w:sz w:val="18"/>
              </w:rPr>
            </w:pPr>
            <w:r>
              <w:rPr>
                <w:spacing w:val="-10"/>
                <w:sz w:val="18"/>
              </w:rPr>
              <w:t>（</w:t>
            </w:r>
            <w:r>
              <w:rPr>
                <w:spacing w:val="-10"/>
                <w:sz w:val="18"/>
              </w:rPr>
              <w:t>水</w:t>
            </w:r>
            <w:r>
              <w:rPr>
                <w:spacing w:val="-10"/>
                <w:sz w:val="18"/>
              </w:rPr>
              <w:t>库</w:t>
            </w:r>
          </w:p>
          <w:p>
            <w:pPr>
              <w:pStyle w:val="TableParagraph"/>
              <w:spacing w:line="191" w:lineRule="exact"/>
              <w:ind w:right="60"/>
              <w:jc w:val="center"/>
              <w:rPr>
                <w:sz w:val="18"/>
              </w:rPr>
            </w:pPr>
            <w:r>
              <w:rPr>
                <w:sz w:val="18"/>
              </w:rPr>
              <w:t>）</w:t>
            </w:r>
          </w:p>
        </w:tc>
        <w:tc>
          <w:tcPr>
            <w:tcW w:w="2504" w:type="dxa"/>
          </w:tcPr>
          <w:p>
            <w:pPr>
              <w:pStyle w:val="TableParagraph"/>
              <w:spacing w:before="76" w:line="333" w:lineRule="auto"/>
              <w:ind w:left="103" w:right="50" w:firstLine="360"/>
              <w:jc w:val="right"/>
              <w:rPr>
                <w:sz w:val="18"/>
              </w:rPr>
            </w:pPr>
            <w:r>
              <w:rPr>
                <w:spacing w:val="-10"/>
                <w:sz w:val="18"/>
              </w:rPr>
              <w:t>一般情况，为一个水文年</w:t>
            </w:r>
            <w:r>
              <w:rPr>
                <w:spacing w:val="-2"/>
                <w:sz w:val="18"/>
              </w:rPr>
              <w:t>的丰水期、平水期和枯水期；</w:t>
            </w:r>
            <w:r>
              <w:rPr>
                <w:spacing w:val="-9"/>
                <w:sz w:val="18"/>
              </w:rPr>
              <w:t>若评价时间不够，至少应</w:t>
            </w:r>
          </w:p>
          <w:p>
            <w:pPr>
              <w:pStyle w:val="TableParagraph"/>
              <w:spacing w:line="222" w:lineRule="exact"/>
              <w:ind w:left="103"/>
              <w:rPr>
                <w:sz w:val="18"/>
              </w:rPr>
            </w:pPr>
            <w:r>
              <w:rPr>
                <w:spacing w:val="-2"/>
                <w:sz w:val="18"/>
              </w:rPr>
              <w:t>调查平水期和枯水期</w:t>
            </w:r>
          </w:p>
        </w:tc>
        <w:tc>
          <w:tcPr>
            <w:tcW w:w="2505" w:type="dxa"/>
          </w:tcPr>
          <w:p>
            <w:pPr>
              <w:pStyle w:val="TableParagraph"/>
              <w:spacing w:before="76" w:line="333" w:lineRule="auto"/>
              <w:ind w:left="103" w:right="100" w:firstLine="360"/>
              <w:rPr>
                <w:sz w:val="18"/>
              </w:rPr>
            </w:pPr>
            <w:r>
              <w:rPr>
                <w:spacing w:val="-9"/>
                <w:sz w:val="18"/>
              </w:rPr>
              <w:t>一般情况，应调查平水期</w:t>
            </w:r>
            <w:r>
              <w:rPr>
                <w:spacing w:val="-2"/>
                <w:sz w:val="18"/>
              </w:rPr>
              <w:t>和枯水期；</w:t>
            </w:r>
          </w:p>
          <w:p>
            <w:pPr>
              <w:pStyle w:val="TableParagraph"/>
              <w:spacing w:line="229" w:lineRule="exact"/>
              <w:ind w:left="463"/>
              <w:rPr>
                <w:sz w:val="18"/>
              </w:rPr>
            </w:pPr>
            <w:r>
              <w:rPr>
                <w:spacing w:val="-8"/>
                <w:sz w:val="18"/>
              </w:rPr>
              <w:t>若评价时间不够，可只调</w:t>
            </w:r>
          </w:p>
          <w:p>
            <w:pPr>
              <w:pStyle w:val="TableParagraph"/>
              <w:spacing w:before="89" w:line="224" w:lineRule="exact"/>
              <w:ind w:left="103"/>
              <w:rPr>
                <w:sz w:val="18"/>
              </w:rPr>
            </w:pPr>
            <w:r>
              <w:rPr>
                <w:spacing w:val="-3"/>
                <w:sz w:val="18"/>
              </w:rPr>
              <w:t>查枯水期</w:t>
            </w:r>
          </w:p>
        </w:tc>
        <w:tc>
          <w:tcPr>
            <w:tcW w:w="2505" w:type="dxa"/>
            <w:tcBorders>
              <w:right w:val="nil"/>
            </w:tcBorders>
          </w:tcPr>
          <w:p>
            <w:pPr>
              <w:pStyle w:val="TableParagraph"/>
              <w:spacing w:before="76" w:line="333" w:lineRule="auto"/>
              <w:ind w:left="103" w:right="100" w:firstLine="360"/>
              <w:rPr>
                <w:sz w:val="18"/>
              </w:rPr>
            </w:pPr>
            <w:r>
              <w:rPr>
                <w:spacing w:val="-9"/>
                <w:sz w:val="18"/>
              </w:rPr>
              <w:t>一般情况，可只在枯水期</w:t>
            </w:r>
            <w:r>
              <w:rPr>
                <w:spacing w:val="-6"/>
                <w:sz w:val="18"/>
              </w:rPr>
              <w:t>调查</w:t>
            </w:r>
          </w:p>
        </w:tc>
      </w:tr>
      <w:tr>
        <w:tblPrEx>
          <w:tblW w:w="0" w:type="auto"/>
          <w:jc w:val="left"/>
          <w:tblInd w:w="119" w:type="dxa"/>
          <w:tblLayout w:type="fixed"/>
          <w:tblCellMar>
            <w:top w:w="0" w:type="dxa"/>
            <w:left w:w="0" w:type="dxa"/>
            <w:bottom w:w="0" w:type="dxa"/>
            <w:right w:w="0" w:type="dxa"/>
          </w:tblCellMar>
          <w:tblLook w:val="01E0"/>
        </w:tblPrEx>
        <w:trPr>
          <w:trHeight w:val="1134"/>
          <w:jc w:val="left"/>
        </w:trPr>
        <w:tc>
          <w:tcPr>
            <w:tcW w:w="1008" w:type="dxa"/>
            <w:tcBorders>
              <w:left w:val="nil"/>
            </w:tcBorders>
          </w:tcPr>
          <w:p>
            <w:pPr>
              <w:pStyle w:val="TableParagraph"/>
              <w:spacing w:before="7" w:line="450" w:lineRule="atLeast"/>
              <w:ind w:left="377" w:right="438"/>
              <w:jc w:val="center"/>
              <w:rPr>
                <w:sz w:val="18"/>
              </w:rPr>
            </w:pPr>
            <w:r>
              <w:rPr>
                <w:spacing w:val="-10"/>
                <w:sz w:val="18"/>
              </w:rPr>
              <w:t>海</w:t>
            </w:r>
            <w:r>
              <w:rPr>
                <w:spacing w:val="-10"/>
                <w:sz w:val="18"/>
              </w:rPr>
              <w:t>湾</w:t>
            </w:r>
          </w:p>
        </w:tc>
        <w:tc>
          <w:tcPr>
            <w:tcW w:w="2504" w:type="dxa"/>
          </w:tcPr>
          <w:p>
            <w:pPr>
              <w:pStyle w:val="TableParagraph"/>
              <w:spacing w:before="76" w:line="333" w:lineRule="auto"/>
              <w:ind w:left="103" w:right="101" w:firstLine="360"/>
              <w:rPr>
                <w:sz w:val="18"/>
              </w:rPr>
            </w:pPr>
            <w:r>
              <w:rPr>
                <w:spacing w:val="-10"/>
                <w:sz w:val="18"/>
              </w:rPr>
              <w:t>一般情况，应调查评价工</w:t>
            </w:r>
            <w:r>
              <w:rPr>
                <w:spacing w:val="-2"/>
                <w:sz w:val="18"/>
              </w:rPr>
              <w:t>作期间的大潮期和小潮期</w:t>
            </w:r>
          </w:p>
        </w:tc>
        <w:tc>
          <w:tcPr>
            <w:tcW w:w="2505" w:type="dxa"/>
          </w:tcPr>
          <w:p>
            <w:pPr>
              <w:pStyle w:val="TableParagraph"/>
              <w:spacing w:before="76" w:line="333" w:lineRule="auto"/>
              <w:ind w:left="103" w:right="100" w:firstLine="360"/>
              <w:rPr>
                <w:sz w:val="18"/>
              </w:rPr>
            </w:pPr>
            <w:r>
              <w:rPr>
                <w:spacing w:val="-9"/>
                <w:sz w:val="18"/>
              </w:rPr>
              <w:t>一般情况，应调查评价工</w:t>
            </w:r>
            <w:r>
              <w:rPr>
                <w:spacing w:val="-2"/>
                <w:sz w:val="18"/>
              </w:rPr>
              <w:t>作期间的大潮期和小潮期</w:t>
            </w:r>
          </w:p>
        </w:tc>
        <w:tc>
          <w:tcPr>
            <w:tcW w:w="2505" w:type="dxa"/>
            <w:tcBorders>
              <w:right w:val="nil"/>
            </w:tcBorders>
          </w:tcPr>
          <w:p>
            <w:pPr>
              <w:pStyle w:val="TableParagraph"/>
              <w:spacing w:before="76" w:line="333" w:lineRule="auto"/>
              <w:ind w:left="103" w:right="100" w:firstLine="360"/>
              <w:rPr>
                <w:sz w:val="18"/>
              </w:rPr>
            </w:pPr>
            <w:r>
              <w:rPr>
                <w:spacing w:val="-9"/>
                <w:sz w:val="18"/>
              </w:rPr>
              <w:t>一般情况，应调查评价工</w:t>
            </w:r>
            <w:r>
              <w:rPr>
                <w:spacing w:val="-2"/>
                <w:sz w:val="18"/>
              </w:rPr>
              <w:t>作期间的大潮期和小潮期</w:t>
            </w:r>
          </w:p>
        </w:tc>
      </w:tr>
    </w:tbl>
    <w:p>
      <w:pPr>
        <w:pStyle w:val="BodyText"/>
        <w:spacing w:before="7"/>
        <w:rPr>
          <w:sz w:val="28"/>
        </w:rPr>
      </w:pPr>
    </w:p>
    <w:p>
      <w:pPr>
        <w:pStyle w:val="ListParagraph"/>
        <w:numPr>
          <w:ilvl w:val="2"/>
          <w:numId w:val="39"/>
        </w:numPr>
        <w:tabs>
          <w:tab w:val="left" w:pos="849"/>
          <w:tab w:val="left" w:pos="850"/>
        </w:tabs>
        <w:spacing w:before="0" w:after="0" w:line="285" w:lineRule="auto"/>
        <w:ind w:left="220" w:right="297" w:firstLine="0"/>
        <w:jc w:val="left"/>
        <w:rPr>
          <w:sz w:val="21"/>
        </w:rPr>
      </w:pPr>
      <w:r>
        <w:rPr>
          <w:spacing w:val="-4"/>
          <w:sz w:val="21"/>
        </w:rPr>
        <w:t>当调查区域面源污染严重，丰水期水质劣于枯水期时，一、二级评价的各类水域应调</w:t>
      </w:r>
      <w:r>
        <w:rPr>
          <w:spacing w:val="-2"/>
          <w:sz w:val="21"/>
        </w:rPr>
        <w:t>查丰水期，若时间允许，三级评价也应调查丰水期。</w:t>
      </w:r>
    </w:p>
    <w:p>
      <w:pPr>
        <w:pStyle w:val="ListParagraph"/>
        <w:numPr>
          <w:ilvl w:val="2"/>
          <w:numId w:val="39"/>
        </w:numPr>
        <w:tabs>
          <w:tab w:val="left" w:pos="849"/>
          <w:tab w:val="left" w:pos="850"/>
        </w:tabs>
        <w:spacing w:before="0" w:after="0" w:line="285" w:lineRule="auto"/>
        <w:ind w:left="220" w:right="297" w:firstLine="0"/>
        <w:jc w:val="left"/>
        <w:rPr>
          <w:sz w:val="21"/>
        </w:rPr>
      </w:pPr>
      <w:r>
        <w:rPr>
          <w:spacing w:val="-4"/>
          <w:sz w:val="21"/>
        </w:rPr>
        <w:t>冰封期较长的水域，且作为生活饮用水、食品加工用水的水源或渔业用水时，应调查</w:t>
      </w:r>
      <w:r>
        <w:rPr>
          <w:spacing w:val="-2"/>
          <w:sz w:val="21"/>
        </w:rPr>
        <w:t>冰封期的水质、水文情况。</w:t>
      </w:r>
    </w:p>
    <w:p>
      <w:pPr>
        <w:pStyle w:val="ListParagraph"/>
        <w:numPr>
          <w:ilvl w:val="1"/>
          <w:numId w:val="39"/>
        </w:numPr>
        <w:tabs>
          <w:tab w:val="left" w:pos="692"/>
          <w:tab w:val="left" w:pos="693"/>
        </w:tabs>
        <w:spacing w:before="0" w:after="0" w:line="269" w:lineRule="exact"/>
        <w:ind w:left="692" w:right="0" w:hanging="473"/>
        <w:jc w:val="left"/>
        <w:rPr>
          <w:sz w:val="21"/>
        </w:rPr>
      </w:pPr>
      <w:r>
        <w:rPr>
          <w:spacing w:val="-2"/>
          <w:sz w:val="21"/>
        </w:rPr>
        <w:t>水文调查与水文测量</w:t>
      </w:r>
    </w:p>
    <w:p>
      <w:pPr>
        <w:pStyle w:val="ListParagraph"/>
        <w:numPr>
          <w:ilvl w:val="2"/>
          <w:numId w:val="39"/>
        </w:numPr>
        <w:tabs>
          <w:tab w:val="left" w:pos="849"/>
          <w:tab w:val="left" w:pos="850"/>
        </w:tabs>
        <w:spacing w:before="51" w:after="0" w:line="240" w:lineRule="auto"/>
        <w:ind w:left="850" w:right="0" w:hanging="630"/>
        <w:jc w:val="left"/>
        <w:rPr>
          <w:sz w:val="21"/>
        </w:rPr>
      </w:pPr>
      <w:r>
        <w:rPr>
          <w:spacing w:val="-1"/>
          <w:sz w:val="21"/>
        </w:rPr>
        <w:t>水文调查与水文测量的原则</w:t>
      </w:r>
    </w:p>
    <w:p>
      <w:pPr>
        <w:pStyle w:val="ListParagraph"/>
        <w:numPr>
          <w:ilvl w:val="3"/>
          <w:numId w:val="39"/>
        </w:numPr>
        <w:tabs>
          <w:tab w:val="left" w:pos="1007"/>
          <w:tab w:val="left" w:pos="1008"/>
        </w:tabs>
        <w:spacing w:before="50" w:after="0" w:line="285" w:lineRule="auto"/>
        <w:ind w:left="220" w:right="298" w:firstLine="0"/>
        <w:jc w:val="left"/>
        <w:rPr>
          <w:sz w:val="21"/>
        </w:rPr>
      </w:pPr>
      <w:r>
        <w:rPr>
          <w:spacing w:val="-2"/>
          <w:sz w:val="21"/>
        </w:rPr>
        <w:t>应尽量向有关的水文测量和水质监测等部门收集现有资料，当上述资料不足时，应</w:t>
      </w:r>
      <w:r>
        <w:rPr>
          <w:spacing w:val="-2"/>
          <w:sz w:val="21"/>
        </w:rPr>
        <w:t>进行一定的水文调查与水文测量，特别需要进行与水质调查同步的水文测量。</w:t>
      </w:r>
    </w:p>
    <w:p>
      <w:pPr>
        <w:pStyle w:val="ListParagraph"/>
        <w:numPr>
          <w:ilvl w:val="3"/>
          <w:numId w:val="39"/>
        </w:numPr>
        <w:tabs>
          <w:tab w:val="left" w:pos="1007"/>
          <w:tab w:val="left" w:pos="1008"/>
        </w:tabs>
        <w:spacing w:before="0" w:after="0" w:line="285" w:lineRule="auto"/>
        <w:ind w:left="220" w:right="298" w:firstLine="0"/>
        <w:jc w:val="left"/>
        <w:rPr>
          <w:sz w:val="21"/>
        </w:rPr>
      </w:pPr>
      <w:r>
        <w:rPr>
          <w:spacing w:val="-2"/>
          <w:sz w:val="21"/>
        </w:rPr>
        <w:t>一般情况，水文调查与水文测量在枯水期进行，必要时，其他时期（丰水期、平水</w:t>
      </w:r>
      <w:r>
        <w:rPr>
          <w:sz w:val="21"/>
        </w:rPr>
        <w:t>期、冰封期等）</w:t>
      </w:r>
      <w:r>
        <w:rPr>
          <w:spacing w:val="-2"/>
          <w:sz w:val="21"/>
        </w:rPr>
        <w:t xml:space="preserve">可进行补充调查，其调查范围可根据 </w:t>
      </w:r>
      <w:r>
        <w:rPr>
          <w:rFonts w:ascii="Times New Roman" w:eastAsia="Times New Roman"/>
          <w:sz w:val="21"/>
        </w:rPr>
        <w:t xml:space="preserve">6.1.2 </w:t>
      </w:r>
      <w:r>
        <w:rPr>
          <w:sz w:val="21"/>
        </w:rPr>
        <w:t>确定。</w:t>
      </w:r>
    </w:p>
    <w:p>
      <w:pPr>
        <w:pStyle w:val="ListParagraph"/>
        <w:numPr>
          <w:ilvl w:val="3"/>
          <w:numId w:val="39"/>
        </w:numPr>
        <w:tabs>
          <w:tab w:val="left" w:pos="1007"/>
          <w:tab w:val="left" w:pos="1008"/>
        </w:tabs>
        <w:spacing w:before="0" w:after="0" w:line="285" w:lineRule="auto"/>
        <w:ind w:left="220" w:right="193" w:firstLine="0"/>
        <w:jc w:val="left"/>
        <w:rPr>
          <w:sz w:val="21"/>
        </w:rPr>
      </w:pPr>
      <w:r>
        <w:rPr>
          <w:spacing w:val="-2"/>
          <w:sz w:val="21"/>
        </w:rPr>
        <w:t>水文测量的内容与拟采用的环境影响预测方法密切相关。在采用数学模式时应根据</w:t>
      </w:r>
      <w:r>
        <w:rPr>
          <w:spacing w:val="-4"/>
          <w:sz w:val="21"/>
        </w:rPr>
        <w:t>所选用的预测模式及应输入的参数的需要（</w:t>
      </w:r>
      <w:r>
        <w:rPr>
          <w:spacing w:val="-21"/>
          <w:sz w:val="21"/>
        </w:rPr>
        <w:t xml:space="preserve">参见 </w:t>
      </w:r>
      <w:r>
        <w:rPr>
          <w:rFonts w:ascii="Times New Roman" w:eastAsia="Times New Roman"/>
          <w:spacing w:val="-4"/>
          <w:sz w:val="21"/>
        </w:rPr>
        <w:t>7.6</w:t>
      </w:r>
      <w:r>
        <w:rPr>
          <w:spacing w:val="-4"/>
          <w:sz w:val="21"/>
        </w:rPr>
        <w:t>、</w:t>
      </w:r>
      <w:r>
        <w:rPr>
          <w:rFonts w:ascii="Times New Roman" w:eastAsia="Times New Roman"/>
          <w:spacing w:val="-4"/>
          <w:sz w:val="21"/>
        </w:rPr>
        <w:t>7.7</w:t>
      </w:r>
      <w:r>
        <w:rPr>
          <w:spacing w:val="-4"/>
          <w:sz w:val="21"/>
        </w:rPr>
        <w:t>）决定其内容。在采用物理模型时，</w:t>
      </w:r>
      <w:r>
        <w:rPr>
          <w:spacing w:val="-2"/>
          <w:sz w:val="21"/>
        </w:rPr>
        <w:t>水文测量主要应取得足够的制作模型及模型试验所需的水文要素。</w:t>
      </w:r>
    </w:p>
    <w:p>
      <w:pPr>
        <w:pStyle w:val="ListParagraph"/>
        <w:numPr>
          <w:ilvl w:val="3"/>
          <w:numId w:val="39"/>
        </w:numPr>
        <w:tabs>
          <w:tab w:val="left" w:pos="1007"/>
          <w:tab w:val="left" w:pos="1008"/>
        </w:tabs>
        <w:spacing w:before="0" w:after="0" w:line="285" w:lineRule="auto"/>
        <w:ind w:left="220" w:right="192" w:firstLine="0"/>
        <w:jc w:val="left"/>
        <w:rPr>
          <w:sz w:val="21"/>
        </w:rPr>
      </w:pPr>
      <w:r>
        <w:rPr>
          <w:spacing w:val="-2"/>
          <w:sz w:val="21"/>
        </w:rPr>
        <w:t>与水质调查同步进行的水文测量，原则上只在一个时期内进行（此时的水质资料应</w:t>
      </w:r>
      <w:r>
        <w:rPr>
          <w:spacing w:val="-2"/>
          <w:sz w:val="21"/>
        </w:rPr>
        <w:t>尽量采用水团追踪调查法取得</w:t>
      </w:r>
      <w:r>
        <w:rPr>
          <w:spacing w:val="-105"/>
          <w:sz w:val="21"/>
        </w:rPr>
        <w:t>）</w:t>
      </w:r>
      <w:r>
        <w:rPr>
          <w:spacing w:val="-2"/>
          <w:sz w:val="21"/>
        </w:rPr>
        <w:t>。它与水质调查的（</w:t>
      </w:r>
      <w:r>
        <w:rPr>
          <w:spacing w:val="-14"/>
          <w:sz w:val="21"/>
        </w:rPr>
        <w:t xml:space="preserve">参见表 </w:t>
      </w:r>
      <w:r>
        <w:rPr>
          <w:rFonts w:ascii="Times New Roman" w:eastAsia="Times New Roman"/>
          <w:spacing w:val="-2"/>
          <w:sz w:val="21"/>
        </w:rPr>
        <w:t>7</w:t>
      </w:r>
      <w:r>
        <w:rPr>
          <w:spacing w:val="-2"/>
          <w:sz w:val="21"/>
        </w:rPr>
        <w:t>）次数和天数不要求完全相同，</w:t>
      </w:r>
      <w:r>
        <w:rPr>
          <w:spacing w:val="-2"/>
          <w:sz w:val="21"/>
        </w:rPr>
        <w:t>在能准确求得所需水文要素及环境水力学参数（主要指水体混合输移参数及水质模式参数）</w:t>
      </w:r>
      <w:r>
        <w:rPr>
          <w:spacing w:val="-2"/>
          <w:sz w:val="21"/>
        </w:rPr>
        <w:t>的前提下，尽量精简水文测量的次数和天数。</w:t>
      </w:r>
    </w:p>
    <w:p>
      <w:pPr>
        <w:spacing w:after="0" w:line="285" w:lineRule="auto"/>
        <w:jc w:val="left"/>
        <w:rPr>
          <w:sz w:val="21"/>
        </w:rPr>
        <w:sectPr>
          <w:footerReference w:type="even" r:id="rId26"/>
          <w:footerReference w:type="default" r:id="rId27"/>
          <w:pgSz w:w="11910" w:h="16840"/>
          <w:pgMar w:top="1420" w:right="1500" w:bottom="1180" w:left="1580" w:header="0" w:footer="990"/>
          <w:pgNumType w:start="611"/>
          <w:cols w:space="708"/>
        </w:sectPr>
      </w:pPr>
    </w:p>
    <w:p>
      <w:pPr>
        <w:pStyle w:val="ListParagraph"/>
        <w:numPr>
          <w:ilvl w:val="2"/>
          <w:numId w:val="39"/>
        </w:numPr>
        <w:tabs>
          <w:tab w:val="left" w:pos="849"/>
          <w:tab w:val="left" w:pos="850"/>
        </w:tabs>
        <w:spacing w:before="48" w:after="0" w:line="285" w:lineRule="auto"/>
        <w:ind w:left="220" w:right="192" w:firstLine="0"/>
        <w:jc w:val="left"/>
        <w:rPr>
          <w:sz w:val="21"/>
        </w:rPr>
      </w:pPr>
      <w:r>
        <w:rPr>
          <w:spacing w:val="-2"/>
          <w:sz w:val="21"/>
        </w:rPr>
        <w:t>河流水文调查与水文测量的内容应根据评价等级、河流的规模决定，其中主要有：丰</w:t>
      </w:r>
      <w:r>
        <w:rPr>
          <w:spacing w:val="-19"/>
          <w:sz w:val="21"/>
        </w:rPr>
        <w:t>水期、平水期、枯水期的划分，河流平直及弯曲情况</w:t>
      </w:r>
      <w:r>
        <w:rPr>
          <w:spacing w:val="-2"/>
          <w:sz w:val="21"/>
        </w:rPr>
        <w:t>（如平直段长度或弯曲段的弯曲半径等</w:t>
      </w:r>
      <w:r>
        <w:rPr>
          <w:spacing w:val="-158"/>
          <w:sz w:val="21"/>
        </w:rPr>
        <w:t>）</w:t>
      </w:r>
      <w:r>
        <w:rPr>
          <w:spacing w:val="-2"/>
          <w:sz w:val="21"/>
        </w:rPr>
        <w:t>、</w:t>
      </w:r>
      <w:r>
        <w:rPr>
          <w:spacing w:val="-2"/>
          <w:sz w:val="21"/>
        </w:rPr>
        <w:t>横断面、纵断面（坡度</w:t>
      </w:r>
      <w:r>
        <w:rPr>
          <w:spacing w:val="-105"/>
          <w:sz w:val="21"/>
        </w:rPr>
        <w:t>）</w:t>
      </w:r>
      <w:r>
        <w:rPr>
          <w:spacing w:val="-2"/>
          <w:sz w:val="21"/>
        </w:rPr>
        <w:t>、水位、水深、河宽、流量、流速及其分布、水温、糙率及泥沙含</w:t>
      </w:r>
      <w:r>
        <w:rPr>
          <w:spacing w:val="-6"/>
          <w:sz w:val="21"/>
        </w:rPr>
        <w:t>量等，丰水期有无分流漫滩，枯水期有无浅滩、沙洲和断流，北方河流还应了解结冰、封冻、</w:t>
      </w:r>
      <w:r>
        <w:rPr>
          <w:spacing w:val="-2"/>
          <w:sz w:val="21"/>
        </w:rPr>
        <w:t>解冻等现象。如采用数学模式预测时，其具体调查内容应根据评价等级及河流规模按照</w:t>
      </w:r>
      <w:r>
        <w:rPr>
          <w:spacing w:val="80"/>
          <w:sz w:val="21"/>
        </w:rPr>
        <w:t xml:space="preserve"> </w:t>
      </w:r>
      <w:r>
        <w:rPr>
          <w:rFonts w:ascii="Times New Roman" w:eastAsia="Times New Roman"/>
          <w:spacing w:val="-2"/>
          <w:sz w:val="21"/>
        </w:rPr>
        <w:t>7.6.2</w:t>
      </w:r>
      <w:r>
        <w:rPr>
          <w:spacing w:val="-2"/>
          <w:sz w:val="21"/>
        </w:rPr>
        <w:t>、</w:t>
      </w:r>
      <w:r>
        <w:rPr>
          <w:rFonts w:ascii="Times New Roman" w:eastAsia="Times New Roman"/>
          <w:spacing w:val="-2"/>
          <w:sz w:val="21"/>
        </w:rPr>
        <w:t>7.6.6</w:t>
      </w:r>
      <w:r>
        <w:rPr>
          <w:spacing w:val="-2"/>
          <w:sz w:val="21"/>
        </w:rPr>
        <w:t>、</w:t>
      </w:r>
      <w:r>
        <w:rPr>
          <w:rFonts w:ascii="Times New Roman" w:eastAsia="Times New Roman"/>
          <w:spacing w:val="-2"/>
          <w:sz w:val="21"/>
        </w:rPr>
        <w:t>7.7</w:t>
      </w:r>
      <w:r>
        <w:rPr>
          <w:rFonts w:ascii="Times New Roman" w:eastAsia="Times New Roman"/>
          <w:spacing w:val="-12"/>
          <w:sz w:val="21"/>
        </w:rPr>
        <w:t xml:space="preserve"> </w:t>
      </w:r>
      <w:r>
        <w:rPr>
          <w:spacing w:val="-2"/>
          <w:sz w:val="21"/>
        </w:rPr>
        <w:t>的需要决定。河网地区应调查各河段流向、流速、流量的关系，了解流向、</w:t>
      </w:r>
      <w:r>
        <w:rPr>
          <w:spacing w:val="-2"/>
          <w:sz w:val="21"/>
        </w:rPr>
        <w:t>流速、流量的变化特点。</w:t>
      </w:r>
    </w:p>
    <w:p>
      <w:pPr>
        <w:pStyle w:val="ListParagraph"/>
        <w:numPr>
          <w:ilvl w:val="2"/>
          <w:numId w:val="39"/>
        </w:numPr>
        <w:tabs>
          <w:tab w:val="left" w:pos="850"/>
        </w:tabs>
        <w:spacing w:before="0" w:after="0" w:line="285" w:lineRule="auto"/>
        <w:ind w:left="220" w:right="298" w:firstLine="0"/>
        <w:jc w:val="both"/>
        <w:rPr>
          <w:sz w:val="21"/>
        </w:rPr>
      </w:pPr>
      <w:r>
        <w:rPr>
          <w:spacing w:val="-4"/>
          <w:sz w:val="21"/>
        </w:rPr>
        <w:t>感潮河口的水文调查与水文测量的内容应根据评价等级、河流的规模决定，其中除与</w:t>
      </w:r>
      <w:r>
        <w:rPr>
          <w:spacing w:val="-4"/>
          <w:sz w:val="21"/>
        </w:rPr>
        <w:t>河流相同的内容外，还有：感潮河段的范围，涨潮、落潮及平潮时的水位、水深、流向、流</w:t>
      </w:r>
      <w:r>
        <w:rPr>
          <w:spacing w:val="-4"/>
          <w:sz w:val="21"/>
        </w:rPr>
        <w:t>速及其分布、横断面、水面坡度以及潮间隙、潮差和历时等。如采用数学模式预测时，其具</w:t>
      </w:r>
      <w:r>
        <w:rPr>
          <w:spacing w:val="-2"/>
          <w:sz w:val="21"/>
        </w:rPr>
        <w:t xml:space="preserve">体调查内容应根据评价等级及河流规模按照 </w:t>
      </w:r>
      <w:r>
        <w:rPr>
          <w:rFonts w:ascii="Times New Roman" w:eastAsia="Times New Roman"/>
          <w:sz w:val="21"/>
        </w:rPr>
        <w:t>7.6.3</w:t>
      </w:r>
      <w:r>
        <w:rPr>
          <w:sz w:val="21"/>
        </w:rPr>
        <w:t>、</w:t>
      </w:r>
      <w:r>
        <w:rPr>
          <w:rFonts w:ascii="Times New Roman" w:eastAsia="Times New Roman"/>
          <w:sz w:val="21"/>
        </w:rPr>
        <w:t>7.6.6</w:t>
      </w:r>
      <w:r>
        <w:rPr>
          <w:sz w:val="21"/>
        </w:rPr>
        <w:t>、</w:t>
      </w:r>
      <w:r>
        <w:rPr>
          <w:rFonts w:ascii="Times New Roman" w:eastAsia="Times New Roman"/>
          <w:sz w:val="21"/>
        </w:rPr>
        <w:t xml:space="preserve">7.7 </w:t>
      </w:r>
      <w:r>
        <w:rPr>
          <w:sz w:val="21"/>
        </w:rPr>
        <w:t>的需要决定。</w:t>
      </w:r>
    </w:p>
    <w:p>
      <w:pPr>
        <w:pStyle w:val="ListParagraph"/>
        <w:numPr>
          <w:ilvl w:val="2"/>
          <w:numId w:val="39"/>
        </w:numPr>
        <w:tabs>
          <w:tab w:val="left" w:pos="849"/>
          <w:tab w:val="left" w:pos="850"/>
        </w:tabs>
        <w:spacing w:before="0" w:after="0" w:line="285" w:lineRule="auto"/>
        <w:ind w:left="220" w:right="193" w:firstLine="0"/>
        <w:jc w:val="left"/>
        <w:rPr>
          <w:sz w:val="21"/>
        </w:rPr>
      </w:pPr>
      <w:r>
        <w:rPr>
          <w:spacing w:val="-2"/>
          <w:sz w:val="21"/>
        </w:rPr>
        <w:t>湖泊、水库水文调查与水文测量的内容应根据评价等级、湖泊和水库的规模决定，其</w:t>
      </w:r>
      <w:r>
        <w:rPr>
          <w:spacing w:val="-4"/>
          <w:sz w:val="21"/>
        </w:rPr>
        <w:t>中主要有：湖泊、水库的面积和形状（附平面图</w:t>
      </w:r>
      <w:r>
        <w:rPr>
          <w:spacing w:val="-105"/>
          <w:sz w:val="21"/>
        </w:rPr>
        <w:t>）</w:t>
      </w:r>
      <w:r>
        <w:rPr>
          <w:spacing w:val="-4"/>
          <w:sz w:val="21"/>
        </w:rPr>
        <w:t>，丰水期、平水期、枯水期的划分，流入、</w:t>
      </w:r>
      <w:r>
        <w:rPr>
          <w:spacing w:val="-27"/>
          <w:sz w:val="21"/>
        </w:rPr>
        <w:t>流出的水量，停留时间，水量的调度和贮量，湖泊、水库的水深，水温分层情况及水流状况</w:t>
      </w:r>
      <w:r>
        <w:rPr>
          <w:spacing w:val="-2"/>
          <w:sz w:val="21"/>
        </w:rPr>
        <w:t>（湖</w:t>
      </w:r>
      <w:r>
        <w:rPr>
          <w:spacing w:val="-2"/>
          <w:sz w:val="21"/>
        </w:rPr>
        <w:t>流的流向和流速，环流的流向、流速及稳定时间）等。如采用数学模式预测时，其具体调查</w:t>
      </w:r>
      <w:r>
        <w:rPr>
          <w:spacing w:val="-1"/>
          <w:sz w:val="21"/>
        </w:rPr>
        <w:t xml:space="preserve">内容应根据评价的等级及湖泊、水库的规模按照 </w:t>
      </w:r>
      <w:r>
        <w:rPr>
          <w:rFonts w:ascii="Times New Roman" w:eastAsia="Times New Roman"/>
          <w:sz w:val="21"/>
        </w:rPr>
        <w:t>7.6.4</w:t>
      </w:r>
      <w:r>
        <w:rPr>
          <w:sz w:val="21"/>
        </w:rPr>
        <w:t>、</w:t>
      </w:r>
      <w:r>
        <w:rPr>
          <w:rFonts w:ascii="Times New Roman" w:eastAsia="Times New Roman"/>
          <w:sz w:val="21"/>
        </w:rPr>
        <w:t>7.6.6</w:t>
      </w:r>
      <w:r>
        <w:rPr>
          <w:sz w:val="21"/>
        </w:rPr>
        <w:t>、</w:t>
      </w:r>
      <w:r>
        <w:rPr>
          <w:rFonts w:ascii="Times New Roman" w:eastAsia="Times New Roman"/>
          <w:sz w:val="21"/>
        </w:rPr>
        <w:t xml:space="preserve">7.7 </w:t>
      </w:r>
      <w:r>
        <w:rPr>
          <w:sz w:val="21"/>
        </w:rPr>
        <w:t>的需要决定。</w:t>
      </w:r>
    </w:p>
    <w:p>
      <w:pPr>
        <w:pStyle w:val="ListParagraph"/>
        <w:numPr>
          <w:ilvl w:val="2"/>
          <w:numId w:val="39"/>
        </w:numPr>
        <w:tabs>
          <w:tab w:val="left" w:pos="856"/>
          <w:tab w:val="left" w:pos="857"/>
        </w:tabs>
        <w:spacing w:before="0" w:after="0" w:line="285" w:lineRule="auto"/>
        <w:ind w:left="220" w:right="193" w:firstLine="0"/>
        <w:jc w:val="left"/>
        <w:rPr>
          <w:sz w:val="21"/>
        </w:rPr>
      </w:pPr>
      <w:r>
        <w:rPr>
          <w:spacing w:val="1"/>
          <w:sz w:val="21"/>
        </w:rPr>
        <w:t>海湾水文调查与水文测量的内容应根据评价等级及海湾的特点选择下列全部或部分</w:t>
      </w:r>
      <w:r>
        <w:rPr>
          <w:spacing w:val="-15"/>
          <w:sz w:val="21"/>
        </w:rPr>
        <w:t>内容：海岸形状，海底地形，潮位及水深变化，潮流状况</w:t>
      </w:r>
      <w:r>
        <w:rPr>
          <w:sz w:val="21"/>
        </w:rPr>
        <w:t>（</w:t>
      </w:r>
      <w:r>
        <w:rPr>
          <w:spacing w:val="-1"/>
          <w:sz w:val="21"/>
        </w:rPr>
        <w:t>小潮和大潮循环期间的水流变化、</w:t>
      </w:r>
      <w:r>
        <w:rPr>
          <w:sz w:val="21"/>
        </w:rPr>
        <w:t>平行于海岸线流动的落潮和涨潮</w:t>
      </w:r>
      <w:r>
        <w:rPr>
          <w:spacing w:val="-105"/>
          <w:sz w:val="21"/>
        </w:rPr>
        <w:t>）</w:t>
      </w:r>
      <w:r>
        <w:rPr>
          <w:sz w:val="21"/>
        </w:rPr>
        <w:t>，流入的河水流量、盐度和温度造成的分层情况，水温、</w:t>
      </w:r>
      <w:r>
        <w:rPr>
          <w:spacing w:val="-5"/>
          <w:sz w:val="21"/>
        </w:rPr>
        <w:t>波浪的情况以及内海水与外海水的交换周期等。如采用数学模式预测时，其具体调查内容应</w:t>
      </w:r>
      <w:r>
        <w:rPr>
          <w:spacing w:val="-9"/>
          <w:sz w:val="21"/>
        </w:rPr>
        <w:t xml:space="preserve">根据评价等级及海湾特点按照 </w:t>
      </w:r>
      <w:r>
        <w:rPr>
          <w:rFonts w:ascii="Times New Roman" w:eastAsia="Times New Roman"/>
          <w:sz w:val="21"/>
        </w:rPr>
        <w:t>7.6.5</w:t>
      </w:r>
      <w:r>
        <w:rPr>
          <w:sz w:val="21"/>
        </w:rPr>
        <w:t>、</w:t>
      </w:r>
      <w:r>
        <w:rPr>
          <w:rFonts w:ascii="Times New Roman" w:eastAsia="Times New Roman"/>
          <w:sz w:val="21"/>
        </w:rPr>
        <w:t>7.6.6</w:t>
      </w:r>
      <w:r>
        <w:rPr>
          <w:sz w:val="21"/>
        </w:rPr>
        <w:t>、</w:t>
      </w:r>
      <w:r>
        <w:rPr>
          <w:rFonts w:ascii="Times New Roman" w:eastAsia="Times New Roman"/>
          <w:sz w:val="21"/>
        </w:rPr>
        <w:t xml:space="preserve">7.7 </w:t>
      </w:r>
      <w:r>
        <w:rPr>
          <w:sz w:val="21"/>
        </w:rPr>
        <w:t>的需要决定。</w:t>
      </w:r>
    </w:p>
    <w:p>
      <w:pPr>
        <w:pStyle w:val="ListParagraph"/>
        <w:numPr>
          <w:ilvl w:val="2"/>
          <w:numId w:val="39"/>
        </w:numPr>
        <w:tabs>
          <w:tab w:val="left" w:pos="849"/>
          <w:tab w:val="left" w:pos="850"/>
        </w:tabs>
        <w:spacing w:before="0" w:after="0" w:line="268" w:lineRule="exact"/>
        <w:ind w:left="850" w:right="0" w:hanging="630"/>
        <w:jc w:val="left"/>
        <w:rPr>
          <w:sz w:val="21"/>
        </w:rPr>
      </w:pPr>
      <w:r>
        <w:rPr>
          <w:spacing w:val="-4"/>
          <w:sz w:val="21"/>
        </w:rPr>
        <w:t>需要预测建设项目的面源污染时，应调查历年的降雨资料，并根据预测的需要（</w:t>
      </w:r>
      <w:r>
        <w:rPr>
          <w:spacing w:val="-7"/>
          <w:sz w:val="21"/>
        </w:rPr>
        <w:t>参见</w:t>
      </w:r>
    </w:p>
    <w:p>
      <w:pPr>
        <w:pStyle w:val="BodyText"/>
        <w:spacing w:before="48"/>
        <w:ind w:left="220"/>
      </w:pPr>
      <w:r>
        <w:rPr>
          <w:rFonts w:ascii="Times New Roman" w:eastAsia="Times New Roman"/>
        </w:rPr>
        <w:t>7.7</w:t>
      </w:r>
      <w:r>
        <w:t>）</w:t>
      </w:r>
      <w:r>
        <w:rPr>
          <w:spacing w:val="-2"/>
        </w:rPr>
        <w:t>对资料统计分析。</w:t>
      </w:r>
    </w:p>
    <w:p>
      <w:pPr>
        <w:pStyle w:val="ListParagraph"/>
        <w:numPr>
          <w:ilvl w:val="2"/>
          <w:numId w:val="39"/>
        </w:numPr>
        <w:tabs>
          <w:tab w:val="left" w:pos="849"/>
          <w:tab w:val="left" w:pos="850"/>
        </w:tabs>
        <w:spacing w:before="51" w:after="0" w:line="240" w:lineRule="auto"/>
        <w:ind w:left="850" w:right="0" w:hanging="630"/>
        <w:jc w:val="left"/>
        <w:rPr>
          <w:sz w:val="21"/>
        </w:rPr>
      </w:pPr>
      <w:r>
        <w:rPr>
          <w:spacing w:val="-12"/>
          <w:sz w:val="21"/>
        </w:rPr>
        <w:t>水文测量的测点位置暂时按照《水文测验手册第一册野外工作篇》</w:t>
      </w:r>
      <w:r>
        <w:rPr>
          <w:sz w:val="21"/>
        </w:rPr>
        <w:t>（</w:t>
      </w:r>
      <w:r>
        <w:rPr>
          <w:spacing w:val="-2"/>
          <w:sz w:val="21"/>
        </w:rPr>
        <w:t>水利电力出版社，</w:t>
      </w:r>
    </w:p>
    <w:p>
      <w:pPr>
        <w:pStyle w:val="BodyText"/>
        <w:spacing w:before="51" w:line="285" w:lineRule="auto"/>
        <w:ind w:left="220" w:right="298"/>
      </w:pPr>
      <w:r>
        <w:rPr>
          <w:rFonts w:ascii="Times New Roman" w:eastAsia="Times New Roman"/>
        </w:rPr>
        <w:t>1975</w:t>
      </w:r>
      <w:r>
        <w:rPr>
          <w:rFonts w:ascii="Times New Roman" w:eastAsia="Times New Roman"/>
          <w:spacing w:val="-12"/>
        </w:rPr>
        <w:t xml:space="preserve"> </w:t>
      </w:r>
      <w:r>
        <w:t>年）中规定的原则，在各类水域的取样位置中选定（</w:t>
      </w:r>
      <w:r>
        <w:rPr>
          <w:spacing w:val="-18"/>
        </w:rPr>
        <w:t xml:space="preserve">参见 </w:t>
      </w:r>
      <w:r>
        <w:rPr>
          <w:rFonts w:ascii="Times New Roman" w:eastAsia="Times New Roman"/>
        </w:rPr>
        <w:t>6.5.4</w:t>
      </w:r>
      <w:r>
        <w:rPr>
          <w:rFonts w:ascii="Times New Roman" w:eastAsia="Times New Roman"/>
          <w:spacing w:val="40"/>
        </w:rPr>
        <w:t xml:space="preserve"> </w:t>
      </w:r>
      <w:r>
        <w:rPr>
          <w:spacing w:val="-105"/>
        </w:rPr>
        <w:t>）</w:t>
      </w:r>
      <w:r>
        <w:t>，待规范发布后，执</w:t>
      </w:r>
      <w:r>
        <w:rPr>
          <w:spacing w:val="-2"/>
        </w:rPr>
        <w:t>行规范。水文测量的测点一般应等于或少于水质调查的取样位置（或断面</w:t>
      </w:r>
      <w:r>
        <w:rPr>
          <w:spacing w:val="-105"/>
        </w:rPr>
        <w:t>）</w:t>
      </w:r>
      <w:r>
        <w:rPr>
          <w:spacing w:val="-2"/>
        </w:rPr>
        <w:t>。</w:t>
      </w:r>
    </w:p>
    <w:p>
      <w:pPr>
        <w:pStyle w:val="ListParagraph"/>
        <w:numPr>
          <w:ilvl w:val="2"/>
          <w:numId w:val="39"/>
        </w:numPr>
        <w:tabs>
          <w:tab w:val="left" w:pos="849"/>
          <w:tab w:val="left" w:pos="850"/>
        </w:tabs>
        <w:spacing w:before="0" w:after="0" w:line="285" w:lineRule="auto"/>
        <w:ind w:left="220" w:right="310" w:firstLine="0"/>
        <w:jc w:val="left"/>
        <w:rPr>
          <w:sz w:val="21"/>
        </w:rPr>
      </w:pPr>
      <w:r>
        <w:rPr>
          <w:spacing w:val="-6"/>
          <w:sz w:val="21"/>
        </w:rPr>
        <w:t>水文参数的测量应采用水利电力部颁布的《水文测验规范》</w:t>
      </w:r>
      <w:r>
        <w:rPr>
          <w:spacing w:val="-2"/>
          <w:sz w:val="21"/>
        </w:rPr>
        <w:t>（水利电力出版社，</w:t>
      </w:r>
      <w:r>
        <w:rPr>
          <w:rFonts w:ascii="Times New Roman" w:eastAsia="Times New Roman"/>
          <w:spacing w:val="-2"/>
          <w:sz w:val="21"/>
        </w:rPr>
        <w:t>197</w:t>
      </w:r>
      <w:r>
        <w:rPr>
          <w:rFonts w:ascii="Times New Roman" w:eastAsia="Times New Roman"/>
          <w:spacing w:val="-2"/>
          <w:sz w:val="21"/>
        </w:rPr>
        <w:t>5</w:t>
      </w:r>
      <w:r>
        <w:rPr>
          <w:sz w:val="21"/>
        </w:rPr>
        <w:t>年）</w:t>
      </w:r>
      <w:r>
        <w:rPr>
          <w:spacing w:val="-7"/>
          <w:sz w:val="21"/>
        </w:rPr>
        <w:t>和《水文测验手册第一册野外工作篇》</w:t>
      </w:r>
      <w:r>
        <w:rPr>
          <w:sz w:val="21"/>
        </w:rPr>
        <w:t>（水利电力出版社，</w:t>
      </w:r>
      <w:r>
        <w:rPr>
          <w:rFonts w:ascii="Times New Roman" w:eastAsia="Times New Roman"/>
          <w:sz w:val="21"/>
        </w:rPr>
        <w:t xml:space="preserve">1975 </w:t>
      </w:r>
      <w:r>
        <w:rPr>
          <w:sz w:val="21"/>
        </w:rPr>
        <w:t>年）中规定的方法。</w:t>
      </w:r>
    </w:p>
    <w:p>
      <w:pPr>
        <w:pStyle w:val="ListParagraph"/>
        <w:numPr>
          <w:ilvl w:val="1"/>
          <w:numId w:val="39"/>
        </w:numPr>
        <w:tabs>
          <w:tab w:val="left" w:pos="692"/>
          <w:tab w:val="left" w:pos="693"/>
        </w:tabs>
        <w:spacing w:before="0" w:after="0" w:line="269" w:lineRule="exact"/>
        <w:ind w:left="692" w:right="0" w:hanging="473"/>
        <w:jc w:val="left"/>
        <w:rPr>
          <w:sz w:val="21"/>
        </w:rPr>
      </w:pPr>
      <w:r>
        <w:rPr>
          <w:spacing w:val="-2"/>
          <w:sz w:val="21"/>
        </w:rPr>
        <w:t>现有污染源调查</w:t>
      </w:r>
    </w:p>
    <w:p>
      <w:pPr>
        <w:pStyle w:val="ListParagraph"/>
        <w:numPr>
          <w:ilvl w:val="2"/>
          <w:numId w:val="39"/>
        </w:numPr>
        <w:tabs>
          <w:tab w:val="left" w:pos="849"/>
          <w:tab w:val="left" w:pos="850"/>
        </w:tabs>
        <w:spacing w:before="50" w:after="0" w:line="240" w:lineRule="auto"/>
        <w:ind w:left="850" w:right="0" w:hanging="630"/>
        <w:jc w:val="left"/>
        <w:rPr>
          <w:sz w:val="21"/>
        </w:rPr>
      </w:pPr>
      <w:r>
        <w:rPr>
          <w:spacing w:val="-2"/>
          <w:sz w:val="21"/>
        </w:rPr>
        <w:t>现有污染源分类</w:t>
      </w:r>
    </w:p>
    <w:p>
      <w:pPr>
        <w:pStyle w:val="BodyText"/>
        <w:spacing w:before="51" w:line="285" w:lineRule="auto"/>
        <w:ind w:left="220" w:right="205" w:firstLine="420"/>
      </w:pPr>
      <w:r>
        <w:rPr>
          <w:spacing w:val="-2"/>
        </w:rPr>
        <w:t>在调查范围内能对地面水环境产生影响的主要污染源均应进行调查。污染源包括两类：</w:t>
      </w:r>
      <w:r>
        <w:rPr>
          <w:spacing w:val="-2"/>
        </w:rPr>
        <w:t>点污染源（简称点源）和非点污染源（简称非点源或面源</w:t>
      </w:r>
      <w:r>
        <w:rPr>
          <w:spacing w:val="-105"/>
        </w:rPr>
        <w:t>）</w:t>
      </w:r>
      <w:r>
        <w:rPr>
          <w:spacing w:val="-2"/>
        </w:rPr>
        <w:t>。</w:t>
      </w:r>
    </w:p>
    <w:p>
      <w:pPr>
        <w:pStyle w:val="ListParagraph"/>
        <w:numPr>
          <w:ilvl w:val="2"/>
          <w:numId w:val="39"/>
        </w:numPr>
        <w:tabs>
          <w:tab w:val="left" w:pos="849"/>
          <w:tab w:val="left" w:pos="850"/>
        </w:tabs>
        <w:spacing w:before="0" w:after="0" w:line="269" w:lineRule="exact"/>
        <w:ind w:left="850" w:right="0" w:hanging="630"/>
        <w:jc w:val="left"/>
        <w:rPr>
          <w:sz w:val="21"/>
        </w:rPr>
      </w:pPr>
      <w:r>
        <w:rPr>
          <w:spacing w:val="-2"/>
          <w:sz w:val="21"/>
        </w:rPr>
        <w:t>点源的调查</w:t>
      </w:r>
    </w:p>
    <w:p>
      <w:pPr>
        <w:pStyle w:val="ListParagraph"/>
        <w:numPr>
          <w:ilvl w:val="3"/>
          <w:numId w:val="39"/>
        </w:numPr>
        <w:tabs>
          <w:tab w:val="left" w:pos="1007"/>
          <w:tab w:val="left" w:pos="1008"/>
        </w:tabs>
        <w:spacing w:before="51" w:after="0" w:line="240" w:lineRule="auto"/>
        <w:ind w:left="1007" w:right="0" w:hanging="788"/>
        <w:jc w:val="left"/>
        <w:rPr>
          <w:sz w:val="21"/>
        </w:rPr>
      </w:pPr>
      <w:r>
        <w:rPr>
          <w:spacing w:val="-2"/>
          <w:sz w:val="21"/>
        </w:rPr>
        <w:t>点源调查的原则</w:t>
      </w:r>
    </w:p>
    <w:p>
      <w:pPr>
        <w:pStyle w:val="ListParagraph"/>
        <w:numPr>
          <w:ilvl w:val="4"/>
          <w:numId w:val="39"/>
        </w:numPr>
        <w:tabs>
          <w:tab w:val="left" w:pos="893"/>
        </w:tabs>
        <w:spacing w:before="51" w:after="0" w:line="285" w:lineRule="auto"/>
        <w:ind w:left="220" w:right="298" w:firstLine="420"/>
        <w:jc w:val="both"/>
        <w:rPr>
          <w:sz w:val="21"/>
        </w:rPr>
      </w:pPr>
      <w:r>
        <w:rPr>
          <w:spacing w:val="-2"/>
          <w:sz w:val="21"/>
        </w:rPr>
        <w:t>以搜集现有资料为主，只有在十分必要时才补充现场调查和现场测试。例如在评价</w:t>
      </w:r>
      <w:r>
        <w:rPr>
          <w:spacing w:val="-2"/>
          <w:sz w:val="21"/>
        </w:rPr>
        <w:t>改、扩建项目时，对此项目改、扩建前的污染源应详细了解，常需现场调查或测试。</w:t>
      </w:r>
    </w:p>
    <w:p>
      <w:pPr>
        <w:pStyle w:val="ListParagraph"/>
        <w:numPr>
          <w:ilvl w:val="4"/>
          <w:numId w:val="39"/>
        </w:numPr>
        <w:tabs>
          <w:tab w:val="left" w:pos="905"/>
        </w:tabs>
        <w:spacing w:before="0" w:after="0" w:line="285" w:lineRule="auto"/>
        <w:ind w:left="220" w:right="298" w:firstLine="420"/>
        <w:jc w:val="both"/>
        <w:rPr>
          <w:sz w:val="21"/>
        </w:rPr>
      </w:pPr>
      <w:r>
        <w:rPr>
          <w:spacing w:val="-2"/>
          <w:sz w:val="21"/>
        </w:rPr>
        <w:t>点源调查的繁简程度可根据评价级别及其与建设项目的关系而略有不同。如评价级</w:t>
      </w:r>
      <w:r>
        <w:rPr>
          <w:spacing w:val="-6"/>
          <w:sz w:val="21"/>
        </w:rPr>
        <w:t>别较高且现有污染源与建设项目距离较近时应详细调查，例如位于建设项目的排水与受纳河</w:t>
      </w:r>
      <w:r>
        <w:rPr>
          <w:spacing w:val="-2"/>
          <w:sz w:val="21"/>
        </w:rPr>
        <w:t>流的混合过程段以内，并对预测计算可能有影响的情况。</w:t>
      </w:r>
    </w:p>
    <w:p>
      <w:pPr>
        <w:pStyle w:val="ListParagraph"/>
        <w:numPr>
          <w:ilvl w:val="3"/>
          <w:numId w:val="39"/>
        </w:numPr>
        <w:tabs>
          <w:tab w:val="left" w:pos="1007"/>
          <w:tab w:val="left" w:pos="1008"/>
        </w:tabs>
        <w:spacing w:before="0" w:after="0" w:line="269" w:lineRule="exact"/>
        <w:ind w:left="1007" w:right="0" w:hanging="788"/>
        <w:jc w:val="left"/>
        <w:rPr>
          <w:sz w:val="21"/>
        </w:rPr>
      </w:pPr>
      <w:r>
        <w:rPr>
          <w:spacing w:val="-2"/>
          <w:sz w:val="21"/>
        </w:rPr>
        <w:t>点源调查的内容</w:t>
      </w:r>
    </w:p>
    <w:p>
      <w:pPr>
        <w:pStyle w:val="BodyText"/>
        <w:spacing w:before="51"/>
        <w:ind w:left="640"/>
      </w:pPr>
      <w:r>
        <w:rPr>
          <w:spacing w:val="-1"/>
        </w:rPr>
        <w:t>根据评价工作的需要选择下述全部或部分内容进行调查。有些调查内容可以列成表格</w:t>
      </w:r>
    </w:p>
    <w:p>
      <w:pPr>
        <w:pStyle w:val="BodyText"/>
        <w:spacing w:before="50"/>
        <w:ind w:left="220"/>
      </w:pPr>
      <w:r>
        <w:t>（</w:t>
      </w:r>
      <w:r>
        <w:rPr>
          <w:spacing w:val="-6"/>
        </w:rPr>
        <w:t xml:space="preserve">表格形式可参考附录 </w:t>
      </w:r>
      <w:r>
        <w:rPr>
          <w:rFonts w:ascii="Times New Roman" w:eastAsia="Times New Roman"/>
        </w:rPr>
        <w:t>B</w:t>
      </w:r>
      <w:r>
        <w:rPr>
          <w:spacing w:val="-105"/>
        </w:rPr>
        <w:t>）</w:t>
      </w:r>
      <w:r>
        <w:rPr>
          <w:spacing w:val="-12"/>
        </w:rPr>
        <w:t>。</w:t>
      </w:r>
    </w:p>
    <w:p>
      <w:pPr>
        <w:pStyle w:val="ListParagraph"/>
        <w:numPr>
          <w:ilvl w:val="4"/>
          <w:numId w:val="39"/>
        </w:numPr>
        <w:tabs>
          <w:tab w:val="left" w:pos="891"/>
        </w:tabs>
        <w:spacing w:before="51" w:after="0" w:line="240" w:lineRule="auto"/>
        <w:ind w:left="890" w:right="0" w:hanging="251"/>
        <w:jc w:val="left"/>
        <w:rPr>
          <w:sz w:val="21"/>
        </w:rPr>
      </w:pPr>
      <w:r>
        <w:rPr>
          <w:spacing w:val="-2"/>
          <w:sz w:val="21"/>
        </w:rPr>
        <w:t>点源的排放：</w:t>
      </w:r>
    </w:p>
    <w:p>
      <w:pPr>
        <w:spacing w:after="0" w:line="240" w:lineRule="auto"/>
        <w:jc w:val="left"/>
        <w:rPr>
          <w:sz w:val="21"/>
        </w:rPr>
        <w:sectPr>
          <w:footerReference w:type="even" r:id="rId28"/>
          <w:footerReference w:type="default" r:id="rId29"/>
          <w:pgSz w:w="11910" w:h="16840"/>
          <w:pgMar w:top="1420" w:right="1500" w:bottom="1180" w:left="1580" w:header="0" w:footer="990"/>
          <w:pgNumType w:start="612"/>
          <w:cols w:space="708"/>
        </w:sectPr>
      </w:pPr>
    </w:p>
    <w:p>
      <w:pPr>
        <w:pStyle w:val="BodyText"/>
        <w:spacing w:before="48" w:line="285" w:lineRule="auto"/>
        <w:ind w:left="640" w:right="2935"/>
      </w:pPr>
      <w:r>
        <w:rPr>
          <w:spacing w:val="-2"/>
        </w:rPr>
        <w:t>排放口的平面位置（附污染源平面位置图）及排放方向；</w:t>
      </w:r>
      <w:r>
        <w:rPr>
          <w:spacing w:val="-2"/>
        </w:rPr>
        <w:t>排放口在断面上的位置；</w:t>
      </w:r>
    </w:p>
    <w:p>
      <w:pPr>
        <w:pStyle w:val="BodyText"/>
        <w:spacing w:line="269" w:lineRule="exact"/>
        <w:ind w:left="640"/>
      </w:pPr>
      <w:r>
        <w:rPr>
          <w:spacing w:val="-1"/>
        </w:rPr>
        <w:t>排放形式：分散排放还是集中排放。</w:t>
      </w:r>
    </w:p>
    <w:p>
      <w:pPr>
        <w:pStyle w:val="ListParagraph"/>
        <w:numPr>
          <w:ilvl w:val="4"/>
          <w:numId w:val="39"/>
        </w:numPr>
        <w:tabs>
          <w:tab w:val="left" w:pos="905"/>
        </w:tabs>
        <w:spacing w:before="51" w:after="0" w:line="285" w:lineRule="auto"/>
        <w:ind w:left="220" w:right="298" w:firstLine="420"/>
        <w:jc w:val="left"/>
        <w:rPr>
          <w:sz w:val="21"/>
        </w:rPr>
      </w:pPr>
      <w:r>
        <w:rPr>
          <w:spacing w:val="-2"/>
          <w:sz w:val="21"/>
        </w:rPr>
        <w:t>排放数据：根据现有的实测数据、统计报表以及各厂矿的工艺路线等选定的主要水</w:t>
      </w:r>
      <w:r>
        <w:rPr>
          <w:spacing w:val="-2"/>
          <w:sz w:val="21"/>
        </w:rPr>
        <w:t>质参数，并调查现有的排放量、排放速度、排放浓度及其变化等数据。</w:t>
      </w:r>
    </w:p>
    <w:p>
      <w:pPr>
        <w:pStyle w:val="ListParagraph"/>
        <w:numPr>
          <w:ilvl w:val="4"/>
          <w:numId w:val="39"/>
        </w:numPr>
        <w:tabs>
          <w:tab w:val="left" w:pos="891"/>
        </w:tabs>
        <w:spacing w:before="0" w:after="0" w:line="269" w:lineRule="exact"/>
        <w:ind w:left="890" w:right="0" w:hanging="251"/>
        <w:jc w:val="left"/>
        <w:rPr>
          <w:sz w:val="21"/>
        </w:rPr>
      </w:pPr>
      <w:r>
        <w:rPr>
          <w:spacing w:val="-1"/>
          <w:sz w:val="21"/>
        </w:rPr>
        <w:t>用排水状况：主要调查取水量、用水量、循环水量及排水总量等。</w:t>
      </w:r>
    </w:p>
    <w:p>
      <w:pPr>
        <w:pStyle w:val="ListParagraph"/>
        <w:numPr>
          <w:ilvl w:val="4"/>
          <w:numId w:val="39"/>
        </w:numPr>
        <w:tabs>
          <w:tab w:val="left" w:pos="905"/>
        </w:tabs>
        <w:spacing w:before="51" w:after="0" w:line="285" w:lineRule="auto"/>
        <w:ind w:left="220" w:right="298" w:firstLine="420"/>
        <w:jc w:val="left"/>
        <w:rPr>
          <w:sz w:val="21"/>
        </w:rPr>
      </w:pPr>
      <w:r>
        <w:rPr>
          <w:spacing w:val="-2"/>
          <w:sz w:val="21"/>
        </w:rPr>
        <w:t>厂矿企业、事业单位的废、污水处理状况：主要调查废、污水的处理设备、处理效</w:t>
      </w:r>
      <w:r>
        <w:rPr>
          <w:spacing w:val="-2"/>
          <w:sz w:val="21"/>
        </w:rPr>
        <w:t>率、处理水量及事故状况等。</w:t>
      </w:r>
    </w:p>
    <w:p>
      <w:pPr>
        <w:pStyle w:val="ListParagraph"/>
        <w:numPr>
          <w:ilvl w:val="2"/>
          <w:numId w:val="39"/>
        </w:numPr>
        <w:tabs>
          <w:tab w:val="left" w:pos="849"/>
          <w:tab w:val="left" w:pos="850"/>
        </w:tabs>
        <w:spacing w:before="0" w:after="0" w:line="269" w:lineRule="exact"/>
        <w:ind w:left="850" w:right="0" w:hanging="630"/>
        <w:jc w:val="left"/>
        <w:rPr>
          <w:sz w:val="21"/>
        </w:rPr>
      </w:pPr>
      <w:r>
        <w:rPr>
          <w:spacing w:val="-2"/>
          <w:sz w:val="21"/>
        </w:rPr>
        <w:t>非点源的调查</w:t>
      </w:r>
    </w:p>
    <w:p>
      <w:pPr>
        <w:pStyle w:val="ListParagraph"/>
        <w:numPr>
          <w:ilvl w:val="3"/>
          <w:numId w:val="39"/>
        </w:numPr>
        <w:tabs>
          <w:tab w:val="left" w:pos="1007"/>
          <w:tab w:val="left" w:pos="1008"/>
        </w:tabs>
        <w:spacing w:before="51" w:after="0" w:line="240" w:lineRule="auto"/>
        <w:ind w:left="1007" w:right="0" w:hanging="788"/>
        <w:jc w:val="left"/>
        <w:rPr>
          <w:sz w:val="21"/>
        </w:rPr>
      </w:pPr>
      <w:r>
        <w:rPr>
          <w:spacing w:val="-2"/>
          <w:sz w:val="21"/>
        </w:rPr>
        <w:t>非点源调查的原则</w:t>
      </w:r>
    </w:p>
    <w:p>
      <w:pPr>
        <w:pStyle w:val="BodyText"/>
        <w:spacing w:before="50"/>
        <w:ind w:left="640"/>
      </w:pPr>
      <w:r>
        <w:rPr>
          <w:spacing w:val="-1"/>
        </w:rPr>
        <w:t>非点源调查基本上采用间接搜集资料的方法，一般不进行实测。</w:t>
      </w:r>
    </w:p>
    <w:p>
      <w:pPr>
        <w:pStyle w:val="ListParagraph"/>
        <w:numPr>
          <w:ilvl w:val="3"/>
          <w:numId w:val="39"/>
        </w:numPr>
        <w:tabs>
          <w:tab w:val="left" w:pos="1007"/>
          <w:tab w:val="left" w:pos="1008"/>
        </w:tabs>
        <w:spacing w:before="51" w:after="0" w:line="240" w:lineRule="auto"/>
        <w:ind w:left="1007" w:right="0" w:hanging="788"/>
        <w:jc w:val="left"/>
        <w:rPr>
          <w:sz w:val="21"/>
        </w:rPr>
      </w:pPr>
      <w:r>
        <w:rPr>
          <w:spacing w:val="-2"/>
          <w:sz w:val="21"/>
        </w:rPr>
        <w:t>非点源调查的内容</w:t>
      </w:r>
    </w:p>
    <w:p>
      <w:pPr>
        <w:pStyle w:val="BodyText"/>
        <w:spacing w:before="51"/>
        <w:ind w:left="640"/>
      </w:pPr>
      <w:r>
        <w:rPr>
          <w:spacing w:val="-1"/>
        </w:rPr>
        <w:t>根据评价工作的需要选择下述全部或部分内容进行调查。</w:t>
      </w:r>
    </w:p>
    <w:p>
      <w:pPr>
        <w:pStyle w:val="ListParagraph"/>
        <w:numPr>
          <w:ilvl w:val="4"/>
          <w:numId w:val="39"/>
        </w:numPr>
        <w:tabs>
          <w:tab w:val="left" w:pos="893"/>
        </w:tabs>
        <w:spacing w:before="51" w:after="0" w:line="285" w:lineRule="auto"/>
        <w:ind w:left="220" w:right="205" w:firstLine="420"/>
        <w:jc w:val="left"/>
        <w:rPr>
          <w:sz w:val="21"/>
        </w:rPr>
      </w:pPr>
      <w:r>
        <w:rPr>
          <w:spacing w:val="1"/>
          <w:sz w:val="21"/>
        </w:rPr>
        <w:t>概况：原料、燃料、废料、废弃物的堆放位置</w:t>
      </w:r>
      <w:r>
        <w:rPr>
          <w:spacing w:val="2"/>
          <w:sz w:val="21"/>
        </w:rPr>
        <w:t>（</w:t>
      </w:r>
      <w:r>
        <w:rPr>
          <w:sz w:val="21"/>
        </w:rPr>
        <w:t>即主要污染源，要求附污染源平面位置图</w:t>
      </w:r>
      <w:r>
        <w:rPr>
          <w:spacing w:val="-105"/>
          <w:sz w:val="21"/>
        </w:rPr>
        <w:t>）</w:t>
      </w:r>
      <w:r>
        <w:rPr>
          <w:sz w:val="21"/>
        </w:rPr>
        <w:t>、堆放面积、堆放形式（几何形状、堆放厚度</w:t>
      </w:r>
      <w:r>
        <w:rPr>
          <w:spacing w:val="-105"/>
          <w:sz w:val="21"/>
        </w:rPr>
        <w:t>）</w:t>
      </w:r>
      <w:r>
        <w:rPr>
          <w:spacing w:val="-2"/>
          <w:sz w:val="21"/>
        </w:rPr>
        <w:t>、堆放点的地面铺装及其保洁程度、</w:t>
      </w:r>
      <w:r>
        <w:rPr>
          <w:sz w:val="21"/>
        </w:rPr>
        <w:t>堆放物的遮盖方式等。</w:t>
      </w:r>
    </w:p>
    <w:p>
      <w:pPr>
        <w:pStyle w:val="ListParagraph"/>
        <w:numPr>
          <w:ilvl w:val="4"/>
          <w:numId w:val="39"/>
        </w:numPr>
        <w:tabs>
          <w:tab w:val="left" w:pos="905"/>
        </w:tabs>
        <w:spacing w:before="0" w:after="0" w:line="285" w:lineRule="auto"/>
        <w:ind w:left="220" w:right="298" w:firstLine="420"/>
        <w:jc w:val="both"/>
        <w:rPr>
          <w:sz w:val="21"/>
        </w:rPr>
      </w:pPr>
      <w:r>
        <w:rPr>
          <w:spacing w:val="-2"/>
          <w:sz w:val="21"/>
        </w:rPr>
        <w:t>排放方式、排放去向与处理情况：应说明非点源污染物是有组织的汇集还是无组织</w:t>
      </w:r>
      <w:r>
        <w:rPr>
          <w:spacing w:val="-4"/>
          <w:sz w:val="21"/>
        </w:rPr>
        <w:t>的漫流；是集中后直接排放还是处理后排放；是单独排放还是与生产废水或生活污水共同排</w:t>
      </w:r>
      <w:r>
        <w:rPr>
          <w:spacing w:val="-4"/>
          <w:sz w:val="21"/>
        </w:rPr>
        <w:t>放等。</w:t>
      </w:r>
    </w:p>
    <w:p>
      <w:pPr>
        <w:pStyle w:val="ListParagraph"/>
        <w:numPr>
          <w:ilvl w:val="4"/>
          <w:numId w:val="39"/>
        </w:numPr>
        <w:tabs>
          <w:tab w:val="left" w:pos="893"/>
        </w:tabs>
        <w:spacing w:before="0" w:after="0" w:line="285" w:lineRule="auto"/>
        <w:ind w:left="220" w:right="192" w:firstLine="420"/>
        <w:jc w:val="left"/>
        <w:rPr>
          <w:sz w:val="21"/>
        </w:rPr>
      </w:pPr>
      <w:r>
        <w:rPr>
          <w:sz w:val="21"/>
        </w:rPr>
        <w:t>排放数据：根据现有实测数据、统计报表以及根据引起非点源污染的原料、燃料、</w:t>
      </w:r>
      <w:r>
        <w:rPr>
          <w:spacing w:val="-16"/>
          <w:sz w:val="21"/>
        </w:rPr>
        <w:t>废料、废弃物的物理、化学、生物化学性质选定调查的主要水质参数，并调查有关排放季节、</w:t>
      </w:r>
      <w:r>
        <w:rPr>
          <w:sz w:val="21"/>
        </w:rPr>
        <w:t>排放时期、排放量、排放浓度及其变化等数据。</w:t>
      </w:r>
    </w:p>
    <w:p>
      <w:pPr>
        <w:pStyle w:val="ListParagraph"/>
        <w:numPr>
          <w:ilvl w:val="2"/>
          <w:numId w:val="39"/>
        </w:numPr>
        <w:tabs>
          <w:tab w:val="left" w:pos="849"/>
          <w:tab w:val="left" w:pos="850"/>
        </w:tabs>
        <w:spacing w:before="0" w:after="0" w:line="285" w:lineRule="auto"/>
        <w:ind w:left="220" w:right="298" w:firstLine="0"/>
        <w:jc w:val="left"/>
        <w:rPr>
          <w:sz w:val="21"/>
        </w:rPr>
      </w:pPr>
      <w:r>
        <w:rPr>
          <w:spacing w:val="-4"/>
          <w:sz w:val="21"/>
        </w:rPr>
        <w:t>在通过搜集或实测以取得污染源资料时，应注意其与受纳水域的水文、水质特点之间</w:t>
      </w:r>
      <w:r>
        <w:rPr>
          <w:spacing w:val="-2"/>
          <w:sz w:val="21"/>
        </w:rPr>
        <w:t>的关系，以便了解这些污染物在水体中的自净情况。</w:t>
      </w:r>
    </w:p>
    <w:p>
      <w:pPr>
        <w:pStyle w:val="ListParagraph"/>
        <w:numPr>
          <w:ilvl w:val="2"/>
          <w:numId w:val="39"/>
        </w:numPr>
        <w:tabs>
          <w:tab w:val="left" w:pos="849"/>
          <w:tab w:val="left" w:pos="850"/>
        </w:tabs>
        <w:spacing w:before="0" w:after="0" w:line="269" w:lineRule="exact"/>
        <w:ind w:left="850" w:right="0" w:hanging="630"/>
        <w:jc w:val="left"/>
        <w:rPr>
          <w:sz w:val="21"/>
        </w:rPr>
      </w:pPr>
      <w:r>
        <w:rPr>
          <w:spacing w:val="-1"/>
          <w:sz w:val="21"/>
        </w:rPr>
        <w:t>污染源的取样方法和水样的分析方法</w:t>
      </w:r>
    </w:p>
    <w:p>
      <w:pPr>
        <w:pStyle w:val="ListParagraph"/>
        <w:numPr>
          <w:ilvl w:val="3"/>
          <w:numId w:val="39"/>
        </w:numPr>
        <w:tabs>
          <w:tab w:val="left" w:pos="1034"/>
          <w:tab w:val="left" w:pos="1035"/>
        </w:tabs>
        <w:spacing w:before="50" w:after="0" w:line="240" w:lineRule="auto"/>
        <w:ind w:left="1034" w:right="0" w:hanging="815"/>
        <w:jc w:val="left"/>
        <w:rPr>
          <w:rFonts w:ascii="Times New Roman" w:eastAsia="Times New Roman"/>
          <w:sz w:val="21"/>
        </w:rPr>
      </w:pPr>
      <w:r>
        <w:rPr>
          <w:spacing w:val="13"/>
          <w:sz w:val="21"/>
        </w:rPr>
        <w:t>河流、河口和湖泊（水库）</w:t>
      </w:r>
      <w:r>
        <w:rPr>
          <w:spacing w:val="9"/>
          <w:sz w:val="21"/>
        </w:rPr>
        <w:t xml:space="preserve">沿岸污染源的取样方法和水样分析方法，按照 </w:t>
      </w:r>
      <w:r>
        <w:rPr>
          <w:rFonts w:ascii="Times New Roman" w:eastAsia="Times New Roman"/>
          <w:spacing w:val="-5"/>
          <w:sz w:val="21"/>
        </w:rPr>
        <w:t>GB</w:t>
      </w:r>
    </w:p>
    <w:p>
      <w:pPr>
        <w:pStyle w:val="BodyText"/>
        <w:spacing w:before="50"/>
        <w:ind w:left="220"/>
      </w:pPr>
      <w:r>
        <w:rPr>
          <w:rFonts w:ascii="Times New Roman" w:eastAsia="Times New Roman"/>
        </w:rPr>
        <w:t xml:space="preserve">8978 </w:t>
      </w:r>
      <w:r>
        <w:rPr>
          <w:spacing w:val="-2"/>
        </w:rPr>
        <w:t>的规定执行。</w:t>
      </w:r>
    </w:p>
    <w:p>
      <w:pPr>
        <w:pStyle w:val="ListParagraph"/>
        <w:numPr>
          <w:ilvl w:val="3"/>
          <w:numId w:val="39"/>
        </w:numPr>
        <w:tabs>
          <w:tab w:val="left" w:pos="1014"/>
          <w:tab w:val="left" w:pos="1015"/>
        </w:tabs>
        <w:spacing w:before="51" w:after="0" w:line="285" w:lineRule="auto"/>
        <w:ind w:left="220" w:right="298" w:firstLine="0"/>
        <w:jc w:val="left"/>
        <w:rPr>
          <w:sz w:val="21"/>
        </w:rPr>
      </w:pPr>
      <w:r>
        <w:rPr>
          <w:spacing w:val="-2"/>
          <w:sz w:val="21"/>
        </w:rPr>
        <w:t xml:space="preserve">海湾沿岸污染源的取样方法和水样分析方法按照 </w:t>
      </w:r>
      <w:r>
        <w:rPr>
          <w:rFonts w:ascii="Times New Roman" w:eastAsia="Times New Roman"/>
          <w:sz w:val="21"/>
        </w:rPr>
        <w:t xml:space="preserve">HY 003.1~HY/T 003.10 </w:t>
      </w:r>
      <w:r>
        <w:rPr>
          <w:sz w:val="21"/>
        </w:rPr>
        <w:t>的规定进</w:t>
      </w:r>
      <w:r>
        <w:rPr>
          <w:spacing w:val="-6"/>
          <w:sz w:val="21"/>
        </w:rPr>
        <w:t>行。</w:t>
      </w:r>
    </w:p>
    <w:p>
      <w:pPr>
        <w:pStyle w:val="ListParagraph"/>
        <w:numPr>
          <w:ilvl w:val="2"/>
          <w:numId w:val="39"/>
        </w:numPr>
        <w:tabs>
          <w:tab w:val="left" w:pos="849"/>
          <w:tab w:val="left" w:pos="850"/>
        </w:tabs>
        <w:spacing w:before="0" w:after="0" w:line="269" w:lineRule="exact"/>
        <w:ind w:left="850" w:right="0" w:hanging="630"/>
        <w:jc w:val="left"/>
        <w:rPr>
          <w:sz w:val="21"/>
        </w:rPr>
      </w:pPr>
      <w:r>
        <w:rPr>
          <w:spacing w:val="-1"/>
          <w:sz w:val="21"/>
        </w:rPr>
        <w:t>污染源资料的整理与分析</w:t>
      </w:r>
    </w:p>
    <w:p>
      <w:pPr>
        <w:pStyle w:val="BodyText"/>
        <w:spacing w:before="51" w:line="285" w:lineRule="auto"/>
        <w:ind w:left="220" w:right="100" w:firstLine="420"/>
      </w:pPr>
      <w:r>
        <w:rPr>
          <w:spacing w:val="-2"/>
        </w:rPr>
        <w:t>对搜集到的和实测的污染源资料进行检查，找出相互矛盾和错误的资料并予以更正。资</w:t>
      </w:r>
      <w:r>
        <w:rPr>
          <w:spacing w:val="-2"/>
        </w:rPr>
        <w:t xml:space="preserve"> </w:t>
      </w:r>
      <w:r>
        <w:rPr>
          <w:spacing w:val="-12"/>
        </w:rPr>
        <w:t>料中的缺漏应尽量填补。将这些资料按污染源排入地面水的顺序及水质参数的种类列成表格，</w:t>
      </w:r>
      <w:r>
        <w:rPr>
          <w:spacing w:val="-2"/>
        </w:rPr>
        <w:t>并从中找出受纳水体的主要污染源和主要污染物。</w:t>
      </w:r>
    </w:p>
    <w:p>
      <w:pPr>
        <w:pStyle w:val="ListParagraph"/>
        <w:numPr>
          <w:ilvl w:val="1"/>
          <w:numId w:val="39"/>
        </w:numPr>
        <w:tabs>
          <w:tab w:val="left" w:pos="692"/>
          <w:tab w:val="left" w:pos="693"/>
        </w:tabs>
        <w:spacing w:before="0" w:after="0" w:line="269" w:lineRule="exact"/>
        <w:ind w:left="692" w:right="0" w:hanging="473"/>
        <w:jc w:val="left"/>
        <w:rPr>
          <w:sz w:val="21"/>
        </w:rPr>
      </w:pPr>
      <w:r>
        <w:rPr>
          <w:spacing w:val="-3"/>
          <w:sz w:val="21"/>
        </w:rPr>
        <w:t>水质调查</w:t>
      </w:r>
    </w:p>
    <w:p>
      <w:pPr>
        <w:pStyle w:val="ListParagraph"/>
        <w:numPr>
          <w:ilvl w:val="2"/>
          <w:numId w:val="39"/>
        </w:numPr>
        <w:tabs>
          <w:tab w:val="left" w:pos="849"/>
          <w:tab w:val="left" w:pos="850"/>
        </w:tabs>
        <w:spacing w:before="51" w:after="0" w:line="240" w:lineRule="auto"/>
        <w:ind w:left="850" w:right="0" w:hanging="630"/>
        <w:jc w:val="left"/>
        <w:rPr>
          <w:sz w:val="21"/>
        </w:rPr>
      </w:pPr>
      <w:r>
        <w:rPr>
          <w:spacing w:val="-2"/>
          <w:sz w:val="21"/>
        </w:rPr>
        <w:t>水质调查的原则</w:t>
      </w:r>
    </w:p>
    <w:p>
      <w:pPr>
        <w:pStyle w:val="BodyText"/>
        <w:spacing w:before="51"/>
        <w:ind w:left="640"/>
      </w:pPr>
      <w:r>
        <w:rPr>
          <w:spacing w:val="-1"/>
        </w:rPr>
        <w:t>水质调查时应尽量利用现有数据资料，如资料不足时应实测。</w:t>
      </w:r>
    </w:p>
    <w:p>
      <w:pPr>
        <w:pStyle w:val="ListParagraph"/>
        <w:numPr>
          <w:ilvl w:val="2"/>
          <w:numId w:val="39"/>
        </w:numPr>
        <w:tabs>
          <w:tab w:val="left" w:pos="849"/>
          <w:tab w:val="left" w:pos="850"/>
        </w:tabs>
        <w:spacing w:before="51" w:after="0" w:line="240" w:lineRule="auto"/>
        <w:ind w:left="850" w:right="0" w:hanging="630"/>
        <w:jc w:val="left"/>
        <w:rPr>
          <w:sz w:val="21"/>
        </w:rPr>
      </w:pPr>
      <w:r>
        <w:rPr>
          <w:spacing w:val="-2"/>
          <w:sz w:val="21"/>
        </w:rPr>
        <w:t>水质参数的选择</w:t>
      </w:r>
    </w:p>
    <w:p>
      <w:pPr>
        <w:pStyle w:val="BodyText"/>
        <w:spacing w:before="51" w:line="285" w:lineRule="auto"/>
        <w:ind w:left="220" w:right="298" w:firstLine="420"/>
      </w:pPr>
      <w:r>
        <w:rPr>
          <w:spacing w:val="-4"/>
        </w:rPr>
        <w:t>所选择的水质参数包括两类；一类是常规水质参数，它能反映水域水质一般状况；另一</w:t>
      </w:r>
      <w:r>
        <w:rPr>
          <w:spacing w:val="-2"/>
        </w:rPr>
        <w:t>类是特征水质参数，它能代表建设项目将来排放的水质。</w:t>
      </w:r>
    </w:p>
    <w:p>
      <w:pPr>
        <w:pStyle w:val="ListParagraph"/>
        <w:numPr>
          <w:ilvl w:val="3"/>
          <w:numId w:val="39"/>
        </w:numPr>
        <w:tabs>
          <w:tab w:val="left" w:pos="1011"/>
        </w:tabs>
        <w:spacing w:before="0" w:after="0" w:line="285" w:lineRule="auto"/>
        <w:ind w:left="220" w:right="298" w:firstLine="0"/>
        <w:jc w:val="both"/>
        <w:rPr>
          <w:sz w:val="21"/>
        </w:rPr>
      </w:pPr>
      <w:r>
        <w:rPr>
          <w:spacing w:val="-4"/>
          <w:sz w:val="21"/>
        </w:rPr>
        <w:t xml:space="preserve">常规水质参数以 </w:t>
      </w:r>
      <w:r>
        <w:rPr>
          <w:rFonts w:ascii="Times New Roman" w:eastAsia="Times New Roman"/>
          <w:sz w:val="21"/>
        </w:rPr>
        <w:t>GB</w:t>
      </w:r>
      <w:r>
        <w:rPr>
          <w:rFonts w:ascii="Times New Roman" w:eastAsia="Times New Roman"/>
          <w:spacing w:val="-13"/>
          <w:sz w:val="21"/>
        </w:rPr>
        <w:t xml:space="preserve"> </w:t>
      </w:r>
      <w:r>
        <w:rPr>
          <w:rFonts w:ascii="Times New Roman" w:eastAsia="Times New Roman"/>
          <w:sz w:val="21"/>
        </w:rPr>
        <w:t>3838</w:t>
      </w:r>
      <w:r>
        <w:rPr>
          <w:rFonts w:ascii="Times New Roman" w:eastAsia="Times New Roman"/>
          <w:spacing w:val="-13"/>
          <w:sz w:val="21"/>
        </w:rPr>
        <w:t xml:space="preserve"> </w:t>
      </w:r>
      <w:r>
        <w:rPr>
          <w:spacing w:val="-5"/>
          <w:sz w:val="21"/>
        </w:rPr>
        <w:t xml:space="preserve">中所提出的 </w:t>
      </w:r>
      <w:r>
        <w:rPr>
          <w:rFonts w:ascii="Times New Roman" w:eastAsia="Times New Roman"/>
          <w:sz w:val="21"/>
        </w:rPr>
        <w:t>pH</w:t>
      </w:r>
      <w:r>
        <w:rPr>
          <w:sz w:val="21"/>
        </w:rPr>
        <w:t>、溶解氧、高锰酸盐指数、五日生化需氧</w:t>
      </w:r>
      <w:r>
        <w:rPr>
          <w:spacing w:val="-2"/>
          <w:sz w:val="21"/>
        </w:rPr>
        <w:t>量、凯氏氮或非离子氨、酚、氰化物、砷、汞、铬（六价</w:t>
      </w:r>
      <w:r>
        <w:rPr>
          <w:spacing w:val="-105"/>
          <w:sz w:val="21"/>
        </w:rPr>
        <w:t>）</w:t>
      </w:r>
      <w:r>
        <w:rPr>
          <w:spacing w:val="-2"/>
          <w:sz w:val="21"/>
        </w:rPr>
        <w:t>、总磷以及水温为基础，根据水</w:t>
      </w:r>
      <w:r>
        <w:rPr>
          <w:spacing w:val="-2"/>
          <w:sz w:val="21"/>
        </w:rPr>
        <w:t>域类别、评价等级、污染源状况适当删减。</w:t>
      </w:r>
    </w:p>
    <w:p>
      <w:pPr>
        <w:pStyle w:val="ListParagraph"/>
        <w:numPr>
          <w:ilvl w:val="3"/>
          <w:numId w:val="39"/>
        </w:numPr>
        <w:tabs>
          <w:tab w:val="left" w:pos="1008"/>
        </w:tabs>
        <w:spacing w:before="0" w:after="0" w:line="269" w:lineRule="exact"/>
        <w:ind w:left="1007" w:right="0" w:hanging="788"/>
        <w:jc w:val="both"/>
        <w:rPr>
          <w:sz w:val="21"/>
        </w:rPr>
      </w:pPr>
      <w:r>
        <w:rPr>
          <w:spacing w:val="-4"/>
          <w:sz w:val="21"/>
        </w:rPr>
        <w:t xml:space="preserve">特征水质参数根据建设项目特点、水域类别及评价等级选定。表 </w:t>
      </w:r>
      <w:r>
        <w:rPr>
          <w:rFonts w:ascii="Times New Roman" w:eastAsia="Times New Roman"/>
          <w:spacing w:val="-2"/>
          <w:sz w:val="21"/>
        </w:rPr>
        <w:t>8</w:t>
      </w:r>
      <w:r>
        <w:rPr>
          <w:rFonts w:ascii="Times New Roman" w:eastAsia="Times New Roman"/>
          <w:spacing w:val="15"/>
          <w:sz w:val="21"/>
        </w:rPr>
        <w:t xml:space="preserve"> </w:t>
      </w:r>
      <w:r>
        <w:rPr>
          <w:spacing w:val="-4"/>
          <w:sz w:val="21"/>
        </w:rPr>
        <w:t>是按行业编制的</w:t>
      </w:r>
    </w:p>
    <w:p>
      <w:pPr>
        <w:spacing w:after="0" w:line="269" w:lineRule="exact"/>
        <w:jc w:val="both"/>
        <w:rPr>
          <w:sz w:val="21"/>
        </w:rPr>
        <w:sectPr>
          <w:footerReference w:type="even" r:id="rId30"/>
          <w:footerReference w:type="default" r:id="rId31"/>
          <w:pgSz w:w="11910" w:h="16840"/>
          <w:pgMar w:top="1420" w:right="1500" w:bottom="1180" w:left="1580" w:header="0" w:footer="990"/>
          <w:pgNumType w:start="613"/>
          <w:cols w:space="708"/>
        </w:sectPr>
      </w:pPr>
    </w:p>
    <w:p>
      <w:pPr>
        <w:pStyle w:val="BodyText"/>
        <w:spacing w:before="48"/>
        <w:ind w:right="4815"/>
        <w:jc w:val="center"/>
      </w:pPr>
      <w:r>
        <w:rPr>
          <w:spacing w:val="-1"/>
        </w:rPr>
        <w:t>特征水质参数表，选择时可适当删减。</w:t>
      </w:r>
    </w:p>
    <w:p>
      <w:pPr>
        <w:pStyle w:val="BodyText"/>
        <w:tabs>
          <w:tab w:val="left" w:pos="577"/>
        </w:tabs>
        <w:spacing w:before="51" w:after="5"/>
        <w:ind w:right="78"/>
        <w:jc w:val="center"/>
      </w:pPr>
      <w:r>
        <w:t>表</w:t>
      </w:r>
      <w:r>
        <w:rPr>
          <w:spacing w:val="-53"/>
        </w:rPr>
        <w:t xml:space="preserve"> </w:t>
      </w:r>
      <w:r>
        <w:rPr>
          <w:rFonts w:ascii="Times New Roman" w:eastAsia="Times New Roman"/>
          <w:spacing w:val="-10"/>
        </w:rPr>
        <w:t>8</w:t>
      </w:r>
      <w:r>
        <w:rPr>
          <w:rFonts w:ascii="Times New Roman" w:eastAsia="Times New Roman"/>
        </w:rPr>
        <w:tab/>
      </w:r>
      <w:r>
        <w:t>特征水质参数</w:t>
      </w:r>
      <w:r>
        <w:rPr>
          <w:spacing w:val="-10"/>
        </w:rPr>
        <w:t>表</w:t>
      </w:r>
    </w:p>
    <w:tbl>
      <w:tblPr>
        <w:tblStyle w:val="TableNormal8"/>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3"/>
        <w:gridCol w:w="725"/>
        <w:gridCol w:w="448"/>
        <w:gridCol w:w="360"/>
        <w:gridCol w:w="812"/>
        <w:gridCol w:w="2159"/>
        <w:gridCol w:w="540"/>
        <w:gridCol w:w="540"/>
        <w:gridCol w:w="2159"/>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7"/>
          <w:jc w:val="left"/>
        </w:trPr>
        <w:tc>
          <w:tcPr>
            <w:tcW w:w="823" w:type="dxa"/>
            <w:tcBorders>
              <w:left w:val="nil"/>
            </w:tcBorders>
          </w:tcPr>
          <w:p>
            <w:pPr>
              <w:pStyle w:val="TableParagraph"/>
              <w:spacing w:before="108"/>
              <w:ind w:left="214" w:right="214"/>
              <w:jc w:val="center"/>
              <w:rPr>
                <w:sz w:val="18"/>
              </w:rPr>
            </w:pPr>
            <w:r>
              <w:rPr>
                <w:spacing w:val="-5"/>
                <w:sz w:val="18"/>
              </w:rPr>
              <w:t>序号</w:t>
            </w:r>
          </w:p>
        </w:tc>
        <w:tc>
          <w:tcPr>
            <w:tcW w:w="725" w:type="dxa"/>
            <w:tcBorders>
              <w:right w:val="nil"/>
            </w:tcBorders>
          </w:tcPr>
          <w:p>
            <w:pPr>
              <w:pStyle w:val="TableParagraph"/>
              <w:spacing w:before="108"/>
              <w:ind w:right="-15"/>
              <w:jc w:val="right"/>
              <w:rPr>
                <w:sz w:val="18"/>
              </w:rPr>
            </w:pPr>
            <w:r>
              <w:rPr>
                <w:sz w:val="18"/>
              </w:rPr>
              <w:t>建</w:t>
            </w:r>
          </w:p>
        </w:tc>
        <w:tc>
          <w:tcPr>
            <w:tcW w:w="448" w:type="dxa"/>
            <w:tcBorders>
              <w:left w:val="nil"/>
              <w:right w:val="nil"/>
            </w:tcBorders>
          </w:tcPr>
          <w:p>
            <w:pPr>
              <w:pStyle w:val="TableParagraph"/>
              <w:spacing w:before="108"/>
              <w:ind w:left="177"/>
              <w:rPr>
                <w:sz w:val="18"/>
              </w:rPr>
            </w:pPr>
            <w:r>
              <w:rPr>
                <w:sz w:val="18"/>
              </w:rPr>
              <w:t>设</w:t>
            </w:r>
          </w:p>
        </w:tc>
        <w:tc>
          <w:tcPr>
            <w:tcW w:w="360" w:type="dxa"/>
            <w:tcBorders>
              <w:left w:val="nil"/>
              <w:right w:val="nil"/>
            </w:tcBorders>
          </w:tcPr>
          <w:p>
            <w:pPr>
              <w:pStyle w:val="TableParagraph"/>
              <w:spacing w:before="108"/>
              <w:ind w:left="89"/>
              <w:rPr>
                <w:sz w:val="18"/>
              </w:rPr>
            </w:pPr>
            <w:r>
              <w:rPr>
                <w:sz w:val="18"/>
              </w:rPr>
              <w:t>项</w:t>
            </w:r>
          </w:p>
        </w:tc>
        <w:tc>
          <w:tcPr>
            <w:tcW w:w="812" w:type="dxa"/>
            <w:tcBorders>
              <w:left w:val="nil"/>
            </w:tcBorders>
          </w:tcPr>
          <w:p>
            <w:pPr>
              <w:pStyle w:val="TableParagraph"/>
              <w:spacing w:before="108"/>
              <w:ind w:left="84"/>
              <w:rPr>
                <w:sz w:val="18"/>
              </w:rPr>
            </w:pPr>
            <w:r>
              <w:rPr>
                <w:sz w:val="18"/>
              </w:rPr>
              <w:t>目</w:t>
            </w:r>
          </w:p>
        </w:tc>
        <w:tc>
          <w:tcPr>
            <w:tcW w:w="2159" w:type="dxa"/>
            <w:tcBorders>
              <w:right w:val="nil"/>
            </w:tcBorders>
          </w:tcPr>
          <w:p>
            <w:pPr>
              <w:pStyle w:val="TableParagraph"/>
              <w:spacing w:before="108"/>
              <w:ind w:right="173"/>
              <w:jc w:val="right"/>
              <w:rPr>
                <w:sz w:val="18"/>
              </w:rPr>
            </w:pPr>
            <w:r>
              <w:rPr>
                <w:sz w:val="18"/>
              </w:rPr>
              <w:t>水</w:t>
            </w:r>
          </w:p>
        </w:tc>
        <w:tc>
          <w:tcPr>
            <w:tcW w:w="540" w:type="dxa"/>
            <w:tcBorders>
              <w:left w:val="nil"/>
              <w:right w:val="nil"/>
            </w:tcBorders>
          </w:tcPr>
          <w:p>
            <w:pPr>
              <w:pStyle w:val="TableParagraph"/>
              <w:spacing w:before="108"/>
              <w:ind w:left="179"/>
              <w:rPr>
                <w:sz w:val="18"/>
              </w:rPr>
            </w:pPr>
            <w:r>
              <w:rPr>
                <w:sz w:val="18"/>
              </w:rPr>
              <w:t>质</w:t>
            </w:r>
          </w:p>
        </w:tc>
        <w:tc>
          <w:tcPr>
            <w:tcW w:w="540" w:type="dxa"/>
            <w:tcBorders>
              <w:left w:val="nil"/>
              <w:right w:val="nil"/>
            </w:tcBorders>
          </w:tcPr>
          <w:p>
            <w:pPr>
              <w:pStyle w:val="TableParagraph"/>
              <w:spacing w:before="108"/>
              <w:ind w:left="179"/>
              <w:rPr>
                <w:sz w:val="18"/>
              </w:rPr>
            </w:pPr>
            <w:r>
              <w:rPr>
                <w:sz w:val="18"/>
              </w:rPr>
              <w:t>参</w:t>
            </w:r>
          </w:p>
        </w:tc>
        <w:tc>
          <w:tcPr>
            <w:tcW w:w="2159" w:type="dxa"/>
            <w:tcBorders>
              <w:left w:val="nil"/>
              <w:right w:val="nil"/>
            </w:tcBorders>
          </w:tcPr>
          <w:p>
            <w:pPr>
              <w:pStyle w:val="TableParagraph"/>
              <w:spacing w:before="108"/>
              <w:ind w:left="179"/>
              <w:rPr>
                <w:sz w:val="18"/>
              </w:rPr>
            </w:pPr>
            <w:r>
              <w:rPr>
                <w:sz w:val="18"/>
              </w:rPr>
              <w:t>数</w:t>
            </w:r>
          </w:p>
        </w:tc>
      </w:tr>
      <w:tr>
        <w:tblPrEx>
          <w:tblW w:w="0" w:type="auto"/>
          <w:jc w:val="left"/>
          <w:tblInd w:w="119" w:type="dxa"/>
          <w:tblLayout w:type="fixed"/>
          <w:tblCellMar>
            <w:top w:w="0" w:type="dxa"/>
            <w:left w:w="0" w:type="dxa"/>
            <w:bottom w:w="0" w:type="dxa"/>
            <w:right w:w="0" w:type="dxa"/>
          </w:tblCellMar>
          <w:tblLook w:val="01E0"/>
        </w:tblPrEx>
        <w:trPr>
          <w:trHeight w:val="599"/>
          <w:jc w:val="left"/>
        </w:trPr>
        <w:tc>
          <w:tcPr>
            <w:tcW w:w="823" w:type="dxa"/>
            <w:tcBorders>
              <w:left w:val="nil"/>
            </w:tcBorders>
          </w:tcPr>
          <w:p>
            <w:pPr>
              <w:pStyle w:val="TableParagraph"/>
              <w:spacing w:before="4"/>
              <w:rPr>
                <w:sz w:val="17"/>
              </w:rPr>
            </w:pPr>
          </w:p>
          <w:p>
            <w:pPr>
              <w:pStyle w:val="TableParagraph"/>
              <w:jc w:val="center"/>
              <w:rPr>
                <w:rFonts w:ascii="Times New Roman"/>
                <w:sz w:val="18"/>
              </w:rPr>
            </w:pPr>
            <w:r>
              <w:rPr>
                <w:rFonts w:ascii="Times New Roman"/>
                <w:sz w:val="18"/>
              </w:rPr>
              <w:t>1</w:t>
            </w:r>
          </w:p>
        </w:tc>
        <w:tc>
          <w:tcPr>
            <w:tcW w:w="2345" w:type="dxa"/>
            <w:gridSpan w:val="4"/>
          </w:tcPr>
          <w:p>
            <w:pPr>
              <w:pStyle w:val="TableParagraph"/>
              <w:spacing w:before="5"/>
              <w:rPr>
                <w:sz w:val="16"/>
              </w:rPr>
            </w:pPr>
          </w:p>
          <w:p>
            <w:pPr>
              <w:pStyle w:val="TableParagraph"/>
              <w:ind w:left="103"/>
              <w:rPr>
                <w:sz w:val="18"/>
              </w:rPr>
            </w:pPr>
            <w:r>
              <w:rPr>
                <w:spacing w:val="-1"/>
                <w:sz w:val="18"/>
              </w:rPr>
              <w:t>生产区及生活娱乐设施</w:t>
            </w:r>
          </w:p>
        </w:tc>
        <w:tc>
          <w:tcPr>
            <w:tcW w:w="5398" w:type="dxa"/>
            <w:gridSpan w:val="4"/>
            <w:tcBorders>
              <w:right w:val="nil"/>
            </w:tcBorders>
          </w:tcPr>
          <w:p>
            <w:pPr>
              <w:pStyle w:val="TableParagraph"/>
              <w:spacing w:line="300" w:lineRule="exact"/>
              <w:ind w:left="102" w:right="101"/>
              <w:rPr>
                <w:sz w:val="18"/>
              </w:rPr>
            </w:pP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w:t>
            </w:r>
            <w:r>
              <w:rPr>
                <w:rFonts w:ascii="Times New Roman" w:eastAsia="Times New Roman"/>
                <w:spacing w:val="-2"/>
                <w:sz w:val="18"/>
                <w:vertAlign w:val="baseline"/>
              </w:rPr>
              <w:t>COD</w:t>
            </w:r>
            <w:r>
              <w:rPr>
                <w:spacing w:val="-2"/>
                <w:sz w:val="18"/>
                <w:vertAlign w:val="baseline"/>
              </w:rPr>
              <w:t>、</w:t>
            </w:r>
            <w:r>
              <w:rPr>
                <w:rFonts w:ascii="Times New Roman" w:eastAsia="Times New Roman"/>
                <w:spacing w:val="-2"/>
                <w:sz w:val="18"/>
                <w:vertAlign w:val="baseline"/>
              </w:rPr>
              <w:t>pH</w:t>
            </w:r>
            <w:r>
              <w:rPr>
                <w:spacing w:val="-2"/>
                <w:sz w:val="18"/>
                <w:vertAlign w:val="baseline"/>
              </w:rPr>
              <w:t>、悬浮物、氨氮、磷酸盐、表面活性剂、水温、</w:t>
            </w:r>
            <w:r>
              <w:rPr>
                <w:spacing w:val="-4"/>
                <w:sz w:val="18"/>
                <w:vertAlign w:val="baseline"/>
              </w:rPr>
              <w:t>溶解氧</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jc w:val="center"/>
              <w:rPr>
                <w:rFonts w:ascii="Times New Roman"/>
                <w:sz w:val="18"/>
              </w:rPr>
            </w:pPr>
            <w:r>
              <w:rPr>
                <w:rFonts w:ascii="Times New Roman"/>
                <w:sz w:val="18"/>
              </w:rPr>
              <w:t>2</w:t>
            </w:r>
          </w:p>
        </w:tc>
        <w:tc>
          <w:tcPr>
            <w:tcW w:w="2345" w:type="dxa"/>
            <w:gridSpan w:val="4"/>
          </w:tcPr>
          <w:p>
            <w:pPr>
              <w:pStyle w:val="TableParagraph"/>
              <w:spacing w:before="5"/>
              <w:rPr>
                <w:sz w:val="16"/>
              </w:rPr>
            </w:pPr>
          </w:p>
          <w:p>
            <w:pPr>
              <w:pStyle w:val="TableParagraph"/>
              <w:ind w:left="103"/>
              <w:rPr>
                <w:sz w:val="18"/>
              </w:rPr>
            </w:pPr>
            <w:r>
              <w:rPr>
                <w:spacing w:val="-2"/>
                <w:sz w:val="18"/>
              </w:rPr>
              <w:t>城市及城市扩建</w:t>
            </w:r>
          </w:p>
        </w:tc>
        <w:tc>
          <w:tcPr>
            <w:tcW w:w="5398" w:type="dxa"/>
            <w:gridSpan w:val="4"/>
            <w:tcBorders>
              <w:right w:val="nil"/>
            </w:tcBorders>
          </w:tcPr>
          <w:p>
            <w:pPr>
              <w:pStyle w:val="TableParagraph"/>
              <w:spacing w:line="300" w:lineRule="exact"/>
              <w:ind w:left="102" w:right="10"/>
              <w:rPr>
                <w:sz w:val="18"/>
              </w:rPr>
            </w:pPr>
            <w:r>
              <w:rPr>
                <w:rFonts w:ascii="Times New Roman" w:eastAsia="Times New Roman"/>
                <w:spacing w:val="-4"/>
                <w:sz w:val="18"/>
              </w:rPr>
              <w:t>BOD</w:t>
            </w:r>
            <w:r>
              <w:rPr>
                <w:rFonts w:ascii="Times New Roman" w:eastAsia="Times New Roman"/>
                <w:spacing w:val="-4"/>
                <w:sz w:val="18"/>
                <w:vertAlign w:val="subscript"/>
              </w:rPr>
              <w:t>5</w:t>
            </w:r>
            <w:r>
              <w:rPr>
                <w:spacing w:val="-4"/>
                <w:sz w:val="18"/>
                <w:vertAlign w:val="baseline"/>
              </w:rPr>
              <w:t>、</w:t>
            </w:r>
            <w:r>
              <w:rPr>
                <w:rFonts w:ascii="Times New Roman" w:eastAsia="Times New Roman"/>
                <w:spacing w:val="-4"/>
                <w:sz w:val="18"/>
                <w:vertAlign w:val="baseline"/>
              </w:rPr>
              <w:t>COD</w:t>
            </w:r>
            <w:r>
              <w:rPr>
                <w:spacing w:val="-4"/>
                <w:sz w:val="18"/>
                <w:vertAlign w:val="baseline"/>
              </w:rPr>
              <w:t>、溶解氧、</w:t>
            </w:r>
            <w:r>
              <w:rPr>
                <w:rFonts w:ascii="Times New Roman" w:eastAsia="Times New Roman"/>
                <w:spacing w:val="-4"/>
                <w:sz w:val="18"/>
                <w:vertAlign w:val="baseline"/>
              </w:rPr>
              <w:t>pH</w:t>
            </w:r>
            <w:r>
              <w:rPr>
                <w:spacing w:val="-4"/>
                <w:sz w:val="18"/>
                <w:vertAlign w:val="baseline"/>
              </w:rPr>
              <w:t>、悬浮物、氨氮、磷酸盐、表面活性剂、</w:t>
            </w:r>
            <w:r>
              <w:rPr>
                <w:spacing w:val="-2"/>
                <w:sz w:val="18"/>
                <w:vertAlign w:val="baseline"/>
              </w:rPr>
              <w:t>水温、油、重金属</w:t>
            </w:r>
          </w:p>
        </w:tc>
      </w:tr>
      <w:tr>
        <w:tblPrEx>
          <w:tblW w:w="0" w:type="auto"/>
          <w:jc w:val="left"/>
          <w:tblInd w:w="119" w:type="dxa"/>
          <w:tblLayout w:type="fixed"/>
          <w:tblCellMar>
            <w:top w:w="0" w:type="dxa"/>
            <w:left w:w="0" w:type="dxa"/>
            <w:bottom w:w="0" w:type="dxa"/>
            <w:right w:w="0" w:type="dxa"/>
          </w:tblCellMar>
          <w:tblLook w:val="01E0"/>
        </w:tblPrEx>
        <w:trPr>
          <w:trHeight w:val="396"/>
          <w:jc w:val="left"/>
        </w:trPr>
        <w:tc>
          <w:tcPr>
            <w:tcW w:w="823" w:type="dxa"/>
            <w:tcBorders>
              <w:left w:val="nil"/>
            </w:tcBorders>
          </w:tcPr>
          <w:p>
            <w:pPr>
              <w:pStyle w:val="TableParagraph"/>
              <w:spacing w:before="120"/>
              <w:jc w:val="center"/>
              <w:rPr>
                <w:rFonts w:ascii="Times New Roman"/>
                <w:sz w:val="18"/>
              </w:rPr>
            </w:pPr>
            <w:r>
              <w:rPr>
                <w:rFonts w:ascii="Times New Roman"/>
                <w:sz w:val="18"/>
              </w:rPr>
              <w:t>3</w:t>
            </w:r>
          </w:p>
        </w:tc>
        <w:tc>
          <w:tcPr>
            <w:tcW w:w="2345" w:type="dxa"/>
            <w:gridSpan w:val="4"/>
          </w:tcPr>
          <w:p>
            <w:pPr>
              <w:pStyle w:val="TableParagraph"/>
              <w:spacing w:before="108"/>
              <w:ind w:left="103"/>
              <w:rPr>
                <w:sz w:val="18"/>
              </w:rPr>
            </w:pPr>
            <w:r>
              <w:rPr>
                <w:sz w:val="18"/>
              </w:rPr>
              <w:t>黑色金属矿</w:t>
            </w:r>
            <w:r>
              <w:rPr>
                <w:spacing w:val="-5"/>
                <w:sz w:val="18"/>
              </w:rPr>
              <w:t>ft</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1"/>
                <w:sz w:val="18"/>
              </w:rPr>
              <w:t>、悬浮物、硫化物、铜、铅、锌、镉、汞、六价铬</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jc w:val="center"/>
              <w:rPr>
                <w:rFonts w:ascii="Times New Roman"/>
                <w:sz w:val="18"/>
              </w:rPr>
            </w:pPr>
            <w:r>
              <w:rPr>
                <w:rFonts w:ascii="Times New Roman"/>
                <w:sz w:val="18"/>
              </w:rPr>
              <w:t>4</w:t>
            </w:r>
          </w:p>
        </w:tc>
        <w:tc>
          <w:tcPr>
            <w:tcW w:w="2345" w:type="dxa"/>
            <w:gridSpan w:val="4"/>
          </w:tcPr>
          <w:p>
            <w:pPr>
              <w:pStyle w:val="TableParagraph"/>
              <w:spacing w:line="300" w:lineRule="exact"/>
              <w:ind w:left="103" w:right="100"/>
              <w:rPr>
                <w:sz w:val="18"/>
              </w:rPr>
            </w:pPr>
            <w:r>
              <w:rPr>
                <w:spacing w:val="-4"/>
                <w:sz w:val="18"/>
              </w:rPr>
              <w:t>黑色冶炼、有色金属矿ft</w:t>
            </w:r>
            <w:r>
              <w:rPr>
                <w:spacing w:val="-4"/>
                <w:sz w:val="18"/>
              </w:rPr>
              <w:t>及</w:t>
            </w:r>
            <w:r>
              <w:rPr>
                <w:spacing w:val="-6"/>
                <w:sz w:val="18"/>
              </w:rPr>
              <w:t>冶炼</w:t>
            </w:r>
          </w:p>
        </w:tc>
        <w:tc>
          <w:tcPr>
            <w:tcW w:w="5398" w:type="dxa"/>
            <w:gridSpan w:val="4"/>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、悬浮物、</w:t>
            </w:r>
            <w:r>
              <w:rPr>
                <w:rFonts w:ascii="Times New Roman" w:eastAsia="Times New Roman"/>
                <w:spacing w:val="-2"/>
                <w:sz w:val="18"/>
              </w:rPr>
              <w:t>COD</w:t>
            </w:r>
            <w:r>
              <w:rPr>
                <w:spacing w:val="-2"/>
                <w:sz w:val="18"/>
              </w:rPr>
              <w:t>、硫化物、氟化物、挥发性酚、氰化物、石油</w:t>
            </w:r>
            <w:r>
              <w:rPr>
                <w:spacing w:val="-2"/>
                <w:sz w:val="18"/>
              </w:rPr>
              <w:t>类、铜、锌、铅、砷、镉、汞</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jc w:val="center"/>
              <w:rPr>
                <w:rFonts w:ascii="Times New Roman"/>
                <w:sz w:val="18"/>
              </w:rPr>
            </w:pPr>
            <w:r>
              <w:rPr>
                <w:rFonts w:ascii="Times New Roman"/>
                <w:sz w:val="18"/>
              </w:rPr>
              <w:t>5</w:t>
            </w:r>
          </w:p>
        </w:tc>
        <w:tc>
          <w:tcPr>
            <w:tcW w:w="2345" w:type="dxa"/>
            <w:gridSpan w:val="4"/>
          </w:tcPr>
          <w:p>
            <w:pPr>
              <w:pStyle w:val="TableParagraph"/>
              <w:spacing w:before="5"/>
              <w:rPr>
                <w:sz w:val="16"/>
              </w:rPr>
            </w:pPr>
          </w:p>
          <w:p>
            <w:pPr>
              <w:pStyle w:val="TableParagraph"/>
              <w:ind w:left="103"/>
              <w:rPr>
                <w:sz w:val="18"/>
              </w:rPr>
            </w:pPr>
            <w:r>
              <w:rPr>
                <w:spacing w:val="-2"/>
                <w:sz w:val="18"/>
              </w:rPr>
              <w:t>火力发电、热电</w:t>
            </w:r>
          </w:p>
        </w:tc>
        <w:tc>
          <w:tcPr>
            <w:tcW w:w="5398" w:type="dxa"/>
            <w:gridSpan w:val="4"/>
            <w:tcBorders>
              <w:right w:val="nil"/>
            </w:tcBorders>
          </w:tcPr>
          <w:p>
            <w:pPr>
              <w:pStyle w:val="TableParagraph"/>
              <w:spacing w:line="300" w:lineRule="exact"/>
              <w:ind w:left="102" w:right="10"/>
              <w:rPr>
                <w:sz w:val="18"/>
              </w:rPr>
            </w:pPr>
            <w:r>
              <w:rPr>
                <w:rFonts w:ascii="Times New Roman" w:eastAsia="Times New Roman"/>
                <w:spacing w:val="-6"/>
                <w:sz w:val="18"/>
              </w:rPr>
              <w:t>pH</w:t>
            </w:r>
            <w:r>
              <w:rPr>
                <w:spacing w:val="-6"/>
                <w:sz w:val="18"/>
              </w:rPr>
              <w:t>、悬浮物、硫化物、挥发性酚、砷、水温、铅、镉、铜、石油类、</w:t>
            </w:r>
            <w:r>
              <w:rPr>
                <w:spacing w:val="-4"/>
                <w:sz w:val="18"/>
              </w:rPr>
              <w:t>氟化物</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jc w:val="center"/>
              <w:rPr>
                <w:rFonts w:ascii="Times New Roman"/>
                <w:sz w:val="18"/>
              </w:rPr>
            </w:pPr>
            <w:r>
              <w:rPr>
                <w:rFonts w:ascii="Times New Roman"/>
                <w:sz w:val="18"/>
              </w:rPr>
              <w:t>6</w:t>
            </w:r>
          </w:p>
        </w:tc>
        <w:tc>
          <w:tcPr>
            <w:tcW w:w="2345" w:type="dxa"/>
            <w:gridSpan w:val="4"/>
          </w:tcPr>
          <w:p>
            <w:pPr>
              <w:pStyle w:val="TableParagraph"/>
              <w:spacing w:before="5"/>
              <w:rPr>
                <w:sz w:val="16"/>
              </w:rPr>
            </w:pPr>
          </w:p>
          <w:p>
            <w:pPr>
              <w:pStyle w:val="TableParagraph"/>
              <w:ind w:left="103"/>
              <w:rPr>
                <w:sz w:val="18"/>
              </w:rPr>
            </w:pPr>
            <w:r>
              <w:rPr>
                <w:spacing w:val="-2"/>
                <w:sz w:val="18"/>
              </w:rPr>
              <w:t>焦化及煤制气</w:t>
            </w:r>
          </w:p>
        </w:tc>
        <w:tc>
          <w:tcPr>
            <w:tcW w:w="5398" w:type="dxa"/>
            <w:gridSpan w:val="4"/>
            <w:tcBorders>
              <w:right w:val="nil"/>
            </w:tcBorders>
          </w:tcPr>
          <w:p>
            <w:pPr>
              <w:pStyle w:val="TableParagraph"/>
              <w:spacing w:line="300" w:lineRule="exact"/>
              <w:ind w:left="102" w:right="101"/>
              <w:rPr>
                <w:rFonts w:ascii="Times New Roman" w:eastAsia="Times New Roman"/>
                <w:sz w:val="18"/>
              </w:rPr>
            </w:pP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、水温、悬浮物、硫化物、挥发性酚、氰化物、石油</w:t>
            </w:r>
            <w:r>
              <w:rPr>
                <w:spacing w:val="-2"/>
                <w:sz w:val="18"/>
                <w:vertAlign w:val="baseline"/>
              </w:rPr>
              <w:t>类、氨氮、苯类、多环芳烃、砷、溶解氧、</w:t>
            </w:r>
            <w:r>
              <w:rPr>
                <w:rFonts w:ascii="Times New Roman" w:eastAsia="Times New Roman"/>
                <w:spacing w:val="-2"/>
                <w:sz w:val="18"/>
                <w:vertAlign w:val="baseline"/>
              </w:rPr>
              <w:t>BaP</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tcBorders>
              <w:left w:val="nil"/>
            </w:tcBorders>
          </w:tcPr>
          <w:p>
            <w:pPr>
              <w:pStyle w:val="TableParagraph"/>
              <w:spacing w:before="120"/>
              <w:jc w:val="center"/>
              <w:rPr>
                <w:rFonts w:ascii="Times New Roman"/>
                <w:sz w:val="18"/>
              </w:rPr>
            </w:pPr>
            <w:r>
              <w:rPr>
                <w:rFonts w:ascii="Times New Roman"/>
                <w:sz w:val="18"/>
              </w:rPr>
              <w:t>7</w:t>
            </w:r>
          </w:p>
        </w:tc>
        <w:tc>
          <w:tcPr>
            <w:tcW w:w="2345" w:type="dxa"/>
            <w:gridSpan w:val="4"/>
          </w:tcPr>
          <w:p>
            <w:pPr>
              <w:pStyle w:val="TableParagraph"/>
              <w:spacing w:before="108"/>
              <w:ind w:left="103"/>
              <w:rPr>
                <w:sz w:val="18"/>
              </w:rPr>
            </w:pPr>
            <w:r>
              <w:rPr>
                <w:spacing w:val="-5"/>
                <w:sz w:val="18"/>
              </w:rPr>
              <w:t>煤矿</w:t>
            </w:r>
          </w:p>
        </w:tc>
        <w:tc>
          <w:tcPr>
            <w:tcW w:w="5398" w:type="dxa"/>
            <w:gridSpan w:val="4"/>
            <w:tcBorders>
              <w:right w:val="nil"/>
            </w:tcBorders>
          </w:tcPr>
          <w:p>
            <w:pPr>
              <w:pStyle w:val="TableParagraph"/>
              <w:spacing w:before="108"/>
              <w:ind w:left="102"/>
              <w:rPr>
                <w:sz w:val="18"/>
              </w:rPr>
            </w:pPr>
            <w:r>
              <w:rPr>
                <w:rFonts w:ascii="Times New Roman" w:eastAsia="Times New Roman"/>
                <w:spacing w:val="-2"/>
                <w:sz w:val="18"/>
              </w:rPr>
              <w:t>pH</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3"/>
                <w:sz w:val="18"/>
                <w:vertAlign w:val="baseline"/>
              </w:rPr>
              <w:t>、溶解氧、水温、砷、悬浮物、硫化物</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jc w:val="center"/>
              <w:rPr>
                <w:rFonts w:ascii="Times New Roman"/>
                <w:sz w:val="18"/>
              </w:rPr>
            </w:pPr>
            <w:r>
              <w:rPr>
                <w:rFonts w:ascii="Times New Roman"/>
                <w:sz w:val="18"/>
              </w:rPr>
              <w:t>8</w:t>
            </w:r>
          </w:p>
        </w:tc>
        <w:tc>
          <w:tcPr>
            <w:tcW w:w="2345" w:type="dxa"/>
            <w:gridSpan w:val="4"/>
          </w:tcPr>
          <w:p>
            <w:pPr>
              <w:pStyle w:val="TableParagraph"/>
              <w:spacing w:before="5"/>
              <w:rPr>
                <w:sz w:val="16"/>
              </w:rPr>
            </w:pPr>
          </w:p>
          <w:p>
            <w:pPr>
              <w:pStyle w:val="TableParagraph"/>
              <w:ind w:left="103"/>
              <w:rPr>
                <w:sz w:val="18"/>
              </w:rPr>
            </w:pPr>
            <w:r>
              <w:rPr>
                <w:spacing w:val="-2"/>
                <w:sz w:val="18"/>
              </w:rPr>
              <w:t>石油开发与炼制</w:t>
            </w:r>
          </w:p>
        </w:tc>
        <w:tc>
          <w:tcPr>
            <w:tcW w:w="5398" w:type="dxa"/>
            <w:gridSpan w:val="4"/>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、溶解氧、悬浮物、硫化物、水温、挥发性酚、</w:t>
            </w:r>
            <w:r>
              <w:rPr>
                <w:spacing w:val="-2"/>
                <w:sz w:val="18"/>
                <w:vertAlign w:val="baseline"/>
              </w:rPr>
              <w:t>氰化物、石油类、苯类、多环芳烃</w:t>
            </w:r>
          </w:p>
        </w:tc>
      </w:tr>
      <w:tr>
        <w:tblPrEx>
          <w:tblW w:w="0" w:type="auto"/>
          <w:jc w:val="left"/>
          <w:tblInd w:w="119" w:type="dxa"/>
          <w:tblLayout w:type="fixed"/>
          <w:tblCellMar>
            <w:top w:w="0" w:type="dxa"/>
            <w:left w:w="0" w:type="dxa"/>
            <w:bottom w:w="0" w:type="dxa"/>
            <w:right w:w="0" w:type="dxa"/>
          </w:tblCellMar>
          <w:tblLook w:val="01E0"/>
        </w:tblPrEx>
        <w:trPr>
          <w:trHeight w:val="396"/>
          <w:jc w:val="left"/>
        </w:trPr>
        <w:tc>
          <w:tcPr>
            <w:tcW w:w="823" w:type="dxa"/>
            <w:vMerge w:val="restart"/>
            <w:tcBorders>
              <w:left w:val="nil"/>
            </w:tcBorders>
          </w:tcPr>
          <w:p>
            <w:pPr>
              <w:pStyle w:val="TableParagraph"/>
              <w:rPr>
                <w:sz w:val="20"/>
              </w:rPr>
            </w:pPr>
          </w:p>
          <w:p>
            <w:pPr>
              <w:pStyle w:val="TableParagraph"/>
              <w:rPr>
                <w:sz w:val="20"/>
              </w:rPr>
            </w:pPr>
          </w:p>
          <w:p>
            <w:pPr>
              <w:pStyle w:val="TableParagraph"/>
              <w:rPr>
                <w:sz w:val="20"/>
              </w:rPr>
            </w:pPr>
          </w:p>
          <w:p>
            <w:pPr>
              <w:pStyle w:val="TableParagraph"/>
              <w:spacing w:before="165"/>
              <w:jc w:val="center"/>
              <w:rPr>
                <w:rFonts w:ascii="Times New Roman"/>
                <w:sz w:val="18"/>
              </w:rPr>
            </w:pPr>
            <w:r>
              <w:rPr>
                <w:rFonts w:ascii="Times New Roman"/>
                <w:sz w:val="18"/>
              </w:rPr>
              <w:t>9</w:t>
            </w:r>
          </w:p>
        </w:tc>
        <w:tc>
          <w:tcPr>
            <w:tcW w:w="725" w:type="dxa"/>
            <w:vMerge w:val="restart"/>
          </w:tcPr>
          <w:p>
            <w:pPr>
              <w:pStyle w:val="TableParagraph"/>
              <w:rPr>
                <w:sz w:val="18"/>
              </w:rPr>
            </w:pPr>
          </w:p>
          <w:p>
            <w:pPr>
              <w:pStyle w:val="TableParagraph"/>
              <w:rPr>
                <w:sz w:val="18"/>
              </w:rPr>
            </w:pPr>
          </w:p>
          <w:p>
            <w:pPr>
              <w:pStyle w:val="TableParagraph"/>
              <w:spacing w:before="115" w:line="187" w:lineRule="auto"/>
              <w:ind w:left="242" w:right="290"/>
              <w:jc w:val="both"/>
              <w:rPr>
                <w:sz w:val="18"/>
              </w:rPr>
            </w:pPr>
            <w:r>
              <w:rPr>
                <w:spacing w:val="-10"/>
                <w:sz w:val="18"/>
              </w:rPr>
              <w:t>化</w:t>
            </w:r>
            <w:r>
              <w:rPr>
                <w:spacing w:val="-10"/>
                <w:sz w:val="18"/>
              </w:rPr>
              <w:t>学</w:t>
            </w:r>
            <w:r>
              <w:rPr>
                <w:spacing w:val="-10"/>
                <w:sz w:val="18"/>
              </w:rPr>
              <w:t>矿</w:t>
            </w:r>
            <w:r>
              <w:rPr>
                <w:spacing w:val="-10"/>
                <w:sz w:val="18"/>
              </w:rPr>
              <w:t>开</w:t>
            </w:r>
            <w:r>
              <w:rPr>
                <w:spacing w:val="-10"/>
                <w:sz w:val="18"/>
              </w:rPr>
              <w:t>采</w:t>
            </w:r>
          </w:p>
        </w:tc>
        <w:tc>
          <w:tcPr>
            <w:tcW w:w="1620" w:type="dxa"/>
            <w:gridSpan w:val="3"/>
          </w:tcPr>
          <w:p>
            <w:pPr>
              <w:pStyle w:val="TableParagraph"/>
              <w:spacing w:before="108"/>
              <w:ind w:left="103"/>
              <w:rPr>
                <w:sz w:val="18"/>
              </w:rPr>
            </w:pPr>
            <w:r>
              <w:rPr>
                <w:spacing w:val="-4"/>
                <w:sz w:val="18"/>
              </w:rPr>
              <w:t>硫铁矿</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1"/>
                <w:sz w:val="18"/>
              </w:rPr>
              <w:t>、悬浮物、硫化物、铜、铅、锌、镉、汞、砷、六价铬</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tcBorders>
              <w:top w:val="nil"/>
              <w:left w:val="nil"/>
            </w:tcBorders>
          </w:tcPr>
          <w:p>
            <w:pPr>
              <w:rPr>
                <w:sz w:val="2"/>
                <w:szCs w:val="2"/>
              </w:rPr>
            </w:pPr>
          </w:p>
        </w:tc>
        <w:tc>
          <w:tcPr>
            <w:tcW w:w="725" w:type="dxa"/>
            <w:vMerge/>
            <w:tcBorders>
              <w:top w:val="nil"/>
            </w:tcBorders>
          </w:tcPr>
          <w:p>
            <w:pPr>
              <w:rPr>
                <w:sz w:val="2"/>
                <w:szCs w:val="2"/>
              </w:rPr>
            </w:pPr>
          </w:p>
        </w:tc>
        <w:tc>
          <w:tcPr>
            <w:tcW w:w="1620" w:type="dxa"/>
            <w:gridSpan w:val="3"/>
          </w:tcPr>
          <w:p>
            <w:pPr>
              <w:pStyle w:val="TableParagraph"/>
              <w:spacing w:before="108"/>
              <w:ind w:left="103"/>
              <w:rPr>
                <w:sz w:val="18"/>
              </w:rPr>
            </w:pPr>
            <w:r>
              <w:rPr>
                <w:spacing w:val="-5"/>
                <w:sz w:val="18"/>
              </w:rPr>
              <w:t>磷矿</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1"/>
                <w:sz w:val="18"/>
              </w:rPr>
              <w:t>、悬浮物、氟化物、硫化物、砷、铅、磷</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tcBorders>
              <w:top w:val="nil"/>
              <w:left w:val="nil"/>
            </w:tcBorders>
          </w:tcPr>
          <w:p>
            <w:pPr>
              <w:rPr>
                <w:sz w:val="2"/>
                <w:szCs w:val="2"/>
              </w:rPr>
            </w:pPr>
          </w:p>
        </w:tc>
        <w:tc>
          <w:tcPr>
            <w:tcW w:w="725" w:type="dxa"/>
            <w:vMerge/>
            <w:tcBorders>
              <w:top w:val="nil"/>
            </w:tcBorders>
          </w:tcPr>
          <w:p>
            <w:pPr>
              <w:rPr>
                <w:sz w:val="2"/>
                <w:szCs w:val="2"/>
              </w:rPr>
            </w:pPr>
          </w:p>
        </w:tc>
        <w:tc>
          <w:tcPr>
            <w:tcW w:w="1620" w:type="dxa"/>
            <w:gridSpan w:val="3"/>
          </w:tcPr>
          <w:p>
            <w:pPr>
              <w:pStyle w:val="TableParagraph"/>
              <w:spacing w:before="108"/>
              <w:ind w:left="103"/>
              <w:rPr>
                <w:sz w:val="18"/>
              </w:rPr>
            </w:pPr>
            <w:r>
              <w:rPr>
                <w:spacing w:val="-4"/>
                <w:sz w:val="18"/>
              </w:rPr>
              <w:t>萤石矿</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2"/>
                <w:sz w:val="18"/>
              </w:rPr>
              <w:t>、悬浮物、氟化物</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tcBorders>
              <w:top w:val="nil"/>
              <w:left w:val="nil"/>
            </w:tcBorders>
          </w:tcPr>
          <w:p>
            <w:pPr>
              <w:rPr>
                <w:sz w:val="2"/>
                <w:szCs w:val="2"/>
              </w:rPr>
            </w:pPr>
          </w:p>
        </w:tc>
        <w:tc>
          <w:tcPr>
            <w:tcW w:w="725" w:type="dxa"/>
            <w:vMerge/>
            <w:tcBorders>
              <w:top w:val="nil"/>
            </w:tcBorders>
          </w:tcPr>
          <w:p>
            <w:pPr>
              <w:rPr>
                <w:sz w:val="2"/>
                <w:szCs w:val="2"/>
              </w:rPr>
            </w:pPr>
          </w:p>
        </w:tc>
        <w:tc>
          <w:tcPr>
            <w:tcW w:w="1620" w:type="dxa"/>
            <w:gridSpan w:val="3"/>
          </w:tcPr>
          <w:p>
            <w:pPr>
              <w:pStyle w:val="TableParagraph"/>
              <w:spacing w:before="108"/>
              <w:ind w:left="103"/>
              <w:rPr>
                <w:sz w:val="18"/>
              </w:rPr>
            </w:pPr>
            <w:r>
              <w:rPr>
                <w:spacing w:val="-5"/>
                <w:sz w:val="18"/>
              </w:rPr>
              <w:t>汞矿</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1"/>
                <w:sz w:val="18"/>
              </w:rPr>
              <w:t>、悬浮物、硫化物、砷、汞</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tcBorders>
              <w:top w:val="nil"/>
              <w:left w:val="nil"/>
            </w:tcBorders>
          </w:tcPr>
          <w:p>
            <w:pPr>
              <w:rPr>
                <w:sz w:val="2"/>
                <w:szCs w:val="2"/>
              </w:rPr>
            </w:pPr>
          </w:p>
        </w:tc>
        <w:tc>
          <w:tcPr>
            <w:tcW w:w="725" w:type="dxa"/>
            <w:vMerge/>
            <w:tcBorders>
              <w:top w:val="nil"/>
            </w:tcBorders>
          </w:tcPr>
          <w:p>
            <w:pPr>
              <w:rPr>
                <w:sz w:val="2"/>
                <w:szCs w:val="2"/>
              </w:rPr>
            </w:pPr>
          </w:p>
        </w:tc>
        <w:tc>
          <w:tcPr>
            <w:tcW w:w="1620" w:type="dxa"/>
            <w:gridSpan w:val="3"/>
          </w:tcPr>
          <w:p>
            <w:pPr>
              <w:pStyle w:val="TableParagraph"/>
              <w:spacing w:before="108"/>
              <w:ind w:left="103"/>
              <w:rPr>
                <w:sz w:val="18"/>
              </w:rPr>
            </w:pPr>
            <w:r>
              <w:rPr>
                <w:spacing w:val="-4"/>
                <w:sz w:val="18"/>
              </w:rPr>
              <w:t>雄黄矿</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1"/>
                <w:sz w:val="18"/>
              </w:rPr>
              <w:t>、悬浮物、硫化物、砷</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val="restart"/>
            <w:tcBorders>
              <w:left w:val="nil"/>
            </w:tcBorders>
          </w:tcPr>
          <w:p>
            <w:pPr>
              <w:pStyle w:val="TableParagraph"/>
              <w:rPr>
                <w:sz w:val="20"/>
              </w:rPr>
            </w:pPr>
          </w:p>
          <w:p>
            <w:pPr>
              <w:pStyle w:val="TableParagraph"/>
              <w:spacing w:before="2"/>
              <w:rPr>
                <w:sz w:val="21"/>
              </w:rPr>
            </w:pPr>
          </w:p>
          <w:p>
            <w:pPr>
              <w:pStyle w:val="TableParagraph"/>
              <w:ind w:left="214" w:right="214"/>
              <w:jc w:val="center"/>
              <w:rPr>
                <w:rFonts w:ascii="Times New Roman"/>
                <w:sz w:val="18"/>
              </w:rPr>
            </w:pPr>
            <w:r>
              <w:rPr>
                <w:rFonts w:ascii="Times New Roman"/>
                <w:spacing w:val="-5"/>
                <w:sz w:val="18"/>
              </w:rPr>
              <w:t>10</w:t>
            </w:r>
          </w:p>
        </w:tc>
        <w:tc>
          <w:tcPr>
            <w:tcW w:w="725" w:type="dxa"/>
            <w:vMerge w:val="restart"/>
          </w:tcPr>
          <w:p>
            <w:pPr>
              <w:pStyle w:val="TableParagraph"/>
              <w:spacing w:before="3"/>
              <w:rPr>
                <w:sz w:val="20"/>
              </w:rPr>
            </w:pPr>
          </w:p>
          <w:p>
            <w:pPr>
              <w:pStyle w:val="TableParagraph"/>
              <w:spacing w:line="187" w:lineRule="auto"/>
              <w:ind w:left="242" w:right="290"/>
              <w:jc w:val="both"/>
              <w:rPr>
                <w:sz w:val="18"/>
              </w:rPr>
            </w:pPr>
            <w:r>
              <w:rPr>
                <w:spacing w:val="-10"/>
                <w:sz w:val="18"/>
              </w:rPr>
              <w:t>无</w:t>
            </w:r>
            <w:r>
              <w:rPr>
                <w:spacing w:val="-10"/>
                <w:sz w:val="18"/>
              </w:rPr>
              <w:t>机</w:t>
            </w:r>
            <w:r>
              <w:rPr>
                <w:spacing w:val="-10"/>
                <w:sz w:val="18"/>
              </w:rPr>
              <w:t>原</w:t>
            </w:r>
            <w:r>
              <w:rPr>
                <w:spacing w:val="-10"/>
                <w:sz w:val="18"/>
              </w:rPr>
              <w:t>料</w:t>
            </w:r>
          </w:p>
        </w:tc>
        <w:tc>
          <w:tcPr>
            <w:tcW w:w="1620" w:type="dxa"/>
            <w:gridSpan w:val="3"/>
          </w:tcPr>
          <w:p>
            <w:pPr>
              <w:pStyle w:val="TableParagraph"/>
              <w:spacing w:before="108"/>
              <w:ind w:left="103"/>
              <w:rPr>
                <w:sz w:val="18"/>
              </w:rPr>
            </w:pPr>
            <w:r>
              <w:rPr>
                <w:spacing w:val="-5"/>
                <w:sz w:val="18"/>
              </w:rPr>
              <w:t>硫酸</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z w:val="18"/>
              </w:rPr>
              <w:t>（或酸度</w:t>
            </w:r>
            <w:r>
              <w:rPr>
                <w:spacing w:val="-90"/>
                <w:sz w:val="18"/>
              </w:rPr>
              <w:t>）</w:t>
            </w:r>
            <w:r>
              <w:rPr>
                <w:spacing w:val="-1"/>
                <w:sz w:val="18"/>
              </w:rPr>
              <w:t>、悬浮物、硫化物、氟化物、铜、铅、锌、砷</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tcBorders>
              <w:top w:val="nil"/>
              <w:left w:val="nil"/>
            </w:tcBorders>
          </w:tcPr>
          <w:p>
            <w:pPr>
              <w:rPr>
                <w:sz w:val="2"/>
                <w:szCs w:val="2"/>
              </w:rPr>
            </w:pPr>
          </w:p>
        </w:tc>
        <w:tc>
          <w:tcPr>
            <w:tcW w:w="725" w:type="dxa"/>
            <w:vMerge/>
            <w:tcBorders>
              <w:top w:val="nil"/>
            </w:tcBorders>
          </w:tcPr>
          <w:p>
            <w:pPr>
              <w:rPr>
                <w:sz w:val="2"/>
                <w:szCs w:val="2"/>
              </w:rPr>
            </w:pPr>
          </w:p>
        </w:tc>
        <w:tc>
          <w:tcPr>
            <w:tcW w:w="1620" w:type="dxa"/>
            <w:gridSpan w:val="3"/>
          </w:tcPr>
          <w:p>
            <w:pPr>
              <w:pStyle w:val="TableParagraph"/>
              <w:spacing w:before="108"/>
              <w:ind w:left="103"/>
              <w:rPr>
                <w:sz w:val="18"/>
              </w:rPr>
            </w:pPr>
            <w:r>
              <w:rPr>
                <w:spacing w:val="-5"/>
                <w:sz w:val="18"/>
              </w:rPr>
              <w:t>氯碱</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z w:val="18"/>
              </w:rPr>
              <w:t>（或酸、碱度</w:t>
            </w:r>
            <w:r>
              <w:rPr>
                <w:spacing w:val="-90"/>
                <w:sz w:val="18"/>
              </w:rPr>
              <w:t>）</w:t>
            </w:r>
            <w:r>
              <w:rPr>
                <w:sz w:val="18"/>
              </w:rPr>
              <w:t>、</w:t>
            </w:r>
            <w:r>
              <w:rPr>
                <w:rFonts w:ascii="Times New Roman" w:eastAsia="Times New Roman"/>
                <w:sz w:val="18"/>
              </w:rPr>
              <w:t>COD</w:t>
            </w:r>
            <w:r>
              <w:rPr>
                <w:spacing w:val="-2"/>
                <w:sz w:val="18"/>
              </w:rPr>
              <w:t>、悬浮物、汞</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vMerge/>
            <w:tcBorders>
              <w:top w:val="nil"/>
              <w:left w:val="nil"/>
            </w:tcBorders>
          </w:tcPr>
          <w:p>
            <w:pPr>
              <w:rPr>
                <w:sz w:val="2"/>
                <w:szCs w:val="2"/>
              </w:rPr>
            </w:pPr>
          </w:p>
        </w:tc>
        <w:tc>
          <w:tcPr>
            <w:tcW w:w="725" w:type="dxa"/>
            <w:vMerge/>
            <w:tcBorders>
              <w:top w:val="nil"/>
            </w:tcBorders>
          </w:tcPr>
          <w:p>
            <w:pPr>
              <w:rPr>
                <w:sz w:val="2"/>
                <w:szCs w:val="2"/>
              </w:rPr>
            </w:pPr>
          </w:p>
        </w:tc>
        <w:tc>
          <w:tcPr>
            <w:tcW w:w="1620" w:type="dxa"/>
            <w:gridSpan w:val="3"/>
          </w:tcPr>
          <w:p>
            <w:pPr>
              <w:pStyle w:val="TableParagraph"/>
              <w:spacing w:before="108"/>
              <w:ind w:left="103"/>
              <w:rPr>
                <w:sz w:val="18"/>
              </w:rPr>
            </w:pPr>
            <w:r>
              <w:rPr>
                <w:spacing w:val="-5"/>
                <w:sz w:val="18"/>
              </w:rPr>
              <w:t>铬盐</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z w:val="18"/>
              </w:rPr>
              <w:t>（或酸度</w:t>
            </w:r>
            <w:r>
              <w:rPr>
                <w:spacing w:val="-90"/>
                <w:sz w:val="18"/>
              </w:rPr>
              <w:t>）</w:t>
            </w:r>
            <w:r>
              <w:rPr>
                <w:spacing w:val="-2"/>
                <w:sz w:val="18"/>
              </w:rPr>
              <w:t>、总铬、六价铬</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11</w:t>
            </w:r>
          </w:p>
        </w:tc>
        <w:tc>
          <w:tcPr>
            <w:tcW w:w="2345" w:type="dxa"/>
            <w:gridSpan w:val="4"/>
          </w:tcPr>
          <w:p>
            <w:pPr>
              <w:pStyle w:val="TableParagraph"/>
              <w:spacing w:before="5"/>
              <w:rPr>
                <w:sz w:val="16"/>
              </w:rPr>
            </w:pPr>
          </w:p>
          <w:p>
            <w:pPr>
              <w:pStyle w:val="TableParagraph"/>
              <w:ind w:left="103"/>
              <w:rPr>
                <w:sz w:val="18"/>
              </w:rPr>
            </w:pPr>
            <w:r>
              <w:rPr>
                <w:spacing w:val="-2"/>
                <w:sz w:val="18"/>
              </w:rPr>
              <w:t>化肥、农药</w:t>
            </w:r>
          </w:p>
        </w:tc>
        <w:tc>
          <w:tcPr>
            <w:tcW w:w="5398" w:type="dxa"/>
            <w:gridSpan w:val="4"/>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、水温、悬浮物、硫化物、氟化物、挥发性酚、</w:t>
            </w:r>
            <w:r>
              <w:rPr>
                <w:spacing w:val="-2"/>
                <w:sz w:val="18"/>
                <w:vertAlign w:val="baseline"/>
              </w:rPr>
              <w:t>氰化物、砷、氨氮、磷酸盐、有机氯、有机磷</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tcBorders>
              <w:left w:val="nil"/>
            </w:tcBorders>
          </w:tcPr>
          <w:p>
            <w:pPr>
              <w:pStyle w:val="TableParagraph"/>
              <w:spacing w:before="120"/>
              <w:ind w:left="214" w:right="214"/>
              <w:jc w:val="center"/>
              <w:rPr>
                <w:rFonts w:ascii="Times New Roman"/>
                <w:sz w:val="18"/>
              </w:rPr>
            </w:pPr>
            <w:r>
              <w:rPr>
                <w:rFonts w:ascii="Times New Roman"/>
                <w:spacing w:val="-5"/>
                <w:sz w:val="18"/>
              </w:rPr>
              <w:t>12</w:t>
            </w:r>
          </w:p>
        </w:tc>
        <w:tc>
          <w:tcPr>
            <w:tcW w:w="2345" w:type="dxa"/>
            <w:gridSpan w:val="4"/>
          </w:tcPr>
          <w:p>
            <w:pPr>
              <w:pStyle w:val="TableParagraph"/>
              <w:spacing w:before="108"/>
              <w:ind w:left="103"/>
              <w:rPr>
                <w:sz w:val="18"/>
              </w:rPr>
            </w:pPr>
            <w:r>
              <w:rPr>
                <w:spacing w:val="-3"/>
                <w:sz w:val="18"/>
              </w:rPr>
              <w:t>食品工业</w:t>
            </w:r>
          </w:p>
        </w:tc>
        <w:tc>
          <w:tcPr>
            <w:tcW w:w="5398" w:type="dxa"/>
            <w:gridSpan w:val="4"/>
            <w:tcBorders>
              <w:right w:val="nil"/>
            </w:tcBorders>
          </w:tcPr>
          <w:p>
            <w:pPr>
              <w:pStyle w:val="TableParagraph"/>
              <w:spacing w:before="108"/>
              <w:ind w:left="102"/>
              <w:rPr>
                <w:sz w:val="18"/>
              </w:rPr>
            </w:pPr>
            <w:r>
              <w:rPr>
                <w:rFonts w:ascii="Times New Roman" w:eastAsia="Times New Roman"/>
                <w:sz w:val="18"/>
              </w:rPr>
              <w:t>COD</w:t>
            </w:r>
            <w:r>
              <w:rPr>
                <w:sz w:val="18"/>
              </w:rPr>
              <w:t>、</w:t>
            </w:r>
            <w:r>
              <w:rPr>
                <w:rFonts w:ascii="Times New Roman" w:eastAsia="Times New Roman"/>
                <w:sz w:val="18"/>
              </w:rPr>
              <w:t>BOD</w:t>
            </w:r>
            <w:r>
              <w:rPr>
                <w:rFonts w:ascii="Times New Roman" w:eastAsia="Times New Roman"/>
                <w:sz w:val="18"/>
                <w:vertAlign w:val="subscript"/>
              </w:rPr>
              <w:t>5</w:t>
            </w:r>
            <w:r>
              <w:rPr>
                <w:sz w:val="18"/>
                <w:vertAlign w:val="baseline"/>
              </w:rPr>
              <w:t>、悬浮物、</w:t>
            </w:r>
            <w:r>
              <w:rPr>
                <w:rFonts w:ascii="Times New Roman" w:eastAsia="Times New Roman"/>
                <w:sz w:val="18"/>
                <w:vertAlign w:val="baseline"/>
              </w:rPr>
              <w:t>pH</w:t>
            </w:r>
            <w:r>
              <w:rPr>
                <w:spacing w:val="-1"/>
                <w:sz w:val="18"/>
                <w:vertAlign w:val="baseline"/>
              </w:rPr>
              <w:t>、溶解氧、挥发性酚、大肠杆菌数</w:t>
            </w:r>
          </w:p>
        </w:tc>
      </w:tr>
      <w:tr>
        <w:tblPrEx>
          <w:tblW w:w="0" w:type="auto"/>
          <w:jc w:val="left"/>
          <w:tblInd w:w="119" w:type="dxa"/>
          <w:tblLayout w:type="fixed"/>
          <w:tblCellMar>
            <w:top w:w="0" w:type="dxa"/>
            <w:left w:w="0" w:type="dxa"/>
            <w:bottom w:w="0" w:type="dxa"/>
            <w:right w:w="0" w:type="dxa"/>
          </w:tblCellMar>
          <w:tblLook w:val="01E0"/>
        </w:tblPrEx>
        <w:trPr>
          <w:trHeight w:val="900"/>
          <w:jc w:val="left"/>
        </w:trPr>
        <w:tc>
          <w:tcPr>
            <w:tcW w:w="823" w:type="dxa"/>
            <w:tcBorders>
              <w:left w:val="nil"/>
            </w:tcBorders>
          </w:tcPr>
          <w:p>
            <w:pPr>
              <w:pStyle w:val="TableParagraph"/>
              <w:rPr>
                <w:sz w:val="29"/>
              </w:rPr>
            </w:pPr>
          </w:p>
          <w:p>
            <w:pPr>
              <w:pStyle w:val="TableParagraph"/>
              <w:ind w:left="214" w:right="214"/>
              <w:jc w:val="center"/>
              <w:rPr>
                <w:rFonts w:ascii="Times New Roman"/>
                <w:sz w:val="18"/>
              </w:rPr>
            </w:pPr>
            <w:r>
              <w:rPr>
                <w:rFonts w:ascii="Times New Roman"/>
                <w:spacing w:val="-5"/>
                <w:sz w:val="18"/>
              </w:rPr>
              <w:t>13</w:t>
            </w:r>
          </w:p>
        </w:tc>
        <w:tc>
          <w:tcPr>
            <w:tcW w:w="2345" w:type="dxa"/>
            <w:gridSpan w:val="4"/>
          </w:tcPr>
          <w:p>
            <w:pPr>
              <w:pStyle w:val="TableParagraph"/>
              <w:rPr>
                <w:sz w:val="18"/>
              </w:rPr>
            </w:pPr>
          </w:p>
          <w:p>
            <w:pPr>
              <w:pStyle w:val="TableParagraph"/>
              <w:spacing w:before="129"/>
              <w:ind w:left="103"/>
              <w:rPr>
                <w:sz w:val="18"/>
              </w:rPr>
            </w:pPr>
            <w:r>
              <w:rPr>
                <w:spacing w:val="-2"/>
                <w:sz w:val="18"/>
              </w:rPr>
              <w:t>染料、颜料及油漆</w:t>
            </w:r>
          </w:p>
        </w:tc>
        <w:tc>
          <w:tcPr>
            <w:tcW w:w="5398" w:type="dxa"/>
            <w:gridSpan w:val="4"/>
            <w:tcBorders>
              <w:right w:val="nil"/>
            </w:tcBorders>
          </w:tcPr>
          <w:p>
            <w:pPr>
              <w:pStyle w:val="TableParagraph"/>
              <w:spacing w:line="300" w:lineRule="exact"/>
              <w:ind w:left="102" w:right="100"/>
              <w:jc w:val="both"/>
              <w:rPr>
                <w:sz w:val="18"/>
              </w:rPr>
            </w:pPr>
            <w:r>
              <w:rPr>
                <w:rFonts w:ascii="Times New Roman" w:eastAsia="Times New Roman"/>
                <w:spacing w:val="-4"/>
                <w:sz w:val="18"/>
              </w:rPr>
              <w:t>pH</w:t>
            </w:r>
            <w:r>
              <w:rPr>
                <w:spacing w:val="-4"/>
                <w:sz w:val="18"/>
              </w:rPr>
              <w:t>（或酸、碱度</w:t>
            </w:r>
            <w:r>
              <w:rPr>
                <w:spacing w:val="-90"/>
                <w:sz w:val="18"/>
              </w:rPr>
              <w:t>）</w:t>
            </w:r>
            <w:r>
              <w:rPr>
                <w:spacing w:val="-4"/>
                <w:sz w:val="18"/>
              </w:rPr>
              <w:t>、</w:t>
            </w:r>
            <w:r>
              <w:rPr>
                <w:rFonts w:ascii="Times New Roman" w:eastAsia="Times New Roman"/>
                <w:spacing w:val="-4"/>
                <w:sz w:val="18"/>
              </w:rPr>
              <w:t>COD</w:t>
            </w:r>
            <w:r>
              <w:rPr>
                <w:spacing w:val="-4"/>
                <w:sz w:val="18"/>
              </w:rPr>
              <w:t>、</w:t>
            </w:r>
            <w:r>
              <w:rPr>
                <w:rFonts w:ascii="Times New Roman" w:eastAsia="Times New Roman"/>
                <w:spacing w:val="-4"/>
                <w:sz w:val="18"/>
              </w:rPr>
              <w:t>BOD</w:t>
            </w:r>
            <w:r>
              <w:rPr>
                <w:rFonts w:ascii="Times New Roman" w:eastAsia="Times New Roman"/>
                <w:spacing w:val="-4"/>
                <w:sz w:val="18"/>
                <w:vertAlign w:val="subscript"/>
              </w:rPr>
              <w:t>5</w:t>
            </w:r>
            <w:r>
              <w:rPr>
                <w:spacing w:val="-4"/>
                <w:sz w:val="18"/>
                <w:vertAlign w:val="baseline"/>
              </w:rPr>
              <w:t>、悬浮物、挥发性酚、硫化物、氰</w:t>
            </w:r>
            <w:r>
              <w:rPr>
                <w:spacing w:val="-2"/>
                <w:sz w:val="18"/>
                <w:vertAlign w:val="baseline"/>
              </w:rPr>
              <w:t>化物、砷、铅、镉、锌、汞、六价铬、石油类、苯胺类、苯类、硝</w:t>
            </w:r>
            <w:r>
              <w:rPr>
                <w:spacing w:val="-2"/>
                <w:sz w:val="18"/>
                <w:vertAlign w:val="baseline"/>
              </w:rPr>
              <w:t>基苯类、水温</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14</w:t>
            </w:r>
          </w:p>
        </w:tc>
        <w:tc>
          <w:tcPr>
            <w:tcW w:w="2345" w:type="dxa"/>
            <w:gridSpan w:val="4"/>
          </w:tcPr>
          <w:p>
            <w:pPr>
              <w:pStyle w:val="TableParagraph"/>
              <w:spacing w:before="5"/>
              <w:rPr>
                <w:sz w:val="16"/>
              </w:rPr>
            </w:pPr>
          </w:p>
          <w:p>
            <w:pPr>
              <w:pStyle w:val="TableParagraph"/>
              <w:ind w:left="103"/>
              <w:rPr>
                <w:sz w:val="18"/>
              </w:rPr>
            </w:pPr>
            <w:r>
              <w:rPr>
                <w:spacing w:val="-5"/>
                <w:sz w:val="18"/>
              </w:rPr>
              <w:t>制药</w:t>
            </w:r>
          </w:p>
        </w:tc>
        <w:tc>
          <w:tcPr>
            <w:tcW w:w="5398" w:type="dxa"/>
            <w:gridSpan w:val="4"/>
            <w:tcBorders>
              <w:right w:val="nil"/>
            </w:tcBorders>
          </w:tcPr>
          <w:p>
            <w:pPr>
              <w:pStyle w:val="TableParagraph"/>
              <w:spacing w:line="300" w:lineRule="exact"/>
              <w:ind w:left="102" w:right="101"/>
              <w:rPr>
                <w:sz w:val="18"/>
              </w:rPr>
            </w:pPr>
            <w:r>
              <w:rPr>
                <w:rFonts w:ascii="Times New Roman" w:eastAsia="Times New Roman"/>
                <w:spacing w:val="-4"/>
                <w:sz w:val="18"/>
              </w:rPr>
              <w:t>pH</w:t>
            </w:r>
            <w:r>
              <w:rPr>
                <w:spacing w:val="-4"/>
                <w:sz w:val="18"/>
              </w:rPr>
              <w:t>（或酸、碱度</w:t>
            </w:r>
            <w:r>
              <w:rPr>
                <w:spacing w:val="-90"/>
                <w:sz w:val="18"/>
              </w:rPr>
              <w:t>）</w:t>
            </w:r>
            <w:r>
              <w:rPr>
                <w:spacing w:val="-4"/>
                <w:sz w:val="18"/>
              </w:rPr>
              <w:t>、</w:t>
            </w:r>
            <w:r>
              <w:rPr>
                <w:rFonts w:ascii="Times New Roman" w:eastAsia="Times New Roman"/>
                <w:spacing w:val="-4"/>
                <w:sz w:val="18"/>
              </w:rPr>
              <w:t>COD</w:t>
            </w:r>
            <w:r>
              <w:rPr>
                <w:spacing w:val="-4"/>
                <w:sz w:val="18"/>
              </w:rPr>
              <w:t>、</w:t>
            </w:r>
            <w:r>
              <w:rPr>
                <w:rFonts w:ascii="Times New Roman" w:eastAsia="Times New Roman"/>
                <w:spacing w:val="-4"/>
                <w:sz w:val="18"/>
              </w:rPr>
              <w:t>BOD</w:t>
            </w:r>
            <w:r>
              <w:rPr>
                <w:rFonts w:ascii="Times New Roman" w:eastAsia="Times New Roman"/>
                <w:spacing w:val="-4"/>
                <w:sz w:val="18"/>
                <w:vertAlign w:val="subscript"/>
              </w:rPr>
              <w:t>5</w:t>
            </w:r>
            <w:r>
              <w:rPr>
                <w:spacing w:val="-4"/>
                <w:sz w:val="18"/>
                <w:vertAlign w:val="baseline"/>
              </w:rPr>
              <w:t>、悬浮物、石油类、硝基苯类、硝</w:t>
            </w:r>
            <w:r>
              <w:rPr>
                <w:spacing w:val="-2"/>
                <w:sz w:val="18"/>
                <w:vertAlign w:val="baseline"/>
              </w:rPr>
              <w:t>基酚类、水温</w:t>
            </w:r>
          </w:p>
        </w:tc>
      </w:tr>
      <w:tr>
        <w:tblPrEx>
          <w:tblW w:w="0" w:type="auto"/>
          <w:jc w:val="left"/>
          <w:tblInd w:w="119" w:type="dxa"/>
          <w:tblLayout w:type="fixed"/>
          <w:tblCellMar>
            <w:top w:w="0" w:type="dxa"/>
            <w:left w:w="0" w:type="dxa"/>
            <w:bottom w:w="0" w:type="dxa"/>
            <w:right w:w="0" w:type="dxa"/>
          </w:tblCellMar>
          <w:tblLook w:val="01E0"/>
        </w:tblPrEx>
        <w:trPr>
          <w:trHeight w:val="900"/>
          <w:jc w:val="left"/>
        </w:trPr>
        <w:tc>
          <w:tcPr>
            <w:tcW w:w="823" w:type="dxa"/>
            <w:tcBorders>
              <w:left w:val="nil"/>
            </w:tcBorders>
          </w:tcPr>
          <w:p>
            <w:pPr>
              <w:pStyle w:val="TableParagraph"/>
              <w:rPr>
                <w:sz w:val="29"/>
              </w:rPr>
            </w:pPr>
          </w:p>
          <w:p>
            <w:pPr>
              <w:pStyle w:val="TableParagraph"/>
              <w:ind w:left="214" w:right="214"/>
              <w:jc w:val="center"/>
              <w:rPr>
                <w:rFonts w:ascii="Times New Roman"/>
                <w:sz w:val="18"/>
              </w:rPr>
            </w:pPr>
            <w:r>
              <w:rPr>
                <w:rFonts w:ascii="Times New Roman"/>
                <w:spacing w:val="-5"/>
                <w:sz w:val="18"/>
              </w:rPr>
              <w:t>15</w:t>
            </w:r>
          </w:p>
        </w:tc>
        <w:tc>
          <w:tcPr>
            <w:tcW w:w="2345" w:type="dxa"/>
            <w:gridSpan w:val="4"/>
          </w:tcPr>
          <w:p>
            <w:pPr>
              <w:pStyle w:val="TableParagraph"/>
              <w:rPr>
                <w:sz w:val="18"/>
              </w:rPr>
            </w:pPr>
          </w:p>
          <w:p>
            <w:pPr>
              <w:pStyle w:val="TableParagraph"/>
              <w:spacing w:before="129"/>
              <w:ind w:left="103"/>
              <w:rPr>
                <w:sz w:val="18"/>
              </w:rPr>
            </w:pPr>
            <w:r>
              <w:rPr>
                <w:spacing w:val="-2"/>
                <w:sz w:val="18"/>
              </w:rPr>
              <w:t>橡胶、塑料及化纤</w:t>
            </w:r>
          </w:p>
        </w:tc>
        <w:tc>
          <w:tcPr>
            <w:tcW w:w="5398" w:type="dxa"/>
            <w:gridSpan w:val="4"/>
            <w:tcBorders>
              <w:right w:val="nil"/>
            </w:tcBorders>
          </w:tcPr>
          <w:p>
            <w:pPr>
              <w:pStyle w:val="TableParagraph"/>
              <w:spacing w:line="300" w:lineRule="exact"/>
              <w:ind w:left="102" w:right="10"/>
              <w:jc w:val="both"/>
              <w:rPr>
                <w:rFonts w:ascii="Times New Roman" w:eastAsia="Times New Roman"/>
                <w:sz w:val="18"/>
              </w:rPr>
            </w:pPr>
            <w:r>
              <w:rPr>
                <w:rFonts w:ascii="Times New Roman" w:eastAsia="Times New Roman"/>
                <w:spacing w:val="-6"/>
                <w:sz w:val="18"/>
              </w:rPr>
              <w:t>pH</w:t>
            </w:r>
            <w:r>
              <w:rPr>
                <w:spacing w:val="-6"/>
                <w:sz w:val="18"/>
              </w:rPr>
              <w:t>（或酸、碱度</w:t>
            </w:r>
            <w:r>
              <w:rPr>
                <w:spacing w:val="-90"/>
                <w:sz w:val="18"/>
              </w:rPr>
              <w:t>）</w:t>
            </w:r>
            <w:r>
              <w:rPr>
                <w:spacing w:val="-6"/>
                <w:sz w:val="18"/>
              </w:rPr>
              <w:t>、</w:t>
            </w:r>
            <w:r>
              <w:rPr>
                <w:rFonts w:ascii="Times New Roman" w:eastAsia="Times New Roman"/>
                <w:spacing w:val="-6"/>
                <w:sz w:val="18"/>
              </w:rPr>
              <w:t>COD</w:t>
            </w:r>
            <w:r>
              <w:rPr>
                <w:spacing w:val="-6"/>
                <w:sz w:val="18"/>
              </w:rPr>
              <w:t>、</w:t>
            </w:r>
            <w:r>
              <w:rPr>
                <w:rFonts w:ascii="Times New Roman" w:eastAsia="Times New Roman"/>
                <w:spacing w:val="-6"/>
                <w:sz w:val="18"/>
              </w:rPr>
              <w:t>BOD</w:t>
            </w:r>
            <w:r>
              <w:rPr>
                <w:rFonts w:ascii="Times New Roman" w:eastAsia="Times New Roman"/>
                <w:spacing w:val="-6"/>
                <w:sz w:val="18"/>
                <w:vertAlign w:val="subscript"/>
              </w:rPr>
              <w:t>5</w:t>
            </w:r>
            <w:r>
              <w:rPr>
                <w:spacing w:val="-6"/>
                <w:sz w:val="18"/>
                <w:vertAlign w:val="baseline"/>
              </w:rPr>
              <w:t>、水温、石油类、硫化物、氰化物、砷、铜、铅、锌、汞、六价铬、悬浮物、苯类、有机氯、多环芳烃、</w:t>
            </w:r>
            <w:r>
              <w:rPr>
                <w:spacing w:val="-6"/>
                <w:sz w:val="18"/>
                <w:vertAlign w:val="baseline"/>
              </w:rPr>
              <w:t xml:space="preserve"> </w:t>
            </w:r>
            <w:r>
              <w:rPr>
                <w:rFonts w:ascii="Times New Roman" w:eastAsia="Times New Roman"/>
                <w:spacing w:val="-4"/>
                <w:sz w:val="18"/>
                <w:vertAlign w:val="baseline"/>
              </w:rPr>
              <w:t>BaP</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16</w:t>
            </w:r>
          </w:p>
        </w:tc>
        <w:tc>
          <w:tcPr>
            <w:tcW w:w="2345" w:type="dxa"/>
            <w:gridSpan w:val="4"/>
          </w:tcPr>
          <w:p>
            <w:pPr>
              <w:pStyle w:val="TableParagraph"/>
              <w:spacing w:line="300" w:lineRule="exact"/>
              <w:ind w:left="103" w:right="100"/>
              <w:rPr>
                <w:sz w:val="18"/>
              </w:rPr>
            </w:pPr>
            <w:r>
              <w:rPr>
                <w:spacing w:val="-4"/>
                <w:sz w:val="18"/>
              </w:rPr>
              <w:t>有机原料、合成脂肪酸及其</w:t>
            </w:r>
            <w:r>
              <w:rPr>
                <w:spacing w:val="-2"/>
                <w:sz w:val="18"/>
              </w:rPr>
              <w:t>他有机化工</w:t>
            </w:r>
          </w:p>
        </w:tc>
        <w:tc>
          <w:tcPr>
            <w:tcW w:w="5398" w:type="dxa"/>
            <w:gridSpan w:val="4"/>
            <w:tcBorders>
              <w:right w:val="nil"/>
            </w:tcBorders>
          </w:tcPr>
          <w:p>
            <w:pPr>
              <w:pStyle w:val="TableParagraph"/>
              <w:spacing w:line="300" w:lineRule="exact"/>
              <w:ind w:left="102" w:right="101"/>
              <w:rPr>
                <w:sz w:val="18"/>
              </w:rPr>
            </w:pPr>
            <w:r>
              <w:rPr>
                <w:rFonts w:ascii="Times New Roman" w:eastAsia="Times New Roman"/>
                <w:spacing w:val="-4"/>
                <w:sz w:val="18"/>
              </w:rPr>
              <w:t>pH</w:t>
            </w:r>
            <w:r>
              <w:rPr>
                <w:spacing w:val="-4"/>
                <w:sz w:val="18"/>
              </w:rPr>
              <w:t>（或酸、碱度</w:t>
            </w:r>
            <w:r>
              <w:rPr>
                <w:spacing w:val="-90"/>
                <w:sz w:val="18"/>
              </w:rPr>
              <w:t>）</w:t>
            </w:r>
            <w:r>
              <w:rPr>
                <w:spacing w:val="-4"/>
                <w:sz w:val="18"/>
              </w:rPr>
              <w:t>、</w:t>
            </w:r>
            <w:r>
              <w:rPr>
                <w:rFonts w:ascii="Times New Roman" w:eastAsia="Times New Roman"/>
                <w:spacing w:val="-4"/>
                <w:sz w:val="18"/>
              </w:rPr>
              <w:t>COD</w:t>
            </w:r>
            <w:r>
              <w:rPr>
                <w:spacing w:val="-4"/>
                <w:sz w:val="18"/>
              </w:rPr>
              <w:t>、</w:t>
            </w:r>
            <w:r>
              <w:rPr>
                <w:rFonts w:ascii="Times New Roman" w:eastAsia="Times New Roman"/>
                <w:spacing w:val="-4"/>
                <w:sz w:val="18"/>
              </w:rPr>
              <w:t>BOD</w:t>
            </w:r>
            <w:r>
              <w:rPr>
                <w:rFonts w:ascii="Times New Roman" w:eastAsia="Times New Roman"/>
                <w:spacing w:val="-4"/>
                <w:sz w:val="18"/>
                <w:vertAlign w:val="subscript"/>
              </w:rPr>
              <w:t>5</w:t>
            </w:r>
            <w:r>
              <w:rPr>
                <w:spacing w:val="-4"/>
                <w:sz w:val="18"/>
                <w:vertAlign w:val="baseline"/>
              </w:rPr>
              <w:t>、悬浮物、挥发性酚、氰化物、苯</w:t>
            </w:r>
            <w:r>
              <w:rPr>
                <w:spacing w:val="-2"/>
                <w:sz w:val="18"/>
                <w:vertAlign w:val="baseline"/>
              </w:rPr>
              <w:t>类、硝基苯类、有机氯、石油类、锰、油脂类、硫化物</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17</w:t>
            </w:r>
          </w:p>
        </w:tc>
        <w:tc>
          <w:tcPr>
            <w:tcW w:w="2345" w:type="dxa"/>
            <w:gridSpan w:val="4"/>
          </w:tcPr>
          <w:p>
            <w:pPr>
              <w:pStyle w:val="TableParagraph"/>
              <w:spacing w:before="5"/>
              <w:rPr>
                <w:sz w:val="16"/>
              </w:rPr>
            </w:pPr>
          </w:p>
          <w:p>
            <w:pPr>
              <w:pStyle w:val="TableParagraph"/>
              <w:ind w:left="103"/>
              <w:rPr>
                <w:sz w:val="18"/>
              </w:rPr>
            </w:pPr>
            <w:r>
              <w:rPr>
                <w:spacing w:val="-2"/>
                <w:sz w:val="18"/>
              </w:rPr>
              <w:t>机械制造及电镀</w:t>
            </w:r>
          </w:p>
        </w:tc>
        <w:tc>
          <w:tcPr>
            <w:tcW w:w="5398" w:type="dxa"/>
            <w:gridSpan w:val="4"/>
            <w:tcBorders>
              <w:right w:val="nil"/>
            </w:tcBorders>
          </w:tcPr>
          <w:p>
            <w:pPr>
              <w:pStyle w:val="TableParagraph"/>
              <w:spacing w:line="300" w:lineRule="exact"/>
              <w:ind w:left="102" w:right="11"/>
              <w:rPr>
                <w:sz w:val="18"/>
              </w:rPr>
            </w:pPr>
            <w:r>
              <w:rPr>
                <w:rFonts w:ascii="Times New Roman" w:eastAsia="Times New Roman"/>
                <w:spacing w:val="-6"/>
                <w:sz w:val="18"/>
              </w:rPr>
              <w:t>pH</w:t>
            </w:r>
            <w:r>
              <w:rPr>
                <w:spacing w:val="-6"/>
                <w:sz w:val="18"/>
              </w:rPr>
              <w:t>（或酸度</w:t>
            </w:r>
            <w:r>
              <w:rPr>
                <w:spacing w:val="-90"/>
                <w:sz w:val="18"/>
              </w:rPr>
              <w:t>）</w:t>
            </w:r>
            <w:r>
              <w:rPr>
                <w:spacing w:val="-6"/>
                <w:sz w:val="18"/>
              </w:rPr>
              <w:t>、</w:t>
            </w:r>
            <w:r>
              <w:rPr>
                <w:rFonts w:ascii="Times New Roman" w:eastAsia="Times New Roman"/>
                <w:spacing w:val="-6"/>
                <w:sz w:val="18"/>
              </w:rPr>
              <w:t>COD</w:t>
            </w:r>
            <w:r>
              <w:rPr>
                <w:spacing w:val="-6"/>
                <w:sz w:val="18"/>
              </w:rPr>
              <w:t>、</w:t>
            </w:r>
            <w:r>
              <w:rPr>
                <w:rFonts w:ascii="Times New Roman" w:eastAsia="Times New Roman"/>
                <w:spacing w:val="-6"/>
                <w:sz w:val="18"/>
              </w:rPr>
              <w:t>BOD</w:t>
            </w:r>
            <w:r>
              <w:rPr>
                <w:rFonts w:ascii="Times New Roman" w:eastAsia="Times New Roman"/>
                <w:spacing w:val="-6"/>
                <w:sz w:val="18"/>
                <w:vertAlign w:val="subscript"/>
              </w:rPr>
              <w:t>5</w:t>
            </w:r>
            <w:r>
              <w:rPr>
                <w:spacing w:val="-6"/>
                <w:sz w:val="18"/>
                <w:vertAlign w:val="baseline"/>
              </w:rPr>
              <w:t>、悬浮物、挥发性酚、石油类、氰化物、</w:t>
            </w:r>
            <w:r>
              <w:rPr>
                <w:spacing w:val="-2"/>
                <w:sz w:val="18"/>
                <w:vertAlign w:val="baseline"/>
              </w:rPr>
              <w:t>六价铬、铅、铁、铜、锌、镍、镉、锡、汞</w:t>
            </w:r>
          </w:p>
        </w:tc>
      </w:tr>
      <w:tr>
        <w:tblPrEx>
          <w:tblW w:w="0" w:type="auto"/>
          <w:jc w:val="left"/>
          <w:tblInd w:w="119" w:type="dxa"/>
          <w:tblLayout w:type="fixed"/>
          <w:tblCellMar>
            <w:top w:w="0" w:type="dxa"/>
            <w:left w:w="0" w:type="dxa"/>
            <w:bottom w:w="0" w:type="dxa"/>
            <w:right w:w="0" w:type="dxa"/>
          </w:tblCellMar>
          <w:tblLook w:val="01E0"/>
        </w:tblPrEx>
        <w:trPr>
          <w:trHeight w:val="396"/>
          <w:jc w:val="left"/>
        </w:trPr>
        <w:tc>
          <w:tcPr>
            <w:tcW w:w="823" w:type="dxa"/>
            <w:tcBorders>
              <w:left w:val="nil"/>
            </w:tcBorders>
          </w:tcPr>
          <w:p>
            <w:pPr>
              <w:pStyle w:val="TableParagraph"/>
              <w:spacing w:before="120"/>
              <w:ind w:left="214" w:right="214"/>
              <w:jc w:val="center"/>
              <w:rPr>
                <w:rFonts w:ascii="Times New Roman"/>
                <w:sz w:val="18"/>
              </w:rPr>
            </w:pPr>
            <w:r>
              <w:rPr>
                <w:rFonts w:ascii="Times New Roman"/>
                <w:spacing w:val="-5"/>
                <w:sz w:val="18"/>
              </w:rPr>
              <w:t>18</w:t>
            </w:r>
          </w:p>
        </w:tc>
        <w:tc>
          <w:tcPr>
            <w:tcW w:w="2345" w:type="dxa"/>
            <w:gridSpan w:val="4"/>
          </w:tcPr>
          <w:p>
            <w:pPr>
              <w:pStyle w:val="TableParagraph"/>
              <w:spacing w:before="108"/>
              <w:ind w:left="103"/>
              <w:rPr>
                <w:sz w:val="18"/>
              </w:rPr>
            </w:pPr>
            <w:r>
              <w:rPr>
                <w:spacing w:val="-5"/>
                <w:sz w:val="18"/>
              </w:rPr>
              <w:t>水泥</w:t>
            </w:r>
          </w:p>
        </w:tc>
        <w:tc>
          <w:tcPr>
            <w:tcW w:w="5398" w:type="dxa"/>
            <w:gridSpan w:val="4"/>
            <w:tcBorders>
              <w:right w:val="nil"/>
            </w:tcBorders>
          </w:tcPr>
          <w:p>
            <w:pPr>
              <w:pStyle w:val="TableParagraph"/>
              <w:spacing w:before="108"/>
              <w:ind w:left="102"/>
              <w:rPr>
                <w:sz w:val="18"/>
              </w:rPr>
            </w:pPr>
            <w:r>
              <w:rPr>
                <w:rFonts w:ascii="Times New Roman" w:eastAsia="Times New Roman"/>
                <w:sz w:val="18"/>
              </w:rPr>
              <w:t>pH</w:t>
            </w:r>
            <w:r>
              <w:rPr>
                <w:spacing w:val="-3"/>
                <w:sz w:val="18"/>
              </w:rPr>
              <w:t>、悬浮物</w:t>
            </w:r>
          </w:p>
        </w:tc>
      </w:tr>
    </w:tbl>
    <w:p>
      <w:pPr>
        <w:spacing w:after="0"/>
        <w:rPr>
          <w:sz w:val="18"/>
        </w:rPr>
        <w:sectPr>
          <w:footerReference w:type="even" r:id="rId32"/>
          <w:footerReference w:type="default" r:id="rId33"/>
          <w:pgSz w:w="11910" w:h="16840"/>
          <w:pgMar w:top="1420" w:right="1500" w:bottom="1362" w:left="1580" w:header="0" w:footer="990"/>
          <w:pgNumType w:start="614"/>
          <w:cols w:space="708"/>
        </w:sectPr>
      </w:pPr>
    </w:p>
    <w:tbl>
      <w:tblPr>
        <w:tblStyle w:val="TableNormal9"/>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23"/>
        <w:gridCol w:w="2345"/>
        <w:gridCol w:w="5398"/>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97"/>
          <w:jc w:val="left"/>
        </w:trPr>
        <w:tc>
          <w:tcPr>
            <w:tcW w:w="823" w:type="dxa"/>
            <w:tcBorders>
              <w:left w:val="nil"/>
            </w:tcBorders>
          </w:tcPr>
          <w:p>
            <w:pPr>
              <w:pStyle w:val="TableParagraph"/>
              <w:spacing w:before="108"/>
              <w:ind w:left="214" w:right="214"/>
              <w:jc w:val="center"/>
              <w:rPr>
                <w:sz w:val="18"/>
              </w:rPr>
            </w:pPr>
            <w:r>
              <w:rPr>
                <w:spacing w:val="-5"/>
                <w:sz w:val="18"/>
              </w:rPr>
              <w:t>序号</w:t>
            </w:r>
          </w:p>
        </w:tc>
        <w:tc>
          <w:tcPr>
            <w:tcW w:w="2345" w:type="dxa"/>
          </w:tcPr>
          <w:p>
            <w:pPr>
              <w:pStyle w:val="TableParagraph"/>
              <w:spacing w:before="108"/>
              <w:ind w:left="537"/>
              <w:rPr>
                <w:sz w:val="18"/>
              </w:rPr>
            </w:pPr>
            <w:r>
              <w:rPr>
                <w:sz w:val="18"/>
              </w:rPr>
              <w:t>建</w:t>
            </w:r>
            <w:r>
              <w:rPr>
                <w:spacing w:val="45"/>
                <w:w w:val="150"/>
                <w:sz w:val="18"/>
              </w:rPr>
              <w:t xml:space="preserve"> </w:t>
            </w:r>
            <w:r>
              <w:rPr>
                <w:sz w:val="18"/>
              </w:rPr>
              <w:t>设</w:t>
            </w:r>
            <w:r>
              <w:rPr>
                <w:spacing w:val="45"/>
                <w:w w:val="150"/>
                <w:sz w:val="18"/>
              </w:rPr>
              <w:t xml:space="preserve"> </w:t>
            </w:r>
            <w:r>
              <w:rPr>
                <w:sz w:val="18"/>
              </w:rPr>
              <w:t>项</w:t>
            </w:r>
            <w:r>
              <w:rPr>
                <w:spacing w:val="45"/>
                <w:w w:val="150"/>
                <w:sz w:val="18"/>
              </w:rPr>
              <w:t xml:space="preserve"> </w:t>
            </w:r>
            <w:r>
              <w:rPr>
                <w:spacing w:val="-10"/>
                <w:sz w:val="18"/>
              </w:rPr>
              <w:t>目</w:t>
            </w:r>
          </w:p>
        </w:tc>
        <w:tc>
          <w:tcPr>
            <w:tcW w:w="5398" w:type="dxa"/>
            <w:tcBorders>
              <w:right w:val="nil"/>
            </w:tcBorders>
          </w:tcPr>
          <w:p>
            <w:pPr>
              <w:pStyle w:val="TableParagraph"/>
              <w:tabs>
                <w:tab w:val="left" w:pos="2333"/>
                <w:tab w:val="left" w:pos="2873"/>
                <w:tab w:val="left" w:pos="3413"/>
              </w:tabs>
              <w:spacing w:before="108"/>
              <w:ind w:left="1793"/>
              <w:rPr>
                <w:sz w:val="18"/>
              </w:rPr>
            </w:pPr>
            <w:r>
              <w:rPr>
                <w:spacing w:val="-10"/>
                <w:sz w:val="18"/>
              </w:rPr>
              <w:t>水</w:t>
            </w:r>
            <w:r>
              <w:rPr>
                <w:sz w:val="18"/>
              </w:rPr>
              <w:tab/>
            </w:r>
            <w:r>
              <w:rPr>
                <w:spacing w:val="-10"/>
                <w:sz w:val="18"/>
              </w:rPr>
              <w:t>质</w:t>
            </w:r>
            <w:r>
              <w:rPr>
                <w:sz w:val="18"/>
              </w:rPr>
              <w:tab/>
            </w:r>
            <w:r>
              <w:rPr>
                <w:spacing w:val="-10"/>
                <w:sz w:val="18"/>
              </w:rPr>
              <w:t>参</w:t>
            </w:r>
            <w:r>
              <w:rPr>
                <w:sz w:val="18"/>
              </w:rPr>
              <w:tab/>
            </w:r>
            <w:r>
              <w:rPr>
                <w:spacing w:val="-10"/>
                <w:sz w:val="18"/>
              </w:rPr>
              <w:t>数</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19</w:t>
            </w:r>
          </w:p>
        </w:tc>
        <w:tc>
          <w:tcPr>
            <w:tcW w:w="2345" w:type="dxa"/>
          </w:tcPr>
          <w:p>
            <w:pPr>
              <w:pStyle w:val="TableParagraph"/>
              <w:spacing w:before="5"/>
              <w:rPr>
                <w:sz w:val="16"/>
              </w:rPr>
            </w:pPr>
          </w:p>
          <w:p>
            <w:pPr>
              <w:pStyle w:val="TableParagraph"/>
              <w:ind w:left="103"/>
              <w:rPr>
                <w:sz w:val="18"/>
              </w:rPr>
            </w:pPr>
            <w:r>
              <w:rPr>
                <w:spacing w:val="-2"/>
                <w:sz w:val="18"/>
              </w:rPr>
              <w:t>纺织、印染</w:t>
            </w:r>
          </w:p>
        </w:tc>
        <w:tc>
          <w:tcPr>
            <w:tcW w:w="5398" w:type="dxa"/>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、悬浮物、水温、挥发性酚、硫化物、苯胺类、</w:t>
            </w:r>
            <w:r>
              <w:rPr>
                <w:spacing w:val="-2"/>
                <w:sz w:val="18"/>
                <w:vertAlign w:val="baseline"/>
              </w:rPr>
              <w:t>色度、六价铬</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20</w:t>
            </w:r>
          </w:p>
        </w:tc>
        <w:tc>
          <w:tcPr>
            <w:tcW w:w="2345" w:type="dxa"/>
          </w:tcPr>
          <w:p>
            <w:pPr>
              <w:pStyle w:val="TableParagraph"/>
              <w:spacing w:before="5"/>
              <w:rPr>
                <w:sz w:val="16"/>
              </w:rPr>
            </w:pPr>
          </w:p>
          <w:p>
            <w:pPr>
              <w:pStyle w:val="TableParagraph"/>
              <w:ind w:left="103"/>
              <w:rPr>
                <w:sz w:val="18"/>
              </w:rPr>
            </w:pPr>
            <w:r>
              <w:rPr>
                <w:spacing w:val="-5"/>
                <w:sz w:val="18"/>
              </w:rPr>
              <w:t>造纸</w:t>
            </w:r>
          </w:p>
        </w:tc>
        <w:tc>
          <w:tcPr>
            <w:tcW w:w="5398" w:type="dxa"/>
            <w:tcBorders>
              <w:right w:val="nil"/>
            </w:tcBorders>
          </w:tcPr>
          <w:p>
            <w:pPr>
              <w:pStyle w:val="TableParagraph"/>
              <w:spacing w:line="300" w:lineRule="exact"/>
              <w:ind w:left="102" w:right="12"/>
              <w:rPr>
                <w:sz w:val="18"/>
              </w:rPr>
            </w:pPr>
            <w:r>
              <w:rPr>
                <w:rFonts w:ascii="Times New Roman" w:eastAsia="Times New Roman"/>
                <w:spacing w:val="-2"/>
                <w:sz w:val="18"/>
              </w:rPr>
              <w:t>pH</w:t>
            </w:r>
            <w:r>
              <w:rPr>
                <w:spacing w:val="-2"/>
                <w:sz w:val="18"/>
              </w:rPr>
              <w:t>（或碱度</w:t>
            </w:r>
            <w:r>
              <w:rPr>
                <w:spacing w:val="-90"/>
                <w:sz w:val="18"/>
              </w:rPr>
              <w:t>）</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、悬浮物、水温、挥发性酚、硫化物、</w:t>
            </w:r>
            <w:r>
              <w:rPr>
                <w:spacing w:val="-2"/>
                <w:sz w:val="18"/>
                <w:vertAlign w:val="baseline"/>
              </w:rPr>
              <w:t>铅、汞、木质素、色度</w:t>
            </w:r>
          </w:p>
        </w:tc>
      </w:tr>
      <w:tr>
        <w:tblPrEx>
          <w:tblW w:w="0" w:type="auto"/>
          <w:jc w:val="left"/>
          <w:tblInd w:w="119" w:type="dxa"/>
          <w:tblLayout w:type="fixed"/>
          <w:tblCellMar>
            <w:top w:w="0" w:type="dxa"/>
            <w:left w:w="0" w:type="dxa"/>
            <w:bottom w:w="0" w:type="dxa"/>
            <w:right w:w="0" w:type="dxa"/>
          </w:tblCellMar>
          <w:tblLook w:val="01E0"/>
        </w:tblPrEx>
        <w:trPr>
          <w:trHeight w:val="396"/>
          <w:jc w:val="left"/>
        </w:trPr>
        <w:tc>
          <w:tcPr>
            <w:tcW w:w="823" w:type="dxa"/>
            <w:tcBorders>
              <w:left w:val="nil"/>
            </w:tcBorders>
          </w:tcPr>
          <w:p>
            <w:pPr>
              <w:pStyle w:val="TableParagraph"/>
              <w:spacing w:before="120"/>
              <w:ind w:left="214" w:right="214"/>
              <w:jc w:val="center"/>
              <w:rPr>
                <w:rFonts w:ascii="Times New Roman"/>
                <w:sz w:val="18"/>
              </w:rPr>
            </w:pPr>
            <w:r>
              <w:rPr>
                <w:rFonts w:ascii="Times New Roman"/>
                <w:spacing w:val="-5"/>
                <w:sz w:val="18"/>
              </w:rPr>
              <w:t>21</w:t>
            </w:r>
          </w:p>
        </w:tc>
        <w:tc>
          <w:tcPr>
            <w:tcW w:w="2345" w:type="dxa"/>
          </w:tcPr>
          <w:p>
            <w:pPr>
              <w:pStyle w:val="TableParagraph"/>
              <w:spacing w:before="108"/>
              <w:ind w:left="103"/>
              <w:rPr>
                <w:sz w:val="18"/>
              </w:rPr>
            </w:pPr>
            <w:r>
              <w:rPr>
                <w:spacing w:val="-5"/>
                <w:sz w:val="18"/>
              </w:rPr>
              <w:t>玻璃、玻璃纤维及陶瓷制品</w:t>
            </w:r>
          </w:p>
        </w:tc>
        <w:tc>
          <w:tcPr>
            <w:tcW w:w="5398" w:type="dxa"/>
            <w:tcBorders>
              <w:right w:val="nil"/>
            </w:tcBorders>
          </w:tcPr>
          <w:p>
            <w:pPr>
              <w:pStyle w:val="TableParagraph"/>
              <w:spacing w:before="108"/>
              <w:ind w:left="102"/>
              <w:rPr>
                <w:sz w:val="18"/>
              </w:rPr>
            </w:pPr>
            <w:r>
              <w:rPr>
                <w:rFonts w:ascii="Times New Roman" w:eastAsia="Times New Roman"/>
                <w:sz w:val="18"/>
              </w:rPr>
              <w:t>pH</w:t>
            </w:r>
            <w:r>
              <w:rPr>
                <w:sz w:val="18"/>
              </w:rPr>
              <w:t>、</w:t>
            </w:r>
            <w:r>
              <w:rPr>
                <w:rFonts w:ascii="Times New Roman" w:eastAsia="Times New Roman"/>
                <w:sz w:val="18"/>
              </w:rPr>
              <w:t>COD</w:t>
            </w:r>
            <w:r>
              <w:rPr>
                <w:spacing w:val="-1"/>
                <w:sz w:val="18"/>
              </w:rPr>
              <w:t>、悬浮物、水温、挥发性酚、氰化物、砷、铅、镉</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22</w:t>
            </w:r>
          </w:p>
        </w:tc>
        <w:tc>
          <w:tcPr>
            <w:tcW w:w="2345" w:type="dxa"/>
          </w:tcPr>
          <w:p>
            <w:pPr>
              <w:pStyle w:val="TableParagraph"/>
              <w:spacing w:before="5"/>
              <w:rPr>
                <w:sz w:val="16"/>
              </w:rPr>
            </w:pPr>
          </w:p>
          <w:p>
            <w:pPr>
              <w:pStyle w:val="TableParagraph"/>
              <w:ind w:left="103"/>
              <w:rPr>
                <w:sz w:val="18"/>
              </w:rPr>
            </w:pPr>
            <w:r>
              <w:rPr>
                <w:spacing w:val="-2"/>
                <w:sz w:val="18"/>
              </w:rPr>
              <w:t>电子、仪器、仪表</w:t>
            </w:r>
          </w:p>
        </w:tc>
        <w:tc>
          <w:tcPr>
            <w:tcW w:w="5398" w:type="dxa"/>
            <w:tcBorders>
              <w:right w:val="nil"/>
            </w:tcBorders>
          </w:tcPr>
          <w:p>
            <w:pPr>
              <w:pStyle w:val="TableParagraph"/>
              <w:spacing w:line="300" w:lineRule="exact"/>
              <w:ind w:left="102" w:right="101"/>
              <w:rPr>
                <w:sz w:val="18"/>
              </w:rPr>
            </w:pPr>
            <w:r>
              <w:rPr>
                <w:rFonts w:ascii="Times New Roman" w:eastAsia="Times New Roman"/>
                <w:sz w:val="18"/>
              </w:rPr>
              <w:t>pH</w:t>
            </w:r>
            <w:r>
              <w:rPr>
                <w:spacing w:val="7"/>
                <w:sz w:val="18"/>
              </w:rPr>
              <w:t>（或酸度</w:t>
            </w:r>
            <w:r>
              <w:rPr>
                <w:spacing w:val="-83"/>
                <w:sz w:val="18"/>
              </w:rPr>
              <w:t>）</w:t>
            </w:r>
            <w:r>
              <w:rPr>
                <w:spacing w:val="7"/>
                <w:sz w:val="18"/>
              </w:rPr>
              <w:t>、</w:t>
            </w:r>
            <w:r>
              <w:rPr>
                <w:rFonts w:ascii="Times New Roman" w:eastAsia="Times New Roman"/>
                <w:sz w:val="18"/>
              </w:rPr>
              <w:t>COD</w:t>
            </w:r>
            <w:r>
              <w:rPr>
                <w:spacing w:val="5"/>
                <w:sz w:val="18"/>
              </w:rPr>
              <w:t>、水温、苯类、氰化物、六价铬、铜、锌、</w:t>
            </w:r>
            <w:r>
              <w:rPr>
                <w:sz w:val="18"/>
              </w:rPr>
              <w:t>镍 、镉、铅、汞</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23</w:t>
            </w:r>
          </w:p>
        </w:tc>
        <w:tc>
          <w:tcPr>
            <w:tcW w:w="2345" w:type="dxa"/>
          </w:tcPr>
          <w:p>
            <w:pPr>
              <w:pStyle w:val="TableParagraph"/>
              <w:spacing w:before="5"/>
              <w:rPr>
                <w:sz w:val="16"/>
              </w:rPr>
            </w:pPr>
          </w:p>
          <w:p>
            <w:pPr>
              <w:pStyle w:val="TableParagraph"/>
              <w:ind w:left="103"/>
              <w:rPr>
                <w:sz w:val="18"/>
              </w:rPr>
            </w:pPr>
            <w:r>
              <w:rPr>
                <w:spacing w:val="-2"/>
                <w:sz w:val="18"/>
              </w:rPr>
              <w:t>人造板、木材加工</w:t>
            </w:r>
          </w:p>
        </w:tc>
        <w:tc>
          <w:tcPr>
            <w:tcW w:w="5398" w:type="dxa"/>
            <w:tcBorders>
              <w:right w:val="nil"/>
            </w:tcBorders>
          </w:tcPr>
          <w:p>
            <w:pPr>
              <w:pStyle w:val="TableParagraph"/>
              <w:spacing w:line="300" w:lineRule="exact"/>
              <w:ind w:left="102" w:right="101"/>
              <w:rPr>
                <w:sz w:val="18"/>
              </w:rPr>
            </w:pPr>
            <w:r>
              <w:rPr>
                <w:rFonts w:ascii="Times New Roman" w:eastAsia="Times New Roman"/>
                <w:spacing w:val="-4"/>
                <w:sz w:val="18"/>
              </w:rPr>
              <w:t>pH</w:t>
            </w:r>
            <w:r>
              <w:rPr>
                <w:spacing w:val="-4"/>
                <w:sz w:val="18"/>
              </w:rPr>
              <w:t>（或酸、碱度</w:t>
            </w:r>
            <w:r>
              <w:rPr>
                <w:spacing w:val="-90"/>
                <w:sz w:val="18"/>
              </w:rPr>
              <w:t>）</w:t>
            </w:r>
            <w:r>
              <w:rPr>
                <w:spacing w:val="-4"/>
                <w:sz w:val="18"/>
              </w:rPr>
              <w:t>、</w:t>
            </w:r>
            <w:r>
              <w:rPr>
                <w:rFonts w:ascii="Times New Roman" w:eastAsia="Times New Roman"/>
                <w:spacing w:val="-4"/>
                <w:sz w:val="18"/>
              </w:rPr>
              <w:t>COD</w:t>
            </w:r>
            <w:r>
              <w:rPr>
                <w:spacing w:val="-4"/>
                <w:sz w:val="18"/>
              </w:rPr>
              <w:t>、</w:t>
            </w:r>
            <w:r>
              <w:rPr>
                <w:rFonts w:ascii="Times New Roman" w:eastAsia="Times New Roman"/>
                <w:spacing w:val="-4"/>
                <w:sz w:val="18"/>
              </w:rPr>
              <w:t>BOD</w:t>
            </w:r>
            <w:r>
              <w:rPr>
                <w:rFonts w:ascii="Times New Roman" w:eastAsia="Times New Roman"/>
                <w:spacing w:val="-4"/>
                <w:sz w:val="18"/>
                <w:vertAlign w:val="subscript"/>
              </w:rPr>
              <w:t>5</w:t>
            </w:r>
            <w:r>
              <w:rPr>
                <w:spacing w:val="-4"/>
                <w:sz w:val="18"/>
                <w:vertAlign w:val="baseline"/>
              </w:rPr>
              <w:t>、悬浮物、水温、挥发性酚、木质</w:t>
            </w:r>
            <w:r>
              <w:rPr>
                <w:spacing w:val="-10"/>
                <w:sz w:val="18"/>
                <w:vertAlign w:val="baseline"/>
              </w:rPr>
              <w:t>素</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24</w:t>
            </w:r>
          </w:p>
        </w:tc>
        <w:tc>
          <w:tcPr>
            <w:tcW w:w="2345" w:type="dxa"/>
          </w:tcPr>
          <w:p>
            <w:pPr>
              <w:pStyle w:val="TableParagraph"/>
              <w:spacing w:before="5"/>
              <w:rPr>
                <w:sz w:val="16"/>
              </w:rPr>
            </w:pPr>
          </w:p>
          <w:p>
            <w:pPr>
              <w:pStyle w:val="TableParagraph"/>
              <w:ind w:left="103"/>
              <w:rPr>
                <w:sz w:val="18"/>
              </w:rPr>
            </w:pPr>
            <w:r>
              <w:rPr>
                <w:spacing w:val="-2"/>
                <w:sz w:val="18"/>
              </w:rPr>
              <w:t>皮革及皮革加工</w:t>
            </w:r>
          </w:p>
        </w:tc>
        <w:tc>
          <w:tcPr>
            <w:tcW w:w="5398" w:type="dxa"/>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、水温、悬浮物、硫化物、氯化物、总铬、六价</w:t>
            </w:r>
            <w:r>
              <w:rPr>
                <w:spacing w:val="-4"/>
                <w:sz w:val="18"/>
                <w:vertAlign w:val="baseline"/>
              </w:rPr>
              <w:t>铬、色度</w:t>
            </w:r>
          </w:p>
        </w:tc>
      </w:tr>
      <w:tr>
        <w:tblPrEx>
          <w:tblW w:w="0" w:type="auto"/>
          <w:jc w:val="left"/>
          <w:tblInd w:w="119" w:type="dxa"/>
          <w:tblLayout w:type="fixed"/>
          <w:tblCellMar>
            <w:top w:w="0" w:type="dxa"/>
            <w:left w:w="0" w:type="dxa"/>
            <w:bottom w:w="0" w:type="dxa"/>
            <w:right w:w="0" w:type="dxa"/>
          </w:tblCellMar>
          <w:tblLook w:val="01E0"/>
        </w:tblPrEx>
        <w:trPr>
          <w:trHeight w:val="600"/>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25</w:t>
            </w:r>
          </w:p>
        </w:tc>
        <w:tc>
          <w:tcPr>
            <w:tcW w:w="2345" w:type="dxa"/>
          </w:tcPr>
          <w:p>
            <w:pPr>
              <w:pStyle w:val="TableParagraph"/>
              <w:spacing w:line="300" w:lineRule="exact"/>
              <w:ind w:left="103" w:right="100"/>
              <w:rPr>
                <w:sz w:val="18"/>
              </w:rPr>
            </w:pPr>
            <w:r>
              <w:rPr>
                <w:spacing w:val="-4"/>
                <w:sz w:val="18"/>
              </w:rPr>
              <w:t>肉食加工、发酵、酿造、味</w:t>
            </w:r>
            <w:r>
              <w:rPr>
                <w:spacing w:val="-10"/>
                <w:sz w:val="18"/>
              </w:rPr>
              <w:t>精</w:t>
            </w:r>
          </w:p>
        </w:tc>
        <w:tc>
          <w:tcPr>
            <w:tcW w:w="5398" w:type="dxa"/>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w:t>
            </w:r>
            <w:r>
              <w:rPr>
                <w:rFonts w:ascii="Times New Roman" w:eastAsia="Times New Roman"/>
                <w:spacing w:val="-2"/>
                <w:sz w:val="18"/>
                <w:vertAlign w:val="baseline"/>
              </w:rPr>
              <w:t>COD</w:t>
            </w:r>
            <w:r>
              <w:rPr>
                <w:spacing w:val="-2"/>
                <w:sz w:val="18"/>
                <w:vertAlign w:val="baseline"/>
              </w:rPr>
              <w:t>、悬浮物、水温、氨氮、磷酸盐、大肠杆菌数、</w:t>
            </w:r>
            <w:r>
              <w:rPr>
                <w:spacing w:val="-4"/>
                <w:sz w:val="18"/>
                <w:vertAlign w:val="baseline"/>
              </w:rPr>
              <w:t>含盐量</w:t>
            </w:r>
          </w:p>
        </w:tc>
      </w:tr>
      <w:tr>
        <w:tblPrEx>
          <w:tblW w:w="0" w:type="auto"/>
          <w:jc w:val="left"/>
          <w:tblInd w:w="119" w:type="dxa"/>
          <w:tblLayout w:type="fixed"/>
          <w:tblCellMar>
            <w:top w:w="0" w:type="dxa"/>
            <w:left w:w="0" w:type="dxa"/>
            <w:bottom w:w="0" w:type="dxa"/>
            <w:right w:w="0" w:type="dxa"/>
          </w:tblCellMar>
          <w:tblLook w:val="01E0"/>
        </w:tblPrEx>
        <w:trPr>
          <w:trHeight w:val="397"/>
          <w:jc w:val="left"/>
        </w:trPr>
        <w:tc>
          <w:tcPr>
            <w:tcW w:w="823" w:type="dxa"/>
            <w:tcBorders>
              <w:left w:val="nil"/>
            </w:tcBorders>
          </w:tcPr>
          <w:p>
            <w:pPr>
              <w:pStyle w:val="TableParagraph"/>
              <w:spacing w:before="120"/>
              <w:ind w:left="214" w:right="214"/>
              <w:jc w:val="center"/>
              <w:rPr>
                <w:rFonts w:ascii="Times New Roman"/>
                <w:sz w:val="18"/>
              </w:rPr>
            </w:pPr>
            <w:r>
              <w:rPr>
                <w:rFonts w:ascii="Times New Roman"/>
                <w:spacing w:val="-5"/>
                <w:sz w:val="18"/>
              </w:rPr>
              <w:t>26</w:t>
            </w:r>
          </w:p>
        </w:tc>
        <w:tc>
          <w:tcPr>
            <w:tcW w:w="2345" w:type="dxa"/>
          </w:tcPr>
          <w:p>
            <w:pPr>
              <w:pStyle w:val="TableParagraph"/>
              <w:spacing w:before="108"/>
              <w:ind w:left="103"/>
              <w:rPr>
                <w:sz w:val="18"/>
              </w:rPr>
            </w:pPr>
            <w:r>
              <w:rPr>
                <w:spacing w:val="-5"/>
                <w:sz w:val="18"/>
              </w:rPr>
              <w:t>制糖</w:t>
            </w:r>
          </w:p>
        </w:tc>
        <w:tc>
          <w:tcPr>
            <w:tcW w:w="5398" w:type="dxa"/>
            <w:tcBorders>
              <w:right w:val="nil"/>
            </w:tcBorders>
          </w:tcPr>
          <w:p>
            <w:pPr>
              <w:pStyle w:val="TableParagraph"/>
              <w:spacing w:before="108"/>
              <w:ind w:left="102"/>
              <w:rPr>
                <w:sz w:val="18"/>
              </w:rPr>
            </w:pPr>
            <w:r>
              <w:rPr>
                <w:rFonts w:ascii="Times New Roman" w:eastAsia="Times New Roman"/>
                <w:spacing w:val="-4"/>
                <w:sz w:val="18"/>
              </w:rPr>
              <w:t>pH</w:t>
            </w:r>
            <w:r>
              <w:rPr>
                <w:spacing w:val="-4"/>
                <w:sz w:val="18"/>
              </w:rPr>
              <w:t>（或碱度</w:t>
            </w:r>
            <w:r>
              <w:rPr>
                <w:spacing w:val="-90"/>
                <w:sz w:val="18"/>
              </w:rPr>
              <w:t>）</w:t>
            </w:r>
            <w:r>
              <w:rPr>
                <w:spacing w:val="-4"/>
                <w:sz w:val="18"/>
              </w:rPr>
              <w:t>、</w:t>
            </w:r>
            <w:r>
              <w:rPr>
                <w:rFonts w:ascii="Times New Roman" w:eastAsia="Times New Roman"/>
                <w:spacing w:val="-4"/>
                <w:sz w:val="18"/>
              </w:rPr>
              <w:t>COD</w:t>
            </w:r>
            <w:r>
              <w:rPr>
                <w:spacing w:val="-4"/>
                <w:sz w:val="18"/>
              </w:rPr>
              <w:t>、</w:t>
            </w:r>
            <w:r>
              <w:rPr>
                <w:rFonts w:ascii="Times New Roman" w:eastAsia="Times New Roman"/>
                <w:spacing w:val="-4"/>
                <w:sz w:val="18"/>
              </w:rPr>
              <w:t>BOD</w:t>
            </w:r>
            <w:r>
              <w:rPr>
                <w:rFonts w:ascii="Times New Roman" w:eastAsia="Times New Roman"/>
                <w:spacing w:val="-4"/>
                <w:sz w:val="18"/>
                <w:vertAlign w:val="subscript"/>
              </w:rPr>
              <w:t>5</w:t>
            </w:r>
            <w:r>
              <w:rPr>
                <w:spacing w:val="-5"/>
                <w:sz w:val="18"/>
                <w:vertAlign w:val="baseline"/>
              </w:rPr>
              <w:t>、悬浮物、水温、硫化物、大肠杆菌数</w:t>
            </w:r>
          </w:p>
        </w:tc>
      </w:tr>
      <w:tr>
        <w:tblPrEx>
          <w:tblW w:w="0" w:type="auto"/>
          <w:jc w:val="left"/>
          <w:tblInd w:w="119" w:type="dxa"/>
          <w:tblLayout w:type="fixed"/>
          <w:tblCellMar>
            <w:top w:w="0" w:type="dxa"/>
            <w:left w:w="0" w:type="dxa"/>
            <w:bottom w:w="0" w:type="dxa"/>
            <w:right w:w="0" w:type="dxa"/>
          </w:tblCellMar>
          <w:tblLook w:val="01E0"/>
        </w:tblPrEx>
        <w:trPr>
          <w:trHeight w:val="599"/>
          <w:jc w:val="left"/>
        </w:trPr>
        <w:tc>
          <w:tcPr>
            <w:tcW w:w="823" w:type="dxa"/>
            <w:tcBorders>
              <w:left w:val="nil"/>
            </w:tcBorders>
          </w:tcPr>
          <w:p>
            <w:pPr>
              <w:pStyle w:val="TableParagraph"/>
              <w:spacing w:before="4"/>
              <w:rPr>
                <w:sz w:val="17"/>
              </w:rPr>
            </w:pPr>
          </w:p>
          <w:p>
            <w:pPr>
              <w:pStyle w:val="TableParagraph"/>
              <w:ind w:left="214" w:right="214"/>
              <w:jc w:val="center"/>
              <w:rPr>
                <w:rFonts w:ascii="Times New Roman"/>
                <w:sz w:val="18"/>
              </w:rPr>
            </w:pPr>
            <w:r>
              <w:rPr>
                <w:rFonts w:ascii="Times New Roman"/>
                <w:spacing w:val="-5"/>
                <w:sz w:val="18"/>
              </w:rPr>
              <w:t>27</w:t>
            </w:r>
          </w:p>
        </w:tc>
        <w:tc>
          <w:tcPr>
            <w:tcW w:w="2345" w:type="dxa"/>
          </w:tcPr>
          <w:p>
            <w:pPr>
              <w:pStyle w:val="TableParagraph"/>
              <w:spacing w:before="5"/>
              <w:rPr>
                <w:sz w:val="16"/>
              </w:rPr>
            </w:pPr>
          </w:p>
          <w:p>
            <w:pPr>
              <w:pStyle w:val="TableParagraph"/>
              <w:ind w:left="103"/>
              <w:rPr>
                <w:sz w:val="18"/>
              </w:rPr>
            </w:pPr>
            <w:r>
              <w:rPr>
                <w:spacing w:val="-2"/>
                <w:sz w:val="18"/>
              </w:rPr>
              <w:t>合成洗涤剂</w:t>
            </w:r>
          </w:p>
        </w:tc>
        <w:tc>
          <w:tcPr>
            <w:tcW w:w="5398" w:type="dxa"/>
            <w:tcBorders>
              <w:right w:val="nil"/>
            </w:tcBorders>
          </w:tcPr>
          <w:p>
            <w:pPr>
              <w:pStyle w:val="TableParagraph"/>
              <w:spacing w:line="300" w:lineRule="exact"/>
              <w:ind w:left="102" w:right="101"/>
              <w:rPr>
                <w:sz w:val="18"/>
              </w:rPr>
            </w:pPr>
            <w:r>
              <w:rPr>
                <w:rFonts w:ascii="Times New Roman" w:eastAsia="Times New Roman"/>
                <w:spacing w:val="-2"/>
                <w:sz w:val="18"/>
              </w:rPr>
              <w:t>pH</w:t>
            </w:r>
            <w:r>
              <w:rPr>
                <w:spacing w:val="-2"/>
                <w:sz w:val="18"/>
              </w:rPr>
              <w:t>、</w:t>
            </w:r>
            <w:r>
              <w:rPr>
                <w:rFonts w:ascii="Times New Roman" w:eastAsia="Times New Roman"/>
                <w:spacing w:val="-2"/>
                <w:sz w:val="18"/>
              </w:rPr>
              <w:t>COD</w:t>
            </w:r>
            <w:r>
              <w:rPr>
                <w:spacing w:val="-2"/>
                <w:sz w:val="18"/>
              </w:rPr>
              <w:t>、</w:t>
            </w:r>
            <w:r>
              <w:rPr>
                <w:rFonts w:ascii="Times New Roman" w:eastAsia="Times New Roman"/>
                <w:spacing w:val="-2"/>
                <w:sz w:val="18"/>
              </w:rPr>
              <w:t>BOD</w:t>
            </w:r>
            <w:r>
              <w:rPr>
                <w:rFonts w:ascii="Times New Roman" w:eastAsia="Times New Roman"/>
                <w:spacing w:val="-2"/>
                <w:sz w:val="18"/>
                <w:vertAlign w:val="subscript"/>
              </w:rPr>
              <w:t>5</w:t>
            </w:r>
            <w:r>
              <w:rPr>
                <w:spacing w:val="-2"/>
                <w:sz w:val="18"/>
                <w:vertAlign w:val="baseline"/>
              </w:rPr>
              <w:t>、油、苯类、表面活性剂、悬浮物、水温、溶解</w:t>
            </w:r>
            <w:r>
              <w:rPr>
                <w:spacing w:val="-10"/>
                <w:sz w:val="18"/>
                <w:vertAlign w:val="baseline"/>
              </w:rPr>
              <w:t>氧</w:t>
            </w:r>
          </w:p>
        </w:tc>
      </w:tr>
    </w:tbl>
    <w:p>
      <w:pPr>
        <w:pStyle w:val="BodyText"/>
        <w:rPr>
          <w:sz w:val="20"/>
        </w:rPr>
      </w:pPr>
    </w:p>
    <w:p>
      <w:pPr>
        <w:pStyle w:val="BodyText"/>
        <w:spacing w:before="8"/>
        <w:rPr>
          <w:sz w:val="16"/>
        </w:rPr>
      </w:pPr>
    </w:p>
    <w:p>
      <w:pPr>
        <w:pStyle w:val="ListParagraph"/>
        <w:numPr>
          <w:ilvl w:val="2"/>
          <w:numId w:val="39"/>
        </w:numPr>
        <w:tabs>
          <w:tab w:val="left" w:pos="849"/>
          <w:tab w:val="left" w:pos="850"/>
        </w:tabs>
        <w:spacing w:before="0" w:after="0" w:line="285" w:lineRule="auto"/>
        <w:ind w:left="220" w:right="192" w:firstLine="0"/>
        <w:jc w:val="left"/>
        <w:rPr>
          <w:sz w:val="21"/>
        </w:rPr>
      </w:pPr>
      <w:r>
        <w:rPr>
          <w:spacing w:val="-7"/>
          <w:sz w:val="21"/>
        </w:rPr>
        <w:t>当受纳水域的环境保护要求较高</w:t>
      </w:r>
      <w:r>
        <w:rPr>
          <w:spacing w:val="-2"/>
          <w:sz w:val="21"/>
        </w:rPr>
        <w:t>（</w:t>
      </w:r>
      <w:r>
        <w:rPr>
          <w:spacing w:val="-15"/>
          <w:sz w:val="21"/>
        </w:rPr>
        <w:t>如自然保护区、饮用水源地、珍贵水生生物保护区、</w:t>
      </w:r>
      <w:r>
        <w:rPr>
          <w:spacing w:val="-2"/>
          <w:sz w:val="21"/>
        </w:rPr>
        <w:t>经济鱼类养殖区等</w:t>
      </w:r>
      <w:r>
        <w:rPr>
          <w:spacing w:val="-105"/>
          <w:sz w:val="21"/>
        </w:rPr>
        <w:t>）</w:t>
      </w:r>
      <w:r>
        <w:rPr>
          <w:spacing w:val="-2"/>
          <w:sz w:val="21"/>
        </w:rPr>
        <w:t>，且评价等级为一、二级时，应考虑调查水生生物和底质。其调查项目</w:t>
      </w:r>
      <w:r>
        <w:rPr>
          <w:spacing w:val="-2"/>
          <w:sz w:val="21"/>
        </w:rPr>
        <w:t>可根据具体工作要求确定，或从下列项目中选择部分内容：</w:t>
      </w:r>
    </w:p>
    <w:p>
      <w:pPr>
        <w:pStyle w:val="BodyText"/>
        <w:spacing w:line="285" w:lineRule="auto"/>
        <w:ind w:left="220" w:right="298" w:firstLine="420"/>
      </w:pPr>
      <w:r>
        <w:rPr>
          <w:spacing w:val="-4"/>
        </w:rPr>
        <w:t>水生生物方面：浮游动植物、藻类、底栖无脊椎动物的种类和数量、水生生物群落结构</w:t>
      </w:r>
      <w:r>
        <w:rPr>
          <w:spacing w:val="-6"/>
        </w:rPr>
        <w:t>等。</w:t>
      </w:r>
    </w:p>
    <w:p>
      <w:pPr>
        <w:pStyle w:val="BodyText"/>
        <w:spacing w:line="269" w:lineRule="exact"/>
        <w:ind w:left="640"/>
      </w:pPr>
      <w:r>
        <w:rPr>
          <w:spacing w:val="-1"/>
        </w:rPr>
        <w:t>底质方面：主要调查与拟建工程排水水质有关的易积累的污染物。</w:t>
      </w:r>
    </w:p>
    <w:p>
      <w:pPr>
        <w:pStyle w:val="ListParagraph"/>
        <w:numPr>
          <w:ilvl w:val="2"/>
          <w:numId w:val="39"/>
        </w:numPr>
        <w:tabs>
          <w:tab w:val="left" w:pos="849"/>
          <w:tab w:val="left" w:pos="850"/>
        </w:tabs>
        <w:spacing w:before="51" w:after="0" w:line="240" w:lineRule="auto"/>
        <w:ind w:left="850" w:right="0" w:hanging="630"/>
        <w:jc w:val="left"/>
        <w:rPr>
          <w:sz w:val="21"/>
        </w:rPr>
      </w:pPr>
      <w:r>
        <w:rPr>
          <w:spacing w:val="-1"/>
          <w:sz w:val="21"/>
        </w:rPr>
        <w:t>各类水域布设水质取样断面及取样点的原则与方法</w:t>
      </w:r>
    </w:p>
    <w:p>
      <w:pPr>
        <w:pStyle w:val="ListParagraph"/>
        <w:numPr>
          <w:ilvl w:val="3"/>
          <w:numId w:val="39"/>
        </w:numPr>
        <w:tabs>
          <w:tab w:val="left" w:pos="1007"/>
          <w:tab w:val="left" w:pos="1008"/>
        </w:tabs>
        <w:spacing w:before="51" w:after="0" w:line="240" w:lineRule="auto"/>
        <w:ind w:left="1007" w:right="0" w:hanging="788"/>
        <w:jc w:val="left"/>
        <w:rPr>
          <w:sz w:val="21"/>
        </w:rPr>
      </w:pPr>
      <w:r>
        <w:rPr>
          <w:spacing w:val="-5"/>
          <w:sz w:val="21"/>
        </w:rPr>
        <w:t>河流</w:t>
      </w:r>
    </w:p>
    <w:p>
      <w:pPr>
        <w:pStyle w:val="ListParagraph"/>
        <w:numPr>
          <w:ilvl w:val="4"/>
          <w:numId w:val="39"/>
        </w:numPr>
        <w:tabs>
          <w:tab w:val="left" w:pos="891"/>
        </w:tabs>
        <w:spacing w:before="51" w:after="0" w:line="240" w:lineRule="auto"/>
        <w:ind w:left="890" w:right="0" w:hanging="251"/>
        <w:jc w:val="both"/>
        <w:rPr>
          <w:sz w:val="21"/>
        </w:rPr>
      </w:pPr>
      <w:r>
        <w:rPr>
          <w:spacing w:val="-2"/>
          <w:sz w:val="21"/>
        </w:rPr>
        <w:t>取样断面的布设原则</w:t>
      </w:r>
    </w:p>
    <w:p>
      <w:pPr>
        <w:pStyle w:val="BodyText"/>
        <w:spacing w:before="51" w:line="285" w:lineRule="auto"/>
        <w:ind w:left="220" w:right="298" w:firstLine="420"/>
        <w:jc w:val="both"/>
      </w:pPr>
      <w:r>
        <w:rPr>
          <w:spacing w:val="-8"/>
        </w:rPr>
        <w:t xml:space="preserve">在本标准表 </w:t>
      </w:r>
      <w:r>
        <w:rPr>
          <w:rFonts w:ascii="Times New Roman" w:eastAsia="Times New Roman"/>
          <w:spacing w:val="-4"/>
        </w:rPr>
        <w:t>4</w:t>
      </w:r>
      <w:r>
        <w:rPr>
          <w:rFonts w:ascii="Times New Roman" w:eastAsia="Times New Roman"/>
          <w:spacing w:val="-6"/>
        </w:rPr>
        <w:t xml:space="preserve"> </w:t>
      </w:r>
      <w:r>
        <w:rPr>
          <w:spacing w:val="-4"/>
        </w:rPr>
        <w:t>推荐的调查范围的两端应布设取样断面，调查范围内重点保护水域、重点</w:t>
      </w:r>
      <w:r>
        <w:rPr>
          <w:spacing w:val="-2"/>
        </w:rPr>
        <w:t>保护对象附近水域应布设取样断面，水文特征突然变化处（如支流汇入处等</w:t>
      </w:r>
      <w:r>
        <w:rPr>
          <w:spacing w:val="-105"/>
        </w:rPr>
        <w:t>）</w:t>
      </w:r>
      <w:r>
        <w:rPr>
          <w:spacing w:val="-2"/>
        </w:rPr>
        <w:t>、水质急剧变</w:t>
      </w:r>
      <w:r>
        <w:rPr>
          <w:spacing w:val="-2"/>
        </w:rPr>
        <w:t>化处（如污水排入处等</w:t>
      </w:r>
      <w:r>
        <w:rPr>
          <w:spacing w:val="-105"/>
        </w:rPr>
        <w:t>）</w:t>
      </w:r>
      <w:r>
        <w:rPr>
          <w:spacing w:val="-2"/>
        </w:rPr>
        <w:t>、重点水工构筑物（如取水口、桥梁涵洞等）附近、水文站附近等</w:t>
      </w:r>
      <w:r>
        <w:rPr>
          <w:spacing w:val="-2"/>
        </w:rPr>
        <w:t xml:space="preserve">应布设取样断面，并适当考虑 </w:t>
      </w:r>
      <w:r>
        <w:rPr>
          <w:rFonts w:ascii="Times New Roman" w:eastAsia="Times New Roman"/>
        </w:rPr>
        <w:t xml:space="preserve">7.2.2 </w:t>
      </w:r>
      <w:r>
        <w:t>所述其他需要进行水质预测的地点。</w:t>
      </w:r>
    </w:p>
    <w:p>
      <w:pPr>
        <w:pStyle w:val="BodyText"/>
        <w:spacing w:line="268" w:lineRule="exact"/>
        <w:ind w:left="640"/>
        <w:jc w:val="both"/>
      </w:pPr>
      <w:r>
        <w:rPr>
          <w:spacing w:val="-6"/>
        </w:rPr>
        <w:t xml:space="preserve">在拟建排污口上游 </w:t>
      </w:r>
      <w:r>
        <w:rPr>
          <w:rFonts w:ascii="Times New Roman" w:eastAsia="Times New Roman"/>
        </w:rPr>
        <w:t xml:space="preserve">500m </w:t>
      </w:r>
      <w:r>
        <w:rPr>
          <w:spacing w:val="-1"/>
        </w:rPr>
        <w:t>处应设置一个取样断面。</w:t>
      </w:r>
    </w:p>
    <w:p>
      <w:pPr>
        <w:pStyle w:val="ListParagraph"/>
        <w:numPr>
          <w:ilvl w:val="4"/>
          <w:numId w:val="39"/>
        </w:numPr>
        <w:tabs>
          <w:tab w:val="left" w:pos="903"/>
        </w:tabs>
        <w:spacing w:before="51" w:after="0" w:line="285" w:lineRule="auto"/>
        <w:ind w:left="640" w:right="5611" w:firstLine="0"/>
        <w:jc w:val="left"/>
        <w:rPr>
          <w:sz w:val="21"/>
        </w:rPr>
      </w:pPr>
      <w:r>
        <w:rPr>
          <w:spacing w:val="-2"/>
          <w:sz w:val="21"/>
        </w:rPr>
        <w:t>取样断面上取样点的布设</w:t>
      </w:r>
      <w:r>
        <w:rPr>
          <w:spacing w:val="-2"/>
          <w:sz w:val="21"/>
        </w:rPr>
        <w:t>取样垂线的确定</w:t>
      </w:r>
    </w:p>
    <w:p>
      <w:pPr>
        <w:pStyle w:val="BodyText"/>
        <w:spacing w:line="285" w:lineRule="auto"/>
        <w:ind w:left="640" w:right="2515"/>
      </w:pPr>
      <w:r>
        <w:rPr>
          <w:spacing w:val="-2"/>
        </w:rPr>
        <w:t>当河流断面形状为矩形或相近于矩形时，可按下列原则布设。</w:t>
      </w:r>
      <w:r>
        <w:rPr>
          <w:spacing w:val="-2"/>
        </w:rPr>
        <w:t>小河：在取样断面的主流线上设一条取样垂线。</w:t>
      </w:r>
    </w:p>
    <w:p>
      <w:pPr>
        <w:pStyle w:val="BodyText"/>
        <w:spacing w:line="285" w:lineRule="auto"/>
        <w:ind w:left="220" w:right="298" w:firstLine="420"/>
        <w:jc w:val="both"/>
      </w:pPr>
      <w:r>
        <w:rPr>
          <w:spacing w:val="-3"/>
        </w:rPr>
        <w:t xml:space="preserve">大、中河：河宽小于 </w:t>
      </w:r>
      <w:r>
        <w:rPr>
          <w:rFonts w:ascii="Times New Roman" w:eastAsia="Times New Roman"/>
        </w:rPr>
        <w:t>50m</w:t>
      </w:r>
      <w:r>
        <w:rPr>
          <w:rFonts w:ascii="Times New Roman" w:eastAsia="Times New Roman"/>
          <w:spacing w:val="-3"/>
        </w:rPr>
        <w:t xml:space="preserve"> </w:t>
      </w:r>
      <w:r>
        <w:t>者，在取样断面上各距岸边三分之一水面宽处，设一条取样</w:t>
      </w:r>
      <w:r>
        <w:rPr>
          <w:spacing w:val="-2"/>
        </w:rPr>
        <w:t>垂线（垂线应设在有较明显水流处</w:t>
      </w:r>
      <w:r>
        <w:rPr>
          <w:spacing w:val="-105"/>
        </w:rPr>
        <w:t>）</w:t>
      </w:r>
      <w:r>
        <w:rPr>
          <w:spacing w:val="-4"/>
        </w:rPr>
        <w:t xml:space="preserve">，共设两条取样垂线；河宽大于 </w:t>
      </w:r>
      <w:r>
        <w:rPr>
          <w:rFonts w:ascii="Times New Roman" w:eastAsia="Times New Roman"/>
          <w:spacing w:val="-2"/>
        </w:rPr>
        <w:t>50m</w:t>
      </w:r>
      <w:r>
        <w:rPr>
          <w:rFonts w:ascii="Times New Roman" w:eastAsia="Times New Roman"/>
          <w:spacing w:val="-11"/>
        </w:rPr>
        <w:t xml:space="preserve"> </w:t>
      </w:r>
      <w:r>
        <w:rPr>
          <w:spacing w:val="-2"/>
        </w:rPr>
        <w:t>者，在取样断面的</w:t>
      </w:r>
      <w:r>
        <w:rPr>
          <w:spacing w:val="-3"/>
        </w:rPr>
        <w:t xml:space="preserve">主流线上及距两岸不少于 </w:t>
      </w:r>
      <w:r>
        <w:rPr>
          <w:rFonts w:ascii="Times New Roman" w:eastAsia="Times New Roman"/>
        </w:rPr>
        <w:t>0.5m</w:t>
      </w:r>
      <w:r>
        <w:t>，并有明显水流的地方，各设一条取样垂线，即共设三条取</w:t>
      </w:r>
      <w:r>
        <w:rPr>
          <w:spacing w:val="-4"/>
        </w:rPr>
        <w:t>样垂线。</w:t>
      </w:r>
    </w:p>
    <w:p>
      <w:pPr>
        <w:pStyle w:val="BodyText"/>
        <w:spacing w:line="285" w:lineRule="auto"/>
        <w:ind w:left="220" w:right="205" w:firstLine="420"/>
      </w:pPr>
      <w:r>
        <w:rPr>
          <w:spacing w:val="-2"/>
        </w:rPr>
        <w:t>特大河（例如长江、黄河、珠江、黑龙江、淮河、松花江、海河等）：由于河流过宽，</w:t>
      </w:r>
      <w:r>
        <w:rPr>
          <w:spacing w:val="-2"/>
        </w:rPr>
        <w:t>取样断面上的取样垂线数应适当增加，而且主流线两侧的垂线数目不必相等，拟设置排污口</w:t>
      </w:r>
      <w:r>
        <w:rPr>
          <w:spacing w:val="-2"/>
        </w:rPr>
        <w:t>一侧可以多一些。</w:t>
      </w:r>
    </w:p>
    <w:p>
      <w:pPr>
        <w:spacing w:after="0" w:line="285" w:lineRule="auto"/>
        <w:sectPr>
          <w:footerReference w:type="even" r:id="rId34"/>
          <w:footerReference w:type="default" r:id="rId35"/>
          <w:type w:val="continuous"/>
          <w:pgSz w:w="11910" w:h="16840"/>
          <w:pgMar w:top="1400" w:right="1500" w:bottom="1180" w:left="1580" w:header="0" w:footer="990"/>
          <w:pgNumType w:start="615"/>
          <w:cols w:space="708"/>
        </w:sectPr>
      </w:pPr>
    </w:p>
    <w:p>
      <w:pPr>
        <w:pStyle w:val="BodyText"/>
        <w:spacing w:before="48" w:line="285" w:lineRule="auto"/>
        <w:ind w:left="640" w:right="415"/>
      </w:pPr>
      <w:r>
        <w:rPr>
          <w:spacing w:val="-2"/>
        </w:rPr>
        <w:t>如断面形状十分不规则时，应结合主流线的位置，适当调整取样垂线的位置和数目。</w:t>
      </w:r>
      <w:r>
        <w:rPr>
          <w:spacing w:val="-2"/>
        </w:rPr>
        <w:t>垂线上取样水深的确定</w:t>
      </w:r>
    </w:p>
    <w:p>
      <w:pPr>
        <w:pStyle w:val="BodyText"/>
        <w:spacing w:line="285" w:lineRule="auto"/>
        <w:ind w:left="220" w:right="297" w:firstLine="420"/>
        <w:jc w:val="both"/>
      </w:pPr>
      <w:r>
        <w:rPr>
          <w:spacing w:val="-6"/>
        </w:rPr>
        <w:t xml:space="preserve">在一条垂线上，水深大于 </w:t>
      </w:r>
      <w:r>
        <w:rPr>
          <w:rFonts w:ascii="Times New Roman" w:eastAsia="Times New Roman"/>
          <w:spacing w:val="-4"/>
        </w:rPr>
        <w:t>5m</w:t>
      </w:r>
      <w:r>
        <w:rPr>
          <w:rFonts w:ascii="Times New Roman" w:eastAsia="Times New Roman"/>
          <w:spacing w:val="-9"/>
        </w:rPr>
        <w:t xml:space="preserve"> </w:t>
      </w:r>
      <w:r>
        <w:rPr>
          <w:spacing w:val="-7"/>
        </w:rPr>
        <w:t xml:space="preserve">时，在水面下 </w:t>
      </w:r>
      <w:r>
        <w:rPr>
          <w:rFonts w:ascii="Times New Roman" w:eastAsia="Times New Roman"/>
          <w:spacing w:val="-4"/>
        </w:rPr>
        <w:t>0.5m</w:t>
      </w:r>
      <w:r>
        <w:rPr>
          <w:rFonts w:ascii="Times New Roman" w:eastAsia="Times New Roman"/>
          <w:spacing w:val="-9"/>
        </w:rPr>
        <w:t xml:space="preserve"> </w:t>
      </w:r>
      <w:r>
        <w:rPr>
          <w:spacing w:val="-6"/>
        </w:rPr>
        <w:t xml:space="preserve">水深处及在距河底 </w:t>
      </w:r>
      <w:r>
        <w:rPr>
          <w:rFonts w:ascii="Times New Roman" w:eastAsia="Times New Roman"/>
          <w:spacing w:val="-4"/>
        </w:rPr>
        <w:t>0.5m</w:t>
      </w:r>
      <w:r>
        <w:rPr>
          <w:rFonts w:ascii="Times New Roman" w:eastAsia="Times New Roman"/>
          <w:spacing w:val="-1"/>
        </w:rPr>
        <w:t xml:space="preserve"> </w:t>
      </w:r>
      <w:r>
        <w:rPr>
          <w:spacing w:val="-4"/>
        </w:rPr>
        <w:t>处，各取样一</w:t>
      </w:r>
      <w:r>
        <w:rPr>
          <w:spacing w:val="-5"/>
        </w:rPr>
        <w:t xml:space="preserve">个；水深为 </w:t>
      </w:r>
      <w:r>
        <w:rPr>
          <w:rFonts w:ascii="Times New Roman" w:eastAsia="Times New Roman"/>
        </w:rPr>
        <w:t>1~5m</w:t>
      </w:r>
      <w:r>
        <w:rPr>
          <w:rFonts w:ascii="Times New Roman" w:eastAsia="Times New Roman"/>
          <w:spacing w:val="-13"/>
        </w:rPr>
        <w:t xml:space="preserve"> </w:t>
      </w:r>
      <w:r>
        <w:rPr>
          <w:spacing w:val="-4"/>
        </w:rPr>
        <w:t xml:space="preserve">时，只在水面下 </w:t>
      </w:r>
      <w:r>
        <w:rPr>
          <w:rFonts w:ascii="Times New Roman" w:eastAsia="Times New Roman"/>
        </w:rPr>
        <w:t>0.5m</w:t>
      </w:r>
      <w:r>
        <w:rPr>
          <w:rFonts w:ascii="Times New Roman" w:eastAsia="Times New Roman"/>
          <w:spacing w:val="-13"/>
        </w:rPr>
        <w:t xml:space="preserve"> </w:t>
      </w:r>
      <w:r>
        <w:rPr>
          <w:spacing w:val="-3"/>
        </w:rPr>
        <w:t xml:space="preserve">处取一个样；在水深不足 </w:t>
      </w:r>
      <w:r>
        <w:rPr>
          <w:rFonts w:ascii="Times New Roman" w:eastAsia="Times New Roman"/>
        </w:rPr>
        <w:t>1m</w:t>
      </w:r>
      <w:r>
        <w:rPr>
          <w:rFonts w:ascii="Times New Roman" w:eastAsia="Times New Roman"/>
          <w:spacing w:val="4"/>
        </w:rPr>
        <w:t xml:space="preserve"> </w:t>
      </w:r>
      <w:r>
        <w:t>时，取样点距水面不</w:t>
      </w:r>
      <w:r>
        <w:rPr>
          <w:spacing w:val="-8"/>
        </w:rPr>
        <w:t xml:space="preserve">应小于 </w:t>
      </w:r>
      <w:r>
        <w:rPr>
          <w:rFonts w:ascii="Times New Roman" w:eastAsia="Times New Roman"/>
          <w:spacing w:val="-2"/>
        </w:rPr>
        <w:t>0.3m</w:t>
      </w:r>
      <w:r>
        <w:rPr>
          <w:spacing w:val="-5"/>
        </w:rPr>
        <w:t xml:space="preserve">，距河底也不应小于 </w:t>
      </w:r>
      <w:r>
        <w:rPr>
          <w:rFonts w:ascii="Times New Roman" w:eastAsia="Times New Roman"/>
          <w:spacing w:val="-2"/>
        </w:rPr>
        <w:t>0.3m</w:t>
      </w:r>
      <w:r>
        <w:rPr>
          <w:spacing w:val="-2"/>
        </w:rPr>
        <w:t>。对于三级评价的小河不论河水深浅，只在一条垂线</w:t>
      </w:r>
      <w:r>
        <w:rPr>
          <w:spacing w:val="-1"/>
        </w:rPr>
        <w:t xml:space="preserve">上一个点取一个样，一般情况下取样点应在水面下 </w:t>
      </w:r>
      <w:r>
        <w:rPr>
          <w:rFonts w:ascii="Times New Roman" w:eastAsia="Times New Roman"/>
        </w:rPr>
        <w:t xml:space="preserve">0.5m </w:t>
      </w:r>
      <w:r>
        <w:rPr>
          <w:spacing w:val="-2"/>
        </w:rPr>
        <w:t xml:space="preserve">处，距河底不应小于 </w:t>
      </w:r>
      <w:r>
        <w:rPr>
          <w:rFonts w:ascii="Times New Roman" w:eastAsia="Times New Roman"/>
        </w:rPr>
        <w:t>0.3m</w:t>
      </w:r>
      <w:r>
        <w:t>。</w:t>
      </w:r>
    </w:p>
    <w:p>
      <w:pPr>
        <w:pStyle w:val="ListParagraph"/>
        <w:numPr>
          <w:ilvl w:val="4"/>
          <w:numId w:val="39"/>
        </w:numPr>
        <w:tabs>
          <w:tab w:val="left" w:pos="891"/>
        </w:tabs>
        <w:spacing w:before="0" w:after="0" w:line="268" w:lineRule="exact"/>
        <w:ind w:left="890" w:right="0" w:hanging="251"/>
        <w:jc w:val="both"/>
        <w:rPr>
          <w:sz w:val="21"/>
        </w:rPr>
      </w:pPr>
      <w:r>
        <w:rPr>
          <w:spacing w:val="-2"/>
          <w:sz w:val="21"/>
        </w:rPr>
        <w:t>水样的对待</w:t>
      </w:r>
    </w:p>
    <w:p>
      <w:pPr>
        <w:pStyle w:val="BodyText"/>
        <w:spacing w:before="50" w:line="285" w:lineRule="auto"/>
        <w:ind w:left="220" w:right="297" w:firstLine="420"/>
        <w:jc w:val="both"/>
      </w:pPr>
      <w:r>
        <w:rPr>
          <w:spacing w:val="-4"/>
        </w:rPr>
        <w:t>三级评价：需要预测混合过程段水质的场合，每次应将该段内各取样断面中每条垂线上</w:t>
      </w:r>
      <w:r>
        <w:rPr>
          <w:spacing w:val="-4"/>
        </w:rPr>
        <w:t>的水样混合成一个水样。其他情况每个取样断面每次只取一个混合水样，即在该断面上，各</w:t>
      </w:r>
      <w:r>
        <w:rPr>
          <w:spacing w:val="-2"/>
        </w:rPr>
        <w:t>处所取的水样混匀成一个水样。</w:t>
      </w:r>
    </w:p>
    <w:p>
      <w:pPr>
        <w:pStyle w:val="BodyText"/>
        <w:spacing w:line="269" w:lineRule="exact"/>
        <w:ind w:left="640"/>
      </w:pPr>
      <w:r>
        <w:rPr>
          <w:spacing w:val="-1"/>
        </w:rPr>
        <w:t>二级评价：同三级评价。</w:t>
      </w:r>
    </w:p>
    <w:p>
      <w:pPr>
        <w:pStyle w:val="BodyText"/>
        <w:spacing w:before="51"/>
        <w:ind w:left="640"/>
      </w:pPr>
      <w:r>
        <w:rPr>
          <w:spacing w:val="-1"/>
        </w:rPr>
        <w:t>一级评价：每个取样点的水样均应分析，不取混合样。</w:t>
      </w:r>
    </w:p>
    <w:p>
      <w:pPr>
        <w:pStyle w:val="ListParagraph"/>
        <w:numPr>
          <w:ilvl w:val="3"/>
          <w:numId w:val="39"/>
        </w:numPr>
        <w:tabs>
          <w:tab w:val="left" w:pos="1007"/>
          <w:tab w:val="left" w:pos="1008"/>
        </w:tabs>
        <w:spacing w:before="51" w:after="0" w:line="240" w:lineRule="auto"/>
        <w:ind w:left="1007" w:right="0" w:hanging="788"/>
        <w:jc w:val="left"/>
        <w:rPr>
          <w:sz w:val="21"/>
        </w:rPr>
      </w:pPr>
      <w:r>
        <w:rPr>
          <w:spacing w:val="-5"/>
          <w:sz w:val="21"/>
        </w:rPr>
        <w:t>河口</w:t>
      </w:r>
    </w:p>
    <w:p>
      <w:pPr>
        <w:pStyle w:val="ListParagraph"/>
        <w:numPr>
          <w:ilvl w:val="4"/>
          <w:numId w:val="39"/>
        </w:numPr>
        <w:tabs>
          <w:tab w:val="left" w:pos="891"/>
        </w:tabs>
        <w:spacing w:before="51" w:after="0" w:line="240" w:lineRule="auto"/>
        <w:ind w:left="890" w:right="0" w:hanging="251"/>
        <w:jc w:val="left"/>
        <w:rPr>
          <w:sz w:val="21"/>
        </w:rPr>
      </w:pPr>
      <w:r>
        <w:rPr>
          <w:spacing w:val="-2"/>
          <w:sz w:val="21"/>
        </w:rPr>
        <w:t>取样断面的布设原则</w:t>
      </w:r>
    </w:p>
    <w:p>
      <w:pPr>
        <w:pStyle w:val="BodyText"/>
        <w:spacing w:before="51" w:line="285" w:lineRule="auto"/>
        <w:ind w:left="220" w:right="298" w:firstLine="420"/>
      </w:pPr>
      <w:r>
        <w:rPr>
          <w:spacing w:val="-4"/>
        </w:rPr>
        <w:t>当排污口拟建于河口感潮段内时，其上游需设置取样断面的数目与位置，应根据感潮段</w:t>
      </w:r>
      <w:r>
        <w:rPr>
          <w:spacing w:val="-2"/>
        </w:rPr>
        <w:t>的实际情况决定，其下游同河流。</w:t>
      </w:r>
    </w:p>
    <w:p>
      <w:pPr>
        <w:pStyle w:val="ListParagraph"/>
        <w:numPr>
          <w:ilvl w:val="4"/>
          <w:numId w:val="39"/>
        </w:numPr>
        <w:tabs>
          <w:tab w:val="left" w:pos="903"/>
        </w:tabs>
        <w:spacing w:before="0" w:after="0" w:line="285" w:lineRule="auto"/>
        <w:ind w:left="640" w:right="5611" w:firstLine="0"/>
        <w:jc w:val="left"/>
        <w:rPr>
          <w:sz w:val="21"/>
        </w:rPr>
      </w:pPr>
      <w:r>
        <w:rPr>
          <w:spacing w:val="-2"/>
          <w:sz w:val="21"/>
        </w:rPr>
        <w:t>取样断面上取样点的布设</w:t>
      </w:r>
      <w:r>
        <w:rPr>
          <w:spacing w:val="-2"/>
          <w:sz w:val="21"/>
        </w:rPr>
        <w:t>同河流部分。</w:t>
      </w:r>
    </w:p>
    <w:p>
      <w:pPr>
        <w:pStyle w:val="ListParagraph"/>
        <w:numPr>
          <w:ilvl w:val="4"/>
          <w:numId w:val="39"/>
        </w:numPr>
        <w:tabs>
          <w:tab w:val="left" w:pos="891"/>
        </w:tabs>
        <w:spacing w:before="0" w:after="0" w:line="285" w:lineRule="auto"/>
        <w:ind w:left="640" w:right="6883" w:firstLine="0"/>
        <w:jc w:val="left"/>
        <w:rPr>
          <w:sz w:val="21"/>
        </w:rPr>
      </w:pPr>
      <w:r>
        <w:rPr>
          <w:spacing w:val="-2"/>
          <w:sz w:val="21"/>
        </w:rPr>
        <w:t>水样的对待</w:t>
      </w:r>
      <w:r>
        <w:rPr>
          <w:spacing w:val="-2"/>
          <w:sz w:val="21"/>
        </w:rPr>
        <w:t>同河流部分。</w:t>
      </w:r>
    </w:p>
    <w:p>
      <w:pPr>
        <w:pStyle w:val="ListParagraph"/>
        <w:numPr>
          <w:ilvl w:val="3"/>
          <w:numId w:val="39"/>
        </w:numPr>
        <w:tabs>
          <w:tab w:val="left" w:pos="1007"/>
          <w:tab w:val="left" w:pos="1008"/>
        </w:tabs>
        <w:spacing w:before="0" w:after="0" w:line="269" w:lineRule="exact"/>
        <w:ind w:left="1007" w:right="0" w:hanging="788"/>
        <w:jc w:val="left"/>
        <w:rPr>
          <w:sz w:val="21"/>
        </w:rPr>
      </w:pPr>
      <w:r>
        <w:rPr>
          <w:spacing w:val="-2"/>
          <w:sz w:val="21"/>
        </w:rPr>
        <w:t>湖泊、水库</w:t>
      </w:r>
    </w:p>
    <w:p>
      <w:pPr>
        <w:pStyle w:val="ListParagraph"/>
        <w:numPr>
          <w:ilvl w:val="4"/>
          <w:numId w:val="39"/>
        </w:numPr>
        <w:tabs>
          <w:tab w:val="left" w:pos="891"/>
        </w:tabs>
        <w:spacing w:before="50" w:after="0" w:line="240" w:lineRule="auto"/>
        <w:ind w:left="890" w:right="0" w:hanging="251"/>
        <w:jc w:val="both"/>
        <w:rPr>
          <w:sz w:val="21"/>
        </w:rPr>
      </w:pPr>
      <w:r>
        <w:rPr>
          <w:spacing w:val="-1"/>
          <w:sz w:val="21"/>
        </w:rPr>
        <w:t>取样位置的布设原则、方法和数目</w:t>
      </w:r>
    </w:p>
    <w:p>
      <w:pPr>
        <w:pStyle w:val="BodyText"/>
        <w:spacing w:before="51" w:line="285" w:lineRule="auto"/>
        <w:ind w:left="220" w:right="298" w:firstLine="420"/>
        <w:jc w:val="both"/>
      </w:pPr>
      <w:r>
        <w:rPr>
          <w:spacing w:val="-5"/>
        </w:rPr>
        <w:t xml:space="preserve">在湖泊、水库中布设的取样位置应尽量覆盖表 </w:t>
      </w:r>
      <w:r>
        <w:rPr>
          <w:rFonts w:ascii="Times New Roman" w:eastAsia="Times New Roman"/>
          <w:spacing w:val="-4"/>
        </w:rPr>
        <w:t>5</w:t>
      </w:r>
      <w:r>
        <w:rPr>
          <w:rFonts w:ascii="Times New Roman" w:eastAsia="Times New Roman"/>
          <w:spacing w:val="-6"/>
        </w:rPr>
        <w:t xml:space="preserve"> </w:t>
      </w:r>
      <w:r>
        <w:rPr>
          <w:spacing w:val="-4"/>
        </w:rPr>
        <w:t>推荐的整个调查范围，并且能切实反映</w:t>
      </w:r>
      <w:r>
        <w:rPr>
          <w:spacing w:val="-2"/>
        </w:rPr>
        <w:t>湖泊、水库的水质和水文特点（如进水区、出水区、深水区、浅水区、岸边区等</w:t>
      </w:r>
      <w:r>
        <w:rPr>
          <w:spacing w:val="-105"/>
        </w:rPr>
        <w:t>）</w:t>
      </w:r>
      <w:r>
        <w:rPr>
          <w:spacing w:val="-2"/>
        </w:rPr>
        <w:t>。取样位</w:t>
      </w:r>
      <w:r>
        <w:rPr>
          <w:spacing w:val="-4"/>
        </w:rPr>
        <w:t>置可以采用以建设项目的排放口为中心，沿放射线布设的方法。每个取样位置的间隔可参考</w:t>
      </w:r>
      <w:r>
        <w:rPr>
          <w:spacing w:val="-2"/>
        </w:rPr>
        <w:t>下列数字。</w:t>
      </w:r>
    </w:p>
    <w:p>
      <w:pPr>
        <w:pStyle w:val="BodyText"/>
        <w:spacing w:line="268" w:lineRule="exact"/>
        <w:ind w:left="640"/>
      </w:pPr>
      <w:r>
        <w:rPr>
          <w:spacing w:val="-2"/>
        </w:rPr>
        <w:t>大、中型湖泊、水库</w:t>
      </w:r>
    </w:p>
    <w:p>
      <w:pPr>
        <w:pStyle w:val="BodyText"/>
        <w:tabs>
          <w:tab w:val="left" w:pos="1689"/>
        </w:tabs>
        <w:spacing w:before="51" w:line="285" w:lineRule="auto"/>
        <w:ind w:left="640" w:right="3969"/>
      </w:pPr>
      <w:r>
        <w:t>当建设项目污水排放量小于</w:t>
      </w:r>
      <w:r>
        <w:rPr>
          <w:spacing w:val="-21"/>
        </w:rPr>
        <w:t xml:space="preserve"> </w:t>
      </w:r>
      <w:r>
        <w:rPr>
          <w:rFonts w:ascii="Times New Roman" w:eastAsia="Times New Roman"/>
        </w:rPr>
        <w:t>50000m</w:t>
      </w:r>
      <w:r>
        <w:rPr>
          <w:rFonts w:ascii="Times New Roman" w:eastAsia="Times New Roman"/>
          <w:position w:val="6"/>
          <w:sz w:val="14"/>
        </w:rPr>
        <w:t>3</w:t>
      </w:r>
      <w:r>
        <w:rPr>
          <w:rFonts w:ascii="Times New Roman" w:eastAsia="Times New Roman"/>
        </w:rPr>
        <w:t xml:space="preserve">/d </w:t>
      </w:r>
      <w:r>
        <w:t>时：</w:t>
      </w:r>
      <w:r>
        <w:t xml:space="preserve"> </w:t>
      </w:r>
      <w:r>
        <w:rPr>
          <w:spacing w:val="-4"/>
        </w:rPr>
        <w:t>一</w:t>
      </w:r>
      <w:r>
        <w:rPr>
          <w:spacing w:val="-4"/>
        </w:rPr>
        <w:t>级</w:t>
      </w:r>
      <w:r>
        <w:rPr>
          <w:spacing w:val="-4"/>
        </w:rPr>
        <w:t>评</w:t>
      </w:r>
      <w:r>
        <w:rPr>
          <w:spacing w:val="-4"/>
        </w:rPr>
        <w:t>价</w:t>
      </w:r>
      <w:r>
        <w:tab/>
        <w:t>每</w:t>
      </w:r>
      <w:r>
        <w:rPr>
          <w:spacing w:val="-26"/>
        </w:rPr>
        <w:t xml:space="preserve"> </w:t>
      </w:r>
      <w:r>
        <w:rPr>
          <w:rFonts w:ascii="Times New Roman" w:eastAsia="Times New Roman"/>
        </w:rPr>
        <w:t>1~2.5km</w:t>
      </w:r>
      <w:r>
        <w:rPr>
          <w:rFonts w:ascii="Times New Roman" w:eastAsia="Times New Roman"/>
          <w:position w:val="6"/>
          <w:sz w:val="14"/>
        </w:rPr>
        <w:t xml:space="preserve">2 </w:t>
      </w:r>
      <w:r>
        <w:t>布设一个取样位置；</w:t>
      </w:r>
      <w:r>
        <w:rPr>
          <w:spacing w:val="-4"/>
        </w:rPr>
        <w:t>二</w:t>
      </w:r>
      <w:r>
        <w:rPr>
          <w:spacing w:val="-4"/>
        </w:rPr>
        <w:t>级</w:t>
      </w:r>
      <w:r>
        <w:rPr>
          <w:spacing w:val="-4"/>
        </w:rPr>
        <w:t>评</w:t>
      </w:r>
      <w:r>
        <w:rPr>
          <w:spacing w:val="-4"/>
        </w:rPr>
        <w:t>价</w:t>
      </w:r>
      <w:r>
        <w:tab/>
        <w:t>每</w:t>
      </w:r>
      <w:r>
        <w:rPr>
          <w:spacing w:val="-53"/>
        </w:rPr>
        <w:t xml:space="preserve"> </w:t>
      </w:r>
      <w:r>
        <w:rPr>
          <w:rFonts w:ascii="Times New Roman" w:eastAsia="Times New Roman"/>
        </w:rPr>
        <w:t>1.5~3.5km</w:t>
      </w:r>
      <w:r>
        <w:rPr>
          <w:rFonts w:ascii="Times New Roman" w:eastAsia="Times New Roman"/>
          <w:position w:val="6"/>
          <w:sz w:val="14"/>
        </w:rPr>
        <w:t>2</w:t>
      </w:r>
      <w:r>
        <w:rPr>
          <w:rFonts w:ascii="Times New Roman" w:eastAsia="Times New Roman"/>
          <w:spacing w:val="-9"/>
          <w:position w:val="6"/>
          <w:sz w:val="14"/>
        </w:rPr>
        <w:t xml:space="preserve"> </w:t>
      </w:r>
      <w:r>
        <w:t>布设一个取样位置；</w:t>
      </w:r>
      <w:r>
        <w:rPr>
          <w:spacing w:val="-4"/>
        </w:rPr>
        <w:t>三</w:t>
      </w:r>
      <w:r>
        <w:rPr>
          <w:spacing w:val="-4"/>
        </w:rPr>
        <w:t>级</w:t>
      </w:r>
      <w:r>
        <w:rPr>
          <w:spacing w:val="-4"/>
        </w:rPr>
        <w:t>评</w:t>
      </w:r>
      <w:r>
        <w:rPr>
          <w:spacing w:val="-4"/>
        </w:rPr>
        <w:t>价</w:t>
      </w:r>
      <w:r>
        <w:tab/>
        <w:t>每</w:t>
      </w:r>
      <w:r>
        <w:rPr>
          <w:spacing w:val="-26"/>
        </w:rPr>
        <w:t xml:space="preserve"> </w:t>
      </w:r>
      <w:r>
        <w:rPr>
          <w:rFonts w:ascii="Times New Roman" w:eastAsia="Times New Roman"/>
        </w:rPr>
        <w:t>2~4km</w:t>
      </w:r>
      <w:r>
        <w:rPr>
          <w:rFonts w:ascii="Times New Roman" w:eastAsia="Times New Roman"/>
          <w:position w:val="6"/>
          <w:sz w:val="14"/>
        </w:rPr>
        <w:t xml:space="preserve">2 </w:t>
      </w:r>
      <w:r>
        <w:t>布设一个取样位置。</w:t>
      </w:r>
    </w:p>
    <w:p>
      <w:pPr>
        <w:pStyle w:val="BodyText"/>
        <w:tabs>
          <w:tab w:val="left" w:pos="1689"/>
        </w:tabs>
        <w:spacing w:line="285" w:lineRule="auto"/>
        <w:ind w:left="640" w:right="4217"/>
      </w:pPr>
      <w:r>
        <w:t>当建设项目污水排放量大于</w:t>
      </w:r>
      <w:r>
        <w:rPr>
          <w:spacing w:val="-53"/>
        </w:rPr>
        <w:t xml:space="preserve"> </w:t>
      </w:r>
      <w:r>
        <w:rPr>
          <w:rFonts w:ascii="Times New Roman" w:eastAsia="Times New Roman"/>
        </w:rPr>
        <w:t>50000m</w:t>
      </w:r>
      <w:r>
        <w:rPr>
          <w:rFonts w:ascii="Times New Roman" w:eastAsia="Times New Roman"/>
          <w:position w:val="6"/>
          <w:sz w:val="14"/>
        </w:rPr>
        <w:t>3</w:t>
      </w:r>
      <w:r>
        <w:rPr>
          <w:rFonts w:ascii="Times New Roman" w:eastAsia="Times New Roman"/>
        </w:rPr>
        <w:t>/d</w:t>
      </w:r>
      <w:r>
        <w:rPr>
          <w:rFonts w:ascii="Times New Roman" w:eastAsia="Times New Roman"/>
          <w:spacing w:val="-14"/>
        </w:rPr>
        <w:t xml:space="preserve"> </w:t>
      </w:r>
      <w:r>
        <w:t>时</w:t>
      </w:r>
      <w:r>
        <w:t>：</w:t>
      </w:r>
      <w:r>
        <w:rPr>
          <w:spacing w:val="-4"/>
        </w:rPr>
        <w:t>一</w:t>
      </w:r>
      <w:r>
        <w:rPr>
          <w:spacing w:val="-4"/>
        </w:rPr>
        <w:t>级</w:t>
      </w:r>
      <w:r>
        <w:rPr>
          <w:spacing w:val="-4"/>
        </w:rPr>
        <w:t>评</w:t>
      </w:r>
      <w:r>
        <w:rPr>
          <w:spacing w:val="-4"/>
        </w:rPr>
        <w:t>价</w:t>
      </w:r>
      <w:r>
        <w:tab/>
        <w:t>每</w:t>
      </w:r>
      <w:r>
        <w:rPr>
          <w:spacing w:val="-33"/>
        </w:rPr>
        <w:t xml:space="preserve"> </w:t>
      </w:r>
      <w:r>
        <w:rPr>
          <w:rFonts w:ascii="Times New Roman" w:eastAsia="Times New Roman"/>
        </w:rPr>
        <w:t>3~6km</w:t>
      </w:r>
      <w:r>
        <w:rPr>
          <w:rFonts w:ascii="Times New Roman" w:eastAsia="Times New Roman"/>
          <w:position w:val="6"/>
          <w:sz w:val="14"/>
        </w:rPr>
        <w:t xml:space="preserve">2 </w:t>
      </w:r>
      <w:r>
        <w:t>布设一个取样位置；</w:t>
      </w:r>
    </w:p>
    <w:p>
      <w:pPr>
        <w:pStyle w:val="BodyText"/>
        <w:tabs>
          <w:tab w:val="left" w:pos="2109"/>
        </w:tabs>
        <w:spacing w:line="285" w:lineRule="auto"/>
        <w:ind w:left="640" w:right="3864"/>
      </w:pPr>
      <w:r>
        <w:rPr>
          <w:spacing w:val="-2"/>
        </w:rPr>
        <w:t>二</w:t>
      </w:r>
      <w:r>
        <w:rPr>
          <w:spacing w:val="-2"/>
        </w:rPr>
        <w:t>、</w:t>
      </w:r>
      <w:r>
        <w:rPr>
          <w:spacing w:val="-2"/>
        </w:rPr>
        <w:t>三</w:t>
      </w:r>
      <w:r>
        <w:rPr>
          <w:spacing w:val="-2"/>
        </w:rPr>
        <w:t>级</w:t>
      </w:r>
      <w:r>
        <w:rPr>
          <w:spacing w:val="-2"/>
        </w:rPr>
        <w:t>评</w:t>
      </w:r>
      <w:r>
        <w:rPr>
          <w:spacing w:val="-2"/>
        </w:rPr>
        <w:t>价</w:t>
      </w:r>
      <w:r>
        <w:tab/>
        <w:t>每</w:t>
      </w:r>
      <w:r>
        <w:rPr>
          <w:spacing w:val="-53"/>
        </w:rPr>
        <w:t xml:space="preserve"> </w:t>
      </w:r>
      <w:r>
        <w:rPr>
          <w:rFonts w:ascii="Times New Roman" w:eastAsia="Times New Roman"/>
        </w:rPr>
        <w:t>4~7km</w:t>
      </w:r>
      <w:r>
        <w:rPr>
          <w:rFonts w:ascii="Times New Roman" w:eastAsia="Times New Roman"/>
          <w:position w:val="6"/>
          <w:sz w:val="14"/>
        </w:rPr>
        <w:t>2</w:t>
      </w:r>
      <w:r>
        <w:rPr>
          <w:rFonts w:ascii="Times New Roman" w:eastAsia="Times New Roman"/>
          <w:spacing w:val="-9"/>
          <w:position w:val="6"/>
          <w:sz w:val="14"/>
        </w:rPr>
        <w:t xml:space="preserve"> </w:t>
      </w:r>
      <w:r>
        <w:t>布设一个取样位置</w:t>
      </w:r>
      <w:r>
        <w:t>。</w:t>
      </w:r>
      <w:r>
        <w:rPr>
          <w:spacing w:val="-2"/>
        </w:rPr>
        <w:t>小</w:t>
      </w:r>
      <w:r>
        <w:rPr>
          <w:spacing w:val="-2"/>
        </w:rPr>
        <w:t>型</w:t>
      </w:r>
      <w:r>
        <w:rPr>
          <w:spacing w:val="-2"/>
        </w:rPr>
        <w:t>湖</w:t>
      </w:r>
      <w:r>
        <w:rPr>
          <w:spacing w:val="-2"/>
        </w:rPr>
        <w:t>泊</w:t>
      </w:r>
      <w:r>
        <w:rPr>
          <w:spacing w:val="-2"/>
        </w:rPr>
        <w:t>、</w:t>
      </w:r>
      <w:r>
        <w:rPr>
          <w:spacing w:val="-2"/>
        </w:rPr>
        <w:t>水</w:t>
      </w:r>
      <w:r>
        <w:rPr>
          <w:spacing w:val="-2"/>
        </w:rPr>
        <w:t>库</w:t>
      </w:r>
    </w:p>
    <w:p>
      <w:pPr>
        <w:pStyle w:val="BodyText"/>
        <w:tabs>
          <w:tab w:val="left" w:pos="1689"/>
        </w:tabs>
        <w:spacing w:line="285" w:lineRule="auto"/>
        <w:ind w:left="640" w:right="3969"/>
      </w:pPr>
      <w:r>
        <w:t>当建设项目污水排放量小于</w:t>
      </w:r>
      <w:r>
        <w:rPr>
          <w:spacing w:val="-21"/>
        </w:rPr>
        <w:t xml:space="preserve"> </w:t>
      </w:r>
      <w:r>
        <w:rPr>
          <w:rFonts w:ascii="Times New Roman" w:eastAsia="Times New Roman"/>
        </w:rPr>
        <w:t>50000m</w:t>
      </w:r>
      <w:r>
        <w:rPr>
          <w:rFonts w:ascii="Times New Roman" w:eastAsia="Times New Roman"/>
          <w:position w:val="6"/>
          <w:sz w:val="14"/>
        </w:rPr>
        <w:t>3</w:t>
      </w:r>
      <w:r>
        <w:rPr>
          <w:rFonts w:ascii="Times New Roman" w:eastAsia="Times New Roman"/>
        </w:rPr>
        <w:t xml:space="preserve">/d </w:t>
      </w:r>
      <w:r>
        <w:t>时：</w:t>
      </w:r>
      <w:r>
        <w:t xml:space="preserve"> </w:t>
      </w:r>
      <w:r>
        <w:rPr>
          <w:spacing w:val="-4"/>
        </w:rPr>
        <w:t>一</w:t>
      </w:r>
      <w:r>
        <w:rPr>
          <w:spacing w:val="-4"/>
        </w:rPr>
        <w:t>级</w:t>
      </w:r>
      <w:r>
        <w:rPr>
          <w:spacing w:val="-4"/>
        </w:rPr>
        <w:t>评</w:t>
      </w:r>
      <w:r>
        <w:rPr>
          <w:spacing w:val="-4"/>
        </w:rPr>
        <w:t>价</w:t>
      </w:r>
      <w:r>
        <w:tab/>
        <w:t>每</w:t>
      </w:r>
      <w:r>
        <w:rPr>
          <w:spacing w:val="-53"/>
        </w:rPr>
        <w:t xml:space="preserve"> </w:t>
      </w:r>
      <w:r>
        <w:rPr>
          <w:rFonts w:ascii="Times New Roman" w:eastAsia="Times New Roman"/>
        </w:rPr>
        <w:t>0.5~1.5km</w:t>
      </w:r>
      <w:r>
        <w:rPr>
          <w:rFonts w:ascii="Times New Roman" w:eastAsia="Times New Roman"/>
          <w:position w:val="6"/>
          <w:sz w:val="14"/>
        </w:rPr>
        <w:t>2</w:t>
      </w:r>
      <w:r>
        <w:rPr>
          <w:rFonts w:ascii="Times New Roman" w:eastAsia="Times New Roman"/>
          <w:spacing w:val="-9"/>
          <w:position w:val="6"/>
          <w:sz w:val="14"/>
        </w:rPr>
        <w:t xml:space="preserve"> </w:t>
      </w:r>
      <w:r>
        <w:t>布设一个取样位置；</w:t>
      </w:r>
    </w:p>
    <w:p>
      <w:pPr>
        <w:pStyle w:val="BodyText"/>
        <w:tabs>
          <w:tab w:val="left" w:pos="2109"/>
        </w:tabs>
        <w:spacing w:line="269" w:lineRule="exact"/>
        <w:ind w:left="640"/>
      </w:pPr>
      <w:r>
        <w:t>二、三级评</w:t>
      </w:r>
      <w:r>
        <w:rPr>
          <w:spacing w:val="-10"/>
        </w:rPr>
        <w:t>价</w:t>
      </w:r>
      <w:r>
        <w:tab/>
        <w:t>每</w:t>
      </w:r>
      <w:r>
        <w:rPr>
          <w:spacing w:val="-53"/>
        </w:rPr>
        <w:t xml:space="preserve"> </w:t>
      </w:r>
      <w:r>
        <w:rPr>
          <w:rFonts w:ascii="Times New Roman" w:eastAsia="Times New Roman"/>
        </w:rPr>
        <w:t>1~2km</w:t>
      </w:r>
      <w:r>
        <w:rPr>
          <w:rFonts w:ascii="Times New Roman" w:eastAsia="Times New Roman"/>
          <w:position w:val="6"/>
          <w:sz w:val="14"/>
        </w:rPr>
        <w:t xml:space="preserve">2 </w:t>
      </w:r>
      <w:r>
        <w:t>布设一个取样位置</w:t>
      </w:r>
      <w:r>
        <w:rPr>
          <w:spacing w:val="-10"/>
        </w:rPr>
        <w:t>。</w:t>
      </w:r>
    </w:p>
    <w:p>
      <w:pPr>
        <w:pStyle w:val="BodyText"/>
        <w:spacing w:before="50" w:line="285" w:lineRule="auto"/>
        <w:ind w:left="220" w:right="299" w:firstLine="420"/>
      </w:pPr>
      <w:r>
        <w:rPr>
          <w:spacing w:val="-5"/>
        </w:rPr>
        <w:t xml:space="preserve">当建设项目污水排放量大于 </w:t>
      </w:r>
      <w:r>
        <w:rPr>
          <w:rFonts w:ascii="Times New Roman" w:eastAsia="Times New Roman"/>
        </w:rPr>
        <w:t>50000m</w:t>
      </w:r>
      <w:r>
        <w:rPr>
          <w:rFonts w:ascii="Times New Roman" w:eastAsia="Times New Roman"/>
          <w:position w:val="6"/>
          <w:sz w:val="14"/>
        </w:rPr>
        <w:t>3</w:t>
      </w:r>
      <w:r>
        <w:rPr>
          <w:rFonts w:ascii="Times New Roman" w:eastAsia="Times New Roman"/>
        </w:rPr>
        <w:t>/d</w:t>
      </w:r>
      <w:r>
        <w:rPr>
          <w:rFonts w:ascii="Times New Roman" w:eastAsia="Times New Roman"/>
          <w:spacing w:val="-14"/>
        </w:rPr>
        <w:t xml:space="preserve"> </w:t>
      </w:r>
      <w:r>
        <w:rPr>
          <w:spacing w:val="-16"/>
        </w:rPr>
        <w:t xml:space="preserve">时，各级评价均为每 </w:t>
      </w:r>
      <w:r>
        <w:rPr>
          <w:rFonts w:ascii="Times New Roman" w:eastAsia="Times New Roman"/>
        </w:rPr>
        <w:t>0.5~1.5km</w:t>
      </w:r>
      <w:r>
        <w:rPr>
          <w:rFonts w:ascii="Times New Roman" w:eastAsia="Times New Roman"/>
          <w:position w:val="6"/>
          <w:sz w:val="14"/>
        </w:rPr>
        <w:t>2</w:t>
      </w:r>
      <w:r>
        <w:rPr>
          <w:rFonts w:ascii="Times New Roman" w:eastAsia="Times New Roman"/>
          <w:spacing w:val="-8"/>
          <w:position w:val="6"/>
          <w:sz w:val="14"/>
        </w:rPr>
        <w:t xml:space="preserve"> </w:t>
      </w:r>
      <w:r>
        <w:t>布设一个取样位</w:t>
      </w:r>
      <w:r>
        <w:rPr>
          <w:spacing w:val="-6"/>
        </w:rPr>
        <w:t>置。</w:t>
      </w:r>
    </w:p>
    <w:p>
      <w:pPr>
        <w:pStyle w:val="ListParagraph"/>
        <w:numPr>
          <w:ilvl w:val="4"/>
          <w:numId w:val="39"/>
        </w:numPr>
        <w:tabs>
          <w:tab w:val="left" w:pos="903"/>
        </w:tabs>
        <w:spacing w:before="0" w:after="0" w:line="292" w:lineRule="auto"/>
        <w:ind w:left="640" w:right="5611" w:firstLine="0"/>
        <w:jc w:val="left"/>
        <w:rPr>
          <w:sz w:val="21"/>
        </w:rPr>
      </w:pPr>
      <w:r>
        <w:rPr>
          <w:spacing w:val="-2"/>
          <w:sz w:val="21"/>
        </w:rPr>
        <w:t>取样位置上取样点的确定</w:t>
      </w:r>
      <w:r>
        <w:rPr>
          <w:spacing w:val="-2"/>
          <w:sz w:val="21"/>
        </w:rPr>
        <w:t>大、中型湖泊、水库</w:t>
      </w:r>
    </w:p>
    <w:p>
      <w:pPr>
        <w:pStyle w:val="BodyText"/>
        <w:spacing w:before="1"/>
        <w:ind w:left="640"/>
      </w:pPr>
      <w:r>
        <w:rPr>
          <w:spacing w:val="-7"/>
        </w:rPr>
        <w:t xml:space="preserve">当平均水深小于 </w:t>
      </w:r>
      <w:r>
        <w:rPr>
          <w:rFonts w:ascii="Times New Roman" w:eastAsia="Times New Roman"/>
        </w:rPr>
        <w:t>10m</w:t>
      </w:r>
      <w:r>
        <w:rPr>
          <w:rFonts w:ascii="Times New Roman" w:eastAsia="Times New Roman"/>
          <w:spacing w:val="-1"/>
        </w:rPr>
        <w:t xml:space="preserve"> </w:t>
      </w:r>
      <w:r>
        <w:rPr>
          <w:spacing w:val="-5"/>
        </w:rPr>
        <w:t xml:space="preserve">时，取样点设在水面下 </w:t>
      </w:r>
      <w:r>
        <w:rPr>
          <w:rFonts w:ascii="Times New Roman" w:eastAsia="Times New Roman"/>
        </w:rPr>
        <w:t xml:space="preserve">0.5m </w:t>
      </w:r>
      <w:r>
        <w:rPr>
          <w:spacing w:val="-5"/>
        </w:rPr>
        <w:t xml:space="preserve">处，但此点距底不应小于 </w:t>
      </w:r>
      <w:r>
        <w:rPr>
          <w:rFonts w:ascii="Times New Roman" w:eastAsia="Times New Roman"/>
        </w:rPr>
        <w:t>0.5m</w:t>
      </w:r>
      <w:r>
        <w:rPr>
          <w:spacing w:val="-10"/>
        </w:rPr>
        <w:t>。</w:t>
      </w:r>
    </w:p>
    <w:p>
      <w:pPr>
        <w:spacing w:after="0"/>
        <w:sectPr>
          <w:footerReference w:type="even" r:id="rId36"/>
          <w:footerReference w:type="default" r:id="rId37"/>
          <w:pgSz w:w="11910" w:h="16840"/>
          <w:pgMar w:top="1420" w:right="1500" w:bottom="1180" w:left="1580" w:header="0" w:footer="990"/>
          <w:pgNumType w:start="616"/>
          <w:cols w:space="708"/>
        </w:sectPr>
      </w:pPr>
    </w:p>
    <w:p>
      <w:pPr>
        <w:pStyle w:val="BodyText"/>
        <w:spacing w:before="56" w:line="295" w:lineRule="auto"/>
        <w:ind w:left="220" w:right="297" w:firstLine="420"/>
        <w:jc w:val="both"/>
      </w:pPr>
      <w:r>
        <w:rPr>
          <w:spacing w:val="-3"/>
        </w:rPr>
        <w:t xml:space="preserve">当平均水深大于等于 </w:t>
      </w:r>
      <w:r>
        <w:rPr>
          <w:rFonts w:ascii="Times New Roman" w:eastAsia="Times New Roman"/>
        </w:rPr>
        <w:t>10m</w:t>
      </w:r>
      <w:r>
        <w:rPr>
          <w:rFonts w:ascii="Times New Roman" w:eastAsia="Times New Roman"/>
          <w:spacing w:val="-2"/>
        </w:rPr>
        <w:t xml:space="preserve"> </w:t>
      </w:r>
      <w:r>
        <w:t>时，首先要根据现有资料查明此湖泊（水库）有无温度分层</w:t>
      </w:r>
      <w:r>
        <w:rPr>
          <w:spacing w:val="-1"/>
        </w:rPr>
        <w:t xml:space="preserve">现象，如无资料可供调查，则先测水温。在取样位置水面下 </w:t>
      </w:r>
      <w:r>
        <w:rPr>
          <w:rFonts w:ascii="Times New Roman" w:eastAsia="Times New Roman"/>
        </w:rPr>
        <w:t>0.5m</w:t>
      </w:r>
      <w:r>
        <w:rPr>
          <w:rFonts w:ascii="Times New Roman" w:eastAsia="Times New Roman"/>
          <w:spacing w:val="19"/>
        </w:rPr>
        <w:t xml:space="preserve"> </w:t>
      </w:r>
      <w:r>
        <w:rPr>
          <w:spacing w:val="-3"/>
        </w:rPr>
        <w:t xml:space="preserve">处测水温，以下每隔 </w:t>
      </w:r>
      <w:r>
        <w:rPr>
          <w:rFonts w:ascii="Times New Roman" w:eastAsia="Times New Roman"/>
        </w:rPr>
        <w:t>2m</w:t>
      </w:r>
      <w:r>
        <w:rPr>
          <w:spacing w:val="-4"/>
        </w:rPr>
        <w:t>水深测一个水温值，如发现两点间温度变化较大时，应在这两点间酌量加测几点的水温，目</w:t>
      </w:r>
      <w:r>
        <w:rPr>
          <w:spacing w:val="-2"/>
        </w:rPr>
        <w:t xml:space="preserve">的是找到斜温层。找到斜温层后，在水面下 </w:t>
      </w:r>
      <w:r>
        <w:rPr>
          <w:rFonts w:ascii="Times New Roman" w:eastAsia="Times New Roman"/>
        </w:rPr>
        <w:t>0.5m</w:t>
      </w:r>
      <w:r>
        <w:rPr>
          <w:rFonts w:ascii="Times New Roman" w:eastAsia="Times New Roman"/>
          <w:spacing w:val="3"/>
        </w:rPr>
        <w:t xml:space="preserve"> </w:t>
      </w:r>
      <w:r>
        <w:rPr>
          <w:spacing w:val="-3"/>
        </w:rPr>
        <w:t xml:space="preserve">及斜温层以下，距底 </w:t>
      </w:r>
      <w:r>
        <w:rPr>
          <w:rFonts w:ascii="Times New Roman" w:eastAsia="Times New Roman"/>
        </w:rPr>
        <w:t>0.5m</w:t>
      </w:r>
      <w:r>
        <w:rPr>
          <w:rFonts w:ascii="Times New Roman" w:eastAsia="Times New Roman"/>
          <w:spacing w:val="17"/>
        </w:rPr>
        <w:t xml:space="preserve"> </w:t>
      </w:r>
      <w:r>
        <w:t>以上处各取一</w:t>
      </w:r>
      <w:r>
        <w:rPr>
          <w:spacing w:val="-4"/>
        </w:rPr>
        <w:t>个水样。</w:t>
      </w:r>
    </w:p>
    <w:p>
      <w:pPr>
        <w:pStyle w:val="BodyText"/>
        <w:spacing w:line="264" w:lineRule="exact"/>
        <w:ind w:left="640"/>
      </w:pPr>
      <w:r>
        <w:rPr>
          <w:spacing w:val="-2"/>
        </w:rPr>
        <w:t>小型湖泊、水库</w:t>
      </w:r>
    </w:p>
    <w:p>
      <w:pPr>
        <w:pStyle w:val="BodyText"/>
        <w:spacing w:before="61" w:line="295" w:lineRule="auto"/>
        <w:ind w:left="220" w:right="298" w:firstLine="420"/>
      </w:pPr>
      <w:r>
        <w:rPr>
          <w:spacing w:val="-5"/>
        </w:rPr>
        <w:t xml:space="preserve">当平均水深小于 </w:t>
      </w:r>
      <w:r>
        <w:rPr>
          <w:rFonts w:ascii="Times New Roman" w:eastAsia="Times New Roman"/>
        </w:rPr>
        <w:t xml:space="preserve">10m </w:t>
      </w:r>
      <w:r>
        <w:rPr>
          <w:spacing w:val="-7"/>
        </w:rPr>
        <w:t xml:space="preserve">时，水面下 </w:t>
      </w:r>
      <w:r>
        <w:rPr>
          <w:rFonts w:ascii="Times New Roman" w:eastAsia="Times New Roman"/>
        </w:rPr>
        <w:t>0.5m</w:t>
      </w:r>
      <w:r>
        <w:rPr>
          <w:spacing w:val="-5"/>
        </w:rPr>
        <w:t xml:space="preserve">，并距底不小于 </w:t>
      </w:r>
      <w:r>
        <w:rPr>
          <w:rFonts w:ascii="Times New Roman" w:eastAsia="Times New Roman"/>
        </w:rPr>
        <w:t xml:space="preserve">0.5m </w:t>
      </w:r>
      <w:r>
        <w:t>处设一取样点；当平均水</w:t>
      </w:r>
      <w:r>
        <w:rPr>
          <w:spacing w:val="-5"/>
        </w:rPr>
        <w:t xml:space="preserve">深大于等于 </w:t>
      </w:r>
      <w:r>
        <w:rPr>
          <w:rFonts w:ascii="Times New Roman" w:eastAsia="Times New Roman"/>
        </w:rPr>
        <w:t>10m</w:t>
      </w:r>
      <w:r>
        <w:rPr>
          <w:spacing w:val="-6"/>
        </w:rPr>
        <w:t xml:space="preserve">，水面下 </w:t>
      </w:r>
      <w:r>
        <w:rPr>
          <w:rFonts w:ascii="Times New Roman" w:eastAsia="Times New Roman"/>
        </w:rPr>
        <w:t xml:space="preserve">0.5m </w:t>
      </w:r>
      <w:r>
        <w:rPr>
          <w:spacing w:val="-6"/>
        </w:rPr>
        <w:t xml:space="preserve">处和水深 </w:t>
      </w:r>
      <w:r>
        <w:rPr>
          <w:rFonts w:ascii="Times New Roman" w:eastAsia="Times New Roman"/>
        </w:rPr>
        <w:t>10m</w:t>
      </w:r>
      <w:r>
        <w:rPr>
          <w:spacing w:val="-4"/>
        </w:rPr>
        <w:t xml:space="preserve">，并距底不小于 </w:t>
      </w:r>
      <w:r>
        <w:rPr>
          <w:rFonts w:ascii="Times New Roman" w:eastAsia="Times New Roman"/>
        </w:rPr>
        <w:t xml:space="preserve">0.5m </w:t>
      </w:r>
      <w:r>
        <w:t>处各设一取样点。</w:t>
      </w:r>
    </w:p>
    <w:p>
      <w:pPr>
        <w:pStyle w:val="ListParagraph"/>
        <w:numPr>
          <w:ilvl w:val="4"/>
          <w:numId w:val="39"/>
        </w:numPr>
        <w:tabs>
          <w:tab w:val="left" w:pos="891"/>
        </w:tabs>
        <w:spacing w:before="0" w:after="0" w:line="295" w:lineRule="auto"/>
        <w:ind w:left="640" w:right="6715" w:firstLine="0"/>
        <w:jc w:val="left"/>
        <w:rPr>
          <w:sz w:val="21"/>
        </w:rPr>
      </w:pPr>
      <w:r>
        <w:rPr>
          <w:spacing w:val="-2"/>
          <w:sz w:val="21"/>
        </w:rPr>
        <w:t>水样的对待</w:t>
      </w:r>
      <w:r>
        <w:rPr>
          <w:spacing w:val="-2"/>
          <w:sz w:val="21"/>
        </w:rPr>
        <w:t>小型湖泊、水库</w:t>
      </w:r>
    </w:p>
    <w:p>
      <w:pPr>
        <w:pStyle w:val="BodyText"/>
        <w:spacing w:line="295" w:lineRule="auto"/>
        <w:ind w:left="220" w:right="298" w:firstLine="420"/>
      </w:pPr>
      <w:r>
        <w:rPr>
          <w:spacing w:val="-9"/>
        </w:rPr>
        <w:t xml:space="preserve">如水深小于 </w:t>
      </w:r>
      <w:r>
        <w:rPr>
          <w:rFonts w:ascii="Times New Roman" w:eastAsia="Times New Roman"/>
        </w:rPr>
        <w:t>10m</w:t>
      </w:r>
      <w:r>
        <w:rPr>
          <w:rFonts w:ascii="Times New Roman" w:eastAsia="Times New Roman"/>
          <w:spacing w:val="-14"/>
        </w:rPr>
        <w:t xml:space="preserve"> </w:t>
      </w:r>
      <w:r>
        <w:rPr>
          <w:spacing w:val="-3"/>
        </w:rPr>
        <w:t xml:space="preserve">时，每个取样位置取一个水样；如水深大于等于 </w:t>
      </w:r>
      <w:r>
        <w:rPr>
          <w:rFonts w:ascii="Times New Roman" w:eastAsia="Times New Roman"/>
        </w:rPr>
        <w:t>10m</w:t>
      </w:r>
      <w:r>
        <w:rPr>
          <w:rFonts w:ascii="Times New Roman" w:eastAsia="Times New Roman"/>
          <w:spacing w:val="-13"/>
        </w:rPr>
        <w:t xml:space="preserve"> </w:t>
      </w:r>
      <w:r>
        <w:t>时则一般只取一</w:t>
      </w:r>
      <w:r>
        <w:rPr>
          <w:spacing w:val="-2"/>
        </w:rPr>
        <w:t>个混合样，在上下层水质差距较大时，可不进行混合。</w:t>
      </w:r>
    </w:p>
    <w:p>
      <w:pPr>
        <w:pStyle w:val="BodyText"/>
        <w:spacing w:line="267" w:lineRule="exact"/>
        <w:ind w:left="640"/>
      </w:pPr>
      <w:r>
        <w:rPr>
          <w:spacing w:val="-2"/>
        </w:rPr>
        <w:t>大、中型湖泊、水库</w:t>
      </w:r>
    </w:p>
    <w:p>
      <w:pPr>
        <w:pStyle w:val="BodyText"/>
        <w:spacing w:before="57"/>
        <w:ind w:left="640"/>
      </w:pPr>
      <w:r>
        <w:rPr>
          <w:spacing w:val="-1"/>
        </w:rPr>
        <w:t>各取样位置上不同深度的水样均不混合。</w:t>
      </w:r>
    </w:p>
    <w:p>
      <w:pPr>
        <w:pStyle w:val="ListParagraph"/>
        <w:numPr>
          <w:ilvl w:val="3"/>
          <w:numId w:val="39"/>
        </w:numPr>
        <w:tabs>
          <w:tab w:val="left" w:pos="1008"/>
        </w:tabs>
        <w:spacing w:before="61" w:after="0" w:line="240" w:lineRule="auto"/>
        <w:ind w:left="1007" w:right="0" w:hanging="788"/>
        <w:jc w:val="both"/>
        <w:rPr>
          <w:sz w:val="21"/>
        </w:rPr>
      </w:pPr>
      <w:r>
        <w:rPr>
          <w:spacing w:val="-5"/>
          <w:sz w:val="21"/>
        </w:rPr>
        <w:t>海湾</w:t>
      </w:r>
    </w:p>
    <w:p>
      <w:pPr>
        <w:pStyle w:val="ListParagraph"/>
        <w:numPr>
          <w:ilvl w:val="4"/>
          <w:numId w:val="39"/>
        </w:numPr>
        <w:tabs>
          <w:tab w:val="left" w:pos="891"/>
        </w:tabs>
        <w:spacing w:before="61" w:after="0" w:line="240" w:lineRule="auto"/>
        <w:ind w:left="890" w:right="0" w:hanging="251"/>
        <w:jc w:val="both"/>
        <w:rPr>
          <w:sz w:val="21"/>
        </w:rPr>
      </w:pPr>
      <w:r>
        <w:rPr>
          <w:spacing w:val="-1"/>
          <w:sz w:val="21"/>
        </w:rPr>
        <w:t>取样位置的布设原则、方法和数目</w:t>
      </w:r>
    </w:p>
    <w:p>
      <w:pPr>
        <w:pStyle w:val="BodyText"/>
        <w:spacing w:before="61" w:line="295" w:lineRule="auto"/>
        <w:ind w:left="220" w:right="298" w:firstLine="420"/>
        <w:jc w:val="both"/>
      </w:pPr>
      <w:r>
        <w:rPr>
          <w:spacing w:val="-5"/>
        </w:rPr>
        <w:t xml:space="preserve">在海湾中布设取样位置时，应尽量覆盖表 </w:t>
      </w:r>
      <w:r>
        <w:rPr>
          <w:rFonts w:ascii="Times New Roman" w:eastAsia="Times New Roman"/>
          <w:spacing w:val="-4"/>
        </w:rPr>
        <w:t>6</w:t>
      </w:r>
      <w:r>
        <w:rPr>
          <w:rFonts w:ascii="Times New Roman" w:eastAsia="Times New Roman"/>
          <w:spacing w:val="-6"/>
        </w:rPr>
        <w:t xml:space="preserve"> </w:t>
      </w:r>
      <w:r>
        <w:rPr>
          <w:spacing w:val="-4"/>
        </w:rPr>
        <w:t>所推荐的整个调查范围，并且切实反映海湾</w:t>
      </w:r>
      <w:r>
        <w:rPr>
          <w:spacing w:val="-4"/>
        </w:rPr>
        <w:t>的水质和水文特点。取样位置可以采用以建设项目的排放口为中心，沿放射线布设的方法或</w:t>
      </w:r>
      <w:r>
        <w:rPr>
          <w:spacing w:val="-2"/>
        </w:rPr>
        <w:t>方格网布点的方法。每个取样位置的间隔可参考下列数字。</w:t>
      </w:r>
    </w:p>
    <w:p>
      <w:pPr>
        <w:pStyle w:val="BodyText"/>
        <w:tabs>
          <w:tab w:val="left" w:pos="1689"/>
        </w:tabs>
        <w:spacing w:line="295" w:lineRule="auto"/>
        <w:ind w:left="640" w:right="3969"/>
      </w:pPr>
      <w:r>
        <w:t>当建设项目污水排放量小于</w:t>
      </w:r>
      <w:r>
        <w:rPr>
          <w:spacing w:val="-21"/>
        </w:rPr>
        <w:t xml:space="preserve"> </w:t>
      </w:r>
      <w:r>
        <w:rPr>
          <w:rFonts w:ascii="Times New Roman" w:eastAsia="Times New Roman"/>
        </w:rPr>
        <w:t>50000m</w:t>
      </w:r>
      <w:r>
        <w:rPr>
          <w:rFonts w:ascii="Times New Roman" w:eastAsia="Times New Roman"/>
          <w:position w:val="6"/>
          <w:sz w:val="14"/>
        </w:rPr>
        <w:t>3</w:t>
      </w:r>
      <w:r>
        <w:rPr>
          <w:rFonts w:ascii="Times New Roman" w:eastAsia="Times New Roman"/>
        </w:rPr>
        <w:t xml:space="preserve">/d </w:t>
      </w:r>
      <w:r>
        <w:t>时：</w:t>
      </w:r>
      <w:r>
        <w:t xml:space="preserve"> </w:t>
      </w:r>
      <w:r>
        <w:rPr>
          <w:spacing w:val="-4"/>
        </w:rPr>
        <w:t>一</w:t>
      </w:r>
      <w:r>
        <w:rPr>
          <w:spacing w:val="-4"/>
        </w:rPr>
        <w:t>级</w:t>
      </w:r>
      <w:r>
        <w:rPr>
          <w:spacing w:val="-4"/>
        </w:rPr>
        <w:t>评</w:t>
      </w:r>
      <w:r>
        <w:rPr>
          <w:spacing w:val="-4"/>
        </w:rPr>
        <w:t>价</w:t>
      </w:r>
      <w:r>
        <w:tab/>
        <w:t>每</w:t>
      </w:r>
      <w:r>
        <w:rPr>
          <w:spacing w:val="-53"/>
        </w:rPr>
        <w:t xml:space="preserve"> </w:t>
      </w:r>
      <w:r>
        <w:rPr>
          <w:rFonts w:ascii="Times New Roman" w:eastAsia="Times New Roman"/>
        </w:rPr>
        <w:t>1.5~3.5km</w:t>
      </w:r>
      <w:r>
        <w:rPr>
          <w:rFonts w:ascii="Times New Roman" w:eastAsia="Times New Roman"/>
          <w:position w:val="6"/>
          <w:sz w:val="14"/>
        </w:rPr>
        <w:t>2</w:t>
      </w:r>
      <w:r>
        <w:rPr>
          <w:rFonts w:ascii="Times New Roman" w:eastAsia="Times New Roman"/>
          <w:spacing w:val="-9"/>
          <w:position w:val="6"/>
          <w:sz w:val="14"/>
        </w:rPr>
        <w:t xml:space="preserve"> </w:t>
      </w:r>
      <w:r>
        <w:t>布设一个取样位置；</w:t>
      </w:r>
      <w:r>
        <w:rPr>
          <w:spacing w:val="-4"/>
        </w:rPr>
        <w:t>二</w:t>
      </w:r>
      <w:r>
        <w:rPr>
          <w:spacing w:val="-4"/>
        </w:rPr>
        <w:t>级</w:t>
      </w:r>
      <w:r>
        <w:rPr>
          <w:spacing w:val="-4"/>
        </w:rPr>
        <w:t>评</w:t>
      </w:r>
      <w:r>
        <w:rPr>
          <w:spacing w:val="-4"/>
        </w:rPr>
        <w:t>价</w:t>
      </w:r>
      <w:r>
        <w:tab/>
        <w:t>每</w:t>
      </w:r>
      <w:r>
        <w:rPr>
          <w:spacing w:val="-26"/>
        </w:rPr>
        <w:t xml:space="preserve"> </w:t>
      </w:r>
      <w:r>
        <w:rPr>
          <w:rFonts w:ascii="Times New Roman" w:eastAsia="Times New Roman"/>
        </w:rPr>
        <w:t>2~4.5km</w:t>
      </w:r>
      <w:r>
        <w:rPr>
          <w:rFonts w:ascii="Times New Roman" w:eastAsia="Times New Roman"/>
          <w:position w:val="6"/>
          <w:sz w:val="14"/>
        </w:rPr>
        <w:t xml:space="preserve">2 </w:t>
      </w:r>
      <w:r>
        <w:t>布设一个取样位置；</w:t>
      </w:r>
      <w:r>
        <w:rPr>
          <w:spacing w:val="-4"/>
        </w:rPr>
        <w:t>三</w:t>
      </w:r>
      <w:r>
        <w:rPr>
          <w:spacing w:val="-4"/>
        </w:rPr>
        <w:t>级</w:t>
      </w:r>
      <w:r>
        <w:rPr>
          <w:spacing w:val="-4"/>
        </w:rPr>
        <w:t>评</w:t>
      </w:r>
      <w:r>
        <w:rPr>
          <w:spacing w:val="-4"/>
        </w:rPr>
        <w:t>价</w:t>
      </w:r>
      <w:r>
        <w:tab/>
        <w:t>每</w:t>
      </w:r>
      <w:r>
        <w:rPr>
          <w:spacing w:val="-26"/>
        </w:rPr>
        <w:t xml:space="preserve"> </w:t>
      </w:r>
      <w:r>
        <w:rPr>
          <w:rFonts w:ascii="Times New Roman" w:eastAsia="Times New Roman"/>
        </w:rPr>
        <w:t>3~5.5km</w:t>
      </w:r>
      <w:r>
        <w:rPr>
          <w:rFonts w:ascii="Times New Roman" w:eastAsia="Times New Roman"/>
          <w:position w:val="6"/>
          <w:sz w:val="14"/>
        </w:rPr>
        <w:t xml:space="preserve">2 </w:t>
      </w:r>
      <w:r>
        <w:t>布设一个取样位置。当建设项目污水排放量大于</w:t>
      </w:r>
      <w:r>
        <w:rPr>
          <w:spacing w:val="-21"/>
        </w:rPr>
        <w:t xml:space="preserve"> </w:t>
      </w:r>
      <w:r>
        <w:rPr>
          <w:rFonts w:ascii="Times New Roman" w:eastAsia="Times New Roman"/>
        </w:rPr>
        <w:t>50000m</w:t>
      </w:r>
      <w:r>
        <w:rPr>
          <w:rFonts w:ascii="Times New Roman" w:eastAsia="Times New Roman"/>
          <w:position w:val="6"/>
          <w:sz w:val="14"/>
        </w:rPr>
        <w:t>3</w:t>
      </w:r>
      <w:r>
        <w:rPr>
          <w:rFonts w:ascii="Times New Roman" w:eastAsia="Times New Roman"/>
        </w:rPr>
        <w:t xml:space="preserve">/d </w:t>
      </w:r>
      <w:r>
        <w:t xml:space="preserve">时： </w:t>
      </w:r>
      <w:r>
        <w:rPr>
          <w:spacing w:val="-4"/>
        </w:rPr>
        <w:t>一</w:t>
      </w:r>
      <w:r>
        <w:rPr>
          <w:spacing w:val="-4"/>
        </w:rPr>
        <w:t>级</w:t>
      </w:r>
      <w:r>
        <w:rPr>
          <w:spacing w:val="-4"/>
        </w:rPr>
        <w:t>评</w:t>
      </w:r>
      <w:r>
        <w:rPr>
          <w:spacing w:val="-4"/>
        </w:rPr>
        <w:t>价</w:t>
      </w:r>
      <w:r>
        <w:tab/>
        <w:t>每</w:t>
      </w:r>
      <w:r>
        <w:rPr>
          <w:spacing w:val="-26"/>
        </w:rPr>
        <w:t xml:space="preserve"> </w:t>
      </w:r>
      <w:r>
        <w:rPr>
          <w:rFonts w:ascii="Times New Roman" w:eastAsia="Times New Roman"/>
        </w:rPr>
        <w:t>4~7km</w:t>
      </w:r>
      <w:r>
        <w:rPr>
          <w:rFonts w:ascii="Times New Roman" w:eastAsia="Times New Roman"/>
          <w:position w:val="6"/>
          <w:sz w:val="14"/>
        </w:rPr>
        <w:t xml:space="preserve">2 </w:t>
      </w:r>
      <w:r>
        <w:t>布设一个取样位置。</w:t>
      </w:r>
    </w:p>
    <w:p>
      <w:pPr>
        <w:pStyle w:val="BodyText"/>
        <w:tabs>
          <w:tab w:val="left" w:pos="2109"/>
        </w:tabs>
        <w:spacing w:line="263" w:lineRule="exact"/>
        <w:ind w:left="640"/>
      </w:pPr>
      <w:r>
        <w:t>二、三级评</w:t>
      </w:r>
      <w:r>
        <w:rPr>
          <w:spacing w:val="-10"/>
        </w:rPr>
        <w:t>价</w:t>
      </w:r>
      <w:r>
        <w:tab/>
        <w:t>每</w:t>
      </w:r>
      <w:r>
        <w:rPr>
          <w:spacing w:val="-53"/>
        </w:rPr>
        <w:t xml:space="preserve"> </w:t>
      </w:r>
      <w:r>
        <w:rPr>
          <w:rFonts w:ascii="Times New Roman" w:eastAsia="Times New Roman"/>
        </w:rPr>
        <w:t>5~8km</w:t>
      </w:r>
      <w:r>
        <w:rPr>
          <w:rFonts w:ascii="Times New Roman" w:eastAsia="Times New Roman"/>
          <w:position w:val="6"/>
          <w:sz w:val="14"/>
        </w:rPr>
        <w:t xml:space="preserve">2 </w:t>
      </w:r>
      <w:r>
        <w:t>设一个取样位置</w:t>
      </w:r>
      <w:r>
        <w:rPr>
          <w:spacing w:val="-10"/>
        </w:rPr>
        <w:t>。</w:t>
      </w:r>
    </w:p>
    <w:p>
      <w:pPr>
        <w:pStyle w:val="ListParagraph"/>
        <w:numPr>
          <w:ilvl w:val="4"/>
          <w:numId w:val="39"/>
        </w:numPr>
        <w:tabs>
          <w:tab w:val="left" w:pos="903"/>
        </w:tabs>
        <w:spacing w:before="58" w:after="0" w:line="240" w:lineRule="auto"/>
        <w:ind w:left="902" w:right="0" w:hanging="263"/>
        <w:jc w:val="left"/>
        <w:rPr>
          <w:sz w:val="21"/>
        </w:rPr>
      </w:pPr>
      <w:r>
        <w:rPr>
          <w:spacing w:val="-1"/>
          <w:sz w:val="21"/>
        </w:rPr>
        <w:t>取样位置上取样点的确定</w:t>
      </w:r>
    </w:p>
    <w:p>
      <w:pPr>
        <w:pStyle w:val="BodyText"/>
        <w:spacing w:before="61" w:line="295" w:lineRule="auto"/>
        <w:ind w:left="220" w:right="298" w:firstLine="420"/>
        <w:jc w:val="both"/>
      </w:pPr>
      <w:r>
        <w:rPr>
          <w:spacing w:val="-6"/>
        </w:rPr>
        <w:t xml:space="preserve">一般情况，在水深小于等于 </w:t>
      </w:r>
      <w:r>
        <w:rPr>
          <w:rFonts w:ascii="Times New Roman" w:eastAsia="Times New Roman"/>
          <w:spacing w:val="-4"/>
        </w:rPr>
        <w:t>10m</w:t>
      </w:r>
      <w:r>
        <w:rPr>
          <w:rFonts w:ascii="Times New Roman" w:eastAsia="Times New Roman"/>
          <w:spacing w:val="-6"/>
        </w:rPr>
        <w:t xml:space="preserve"> </w:t>
      </w:r>
      <w:r>
        <w:rPr>
          <w:spacing w:val="-7"/>
        </w:rPr>
        <w:t xml:space="preserve">时，只在海面下 </w:t>
      </w:r>
      <w:r>
        <w:rPr>
          <w:rFonts w:ascii="Times New Roman" w:eastAsia="Times New Roman"/>
          <w:spacing w:val="-4"/>
        </w:rPr>
        <w:t>0.5m</w:t>
      </w:r>
      <w:r>
        <w:rPr>
          <w:rFonts w:ascii="Times New Roman" w:eastAsia="Times New Roman"/>
          <w:spacing w:val="19"/>
        </w:rPr>
        <w:t xml:space="preserve"> </w:t>
      </w:r>
      <w:r>
        <w:rPr>
          <w:spacing w:val="-4"/>
        </w:rPr>
        <w:t>处取一个水样，此点与海底的距</w:t>
      </w:r>
      <w:r>
        <w:rPr>
          <w:spacing w:val="-9"/>
        </w:rPr>
        <w:t xml:space="preserve">离不应小于 </w:t>
      </w:r>
      <w:r>
        <w:rPr>
          <w:rFonts w:ascii="Times New Roman" w:eastAsia="Times New Roman"/>
          <w:spacing w:val="-6"/>
        </w:rPr>
        <w:t>0.5m</w:t>
      </w:r>
      <w:r>
        <w:rPr>
          <w:spacing w:val="-8"/>
        </w:rPr>
        <w:t xml:space="preserve">；在水深大于 </w:t>
      </w:r>
      <w:r>
        <w:rPr>
          <w:rFonts w:ascii="Times New Roman" w:eastAsia="Times New Roman"/>
          <w:spacing w:val="-6"/>
        </w:rPr>
        <w:t>10m</w:t>
      </w:r>
      <w:r>
        <w:rPr>
          <w:rFonts w:ascii="Times New Roman" w:eastAsia="Times New Roman"/>
          <w:spacing w:val="-7"/>
        </w:rPr>
        <w:t xml:space="preserve"> </w:t>
      </w:r>
      <w:r>
        <w:rPr>
          <w:spacing w:val="-17"/>
        </w:rPr>
        <w:t xml:space="preserve">时，在海面下 </w:t>
      </w:r>
      <w:r>
        <w:rPr>
          <w:rFonts w:ascii="Times New Roman" w:eastAsia="Times New Roman"/>
          <w:spacing w:val="-6"/>
        </w:rPr>
        <w:t>0.5m</w:t>
      </w:r>
      <w:r>
        <w:rPr>
          <w:rFonts w:ascii="Times New Roman" w:eastAsia="Times New Roman"/>
          <w:spacing w:val="-7"/>
        </w:rPr>
        <w:t xml:space="preserve"> </w:t>
      </w:r>
      <w:r>
        <w:rPr>
          <w:spacing w:val="-9"/>
        </w:rPr>
        <w:t xml:space="preserve">处和水深 </w:t>
      </w:r>
      <w:r>
        <w:rPr>
          <w:rFonts w:ascii="Times New Roman" w:eastAsia="Times New Roman"/>
          <w:spacing w:val="-6"/>
        </w:rPr>
        <w:t>10m</w:t>
      </w:r>
      <w:r>
        <w:rPr>
          <w:spacing w:val="-8"/>
        </w:rPr>
        <w:t xml:space="preserve">，并距海底不小于 </w:t>
      </w:r>
      <w:r>
        <w:rPr>
          <w:rFonts w:ascii="Times New Roman" w:eastAsia="Times New Roman"/>
          <w:spacing w:val="-6"/>
        </w:rPr>
        <w:t>0.5</w:t>
      </w:r>
      <w:r>
        <w:rPr>
          <w:rFonts w:ascii="Times New Roman" w:eastAsia="Times New Roman"/>
          <w:spacing w:val="-6"/>
        </w:rPr>
        <w:t>m</w:t>
      </w:r>
      <w:r>
        <w:rPr>
          <w:spacing w:val="-2"/>
        </w:rPr>
        <w:t>处分别设取样点。</w:t>
      </w:r>
    </w:p>
    <w:p>
      <w:pPr>
        <w:pStyle w:val="ListParagraph"/>
        <w:numPr>
          <w:ilvl w:val="4"/>
          <w:numId w:val="39"/>
        </w:numPr>
        <w:tabs>
          <w:tab w:val="left" w:pos="891"/>
        </w:tabs>
        <w:spacing w:before="0" w:after="0" w:line="266" w:lineRule="exact"/>
        <w:ind w:left="890" w:right="0" w:hanging="251"/>
        <w:jc w:val="both"/>
        <w:rPr>
          <w:sz w:val="21"/>
        </w:rPr>
      </w:pPr>
      <w:r>
        <w:rPr>
          <w:spacing w:val="-2"/>
          <w:sz w:val="21"/>
        </w:rPr>
        <w:t>水样的对待</w:t>
      </w:r>
    </w:p>
    <w:p>
      <w:pPr>
        <w:pStyle w:val="BodyText"/>
        <w:spacing w:before="61" w:line="295" w:lineRule="auto"/>
        <w:ind w:left="220" w:right="298" w:firstLine="420"/>
        <w:jc w:val="both"/>
      </w:pPr>
      <w:r>
        <w:rPr>
          <w:spacing w:val="-2"/>
        </w:rPr>
        <w:t xml:space="preserve">每个取样位置一般只有一个水样，即在水深大于 </w:t>
      </w:r>
      <w:r>
        <w:rPr>
          <w:rFonts w:ascii="Times New Roman" w:eastAsia="Times New Roman"/>
        </w:rPr>
        <w:t>10m</w:t>
      </w:r>
      <w:r>
        <w:rPr>
          <w:rFonts w:ascii="Times New Roman" w:eastAsia="Times New Roman"/>
          <w:spacing w:val="-3"/>
        </w:rPr>
        <w:t xml:space="preserve"> </w:t>
      </w:r>
      <w:r>
        <w:t>时，将两个水深所取的水样混合</w:t>
      </w:r>
      <w:r>
        <w:rPr>
          <w:spacing w:val="-2"/>
        </w:rPr>
        <w:t>成一个水样，但在上下层水质差距较大时，可不进行混合。</w:t>
      </w:r>
    </w:p>
    <w:p>
      <w:pPr>
        <w:pStyle w:val="ListParagraph"/>
        <w:numPr>
          <w:ilvl w:val="2"/>
          <w:numId w:val="39"/>
        </w:numPr>
        <w:tabs>
          <w:tab w:val="left" w:pos="850"/>
        </w:tabs>
        <w:spacing w:before="0" w:after="0" w:line="267" w:lineRule="exact"/>
        <w:ind w:left="850" w:right="0" w:hanging="630"/>
        <w:jc w:val="both"/>
        <w:rPr>
          <w:sz w:val="21"/>
        </w:rPr>
      </w:pPr>
      <w:r>
        <w:rPr>
          <w:spacing w:val="-1"/>
          <w:sz w:val="21"/>
        </w:rPr>
        <w:t>各类水域水质调查取样的次数</w:t>
      </w:r>
    </w:p>
    <w:p>
      <w:pPr>
        <w:pStyle w:val="BodyText"/>
        <w:spacing w:before="61" w:line="295" w:lineRule="auto"/>
        <w:ind w:left="220" w:right="298" w:firstLine="420"/>
        <w:jc w:val="both"/>
      </w:pPr>
      <w:r>
        <w:rPr>
          <w:spacing w:val="-14"/>
        </w:rPr>
        <w:t xml:space="preserve">表 </w:t>
      </w:r>
      <w:r>
        <w:rPr>
          <w:rFonts w:ascii="Times New Roman" w:eastAsia="Times New Roman"/>
          <w:spacing w:val="-2"/>
        </w:rPr>
        <w:t>7</w:t>
      </w:r>
      <w:r>
        <w:rPr>
          <w:rFonts w:ascii="Times New Roman" w:eastAsia="Times New Roman"/>
          <w:spacing w:val="13"/>
        </w:rPr>
        <w:t xml:space="preserve"> </w:t>
      </w:r>
      <w:r>
        <w:rPr>
          <w:spacing w:val="-7"/>
        </w:rPr>
        <w:t>已列出不同评价等级时各类水域的水质调查时期。一般情况下取样时应选择流量稳</w:t>
      </w:r>
      <w:r>
        <w:rPr>
          <w:spacing w:val="-4"/>
        </w:rPr>
        <w:t>定、水质变化小、连续晴天、风速不大的时期进行。不同评价等级、各类水域每个水质调查</w:t>
      </w:r>
      <w:r>
        <w:rPr>
          <w:spacing w:val="-2"/>
        </w:rPr>
        <w:t>时期取样的次数及每次取样的天数规定如下：</w:t>
      </w:r>
    </w:p>
    <w:p>
      <w:pPr>
        <w:pStyle w:val="ListParagraph"/>
        <w:numPr>
          <w:ilvl w:val="3"/>
          <w:numId w:val="39"/>
        </w:numPr>
        <w:tabs>
          <w:tab w:val="left" w:pos="1008"/>
        </w:tabs>
        <w:spacing w:before="0" w:after="0" w:line="266" w:lineRule="exact"/>
        <w:ind w:left="1007" w:right="0" w:hanging="788"/>
        <w:jc w:val="both"/>
        <w:rPr>
          <w:sz w:val="21"/>
        </w:rPr>
      </w:pPr>
      <w:r>
        <w:rPr>
          <w:spacing w:val="-5"/>
          <w:sz w:val="21"/>
        </w:rPr>
        <w:t>河流</w:t>
      </w:r>
    </w:p>
    <w:p>
      <w:pPr>
        <w:pStyle w:val="ListParagraph"/>
        <w:numPr>
          <w:ilvl w:val="4"/>
          <w:numId w:val="39"/>
        </w:numPr>
        <w:tabs>
          <w:tab w:val="left" w:pos="891"/>
        </w:tabs>
        <w:spacing w:before="60" w:after="0" w:line="295" w:lineRule="auto"/>
        <w:ind w:left="220" w:right="192" w:firstLine="420"/>
        <w:jc w:val="left"/>
        <w:rPr>
          <w:sz w:val="21"/>
        </w:rPr>
      </w:pPr>
      <w:r>
        <w:rPr>
          <w:spacing w:val="-6"/>
          <w:sz w:val="21"/>
        </w:rPr>
        <w:t>在所规定的不同规模河流、不同评价等级的调查时期中（</w:t>
      </w:r>
      <w:r>
        <w:rPr>
          <w:spacing w:val="-16"/>
          <w:sz w:val="21"/>
        </w:rPr>
        <w:t xml:space="preserve">参见表 </w:t>
      </w:r>
      <w:r>
        <w:rPr>
          <w:rFonts w:ascii="Times New Roman" w:eastAsia="Times New Roman"/>
          <w:spacing w:val="38"/>
          <w:sz w:val="21"/>
        </w:rPr>
        <w:t>7</w:t>
      </w:r>
      <w:r>
        <w:rPr>
          <w:spacing w:val="-67"/>
          <w:sz w:val="21"/>
        </w:rPr>
        <w:t>）</w:t>
      </w:r>
      <w:r>
        <w:rPr>
          <w:spacing w:val="-6"/>
          <w:sz w:val="21"/>
        </w:rPr>
        <w:t>，每期调查一次，</w:t>
      </w:r>
      <w:r>
        <w:rPr>
          <w:spacing w:val="-2"/>
          <w:sz w:val="21"/>
        </w:rPr>
        <w:t>每次调查三四天；</w:t>
      </w:r>
    </w:p>
    <w:p>
      <w:pPr>
        <w:pStyle w:val="ListParagraph"/>
        <w:numPr>
          <w:ilvl w:val="4"/>
          <w:numId w:val="39"/>
        </w:numPr>
        <w:tabs>
          <w:tab w:val="left" w:pos="903"/>
        </w:tabs>
        <w:spacing w:before="0" w:after="0" w:line="267" w:lineRule="exact"/>
        <w:ind w:left="902" w:right="0" w:hanging="263"/>
        <w:jc w:val="left"/>
        <w:rPr>
          <w:sz w:val="21"/>
        </w:rPr>
      </w:pPr>
      <w:r>
        <w:rPr>
          <w:spacing w:val="-1"/>
          <w:sz w:val="21"/>
        </w:rPr>
        <w:t>至少有一天对所有已选定的水质参数取样分析；</w:t>
      </w:r>
    </w:p>
    <w:p>
      <w:pPr>
        <w:pStyle w:val="ListParagraph"/>
        <w:numPr>
          <w:ilvl w:val="4"/>
          <w:numId w:val="39"/>
        </w:numPr>
        <w:tabs>
          <w:tab w:val="left" w:pos="891"/>
        </w:tabs>
        <w:spacing w:before="61" w:after="0" w:line="240" w:lineRule="auto"/>
        <w:ind w:left="890" w:right="0" w:hanging="251"/>
        <w:jc w:val="left"/>
        <w:rPr>
          <w:sz w:val="21"/>
        </w:rPr>
      </w:pPr>
      <w:r>
        <w:rPr>
          <w:spacing w:val="-1"/>
          <w:sz w:val="21"/>
        </w:rPr>
        <w:t>其他天数根据预测需要，配合水文测量对拟预测的水质参数取样；</w:t>
      </w:r>
    </w:p>
    <w:p>
      <w:pPr>
        <w:spacing w:after="0" w:line="240" w:lineRule="auto"/>
        <w:jc w:val="left"/>
        <w:rPr>
          <w:sz w:val="21"/>
        </w:rPr>
        <w:sectPr>
          <w:footerReference w:type="even" r:id="rId38"/>
          <w:footerReference w:type="default" r:id="rId39"/>
          <w:pgSz w:w="11910" w:h="16840"/>
          <w:pgMar w:top="1420" w:right="1500" w:bottom="1180" w:left="1580" w:header="0" w:footer="990"/>
          <w:pgNumType w:start="617"/>
          <w:cols w:space="708"/>
        </w:sectPr>
      </w:pPr>
    </w:p>
    <w:p>
      <w:pPr>
        <w:pStyle w:val="ListParagraph"/>
        <w:numPr>
          <w:ilvl w:val="4"/>
          <w:numId w:val="39"/>
        </w:numPr>
        <w:tabs>
          <w:tab w:val="left" w:pos="905"/>
        </w:tabs>
        <w:spacing w:before="56" w:after="0" w:line="295" w:lineRule="auto"/>
        <w:ind w:left="220" w:right="298" w:firstLine="420"/>
        <w:jc w:val="left"/>
        <w:rPr>
          <w:sz w:val="21"/>
        </w:rPr>
      </w:pPr>
      <w:r>
        <w:rPr>
          <w:spacing w:val="-2"/>
          <w:sz w:val="21"/>
        </w:rPr>
        <w:t>在不预测水温时，只在采样时测水温；在预测水温时，要测日平均水温，一般可采</w:t>
      </w:r>
      <w:r>
        <w:rPr>
          <w:spacing w:val="-6"/>
          <w:sz w:val="21"/>
        </w:rPr>
        <w:t xml:space="preserve">用间隔 </w:t>
      </w:r>
      <w:r>
        <w:rPr>
          <w:rFonts w:ascii="Times New Roman" w:eastAsia="Times New Roman"/>
          <w:sz w:val="21"/>
        </w:rPr>
        <w:t xml:space="preserve">6 </w:t>
      </w:r>
      <w:r>
        <w:rPr>
          <w:sz w:val="21"/>
        </w:rPr>
        <w:t>小时测一次的方法求平均水温；</w:t>
      </w:r>
    </w:p>
    <w:p>
      <w:pPr>
        <w:pStyle w:val="ListParagraph"/>
        <w:numPr>
          <w:ilvl w:val="4"/>
          <w:numId w:val="39"/>
        </w:numPr>
        <w:tabs>
          <w:tab w:val="left" w:pos="893"/>
        </w:tabs>
        <w:spacing w:before="0" w:after="0" w:line="295" w:lineRule="auto"/>
        <w:ind w:left="220" w:right="298" w:firstLine="420"/>
        <w:jc w:val="left"/>
        <w:rPr>
          <w:sz w:val="21"/>
        </w:rPr>
      </w:pPr>
      <w:r>
        <w:rPr>
          <w:spacing w:val="-2"/>
          <w:sz w:val="21"/>
        </w:rPr>
        <w:t>一般情况，每天每个水质参数只取一个样，在水质变化很大时，应采用每间隔一定</w:t>
      </w:r>
      <w:r>
        <w:rPr>
          <w:spacing w:val="-2"/>
          <w:sz w:val="21"/>
        </w:rPr>
        <w:t>时间采样一次的方法。</w:t>
      </w:r>
    </w:p>
    <w:p>
      <w:pPr>
        <w:pStyle w:val="ListParagraph"/>
        <w:numPr>
          <w:ilvl w:val="3"/>
          <w:numId w:val="39"/>
        </w:numPr>
        <w:tabs>
          <w:tab w:val="left" w:pos="1007"/>
          <w:tab w:val="left" w:pos="1008"/>
        </w:tabs>
        <w:spacing w:before="0" w:after="0" w:line="267" w:lineRule="exact"/>
        <w:ind w:left="1007" w:right="0" w:hanging="788"/>
        <w:jc w:val="left"/>
        <w:rPr>
          <w:sz w:val="21"/>
        </w:rPr>
      </w:pPr>
      <w:r>
        <w:rPr>
          <w:spacing w:val="-2"/>
          <w:sz w:val="21"/>
        </w:rPr>
        <w:t>湖泊、水库</w:t>
      </w:r>
    </w:p>
    <w:p>
      <w:pPr>
        <w:pStyle w:val="ListParagraph"/>
        <w:numPr>
          <w:ilvl w:val="4"/>
          <w:numId w:val="39"/>
        </w:numPr>
        <w:tabs>
          <w:tab w:val="left" w:pos="891"/>
        </w:tabs>
        <w:spacing w:before="59" w:after="0" w:line="295" w:lineRule="auto"/>
        <w:ind w:left="220" w:right="192" w:firstLine="420"/>
        <w:jc w:val="left"/>
        <w:rPr>
          <w:sz w:val="21"/>
        </w:rPr>
      </w:pPr>
      <w:r>
        <w:rPr>
          <w:spacing w:val="-6"/>
          <w:sz w:val="21"/>
        </w:rPr>
        <w:t>在所规定的不同规模湖泊、不同评价等级的调查时期中（</w:t>
      </w:r>
      <w:r>
        <w:rPr>
          <w:spacing w:val="-16"/>
          <w:sz w:val="21"/>
        </w:rPr>
        <w:t xml:space="preserve">参见表 </w:t>
      </w:r>
      <w:r>
        <w:rPr>
          <w:rFonts w:ascii="Times New Roman" w:eastAsia="Times New Roman"/>
          <w:spacing w:val="38"/>
          <w:sz w:val="21"/>
        </w:rPr>
        <w:t>7</w:t>
      </w:r>
      <w:r>
        <w:rPr>
          <w:spacing w:val="-67"/>
          <w:sz w:val="21"/>
        </w:rPr>
        <w:t>）</w:t>
      </w:r>
      <w:r>
        <w:rPr>
          <w:spacing w:val="-6"/>
          <w:sz w:val="21"/>
        </w:rPr>
        <w:t>，每期调查一次，</w:t>
      </w:r>
      <w:r>
        <w:rPr>
          <w:spacing w:val="-2"/>
          <w:sz w:val="21"/>
        </w:rPr>
        <w:t>每次调查三四天；</w:t>
      </w:r>
    </w:p>
    <w:p>
      <w:pPr>
        <w:pStyle w:val="ListParagraph"/>
        <w:numPr>
          <w:ilvl w:val="4"/>
          <w:numId w:val="39"/>
        </w:numPr>
        <w:tabs>
          <w:tab w:val="left" w:pos="903"/>
        </w:tabs>
        <w:spacing w:before="0" w:after="0" w:line="267" w:lineRule="exact"/>
        <w:ind w:left="902" w:right="0" w:hanging="263"/>
        <w:jc w:val="left"/>
        <w:rPr>
          <w:sz w:val="21"/>
        </w:rPr>
      </w:pPr>
      <w:r>
        <w:rPr>
          <w:spacing w:val="-1"/>
          <w:sz w:val="21"/>
        </w:rPr>
        <w:t>至少有一天对所有已选定的水质参数取样分析；</w:t>
      </w:r>
    </w:p>
    <w:p>
      <w:pPr>
        <w:pStyle w:val="ListParagraph"/>
        <w:numPr>
          <w:ilvl w:val="4"/>
          <w:numId w:val="39"/>
        </w:numPr>
        <w:tabs>
          <w:tab w:val="left" w:pos="891"/>
        </w:tabs>
        <w:spacing w:before="61" w:after="0" w:line="240" w:lineRule="auto"/>
        <w:ind w:left="890" w:right="0" w:hanging="251"/>
        <w:jc w:val="left"/>
        <w:rPr>
          <w:sz w:val="21"/>
        </w:rPr>
      </w:pPr>
      <w:r>
        <w:rPr>
          <w:spacing w:val="-1"/>
          <w:sz w:val="21"/>
        </w:rPr>
        <w:t>其他天数根据预测需要，配合水文测量对拟预测的水质参数取样；</w:t>
      </w:r>
    </w:p>
    <w:p>
      <w:pPr>
        <w:pStyle w:val="ListParagraph"/>
        <w:numPr>
          <w:ilvl w:val="4"/>
          <w:numId w:val="39"/>
        </w:numPr>
        <w:tabs>
          <w:tab w:val="left" w:pos="903"/>
        </w:tabs>
        <w:spacing w:before="61" w:after="0" w:line="240" w:lineRule="auto"/>
        <w:ind w:left="902" w:right="0" w:hanging="263"/>
        <w:jc w:val="left"/>
        <w:rPr>
          <w:sz w:val="21"/>
        </w:rPr>
      </w:pPr>
      <w:r>
        <w:rPr>
          <w:spacing w:val="-5"/>
          <w:sz w:val="21"/>
        </w:rPr>
        <w:t xml:space="preserve">表层溶解氧和水温每隔 </w:t>
      </w:r>
      <w:r>
        <w:rPr>
          <w:rFonts w:ascii="Times New Roman" w:eastAsia="Times New Roman"/>
          <w:sz w:val="21"/>
        </w:rPr>
        <w:t xml:space="preserve">6 </w:t>
      </w:r>
      <w:r>
        <w:rPr>
          <w:spacing w:val="-1"/>
          <w:sz w:val="21"/>
        </w:rPr>
        <w:t>小时测一次，并在调查期内适当检测藻类。</w:t>
      </w:r>
    </w:p>
    <w:p>
      <w:pPr>
        <w:pStyle w:val="ListParagraph"/>
        <w:numPr>
          <w:ilvl w:val="3"/>
          <w:numId w:val="39"/>
        </w:numPr>
        <w:tabs>
          <w:tab w:val="left" w:pos="1007"/>
          <w:tab w:val="left" w:pos="1008"/>
        </w:tabs>
        <w:spacing w:before="61" w:after="0" w:line="240" w:lineRule="auto"/>
        <w:ind w:left="1007" w:right="0" w:hanging="788"/>
        <w:jc w:val="left"/>
        <w:rPr>
          <w:sz w:val="21"/>
        </w:rPr>
      </w:pPr>
      <w:r>
        <w:rPr>
          <w:spacing w:val="-5"/>
          <w:sz w:val="21"/>
        </w:rPr>
        <w:t>河口</w:t>
      </w:r>
    </w:p>
    <w:p>
      <w:pPr>
        <w:pStyle w:val="ListParagraph"/>
        <w:numPr>
          <w:ilvl w:val="4"/>
          <w:numId w:val="39"/>
        </w:numPr>
        <w:tabs>
          <w:tab w:val="left" w:pos="891"/>
        </w:tabs>
        <w:spacing w:before="60" w:after="0" w:line="295" w:lineRule="auto"/>
        <w:ind w:left="220" w:right="192" w:firstLine="420"/>
        <w:jc w:val="both"/>
        <w:rPr>
          <w:sz w:val="21"/>
        </w:rPr>
      </w:pPr>
      <w:r>
        <w:rPr>
          <w:spacing w:val="-6"/>
          <w:sz w:val="21"/>
        </w:rPr>
        <w:t>在所规定的不同规模河口、不同评价等级的调查时期中（</w:t>
      </w:r>
      <w:r>
        <w:rPr>
          <w:spacing w:val="-10"/>
          <w:sz w:val="21"/>
        </w:rPr>
        <w:t xml:space="preserve">参见表 </w:t>
      </w:r>
      <w:r>
        <w:rPr>
          <w:rFonts w:ascii="Times New Roman" w:eastAsia="Times New Roman"/>
          <w:spacing w:val="38"/>
          <w:sz w:val="21"/>
        </w:rPr>
        <w:t>7</w:t>
      </w:r>
      <w:r>
        <w:rPr>
          <w:spacing w:val="-67"/>
          <w:sz w:val="21"/>
        </w:rPr>
        <w:t>）</w:t>
      </w:r>
      <w:r>
        <w:rPr>
          <w:spacing w:val="-6"/>
          <w:sz w:val="21"/>
        </w:rPr>
        <w:t>，每期调查一次，</w:t>
      </w:r>
      <w:r>
        <w:rPr>
          <w:spacing w:val="-10"/>
          <w:sz w:val="21"/>
        </w:rPr>
        <w:t>每次调查两天，一次在大潮期，一次在小潮期；每个潮期的调查，均应分别采集同一天的高、</w:t>
      </w:r>
      <w:r>
        <w:rPr>
          <w:spacing w:val="-2"/>
          <w:sz w:val="21"/>
        </w:rPr>
        <w:t>低潮水样；各监测断面的采样，尽可能同步进行；</w:t>
      </w:r>
    </w:p>
    <w:p>
      <w:pPr>
        <w:pStyle w:val="ListParagraph"/>
        <w:numPr>
          <w:ilvl w:val="4"/>
          <w:numId w:val="39"/>
        </w:numPr>
        <w:tabs>
          <w:tab w:val="left" w:pos="903"/>
        </w:tabs>
        <w:spacing w:before="0" w:after="0" w:line="266" w:lineRule="exact"/>
        <w:ind w:left="902" w:right="0" w:hanging="263"/>
        <w:jc w:val="both"/>
        <w:rPr>
          <w:sz w:val="21"/>
        </w:rPr>
      </w:pPr>
      <w:r>
        <w:rPr>
          <w:spacing w:val="-1"/>
          <w:sz w:val="21"/>
        </w:rPr>
        <w:t>两天调查中，要对已选定的所有水质参数取样；</w:t>
      </w:r>
    </w:p>
    <w:p>
      <w:pPr>
        <w:pStyle w:val="ListParagraph"/>
        <w:numPr>
          <w:ilvl w:val="4"/>
          <w:numId w:val="39"/>
        </w:numPr>
        <w:tabs>
          <w:tab w:val="left" w:pos="893"/>
        </w:tabs>
        <w:spacing w:before="61" w:after="0" w:line="295" w:lineRule="auto"/>
        <w:ind w:left="220" w:right="298" w:firstLine="420"/>
        <w:jc w:val="both"/>
        <w:rPr>
          <w:sz w:val="21"/>
        </w:rPr>
      </w:pPr>
      <w:r>
        <w:rPr>
          <w:spacing w:val="-2"/>
          <w:sz w:val="21"/>
        </w:rPr>
        <w:t>在不预测水温时，只在采样时测水温；在预测水温时，要测日平均水温，一般可采</w:t>
      </w:r>
      <w:r>
        <w:rPr>
          <w:spacing w:val="-6"/>
          <w:sz w:val="21"/>
        </w:rPr>
        <w:t xml:space="preserve">用每隔 </w:t>
      </w:r>
      <w:r>
        <w:rPr>
          <w:rFonts w:ascii="Times New Roman" w:eastAsia="Times New Roman"/>
          <w:sz w:val="21"/>
        </w:rPr>
        <w:t xml:space="preserve">4~6 </w:t>
      </w:r>
      <w:r>
        <w:rPr>
          <w:sz w:val="21"/>
        </w:rPr>
        <w:t>小时测一次的方法求平均水温。</w:t>
      </w:r>
    </w:p>
    <w:p>
      <w:pPr>
        <w:pStyle w:val="ListParagraph"/>
        <w:numPr>
          <w:ilvl w:val="3"/>
          <w:numId w:val="39"/>
        </w:numPr>
        <w:tabs>
          <w:tab w:val="left" w:pos="1007"/>
          <w:tab w:val="left" w:pos="1008"/>
        </w:tabs>
        <w:spacing w:before="0" w:after="0" w:line="267" w:lineRule="exact"/>
        <w:ind w:left="1007" w:right="0" w:hanging="788"/>
        <w:jc w:val="left"/>
        <w:rPr>
          <w:sz w:val="21"/>
        </w:rPr>
      </w:pPr>
      <w:r>
        <w:rPr>
          <w:spacing w:val="-5"/>
          <w:sz w:val="21"/>
        </w:rPr>
        <w:t>海湾</w:t>
      </w:r>
    </w:p>
    <w:p>
      <w:pPr>
        <w:pStyle w:val="ListParagraph"/>
        <w:numPr>
          <w:ilvl w:val="4"/>
          <w:numId w:val="39"/>
        </w:numPr>
        <w:tabs>
          <w:tab w:val="left" w:pos="892"/>
        </w:tabs>
        <w:spacing w:before="61" w:after="0" w:line="295" w:lineRule="auto"/>
        <w:ind w:left="220" w:right="298" w:firstLine="420"/>
        <w:jc w:val="left"/>
        <w:rPr>
          <w:sz w:val="21"/>
        </w:rPr>
      </w:pPr>
      <w:r>
        <w:rPr>
          <w:spacing w:val="-4"/>
          <w:sz w:val="21"/>
        </w:rPr>
        <w:t>在所规定的不同评价等级的海湾水质调查时期中（</w:t>
      </w:r>
      <w:r>
        <w:rPr>
          <w:spacing w:val="-13"/>
          <w:sz w:val="21"/>
        </w:rPr>
        <w:t xml:space="preserve">参见表 </w:t>
      </w:r>
      <w:r>
        <w:rPr>
          <w:rFonts w:ascii="Times New Roman" w:eastAsia="Times New Roman"/>
          <w:spacing w:val="31"/>
          <w:sz w:val="21"/>
        </w:rPr>
        <w:t>7</w:t>
      </w:r>
      <w:r>
        <w:rPr>
          <w:spacing w:val="-74"/>
          <w:sz w:val="21"/>
        </w:rPr>
        <w:t>）</w:t>
      </w:r>
      <w:r>
        <w:rPr>
          <w:spacing w:val="-3"/>
          <w:sz w:val="21"/>
        </w:rPr>
        <w:t>，每期调查一次，每次</w:t>
      </w:r>
      <w:r>
        <w:rPr>
          <w:spacing w:val="-2"/>
          <w:sz w:val="21"/>
        </w:rPr>
        <w:t>调查三四天；</w:t>
      </w:r>
    </w:p>
    <w:p>
      <w:pPr>
        <w:pStyle w:val="ListParagraph"/>
        <w:numPr>
          <w:ilvl w:val="4"/>
          <w:numId w:val="39"/>
        </w:numPr>
        <w:tabs>
          <w:tab w:val="left" w:pos="903"/>
        </w:tabs>
        <w:spacing w:before="0" w:after="0" w:line="267" w:lineRule="exact"/>
        <w:ind w:left="902" w:right="0" w:hanging="263"/>
        <w:jc w:val="left"/>
        <w:rPr>
          <w:sz w:val="21"/>
        </w:rPr>
      </w:pPr>
      <w:r>
        <w:rPr>
          <w:spacing w:val="-1"/>
          <w:sz w:val="21"/>
        </w:rPr>
        <w:t>至少有一天在大潮期，另一天在小潮期，对所有已选定的水质参数取样分析；</w:t>
      </w:r>
    </w:p>
    <w:p>
      <w:pPr>
        <w:pStyle w:val="ListParagraph"/>
        <w:numPr>
          <w:ilvl w:val="4"/>
          <w:numId w:val="39"/>
        </w:numPr>
        <w:tabs>
          <w:tab w:val="left" w:pos="891"/>
        </w:tabs>
        <w:spacing w:before="61" w:after="0" w:line="240" w:lineRule="auto"/>
        <w:ind w:left="890" w:right="0" w:hanging="251"/>
        <w:jc w:val="left"/>
        <w:rPr>
          <w:sz w:val="21"/>
        </w:rPr>
      </w:pPr>
      <w:r>
        <w:rPr>
          <w:spacing w:val="-1"/>
          <w:sz w:val="21"/>
        </w:rPr>
        <w:t>其他天数根据预测需要，配合水文测量对拟预测的水质参数取样；</w:t>
      </w:r>
    </w:p>
    <w:p>
      <w:pPr>
        <w:pStyle w:val="ListParagraph"/>
        <w:numPr>
          <w:ilvl w:val="4"/>
          <w:numId w:val="39"/>
        </w:numPr>
        <w:tabs>
          <w:tab w:val="left" w:pos="903"/>
        </w:tabs>
        <w:spacing w:before="61" w:after="0" w:line="240" w:lineRule="auto"/>
        <w:ind w:left="902" w:right="0" w:hanging="263"/>
        <w:jc w:val="left"/>
        <w:rPr>
          <w:sz w:val="21"/>
        </w:rPr>
      </w:pPr>
      <w:r>
        <w:rPr>
          <w:spacing w:val="-1"/>
          <w:sz w:val="21"/>
        </w:rPr>
        <w:t>所有的水质参数每天在高潮和低潮时各取样一次；</w:t>
      </w:r>
    </w:p>
    <w:p>
      <w:pPr>
        <w:pStyle w:val="ListParagraph"/>
        <w:numPr>
          <w:ilvl w:val="4"/>
          <w:numId w:val="39"/>
        </w:numPr>
        <w:tabs>
          <w:tab w:val="left" w:pos="891"/>
        </w:tabs>
        <w:spacing w:before="61" w:after="0" w:line="240" w:lineRule="auto"/>
        <w:ind w:left="890" w:right="0" w:hanging="251"/>
        <w:jc w:val="left"/>
        <w:rPr>
          <w:sz w:val="21"/>
        </w:rPr>
      </w:pPr>
      <w:r>
        <w:rPr>
          <w:spacing w:val="-4"/>
          <w:sz w:val="21"/>
        </w:rPr>
        <w:t xml:space="preserve">在不预测水温时，只在采样时测水温；在预测水温时，每间隔 </w:t>
      </w:r>
      <w:r>
        <w:rPr>
          <w:rFonts w:ascii="Times New Roman" w:eastAsia="Times New Roman"/>
          <w:spacing w:val="-2"/>
          <w:sz w:val="21"/>
        </w:rPr>
        <w:t>2~4</w:t>
      </w:r>
      <w:r>
        <w:rPr>
          <w:rFonts w:ascii="Times New Roman" w:eastAsia="Times New Roman"/>
          <w:spacing w:val="18"/>
          <w:sz w:val="21"/>
        </w:rPr>
        <w:t xml:space="preserve"> </w:t>
      </w:r>
      <w:r>
        <w:rPr>
          <w:spacing w:val="-3"/>
          <w:sz w:val="21"/>
        </w:rPr>
        <w:t>小时测水温一次。</w:t>
      </w:r>
    </w:p>
    <w:p>
      <w:pPr>
        <w:pStyle w:val="ListParagraph"/>
        <w:numPr>
          <w:ilvl w:val="2"/>
          <w:numId w:val="39"/>
        </w:numPr>
        <w:tabs>
          <w:tab w:val="left" w:pos="850"/>
        </w:tabs>
        <w:spacing w:before="61" w:after="0" w:line="295" w:lineRule="auto"/>
        <w:ind w:left="220" w:right="297" w:firstLine="0"/>
        <w:jc w:val="both"/>
        <w:rPr>
          <w:sz w:val="21"/>
        </w:rPr>
      </w:pPr>
      <w:r>
        <w:rPr>
          <w:spacing w:val="-4"/>
          <w:sz w:val="21"/>
        </w:rPr>
        <w:t>对设有闸坝受人工控制的河流，其流动状况，在排洪时期为河流流动；用水时期，如</w:t>
      </w:r>
      <w:r>
        <w:rPr>
          <w:spacing w:val="-4"/>
          <w:sz w:val="21"/>
        </w:rPr>
        <w:t>用水量大则类似河流，用水量小时则类似狭长形水库；在蓄水期也类似狭长形水库。这种河</w:t>
      </w:r>
      <w:r>
        <w:rPr>
          <w:spacing w:val="-4"/>
          <w:sz w:val="21"/>
        </w:rPr>
        <w:t>流的取样断面、取样位置、取样点的布设以及水质调查的取样次数等可参考河流、水库部分</w:t>
      </w:r>
      <w:r>
        <w:rPr>
          <w:spacing w:val="-2"/>
          <w:sz w:val="21"/>
        </w:rPr>
        <w:t>的有关规定酌情处理。</w:t>
      </w:r>
    </w:p>
    <w:p>
      <w:pPr>
        <w:pStyle w:val="ListParagraph"/>
        <w:numPr>
          <w:ilvl w:val="2"/>
          <w:numId w:val="39"/>
        </w:numPr>
        <w:tabs>
          <w:tab w:val="left" w:pos="850"/>
        </w:tabs>
        <w:spacing w:before="0" w:after="0" w:line="295" w:lineRule="auto"/>
        <w:ind w:left="220" w:right="298" w:firstLine="0"/>
        <w:jc w:val="both"/>
        <w:rPr>
          <w:sz w:val="21"/>
        </w:rPr>
      </w:pPr>
      <w:r>
        <w:rPr>
          <w:spacing w:val="-4"/>
          <w:sz w:val="21"/>
        </w:rPr>
        <w:t>我国的一些河网地区，河水流向、流量经常变化，水流状态复杂，特别是受潮汐影响</w:t>
      </w:r>
      <w:r>
        <w:rPr>
          <w:spacing w:val="-4"/>
          <w:sz w:val="21"/>
        </w:rPr>
        <w:t>的河网，情况更为复杂。遇到这类河网，应按照各河段的长度比例布设水质采样、水文测量</w:t>
      </w:r>
      <w:r>
        <w:rPr>
          <w:spacing w:val="-4"/>
          <w:sz w:val="21"/>
        </w:rPr>
        <w:t>断面。至于水质监测项目、取样次数、断面上取样垂线的布设等可参照河流、河口的有关规</w:t>
      </w:r>
      <w:r>
        <w:rPr>
          <w:spacing w:val="-2"/>
          <w:sz w:val="21"/>
        </w:rPr>
        <w:t>定。调查时应注意水质、流向、流量随时间的变化。</w:t>
      </w:r>
    </w:p>
    <w:p>
      <w:pPr>
        <w:pStyle w:val="ListParagraph"/>
        <w:numPr>
          <w:ilvl w:val="2"/>
          <w:numId w:val="39"/>
        </w:numPr>
        <w:tabs>
          <w:tab w:val="left" w:pos="850"/>
        </w:tabs>
        <w:spacing w:before="0" w:after="0" w:line="265" w:lineRule="exact"/>
        <w:ind w:left="850" w:right="0" w:hanging="630"/>
        <w:jc w:val="both"/>
        <w:rPr>
          <w:sz w:val="21"/>
        </w:rPr>
      </w:pPr>
      <w:r>
        <w:rPr>
          <w:spacing w:val="-1"/>
          <w:sz w:val="21"/>
        </w:rPr>
        <w:t>水样的采集、保存、分析的原则与方法</w:t>
      </w:r>
    </w:p>
    <w:p>
      <w:pPr>
        <w:pStyle w:val="ListParagraph"/>
        <w:numPr>
          <w:ilvl w:val="3"/>
          <w:numId w:val="39"/>
        </w:numPr>
        <w:tabs>
          <w:tab w:val="left" w:pos="1008"/>
        </w:tabs>
        <w:spacing w:before="57" w:after="0" w:line="240" w:lineRule="auto"/>
        <w:ind w:left="1007" w:right="0" w:hanging="788"/>
        <w:jc w:val="both"/>
        <w:rPr>
          <w:sz w:val="21"/>
        </w:rPr>
      </w:pPr>
      <w:r>
        <w:rPr>
          <w:spacing w:val="-1"/>
          <w:sz w:val="21"/>
        </w:rPr>
        <w:t>应使用国家统一规定的水样采集器。</w:t>
      </w:r>
    </w:p>
    <w:p>
      <w:pPr>
        <w:pStyle w:val="ListParagraph"/>
        <w:numPr>
          <w:ilvl w:val="3"/>
          <w:numId w:val="39"/>
        </w:numPr>
        <w:tabs>
          <w:tab w:val="left" w:pos="1008"/>
        </w:tabs>
        <w:spacing w:before="61" w:after="0" w:line="240" w:lineRule="auto"/>
        <w:ind w:left="1007" w:right="0" w:hanging="788"/>
        <w:jc w:val="both"/>
        <w:rPr>
          <w:sz w:val="21"/>
        </w:rPr>
      </w:pPr>
      <w:r>
        <w:rPr>
          <w:spacing w:val="-1"/>
          <w:sz w:val="21"/>
        </w:rPr>
        <w:t>水样的采集、保存、分析的原则与方法</w:t>
      </w:r>
    </w:p>
    <w:p>
      <w:pPr>
        <w:pStyle w:val="ListParagraph"/>
        <w:numPr>
          <w:ilvl w:val="4"/>
          <w:numId w:val="39"/>
        </w:numPr>
        <w:tabs>
          <w:tab w:val="left" w:pos="897"/>
        </w:tabs>
        <w:spacing w:before="61" w:after="0" w:line="295" w:lineRule="auto"/>
        <w:ind w:left="220" w:right="297" w:firstLine="420"/>
        <w:jc w:val="both"/>
        <w:rPr>
          <w:sz w:val="21"/>
        </w:rPr>
      </w:pPr>
      <w:r>
        <w:rPr>
          <w:spacing w:val="-1"/>
          <w:sz w:val="21"/>
        </w:rPr>
        <w:t xml:space="preserve">河流、湖泊、水库中水样采集、保存、分析的原则与方法，按 </w:t>
      </w:r>
      <w:r>
        <w:rPr>
          <w:rFonts w:ascii="Times New Roman" w:eastAsia="Times New Roman"/>
          <w:sz w:val="21"/>
        </w:rPr>
        <w:t>GB</w:t>
      </w:r>
      <w:r>
        <w:rPr>
          <w:rFonts w:ascii="Times New Roman" w:eastAsia="Times New Roman"/>
          <w:spacing w:val="40"/>
          <w:sz w:val="21"/>
        </w:rPr>
        <w:t xml:space="preserve"> </w:t>
      </w:r>
      <w:r>
        <w:rPr>
          <w:rFonts w:ascii="Times New Roman" w:eastAsia="Times New Roman"/>
          <w:sz w:val="21"/>
        </w:rPr>
        <w:t xml:space="preserve">3838 </w:t>
      </w:r>
      <w:r>
        <w:rPr>
          <w:sz w:val="21"/>
        </w:rPr>
        <w:t>执行。</w:t>
      </w:r>
      <w:r>
        <w:rPr>
          <w:rFonts w:ascii="Times New Roman" w:eastAsia="Times New Roman"/>
          <w:sz w:val="21"/>
        </w:rPr>
        <w:t xml:space="preserve">GB </w:t>
      </w:r>
      <w:r>
        <w:rPr>
          <w:rFonts w:ascii="Times New Roman" w:eastAsia="Times New Roman"/>
          <w:spacing w:val="-2"/>
          <w:sz w:val="21"/>
        </w:rPr>
        <w:t xml:space="preserve">3838 </w:t>
      </w:r>
      <w:r>
        <w:rPr>
          <w:spacing w:val="-8"/>
          <w:sz w:val="21"/>
        </w:rPr>
        <w:t>中未说明者，暂先采用《环境监测分析方法》</w:t>
      </w:r>
      <w:r>
        <w:rPr>
          <w:spacing w:val="-2"/>
          <w:sz w:val="21"/>
        </w:rPr>
        <w:t>（城乡建设环境保护部环境保护局，</w:t>
      </w:r>
      <w:r>
        <w:rPr>
          <w:rFonts w:ascii="Times New Roman" w:eastAsia="Times New Roman"/>
          <w:spacing w:val="-2"/>
          <w:sz w:val="21"/>
        </w:rPr>
        <w:t>198</w:t>
      </w:r>
      <w:r>
        <w:rPr>
          <w:rFonts w:ascii="Times New Roman" w:eastAsia="Times New Roman"/>
          <w:spacing w:val="-2"/>
          <w:sz w:val="21"/>
        </w:rPr>
        <w:t>3</w:t>
      </w:r>
      <w:r>
        <w:rPr>
          <w:spacing w:val="-11"/>
          <w:sz w:val="21"/>
        </w:rPr>
        <w:t xml:space="preserve">年 </w:t>
      </w:r>
      <w:r>
        <w:rPr>
          <w:rFonts w:ascii="Times New Roman" w:eastAsia="Times New Roman"/>
          <w:sz w:val="21"/>
        </w:rPr>
        <w:t xml:space="preserve">8 </w:t>
      </w:r>
      <w:r>
        <w:rPr>
          <w:sz w:val="21"/>
        </w:rPr>
        <w:t>月）中的规定，待有关标准发布后执行标准。</w:t>
      </w:r>
    </w:p>
    <w:p>
      <w:pPr>
        <w:pStyle w:val="ListParagraph"/>
        <w:numPr>
          <w:ilvl w:val="4"/>
          <w:numId w:val="39"/>
        </w:numPr>
        <w:tabs>
          <w:tab w:val="left" w:pos="904"/>
        </w:tabs>
        <w:spacing w:before="0" w:after="0" w:line="295" w:lineRule="auto"/>
        <w:ind w:left="220" w:right="298" w:firstLine="420"/>
        <w:jc w:val="both"/>
        <w:rPr>
          <w:sz w:val="21"/>
        </w:rPr>
      </w:pPr>
      <w:r>
        <w:rPr>
          <w:spacing w:val="-2"/>
          <w:sz w:val="21"/>
        </w:rPr>
        <w:t>河口水样采集、保存、分析的原则与方法依水样的盐度而不同。水样盐度</w:t>
      </w:r>
      <w:r>
        <w:rPr>
          <w:rFonts w:ascii="Times New Roman" w:eastAsia="Times New Roman" w:hAnsi="Times New Roman"/>
          <w:spacing w:val="-2"/>
          <w:sz w:val="21"/>
        </w:rPr>
        <w:t>&lt;3</w:t>
      </w:r>
      <w:r>
        <w:rPr>
          <w:spacing w:val="-2"/>
          <w:sz w:val="21"/>
        </w:rPr>
        <w:t>‰者，</w:t>
      </w:r>
      <w:r>
        <w:rPr>
          <w:spacing w:val="-4"/>
          <w:sz w:val="21"/>
        </w:rPr>
        <w:t xml:space="preserve">按本条 </w:t>
      </w:r>
      <w:r>
        <w:rPr>
          <w:rFonts w:ascii="Times New Roman" w:eastAsia="Times New Roman" w:hAnsi="Times New Roman"/>
          <w:sz w:val="21"/>
        </w:rPr>
        <w:t xml:space="preserve">a </w:t>
      </w:r>
      <w:r>
        <w:rPr>
          <w:sz w:val="21"/>
        </w:rPr>
        <w:t>执行；水样盐度≥</w:t>
      </w:r>
      <w:r>
        <w:rPr>
          <w:rFonts w:ascii="Times New Roman" w:eastAsia="Times New Roman" w:hAnsi="Times New Roman"/>
          <w:sz w:val="21"/>
        </w:rPr>
        <w:t>3</w:t>
      </w:r>
      <w:r>
        <w:rPr>
          <w:spacing w:val="-2"/>
          <w:sz w:val="21"/>
        </w:rPr>
        <w:t xml:space="preserve">‰者，按海水执行，参见本条 </w:t>
      </w:r>
      <w:r>
        <w:rPr>
          <w:rFonts w:ascii="Times New Roman" w:eastAsia="Times New Roman" w:hAnsi="Times New Roman"/>
          <w:sz w:val="21"/>
        </w:rPr>
        <w:t>c</w:t>
      </w:r>
      <w:r>
        <w:rPr>
          <w:sz w:val="21"/>
        </w:rPr>
        <w:t>。</w:t>
      </w:r>
    </w:p>
    <w:p>
      <w:pPr>
        <w:pStyle w:val="ListParagraph"/>
        <w:numPr>
          <w:ilvl w:val="4"/>
          <w:numId w:val="39"/>
        </w:numPr>
        <w:tabs>
          <w:tab w:val="left" w:pos="903"/>
        </w:tabs>
        <w:spacing w:before="0" w:after="0" w:line="295" w:lineRule="auto"/>
        <w:ind w:left="220" w:right="298" w:firstLine="420"/>
        <w:jc w:val="both"/>
        <w:rPr>
          <w:sz w:val="21"/>
        </w:rPr>
      </w:pPr>
      <w:r>
        <w:rPr>
          <w:spacing w:val="8"/>
          <w:sz w:val="21"/>
        </w:rPr>
        <w:t xml:space="preserve">海湾中水样的采集、保存、分析的原则与方法参见 </w:t>
      </w:r>
      <w:r>
        <w:rPr>
          <w:rFonts w:ascii="Times New Roman" w:eastAsia="Times New Roman"/>
          <w:sz w:val="21"/>
        </w:rPr>
        <w:t>HY</w:t>
      </w:r>
      <w:r>
        <w:rPr>
          <w:rFonts w:ascii="Times New Roman" w:eastAsia="Times New Roman"/>
          <w:spacing w:val="-13"/>
          <w:sz w:val="21"/>
        </w:rPr>
        <w:t xml:space="preserve"> </w:t>
      </w:r>
      <w:r>
        <w:rPr>
          <w:rFonts w:ascii="Times New Roman" w:eastAsia="Times New Roman"/>
          <w:sz w:val="21"/>
        </w:rPr>
        <w:t>003.1~HY/T</w:t>
      </w:r>
      <w:r>
        <w:rPr>
          <w:rFonts w:ascii="Times New Roman" w:eastAsia="Times New Roman"/>
          <w:spacing w:val="-13"/>
          <w:sz w:val="21"/>
        </w:rPr>
        <w:t xml:space="preserve"> </w:t>
      </w:r>
      <w:r>
        <w:rPr>
          <w:rFonts w:ascii="Times New Roman" w:eastAsia="Times New Roman"/>
          <w:sz w:val="21"/>
        </w:rPr>
        <w:t>003.10</w:t>
      </w:r>
      <w:r>
        <w:rPr>
          <w:rFonts w:ascii="Times New Roman" w:eastAsia="Times New Roman"/>
          <w:spacing w:val="-10"/>
          <w:sz w:val="21"/>
        </w:rPr>
        <w:t xml:space="preserve"> </w:t>
      </w:r>
      <w:r>
        <w:rPr>
          <w:spacing w:val="-13"/>
          <w:sz w:val="21"/>
        </w:rPr>
        <w:t xml:space="preserve">和 </w:t>
      </w:r>
      <w:r>
        <w:rPr>
          <w:rFonts w:ascii="Times New Roman" w:eastAsia="Times New Roman"/>
          <w:sz w:val="21"/>
        </w:rPr>
        <w:t xml:space="preserve">GB </w:t>
      </w:r>
      <w:r>
        <w:rPr>
          <w:rFonts w:ascii="Times New Roman" w:eastAsia="Times New Roman"/>
          <w:spacing w:val="-2"/>
          <w:sz w:val="21"/>
        </w:rPr>
        <w:t>12763</w:t>
      </w:r>
      <w:r>
        <w:rPr>
          <w:spacing w:val="-2"/>
          <w:sz w:val="21"/>
        </w:rPr>
        <w:t>。</w:t>
      </w:r>
    </w:p>
    <w:p>
      <w:pPr>
        <w:spacing w:after="0" w:line="295" w:lineRule="auto"/>
        <w:jc w:val="both"/>
        <w:rPr>
          <w:sz w:val="21"/>
        </w:rPr>
        <w:sectPr>
          <w:footerReference w:type="even" r:id="rId40"/>
          <w:footerReference w:type="default" r:id="rId41"/>
          <w:pgSz w:w="11910" w:h="16840"/>
          <w:pgMar w:top="1420" w:right="1500" w:bottom="1180" w:left="1580" w:header="0" w:footer="990"/>
          <w:pgNumType w:start="618"/>
          <w:cols w:space="708"/>
        </w:sectPr>
      </w:pPr>
    </w:p>
    <w:p>
      <w:pPr>
        <w:pStyle w:val="ListParagraph"/>
        <w:numPr>
          <w:ilvl w:val="2"/>
          <w:numId w:val="39"/>
        </w:numPr>
        <w:tabs>
          <w:tab w:val="left" w:pos="849"/>
          <w:tab w:val="left" w:pos="850"/>
        </w:tabs>
        <w:spacing w:before="56" w:after="0" w:line="240" w:lineRule="auto"/>
        <w:ind w:left="850" w:right="0" w:hanging="630"/>
        <w:jc w:val="left"/>
        <w:rPr>
          <w:sz w:val="21"/>
        </w:rPr>
      </w:pPr>
      <w:r>
        <w:rPr>
          <w:spacing w:val="-1"/>
          <w:sz w:val="21"/>
        </w:rPr>
        <w:t>现有水质资料的搜集、整理</w:t>
      </w:r>
    </w:p>
    <w:p>
      <w:pPr>
        <w:pStyle w:val="BodyText"/>
        <w:spacing w:before="61" w:line="295" w:lineRule="auto"/>
        <w:ind w:left="220" w:right="100" w:firstLine="420"/>
      </w:pPr>
      <w:r>
        <w:rPr>
          <w:spacing w:val="-2"/>
        </w:rPr>
        <w:t>现有的水质资料主要向当地水质监测部门搜集。搜集的对象是有关的水质监测报表、环</w:t>
      </w:r>
      <w:r>
        <w:rPr>
          <w:spacing w:val="-2"/>
        </w:rPr>
        <w:t xml:space="preserve"> </w:t>
      </w:r>
      <w:r>
        <w:rPr>
          <w:spacing w:val="-5"/>
        </w:rPr>
        <w:t>境质量报告书及建于附近的建设项目的环境影响报告书等技术文件中的水质资料。按照时间、</w:t>
      </w:r>
      <w:r>
        <w:rPr>
          <w:spacing w:val="-8"/>
        </w:rPr>
        <w:t>地点和分析项目排列整理所搜集的资料，并尽量找出其中各水质参数间的关系及水质变化趋</w:t>
      </w:r>
      <w:r>
        <w:rPr>
          <w:spacing w:val="40"/>
        </w:rPr>
        <w:t xml:space="preserve"> </w:t>
      </w:r>
      <w:r>
        <w:rPr>
          <w:spacing w:val="-18"/>
        </w:rPr>
        <w:t>势，同时与可能找到的同步的水文资料一起，分析查找地面水环境对各种污染物的净化能力。</w:t>
      </w:r>
    </w:p>
    <w:p>
      <w:pPr>
        <w:pStyle w:val="ListParagraph"/>
        <w:numPr>
          <w:ilvl w:val="1"/>
          <w:numId w:val="36"/>
        </w:numPr>
        <w:tabs>
          <w:tab w:val="left" w:pos="692"/>
          <w:tab w:val="left" w:pos="693"/>
        </w:tabs>
        <w:spacing w:before="0" w:after="0" w:line="265" w:lineRule="exact"/>
        <w:ind w:left="692" w:right="0" w:hanging="473"/>
        <w:jc w:val="left"/>
        <w:rPr>
          <w:sz w:val="21"/>
        </w:rPr>
      </w:pPr>
      <w:r>
        <w:rPr>
          <w:sz w:val="21"/>
        </w:rPr>
        <w:t>水利用状况（即水域功能）</w:t>
      </w:r>
      <w:r>
        <w:rPr>
          <w:spacing w:val="-4"/>
          <w:sz w:val="21"/>
        </w:rPr>
        <w:t>的调查</w:t>
      </w:r>
    </w:p>
    <w:p>
      <w:pPr>
        <w:pStyle w:val="ListParagraph"/>
        <w:numPr>
          <w:ilvl w:val="2"/>
          <w:numId w:val="36"/>
        </w:numPr>
        <w:tabs>
          <w:tab w:val="left" w:pos="849"/>
          <w:tab w:val="left" w:pos="850"/>
        </w:tabs>
        <w:spacing w:before="61" w:after="0" w:line="240" w:lineRule="auto"/>
        <w:ind w:left="850" w:right="0" w:hanging="630"/>
        <w:jc w:val="left"/>
        <w:rPr>
          <w:sz w:val="21"/>
        </w:rPr>
      </w:pPr>
      <w:r>
        <w:rPr>
          <w:spacing w:val="-2"/>
          <w:sz w:val="21"/>
        </w:rPr>
        <w:t>调查的意义</w:t>
      </w:r>
    </w:p>
    <w:p>
      <w:pPr>
        <w:pStyle w:val="BodyText"/>
        <w:spacing w:before="61" w:line="295" w:lineRule="auto"/>
        <w:ind w:left="220" w:right="298" w:firstLine="420"/>
      </w:pPr>
      <w:r>
        <w:rPr>
          <w:spacing w:val="-4"/>
        </w:rPr>
        <w:t>水利用状况是地面水环境影响评价的基础资料，一般应由环境保护部门规定。调查的目</w:t>
      </w:r>
      <w:r>
        <w:rPr>
          <w:spacing w:val="-2"/>
        </w:rPr>
        <w:t>的是核对与补充这个规定，若还没有规定则应通过调查明确之，并报环境保护部门认可。</w:t>
      </w:r>
    </w:p>
    <w:p>
      <w:pPr>
        <w:pStyle w:val="ListParagraph"/>
        <w:numPr>
          <w:ilvl w:val="2"/>
          <w:numId w:val="36"/>
        </w:numPr>
        <w:tabs>
          <w:tab w:val="left" w:pos="849"/>
          <w:tab w:val="left" w:pos="850"/>
        </w:tabs>
        <w:spacing w:before="0" w:after="0" w:line="267" w:lineRule="exact"/>
        <w:ind w:left="850" w:right="0" w:hanging="630"/>
        <w:jc w:val="left"/>
        <w:rPr>
          <w:sz w:val="21"/>
        </w:rPr>
      </w:pPr>
      <w:r>
        <w:rPr>
          <w:spacing w:val="-2"/>
          <w:sz w:val="21"/>
        </w:rPr>
        <w:t>调查的方法</w:t>
      </w:r>
    </w:p>
    <w:p>
      <w:pPr>
        <w:pStyle w:val="BodyText"/>
        <w:spacing w:before="60"/>
        <w:ind w:left="640"/>
      </w:pPr>
      <w:r>
        <w:rPr>
          <w:spacing w:val="-1"/>
        </w:rPr>
        <w:t>调查的方法以间接了解为主，并辅以必要的实地踏勘。</w:t>
      </w:r>
    </w:p>
    <w:p>
      <w:pPr>
        <w:pStyle w:val="ListParagraph"/>
        <w:numPr>
          <w:ilvl w:val="2"/>
          <w:numId w:val="36"/>
        </w:numPr>
        <w:tabs>
          <w:tab w:val="left" w:pos="849"/>
          <w:tab w:val="left" w:pos="850"/>
        </w:tabs>
        <w:spacing w:before="61" w:after="0" w:line="240" w:lineRule="auto"/>
        <w:ind w:left="850" w:right="0" w:hanging="630"/>
        <w:jc w:val="left"/>
        <w:rPr>
          <w:sz w:val="21"/>
        </w:rPr>
      </w:pPr>
      <w:r>
        <w:rPr>
          <w:spacing w:val="-2"/>
          <w:sz w:val="21"/>
        </w:rPr>
        <w:t>调查的内容</w:t>
      </w:r>
    </w:p>
    <w:p>
      <w:pPr>
        <w:pStyle w:val="BodyText"/>
        <w:spacing w:before="61" w:line="295" w:lineRule="auto"/>
        <w:ind w:left="220" w:right="205" w:firstLine="420"/>
        <w:jc w:val="both"/>
      </w:pPr>
      <w:r>
        <w:rPr>
          <w:spacing w:val="-2"/>
        </w:rPr>
        <w:t>水利用状况调查，可根据需要选择下述全部或部分内容：城市、工业、农业、渔业、水</w:t>
      </w:r>
      <w:r>
        <w:rPr>
          <w:spacing w:val="-2"/>
        </w:rPr>
        <w:t>产养殖业等各类的用水情况（其中包括各种用水的用水时间、用水地点等</w:t>
      </w:r>
      <w:r>
        <w:rPr>
          <w:spacing w:val="-105"/>
        </w:rPr>
        <w:t>）</w:t>
      </w:r>
      <w:r>
        <w:rPr>
          <w:spacing w:val="-2"/>
        </w:rPr>
        <w:t>，以及各类用水</w:t>
      </w:r>
      <w:r>
        <w:rPr>
          <w:spacing w:val="-2"/>
        </w:rPr>
        <w:t>的供需关系、水质要求和渔业、水产养殖业等所需的水面面积等。此外，对用于排泄污水或</w:t>
      </w:r>
      <w:r>
        <w:rPr>
          <w:spacing w:val="-1"/>
        </w:rPr>
        <w:t>灌溉退水的水体也应调查。在水利用状况调查时还应注意地面水与地下水之间的水力联系。</w:t>
      </w:r>
    </w:p>
    <w:p>
      <w:pPr>
        <w:pStyle w:val="ListParagraph"/>
        <w:numPr>
          <w:ilvl w:val="1"/>
          <w:numId w:val="36"/>
        </w:numPr>
        <w:tabs>
          <w:tab w:val="left" w:pos="693"/>
        </w:tabs>
        <w:spacing w:before="0" w:after="0" w:line="265" w:lineRule="exact"/>
        <w:ind w:left="692" w:right="0" w:hanging="473"/>
        <w:jc w:val="both"/>
        <w:rPr>
          <w:sz w:val="21"/>
        </w:rPr>
      </w:pPr>
      <w:r>
        <w:rPr>
          <w:spacing w:val="-2"/>
          <w:sz w:val="21"/>
        </w:rPr>
        <w:t>地面水环境现状评价</w:t>
      </w:r>
    </w:p>
    <w:p>
      <w:pPr>
        <w:pStyle w:val="ListParagraph"/>
        <w:numPr>
          <w:ilvl w:val="2"/>
          <w:numId w:val="36"/>
        </w:numPr>
        <w:tabs>
          <w:tab w:val="left" w:pos="849"/>
          <w:tab w:val="left" w:pos="850"/>
        </w:tabs>
        <w:spacing w:before="61" w:after="0" w:line="240" w:lineRule="auto"/>
        <w:ind w:left="850" w:right="0" w:hanging="630"/>
        <w:jc w:val="left"/>
        <w:rPr>
          <w:sz w:val="21"/>
        </w:rPr>
      </w:pPr>
      <w:r>
        <w:rPr>
          <w:spacing w:val="-2"/>
          <w:sz w:val="21"/>
        </w:rPr>
        <w:t>评价的原则</w:t>
      </w:r>
    </w:p>
    <w:p>
      <w:pPr>
        <w:pStyle w:val="BodyText"/>
        <w:spacing w:before="61" w:line="295" w:lineRule="auto"/>
        <w:ind w:left="220" w:right="193" w:firstLine="420"/>
      </w:pPr>
      <w:r>
        <w:rPr>
          <w:spacing w:val="-2"/>
        </w:rPr>
        <w:t>现状评价是水质调查的继续。评价水质现状主要采用文字分析与描述，并辅之以数学表</w:t>
      </w:r>
      <w:r>
        <w:rPr>
          <w:spacing w:val="-2"/>
        </w:rPr>
        <w:t>达式。在文字分析与描述中，有时可采用检出率、超标率等统计值。数学表达式分两种：一</w:t>
      </w:r>
      <w:r>
        <w:rPr>
          <w:spacing w:val="-15"/>
        </w:rPr>
        <w:t>种用于单项水质参数评价，另一种用于多项水质参数综合评价。单项水质参数评价简单明了，</w:t>
      </w:r>
      <w:r>
        <w:rPr>
          <w:spacing w:val="-2"/>
        </w:rPr>
        <w:t>可以直接了解该水质参数现状与标准的关系，一般均可采用。多项水质参数综合评价只在调</w:t>
      </w:r>
      <w:r>
        <w:rPr>
          <w:spacing w:val="-9"/>
        </w:rPr>
        <w:t>查的水质参数较多时方可应用。此方法只能了解多个水质参数的综合现状与相应标准的综合</w:t>
      </w:r>
      <w:r>
        <w:rPr>
          <w:spacing w:val="-2"/>
        </w:rPr>
        <w:t>情况之间的某种相对关系。</w:t>
      </w:r>
    </w:p>
    <w:p>
      <w:pPr>
        <w:pStyle w:val="ListParagraph"/>
        <w:numPr>
          <w:ilvl w:val="2"/>
          <w:numId w:val="36"/>
        </w:numPr>
        <w:tabs>
          <w:tab w:val="left" w:pos="849"/>
          <w:tab w:val="left" w:pos="850"/>
        </w:tabs>
        <w:spacing w:before="0" w:after="0" w:line="263" w:lineRule="exact"/>
        <w:ind w:left="850" w:right="0" w:hanging="630"/>
        <w:jc w:val="left"/>
        <w:rPr>
          <w:sz w:val="21"/>
        </w:rPr>
      </w:pPr>
      <w:r>
        <w:rPr>
          <w:spacing w:val="-3"/>
          <w:sz w:val="21"/>
        </w:rPr>
        <w:t>评价依据</w:t>
      </w:r>
    </w:p>
    <w:p>
      <w:pPr>
        <w:pStyle w:val="BodyText"/>
        <w:spacing w:before="61" w:line="295" w:lineRule="auto"/>
        <w:ind w:left="220" w:right="205" w:firstLine="420"/>
        <w:jc w:val="both"/>
      </w:pPr>
      <w:r>
        <w:rPr>
          <w:spacing w:val="-5"/>
        </w:rPr>
        <w:t>地面水环境质量标准和有关法规及当地的环保要求是评价的基本依据。地面水环境质量</w:t>
      </w:r>
      <w:r>
        <w:rPr>
          <w:spacing w:val="-6"/>
        </w:rPr>
        <w:t xml:space="preserve">标准应采用 </w:t>
      </w:r>
      <w:r>
        <w:rPr>
          <w:rFonts w:ascii="Times New Roman" w:eastAsia="Times New Roman"/>
          <w:spacing w:val="-2"/>
        </w:rPr>
        <w:t>GB</w:t>
      </w:r>
      <w:r>
        <w:rPr>
          <w:rFonts w:ascii="Times New Roman" w:eastAsia="Times New Roman"/>
          <w:spacing w:val="-11"/>
        </w:rPr>
        <w:t xml:space="preserve"> </w:t>
      </w:r>
      <w:r>
        <w:rPr>
          <w:rFonts w:ascii="Times New Roman" w:eastAsia="Times New Roman"/>
          <w:spacing w:val="-2"/>
        </w:rPr>
        <w:t>3838</w:t>
      </w:r>
      <w:r>
        <w:rPr>
          <w:rFonts w:ascii="Times New Roman" w:eastAsia="Times New Roman"/>
          <w:spacing w:val="-7"/>
        </w:rPr>
        <w:t xml:space="preserve"> </w:t>
      </w:r>
      <w:r>
        <w:rPr>
          <w:spacing w:val="-4"/>
        </w:rPr>
        <w:t xml:space="preserve">或相应的地方标准，海湾水质标准应采用 </w:t>
      </w:r>
      <w:r>
        <w:rPr>
          <w:rFonts w:ascii="Times New Roman" w:eastAsia="Times New Roman"/>
          <w:spacing w:val="-2"/>
        </w:rPr>
        <w:t>GB</w:t>
      </w:r>
      <w:r>
        <w:rPr>
          <w:rFonts w:ascii="Times New Roman" w:eastAsia="Times New Roman"/>
          <w:spacing w:val="9"/>
        </w:rPr>
        <w:t xml:space="preserve"> </w:t>
      </w:r>
      <w:r>
        <w:rPr>
          <w:rFonts w:ascii="Times New Roman" w:eastAsia="Times New Roman"/>
          <w:spacing w:val="-2"/>
        </w:rPr>
        <w:t>3097</w:t>
      </w:r>
      <w:r>
        <w:rPr>
          <w:spacing w:val="-2"/>
        </w:rPr>
        <w:t>，有些水质参数国内</w:t>
      </w:r>
      <w:r>
        <w:rPr>
          <w:spacing w:val="-2"/>
        </w:rPr>
        <w:t>尚无标准，可参照国外标准或建立临时标准，所采用的国外标准和建立的临时标准应按国家</w:t>
      </w:r>
      <w:r>
        <w:rPr>
          <w:spacing w:val="-1"/>
        </w:rPr>
        <w:t>环保局规定的程序报有关部门批准。评价区内不同功能的水域应采用不同类别的水质标准。</w:t>
      </w:r>
    </w:p>
    <w:p>
      <w:pPr>
        <w:pStyle w:val="BodyText"/>
        <w:spacing w:line="295" w:lineRule="auto"/>
        <w:ind w:left="220" w:right="298" w:firstLine="420"/>
        <w:jc w:val="both"/>
      </w:pPr>
      <w:r>
        <w:rPr>
          <w:spacing w:val="-3"/>
        </w:rPr>
        <w:t xml:space="preserve">综合水质的分级应与 </w:t>
      </w:r>
      <w:r>
        <w:rPr>
          <w:rFonts w:ascii="Times New Roman" w:eastAsia="Times New Roman"/>
        </w:rPr>
        <w:t>GB</w:t>
      </w:r>
      <w:r>
        <w:rPr>
          <w:rFonts w:ascii="Times New Roman" w:eastAsia="Times New Roman"/>
          <w:spacing w:val="11"/>
        </w:rPr>
        <w:t xml:space="preserve"> </w:t>
      </w:r>
      <w:r>
        <w:rPr>
          <w:rFonts w:ascii="Times New Roman" w:eastAsia="Times New Roman"/>
        </w:rPr>
        <w:t xml:space="preserve">3838 </w:t>
      </w:r>
      <w:r>
        <w:t>中水域功能的分类一致，其分级判据与所采用的多项水</w:t>
      </w:r>
      <w:r>
        <w:rPr>
          <w:spacing w:val="-2"/>
        </w:rPr>
        <w:t>质参数综合评价方法有关。</w:t>
      </w:r>
    </w:p>
    <w:p>
      <w:pPr>
        <w:pStyle w:val="ListParagraph"/>
        <w:numPr>
          <w:ilvl w:val="2"/>
          <w:numId w:val="36"/>
        </w:numPr>
        <w:tabs>
          <w:tab w:val="left" w:pos="850"/>
        </w:tabs>
        <w:spacing w:before="0" w:after="0" w:line="267" w:lineRule="exact"/>
        <w:ind w:left="850" w:right="0" w:hanging="630"/>
        <w:jc w:val="both"/>
        <w:rPr>
          <w:sz w:val="21"/>
        </w:rPr>
      </w:pPr>
      <w:r>
        <w:rPr>
          <w:spacing w:val="-1"/>
          <w:sz w:val="21"/>
        </w:rPr>
        <w:t>各种评价方法及其推荐</w:t>
      </w:r>
    </w:p>
    <w:p>
      <w:pPr>
        <w:pStyle w:val="ListParagraph"/>
        <w:numPr>
          <w:ilvl w:val="3"/>
          <w:numId w:val="36"/>
        </w:numPr>
        <w:tabs>
          <w:tab w:val="left" w:pos="1008"/>
        </w:tabs>
        <w:spacing w:before="57" w:after="0" w:line="240" w:lineRule="auto"/>
        <w:ind w:left="1007" w:right="0" w:hanging="788"/>
        <w:jc w:val="both"/>
        <w:rPr>
          <w:sz w:val="21"/>
        </w:rPr>
      </w:pPr>
      <w:r>
        <w:rPr>
          <w:spacing w:val="-2"/>
          <w:sz w:val="21"/>
        </w:rPr>
        <w:t>水质参数数值的确定</w:t>
      </w:r>
    </w:p>
    <w:p>
      <w:pPr>
        <w:pStyle w:val="BodyText"/>
        <w:spacing w:before="61" w:line="295" w:lineRule="auto"/>
        <w:ind w:left="220" w:right="297" w:firstLine="420"/>
        <w:jc w:val="both"/>
      </w:pPr>
      <w:r>
        <w:rPr>
          <w:spacing w:val="-4"/>
        </w:rPr>
        <w:t>在单项水质参数评价中，一般情况，某水质参数的数值可采用多次监测的平均值，但如</w:t>
      </w:r>
      <w:r>
        <w:rPr>
          <w:spacing w:val="-2"/>
        </w:rPr>
        <w:t>该水质参数数值变化甚大，为了突出高值的影响可采用内梅罗（</w:t>
      </w:r>
      <w:r>
        <w:rPr>
          <w:rFonts w:ascii="Times New Roman" w:eastAsia="Times New Roman"/>
          <w:spacing w:val="-2"/>
        </w:rPr>
        <w:t>Nemerow</w:t>
      </w:r>
      <w:r>
        <w:rPr>
          <w:spacing w:val="-2"/>
        </w:rPr>
        <w:t>）平均值，或其他</w:t>
      </w:r>
      <w:r>
        <w:rPr>
          <w:spacing w:val="-2"/>
        </w:rPr>
        <w:t>计入高值影响的平均值。下式为内梅平均值的表达式：</w:t>
      </w:r>
    </w:p>
    <w:p>
      <w:pPr>
        <w:spacing w:after="0" w:line="295" w:lineRule="auto"/>
        <w:jc w:val="both"/>
        <w:sectPr>
          <w:footerReference w:type="even" r:id="rId42"/>
          <w:footerReference w:type="default" r:id="rId43"/>
          <w:pgSz w:w="11910" w:h="16840"/>
          <w:pgMar w:top="1420" w:right="1500" w:bottom="1180" w:left="1580" w:header="0" w:footer="990"/>
          <w:pgNumType w:start="619"/>
          <w:cols w:space="708"/>
        </w:sectPr>
      </w:pPr>
    </w:p>
    <w:p>
      <w:pPr>
        <w:spacing w:before="79" w:line="130" w:lineRule="exact"/>
        <w:ind w:left="0" w:right="0" w:firstLine="0"/>
        <w:jc w:val="right"/>
        <w:rPr>
          <w:rFonts w:ascii="Times New Roman" w:hAnsi="Times New Roman"/>
          <w:sz w:val="12"/>
        </w:rPr>
      </w:pPr>
      <w:r>
        <w:rPr>
          <w:rFonts w:ascii="Symbol" w:hAnsi="Symbol"/>
          <w:position w:val="-1"/>
          <w:sz w:val="20"/>
        </w:rPr>
        <w:sym w:font="Symbol" w:char="F0E6"/>
      </w:r>
      <w:r>
        <w:rPr>
          <w:rFonts w:ascii="Times New Roman" w:hAnsi="Times New Roman"/>
          <w:spacing w:val="-16"/>
          <w:position w:val="-1"/>
          <w:sz w:val="20"/>
        </w:rPr>
        <w:t xml:space="preserve"> </w:t>
      </w:r>
      <w:r>
        <w:rPr>
          <w:rFonts w:ascii="Times New Roman" w:hAnsi="Times New Roman"/>
          <w:i/>
          <w:position w:val="-8"/>
          <w:sz w:val="20"/>
        </w:rPr>
        <w:t>c</w:t>
      </w:r>
      <w:r>
        <w:rPr>
          <w:rFonts w:ascii="Times New Roman" w:hAnsi="Times New Roman"/>
          <w:i/>
          <w:spacing w:val="-11"/>
          <w:position w:val="-8"/>
          <w:sz w:val="20"/>
        </w:rPr>
        <w:t xml:space="preserve"> </w:t>
      </w:r>
      <w:r>
        <w:rPr>
          <w:rFonts w:ascii="Times New Roman" w:hAnsi="Times New Roman"/>
          <w:spacing w:val="-10"/>
          <w:sz w:val="12"/>
        </w:rPr>
        <w:t>2</w:t>
      </w:r>
    </w:p>
    <w:p>
      <w:pPr>
        <w:spacing w:before="36" w:line="60" w:lineRule="auto"/>
        <w:ind w:left="150" w:right="0" w:firstLine="0"/>
        <w:jc w:val="left"/>
        <w:rPr>
          <w:rFonts w:ascii="Times New Roman" w:hAnsi="Times New Roman"/>
          <w:sz w:val="12"/>
        </w:rPr>
      </w:pPr>
      <w:r>
        <w:br w:type="column"/>
      </w:r>
      <w:r>
        <w:rPr>
          <w:rFonts w:ascii="Symbol" w:hAnsi="Symbol"/>
          <w:position w:val="-19"/>
          <w:sz w:val="20"/>
        </w:rPr>
        <w:sym w:font="Symbol" w:char="F02B"/>
      </w:r>
      <w:r>
        <w:rPr>
          <w:rFonts w:ascii="Times New Roman" w:hAnsi="Times New Roman"/>
          <w:spacing w:val="-14"/>
          <w:position w:val="-19"/>
          <w:sz w:val="20"/>
        </w:rPr>
        <w:t xml:space="preserve"> </w:t>
      </w:r>
      <w:r>
        <w:rPr>
          <w:rFonts w:ascii="Times New Roman" w:hAnsi="Times New Roman"/>
          <w:i/>
          <w:position w:val="-19"/>
          <w:sz w:val="20"/>
        </w:rPr>
        <w:t>c</w:t>
      </w:r>
      <w:r>
        <w:rPr>
          <w:rFonts w:ascii="Times New Roman" w:hAnsi="Times New Roman"/>
          <w:i/>
          <w:spacing w:val="-14"/>
          <w:position w:val="-19"/>
          <w:sz w:val="20"/>
        </w:rPr>
        <w:t xml:space="preserve"> </w:t>
      </w:r>
      <w:r>
        <w:rPr>
          <w:rFonts w:ascii="Times New Roman" w:hAnsi="Times New Roman"/>
          <w:position w:val="-5"/>
          <w:sz w:val="12"/>
        </w:rPr>
        <w:t>2</w:t>
      </w:r>
      <w:r>
        <w:rPr>
          <w:rFonts w:ascii="Times New Roman" w:hAnsi="Times New Roman"/>
          <w:spacing w:val="34"/>
          <w:position w:val="-5"/>
          <w:sz w:val="12"/>
        </w:rPr>
        <w:t xml:space="preserve"> </w:t>
      </w:r>
      <w:r>
        <w:rPr>
          <w:rFonts w:ascii="Symbol" w:hAnsi="Symbol"/>
          <w:spacing w:val="-4"/>
          <w:position w:val="-12"/>
          <w:sz w:val="20"/>
        </w:rPr>
        <w:sym w:font="Symbol" w:char="F0F6"/>
      </w:r>
      <w:r>
        <w:rPr>
          <w:rFonts w:ascii="Times New Roman" w:hAnsi="Times New Roman"/>
          <w:spacing w:val="-4"/>
          <w:sz w:val="12"/>
        </w:rPr>
        <w:t>1/2</w:t>
      </w:r>
    </w:p>
    <w:p>
      <w:pPr>
        <w:spacing w:after="0" w:line="60" w:lineRule="auto"/>
        <w:jc w:val="left"/>
        <w:rPr>
          <w:rFonts w:ascii="Times New Roman" w:hAnsi="Times New Roman"/>
          <w:sz w:val="12"/>
        </w:rPr>
        <w:sectPr>
          <w:footerReference w:type="even" r:id="rId44"/>
          <w:footerReference w:type="default" r:id="rId45"/>
          <w:type w:val="continuous"/>
          <w:pgSz w:w="11910" w:h="16840"/>
          <w:pgMar w:top="1480" w:right="1500" w:bottom="1180" w:left="1580" w:header="0" w:footer="990"/>
          <w:pgNumType w:start="620"/>
          <w:cols w:num="2" w:space="708" w:equalWidth="0">
            <w:col w:w="4819" w:space="40"/>
            <w:col w:w="3971" w:space="0"/>
          </w:cols>
        </w:sectPr>
      </w:pPr>
    </w:p>
    <w:p>
      <w:pPr>
        <w:tabs>
          <w:tab w:val="left" w:pos="1181"/>
        </w:tabs>
        <w:spacing w:before="0" w:line="190" w:lineRule="exact"/>
        <w:ind w:left="0" w:right="0" w:firstLine="0"/>
        <w:jc w:val="right"/>
        <w:rPr>
          <w:rFonts w:ascii="Symbol" w:hAnsi="Symbol"/>
          <w:sz w:val="20"/>
        </w:rPr>
      </w:pPr>
      <w:r>
        <w:pict>
          <v:line id="_x0000_s1115" style="mso-position-horizontal-relative:page;position:absolute;z-index:-251656192" from="337.25pt,-2.3pt" to="341.9pt,-2.3pt" stroked="t" strokecolor="black" strokeweight="0.5pt">
            <v:stroke dashstyle="solid"/>
          </v:line>
        </w:pict>
      </w:r>
      <w:r>
        <w:rPr>
          <w:rFonts w:ascii="Times New Roman" w:hAnsi="Times New Roman"/>
          <w:i/>
          <w:position w:val="-6"/>
          <w:sz w:val="20"/>
        </w:rPr>
        <w:t>c</w:t>
      </w:r>
      <w:r>
        <w:rPr>
          <w:rFonts w:ascii="Times New Roman" w:hAnsi="Times New Roman"/>
          <w:i/>
          <w:spacing w:val="25"/>
          <w:position w:val="-6"/>
          <w:sz w:val="20"/>
        </w:rPr>
        <w:t xml:space="preserve"> </w:t>
      </w:r>
      <w:r>
        <w:rPr>
          <w:rFonts w:ascii="Symbol" w:hAnsi="Symbol"/>
          <w:position w:val="-6"/>
          <w:sz w:val="20"/>
        </w:rPr>
        <w:sym w:font="Symbol" w:char="F03D"/>
      </w:r>
      <w:r>
        <w:rPr>
          <w:rFonts w:ascii="Times New Roman" w:hAnsi="Times New Roman"/>
          <w:spacing w:val="-5"/>
          <w:position w:val="-6"/>
          <w:sz w:val="20"/>
        </w:rPr>
        <w:t xml:space="preserve"> </w:t>
      </w:r>
      <w:r>
        <w:rPr>
          <w:rFonts w:ascii="Symbol" w:hAnsi="Symbol"/>
          <w:sz w:val="20"/>
        </w:rPr>
        <w:sym w:font="Symbol" w:char="F0E7"/>
      </w:r>
      <w:r>
        <w:rPr>
          <w:rFonts w:ascii="Times New Roman" w:hAnsi="Times New Roman"/>
          <w:spacing w:val="-24"/>
          <w:sz w:val="20"/>
        </w:rPr>
        <w:t xml:space="preserve"> </w:t>
      </w:r>
      <w:r>
        <w:rPr>
          <w:rFonts w:ascii="Times New Roman" w:hAnsi="Times New Roman"/>
          <w:spacing w:val="80"/>
          <w:position w:val="1"/>
          <w:sz w:val="12"/>
          <w:u w:val="single"/>
        </w:rPr>
        <w:t xml:space="preserve"> </w:t>
      </w:r>
      <w:r>
        <w:rPr>
          <w:rFonts w:ascii="Times New Roman" w:hAnsi="Times New Roman"/>
          <w:spacing w:val="-5"/>
          <w:position w:val="1"/>
          <w:sz w:val="12"/>
          <w:u w:val="single"/>
        </w:rPr>
        <w:t>max</w:t>
      </w:r>
      <w:r>
        <w:rPr>
          <w:rFonts w:ascii="Times New Roman" w:hAnsi="Times New Roman"/>
          <w:position w:val="1"/>
          <w:sz w:val="12"/>
          <w:u w:val="single"/>
        </w:rPr>
        <w:tab/>
      </w:r>
      <w:r>
        <w:rPr>
          <w:rFonts w:ascii="Times New Roman" w:hAnsi="Times New Roman"/>
          <w:spacing w:val="-8"/>
          <w:position w:val="1"/>
          <w:sz w:val="12"/>
        </w:rPr>
        <w:t xml:space="preserve"> </w:t>
      </w:r>
      <w:r>
        <w:rPr>
          <w:rFonts w:ascii="Symbol" w:hAnsi="Symbol"/>
          <w:sz w:val="20"/>
        </w:rPr>
        <w:sym w:font="Symbol" w:char="F0F7"/>
      </w:r>
    </w:p>
    <w:p>
      <w:pPr>
        <w:spacing w:before="62" w:line="128" w:lineRule="exact"/>
        <w:ind w:left="0" w:right="299" w:firstLine="0"/>
        <w:jc w:val="right"/>
        <w:rPr>
          <w:sz w:val="21"/>
        </w:rPr>
      </w:pPr>
      <w:r>
        <w:br w:type="column"/>
      </w:r>
      <w:r>
        <w:rPr>
          <w:spacing w:val="-5"/>
          <w:sz w:val="21"/>
        </w:rPr>
        <w:t>（</w:t>
      </w:r>
      <w:r>
        <w:rPr>
          <w:rFonts w:ascii="Times New Roman" w:eastAsia="Times New Roman"/>
          <w:spacing w:val="-5"/>
          <w:sz w:val="21"/>
        </w:rPr>
        <w:t>1</w:t>
      </w:r>
      <w:r>
        <w:rPr>
          <w:spacing w:val="-5"/>
          <w:sz w:val="21"/>
        </w:rPr>
        <w:t>）</w:t>
      </w:r>
    </w:p>
    <w:p>
      <w:pPr>
        <w:spacing w:after="0" w:line="128" w:lineRule="exact"/>
        <w:jc w:val="right"/>
        <w:rPr>
          <w:sz w:val="21"/>
        </w:rPr>
        <w:sectPr>
          <w:footerReference w:type="even" r:id="rId46"/>
          <w:footerReference w:type="default" r:id="rId47"/>
          <w:type w:val="continuous"/>
          <w:pgSz w:w="11910" w:h="16840"/>
          <w:pgMar w:top="1480" w:right="1500" w:bottom="1180" w:left="1580" w:header="0" w:footer="990"/>
          <w:pgNumType w:start="621"/>
          <w:cols w:num="2" w:space="708" w:equalWidth="0">
            <w:col w:w="5483" w:space="40"/>
            <w:col w:w="3307" w:space="0"/>
          </w:cols>
        </w:sectPr>
      </w:pPr>
    </w:p>
    <w:p>
      <w:pPr>
        <w:tabs>
          <w:tab w:val="left" w:pos="2061"/>
        </w:tabs>
        <w:spacing w:before="0" w:line="197" w:lineRule="exact"/>
        <w:ind w:left="1175" w:right="0" w:firstLine="0"/>
        <w:jc w:val="center"/>
        <w:rPr>
          <w:rFonts w:ascii="Symbol" w:hAnsi="Symbol"/>
          <w:sz w:val="20"/>
        </w:rPr>
      </w:pPr>
      <w:r>
        <w:pict>
          <v:shape id="_x0000_s1116" type="#_x0000_t202" style="width:5pt;height:11.1pt;margin-top:3.02pt;margin-left:326.71pt;mso-position-horizontal-relative:page;position:absolute;z-index:-251655168" filled="f" stroked="f">
            <v:textbox inset="0,0,0,0">
              <w:txbxContent>
                <w:p>
                  <w:pPr>
                    <w:spacing w:before="0" w:line="221" w:lineRule="exact"/>
                    <w:ind w:left="0" w:right="0" w:firstLine="0"/>
                    <w:jc w:val="left"/>
                    <w:rPr>
                      <w:rFonts w:ascii="Times New Roman"/>
                      <w:sz w:val="20"/>
                    </w:rPr>
                  </w:pPr>
                  <w:r>
                    <w:rPr>
                      <w:rFonts w:ascii="Times New Roman"/>
                      <w:sz w:val="20"/>
                    </w:rPr>
                    <w:t>2</w:t>
                  </w:r>
                </w:p>
              </w:txbxContent>
            </v:textbox>
          </v:shape>
        </w:pict>
      </w:r>
      <w:r>
        <w:rPr>
          <w:rFonts w:ascii="Symbol" w:hAnsi="Symbol"/>
          <w:spacing w:val="-10"/>
          <w:sz w:val="20"/>
        </w:rPr>
        <w:sym w:font="Symbol" w:char="F0E7"/>
      </w:r>
      <w:r>
        <w:rPr>
          <w:rFonts w:ascii="Times New Roman" w:hAnsi="Times New Roman"/>
          <w:sz w:val="20"/>
        </w:rPr>
        <w:tab/>
      </w:r>
      <w:r>
        <w:rPr>
          <w:rFonts w:ascii="Symbol" w:hAnsi="Symbol"/>
          <w:spacing w:val="-10"/>
          <w:sz w:val="20"/>
        </w:rPr>
        <w:sym w:font="Symbol" w:char="F0F7"/>
      </w:r>
    </w:p>
    <w:p>
      <w:pPr>
        <w:tabs>
          <w:tab w:val="left" w:pos="2061"/>
        </w:tabs>
        <w:spacing w:before="0" w:line="197" w:lineRule="exact"/>
        <w:ind w:left="1175" w:right="0" w:firstLine="0"/>
        <w:jc w:val="center"/>
        <w:rPr>
          <w:rFonts w:ascii="Symbol" w:hAnsi="Symbol"/>
          <w:sz w:val="20"/>
        </w:rPr>
      </w:pPr>
      <w:r>
        <w:rPr>
          <w:rFonts w:ascii="Symbol" w:hAnsi="Symbol"/>
          <w:spacing w:val="-10"/>
          <w:sz w:val="20"/>
        </w:rPr>
        <w:sym w:font="Symbol" w:char="F0E8"/>
      </w:r>
      <w:r>
        <w:rPr>
          <w:rFonts w:ascii="Times New Roman" w:hAnsi="Times New Roman"/>
          <w:sz w:val="20"/>
        </w:rPr>
        <w:tab/>
      </w:r>
      <w:r>
        <w:rPr>
          <w:rFonts w:ascii="Symbol" w:hAnsi="Symbol"/>
          <w:spacing w:val="-10"/>
          <w:sz w:val="20"/>
        </w:rPr>
        <w:sym w:font="Symbol" w:char="F0F8"/>
      </w:r>
    </w:p>
    <w:p>
      <w:pPr>
        <w:pStyle w:val="ListParagraph"/>
        <w:numPr>
          <w:ilvl w:val="3"/>
          <w:numId w:val="36"/>
        </w:numPr>
        <w:tabs>
          <w:tab w:val="left" w:pos="1007"/>
          <w:tab w:val="left" w:pos="1008"/>
        </w:tabs>
        <w:spacing w:before="132" w:after="0" w:line="285" w:lineRule="auto"/>
        <w:ind w:left="640" w:right="4876" w:hanging="420"/>
        <w:jc w:val="left"/>
        <w:rPr>
          <w:sz w:val="21"/>
        </w:rPr>
      </w:pPr>
      <w:r>
        <w:rPr>
          <w:spacing w:val="-2"/>
          <w:sz w:val="21"/>
        </w:rPr>
        <w:t>单项水质参数评价方法及其推荐</w:t>
      </w:r>
      <w:r>
        <w:rPr>
          <w:spacing w:val="-2"/>
          <w:sz w:val="21"/>
        </w:rPr>
        <w:t>单项评价建议采用标准指数法。</w:t>
      </w:r>
    </w:p>
    <w:p>
      <w:pPr>
        <w:pStyle w:val="BodyText"/>
        <w:spacing w:line="269" w:lineRule="exact"/>
        <w:ind w:left="640"/>
      </w:pPr>
      <w:r>
        <w:rPr>
          <w:spacing w:val="-2"/>
        </w:rPr>
        <w:t>标准指数法</w:t>
      </w:r>
    </w:p>
    <w:p>
      <w:pPr>
        <w:spacing w:after="0" w:line="269" w:lineRule="exact"/>
        <w:sectPr>
          <w:footerReference w:type="even" r:id="rId48"/>
          <w:footerReference w:type="default" r:id="rId49"/>
          <w:type w:val="continuous"/>
          <w:pgSz w:w="11910" w:h="16840"/>
          <w:pgMar w:top="1480" w:right="1500" w:bottom="1180" w:left="1580" w:header="0" w:footer="990"/>
          <w:pgNumType w:start="622"/>
          <w:cols w:space="708"/>
        </w:sectPr>
      </w:pPr>
    </w:p>
    <w:p>
      <w:pPr>
        <w:pStyle w:val="BodyText"/>
        <w:spacing w:before="48"/>
        <w:ind w:left="640"/>
      </w:pPr>
      <w:r>
        <w:rPr>
          <w:spacing w:val="-8"/>
        </w:rPr>
        <w:t xml:space="preserve">单项水质参数 </w:t>
      </w:r>
      <w:r>
        <w:rPr>
          <w:rFonts w:ascii="Times New Roman" w:eastAsia="Times New Roman"/>
        </w:rPr>
        <w:t xml:space="preserve">i </w:t>
      </w:r>
      <w:r>
        <w:rPr>
          <w:spacing w:val="-18"/>
        </w:rPr>
        <w:t xml:space="preserve">在第 </w:t>
      </w:r>
      <w:r>
        <w:rPr>
          <w:rFonts w:ascii="Times New Roman" w:eastAsia="Times New Roman"/>
        </w:rPr>
        <w:t xml:space="preserve">j </w:t>
      </w:r>
      <w:r>
        <w:rPr>
          <w:spacing w:val="-2"/>
        </w:rPr>
        <w:t>点的标准指数</w:t>
      </w:r>
    </w:p>
    <w:p>
      <w:pPr>
        <w:spacing w:before="0" w:line="240" w:lineRule="auto"/>
        <w:rPr>
          <w:sz w:val="24"/>
        </w:rPr>
      </w:pPr>
      <w:r>
        <w:br w:type="column"/>
      </w:r>
    </w:p>
    <w:p>
      <w:pPr>
        <w:spacing w:before="186"/>
        <w:ind w:left="244" w:right="0" w:firstLine="0"/>
        <w:jc w:val="left"/>
        <w:rPr>
          <w:rFonts w:ascii="Times New Roman"/>
          <w:i/>
          <w:sz w:val="12"/>
        </w:rPr>
      </w:pPr>
      <w:r>
        <w:rPr>
          <w:rFonts w:ascii="Times New Roman"/>
          <w:i/>
          <w:position w:val="5"/>
          <w:sz w:val="20"/>
        </w:rPr>
        <w:t>S</w:t>
      </w:r>
      <w:r>
        <w:rPr>
          <w:rFonts w:ascii="Times New Roman"/>
          <w:i/>
          <w:spacing w:val="-3"/>
          <w:position w:val="5"/>
          <w:sz w:val="20"/>
        </w:rPr>
        <w:t xml:space="preserve"> </w:t>
      </w:r>
      <w:r>
        <w:rPr>
          <w:rFonts w:ascii="Times New Roman"/>
          <w:i/>
          <w:sz w:val="12"/>
        </w:rPr>
        <w:t>i</w:t>
      </w:r>
      <w:r>
        <w:rPr>
          <w:rFonts w:ascii="Times New Roman"/>
          <w:i/>
          <w:spacing w:val="2"/>
          <w:sz w:val="12"/>
        </w:rPr>
        <w:t xml:space="preserve"> </w:t>
      </w:r>
      <w:r>
        <w:rPr>
          <w:rFonts w:ascii="Times New Roman"/>
          <w:sz w:val="12"/>
        </w:rPr>
        <w:t>,</w:t>
      </w:r>
      <w:r>
        <w:rPr>
          <w:rFonts w:ascii="Times New Roman"/>
          <w:spacing w:val="-3"/>
          <w:sz w:val="12"/>
        </w:rPr>
        <w:t xml:space="preserve"> </w:t>
      </w:r>
      <w:r>
        <w:rPr>
          <w:rFonts w:ascii="Times New Roman"/>
          <w:i/>
          <w:spacing w:val="-10"/>
          <w:sz w:val="12"/>
        </w:rPr>
        <w:t>j</w:t>
      </w:r>
    </w:p>
    <w:p>
      <w:pPr>
        <w:spacing w:before="8" w:line="240" w:lineRule="auto"/>
        <w:rPr>
          <w:rFonts w:ascii="Times New Roman"/>
          <w:i/>
          <w:sz w:val="41"/>
        </w:rPr>
      </w:pPr>
      <w:r>
        <w:br w:type="column"/>
      </w:r>
    </w:p>
    <w:p>
      <w:pPr>
        <w:spacing w:before="0"/>
        <w:ind w:left="62" w:right="0" w:firstLine="0"/>
        <w:jc w:val="left"/>
        <w:rPr>
          <w:rFonts w:ascii="Times New Roman" w:hAnsi="Times New Roman"/>
          <w:i/>
          <w:sz w:val="12"/>
        </w:rPr>
      </w:pPr>
      <w:r>
        <w:rPr>
          <w:rFonts w:ascii="Symbol" w:hAnsi="Symbol"/>
          <w:position w:val="5"/>
          <w:sz w:val="20"/>
        </w:rPr>
        <w:sym w:font="Symbol" w:char="F03D"/>
      </w:r>
      <w:r>
        <w:rPr>
          <w:rFonts w:ascii="Times New Roman" w:hAnsi="Times New Roman"/>
          <w:spacing w:val="-14"/>
          <w:position w:val="5"/>
          <w:sz w:val="20"/>
        </w:rPr>
        <w:t xml:space="preserve"> </w:t>
      </w:r>
      <w:r>
        <w:rPr>
          <w:rFonts w:ascii="Times New Roman" w:hAnsi="Times New Roman"/>
          <w:i/>
          <w:position w:val="5"/>
          <w:sz w:val="20"/>
        </w:rPr>
        <w:t>c</w:t>
      </w:r>
      <w:r>
        <w:rPr>
          <w:rFonts w:ascii="Times New Roman" w:hAnsi="Times New Roman"/>
          <w:i/>
          <w:spacing w:val="-27"/>
          <w:position w:val="5"/>
          <w:sz w:val="20"/>
        </w:rPr>
        <w:t xml:space="preserve"> </w:t>
      </w:r>
      <w:r>
        <w:rPr>
          <w:rFonts w:ascii="Times New Roman" w:hAnsi="Times New Roman"/>
          <w:i/>
          <w:sz w:val="12"/>
        </w:rPr>
        <w:t>i</w:t>
      </w:r>
      <w:r>
        <w:rPr>
          <w:rFonts w:ascii="Times New Roman" w:hAnsi="Times New Roman"/>
          <w:i/>
          <w:spacing w:val="1"/>
          <w:sz w:val="12"/>
        </w:rPr>
        <w:t xml:space="preserve"> </w:t>
      </w:r>
      <w:r>
        <w:rPr>
          <w:rFonts w:ascii="Times New Roman" w:hAnsi="Times New Roman"/>
          <w:sz w:val="12"/>
        </w:rPr>
        <w:t>,</w:t>
      </w:r>
      <w:r>
        <w:rPr>
          <w:rFonts w:ascii="Times New Roman" w:hAnsi="Times New Roman"/>
          <w:spacing w:val="-4"/>
          <w:sz w:val="12"/>
        </w:rPr>
        <w:t xml:space="preserve"> </w:t>
      </w:r>
      <w:r>
        <w:rPr>
          <w:rFonts w:ascii="Times New Roman" w:hAnsi="Times New Roman"/>
          <w:i/>
          <w:sz w:val="12"/>
        </w:rPr>
        <w:t>j</w:t>
      </w:r>
      <w:r>
        <w:rPr>
          <w:rFonts w:ascii="Times New Roman" w:hAnsi="Times New Roman"/>
          <w:i/>
          <w:spacing w:val="21"/>
          <w:sz w:val="12"/>
        </w:rPr>
        <w:t xml:space="preserve"> </w:t>
      </w:r>
      <w:r>
        <w:rPr>
          <w:rFonts w:ascii="Times New Roman" w:hAnsi="Times New Roman"/>
          <w:spacing w:val="-4"/>
          <w:position w:val="5"/>
          <w:sz w:val="20"/>
        </w:rPr>
        <w:t>/</w:t>
      </w:r>
      <w:r>
        <w:rPr>
          <w:rFonts w:ascii="Times New Roman" w:hAnsi="Times New Roman"/>
          <w:i/>
          <w:spacing w:val="-4"/>
          <w:position w:val="5"/>
          <w:sz w:val="20"/>
        </w:rPr>
        <w:t>c</w:t>
      </w:r>
      <w:r>
        <w:rPr>
          <w:rFonts w:ascii="Times New Roman" w:hAnsi="Times New Roman"/>
          <w:spacing w:val="-4"/>
          <w:sz w:val="12"/>
        </w:rPr>
        <w:t>s</w:t>
      </w:r>
      <w:r>
        <w:rPr>
          <w:rFonts w:ascii="Times New Roman" w:hAnsi="Times New Roman"/>
          <w:i/>
          <w:spacing w:val="-4"/>
          <w:sz w:val="12"/>
        </w:rPr>
        <w:t>i</w:t>
      </w:r>
    </w:p>
    <w:p>
      <w:pPr>
        <w:spacing w:before="0" w:line="240" w:lineRule="auto"/>
        <w:rPr>
          <w:rFonts w:ascii="Times New Roman"/>
          <w:i/>
          <w:sz w:val="22"/>
        </w:rPr>
      </w:pPr>
      <w:r>
        <w:br w:type="column"/>
      </w:r>
    </w:p>
    <w:p>
      <w:pPr>
        <w:pStyle w:val="BodyText"/>
        <w:spacing w:before="10"/>
        <w:rPr>
          <w:rFonts w:ascii="Times New Roman"/>
          <w:i/>
          <w:sz w:val="18"/>
        </w:rPr>
      </w:pPr>
    </w:p>
    <w:p>
      <w:pPr>
        <w:pStyle w:val="BodyText"/>
        <w:ind w:left="640"/>
      </w:pPr>
      <w:r>
        <w:rPr>
          <w:spacing w:val="-5"/>
        </w:rPr>
        <w:t>（</w:t>
      </w:r>
      <w:r>
        <w:rPr>
          <w:rFonts w:ascii="Times New Roman" w:eastAsia="Times New Roman"/>
          <w:spacing w:val="-5"/>
        </w:rPr>
        <w:t>2</w:t>
      </w:r>
      <w:r>
        <w:rPr>
          <w:spacing w:val="-5"/>
        </w:rPr>
        <w:t>）</w:t>
      </w:r>
    </w:p>
    <w:p>
      <w:pPr>
        <w:spacing w:after="0"/>
        <w:sectPr>
          <w:footerReference w:type="even" r:id="rId50"/>
          <w:footerReference w:type="default" r:id="rId51"/>
          <w:pgSz w:w="11910" w:h="16840"/>
          <w:pgMar w:top="1420" w:right="1500" w:bottom="1180" w:left="1580" w:header="0" w:footer="990"/>
          <w:pgNumType w:start="623"/>
          <w:cols w:num="4" w:space="708" w:equalWidth="0">
            <w:col w:w="3907" w:space="40"/>
            <w:col w:w="551" w:space="39"/>
            <w:col w:w="809" w:space="2015"/>
            <w:col w:w="1469" w:space="0"/>
          </w:cols>
        </w:sectPr>
      </w:pPr>
    </w:p>
    <w:p>
      <w:pPr>
        <w:pStyle w:val="BodyText"/>
        <w:spacing w:before="4"/>
        <w:rPr>
          <w:sz w:val="12"/>
        </w:rPr>
      </w:pPr>
    </w:p>
    <w:p>
      <w:pPr>
        <w:spacing w:after="0"/>
        <w:rPr>
          <w:sz w:val="12"/>
        </w:rPr>
        <w:sectPr>
          <w:footerReference w:type="even" r:id="rId52"/>
          <w:footerReference w:type="default" r:id="rId53"/>
          <w:type w:val="continuous"/>
          <w:pgSz w:w="11910" w:h="16840"/>
          <w:pgMar w:top="1480" w:right="1500" w:bottom="1180" w:left="1580" w:header="0" w:footer="990"/>
          <w:pgNumType w:start="624"/>
          <w:cols w:space="708"/>
        </w:sectPr>
      </w:pPr>
    </w:p>
    <w:p>
      <w:pPr>
        <w:pStyle w:val="BodyText"/>
        <w:spacing w:before="77"/>
        <w:ind w:left="640"/>
      </w:pPr>
      <w:r>
        <w:rPr>
          <w:rFonts w:ascii="Times New Roman" w:eastAsia="Times New Roman"/>
        </w:rPr>
        <w:t>DO</w:t>
      </w:r>
      <w:r>
        <w:rPr>
          <w:rFonts w:ascii="Times New Roman" w:eastAsia="Times New Roman"/>
          <w:spacing w:val="-2"/>
        </w:rPr>
        <w:t xml:space="preserve"> </w:t>
      </w:r>
      <w:r>
        <w:rPr>
          <w:spacing w:val="-2"/>
        </w:rPr>
        <w:t>的标准指数为：</w:t>
      </w:r>
    </w:p>
    <w:p>
      <w:pPr>
        <w:spacing w:before="0" w:line="240" w:lineRule="auto"/>
        <w:rPr>
          <w:sz w:val="24"/>
        </w:rPr>
      </w:pPr>
      <w:r>
        <w:br w:type="column"/>
      </w:r>
    </w:p>
    <w:p>
      <w:pPr>
        <w:pStyle w:val="BodyText"/>
        <w:spacing w:before="1"/>
        <w:rPr>
          <w:sz w:val="17"/>
        </w:rPr>
      </w:pPr>
    </w:p>
    <w:p>
      <w:pPr>
        <w:spacing w:before="0"/>
        <w:ind w:left="640" w:right="0" w:firstLine="0"/>
        <w:jc w:val="left"/>
        <w:rPr>
          <w:rFonts w:ascii="Times New Roman"/>
          <w:i/>
          <w:sz w:val="12"/>
        </w:rPr>
      </w:pPr>
      <w:r>
        <w:rPr>
          <w:rFonts w:ascii="Times New Roman"/>
          <w:i/>
          <w:position w:val="5"/>
          <w:sz w:val="20"/>
        </w:rPr>
        <w:t>S</w:t>
      </w:r>
      <w:r>
        <w:rPr>
          <w:rFonts w:ascii="Times New Roman"/>
          <w:i/>
          <w:spacing w:val="-4"/>
          <w:position w:val="5"/>
          <w:sz w:val="20"/>
        </w:rPr>
        <w:t xml:space="preserve"> </w:t>
      </w:r>
      <w:r>
        <w:rPr>
          <w:rFonts w:ascii="Times New Roman"/>
          <w:i/>
          <w:sz w:val="12"/>
        </w:rPr>
        <w:t>DO</w:t>
      </w:r>
      <w:r>
        <w:rPr>
          <w:rFonts w:ascii="Times New Roman"/>
          <w:i/>
          <w:spacing w:val="-8"/>
          <w:sz w:val="12"/>
        </w:rPr>
        <w:t xml:space="preserve"> </w:t>
      </w:r>
      <w:r>
        <w:rPr>
          <w:rFonts w:ascii="Times New Roman"/>
          <w:sz w:val="12"/>
        </w:rPr>
        <w:t>,</w:t>
      </w:r>
      <w:r>
        <w:rPr>
          <w:rFonts w:ascii="Times New Roman"/>
          <w:spacing w:val="-4"/>
          <w:sz w:val="12"/>
        </w:rPr>
        <w:t xml:space="preserve"> </w:t>
      </w:r>
      <w:r>
        <w:rPr>
          <w:rFonts w:ascii="Times New Roman"/>
          <w:i/>
          <w:spacing w:val="-10"/>
          <w:sz w:val="12"/>
        </w:rPr>
        <w:t>j</w:t>
      </w:r>
    </w:p>
    <w:p>
      <w:pPr>
        <w:spacing w:before="3" w:line="240" w:lineRule="auto"/>
        <w:rPr>
          <w:rFonts w:ascii="Times New Roman"/>
          <w:i/>
          <w:sz w:val="32"/>
        </w:rPr>
      </w:pPr>
      <w:r>
        <w:br w:type="column"/>
      </w:r>
    </w:p>
    <w:p>
      <w:pPr>
        <w:spacing w:before="0" w:line="196" w:lineRule="auto"/>
        <w:ind w:left="72" w:right="0" w:firstLine="0"/>
        <w:jc w:val="left"/>
        <w:rPr>
          <w:rFonts w:ascii="Times New Roman" w:hAnsi="Times New Roman"/>
          <w:i/>
          <w:sz w:val="12"/>
        </w:rPr>
      </w:pPr>
      <w:r>
        <w:rPr>
          <w:rFonts w:ascii="Symbol" w:hAnsi="Symbol"/>
          <w:position w:val="-15"/>
          <w:sz w:val="20"/>
        </w:rPr>
        <w:sym w:font="Symbol" w:char="F03D"/>
      </w:r>
      <w:r>
        <w:rPr>
          <w:rFonts w:ascii="Times New Roman" w:hAnsi="Times New Roman"/>
          <w:spacing w:val="13"/>
          <w:position w:val="-15"/>
          <w:sz w:val="20"/>
        </w:rPr>
        <w:t xml:space="preserve"> </w:t>
      </w:r>
      <w:r>
        <w:rPr>
          <w:rFonts w:ascii="Times New Roman" w:hAnsi="Times New Roman"/>
          <w:sz w:val="20"/>
        </w:rPr>
        <w:t>|</w:t>
      </w:r>
      <w:r>
        <w:rPr>
          <w:rFonts w:ascii="Times New Roman" w:hAnsi="Times New Roman"/>
          <w:spacing w:val="1"/>
          <w:sz w:val="20"/>
        </w:rPr>
        <w:t xml:space="preserve"> </w:t>
      </w:r>
      <w:r>
        <w:rPr>
          <w:rFonts w:ascii="Times New Roman" w:hAnsi="Times New Roman"/>
          <w:i/>
          <w:spacing w:val="-5"/>
          <w:sz w:val="20"/>
        </w:rPr>
        <w:t>DO</w:t>
      </w:r>
      <w:r>
        <w:rPr>
          <w:rFonts w:ascii="Times New Roman" w:hAnsi="Times New Roman"/>
          <w:i/>
          <w:spacing w:val="-5"/>
          <w:position w:val="-4"/>
          <w:sz w:val="12"/>
        </w:rPr>
        <w:t>f</w:t>
      </w:r>
    </w:p>
    <w:p>
      <w:pPr>
        <w:spacing w:before="0" w:line="226" w:lineRule="exact"/>
        <w:ind w:left="345" w:right="0" w:firstLine="0"/>
        <w:jc w:val="left"/>
        <w:rPr>
          <w:rFonts w:ascii="Times New Roman"/>
          <w:i/>
          <w:sz w:val="12"/>
        </w:rPr>
      </w:pPr>
      <w:r>
        <w:pict>
          <v:line id="_x0000_s1117" style="mso-position-horizontal-relative:page;position:absolute;z-index:-251654144" from="281.5pt,-2.85pt" to="342.1pt,-2.85pt" stroked="t" strokecolor="black" strokeweight="0.5pt">
            <v:stroke dashstyle="solid"/>
          </v:line>
        </w:pict>
      </w:r>
      <w:r>
        <w:rPr>
          <w:rFonts w:ascii="Times New Roman"/>
          <w:i/>
          <w:spacing w:val="-5"/>
          <w:sz w:val="20"/>
        </w:rPr>
        <w:t>DO</w:t>
      </w:r>
      <w:r>
        <w:rPr>
          <w:rFonts w:ascii="Times New Roman"/>
          <w:i/>
          <w:spacing w:val="-5"/>
          <w:position w:val="-4"/>
          <w:sz w:val="12"/>
        </w:rPr>
        <w:t>f</w:t>
      </w:r>
    </w:p>
    <w:p>
      <w:pPr>
        <w:spacing w:before="5" w:line="240" w:lineRule="auto"/>
        <w:rPr>
          <w:rFonts w:ascii="Times New Roman"/>
          <w:i/>
          <w:sz w:val="30"/>
        </w:rPr>
      </w:pPr>
      <w:r>
        <w:br w:type="column"/>
      </w:r>
    </w:p>
    <w:p>
      <w:pPr>
        <w:pStyle w:val="ListParagraph"/>
        <w:numPr>
          <w:ilvl w:val="0"/>
          <w:numId w:val="41"/>
        </w:numPr>
        <w:tabs>
          <w:tab w:val="left" w:pos="223"/>
        </w:tabs>
        <w:spacing w:before="0" w:after="0" w:line="240" w:lineRule="auto"/>
        <w:ind w:left="222" w:right="0" w:hanging="157"/>
        <w:jc w:val="left"/>
        <w:rPr>
          <w:rFonts w:ascii="Times New Roman" w:hAnsi="Times New Roman"/>
          <w:sz w:val="20"/>
        </w:rPr>
      </w:pPr>
      <w:r>
        <w:rPr>
          <w:rFonts w:ascii="Times New Roman" w:hAnsi="Times New Roman"/>
          <w:i/>
          <w:sz w:val="20"/>
        </w:rPr>
        <w:t>DO</w:t>
      </w:r>
      <w:r>
        <w:rPr>
          <w:rFonts w:ascii="Times New Roman" w:hAnsi="Times New Roman"/>
          <w:i/>
          <w:spacing w:val="-15"/>
          <w:sz w:val="20"/>
        </w:rPr>
        <w:t xml:space="preserve"> </w:t>
      </w:r>
      <w:r>
        <w:rPr>
          <w:rFonts w:ascii="Times New Roman" w:hAnsi="Times New Roman"/>
          <w:i/>
          <w:position w:val="-4"/>
          <w:sz w:val="12"/>
        </w:rPr>
        <w:t>j</w:t>
      </w:r>
      <w:r>
        <w:rPr>
          <w:rFonts w:ascii="Times New Roman" w:hAnsi="Times New Roman"/>
          <w:i/>
          <w:spacing w:val="70"/>
          <w:position w:val="-4"/>
          <w:sz w:val="12"/>
        </w:rPr>
        <w:t xml:space="preserve"> </w:t>
      </w:r>
      <w:r>
        <w:rPr>
          <w:rFonts w:ascii="Times New Roman" w:hAnsi="Times New Roman"/>
          <w:spacing w:val="-10"/>
          <w:sz w:val="20"/>
        </w:rPr>
        <w:t>|</w:t>
      </w:r>
    </w:p>
    <w:p>
      <w:pPr>
        <w:pStyle w:val="ListParagraph"/>
        <w:numPr>
          <w:ilvl w:val="0"/>
          <w:numId w:val="41"/>
        </w:numPr>
        <w:tabs>
          <w:tab w:val="left" w:pos="231"/>
        </w:tabs>
        <w:spacing w:before="42" w:after="0" w:line="240" w:lineRule="auto"/>
        <w:ind w:left="230" w:right="0" w:hanging="157"/>
        <w:jc w:val="left"/>
        <w:rPr>
          <w:rFonts w:ascii="Times New Roman" w:hAnsi="Times New Roman"/>
          <w:i/>
          <w:sz w:val="12"/>
        </w:rPr>
      </w:pPr>
      <w:r>
        <w:rPr>
          <w:rFonts w:ascii="Times New Roman" w:hAnsi="Times New Roman"/>
          <w:i/>
          <w:spacing w:val="-5"/>
          <w:sz w:val="20"/>
        </w:rPr>
        <w:t>DO</w:t>
      </w:r>
      <w:r>
        <w:rPr>
          <w:rFonts w:ascii="Times New Roman" w:hAnsi="Times New Roman"/>
          <w:i/>
          <w:spacing w:val="-5"/>
          <w:position w:val="-4"/>
          <w:sz w:val="12"/>
        </w:rPr>
        <w:t>s</w:t>
      </w:r>
    </w:p>
    <w:p>
      <w:pPr>
        <w:spacing w:before="0" w:line="240" w:lineRule="auto"/>
        <w:rPr>
          <w:rFonts w:ascii="Times New Roman"/>
          <w:i/>
          <w:sz w:val="24"/>
        </w:rPr>
      </w:pPr>
      <w:r>
        <w:br w:type="column"/>
      </w:r>
    </w:p>
    <w:p>
      <w:pPr>
        <w:pStyle w:val="BodyText"/>
        <w:spacing w:before="9"/>
        <w:rPr>
          <w:rFonts w:ascii="Times New Roman"/>
          <w:i/>
        </w:rPr>
      </w:pPr>
    </w:p>
    <w:p>
      <w:pPr>
        <w:spacing w:before="0"/>
        <w:ind w:left="394" w:right="0" w:firstLine="0"/>
        <w:jc w:val="left"/>
        <w:rPr>
          <w:rFonts w:ascii="Times New Roman"/>
          <w:i/>
          <w:sz w:val="12"/>
        </w:rPr>
      </w:pPr>
      <w:r>
        <w:rPr>
          <w:rFonts w:ascii="Times New Roman"/>
          <w:i/>
          <w:sz w:val="20"/>
        </w:rPr>
        <w:t>DO</w:t>
      </w:r>
      <w:r>
        <w:rPr>
          <w:rFonts w:ascii="Times New Roman"/>
          <w:i/>
          <w:spacing w:val="-15"/>
          <w:sz w:val="20"/>
        </w:rPr>
        <w:t xml:space="preserve"> </w:t>
      </w:r>
      <w:r>
        <w:rPr>
          <w:rFonts w:ascii="Times New Roman"/>
          <w:i/>
          <w:spacing w:val="-10"/>
          <w:position w:val="-4"/>
          <w:sz w:val="12"/>
        </w:rPr>
        <w:t>j</w:t>
      </w:r>
    </w:p>
    <w:p>
      <w:pPr>
        <w:spacing w:before="0" w:line="240" w:lineRule="auto"/>
        <w:rPr>
          <w:rFonts w:ascii="Times New Roman"/>
          <w:i/>
          <w:sz w:val="28"/>
        </w:rPr>
      </w:pPr>
      <w:r>
        <w:br w:type="column"/>
      </w:r>
    </w:p>
    <w:p>
      <w:pPr>
        <w:spacing w:before="190"/>
        <w:ind w:left="67" w:right="0" w:firstLine="0"/>
        <w:jc w:val="left"/>
        <w:rPr>
          <w:rFonts w:ascii="Times New Roman" w:hAnsi="Times New Roman"/>
          <w:i/>
          <w:sz w:val="12"/>
        </w:rPr>
      </w:pPr>
      <w:r>
        <w:rPr>
          <w:rFonts w:ascii="Symbol" w:hAnsi="Symbol"/>
          <w:sz w:val="20"/>
        </w:rPr>
        <w:sym w:font="Symbol" w:char="F0B3"/>
      </w:r>
      <w:r>
        <w:rPr>
          <w:rFonts w:ascii="Times New Roman" w:hAnsi="Times New Roman"/>
          <w:spacing w:val="13"/>
          <w:sz w:val="20"/>
        </w:rPr>
        <w:t xml:space="preserve"> </w:t>
      </w:r>
      <w:r>
        <w:rPr>
          <w:rFonts w:ascii="Times New Roman" w:hAnsi="Times New Roman"/>
          <w:i/>
          <w:spacing w:val="-5"/>
          <w:sz w:val="20"/>
        </w:rPr>
        <w:t>DO</w:t>
      </w:r>
      <w:r>
        <w:rPr>
          <w:rFonts w:ascii="Times New Roman" w:hAnsi="Times New Roman"/>
          <w:i/>
          <w:spacing w:val="-5"/>
          <w:position w:val="-4"/>
          <w:sz w:val="12"/>
        </w:rPr>
        <w:t>s</w:t>
      </w:r>
    </w:p>
    <w:p>
      <w:pPr>
        <w:spacing w:before="0" w:line="240" w:lineRule="auto"/>
        <w:rPr>
          <w:rFonts w:ascii="Times New Roman"/>
          <w:i/>
          <w:sz w:val="22"/>
        </w:rPr>
      </w:pPr>
      <w:r>
        <w:br w:type="column"/>
      </w:r>
    </w:p>
    <w:p>
      <w:pPr>
        <w:pStyle w:val="BodyText"/>
        <w:spacing w:before="9"/>
        <w:rPr>
          <w:rFonts w:ascii="Times New Roman"/>
          <w:i/>
        </w:rPr>
      </w:pPr>
    </w:p>
    <w:p>
      <w:pPr>
        <w:pStyle w:val="BodyText"/>
        <w:ind w:left="640"/>
      </w:pPr>
      <w:r>
        <w:rPr>
          <w:spacing w:val="-5"/>
        </w:rPr>
        <w:t>（</w:t>
      </w:r>
      <w:r>
        <w:rPr>
          <w:rFonts w:ascii="Times New Roman" w:eastAsia="Times New Roman"/>
          <w:spacing w:val="-5"/>
        </w:rPr>
        <w:t>3</w:t>
      </w:r>
      <w:r>
        <w:rPr>
          <w:spacing w:val="-5"/>
        </w:rPr>
        <w:t>）</w:t>
      </w:r>
    </w:p>
    <w:p>
      <w:pPr>
        <w:spacing w:after="0"/>
        <w:sectPr>
          <w:footerReference w:type="even" r:id="rId54"/>
          <w:footerReference w:type="default" r:id="rId55"/>
          <w:type w:val="continuous"/>
          <w:pgSz w:w="11910" w:h="16840"/>
          <w:pgMar w:top="1480" w:right="1500" w:bottom="1180" w:left="1580" w:header="0" w:footer="990"/>
          <w:pgNumType w:start="625"/>
          <w:cols w:num="7" w:space="708" w:equalWidth="0">
            <w:col w:w="2506" w:space="189"/>
            <w:col w:w="1074" w:space="40"/>
            <w:col w:w="689" w:space="39"/>
            <w:col w:w="721" w:space="39"/>
            <w:col w:w="753" w:space="40"/>
            <w:col w:w="629" w:space="642"/>
            <w:col w:w="1469" w:space="0"/>
          </w:cols>
        </w:sectPr>
      </w:pPr>
    </w:p>
    <w:p>
      <w:pPr>
        <w:spacing w:before="205"/>
        <w:ind w:left="0" w:right="0" w:firstLine="0"/>
        <w:jc w:val="right"/>
        <w:rPr>
          <w:rFonts w:ascii="Times New Roman"/>
          <w:i/>
          <w:sz w:val="12"/>
        </w:rPr>
      </w:pPr>
      <w:r>
        <w:rPr>
          <w:rFonts w:ascii="Times New Roman"/>
          <w:i/>
          <w:position w:val="5"/>
          <w:sz w:val="20"/>
        </w:rPr>
        <w:t>S</w:t>
      </w:r>
      <w:r>
        <w:rPr>
          <w:rFonts w:ascii="Times New Roman"/>
          <w:i/>
          <w:spacing w:val="-4"/>
          <w:position w:val="5"/>
          <w:sz w:val="20"/>
        </w:rPr>
        <w:t xml:space="preserve"> </w:t>
      </w:r>
      <w:r>
        <w:rPr>
          <w:rFonts w:ascii="Times New Roman"/>
          <w:i/>
          <w:sz w:val="12"/>
        </w:rPr>
        <w:t>DO</w:t>
      </w:r>
      <w:r>
        <w:rPr>
          <w:rFonts w:ascii="Times New Roman"/>
          <w:i/>
          <w:spacing w:val="-7"/>
          <w:sz w:val="12"/>
        </w:rPr>
        <w:t xml:space="preserve"> </w:t>
      </w:r>
      <w:r>
        <w:rPr>
          <w:rFonts w:ascii="Times New Roman"/>
          <w:sz w:val="12"/>
        </w:rPr>
        <w:t>,</w:t>
      </w:r>
      <w:r>
        <w:rPr>
          <w:rFonts w:ascii="Times New Roman"/>
          <w:spacing w:val="-4"/>
          <w:sz w:val="12"/>
        </w:rPr>
        <w:t xml:space="preserve"> </w:t>
      </w:r>
      <w:r>
        <w:rPr>
          <w:rFonts w:ascii="Times New Roman"/>
          <w:i/>
          <w:spacing w:val="-10"/>
          <w:sz w:val="12"/>
        </w:rPr>
        <w:t>j</w:t>
      </w:r>
    </w:p>
    <w:p>
      <w:pPr>
        <w:spacing w:before="45" w:line="354" w:lineRule="exact"/>
        <w:ind w:left="72" w:right="0" w:firstLine="0"/>
        <w:jc w:val="left"/>
        <w:rPr>
          <w:rFonts w:ascii="Times New Roman" w:hAnsi="Times New Roman"/>
          <w:i/>
          <w:sz w:val="12"/>
        </w:rPr>
      </w:pPr>
      <w:r>
        <w:br w:type="column"/>
      </w:r>
      <w:r>
        <w:rPr>
          <w:rFonts w:ascii="Symbol" w:hAnsi="Symbol"/>
          <w:sz w:val="20"/>
        </w:rPr>
        <w:sym w:font="Symbol" w:char="F03D"/>
      </w:r>
      <w:r>
        <w:rPr>
          <w:rFonts w:ascii="Times New Roman" w:hAnsi="Times New Roman"/>
          <w:spacing w:val="-17"/>
          <w:sz w:val="20"/>
        </w:rPr>
        <w:t xml:space="preserve"> </w:t>
      </w:r>
      <w:r>
        <w:rPr>
          <w:rFonts w:ascii="Times New Roman" w:hAnsi="Times New Roman"/>
          <w:sz w:val="20"/>
        </w:rPr>
        <w:t>10</w:t>
      </w:r>
      <w:r>
        <w:rPr>
          <w:rFonts w:ascii="Times New Roman" w:hAnsi="Times New Roman"/>
          <w:spacing w:val="-10"/>
          <w:sz w:val="20"/>
        </w:rPr>
        <w:t xml:space="preserve"> </w:t>
      </w:r>
      <w:r>
        <w:rPr>
          <w:rFonts w:ascii="Symbol" w:hAnsi="Symbol"/>
          <w:sz w:val="20"/>
        </w:rPr>
        <w:sym w:font="Symbol" w:char="F02D"/>
      </w:r>
      <w:r>
        <w:rPr>
          <w:rFonts w:ascii="Times New Roman" w:hAnsi="Times New Roman"/>
          <w:spacing w:val="-15"/>
          <w:sz w:val="20"/>
        </w:rPr>
        <w:t xml:space="preserve"> </w:t>
      </w:r>
      <w:r>
        <w:rPr>
          <w:rFonts w:ascii="Times New Roman" w:hAnsi="Times New Roman"/>
          <w:sz w:val="20"/>
        </w:rPr>
        <w:t xml:space="preserve">9 </w:t>
      </w:r>
      <w:r>
        <w:rPr>
          <w:rFonts w:ascii="Times New Roman" w:hAnsi="Times New Roman"/>
          <w:i/>
          <w:position w:val="16"/>
          <w:sz w:val="20"/>
        </w:rPr>
        <w:t>DO</w:t>
      </w:r>
      <w:r>
        <w:rPr>
          <w:rFonts w:ascii="Times New Roman" w:hAnsi="Times New Roman"/>
          <w:i/>
          <w:spacing w:val="-14"/>
          <w:position w:val="16"/>
          <w:sz w:val="20"/>
        </w:rPr>
        <w:t xml:space="preserve"> </w:t>
      </w:r>
      <w:r>
        <w:rPr>
          <w:rFonts w:ascii="Times New Roman" w:hAnsi="Times New Roman"/>
          <w:i/>
          <w:spacing w:val="-10"/>
          <w:position w:val="11"/>
          <w:sz w:val="12"/>
        </w:rPr>
        <w:t>j</w:t>
      </w:r>
    </w:p>
    <w:p>
      <w:pPr>
        <w:spacing w:before="0" w:line="226" w:lineRule="exact"/>
        <w:ind w:left="0" w:right="0" w:firstLine="0"/>
        <w:jc w:val="right"/>
        <w:rPr>
          <w:rFonts w:ascii="Times New Roman"/>
          <w:i/>
          <w:sz w:val="12"/>
        </w:rPr>
      </w:pPr>
      <w:r>
        <w:pict>
          <v:line id="_x0000_s1118" style="mso-position-horizontal-relative:page;position:absolute;z-index:-251653120" from="303.3pt,-2.85pt" to="325.75pt,-2.85pt" stroked="t" strokecolor="black" strokeweight="0.5pt">
            <v:stroke dashstyle="solid"/>
          </v:line>
        </w:pict>
      </w:r>
      <w:r>
        <w:rPr>
          <w:rFonts w:ascii="Times New Roman"/>
          <w:i/>
          <w:spacing w:val="-5"/>
          <w:sz w:val="20"/>
        </w:rPr>
        <w:t>DO</w:t>
      </w:r>
      <w:r>
        <w:rPr>
          <w:rFonts w:ascii="Times New Roman"/>
          <w:i/>
          <w:spacing w:val="-5"/>
          <w:position w:val="-4"/>
          <w:sz w:val="12"/>
        </w:rPr>
        <w:t>s</w:t>
      </w:r>
    </w:p>
    <w:p>
      <w:pPr>
        <w:spacing w:before="205"/>
        <w:ind w:left="459" w:right="0" w:firstLine="0"/>
        <w:jc w:val="left"/>
        <w:rPr>
          <w:rFonts w:ascii="Times New Roman"/>
          <w:i/>
          <w:sz w:val="12"/>
        </w:rPr>
      </w:pPr>
      <w:r>
        <w:br w:type="column"/>
      </w:r>
      <w:r>
        <w:rPr>
          <w:rFonts w:ascii="Times New Roman"/>
          <w:i/>
          <w:sz w:val="20"/>
        </w:rPr>
        <w:t>DO</w:t>
      </w:r>
      <w:r>
        <w:rPr>
          <w:rFonts w:ascii="Times New Roman"/>
          <w:i/>
          <w:spacing w:val="-14"/>
          <w:sz w:val="20"/>
        </w:rPr>
        <w:t xml:space="preserve"> </w:t>
      </w:r>
      <w:r>
        <w:rPr>
          <w:rFonts w:ascii="Times New Roman"/>
          <w:i/>
          <w:spacing w:val="-10"/>
          <w:position w:val="-4"/>
          <w:sz w:val="12"/>
        </w:rPr>
        <w:t>j</w:t>
      </w:r>
    </w:p>
    <w:p>
      <w:pPr>
        <w:spacing w:before="190"/>
        <w:ind w:left="67" w:right="0" w:firstLine="0"/>
        <w:jc w:val="left"/>
        <w:rPr>
          <w:rFonts w:ascii="Times New Roman" w:hAnsi="Times New Roman"/>
          <w:i/>
          <w:sz w:val="12"/>
        </w:rPr>
      </w:pPr>
      <w:r>
        <w:br w:type="column"/>
      </w:r>
      <w:r>
        <w:rPr>
          <w:rFonts w:ascii="Symbol" w:hAnsi="Symbol"/>
          <w:sz w:val="20"/>
        </w:rPr>
        <w:sym w:font="Symbol" w:char="F03C"/>
      </w:r>
      <w:r>
        <w:rPr>
          <w:rFonts w:ascii="Times New Roman" w:hAnsi="Times New Roman"/>
          <w:spacing w:val="12"/>
          <w:sz w:val="20"/>
        </w:rPr>
        <w:t xml:space="preserve"> </w:t>
      </w:r>
      <w:r>
        <w:rPr>
          <w:rFonts w:ascii="Times New Roman" w:hAnsi="Times New Roman"/>
          <w:i/>
          <w:spacing w:val="-5"/>
          <w:sz w:val="20"/>
        </w:rPr>
        <w:t>DO</w:t>
      </w:r>
      <w:r>
        <w:rPr>
          <w:rFonts w:ascii="Times New Roman" w:hAnsi="Times New Roman"/>
          <w:i/>
          <w:spacing w:val="-5"/>
          <w:position w:val="-4"/>
          <w:sz w:val="12"/>
        </w:rPr>
        <w:t>s</w:t>
      </w:r>
    </w:p>
    <w:p>
      <w:pPr>
        <w:spacing w:before="181"/>
        <w:ind w:left="1608" w:right="0" w:firstLine="0"/>
        <w:jc w:val="left"/>
        <w:rPr>
          <w:sz w:val="21"/>
        </w:rPr>
      </w:pPr>
      <w:r>
        <w:br w:type="column"/>
      </w:r>
      <w:r>
        <w:rPr>
          <w:spacing w:val="-5"/>
          <w:sz w:val="21"/>
        </w:rPr>
        <w:t>（</w:t>
      </w:r>
      <w:r>
        <w:rPr>
          <w:rFonts w:ascii="Times New Roman" w:eastAsia="Times New Roman"/>
          <w:spacing w:val="-5"/>
          <w:sz w:val="21"/>
        </w:rPr>
        <w:t>4</w:t>
      </w:r>
      <w:r>
        <w:rPr>
          <w:spacing w:val="-5"/>
          <w:sz w:val="21"/>
        </w:rPr>
        <w:t>）</w:t>
      </w:r>
    </w:p>
    <w:p>
      <w:pPr>
        <w:spacing w:after="0"/>
        <w:jc w:val="left"/>
        <w:rPr>
          <w:sz w:val="21"/>
        </w:rPr>
        <w:sectPr>
          <w:footerReference w:type="even" r:id="rId56"/>
          <w:footerReference w:type="default" r:id="rId57"/>
          <w:type w:val="continuous"/>
          <w:pgSz w:w="11910" w:h="16840"/>
          <w:pgMar w:top="1480" w:right="1500" w:bottom="1180" w:left="1580" w:header="0" w:footer="990"/>
          <w:pgNumType w:start="626"/>
          <w:cols w:num="5" w:space="708" w:equalWidth="0">
            <w:col w:w="3715" w:space="40"/>
            <w:col w:w="1111" w:space="39"/>
            <w:col w:w="819" w:space="39"/>
            <w:col w:w="589" w:space="40"/>
            <w:col w:w="2438" w:space="0"/>
          </w:cols>
        </w:sectPr>
      </w:pPr>
    </w:p>
    <w:p>
      <w:pPr>
        <w:spacing w:before="211"/>
        <w:ind w:left="0" w:right="0" w:firstLine="0"/>
        <w:jc w:val="right"/>
        <w:rPr>
          <w:rFonts w:ascii="Times New Roman"/>
          <w:i/>
          <w:sz w:val="12"/>
        </w:rPr>
      </w:pPr>
      <w:r>
        <w:rPr>
          <w:rFonts w:ascii="Times New Roman"/>
          <w:i/>
          <w:spacing w:val="-5"/>
          <w:sz w:val="20"/>
        </w:rPr>
        <w:t>DO</w:t>
      </w:r>
      <w:r>
        <w:rPr>
          <w:rFonts w:ascii="Times New Roman"/>
          <w:i/>
          <w:spacing w:val="-5"/>
          <w:position w:val="-4"/>
          <w:sz w:val="12"/>
        </w:rPr>
        <w:t>f</w:t>
      </w:r>
    </w:p>
    <w:p>
      <w:pPr>
        <w:spacing w:before="196"/>
        <w:ind w:left="89" w:right="0" w:firstLine="0"/>
        <w:jc w:val="left"/>
        <w:rPr>
          <w:rFonts w:ascii="Times New Roman" w:hAnsi="Times New Roman"/>
          <w:sz w:val="20"/>
        </w:rPr>
      </w:pPr>
      <w:r>
        <w:br w:type="column"/>
      </w:r>
      <w:r>
        <w:rPr>
          <w:rFonts w:ascii="Symbol" w:hAnsi="Symbol"/>
          <w:sz w:val="20"/>
        </w:rPr>
        <w:sym w:font="Symbol" w:char="F03D"/>
      </w:r>
      <w:r>
        <w:rPr>
          <w:rFonts w:ascii="Times New Roman" w:hAnsi="Times New Roman"/>
          <w:spacing w:val="3"/>
          <w:sz w:val="20"/>
        </w:rPr>
        <w:t xml:space="preserve"> </w:t>
      </w:r>
      <w:r>
        <w:rPr>
          <w:rFonts w:ascii="Times New Roman" w:hAnsi="Times New Roman"/>
          <w:sz w:val="20"/>
        </w:rPr>
        <w:t>468/(31.6</w:t>
      </w:r>
      <w:r>
        <w:rPr>
          <w:rFonts w:ascii="Times New Roman" w:hAnsi="Times New Roman"/>
          <w:spacing w:val="-12"/>
          <w:sz w:val="20"/>
        </w:rPr>
        <w:t xml:space="preserve"> </w:t>
      </w:r>
      <w:r>
        <w:rPr>
          <w:rFonts w:ascii="Symbol" w:hAnsi="Symbol"/>
          <w:sz w:val="20"/>
        </w:rPr>
        <w:sym w:font="Symbol" w:char="F02B"/>
      </w:r>
      <w:r>
        <w:rPr>
          <w:rFonts w:ascii="Times New Roman" w:hAnsi="Times New Roman"/>
          <w:spacing w:val="-22"/>
          <w:sz w:val="20"/>
        </w:rPr>
        <w:t xml:space="preserve"> </w:t>
      </w:r>
      <w:r>
        <w:rPr>
          <w:rFonts w:ascii="Times New Roman" w:hAnsi="Times New Roman"/>
          <w:i/>
          <w:sz w:val="20"/>
        </w:rPr>
        <w:t>T</w:t>
      </w:r>
      <w:r>
        <w:rPr>
          <w:rFonts w:ascii="Times New Roman" w:hAnsi="Times New Roman"/>
          <w:i/>
          <w:spacing w:val="23"/>
          <w:sz w:val="20"/>
        </w:rPr>
        <w:t xml:space="preserve"> </w:t>
      </w:r>
      <w:r>
        <w:rPr>
          <w:rFonts w:ascii="Times New Roman" w:hAnsi="Times New Roman"/>
          <w:spacing w:val="-12"/>
          <w:sz w:val="20"/>
        </w:rPr>
        <w:t>)</w:t>
      </w:r>
    </w:p>
    <w:p>
      <w:pPr>
        <w:spacing w:before="188"/>
        <w:ind w:left="0" w:right="299" w:firstLine="0"/>
        <w:jc w:val="right"/>
        <w:rPr>
          <w:sz w:val="21"/>
        </w:rPr>
      </w:pPr>
      <w:r>
        <w:br w:type="column"/>
      </w:r>
      <w:r>
        <w:rPr>
          <w:spacing w:val="-5"/>
          <w:sz w:val="21"/>
        </w:rPr>
        <w:t>（</w:t>
      </w:r>
      <w:r>
        <w:rPr>
          <w:rFonts w:ascii="Times New Roman" w:eastAsia="Times New Roman"/>
          <w:spacing w:val="-5"/>
          <w:sz w:val="21"/>
        </w:rPr>
        <w:t>5</w:t>
      </w:r>
      <w:r>
        <w:rPr>
          <w:spacing w:val="-5"/>
          <w:sz w:val="21"/>
        </w:rPr>
        <w:t>）</w:t>
      </w:r>
    </w:p>
    <w:p>
      <w:pPr>
        <w:spacing w:after="0"/>
        <w:jc w:val="right"/>
        <w:rPr>
          <w:sz w:val="21"/>
        </w:rPr>
        <w:sectPr>
          <w:footerReference w:type="even" r:id="rId58"/>
          <w:footerReference w:type="default" r:id="rId59"/>
          <w:type w:val="continuous"/>
          <w:pgSz w:w="11910" w:h="16840"/>
          <w:pgMar w:top="1480" w:right="1500" w:bottom="1180" w:left="1580" w:header="0" w:footer="990"/>
          <w:pgNumType w:start="627"/>
          <w:cols w:num="3" w:space="708" w:equalWidth="0">
            <w:col w:w="4364" w:space="40"/>
            <w:col w:w="1455" w:space="39"/>
            <w:col w:w="2932" w:space="0"/>
          </w:cols>
        </w:sectPr>
      </w:pPr>
    </w:p>
    <w:p>
      <w:pPr>
        <w:pStyle w:val="BodyText"/>
        <w:spacing w:before="7"/>
        <w:rPr>
          <w:sz w:val="11"/>
        </w:rPr>
      </w:pPr>
    </w:p>
    <w:p>
      <w:pPr>
        <w:spacing w:after="0"/>
        <w:rPr>
          <w:sz w:val="11"/>
        </w:rPr>
        <w:sectPr>
          <w:footerReference w:type="even" r:id="rId60"/>
          <w:footerReference w:type="default" r:id="rId61"/>
          <w:type w:val="continuous"/>
          <w:pgSz w:w="11910" w:h="16840"/>
          <w:pgMar w:top="1480" w:right="1500" w:bottom="1180" w:left="1580" w:header="0" w:footer="990"/>
          <w:pgNumType w:start="628"/>
          <w:cols w:space="708"/>
        </w:sectPr>
      </w:pPr>
    </w:p>
    <w:p>
      <w:pPr>
        <w:pStyle w:val="BodyText"/>
        <w:spacing w:before="77"/>
        <w:ind w:left="220"/>
      </w:pPr>
      <w:r>
        <w:rPr>
          <w:rFonts w:ascii="Times New Roman" w:eastAsia="Times New Roman"/>
        </w:rPr>
        <w:t xml:space="preserve">pH </w:t>
      </w:r>
      <w:r>
        <w:rPr>
          <w:spacing w:val="-2"/>
        </w:rPr>
        <w:t>的标准指数为：</w:t>
      </w:r>
    </w:p>
    <w:p>
      <w:pPr>
        <w:spacing w:before="0" w:line="240" w:lineRule="auto"/>
        <w:rPr>
          <w:sz w:val="24"/>
        </w:rPr>
      </w:pPr>
      <w:r>
        <w:br w:type="column"/>
      </w:r>
    </w:p>
    <w:p>
      <w:pPr>
        <w:pStyle w:val="BodyText"/>
        <w:spacing w:before="1"/>
        <w:rPr>
          <w:sz w:val="17"/>
        </w:rPr>
      </w:pPr>
    </w:p>
    <w:p>
      <w:pPr>
        <w:spacing w:before="0"/>
        <w:ind w:left="220" w:right="0" w:firstLine="0"/>
        <w:jc w:val="left"/>
        <w:rPr>
          <w:rFonts w:ascii="Times New Roman"/>
          <w:i/>
          <w:sz w:val="12"/>
        </w:rPr>
      </w:pPr>
      <w:r>
        <w:rPr>
          <w:rFonts w:ascii="Times New Roman"/>
          <w:i/>
          <w:position w:val="5"/>
          <w:sz w:val="20"/>
        </w:rPr>
        <w:t>S</w:t>
      </w:r>
      <w:r>
        <w:rPr>
          <w:rFonts w:ascii="Times New Roman"/>
          <w:i/>
          <w:spacing w:val="11"/>
          <w:position w:val="5"/>
          <w:sz w:val="20"/>
        </w:rPr>
        <w:t xml:space="preserve"> </w:t>
      </w:r>
      <w:r>
        <w:rPr>
          <w:rFonts w:ascii="Times New Roman"/>
          <w:i/>
          <w:sz w:val="12"/>
        </w:rPr>
        <w:t>pH</w:t>
      </w:r>
      <w:r>
        <w:rPr>
          <w:rFonts w:ascii="Times New Roman"/>
          <w:i/>
          <w:spacing w:val="13"/>
          <w:sz w:val="12"/>
        </w:rPr>
        <w:t xml:space="preserve"> </w:t>
      </w:r>
      <w:r>
        <w:rPr>
          <w:rFonts w:ascii="Times New Roman"/>
          <w:sz w:val="12"/>
        </w:rPr>
        <w:t>,</w:t>
      </w:r>
      <w:r>
        <w:rPr>
          <w:rFonts w:ascii="Times New Roman"/>
          <w:spacing w:val="-4"/>
          <w:sz w:val="12"/>
        </w:rPr>
        <w:t xml:space="preserve"> </w:t>
      </w:r>
      <w:r>
        <w:rPr>
          <w:rFonts w:ascii="Times New Roman"/>
          <w:i/>
          <w:spacing w:val="-10"/>
          <w:sz w:val="12"/>
        </w:rPr>
        <w:t>j</w:t>
      </w:r>
    </w:p>
    <w:p>
      <w:pPr>
        <w:spacing w:before="358" w:line="189" w:lineRule="auto"/>
        <w:ind w:left="72" w:right="0" w:firstLine="0"/>
        <w:jc w:val="left"/>
        <w:rPr>
          <w:rFonts w:ascii="Times New Roman" w:hAnsi="Times New Roman"/>
          <w:i/>
          <w:sz w:val="12"/>
        </w:rPr>
      </w:pPr>
      <w:r>
        <w:br w:type="column"/>
      </w:r>
      <w:r>
        <w:rPr>
          <w:rFonts w:ascii="Symbol" w:hAnsi="Symbol"/>
          <w:position w:val="-15"/>
          <w:sz w:val="20"/>
        </w:rPr>
        <w:sym w:font="Symbol" w:char="F03D"/>
      </w:r>
      <w:r>
        <w:rPr>
          <w:rFonts w:ascii="Times New Roman" w:hAnsi="Times New Roman"/>
          <w:spacing w:val="52"/>
          <w:position w:val="-15"/>
          <w:sz w:val="20"/>
        </w:rPr>
        <w:t xml:space="preserve"> </w:t>
      </w:r>
      <w:r>
        <w:rPr>
          <w:rFonts w:ascii="Times New Roman" w:hAnsi="Times New Roman"/>
          <w:sz w:val="20"/>
        </w:rPr>
        <w:t>7.0</w:t>
      </w:r>
      <w:r>
        <w:rPr>
          <w:rFonts w:ascii="Times New Roman" w:hAnsi="Times New Roman"/>
          <w:spacing w:val="-11"/>
          <w:sz w:val="20"/>
        </w:rPr>
        <w:t xml:space="preserve"> </w:t>
      </w:r>
      <w:r>
        <w:rPr>
          <w:rFonts w:ascii="Symbol" w:hAnsi="Symbol"/>
          <w:sz w:val="20"/>
        </w:rPr>
        <w:sym w:font="Symbol" w:char="F02D"/>
      </w:r>
      <w:r>
        <w:rPr>
          <w:rFonts w:ascii="Times New Roman" w:hAnsi="Times New Roman"/>
          <w:spacing w:val="20"/>
          <w:sz w:val="20"/>
        </w:rPr>
        <w:t xml:space="preserve"> </w:t>
      </w:r>
      <w:r>
        <w:rPr>
          <w:rFonts w:ascii="Times New Roman" w:hAnsi="Times New Roman"/>
          <w:i/>
          <w:sz w:val="20"/>
        </w:rPr>
        <w:t>pH</w:t>
      </w:r>
      <w:r>
        <w:rPr>
          <w:rFonts w:ascii="Times New Roman" w:hAnsi="Times New Roman"/>
          <w:i/>
          <w:spacing w:val="20"/>
          <w:sz w:val="20"/>
        </w:rPr>
        <w:t xml:space="preserve"> </w:t>
      </w:r>
      <w:r>
        <w:rPr>
          <w:rFonts w:ascii="Times New Roman" w:hAnsi="Times New Roman"/>
          <w:i/>
          <w:spacing w:val="-12"/>
          <w:position w:val="-4"/>
          <w:sz w:val="12"/>
        </w:rPr>
        <w:t>j</w:t>
      </w:r>
    </w:p>
    <w:p>
      <w:pPr>
        <w:spacing w:before="0" w:line="234" w:lineRule="exact"/>
        <w:ind w:left="254" w:right="0" w:firstLine="0"/>
        <w:jc w:val="left"/>
        <w:rPr>
          <w:rFonts w:ascii="Times New Roman" w:hAnsi="Times New Roman"/>
          <w:i/>
          <w:sz w:val="12"/>
        </w:rPr>
      </w:pPr>
      <w:r>
        <w:pict>
          <v:line id="_x0000_s1119" style="mso-position-horizontal-relative:page;position:absolute;z-index:-251652096" from="278.9pt,-2.45pt" to="327.05pt,-2.45pt" stroked="t" strokecolor="black" strokeweight="0.5pt">
            <v:stroke dashstyle="solid"/>
          </v:line>
        </w:pict>
      </w:r>
      <w:r>
        <w:rPr>
          <w:rFonts w:ascii="Times New Roman" w:hAnsi="Times New Roman"/>
          <w:sz w:val="20"/>
        </w:rPr>
        <w:t>7.0</w:t>
      </w:r>
      <w:r>
        <w:rPr>
          <w:rFonts w:ascii="Times New Roman" w:hAnsi="Times New Roman"/>
          <w:spacing w:val="-11"/>
          <w:sz w:val="20"/>
        </w:rPr>
        <w:t xml:space="preserve"> </w:t>
      </w:r>
      <w:r>
        <w:rPr>
          <w:rFonts w:ascii="Symbol" w:hAnsi="Symbol"/>
          <w:sz w:val="20"/>
        </w:rPr>
        <w:sym w:font="Symbol" w:char="F02D"/>
      </w:r>
      <w:r>
        <w:rPr>
          <w:rFonts w:ascii="Times New Roman" w:hAnsi="Times New Roman"/>
          <w:spacing w:val="20"/>
          <w:sz w:val="20"/>
        </w:rPr>
        <w:t xml:space="preserve"> </w:t>
      </w:r>
      <w:r>
        <w:rPr>
          <w:rFonts w:ascii="Times New Roman" w:hAnsi="Times New Roman"/>
          <w:i/>
          <w:sz w:val="20"/>
        </w:rPr>
        <w:t>pH</w:t>
      </w:r>
      <w:r>
        <w:rPr>
          <w:rFonts w:ascii="Times New Roman" w:hAnsi="Times New Roman"/>
          <w:i/>
          <w:spacing w:val="-2"/>
          <w:sz w:val="20"/>
        </w:rPr>
        <w:t xml:space="preserve"> </w:t>
      </w:r>
      <w:r>
        <w:rPr>
          <w:rFonts w:ascii="Times New Roman" w:hAnsi="Times New Roman"/>
          <w:i/>
          <w:spacing w:val="-5"/>
          <w:position w:val="-4"/>
          <w:sz w:val="12"/>
        </w:rPr>
        <w:t>sd</w:t>
      </w:r>
    </w:p>
    <w:p>
      <w:pPr>
        <w:spacing w:before="28" w:line="163" w:lineRule="exact"/>
        <w:ind w:left="327" w:right="0" w:firstLine="0"/>
        <w:jc w:val="left"/>
        <w:rPr>
          <w:rFonts w:ascii="Times New Roman" w:hAnsi="Times New Roman"/>
          <w:sz w:val="20"/>
        </w:rPr>
      </w:pPr>
      <w:r>
        <w:rPr>
          <w:rFonts w:ascii="Times New Roman" w:hAnsi="Times New Roman"/>
          <w:i/>
          <w:sz w:val="20"/>
        </w:rPr>
        <w:t>pH</w:t>
      </w:r>
      <w:r>
        <w:rPr>
          <w:rFonts w:ascii="Times New Roman" w:hAnsi="Times New Roman"/>
          <w:i/>
          <w:spacing w:val="20"/>
          <w:sz w:val="20"/>
        </w:rPr>
        <w:t xml:space="preserve"> </w:t>
      </w:r>
      <w:r>
        <w:rPr>
          <w:rFonts w:ascii="Times New Roman" w:hAnsi="Times New Roman"/>
          <w:i/>
          <w:position w:val="-4"/>
          <w:sz w:val="12"/>
        </w:rPr>
        <w:t>j</w:t>
      </w:r>
      <w:r>
        <w:rPr>
          <w:rFonts w:ascii="Times New Roman" w:hAnsi="Times New Roman"/>
          <w:i/>
          <w:spacing w:val="69"/>
          <w:position w:val="-4"/>
          <w:sz w:val="12"/>
        </w:rPr>
        <w:t xml:space="preserve"> </w:t>
      </w:r>
      <w:r>
        <w:rPr>
          <w:rFonts w:ascii="Symbol" w:hAnsi="Symbol"/>
          <w:sz w:val="20"/>
        </w:rPr>
        <w:sym w:font="Symbol" w:char="F02D"/>
      </w:r>
      <w:r>
        <w:rPr>
          <w:rFonts w:ascii="Times New Roman" w:hAnsi="Times New Roman"/>
          <w:spacing w:val="-12"/>
          <w:sz w:val="20"/>
        </w:rPr>
        <w:t xml:space="preserve"> </w:t>
      </w:r>
      <w:r>
        <w:rPr>
          <w:rFonts w:ascii="Times New Roman" w:hAnsi="Times New Roman"/>
          <w:spacing w:val="-5"/>
          <w:sz w:val="20"/>
        </w:rPr>
        <w:t>7.0</w:t>
      </w:r>
    </w:p>
    <w:p>
      <w:pPr>
        <w:spacing w:before="0" w:line="240" w:lineRule="auto"/>
        <w:rPr>
          <w:rFonts w:ascii="Times New Roman"/>
          <w:sz w:val="24"/>
        </w:rPr>
      </w:pPr>
      <w:r>
        <w:br w:type="column"/>
      </w:r>
    </w:p>
    <w:p>
      <w:pPr>
        <w:pStyle w:val="BodyText"/>
        <w:spacing w:before="9"/>
        <w:rPr>
          <w:rFonts w:ascii="Times New Roman"/>
        </w:rPr>
      </w:pPr>
    </w:p>
    <w:p>
      <w:pPr>
        <w:spacing w:before="0"/>
        <w:ind w:left="220" w:right="0" w:firstLine="0"/>
        <w:jc w:val="left"/>
        <w:rPr>
          <w:rFonts w:ascii="Times New Roman"/>
          <w:i/>
          <w:sz w:val="12"/>
        </w:rPr>
      </w:pPr>
      <w:r>
        <w:rPr>
          <w:rFonts w:ascii="Times New Roman"/>
          <w:i/>
          <w:sz w:val="20"/>
        </w:rPr>
        <w:t>pH</w:t>
      </w:r>
      <w:r>
        <w:rPr>
          <w:rFonts w:ascii="Times New Roman"/>
          <w:i/>
          <w:spacing w:val="20"/>
          <w:sz w:val="20"/>
        </w:rPr>
        <w:t xml:space="preserve"> </w:t>
      </w:r>
      <w:r>
        <w:rPr>
          <w:rFonts w:ascii="Times New Roman"/>
          <w:i/>
          <w:spacing w:val="-10"/>
          <w:position w:val="-4"/>
          <w:sz w:val="12"/>
        </w:rPr>
        <w:t>j</w:t>
      </w:r>
    </w:p>
    <w:p>
      <w:pPr>
        <w:spacing w:before="0" w:line="240" w:lineRule="auto"/>
        <w:rPr>
          <w:rFonts w:ascii="Times New Roman"/>
          <w:i/>
          <w:sz w:val="24"/>
        </w:rPr>
      </w:pPr>
      <w:r>
        <w:br w:type="column"/>
      </w:r>
    </w:p>
    <w:p>
      <w:pPr>
        <w:pStyle w:val="BodyText"/>
        <w:spacing w:before="6"/>
        <w:rPr>
          <w:rFonts w:ascii="Times New Roman"/>
          <w:i/>
          <w:sz w:val="20"/>
        </w:rPr>
      </w:pPr>
    </w:p>
    <w:p>
      <w:pPr>
        <w:spacing w:before="0"/>
        <w:ind w:left="67" w:right="0" w:firstLine="0"/>
        <w:jc w:val="left"/>
        <w:rPr>
          <w:rFonts w:ascii="Times New Roman" w:hAnsi="Times New Roman"/>
          <w:sz w:val="20"/>
        </w:rPr>
      </w:pPr>
      <w:r>
        <w:rPr>
          <w:rFonts w:ascii="Symbol" w:hAnsi="Symbol"/>
          <w:sz w:val="20"/>
        </w:rPr>
        <w:sym w:font="Symbol" w:char="F0A3"/>
      </w:r>
      <w:r>
        <w:rPr>
          <w:rFonts w:ascii="Times New Roman" w:hAnsi="Times New Roman"/>
          <w:spacing w:val="2"/>
          <w:sz w:val="20"/>
        </w:rPr>
        <w:t xml:space="preserve"> </w:t>
      </w:r>
      <w:r>
        <w:rPr>
          <w:rFonts w:ascii="Times New Roman" w:hAnsi="Times New Roman"/>
          <w:spacing w:val="-5"/>
          <w:sz w:val="20"/>
        </w:rPr>
        <w:t>7.0</w:t>
      </w:r>
    </w:p>
    <w:p>
      <w:pPr>
        <w:spacing w:before="0" w:line="240" w:lineRule="auto"/>
        <w:rPr>
          <w:rFonts w:ascii="Times New Roman"/>
          <w:sz w:val="22"/>
        </w:rPr>
      </w:pPr>
      <w:r>
        <w:br w:type="column"/>
      </w:r>
    </w:p>
    <w:p>
      <w:pPr>
        <w:pStyle w:val="BodyText"/>
        <w:spacing w:before="9"/>
        <w:rPr>
          <w:rFonts w:ascii="Times New Roman"/>
        </w:rPr>
      </w:pPr>
    </w:p>
    <w:p>
      <w:pPr>
        <w:pStyle w:val="BodyText"/>
        <w:ind w:left="220"/>
      </w:pPr>
      <w:r>
        <w:rPr>
          <w:spacing w:val="-5"/>
        </w:rPr>
        <w:t>（</w:t>
      </w:r>
      <w:r>
        <w:rPr>
          <w:rFonts w:ascii="Times New Roman" w:eastAsia="Times New Roman"/>
          <w:spacing w:val="-5"/>
        </w:rPr>
        <w:t>6</w:t>
      </w:r>
      <w:r>
        <w:rPr>
          <w:spacing w:val="-5"/>
        </w:rPr>
        <w:t>）</w:t>
      </w:r>
    </w:p>
    <w:p>
      <w:pPr>
        <w:spacing w:after="0"/>
        <w:sectPr>
          <w:footerReference w:type="even" r:id="rId62"/>
          <w:footerReference w:type="default" r:id="rId63"/>
          <w:type w:val="continuous"/>
          <w:pgSz w:w="11910" w:h="16840"/>
          <w:pgMar w:top="1480" w:right="1500" w:bottom="1180" w:left="1580" w:header="0" w:footer="990"/>
          <w:pgNumType w:start="629"/>
          <w:cols w:num="6" w:space="708" w:equalWidth="0">
            <w:col w:w="2040" w:space="1016"/>
            <w:col w:w="663" w:space="39"/>
            <w:col w:w="1214" w:space="225"/>
            <w:col w:w="569" w:space="39"/>
            <w:col w:w="520" w:space="1456"/>
            <w:col w:w="1049" w:space="0"/>
          </w:cols>
        </w:sectPr>
      </w:pPr>
    </w:p>
    <w:p>
      <w:pPr>
        <w:spacing w:before="14"/>
        <w:ind w:left="0" w:right="0" w:firstLine="0"/>
        <w:jc w:val="right"/>
        <w:rPr>
          <w:rFonts w:ascii="Times New Roman"/>
          <w:i/>
          <w:sz w:val="12"/>
        </w:rPr>
      </w:pPr>
      <w:r>
        <w:rPr>
          <w:rFonts w:ascii="Times New Roman"/>
          <w:i/>
          <w:position w:val="5"/>
          <w:sz w:val="20"/>
        </w:rPr>
        <w:t>S</w:t>
      </w:r>
      <w:r>
        <w:rPr>
          <w:rFonts w:ascii="Times New Roman"/>
          <w:i/>
          <w:spacing w:val="11"/>
          <w:position w:val="5"/>
          <w:sz w:val="20"/>
        </w:rPr>
        <w:t xml:space="preserve"> </w:t>
      </w:r>
      <w:r>
        <w:rPr>
          <w:rFonts w:ascii="Times New Roman"/>
          <w:i/>
          <w:sz w:val="12"/>
        </w:rPr>
        <w:t>pH</w:t>
      </w:r>
      <w:r>
        <w:rPr>
          <w:rFonts w:ascii="Times New Roman"/>
          <w:i/>
          <w:spacing w:val="13"/>
          <w:sz w:val="12"/>
        </w:rPr>
        <w:t xml:space="preserve"> </w:t>
      </w:r>
      <w:r>
        <w:rPr>
          <w:rFonts w:ascii="Times New Roman"/>
          <w:sz w:val="12"/>
        </w:rPr>
        <w:t>,</w:t>
      </w:r>
      <w:r>
        <w:rPr>
          <w:rFonts w:ascii="Times New Roman"/>
          <w:spacing w:val="-4"/>
          <w:sz w:val="12"/>
        </w:rPr>
        <w:t xml:space="preserve"> </w:t>
      </w:r>
      <w:r>
        <w:rPr>
          <w:rFonts w:ascii="Times New Roman"/>
          <w:i/>
          <w:spacing w:val="-10"/>
          <w:sz w:val="12"/>
        </w:rPr>
        <w:t>j</w:t>
      </w:r>
    </w:p>
    <w:p>
      <w:pPr>
        <w:spacing w:before="0" w:line="208" w:lineRule="exact"/>
        <w:ind w:left="72" w:right="0" w:firstLine="0"/>
        <w:jc w:val="left"/>
        <w:rPr>
          <w:rFonts w:ascii="Symbol" w:hAnsi="Symbol"/>
          <w:sz w:val="20"/>
        </w:rPr>
      </w:pPr>
      <w:r>
        <w:br w:type="column"/>
      </w:r>
      <w:r>
        <w:rPr>
          <w:rFonts w:ascii="Symbol" w:hAnsi="Symbol"/>
          <w:spacing w:val="-10"/>
          <w:sz w:val="20"/>
        </w:rPr>
        <w:sym w:font="Symbol" w:char="F03D"/>
      </w:r>
    </w:p>
    <w:p>
      <w:pPr>
        <w:spacing w:before="0" w:line="226" w:lineRule="exact"/>
        <w:ind w:left="286" w:right="0" w:firstLine="0"/>
        <w:jc w:val="left"/>
        <w:rPr>
          <w:rFonts w:ascii="Times New Roman"/>
          <w:i/>
          <w:sz w:val="12"/>
        </w:rPr>
      </w:pPr>
      <w:r>
        <w:pict>
          <v:line id="_x0000_s1120" style="mso-position-horizontal-relative:page;position:absolute;z-index:251665408" from="279.9pt,-2.85pt" to="327.1pt,-2.85pt" stroked="t" strokecolor="black" strokeweight="0.5pt">
            <v:stroke dashstyle="solid"/>
          </v:line>
        </w:pict>
      </w:r>
      <w:r>
        <w:rPr>
          <w:rFonts w:ascii="Times New Roman"/>
          <w:i/>
          <w:sz w:val="20"/>
        </w:rPr>
        <w:t>pH</w:t>
      </w:r>
      <w:r>
        <w:rPr>
          <w:rFonts w:ascii="Times New Roman"/>
          <w:i/>
          <w:spacing w:val="-2"/>
          <w:sz w:val="20"/>
        </w:rPr>
        <w:t xml:space="preserve"> </w:t>
      </w:r>
      <w:r>
        <w:rPr>
          <w:rFonts w:ascii="Times New Roman"/>
          <w:i/>
          <w:spacing w:val="-5"/>
          <w:position w:val="-4"/>
          <w:sz w:val="12"/>
        </w:rPr>
        <w:t>su</w:t>
      </w:r>
    </w:p>
    <w:p>
      <w:pPr>
        <w:pStyle w:val="ListParagraph"/>
        <w:numPr>
          <w:ilvl w:val="0"/>
          <w:numId w:val="41"/>
        </w:numPr>
        <w:tabs>
          <w:tab w:val="left" w:pos="200"/>
        </w:tabs>
        <w:spacing w:before="157" w:after="0" w:line="240" w:lineRule="auto"/>
        <w:ind w:left="199" w:right="0" w:hanging="150"/>
        <w:jc w:val="left"/>
        <w:rPr>
          <w:rFonts w:ascii="Times New Roman" w:hAnsi="Times New Roman"/>
          <w:sz w:val="20"/>
        </w:rPr>
      </w:pPr>
      <w:r>
        <w:br w:type="column"/>
      </w:r>
      <w:r>
        <w:rPr>
          <w:rFonts w:ascii="Times New Roman" w:hAnsi="Times New Roman"/>
          <w:spacing w:val="-5"/>
          <w:sz w:val="20"/>
        </w:rPr>
        <w:t>7.0</w:t>
      </w:r>
    </w:p>
    <w:p>
      <w:pPr>
        <w:spacing w:before="14"/>
        <w:ind w:left="425" w:right="0" w:firstLine="0"/>
        <w:jc w:val="left"/>
        <w:rPr>
          <w:rFonts w:ascii="Times New Roman"/>
          <w:i/>
          <w:sz w:val="12"/>
        </w:rPr>
      </w:pPr>
      <w:r>
        <w:br w:type="column"/>
      </w:r>
      <w:r>
        <w:rPr>
          <w:rFonts w:ascii="Times New Roman"/>
          <w:i/>
          <w:sz w:val="20"/>
        </w:rPr>
        <w:t>pH</w:t>
      </w:r>
      <w:r>
        <w:rPr>
          <w:rFonts w:ascii="Times New Roman"/>
          <w:i/>
          <w:spacing w:val="20"/>
          <w:sz w:val="20"/>
        </w:rPr>
        <w:t xml:space="preserve"> </w:t>
      </w:r>
      <w:r>
        <w:rPr>
          <w:rFonts w:ascii="Times New Roman"/>
          <w:i/>
          <w:spacing w:val="-10"/>
          <w:position w:val="-4"/>
          <w:sz w:val="12"/>
        </w:rPr>
        <w:t>j</w:t>
      </w:r>
    </w:p>
    <w:p>
      <w:pPr>
        <w:pStyle w:val="ListParagraph"/>
        <w:numPr>
          <w:ilvl w:val="0"/>
          <w:numId w:val="34"/>
        </w:numPr>
        <w:tabs>
          <w:tab w:val="left" w:pos="233"/>
        </w:tabs>
        <w:spacing w:before="0" w:after="0" w:line="240" w:lineRule="auto"/>
        <w:ind w:left="232" w:right="0" w:hanging="162"/>
        <w:jc w:val="left"/>
        <w:rPr>
          <w:rFonts w:ascii="Times New Roman" w:hAnsi="Times New Roman"/>
          <w:sz w:val="20"/>
        </w:rPr>
      </w:pPr>
      <w:r>
        <w:br w:type="column"/>
      </w:r>
      <w:r>
        <w:rPr>
          <w:rFonts w:ascii="Times New Roman" w:hAnsi="Times New Roman"/>
          <w:spacing w:val="-5"/>
          <w:sz w:val="20"/>
        </w:rPr>
        <w:t>7.0</w:t>
      </w:r>
    </w:p>
    <w:p>
      <w:pPr>
        <w:spacing w:before="0" w:line="260" w:lineRule="exact"/>
        <w:ind w:left="0" w:right="299" w:firstLine="0"/>
        <w:jc w:val="right"/>
        <w:rPr>
          <w:sz w:val="21"/>
        </w:rPr>
      </w:pPr>
      <w:r>
        <w:br w:type="column"/>
      </w:r>
      <w:r>
        <w:rPr>
          <w:spacing w:val="-5"/>
          <w:sz w:val="21"/>
        </w:rPr>
        <w:t>（</w:t>
      </w:r>
      <w:r>
        <w:rPr>
          <w:rFonts w:ascii="Times New Roman" w:eastAsia="Times New Roman"/>
          <w:spacing w:val="-5"/>
          <w:sz w:val="21"/>
        </w:rPr>
        <w:t>7</w:t>
      </w:r>
      <w:r>
        <w:rPr>
          <w:spacing w:val="-5"/>
          <w:sz w:val="21"/>
        </w:rPr>
        <w:t>）</w:t>
      </w:r>
    </w:p>
    <w:p>
      <w:pPr>
        <w:spacing w:after="0" w:line="260" w:lineRule="exact"/>
        <w:jc w:val="right"/>
        <w:rPr>
          <w:sz w:val="21"/>
        </w:rPr>
        <w:sectPr>
          <w:footerReference w:type="even" r:id="rId64"/>
          <w:footerReference w:type="default" r:id="rId65"/>
          <w:type w:val="continuous"/>
          <w:pgSz w:w="11910" w:h="16840"/>
          <w:pgMar w:top="1480" w:right="1500" w:bottom="1180" w:left="1580" w:header="0" w:footer="990"/>
          <w:pgNumType w:start="630"/>
          <w:cols w:num="6" w:space="708" w:equalWidth="0">
            <w:col w:w="3738" w:space="40"/>
            <w:col w:w="686" w:space="39"/>
            <w:col w:w="450" w:space="39"/>
            <w:col w:w="774" w:space="40"/>
            <w:col w:w="483" w:space="40"/>
            <w:col w:w="2501" w:space="0"/>
          </w:cols>
        </w:sectPr>
      </w:pPr>
    </w:p>
    <w:p>
      <w:pPr>
        <w:pStyle w:val="BodyText"/>
        <w:spacing w:before="75" w:line="285" w:lineRule="auto"/>
        <w:ind w:left="220" w:right="298" w:firstLine="420"/>
      </w:pPr>
      <w:r>
        <w:rPr>
          <w:spacing w:val="-2"/>
        </w:rPr>
        <w:t>水质参数的标准指数</w:t>
      </w:r>
      <w:r>
        <w:rPr>
          <w:rFonts w:ascii="Times New Roman" w:eastAsia="Times New Roman"/>
          <w:spacing w:val="-2"/>
        </w:rPr>
        <w:t>&gt;1</w:t>
      </w:r>
      <w:r>
        <w:rPr>
          <w:spacing w:val="-2"/>
        </w:rPr>
        <w:t>，表明该水质参数超过了规定的水质标准，已经不能满足使用</w:t>
      </w:r>
      <w:r>
        <w:rPr>
          <w:spacing w:val="-4"/>
        </w:rPr>
        <w:t>要求。</w:t>
      </w:r>
    </w:p>
    <w:p>
      <w:pPr>
        <w:pStyle w:val="ListParagraph"/>
        <w:numPr>
          <w:ilvl w:val="3"/>
          <w:numId w:val="36"/>
        </w:numPr>
        <w:tabs>
          <w:tab w:val="left" w:pos="1007"/>
          <w:tab w:val="left" w:pos="1008"/>
        </w:tabs>
        <w:spacing w:before="0" w:after="0" w:line="269" w:lineRule="exact"/>
        <w:ind w:left="1007" w:right="0" w:hanging="788"/>
        <w:jc w:val="left"/>
        <w:rPr>
          <w:sz w:val="21"/>
        </w:rPr>
      </w:pPr>
      <w:r>
        <w:rPr>
          <w:spacing w:val="-1"/>
          <w:sz w:val="21"/>
        </w:rPr>
        <w:t>多项水质参数综合评价方法及其推荐</w:t>
      </w:r>
    </w:p>
    <w:p>
      <w:pPr>
        <w:pStyle w:val="BodyText"/>
        <w:spacing w:before="51"/>
        <w:ind w:left="640"/>
      </w:pPr>
      <w:r>
        <w:rPr>
          <w:spacing w:val="-1"/>
        </w:rPr>
        <w:t>多项水质参数综合评价的方法很多，可以采用下述方法之一进行综合评价。</w:t>
      </w:r>
    </w:p>
    <w:p>
      <w:pPr>
        <w:pStyle w:val="ListParagraph"/>
        <w:numPr>
          <w:ilvl w:val="0"/>
          <w:numId w:val="33"/>
        </w:numPr>
        <w:tabs>
          <w:tab w:val="left" w:pos="891"/>
        </w:tabs>
        <w:spacing w:before="51" w:after="0" w:line="240" w:lineRule="auto"/>
        <w:ind w:left="890" w:right="0" w:hanging="251"/>
        <w:jc w:val="left"/>
        <w:rPr>
          <w:sz w:val="21"/>
        </w:rPr>
      </w:pPr>
      <w:r>
        <w:rPr>
          <w:spacing w:val="-3"/>
          <w:sz w:val="21"/>
        </w:rPr>
        <w:t>幂指数法</w:t>
      </w:r>
    </w:p>
    <w:p>
      <w:pPr>
        <w:pStyle w:val="BodyText"/>
        <w:spacing w:before="51"/>
        <w:ind w:left="640"/>
      </w:pPr>
      <w:r>
        <w:rPr>
          <w:spacing w:val="-8"/>
        </w:rPr>
        <w:t xml:space="preserve">幂形水质指数 </w:t>
      </w:r>
      <w:r>
        <w:rPr>
          <w:rFonts w:ascii="Times New Roman" w:eastAsia="Times New Roman"/>
        </w:rPr>
        <w:t>S</w:t>
      </w:r>
      <w:r>
        <w:rPr>
          <w:rFonts w:ascii="Times New Roman" w:eastAsia="Times New Roman"/>
          <w:spacing w:val="-1"/>
        </w:rPr>
        <w:t xml:space="preserve"> </w:t>
      </w:r>
      <w:r>
        <w:rPr>
          <w:spacing w:val="-2"/>
        </w:rPr>
        <w:t>的表达式为：</w:t>
      </w:r>
    </w:p>
    <w:p>
      <w:pPr>
        <w:spacing w:after="0"/>
        <w:sectPr>
          <w:footerReference w:type="even" r:id="rId66"/>
          <w:footerReference w:type="default" r:id="rId67"/>
          <w:type w:val="continuous"/>
          <w:pgSz w:w="11910" w:h="16840"/>
          <w:pgMar w:top="1480" w:right="1500" w:bottom="1180" w:left="1580" w:header="0" w:footer="990"/>
          <w:pgNumType w:start="631"/>
          <w:cols w:space="708"/>
        </w:sectPr>
      </w:pPr>
    </w:p>
    <w:p>
      <w:pPr>
        <w:spacing w:before="55" w:line="119" w:lineRule="exact"/>
        <w:ind w:left="3396" w:right="0" w:firstLine="0"/>
        <w:jc w:val="center"/>
        <w:rPr>
          <w:rFonts w:ascii="Times New Roman"/>
          <w:i/>
          <w:sz w:val="12"/>
        </w:rPr>
      </w:pPr>
      <w:r>
        <w:pict>
          <v:shape id="_x0000_s1121" type="#_x0000_t202" style="width:24.8pt;height:18.4pt;margin-top:5.21pt;margin-left:257.46pt;mso-position-horizontal-relative:page;position:absolute;z-index:-251649024" filled="f" stroked="f">
            <v:textbox inset="0,0,0,0">
              <w:txbxContent>
                <w:p>
                  <w:pPr>
                    <w:spacing w:before="1" w:line="366" w:lineRule="exact"/>
                    <w:ind w:left="0" w:right="0" w:firstLine="0"/>
                    <w:jc w:val="left"/>
                    <w:rPr>
                      <w:rFonts w:ascii="Times New Roman" w:hAnsi="Times New Roman"/>
                      <w:i/>
                      <w:sz w:val="20"/>
                    </w:rPr>
                  </w:pPr>
                  <w:r>
                    <w:rPr>
                      <w:rFonts w:ascii="Symbol" w:hAnsi="Symbol"/>
                      <w:sz w:val="20"/>
                    </w:rPr>
                    <w:sym w:font="Symbol" w:char="F03D"/>
                  </w:r>
                  <w:r>
                    <w:rPr>
                      <w:rFonts w:ascii="Times New Roman" w:hAnsi="Times New Roman"/>
                      <w:spacing w:val="-12"/>
                      <w:sz w:val="20"/>
                    </w:rPr>
                    <w:t xml:space="preserve"> </w:t>
                  </w:r>
                  <w:r>
                    <w:rPr>
                      <w:rFonts w:ascii="Symbol" w:hAnsi="Symbol"/>
                      <w:position w:val="-4"/>
                      <w:sz w:val="30"/>
                    </w:rPr>
                    <w:sym w:font="Symbol" w:char="F0D5"/>
                  </w:r>
                  <w:r>
                    <w:rPr>
                      <w:rFonts w:ascii="Times New Roman" w:hAnsi="Times New Roman"/>
                      <w:spacing w:val="-42"/>
                      <w:position w:val="-4"/>
                      <w:sz w:val="30"/>
                    </w:rPr>
                    <w:t xml:space="preserve"> </w:t>
                  </w:r>
                  <w:r>
                    <w:rPr>
                      <w:rFonts w:ascii="Times New Roman" w:hAnsi="Times New Roman"/>
                      <w:i/>
                      <w:spacing w:val="-10"/>
                      <w:sz w:val="20"/>
                    </w:rPr>
                    <w:t>I</w:t>
                  </w:r>
                </w:p>
              </w:txbxContent>
            </v:textbox>
          </v:shape>
        </w:pict>
      </w:r>
      <w:r>
        <w:rPr>
          <w:rFonts w:ascii="Times New Roman"/>
          <w:i/>
          <w:sz w:val="12"/>
        </w:rPr>
        <w:t>m</w:t>
      </w:r>
    </w:p>
    <w:p>
      <w:pPr>
        <w:spacing w:before="0" w:line="119" w:lineRule="exact"/>
        <w:ind w:left="0" w:right="26" w:firstLine="0"/>
        <w:jc w:val="right"/>
        <w:rPr>
          <w:rFonts w:ascii="Times New Roman"/>
          <w:i/>
          <w:sz w:val="12"/>
        </w:rPr>
      </w:pPr>
      <w:r>
        <w:pict>
          <v:shape id="_x0000_s1122" type="#_x0000_t202" style="width:5pt;height:11.1pt;margin-top:0.24pt;margin-left:242.27pt;mso-position-horizontal-relative:page;position:absolute;z-index:251666432" filled="f" stroked="f">
            <v:textbox inset="0,0,0,0">
              <w:txbxContent>
                <w:p>
                  <w:pPr>
                    <w:spacing w:before="0" w:line="221" w:lineRule="exact"/>
                    <w:ind w:left="0" w:right="0" w:firstLine="0"/>
                    <w:jc w:val="left"/>
                    <w:rPr>
                      <w:rFonts w:ascii="Times New Roman"/>
                      <w:i/>
                      <w:sz w:val="20"/>
                    </w:rPr>
                  </w:pPr>
                  <w:r>
                    <w:rPr>
                      <w:rFonts w:ascii="Times New Roman"/>
                      <w:i/>
                      <w:sz w:val="20"/>
                    </w:rPr>
                    <w:t>S</w:t>
                  </w:r>
                </w:p>
              </w:txbxContent>
            </v:textbox>
          </v:shape>
        </w:pict>
      </w:r>
      <w:r>
        <w:rPr>
          <w:rFonts w:ascii="Times New Roman"/>
          <w:i/>
          <w:spacing w:val="-5"/>
          <w:sz w:val="12"/>
        </w:rPr>
        <w:t>Wi</w:t>
      </w:r>
    </w:p>
    <w:p>
      <w:pPr>
        <w:tabs>
          <w:tab w:val="left" w:pos="4114"/>
        </w:tabs>
        <w:spacing w:before="2"/>
        <w:ind w:left="3432" w:right="0" w:firstLine="0"/>
        <w:jc w:val="center"/>
        <w:rPr>
          <w:rFonts w:ascii="Times New Roman"/>
          <w:i/>
          <w:sz w:val="12"/>
        </w:rPr>
      </w:pPr>
      <w:r>
        <w:rPr>
          <w:rFonts w:ascii="Times New Roman"/>
          <w:i/>
          <w:spacing w:val="-10"/>
          <w:sz w:val="12"/>
        </w:rPr>
        <w:t>j</w:t>
      </w:r>
      <w:r>
        <w:rPr>
          <w:rFonts w:ascii="Times New Roman"/>
          <w:i/>
          <w:sz w:val="12"/>
        </w:rPr>
        <w:tab/>
        <w:t>i</w:t>
      </w:r>
      <w:r>
        <w:rPr>
          <w:rFonts w:ascii="Times New Roman"/>
          <w:i/>
          <w:spacing w:val="4"/>
          <w:sz w:val="12"/>
        </w:rPr>
        <w:t xml:space="preserve"> </w:t>
      </w:r>
      <w:r>
        <w:rPr>
          <w:rFonts w:ascii="Times New Roman"/>
          <w:sz w:val="12"/>
        </w:rPr>
        <w:t>,</w:t>
      </w:r>
      <w:r>
        <w:rPr>
          <w:rFonts w:ascii="Times New Roman"/>
          <w:spacing w:val="-3"/>
          <w:sz w:val="12"/>
        </w:rPr>
        <w:t xml:space="preserve"> </w:t>
      </w:r>
      <w:r>
        <w:rPr>
          <w:rFonts w:ascii="Times New Roman"/>
          <w:i/>
          <w:spacing w:val="-10"/>
          <w:sz w:val="12"/>
        </w:rPr>
        <w:t>j</w:t>
      </w:r>
    </w:p>
    <w:p>
      <w:pPr>
        <w:spacing w:before="0"/>
        <w:ind w:left="3424" w:right="0" w:firstLine="0"/>
        <w:jc w:val="center"/>
        <w:rPr>
          <w:rFonts w:ascii="Times New Roman" w:hAnsi="Times New Roman"/>
          <w:sz w:val="12"/>
        </w:rPr>
      </w:pPr>
      <w:r>
        <w:rPr>
          <w:rFonts w:ascii="Times New Roman" w:hAnsi="Times New Roman"/>
          <w:i/>
          <w:sz w:val="12"/>
        </w:rPr>
        <w:t>i</w:t>
      </w:r>
      <w:r>
        <w:rPr>
          <w:rFonts w:ascii="Times New Roman" w:hAnsi="Times New Roman"/>
          <w:i/>
          <w:spacing w:val="6"/>
          <w:sz w:val="12"/>
        </w:rPr>
        <w:t xml:space="preserve"> </w:t>
      </w:r>
      <w:r>
        <w:rPr>
          <w:rFonts w:ascii="Symbol" w:hAnsi="Symbol"/>
          <w:spacing w:val="-5"/>
          <w:sz w:val="12"/>
        </w:rPr>
        <w:sym w:font="Symbol" w:char="F03D"/>
      </w:r>
      <w:r>
        <w:rPr>
          <w:rFonts w:ascii="Times New Roman" w:hAnsi="Times New Roman"/>
          <w:spacing w:val="-5"/>
          <w:sz w:val="12"/>
        </w:rPr>
        <w:t>1</w:t>
      </w:r>
    </w:p>
    <w:p>
      <w:pPr>
        <w:pStyle w:val="ListParagraph"/>
        <w:numPr>
          <w:ilvl w:val="4"/>
          <w:numId w:val="36"/>
        </w:numPr>
        <w:tabs>
          <w:tab w:val="left" w:pos="577"/>
        </w:tabs>
        <w:spacing w:before="156" w:after="0" w:line="240" w:lineRule="auto"/>
        <w:ind w:left="576" w:right="0" w:hanging="140"/>
        <w:jc w:val="left"/>
        <w:rPr>
          <w:rFonts w:ascii="Times New Roman" w:hAnsi="Times New Roman"/>
          <w:i/>
          <w:sz w:val="20"/>
        </w:rPr>
      </w:pPr>
      <w:r>
        <w:br w:type="column"/>
      </w:r>
      <w:r>
        <w:rPr>
          <w:rFonts w:ascii="Symbol" w:hAnsi="Symbol"/>
          <w:sz w:val="20"/>
        </w:rPr>
        <w:sym w:font="Symbol" w:char="F03C"/>
      </w:r>
      <w:r>
        <w:rPr>
          <w:rFonts w:ascii="Times New Roman" w:hAnsi="Times New Roman"/>
          <w:spacing w:val="-2"/>
          <w:sz w:val="20"/>
        </w:rPr>
        <w:t xml:space="preserve"> </w:t>
      </w:r>
      <w:r>
        <w:rPr>
          <w:rFonts w:ascii="Times New Roman" w:hAnsi="Times New Roman"/>
          <w:i/>
          <w:spacing w:val="-10"/>
          <w:sz w:val="20"/>
        </w:rPr>
        <w:t>I</w:t>
      </w:r>
    </w:p>
    <w:p>
      <w:pPr>
        <w:spacing w:before="0" w:line="240" w:lineRule="auto"/>
        <w:rPr>
          <w:rFonts w:ascii="Times New Roman"/>
          <w:i/>
          <w:sz w:val="12"/>
        </w:rPr>
      </w:pPr>
      <w:r>
        <w:br w:type="column"/>
      </w:r>
    </w:p>
    <w:p>
      <w:pPr>
        <w:pStyle w:val="BodyText"/>
        <w:spacing w:before="7"/>
        <w:rPr>
          <w:rFonts w:ascii="Times New Roman"/>
          <w:i/>
          <w:sz w:val="13"/>
        </w:rPr>
      </w:pPr>
    </w:p>
    <w:p>
      <w:pPr>
        <w:spacing w:before="0"/>
        <w:ind w:left="10" w:right="0" w:firstLine="0"/>
        <w:jc w:val="left"/>
        <w:rPr>
          <w:rFonts w:ascii="Times New Roman"/>
          <w:i/>
          <w:sz w:val="12"/>
        </w:rPr>
      </w:pPr>
      <w:r>
        <w:rPr>
          <w:rFonts w:ascii="Times New Roman"/>
          <w:i/>
          <w:sz w:val="12"/>
        </w:rPr>
        <w:t>i</w:t>
      </w:r>
      <w:r>
        <w:rPr>
          <w:rFonts w:ascii="Times New Roman"/>
          <w:i/>
          <w:spacing w:val="4"/>
          <w:sz w:val="12"/>
        </w:rPr>
        <w:t xml:space="preserve"> </w:t>
      </w:r>
      <w:r>
        <w:rPr>
          <w:rFonts w:ascii="Times New Roman"/>
          <w:sz w:val="12"/>
        </w:rPr>
        <w:t>,</w:t>
      </w:r>
      <w:r>
        <w:rPr>
          <w:rFonts w:ascii="Times New Roman"/>
          <w:spacing w:val="-3"/>
          <w:sz w:val="12"/>
        </w:rPr>
        <w:t xml:space="preserve"> </w:t>
      </w:r>
      <w:r>
        <w:rPr>
          <w:rFonts w:ascii="Times New Roman"/>
          <w:i/>
          <w:spacing w:val="-10"/>
          <w:sz w:val="12"/>
        </w:rPr>
        <w:t>j</w:t>
      </w:r>
    </w:p>
    <w:p>
      <w:pPr>
        <w:spacing w:before="156"/>
        <w:ind w:left="60" w:right="0" w:firstLine="0"/>
        <w:jc w:val="left"/>
        <w:rPr>
          <w:rFonts w:ascii="Times New Roman" w:hAnsi="Times New Roman"/>
          <w:sz w:val="20"/>
        </w:rPr>
      </w:pPr>
      <w:r>
        <w:br w:type="column"/>
      </w:r>
      <w:r>
        <w:rPr>
          <w:rFonts w:ascii="Symbol" w:hAnsi="Symbol"/>
          <w:sz w:val="20"/>
        </w:rPr>
        <w:sym w:font="Symbol" w:char="F0A3"/>
      </w:r>
      <w:r>
        <w:rPr>
          <w:rFonts w:ascii="Times New Roman" w:hAnsi="Times New Roman"/>
          <w:spacing w:val="-28"/>
          <w:sz w:val="20"/>
        </w:rPr>
        <w:t xml:space="preserve"> </w:t>
      </w:r>
      <w:r>
        <w:rPr>
          <w:rFonts w:ascii="Times New Roman" w:hAnsi="Times New Roman"/>
          <w:spacing w:val="-7"/>
          <w:sz w:val="20"/>
        </w:rPr>
        <w:t>1,</w:t>
      </w:r>
    </w:p>
    <w:p>
      <w:pPr>
        <w:spacing w:before="105" w:line="346" w:lineRule="exact"/>
        <w:ind w:left="378" w:right="0" w:firstLine="0"/>
        <w:jc w:val="left"/>
        <w:rPr>
          <w:rFonts w:ascii="Times New Roman" w:hAnsi="Times New Roman"/>
          <w:sz w:val="20"/>
        </w:rPr>
      </w:pPr>
      <w:r>
        <w:br w:type="column"/>
      </w:r>
      <w:r>
        <w:rPr>
          <w:rFonts w:ascii="Symbol" w:hAnsi="Symbol"/>
          <w:position w:val="-4"/>
          <w:sz w:val="30"/>
        </w:rPr>
        <w:sym w:font="Symbol" w:char="F0E5"/>
      </w:r>
      <w:r>
        <w:rPr>
          <w:rFonts w:ascii="Times New Roman" w:hAnsi="Times New Roman"/>
          <w:i/>
          <w:sz w:val="20"/>
        </w:rPr>
        <w:t>W</w:t>
      </w:r>
      <w:r>
        <w:rPr>
          <w:rFonts w:ascii="Times New Roman" w:hAnsi="Times New Roman"/>
          <w:i/>
          <w:spacing w:val="5"/>
          <w:sz w:val="20"/>
        </w:rPr>
        <w:t xml:space="preserve"> </w:t>
      </w:r>
      <w:r>
        <w:rPr>
          <w:rFonts w:ascii="Times New Roman" w:hAnsi="Times New Roman"/>
          <w:i/>
          <w:position w:val="-4"/>
          <w:sz w:val="12"/>
        </w:rPr>
        <w:t>i</w:t>
      </w:r>
      <w:r>
        <w:rPr>
          <w:rFonts w:ascii="Times New Roman" w:hAnsi="Times New Roman"/>
          <w:i/>
          <w:spacing w:val="61"/>
          <w:position w:val="-4"/>
          <w:sz w:val="12"/>
        </w:rPr>
        <w:t xml:space="preserve"> </w:t>
      </w:r>
      <w:r>
        <w:rPr>
          <w:rFonts w:ascii="Symbol" w:hAnsi="Symbol"/>
          <w:sz w:val="20"/>
        </w:rPr>
        <w:sym w:font="Symbol" w:char="F03D"/>
      </w:r>
      <w:r>
        <w:rPr>
          <w:rFonts w:ascii="Times New Roman" w:hAnsi="Times New Roman"/>
          <w:spacing w:val="-28"/>
          <w:sz w:val="20"/>
        </w:rPr>
        <w:t xml:space="preserve"> </w:t>
      </w:r>
      <w:r>
        <w:rPr>
          <w:rFonts w:ascii="Times New Roman" w:hAnsi="Times New Roman"/>
          <w:spacing w:val="-10"/>
          <w:sz w:val="20"/>
        </w:rPr>
        <w:t>1</w:t>
      </w:r>
    </w:p>
    <w:p>
      <w:pPr>
        <w:spacing w:before="0" w:line="126" w:lineRule="exact"/>
        <w:ind w:left="396" w:right="0" w:firstLine="0"/>
        <w:jc w:val="left"/>
        <w:rPr>
          <w:rFonts w:ascii="Times New Roman" w:hAnsi="Times New Roman"/>
          <w:sz w:val="12"/>
        </w:rPr>
      </w:pPr>
      <w:r>
        <w:pict>
          <v:shape id="_x0000_s1123" type="#_x0000_t202" style="width:4.35pt;height:6.65pt;margin-top:-19.46pt;margin-left:388.08pt;mso-position-horizontal-relative:page;position:absolute;z-index:-251648000" filled="f" stroked="f">
            <v:textbox inset="0,0,0,0">
              <w:txbxContent>
                <w:p>
                  <w:pPr>
                    <w:spacing w:before="0" w:line="133" w:lineRule="exact"/>
                    <w:ind w:left="0" w:right="0" w:firstLine="0"/>
                    <w:jc w:val="left"/>
                    <w:rPr>
                      <w:rFonts w:ascii="Times New Roman"/>
                      <w:i/>
                      <w:sz w:val="12"/>
                    </w:rPr>
                  </w:pPr>
                  <w:r>
                    <w:rPr>
                      <w:rFonts w:ascii="Times New Roman"/>
                      <w:i/>
                      <w:sz w:val="12"/>
                    </w:rPr>
                    <w:t>m</w:t>
                  </w:r>
                </w:p>
              </w:txbxContent>
            </v:textbox>
          </v:shape>
        </w:pict>
      </w:r>
      <w:r>
        <w:rPr>
          <w:rFonts w:ascii="Times New Roman" w:hAnsi="Times New Roman"/>
          <w:i/>
          <w:sz w:val="12"/>
        </w:rPr>
        <w:t>i</w:t>
      </w:r>
      <w:r>
        <w:rPr>
          <w:rFonts w:ascii="Times New Roman" w:hAnsi="Times New Roman"/>
          <w:i/>
          <w:spacing w:val="6"/>
          <w:sz w:val="12"/>
        </w:rPr>
        <w:t xml:space="preserve"> </w:t>
      </w:r>
      <w:r>
        <w:rPr>
          <w:rFonts w:ascii="Symbol" w:hAnsi="Symbol"/>
          <w:spacing w:val="-5"/>
          <w:sz w:val="12"/>
        </w:rPr>
        <w:sym w:font="Symbol" w:char="F03D"/>
      </w:r>
      <w:r>
        <w:rPr>
          <w:rFonts w:ascii="Times New Roman" w:hAnsi="Times New Roman"/>
          <w:spacing w:val="-5"/>
          <w:sz w:val="12"/>
        </w:rPr>
        <w:t>1</w:t>
      </w:r>
    </w:p>
    <w:p>
      <w:pPr>
        <w:spacing w:before="147"/>
        <w:ind w:left="1042" w:right="0" w:firstLine="0"/>
        <w:jc w:val="left"/>
        <w:rPr>
          <w:sz w:val="21"/>
        </w:rPr>
      </w:pPr>
      <w:r>
        <w:br w:type="column"/>
      </w:r>
      <w:r>
        <w:rPr>
          <w:spacing w:val="-5"/>
          <w:sz w:val="21"/>
        </w:rPr>
        <w:t>（</w:t>
      </w:r>
      <w:r>
        <w:rPr>
          <w:rFonts w:ascii="Times New Roman" w:eastAsia="Times New Roman"/>
          <w:spacing w:val="-5"/>
          <w:sz w:val="21"/>
        </w:rPr>
        <w:t>8</w:t>
      </w:r>
      <w:r>
        <w:rPr>
          <w:spacing w:val="-5"/>
          <w:sz w:val="21"/>
        </w:rPr>
        <w:t>）</w:t>
      </w:r>
    </w:p>
    <w:p>
      <w:pPr>
        <w:spacing w:after="0"/>
        <w:jc w:val="left"/>
        <w:rPr>
          <w:sz w:val="21"/>
        </w:rPr>
        <w:sectPr>
          <w:footerReference w:type="even" r:id="rId68"/>
          <w:footerReference w:type="default" r:id="rId69"/>
          <w:type w:val="continuous"/>
          <w:pgSz w:w="11910" w:h="16840"/>
          <w:pgMar w:top="1480" w:right="1500" w:bottom="1180" w:left="1580" w:header="0" w:footer="990"/>
          <w:pgNumType w:start="632"/>
          <w:cols w:num="6" w:space="708" w:equalWidth="0">
            <w:col w:w="4274" w:space="40"/>
            <w:col w:w="802" w:space="39"/>
            <w:col w:w="169" w:space="39"/>
            <w:col w:w="343" w:space="40"/>
            <w:col w:w="1173" w:space="40"/>
            <w:col w:w="1871" w:space="0"/>
          </w:cols>
        </w:sectPr>
      </w:pPr>
    </w:p>
    <w:p>
      <w:pPr>
        <w:pStyle w:val="BodyText"/>
        <w:spacing w:before="95" w:line="285" w:lineRule="auto"/>
        <w:ind w:left="220" w:right="297" w:firstLine="420"/>
      </w:pPr>
      <w:r>
        <w:rPr>
          <w:spacing w:val="-3"/>
        </w:rPr>
        <w:t xml:space="preserve">首先根据实际情况和各类功能水质标准绘制 </w:t>
      </w:r>
      <w:r>
        <w:rPr>
          <w:rFonts w:ascii="Times New Roman" w:eastAsia="Times New Roman"/>
        </w:rPr>
        <w:t>I</w:t>
      </w:r>
      <w:r>
        <w:rPr>
          <w:rFonts w:ascii="Times New Roman" w:eastAsia="Times New Roman"/>
          <w:vertAlign w:val="subscript"/>
        </w:rPr>
        <w:t>i</w:t>
      </w:r>
      <w:r>
        <w:rPr>
          <w:rFonts w:ascii="Times New Roman" w:eastAsia="Times New Roman"/>
          <w:vertAlign w:val="baseline"/>
        </w:rPr>
        <w:t>-c</w:t>
      </w:r>
      <w:r>
        <w:rPr>
          <w:rFonts w:ascii="Times New Roman" w:eastAsia="Times New Roman"/>
          <w:vertAlign w:val="subscript"/>
        </w:rPr>
        <w:t>i</w:t>
      </w:r>
      <w:r>
        <w:rPr>
          <w:rFonts w:ascii="Times New Roman" w:eastAsia="Times New Roman"/>
          <w:spacing w:val="-14"/>
          <w:vertAlign w:val="baseline"/>
        </w:rPr>
        <w:t xml:space="preserve"> </w:t>
      </w:r>
      <w:r>
        <w:rPr>
          <w:spacing w:val="-6"/>
          <w:vertAlign w:val="baseline"/>
        </w:rPr>
        <w:t xml:space="preserve">关系曲线，然后由 </w:t>
      </w:r>
      <w:r>
        <w:rPr>
          <w:rFonts w:ascii="Times New Roman" w:eastAsia="Times New Roman"/>
          <w:vertAlign w:val="baseline"/>
        </w:rPr>
        <w:t>c</w:t>
      </w:r>
      <w:r>
        <w:rPr>
          <w:rFonts w:ascii="Times New Roman" w:eastAsia="Times New Roman"/>
          <w:vertAlign w:val="subscript"/>
        </w:rPr>
        <w:t>i,j</w:t>
      </w:r>
      <w:r>
        <w:rPr>
          <w:rFonts w:ascii="Times New Roman" w:eastAsia="Times New Roman"/>
          <w:spacing w:val="-14"/>
          <w:vertAlign w:val="baseline"/>
        </w:rPr>
        <w:t xml:space="preserve"> </w:t>
      </w:r>
      <w:r>
        <w:rPr>
          <w:vertAlign w:val="baseline"/>
        </w:rPr>
        <w:t>在曲线上找到相</w:t>
      </w:r>
      <w:r>
        <w:rPr>
          <w:spacing w:val="-9"/>
          <w:vertAlign w:val="baseline"/>
        </w:rPr>
        <w:t xml:space="preserve">应的 </w:t>
      </w:r>
      <w:r>
        <w:rPr>
          <w:rFonts w:ascii="Times New Roman" w:eastAsia="Times New Roman"/>
          <w:vertAlign w:val="baseline"/>
        </w:rPr>
        <w:t>I</w:t>
      </w:r>
      <w:r>
        <w:rPr>
          <w:rFonts w:ascii="Times New Roman" w:eastAsia="Times New Roman"/>
          <w:vertAlign w:val="subscript"/>
        </w:rPr>
        <w:t>i,j</w:t>
      </w:r>
      <w:r>
        <w:rPr>
          <w:rFonts w:ascii="Times New Roman" w:eastAsia="Times New Roman"/>
          <w:vertAlign w:val="baseline"/>
        </w:rPr>
        <w:t xml:space="preserve"> </w:t>
      </w:r>
      <w:r>
        <w:rPr>
          <w:vertAlign w:val="baseline"/>
        </w:rPr>
        <w:t>值。</w:t>
      </w:r>
    </w:p>
    <w:p>
      <w:pPr>
        <w:pStyle w:val="ListParagraph"/>
        <w:numPr>
          <w:ilvl w:val="0"/>
          <w:numId w:val="33"/>
        </w:numPr>
        <w:tabs>
          <w:tab w:val="left" w:pos="903"/>
        </w:tabs>
        <w:spacing w:before="0" w:after="0" w:line="269" w:lineRule="exact"/>
        <w:ind w:left="902" w:right="0" w:hanging="263"/>
        <w:jc w:val="left"/>
        <w:rPr>
          <w:sz w:val="21"/>
        </w:rPr>
      </w:pPr>
      <w:r>
        <w:rPr>
          <w:spacing w:val="-2"/>
          <w:sz w:val="21"/>
        </w:rPr>
        <w:t>加权平均法</w:t>
      </w:r>
    </w:p>
    <w:p>
      <w:pPr>
        <w:pStyle w:val="BodyText"/>
        <w:spacing w:before="51"/>
        <w:ind w:left="640"/>
      </w:pPr>
      <w:r>
        <w:pict>
          <v:shape id="_x0000_s1124" type="#_x0000_t202" style="width:4.35pt;height:6.65pt;margin-top:19.13pt;margin-left:303.71pt;mso-position-horizontal-relative:page;position:absolute;z-index:-251646976" filled="f" stroked="f">
            <v:textbox inset="0,0,0,0">
              <w:txbxContent>
                <w:p>
                  <w:pPr>
                    <w:spacing w:before="0" w:line="133" w:lineRule="exact"/>
                    <w:ind w:left="0" w:right="0" w:firstLine="0"/>
                    <w:jc w:val="left"/>
                    <w:rPr>
                      <w:rFonts w:ascii="Times New Roman"/>
                      <w:i/>
                      <w:sz w:val="12"/>
                    </w:rPr>
                  </w:pPr>
                  <w:r>
                    <w:rPr>
                      <w:rFonts w:ascii="Times New Roman"/>
                      <w:i/>
                      <w:sz w:val="12"/>
                    </w:rPr>
                    <w:t>m</w:t>
                  </w:r>
                </w:p>
              </w:txbxContent>
            </v:textbox>
          </v:shape>
        </w:pict>
      </w:r>
      <w:r>
        <w:rPr>
          <w:spacing w:val="-11"/>
        </w:rPr>
        <w:t xml:space="preserve">此法所求 </w:t>
      </w:r>
      <w:r>
        <w:rPr>
          <w:rFonts w:ascii="Times New Roman" w:eastAsia="Times New Roman"/>
        </w:rPr>
        <w:t xml:space="preserve">j </w:t>
      </w:r>
      <w:r>
        <w:rPr>
          <w:spacing w:val="-6"/>
        </w:rPr>
        <w:t xml:space="preserve">点的综合评价指数 </w:t>
      </w:r>
      <w:r>
        <w:rPr>
          <w:rFonts w:ascii="Times New Roman" w:eastAsia="Times New Roman"/>
        </w:rPr>
        <w:t>S</w:t>
      </w:r>
      <w:r>
        <w:rPr>
          <w:rFonts w:ascii="Times New Roman" w:eastAsia="Times New Roman"/>
          <w:spacing w:val="-1"/>
        </w:rPr>
        <w:t xml:space="preserve"> </w:t>
      </w:r>
      <w:r>
        <w:rPr>
          <w:spacing w:val="-2"/>
        </w:rPr>
        <w:t>可表达为：</w:t>
      </w:r>
    </w:p>
    <w:p>
      <w:pPr>
        <w:spacing w:after="0"/>
        <w:sectPr>
          <w:footerReference w:type="even" r:id="rId70"/>
          <w:footerReference w:type="default" r:id="rId71"/>
          <w:type w:val="continuous"/>
          <w:pgSz w:w="11910" w:h="16840"/>
          <w:pgMar w:top="1480" w:right="1500" w:bottom="1180" w:left="1580" w:header="0" w:footer="990"/>
          <w:pgNumType w:start="633"/>
          <w:cols w:space="708"/>
        </w:sectPr>
      </w:pPr>
    </w:p>
    <w:p>
      <w:pPr>
        <w:pStyle w:val="BodyText"/>
        <w:rPr>
          <w:sz w:val="22"/>
        </w:rPr>
      </w:pPr>
    </w:p>
    <w:p>
      <w:pPr>
        <w:pStyle w:val="BodyText"/>
        <w:spacing w:before="8"/>
        <w:rPr>
          <w:sz w:val="30"/>
        </w:rPr>
      </w:pPr>
    </w:p>
    <w:p>
      <w:pPr>
        <w:pStyle w:val="ListParagraph"/>
        <w:numPr>
          <w:ilvl w:val="0"/>
          <w:numId w:val="33"/>
        </w:numPr>
        <w:tabs>
          <w:tab w:val="left" w:pos="891"/>
        </w:tabs>
        <w:spacing w:before="0" w:after="0" w:line="240" w:lineRule="auto"/>
        <w:ind w:left="890" w:right="0" w:hanging="251"/>
        <w:jc w:val="left"/>
        <w:rPr>
          <w:sz w:val="21"/>
        </w:rPr>
      </w:pPr>
      <w:r>
        <w:rPr>
          <w:spacing w:val="-3"/>
          <w:sz w:val="21"/>
        </w:rPr>
        <w:t>向量模法</w:t>
      </w:r>
    </w:p>
    <w:p>
      <w:pPr>
        <w:spacing w:before="9" w:line="240" w:lineRule="auto"/>
        <w:rPr>
          <w:sz w:val="11"/>
        </w:rPr>
      </w:pPr>
      <w:r>
        <w:br w:type="column"/>
      </w:r>
    </w:p>
    <w:p>
      <w:pPr>
        <w:spacing w:before="0" w:line="196" w:lineRule="auto"/>
        <w:ind w:left="1115" w:right="11" w:hanging="475"/>
        <w:jc w:val="left"/>
        <w:rPr>
          <w:rFonts w:ascii="Times New Roman" w:hAnsi="Times New Roman"/>
          <w:sz w:val="12"/>
        </w:rPr>
      </w:pPr>
      <w:r>
        <w:rPr>
          <w:rFonts w:ascii="Times New Roman" w:hAnsi="Times New Roman"/>
          <w:i/>
          <w:sz w:val="20"/>
        </w:rPr>
        <w:t xml:space="preserve">S </w:t>
      </w:r>
      <w:r>
        <w:rPr>
          <w:rFonts w:ascii="Times New Roman" w:hAnsi="Times New Roman"/>
          <w:i/>
          <w:position w:val="-4"/>
          <w:sz w:val="12"/>
        </w:rPr>
        <w:t>j</w:t>
      </w:r>
      <w:r>
        <w:rPr>
          <w:rFonts w:ascii="Times New Roman" w:hAnsi="Times New Roman"/>
          <w:i/>
          <w:spacing w:val="55"/>
          <w:position w:val="-4"/>
          <w:sz w:val="12"/>
        </w:rPr>
        <w:t xml:space="preserve"> </w:t>
      </w:r>
      <w:r>
        <w:rPr>
          <w:rFonts w:ascii="Symbol" w:hAnsi="Symbol"/>
          <w:sz w:val="20"/>
        </w:rPr>
        <w:sym w:font="Symbol" w:char="F03D"/>
      </w:r>
      <w:r>
        <w:rPr>
          <w:rFonts w:ascii="Times New Roman" w:hAnsi="Times New Roman"/>
          <w:spacing w:val="-13"/>
          <w:sz w:val="20"/>
        </w:rPr>
        <w:t xml:space="preserve"> </w:t>
      </w:r>
      <w:r>
        <w:rPr>
          <w:rFonts w:ascii="Symbol" w:hAnsi="Symbol"/>
          <w:position w:val="-4"/>
          <w:sz w:val="30"/>
        </w:rPr>
        <w:sym w:font="Symbol" w:char="F0E5"/>
      </w:r>
      <w:r>
        <w:rPr>
          <w:rFonts w:ascii="Times New Roman" w:hAnsi="Times New Roman"/>
          <w:i/>
          <w:sz w:val="20"/>
        </w:rPr>
        <w:t xml:space="preserve">W </w:t>
      </w:r>
      <w:r>
        <w:rPr>
          <w:rFonts w:ascii="Times New Roman" w:hAnsi="Times New Roman"/>
          <w:i/>
          <w:position w:val="-4"/>
          <w:sz w:val="12"/>
        </w:rPr>
        <w:t>i</w:t>
      </w:r>
      <w:r>
        <w:rPr>
          <w:rFonts w:ascii="Times New Roman" w:hAnsi="Times New Roman"/>
          <w:i/>
          <w:spacing w:val="7"/>
          <w:position w:val="-4"/>
          <w:sz w:val="12"/>
        </w:rPr>
        <w:t xml:space="preserve"> </w:t>
      </w:r>
      <w:r>
        <w:rPr>
          <w:rFonts w:ascii="Times New Roman" w:hAnsi="Times New Roman"/>
          <w:i/>
          <w:sz w:val="20"/>
        </w:rPr>
        <w:t>S</w:t>
      </w:r>
      <w:r>
        <w:rPr>
          <w:rFonts w:ascii="Times New Roman" w:hAnsi="Times New Roman"/>
          <w:i/>
          <w:spacing w:val="-10"/>
          <w:sz w:val="20"/>
        </w:rPr>
        <w:t xml:space="preserve"> </w:t>
      </w:r>
      <w:r>
        <w:rPr>
          <w:rFonts w:ascii="Times New Roman" w:hAnsi="Times New Roman"/>
          <w:i/>
          <w:position w:val="-4"/>
          <w:sz w:val="12"/>
        </w:rPr>
        <w:t>i</w:t>
      </w:r>
      <w:r>
        <w:rPr>
          <w:rFonts w:ascii="Times New Roman" w:hAnsi="Times New Roman"/>
          <w:i/>
          <w:spacing w:val="40"/>
          <w:position w:val="-4"/>
          <w:sz w:val="12"/>
        </w:rPr>
        <w:t xml:space="preserve"> </w:t>
      </w:r>
      <w:r>
        <w:rPr>
          <w:rFonts w:ascii="Times New Roman" w:hAnsi="Times New Roman"/>
          <w:i/>
          <w:sz w:val="12"/>
        </w:rPr>
        <w:t>i</w:t>
      </w:r>
      <w:r>
        <w:rPr>
          <w:rFonts w:ascii="Times New Roman" w:hAnsi="Times New Roman"/>
          <w:i/>
          <w:spacing w:val="-1"/>
          <w:sz w:val="12"/>
        </w:rPr>
        <w:t xml:space="preserve"> </w:t>
      </w:r>
      <w:r>
        <w:rPr>
          <w:rFonts w:ascii="Symbol" w:hAnsi="Symbol"/>
          <w:sz w:val="12"/>
        </w:rPr>
        <w:sym w:font="Symbol" w:char="F03D"/>
      </w:r>
      <w:r>
        <w:rPr>
          <w:rFonts w:ascii="Times New Roman" w:hAnsi="Times New Roman"/>
          <w:sz w:val="12"/>
        </w:rPr>
        <w:t>1</w:t>
      </w:r>
    </w:p>
    <w:p>
      <w:pPr>
        <w:spacing w:before="105" w:line="346" w:lineRule="exact"/>
        <w:ind w:left="439" w:right="0" w:firstLine="0"/>
        <w:jc w:val="left"/>
        <w:rPr>
          <w:rFonts w:ascii="Times New Roman" w:hAnsi="Times New Roman"/>
          <w:sz w:val="20"/>
        </w:rPr>
      </w:pPr>
      <w:r>
        <w:br w:type="column"/>
      </w:r>
      <w:r>
        <w:rPr>
          <w:rFonts w:ascii="Symbol" w:hAnsi="Symbol"/>
          <w:position w:val="-4"/>
          <w:sz w:val="30"/>
        </w:rPr>
        <w:sym w:font="Symbol" w:char="F0E5"/>
      </w:r>
      <w:r>
        <w:rPr>
          <w:rFonts w:ascii="Times New Roman" w:hAnsi="Times New Roman"/>
          <w:i/>
          <w:sz w:val="20"/>
        </w:rPr>
        <w:t>W</w:t>
      </w:r>
      <w:r>
        <w:rPr>
          <w:rFonts w:ascii="Times New Roman" w:hAnsi="Times New Roman"/>
          <w:i/>
          <w:spacing w:val="5"/>
          <w:sz w:val="20"/>
        </w:rPr>
        <w:t xml:space="preserve"> </w:t>
      </w:r>
      <w:r>
        <w:rPr>
          <w:rFonts w:ascii="Times New Roman" w:hAnsi="Times New Roman"/>
          <w:i/>
          <w:position w:val="-4"/>
          <w:sz w:val="12"/>
        </w:rPr>
        <w:t>i</w:t>
      </w:r>
      <w:r>
        <w:rPr>
          <w:rFonts w:ascii="Times New Roman" w:hAnsi="Times New Roman"/>
          <w:i/>
          <w:spacing w:val="59"/>
          <w:position w:val="-4"/>
          <w:sz w:val="12"/>
        </w:rPr>
        <w:t xml:space="preserve"> </w:t>
      </w:r>
      <w:r>
        <w:rPr>
          <w:rFonts w:ascii="Symbol" w:hAnsi="Symbol"/>
          <w:sz w:val="20"/>
        </w:rPr>
        <w:sym w:font="Symbol" w:char="F03D"/>
      </w:r>
      <w:r>
        <w:rPr>
          <w:rFonts w:ascii="Times New Roman" w:hAnsi="Times New Roman"/>
          <w:spacing w:val="-27"/>
          <w:sz w:val="20"/>
        </w:rPr>
        <w:t xml:space="preserve"> </w:t>
      </w:r>
      <w:r>
        <w:rPr>
          <w:rFonts w:ascii="Times New Roman" w:hAnsi="Times New Roman"/>
          <w:spacing w:val="-10"/>
          <w:sz w:val="20"/>
        </w:rPr>
        <w:t>1</w:t>
      </w:r>
    </w:p>
    <w:p>
      <w:pPr>
        <w:spacing w:before="0" w:line="126" w:lineRule="exact"/>
        <w:ind w:left="457" w:right="0" w:firstLine="0"/>
        <w:jc w:val="left"/>
        <w:rPr>
          <w:rFonts w:ascii="Times New Roman" w:hAnsi="Times New Roman"/>
          <w:sz w:val="12"/>
        </w:rPr>
      </w:pPr>
      <w:r>
        <w:pict>
          <v:shape id="_x0000_s1125" type="#_x0000_t202" style="width:4.35pt;height:6.65pt;margin-top:-19.46pt;margin-left:361.77pt;mso-position-horizontal-relative:page;position:absolute;z-index:-251645952" filled="f" stroked="f">
            <v:textbox inset="0,0,0,0">
              <w:txbxContent>
                <w:p>
                  <w:pPr>
                    <w:spacing w:before="0" w:line="133" w:lineRule="exact"/>
                    <w:ind w:left="0" w:right="0" w:firstLine="0"/>
                    <w:jc w:val="left"/>
                    <w:rPr>
                      <w:rFonts w:ascii="Times New Roman"/>
                      <w:i/>
                      <w:sz w:val="12"/>
                    </w:rPr>
                  </w:pPr>
                  <w:r>
                    <w:rPr>
                      <w:rFonts w:ascii="Times New Roman"/>
                      <w:i/>
                      <w:sz w:val="12"/>
                    </w:rPr>
                    <w:t>m</w:t>
                  </w:r>
                </w:p>
              </w:txbxContent>
            </v:textbox>
          </v:shape>
        </w:pict>
      </w:r>
      <w:r>
        <w:rPr>
          <w:rFonts w:ascii="Times New Roman" w:hAnsi="Times New Roman"/>
          <w:i/>
          <w:sz w:val="12"/>
        </w:rPr>
        <w:t>i</w:t>
      </w:r>
      <w:r>
        <w:rPr>
          <w:rFonts w:ascii="Times New Roman" w:hAnsi="Times New Roman"/>
          <w:i/>
          <w:spacing w:val="5"/>
          <w:sz w:val="12"/>
        </w:rPr>
        <w:t xml:space="preserve"> </w:t>
      </w:r>
      <w:r>
        <w:rPr>
          <w:rFonts w:ascii="Symbol" w:hAnsi="Symbol"/>
          <w:spacing w:val="-5"/>
          <w:sz w:val="12"/>
        </w:rPr>
        <w:sym w:font="Symbol" w:char="F03D"/>
      </w:r>
      <w:r>
        <w:rPr>
          <w:rFonts w:ascii="Times New Roman" w:hAnsi="Times New Roman"/>
          <w:spacing w:val="-5"/>
          <w:sz w:val="12"/>
        </w:rPr>
        <w:t>1</w:t>
      </w:r>
    </w:p>
    <w:p>
      <w:pPr>
        <w:spacing w:before="147"/>
        <w:ind w:left="640" w:right="0" w:firstLine="0"/>
        <w:jc w:val="left"/>
        <w:rPr>
          <w:sz w:val="21"/>
        </w:rPr>
      </w:pPr>
      <w:r>
        <w:br w:type="column"/>
      </w:r>
      <w:r>
        <w:rPr>
          <w:spacing w:val="-5"/>
          <w:sz w:val="21"/>
        </w:rPr>
        <w:t>（</w:t>
      </w:r>
      <w:r>
        <w:rPr>
          <w:rFonts w:ascii="Times New Roman" w:eastAsia="Times New Roman"/>
          <w:spacing w:val="-5"/>
          <w:sz w:val="21"/>
        </w:rPr>
        <w:t>9</w:t>
      </w:r>
      <w:r>
        <w:rPr>
          <w:spacing w:val="-5"/>
          <w:sz w:val="21"/>
        </w:rPr>
        <w:t>）</w:t>
      </w:r>
    </w:p>
    <w:p>
      <w:pPr>
        <w:spacing w:after="0"/>
        <w:jc w:val="left"/>
        <w:rPr>
          <w:sz w:val="21"/>
        </w:rPr>
        <w:sectPr>
          <w:footerReference w:type="even" r:id="rId72"/>
          <w:footerReference w:type="default" r:id="rId73"/>
          <w:type w:val="continuous"/>
          <w:pgSz w:w="11910" w:h="16840"/>
          <w:pgMar w:top="1480" w:right="1500" w:bottom="1180" w:left="1580" w:header="0" w:footer="990"/>
          <w:pgNumType w:start="634"/>
          <w:cols w:num="4" w:space="708" w:equalWidth="0">
            <w:col w:w="1771" w:space="1569"/>
            <w:col w:w="1781" w:space="40"/>
            <w:col w:w="1272" w:space="928"/>
            <w:col w:w="1469" w:space="0"/>
          </w:cols>
        </w:sectPr>
      </w:pPr>
    </w:p>
    <w:p>
      <w:pPr>
        <w:pStyle w:val="BodyText"/>
        <w:spacing w:before="51"/>
        <w:ind w:left="640"/>
      </w:pPr>
      <w:r>
        <w:rPr>
          <w:spacing w:val="-11"/>
        </w:rPr>
        <w:t xml:space="preserve">此法所求 </w:t>
      </w:r>
      <w:r>
        <w:rPr>
          <w:rFonts w:ascii="Times New Roman" w:eastAsia="Times New Roman"/>
        </w:rPr>
        <w:t xml:space="preserve">j </w:t>
      </w:r>
      <w:r>
        <w:rPr>
          <w:spacing w:val="-6"/>
        </w:rPr>
        <w:t xml:space="preserve">点的综合评价指数 </w:t>
      </w:r>
      <w:r>
        <w:rPr>
          <w:rFonts w:ascii="Times New Roman" w:eastAsia="Times New Roman"/>
        </w:rPr>
        <w:t>S</w:t>
      </w:r>
      <w:r>
        <w:rPr>
          <w:rFonts w:ascii="Times New Roman" w:eastAsia="Times New Roman"/>
          <w:spacing w:val="-1"/>
        </w:rPr>
        <w:t xml:space="preserve"> </w:t>
      </w:r>
      <w:r>
        <w:rPr>
          <w:spacing w:val="-2"/>
        </w:rPr>
        <w:t>可表达为：</w:t>
      </w:r>
    </w:p>
    <w:p>
      <w:pPr>
        <w:spacing w:before="58" w:line="44" w:lineRule="exact"/>
        <w:ind w:left="547" w:right="0" w:firstLine="0"/>
        <w:jc w:val="center"/>
        <w:rPr>
          <w:rFonts w:ascii="Times New Roman"/>
          <w:i/>
          <w:sz w:val="12"/>
        </w:rPr>
      </w:pPr>
      <w:r>
        <w:rPr>
          <w:rFonts w:ascii="Times New Roman"/>
          <w:i/>
          <w:sz w:val="12"/>
        </w:rPr>
        <w:t>m</w:t>
      </w:r>
    </w:p>
    <w:p>
      <w:pPr>
        <w:spacing w:after="0" w:line="44" w:lineRule="exact"/>
        <w:jc w:val="center"/>
        <w:rPr>
          <w:rFonts w:ascii="Times New Roman"/>
          <w:sz w:val="12"/>
        </w:rPr>
        <w:sectPr>
          <w:footerReference w:type="even" r:id="rId74"/>
          <w:footerReference w:type="default" r:id="rId75"/>
          <w:type w:val="continuous"/>
          <w:pgSz w:w="11910" w:h="16840"/>
          <w:pgMar w:top="1480" w:right="1500" w:bottom="1180" w:left="1580" w:header="0" w:footer="990"/>
          <w:pgNumType w:start="635"/>
          <w:cols w:space="708"/>
        </w:sectPr>
      </w:pPr>
    </w:p>
    <w:p>
      <w:pPr>
        <w:pStyle w:val="BodyText"/>
        <w:rPr>
          <w:rFonts w:ascii="Times New Roman"/>
          <w:i/>
          <w:sz w:val="22"/>
        </w:rPr>
      </w:pPr>
    </w:p>
    <w:p>
      <w:pPr>
        <w:pStyle w:val="BodyText"/>
        <w:spacing w:before="10"/>
        <w:rPr>
          <w:rFonts w:ascii="Times New Roman"/>
          <w:i/>
          <w:sz w:val="27"/>
        </w:rPr>
      </w:pPr>
    </w:p>
    <w:p>
      <w:pPr>
        <w:pStyle w:val="ListParagraph"/>
        <w:numPr>
          <w:ilvl w:val="0"/>
          <w:numId w:val="33"/>
        </w:numPr>
        <w:tabs>
          <w:tab w:val="left" w:pos="903"/>
        </w:tabs>
        <w:spacing w:before="0" w:after="0" w:line="240" w:lineRule="auto"/>
        <w:ind w:left="902" w:right="0" w:hanging="263"/>
        <w:jc w:val="left"/>
        <w:rPr>
          <w:sz w:val="21"/>
        </w:rPr>
      </w:pPr>
      <w:r>
        <w:rPr>
          <w:spacing w:val="-2"/>
          <w:sz w:val="21"/>
        </w:rPr>
        <w:t>算术平均法</w:t>
      </w:r>
    </w:p>
    <w:p>
      <w:pPr>
        <w:tabs>
          <w:tab w:val="left" w:pos="951"/>
        </w:tabs>
        <w:spacing w:before="4" w:line="346" w:lineRule="exact"/>
        <w:ind w:left="640" w:right="0" w:firstLine="0"/>
        <w:jc w:val="left"/>
        <w:rPr>
          <w:rFonts w:ascii="Times New Roman" w:hAnsi="Times New Roman"/>
          <w:sz w:val="20"/>
        </w:rPr>
      </w:pPr>
      <w:r>
        <w:br w:type="column"/>
      </w:r>
      <w:r>
        <w:rPr>
          <w:rFonts w:ascii="Times New Roman" w:hAnsi="Times New Roman"/>
          <w:i/>
          <w:spacing w:val="-10"/>
          <w:sz w:val="20"/>
        </w:rPr>
        <w:t>S</w:t>
      </w:r>
      <w:r>
        <w:rPr>
          <w:rFonts w:ascii="Times New Roman" w:hAnsi="Times New Roman"/>
          <w:i/>
          <w:sz w:val="20"/>
        </w:rPr>
        <w:tab/>
      </w:r>
      <w:r>
        <w:rPr>
          <w:rFonts w:ascii="Symbol" w:hAnsi="Symbol"/>
          <w:sz w:val="20"/>
        </w:rPr>
        <w:sym w:font="Symbol" w:char="F03D"/>
      </w:r>
      <w:r>
        <w:rPr>
          <w:rFonts w:ascii="Times New Roman" w:hAnsi="Times New Roman"/>
          <w:spacing w:val="-10"/>
          <w:sz w:val="20"/>
        </w:rPr>
        <w:t xml:space="preserve"> </w:t>
      </w:r>
      <w:r>
        <w:rPr>
          <w:rFonts w:ascii="Times New Roman" w:hAnsi="Times New Roman"/>
          <w:sz w:val="20"/>
        </w:rPr>
        <w:t>[</w:t>
      </w:r>
      <w:r>
        <w:rPr>
          <w:rFonts w:ascii="Symbol" w:hAnsi="Symbol"/>
          <w:position w:val="-4"/>
          <w:sz w:val="30"/>
        </w:rPr>
        <w:sym w:font="Symbol" w:char="F0E5"/>
      </w:r>
      <w:r>
        <w:rPr>
          <w:rFonts w:ascii="Times New Roman" w:hAnsi="Times New Roman"/>
          <w:spacing w:val="-48"/>
          <w:position w:val="-4"/>
          <w:sz w:val="30"/>
        </w:rPr>
        <w:t xml:space="preserve"> </w:t>
      </w:r>
      <w:r>
        <w:rPr>
          <w:rFonts w:ascii="Times New Roman" w:hAnsi="Times New Roman"/>
          <w:i/>
          <w:sz w:val="20"/>
        </w:rPr>
        <w:t>S</w:t>
      </w:r>
      <w:r>
        <w:rPr>
          <w:rFonts w:ascii="Times New Roman" w:hAnsi="Times New Roman"/>
          <w:i/>
          <w:spacing w:val="28"/>
          <w:sz w:val="20"/>
        </w:rPr>
        <w:t xml:space="preserve"> </w:t>
      </w:r>
      <w:r>
        <w:rPr>
          <w:rFonts w:ascii="Times New Roman" w:hAnsi="Times New Roman"/>
          <w:spacing w:val="-14"/>
          <w:sz w:val="20"/>
          <w:vertAlign w:val="superscript"/>
        </w:rPr>
        <w:t>2</w:t>
      </w:r>
    </w:p>
    <w:p>
      <w:pPr>
        <w:spacing w:before="0" w:line="126" w:lineRule="exact"/>
        <w:ind w:left="0" w:right="270" w:firstLine="0"/>
        <w:jc w:val="right"/>
        <w:rPr>
          <w:rFonts w:ascii="Times New Roman" w:hAnsi="Times New Roman"/>
          <w:sz w:val="12"/>
        </w:rPr>
      </w:pPr>
      <w:r>
        <w:pict>
          <v:shape id="_x0000_s1126" type="#_x0000_t202" style="width:7.85pt;height:6.65pt;margin-top:-7.59pt;margin-left:327.68pt;mso-position-horizontal-relative:page;position:absolute;z-index:-251644928" filled="f" stroked="f">
            <v:textbox inset="0,0,0,0">
              <w:txbxContent>
                <w:p>
                  <w:pPr>
                    <w:spacing w:before="0" w:line="133" w:lineRule="exact"/>
                    <w:ind w:left="0" w:right="0" w:firstLine="0"/>
                    <w:jc w:val="left"/>
                    <w:rPr>
                      <w:rFonts w:ascii="Times New Roman"/>
                      <w:i/>
                      <w:sz w:val="12"/>
                    </w:rPr>
                  </w:pPr>
                  <w:r>
                    <w:rPr>
                      <w:rFonts w:ascii="Times New Roman"/>
                      <w:i/>
                      <w:sz w:val="12"/>
                    </w:rPr>
                    <w:t>i</w:t>
                  </w:r>
                  <w:r>
                    <w:rPr>
                      <w:rFonts w:ascii="Times New Roman"/>
                      <w:i/>
                      <w:spacing w:val="3"/>
                      <w:sz w:val="12"/>
                    </w:rPr>
                    <w:t xml:space="preserve"> </w:t>
                  </w:r>
                  <w:r>
                    <w:rPr>
                      <w:rFonts w:ascii="Times New Roman"/>
                      <w:sz w:val="12"/>
                    </w:rPr>
                    <w:t>,</w:t>
                  </w:r>
                  <w:r>
                    <w:rPr>
                      <w:rFonts w:ascii="Times New Roman"/>
                      <w:spacing w:val="-4"/>
                      <w:sz w:val="12"/>
                    </w:rPr>
                    <w:t xml:space="preserve"> </w:t>
                  </w:r>
                  <w:r>
                    <w:rPr>
                      <w:rFonts w:ascii="Times New Roman"/>
                      <w:i/>
                      <w:spacing w:val="-10"/>
                      <w:sz w:val="12"/>
                    </w:rPr>
                    <w:t>j</w:t>
                  </w:r>
                </w:p>
              </w:txbxContent>
            </v:textbox>
          </v:shape>
        </w:pict>
      </w:r>
      <w:r>
        <w:pict>
          <v:shape id="_x0000_s1127" type="#_x0000_t202" style="width:1.7pt;height:6.65pt;margin-top:-7.59pt;margin-left:290.05pt;mso-position-horizontal-relative:page;position:absolute;z-index:-251643904" filled="f" stroked="f">
            <v:textbox inset="0,0,0,0">
              <w:txbxContent>
                <w:p>
                  <w:pPr>
                    <w:spacing w:before="0" w:line="133" w:lineRule="exact"/>
                    <w:ind w:left="0" w:right="0" w:firstLine="0"/>
                    <w:jc w:val="left"/>
                    <w:rPr>
                      <w:rFonts w:ascii="Times New Roman"/>
                      <w:i/>
                      <w:sz w:val="12"/>
                    </w:rPr>
                  </w:pPr>
                  <w:r>
                    <w:rPr>
                      <w:rFonts w:ascii="Times New Roman"/>
                      <w:i/>
                      <w:sz w:val="12"/>
                    </w:rPr>
                    <w:t>j</w:t>
                  </w:r>
                </w:p>
              </w:txbxContent>
            </v:textbox>
          </v:shape>
        </w:pict>
      </w:r>
      <w:r>
        <w:rPr>
          <w:rFonts w:ascii="Times New Roman" w:hAnsi="Times New Roman"/>
          <w:i/>
          <w:sz w:val="12"/>
        </w:rPr>
        <w:t>i</w:t>
      </w:r>
      <w:r>
        <w:rPr>
          <w:rFonts w:ascii="Times New Roman" w:hAnsi="Times New Roman"/>
          <w:i/>
          <w:spacing w:val="4"/>
          <w:sz w:val="12"/>
        </w:rPr>
        <w:t xml:space="preserve"> </w:t>
      </w:r>
      <w:r>
        <w:rPr>
          <w:rFonts w:ascii="Symbol" w:hAnsi="Symbol"/>
          <w:spacing w:val="-5"/>
          <w:sz w:val="12"/>
        </w:rPr>
        <w:sym w:font="Symbol" w:char="F03D"/>
      </w:r>
      <w:r>
        <w:rPr>
          <w:rFonts w:ascii="Times New Roman" w:hAnsi="Times New Roman"/>
          <w:spacing w:val="-5"/>
          <w:sz w:val="12"/>
        </w:rPr>
        <w:t>1</w:t>
      </w:r>
    </w:p>
    <w:p>
      <w:pPr>
        <w:spacing w:before="54"/>
        <w:ind w:left="85" w:right="0" w:firstLine="0"/>
        <w:jc w:val="left"/>
        <w:rPr>
          <w:rFonts w:ascii="Times New Roman"/>
          <w:sz w:val="12"/>
        </w:rPr>
      </w:pPr>
      <w:r>
        <w:br w:type="column"/>
      </w:r>
      <w:r>
        <w:rPr>
          <w:rFonts w:ascii="Times New Roman"/>
          <w:spacing w:val="-4"/>
          <w:position w:val="-8"/>
          <w:sz w:val="20"/>
        </w:rPr>
        <w:t>]</w:t>
      </w:r>
      <w:r>
        <w:rPr>
          <w:rFonts w:ascii="Times New Roman"/>
          <w:spacing w:val="-4"/>
          <w:sz w:val="12"/>
        </w:rPr>
        <w:t>1/2</w:t>
      </w:r>
    </w:p>
    <w:p>
      <w:pPr>
        <w:pStyle w:val="BodyText"/>
        <w:spacing w:before="46"/>
        <w:ind w:left="640"/>
      </w:pPr>
      <w:r>
        <w:br w:type="column"/>
      </w:r>
      <w:r>
        <w:rPr>
          <w:spacing w:val="-4"/>
        </w:rPr>
        <w:t>（</w:t>
      </w:r>
      <w:r>
        <w:rPr>
          <w:rFonts w:ascii="Times New Roman" w:eastAsia="Times New Roman"/>
          <w:spacing w:val="-4"/>
        </w:rPr>
        <w:t>10</w:t>
      </w:r>
      <w:r>
        <w:rPr>
          <w:spacing w:val="-4"/>
        </w:rPr>
        <w:t>）</w:t>
      </w:r>
    </w:p>
    <w:p>
      <w:pPr>
        <w:spacing w:after="0"/>
        <w:sectPr>
          <w:footerReference w:type="even" r:id="rId76"/>
          <w:footerReference w:type="default" r:id="rId77"/>
          <w:type w:val="continuous"/>
          <w:pgSz w:w="11910" w:h="16840"/>
          <w:pgMar w:top="1480" w:right="1500" w:bottom="1180" w:left="1580" w:header="0" w:footer="990"/>
          <w:pgNumType w:start="636"/>
          <w:cols w:num="4" w:space="708" w:equalWidth="0">
            <w:col w:w="1993" w:space="1422"/>
            <w:col w:w="1649" w:space="40"/>
            <w:col w:w="341" w:space="1811"/>
            <w:col w:w="1574" w:space="0"/>
          </w:cols>
        </w:sectPr>
      </w:pPr>
    </w:p>
    <w:p>
      <w:pPr>
        <w:pStyle w:val="BodyText"/>
        <w:spacing w:before="51"/>
        <w:ind w:left="640"/>
      </w:pPr>
      <w:r>
        <w:rPr>
          <w:spacing w:val="-11"/>
        </w:rPr>
        <w:t xml:space="preserve">此法所求 </w:t>
      </w:r>
      <w:r>
        <w:rPr>
          <w:rFonts w:ascii="Times New Roman" w:eastAsia="Times New Roman"/>
        </w:rPr>
        <w:t xml:space="preserve">j </w:t>
      </w:r>
      <w:r>
        <w:rPr>
          <w:spacing w:val="-6"/>
        </w:rPr>
        <w:t xml:space="preserve">点的综合评价指数 </w:t>
      </w:r>
      <w:r>
        <w:rPr>
          <w:rFonts w:ascii="Times New Roman" w:eastAsia="Times New Roman"/>
        </w:rPr>
        <w:t>S</w:t>
      </w:r>
      <w:r>
        <w:rPr>
          <w:rFonts w:ascii="Times New Roman" w:eastAsia="Times New Roman"/>
          <w:spacing w:val="-1"/>
        </w:rPr>
        <w:t xml:space="preserve"> </w:t>
      </w:r>
      <w:r>
        <w:rPr>
          <w:spacing w:val="-2"/>
        </w:rPr>
        <w:t>可表达为：</w:t>
      </w:r>
    </w:p>
    <w:p>
      <w:pPr>
        <w:spacing w:after="0"/>
        <w:sectPr>
          <w:footerReference w:type="even" r:id="rId78"/>
          <w:footerReference w:type="default" r:id="rId79"/>
          <w:type w:val="continuous"/>
          <w:pgSz w:w="11910" w:h="16840"/>
          <w:pgMar w:top="1480" w:right="1500" w:bottom="1180" w:left="1580" w:header="0" w:footer="990"/>
          <w:pgNumType w:start="637"/>
          <w:cols w:space="708"/>
        </w:sectPr>
      </w:pPr>
    </w:p>
    <w:p>
      <w:pPr>
        <w:pStyle w:val="BodyText"/>
        <w:rPr>
          <w:sz w:val="20"/>
        </w:rPr>
      </w:pPr>
    </w:p>
    <w:p>
      <w:pPr>
        <w:pStyle w:val="BodyText"/>
        <w:rPr>
          <w:sz w:val="20"/>
        </w:rPr>
      </w:pPr>
    </w:p>
    <w:p>
      <w:pPr>
        <w:pStyle w:val="ListParagraph"/>
        <w:numPr>
          <w:ilvl w:val="0"/>
          <w:numId w:val="32"/>
        </w:numPr>
        <w:tabs>
          <w:tab w:val="left" w:pos="534"/>
          <w:tab w:val="left" w:pos="535"/>
        </w:tabs>
        <w:spacing w:before="163" w:after="0" w:line="240" w:lineRule="auto"/>
        <w:ind w:left="535" w:right="0" w:hanging="315"/>
        <w:jc w:val="left"/>
        <w:rPr>
          <w:rFonts w:ascii="黑体" w:eastAsia="黑体"/>
          <w:sz w:val="21"/>
        </w:rPr>
      </w:pPr>
      <w:r>
        <w:rPr>
          <w:rFonts w:ascii="黑体" w:eastAsia="黑体"/>
          <w:spacing w:val="-2"/>
          <w:sz w:val="21"/>
        </w:rPr>
        <w:t>地面水环境影响预测</w:t>
      </w:r>
    </w:p>
    <w:p>
      <w:pPr>
        <w:pStyle w:val="ListParagraph"/>
        <w:numPr>
          <w:ilvl w:val="1"/>
          <w:numId w:val="32"/>
        </w:numPr>
        <w:tabs>
          <w:tab w:val="left" w:pos="692"/>
          <w:tab w:val="left" w:pos="693"/>
        </w:tabs>
        <w:spacing w:before="51" w:after="0" w:line="240" w:lineRule="auto"/>
        <w:ind w:left="692" w:right="0" w:hanging="473"/>
        <w:jc w:val="left"/>
        <w:rPr>
          <w:sz w:val="21"/>
        </w:rPr>
      </w:pPr>
      <w:r>
        <w:rPr>
          <w:spacing w:val="-1"/>
          <w:sz w:val="21"/>
        </w:rPr>
        <w:t>地面水环境影响预测的原则</w:t>
      </w:r>
    </w:p>
    <w:p>
      <w:pPr>
        <w:spacing w:before="156"/>
        <w:ind w:left="220" w:right="0" w:firstLine="0"/>
        <w:jc w:val="left"/>
        <w:rPr>
          <w:rFonts w:ascii="Symbol" w:hAnsi="Symbol"/>
          <w:sz w:val="20"/>
        </w:rPr>
      </w:pPr>
      <w:r>
        <w:br w:type="column"/>
      </w:r>
      <w:r>
        <w:rPr>
          <w:rFonts w:ascii="Times New Roman" w:hAnsi="Times New Roman"/>
          <w:i/>
          <w:sz w:val="20"/>
        </w:rPr>
        <w:t>S</w:t>
      </w:r>
      <w:r>
        <w:rPr>
          <w:rFonts w:ascii="Times New Roman" w:hAnsi="Times New Roman"/>
          <w:i/>
          <w:spacing w:val="17"/>
          <w:sz w:val="20"/>
        </w:rPr>
        <w:t xml:space="preserve"> </w:t>
      </w:r>
      <w:r>
        <w:rPr>
          <w:rFonts w:ascii="Times New Roman" w:hAnsi="Times New Roman"/>
          <w:i/>
          <w:position w:val="-4"/>
          <w:sz w:val="12"/>
        </w:rPr>
        <w:t>j</w:t>
      </w:r>
      <w:r>
        <w:rPr>
          <w:rFonts w:ascii="Times New Roman" w:hAnsi="Times New Roman"/>
          <w:i/>
          <w:spacing w:val="77"/>
          <w:position w:val="-4"/>
          <w:sz w:val="12"/>
        </w:rPr>
        <w:t xml:space="preserve"> </w:t>
      </w:r>
      <w:r>
        <w:rPr>
          <w:rFonts w:ascii="Symbol" w:hAnsi="Symbol"/>
          <w:spacing w:val="-10"/>
          <w:sz w:val="20"/>
        </w:rPr>
        <w:sym w:font="Symbol" w:char="F03D"/>
      </w:r>
    </w:p>
    <w:p>
      <w:pPr>
        <w:spacing w:before="41" w:line="160" w:lineRule="auto"/>
        <w:ind w:left="63" w:right="0" w:firstLine="0"/>
        <w:jc w:val="left"/>
        <w:rPr>
          <w:rFonts w:ascii="Times New Roman"/>
          <w:i/>
          <w:sz w:val="20"/>
        </w:rPr>
      </w:pPr>
      <w:r>
        <w:br w:type="column"/>
      </w:r>
      <w:r>
        <w:rPr>
          <w:rFonts w:ascii="Times New Roman"/>
          <w:position w:val="-5"/>
          <w:sz w:val="20"/>
        </w:rPr>
        <w:t>1</w:t>
      </w:r>
      <w:r>
        <w:rPr>
          <w:rFonts w:ascii="Times New Roman"/>
          <w:spacing w:val="75"/>
          <w:w w:val="150"/>
          <w:position w:val="-5"/>
          <w:sz w:val="20"/>
        </w:rPr>
        <w:t xml:space="preserve"> </w:t>
      </w:r>
      <w:r>
        <w:rPr>
          <w:rFonts w:ascii="Times New Roman"/>
          <w:i/>
          <w:sz w:val="12"/>
        </w:rPr>
        <w:t>m</w:t>
      </w:r>
      <w:r>
        <w:rPr>
          <w:rFonts w:ascii="Times New Roman"/>
          <w:i/>
          <w:spacing w:val="70"/>
          <w:sz w:val="12"/>
        </w:rPr>
        <w:t xml:space="preserve"> </w:t>
      </w:r>
      <w:r>
        <w:rPr>
          <w:rFonts w:ascii="Times New Roman"/>
          <w:i/>
          <w:spacing w:val="-10"/>
          <w:position w:val="-18"/>
          <w:sz w:val="20"/>
        </w:rPr>
        <w:t>S</w:t>
      </w:r>
    </w:p>
    <w:p>
      <w:pPr>
        <w:spacing w:before="0" w:line="250" w:lineRule="exact"/>
        <w:ind w:left="30" w:right="0" w:firstLine="0"/>
        <w:jc w:val="left"/>
        <w:rPr>
          <w:rFonts w:ascii="Times New Roman" w:hAnsi="Times New Roman"/>
          <w:sz w:val="12"/>
        </w:rPr>
      </w:pPr>
      <w:r>
        <w:pict>
          <v:line id="_x0000_s1128" style="mso-position-horizontal-relative:page;position:absolute;z-index:251673600" from="297.65pt,-1pt" to="308.1pt,-1pt" stroked="t" strokecolor="black" strokeweight="0.5pt">
            <v:stroke dashstyle="solid"/>
          </v:line>
        </w:pict>
      </w:r>
      <w:r>
        <w:pict>
          <v:shape id="_x0000_s1129" type="#_x0000_t202" style="width:2.85pt;height:18.4pt;margin-top:-11.29pt;margin-left:310.02pt;mso-position-horizontal-relative:page;position:absolute;z-index:-251641856" filled="f" stroked="f">
            <v:textbox inset="0,0,0,0">
              <w:txbxContent>
                <w:p>
                  <w:pPr>
                    <w:spacing w:before="0"/>
                    <w:ind w:left="0" w:right="0" w:firstLine="0"/>
                    <w:jc w:val="left"/>
                    <w:rPr>
                      <w:rFonts w:ascii="Symbol" w:hAnsi="Symbol"/>
                      <w:sz w:val="30"/>
                    </w:rPr>
                  </w:pPr>
                  <w:r>
                    <w:rPr>
                      <w:rFonts w:ascii="Symbol" w:hAnsi="Symbol"/>
                      <w:spacing w:val="-157"/>
                      <w:sz w:val="30"/>
                    </w:rPr>
                    <w:sym w:font="Symbol" w:char="F0E5"/>
                  </w:r>
                </w:p>
              </w:txbxContent>
            </v:textbox>
          </v:shape>
        </w:pict>
      </w:r>
      <w:r>
        <w:rPr>
          <w:rFonts w:ascii="Times New Roman" w:hAnsi="Times New Roman"/>
          <w:i/>
          <w:position w:val="4"/>
          <w:sz w:val="20"/>
        </w:rPr>
        <w:t>m</w:t>
      </w:r>
      <w:r>
        <w:rPr>
          <w:rFonts w:ascii="Times New Roman" w:hAnsi="Times New Roman"/>
          <w:i/>
          <w:spacing w:val="49"/>
          <w:position w:val="4"/>
          <w:sz w:val="20"/>
        </w:rPr>
        <w:t xml:space="preserve"> </w:t>
      </w:r>
      <w:r>
        <w:rPr>
          <w:rFonts w:ascii="Times New Roman" w:hAnsi="Times New Roman"/>
          <w:i/>
          <w:sz w:val="12"/>
        </w:rPr>
        <w:t>i</w:t>
      </w:r>
      <w:r>
        <w:rPr>
          <w:rFonts w:ascii="Times New Roman" w:hAnsi="Times New Roman"/>
          <w:i/>
          <w:spacing w:val="6"/>
          <w:sz w:val="12"/>
        </w:rPr>
        <w:t xml:space="preserve"> </w:t>
      </w:r>
      <w:r>
        <w:rPr>
          <w:rFonts w:ascii="Symbol" w:hAnsi="Symbol"/>
          <w:spacing w:val="-5"/>
          <w:sz w:val="12"/>
        </w:rPr>
        <w:sym w:font="Symbol" w:char="F03D"/>
      </w:r>
      <w:r>
        <w:rPr>
          <w:rFonts w:ascii="Times New Roman" w:hAnsi="Times New Roman"/>
          <w:spacing w:val="-5"/>
          <w:sz w:val="12"/>
        </w:rPr>
        <w:t>1</w:t>
      </w:r>
    </w:p>
    <w:p>
      <w:pPr>
        <w:spacing w:before="0" w:line="240" w:lineRule="auto"/>
        <w:rPr>
          <w:rFonts w:ascii="Times New Roman"/>
          <w:sz w:val="12"/>
        </w:rPr>
      </w:pPr>
      <w:r>
        <w:br w:type="column"/>
      </w:r>
    </w:p>
    <w:p>
      <w:pPr>
        <w:pStyle w:val="BodyText"/>
        <w:spacing w:before="8"/>
        <w:rPr>
          <w:rFonts w:ascii="Times New Roman"/>
          <w:sz w:val="13"/>
        </w:rPr>
      </w:pPr>
    </w:p>
    <w:p>
      <w:pPr>
        <w:spacing w:before="0"/>
        <w:ind w:left="7" w:right="0" w:firstLine="0"/>
        <w:jc w:val="left"/>
        <w:rPr>
          <w:rFonts w:ascii="Times New Roman"/>
          <w:i/>
          <w:sz w:val="12"/>
        </w:rPr>
      </w:pPr>
      <w:r>
        <w:rPr>
          <w:rFonts w:ascii="Times New Roman"/>
          <w:i/>
          <w:sz w:val="12"/>
        </w:rPr>
        <w:t>i</w:t>
      </w:r>
      <w:r>
        <w:rPr>
          <w:rFonts w:ascii="Times New Roman"/>
          <w:i/>
          <w:spacing w:val="4"/>
          <w:sz w:val="12"/>
        </w:rPr>
        <w:t xml:space="preserve"> </w:t>
      </w:r>
      <w:r>
        <w:rPr>
          <w:rFonts w:ascii="Times New Roman"/>
          <w:sz w:val="12"/>
        </w:rPr>
        <w:t>,</w:t>
      </w:r>
      <w:r>
        <w:rPr>
          <w:rFonts w:ascii="Times New Roman"/>
          <w:spacing w:val="-2"/>
          <w:sz w:val="12"/>
        </w:rPr>
        <w:t xml:space="preserve"> </w:t>
      </w:r>
      <w:r>
        <w:rPr>
          <w:rFonts w:ascii="Times New Roman"/>
          <w:i/>
          <w:spacing w:val="-10"/>
          <w:sz w:val="12"/>
        </w:rPr>
        <w:t>j</w:t>
      </w:r>
    </w:p>
    <w:p>
      <w:pPr>
        <w:pStyle w:val="BodyText"/>
        <w:spacing w:before="147"/>
        <w:ind w:left="220"/>
      </w:pPr>
      <w:r>
        <w:br w:type="column"/>
      </w:r>
      <w:r>
        <w:rPr>
          <w:spacing w:val="-4"/>
        </w:rPr>
        <w:t>（</w:t>
      </w:r>
      <w:r>
        <w:rPr>
          <w:rFonts w:ascii="Times New Roman" w:eastAsia="Times New Roman"/>
          <w:spacing w:val="-4"/>
        </w:rPr>
        <w:t>11</w:t>
      </w:r>
      <w:r>
        <w:rPr>
          <w:spacing w:val="-4"/>
        </w:rPr>
        <w:t>）</w:t>
      </w:r>
    </w:p>
    <w:p>
      <w:pPr>
        <w:spacing w:after="0"/>
        <w:sectPr>
          <w:footerReference w:type="even" r:id="rId80"/>
          <w:footerReference w:type="default" r:id="rId81"/>
          <w:type w:val="continuous"/>
          <w:pgSz w:w="11910" w:h="16840"/>
          <w:pgMar w:top="1480" w:right="1500" w:bottom="1180" w:left="1580" w:header="0" w:footer="990"/>
          <w:pgNumType w:start="638"/>
          <w:cols w:num="5" w:space="708" w:equalWidth="0">
            <w:col w:w="3253" w:space="432"/>
            <w:col w:w="638" w:space="40"/>
            <w:col w:w="602" w:space="40"/>
            <w:col w:w="207" w:space="2464"/>
            <w:col w:w="1154" w:space="0"/>
          </w:cols>
        </w:sectPr>
      </w:pPr>
    </w:p>
    <w:p>
      <w:pPr>
        <w:pStyle w:val="ListParagraph"/>
        <w:numPr>
          <w:ilvl w:val="2"/>
          <w:numId w:val="32"/>
        </w:numPr>
        <w:tabs>
          <w:tab w:val="left" w:pos="849"/>
          <w:tab w:val="left" w:pos="850"/>
        </w:tabs>
        <w:spacing w:before="51" w:after="0" w:line="240" w:lineRule="auto"/>
        <w:ind w:left="850" w:right="0" w:hanging="630"/>
        <w:jc w:val="left"/>
        <w:rPr>
          <w:sz w:val="21"/>
        </w:rPr>
      </w:pPr>
      <w:r>
        <w:rPr>
          <w:spacing w:val="-3"/>
          <w:sz w:val="21"/>
        </w:rPr>
        <w:t xml:space="preserve">建设项目地表水环境影响预测的原则和方法参见 </w:t>
      </w:r>
      <w:r>
        <w:rPr>
          <w:rFonts w:ascii="Times New Roman" w:eastAsia="Times New Roman"/>
          <w:sz w:val="21"/>
        </w:rPr>
        <w:t>HJ/T</w:t>
      </w:r>
      <w:r>
        <w:rPr>
          <w:rFonts w:ascii="Times New Roman" w:eastAsia="Times New Roman"/>
          <w:spacing w:val="-3"/>
          <w:sz w:val="21"/>
        </w:rPr>
        <w:t xml:space="preserve"> </w:t>
      </w:r>
      <w:r>
        <w:rPr>
          <w:rFonts w:ascii="Times New Roman" w:eastAsia="Times New Roman"/>
          <w:sz w:val="21"/>
        </w:rPr>
        <w:t>2.1</w:t>
      </w:r>
      <w:r>
        <w:rPr>
          <w:rFonts w:ascii="Times New Roman" w:eastAsia="Times New Roman"/>
          <w:spacing w:val="-1"/>
          <w:sz w:val="21"/>
        </w:rPr>
        <w:t xml:space="preserve"> </w:t>
      </w:r>
      <w:r>
        <w:rPr>
          <w:spacing w:val="-27"/>
          <w:sz w:val="21"/>
        </w:rPr>
        <w:t xml:space="preserve">的 </w:t>
      </w:r>
      <w:r>
        <w:rPr>
          <w:rFonts w:ascii="Times New Roman" w:eastAsia="Times New Roman"/>
          <w:sz w:val="21"/>
        </w:rPr>
        <w:t xml:space="preserve">9.1 </w:t>
      </w:r>
      <w:r>
        <w:rPr>
          <w:spacing w:val="-27"/>
          <w:sz w:val="21"/>
        </w:rPr>
        <w:t xml:space="preserve">和 </w:t>
      </w:r>
      <w:r>
        <w:rPr>
          <w:rFonts w:ascii="Times New Roman" w:eastAsia="Times New Roman"/>
          <w:sz w:val="21"/>
        </w:rPr>
        <w:t>9.2</w:t>
      </w:r>
      <w:r>
        <w:rPr>
          <w:spacing w:val="-10"/>
          <w:sz w:val="21"/>
        </w:rPr>
        <w:t>。</w:t>
      </w:r>
    </w:p>
    <w:p>
      <w:pPr>
        <w:pStyle w:val="ListParagraph"/>
        <w:numPr>
          <w:ilvl w:val="2"/>
          <w:numId w:val="32"/>
        </w:numPr>
        <w:tabs>
          <w:tab w:val="left" w:pos="849"/>
          <w:tab w:val="left" w:pos="850"/>
        </w:tabs>
        <w:spacing w:before="51" w:after="0" w:line="285" w:lineRule="auto"/>
        <w:ind w:left="220" w:right="298" w:firstLine="0"/>
        <w:jc w:val="left"/>
        <w:rPr>
          <w:sz w:val="21"/>
        </w:rPr>
      </w:pPr>
      <w:r>
        <w:rPr>
          <w:spacing w:val="-4"/>
          <w:sz w:val="21"/>
        </w:rPr>
        <w:t>对于季节性河流，应依据当地环保部门所定的水体功能，结合建设项目的特性确定其</w:t>
      </w:r>
      <w:r>
        <w:rPr>
          <w:spacing w:val="-2"/>
          <w:sz w:val="21"/>
        </w:rPr>
        <w:t>预测的原则、范围、时段、内容及方法。</w:t>
      </w:r>
    </w:p>
    <w:p>
      <w:pPr>
        <w:pStyle w:val="ListParagraph"/>
        <w:numPr>
          <w:ilvl w:val="2"/>
          <w:numId w:val="32"/>
        </w:numPr>
        <w:tabs>
          <w:tab w:val="left" w:pos="849"/>
          <w:tab w:val="left" w:pos="850"/>
        </w:tabs>
        <w:spacing w:before="0" w:after="0" w:line="285" w:lineRule="auto"/>
        <w:ind w:left="220" w:right="193" w:firstLine="0"/>
        <w:jc w:val="left"/>
        <w:rPr>
          <w:sz w:val="21"/>
        </w:rPr>
      </w:pPr>
      <w:r>
        <w:rPr>
          <w:spacing w:val="-2"/>
          <w:sz w:val="21"/>
        </w:rPr>
        <w:t>当水生生物保护对地面水环境要求较高时（如珍贵水生生物保护区、经济鱼类养殖区</w:t>
      </w:r>
      <w:r>
        <w:rPr>
          <w:spacing w:val="-2"/>
          <w:sz w:val="21"/>
        </w:rPr>
        <w:t>等</w:t>
      </w:r>
      <w:r>
        <w:rPr>
          <w:spacing w:val="-77"/>
          <w:sz w:val="21"/>
        </w:rPr>
        <w:t>）</w:t>
      </w:r>
      <w:r>
        <w:rPr>
          <w:spacing w:val="-11"/>
          <w:sz w:val="21"/>
        </w:rPr>
        <w:t>，应简要分析建设项目对水生生物的影响。分析时一般可采用类比调查法或专业判断法。</w:t>
      </w:r>
    </w:p>
    <w:p>
      <w:pPr>
        <w:spacing w:after="0" w:line="285" w:lineRule="auto"/>
        <w:jc w:val="left"/>
        <w:rPr>
          <w:sz w:val="21"/>
        </w:rPr>
        <w:sectPr>
          <w:footerReference w:type="even" r:id="rId82"/>
          <w:footerReference w:type="default" r:id="rId83"/>
          <w:type w:val="continuous"/>
          <w:pgSz w:w="11910" w:h="16840"/>
          <w:pgMar w:top="1480" w:right="1500" w:bottom="1180" w:left="1580" w:header="0" w:footer="990"/>
          <w:pgNumType w:start="639"/>
          <w:cols w:space="708"/>
        </w:sectPr>
      </w:pPr>
    </w:p>
    <w:p>
      <w:pPr>
        <w:pStyle w:val="ListParagraph"/>
        <w:numPr>
          <w:ilvl w:val="1"/>
          <w:numId w:val="32"/>
        </w:numPr>
        <w:tabs>
          <w:tab w:val="left" w:pos="693"/>
        </w:tabs>
        <w:spacing w:before="48" w:after="0" w:line="240" w:lineRule="auto"/>
        <w:ind w:left="692" w:right="0" w:hanging="473"/>
        <w:jc w:val="both"/>
        <w:rPr>
          <w:sz w:val="21"/>
        </w:rPr>
      </w:pPr>
      <w:r>
        <w:rPr>
          <w:spacing w:val="-1"/>
          <w:sz w:val="21"/>
        </w:rPr>
        <w:t>预测范围和预测点的布设</w:t>
      </w:r>
    </w:p>
    <w:p>
      <w:pPr>
        <w:pStyle w:val="ListParagraph"/>
        <w:numPr>
          <w:ilvl w:val="2"/>
          <w:numId w:val="32"/>
        </w:numPr>
        <w:tabs>
          <w:tab w:val="left" w:pos="850"/>
        </w:tabs>
        <w:spacing w:before="51" w:after="0" w:line="285" w:lineRule="auto"/>
        <w:ind w:left="220" w:right="298" w:firstLine="0"/>
        <w:jc w:val="both"/>
        <w:rPr>
          <w:sz w:val="21"/>
        </w:rPr>
      </w:pPr>
      <w:r>
        <w:rPr>
          <w:spacing w:val="-6"/>
          <w:sz w:val="21"/>
        </w:rPr>
        <w:t>地面水环境预测的范围与地面水环境现状调查的范围相同或略小</w:t>
      </w:r>
      <w:r>
        <w:rPr>
          <w:spacing w:val="-2"/>
          <w:sz w:val="21"/>
        </w:rPr>
        <w:t>（特殊情况也可以略</w:t>
      </w:r>
      <w:r>
        <w:rPr>
          <w:sz w:val="21"/>
        </w:rPr>
        <w:t>大</w:t>
      </w:r>
      <w:r>
        <w:rPr>
          <w:spacing w:val="-105"/>
          <w:sz w:val="21"/>
        </w:rPr>
        <w:t>）</w:t>
      </w:r>
      <w:r>
        <w:rPr>
          <w:spacing w:val="-2"/>
          <w:sz w:val="21"/>
        </w:rPr>
        <w:t xml:space="preserve">。确定预测范围的原则与现状调查相同，参考 </w:t>
      </w:r>
      <w:r>
        <w:rPr>
          <w:rFonts w:ascii="Times New Roman" w:eastAsia="Times New Roman"/>
          <w:sz w:val="21"/>
        </w:rPr>
        <w:t>6.1</w:t>
      </w:r>
      <w:r>
        <w:rPr>
          <w:sz w:val="21"/>
        </w:rPr>
        <w:t>。</w:t>
      </w:r>
    </w:p>
    <w:p>
      <w:pPr>
        <w:pStyle w:val="ListParagraph"/>
        <w:numPr>
          <w:ilvl w:val="2"/>
          <w:numId w:val="32"/>
        </w:numPr>
        <w:tabs>
          <w:tab w:val="left" w:pos="850"/>
        </w:tabs>
        <w:spacing w:before="0" w:after="0" w:line="285" w:lineRule="auto"/>
        <w:ind w:left="220" w:right="298" w:firstLine="0"/>
        <w:jc w:val="both"/>
        <w:rPr>
          <w:sz w:val="21"/>
        </w:rPr>
      </w:pPr>
      <w:r>
        <w:rPr>
          <w:spacing w:val="-8"/>
          <w:sz w:val="21"/>
        </w:rPr>
        <w:t>在预测范围内应布设适当的预测点，通过预测这些点所受的环境影响来全面反映建设</w:t>
      </w:r>
      <w:r>
        <w:rPr>
          <w:spacing w:val="-8"/>
          <w:sz w:val="21"/>
        </w:rPr>
        <w:t>项目对该范围内地面水环境的影响。预测点的数量和预测点的布设应根据受纳水体和建设项</w:t>
      </w:r>
      <w:r>
        <w:rPr>
          <w:spacing w:val="-2"/>
          <w:sz w:val="21"/>
        </w:rPr>
        <w:t>目的特点、评价等级以及当地的环保要求确定。</w:t>
      </w:r>
    </w:p>
    <w:p>
      <w:pPr>
        <w:pStyle w:val="BodyText"/>
        <w:spacing w:line="269" w:lineRule="exact"/>
        <w:ind w:left="640"/>
      </w:pPr>
      <w:r>
        <w:rPr>
          <w:spacing w:val="-1"/>
        </w:rPr>
        <w:t>虽然在预测范围以外，但估计有可能受到影响的重要用水地点，也应设立预测点。</w:t>
      </w:r>
    </w:p>
    <w:p>
      <w:pPr>
        <w:pStyle w:val="BodyText"/>
        <w:spacing w:before="50" w:line="285" w:lineRule="auto"/>
        <w:ind w:left="220" w:right="297" w:firstLine="420"/>
        <w:jc w:val="both"/>
      </w:pPr>
      <w:r>
        <w:rPr>
          <w:spacing w:val="-4"/>
        </w:rPr>
        <w:t>环境现状监测点应作为预测点。水文特征突然变化和水质突然变化处的上、下游，重要</w:t>
      </w:r>
      <w:r>
        <w:rPr>
          <w:spacing w:val="-4"/>
        </w:rPr>
        <w:t>水工建筑物附近，水文站附近等应布设预测点。当需要预测河流混合过程段的水质时，应在</w:t>
      </w:r>
      <w:r>
        <w:rPr>
          <w:spacing w:val="-2"/>
        </w:rPr>
        <w:t>该段河流中布设若干预测点。</w:t>
      </w:r>
    </w:p>
    <w:p>
      <w:pPr>
        <w:pStyle w:val="BodyText"/>
        <w:spacing w:line="285" w:lineRule="auto"/>
        <w:ind w:left="220" w:right="298" w:firstLine="420"/>
      </w:pPr>
      <w:r>
        <w:rPr>
          <w:spacing w:val="-4"/>
        </w:rPr>
        <w:t>当拟预测溶解氧时，应预测最大亏氧点的位置及该点的浓度，但是分段预测的河段不需</w:t>
      </w:r>
      <w:r>
        <w:rPr>
          <w:spacing w:val="-2"/>
        </w:rPr>
        <w:t>要预测最大亏氧点。</w:t>
      </w:r>
    </w:p>
    <w:p>
      <w:pPr>
        <w:pStyle w:val="BodyText"/>
        <w:spacing w:line="285" w:lineRule="auto"/>
        <w:ind w:left="220" w:right="298" w:firstLine="420"/>
      </w:pPr>
      <w:r>
        <w:rPr>
          <w:spacing w:val="-4"/>
        </w:rPr>
        <w:t>排放口附近常有局部超标区，如有必要可在适当水域加密预测点，以便确定超标区的范</w:t>
      </w:r>
      <w:r>
        <w:rPr>
          <w:spacing w:val="-6"/>
        </w:rPr>
        <w:t>围。</w:t>
      </w:r>
    </w:p>
    <w:p>
      <w:pPr>
        <w:pStyle w:val="ListParagraph"/>
        <w:numPr>
          <w:ilvl w:val="1"/>
          <w:numId w:val="32"/>
        </w:numPr>
        <w:tabs>
          <w:tab w:val="left" w:pos="692"/>
          <w:tab w:val="left" w:pos="693"/>
        </w:tabs>
        <w:spacing w:before="0" w:after="0" w:line="269" w:lineRule="exact"/>
        <w:ind w:left="692" w:right="0" w:hanging="473"/>
        <w:jc w:val="left"/>
        <w:rPr>
          <w:sz w:val="21"/>
        </w:rPr>
      </w:pPr>
      <w:r>
        <w:rPr>
          <w:spacing w:val="-1"/>
          <w:sz w:val="21"/>
        </w:rPr>
        <w:t>建设项目地面水环境影响时期的划分和预测地面水环境影响的时段。</w:t>
      </w:r>
    </w:p>
    <w:p>
      <w:pPr>
        <w:pStyle w:val="ListParagraph"/>
        <w:numPr>
          <w:ilvl w:val="2"/>
          <w:numId w:val="32"/>
        </w:numPr>
        <w:tabs>
          <w:tab w:val="left" w:pos="849"/>
          <w:tab w:val="left" w:pos="850"/>
        </w:tabs>
        <w:spacing w:before="50" w:after="0" w:line="240" w:lineRule="auto"/>
        <w:ind w:left="850" w:right="0" w:hanging="630"/>
        <w:jc w:val="left"/>
        <w:rPr>
          <w:sz w:val="21"/>
        </w:rPr>
      </w:pPr>
      <w:r>
        <w:rPr>
          <w:spacing w:val="-3"/>
          <w:sz w:val="21"/>
        </w:rPr>
        <w:t xml:space="preserve">建设项目地面水环境影响时期的划分参见 </w:t>
      </w:r>
      <w:r>
        <w:rPr>
          <w:rFonts w:ascii="Times New Roman" w:eastAsia="Times New Roman"/>
          <w:sz w:val="21"/>
        </w:rPr>
        <w:t>HJ/T</w:t>
      </w:r>
      <w:r>
        <w:rPr>
          <w:rFonts w:ascii="Times New Roman" w:eastAsia="Times New Roman"/>
          <w:spacing w:val="-4"/>
          <w:sz w:val="21"/>
        </w:rPr>
        <w:t xml:space="preserve"> </w:t>
      </w:r>
      <w:r>
        <w:rPr>
          <w:rFonts w:ascii="Times New Roman" w:eastAsia="Times New Roman"/>
          <w:sz w:val="21"/>
        </w:rPr>
        <w:t xml:space="preserve">2.1 </w:t>
      </w:r>
      <w:r>
        <w:rPr>
          <w:spacing w:val="-27"/>
          <w:sz w:val="21"/>
        </w:rPr>
        <w:t xml:space="preserve">和 </w:t>
      </w:r>
      <w:r>
        <w:rPr>
          <w:rFonts w:ascii="Times New Roman" w:eastAsia="Times New Roman"/>
          <w:sz w:val="21"/>
        </w:rPr>
        <w:t>9.3</w:t>
      </w:r>
      <w:r>
        <w:rPr>
          <w:spacing w:val="-10"/>
          <w:sz w:val="21"/>
        </w:rPr>
        <w:t>。</w:t>
      </w:r>
    </w:p>
    <w:p>
      <w:pPr>
        <w:pStyle w:val="BodyText"/>
        <w:spacing w:before="51" w:line="285" w:lineRule="auto"/>
        <w:ind w:left="220" w:right="298" w:firstLine="420"/>
      </w:pPr>
      <w:r>
        <w:rPr>
          <w:spacing w:val="-6"/>
        </w:rPr>
        <w:t>所有建设项目均应预测生产阶段对地面水环境的影响。该阶段的地面水环境影响应按正</w:t>
      </w:r>
      <w:r>
        <w:rPr>
          <w:spacing w:val="-2"/>
        </w:rPr>
        <w:t>常排放和不正常排放两种情况进行预测。</w:t>
      </w:r>
    </w:p>
    <w:p>
      <w:pPr>
        <w:pStyle w:val="ListParagraph"/>
        <w:numPr>
          <w:ilvl w:val="2"/>
          <w:numId w:val="32"/>
        </w:numPr>
        <w:tabs>
          <w:tab w:val="left" w:pos="850"/>
        </w:tabs>
        <w:spacing w:before="0" w:after="0" w:line="285" w:lineRule="auto"/>
        <w:ind w:left="220" w:right="298" w:firstLine="0"/>
        <w:jc w:val="both"/>
        <w:rPr>
          <w:sz w:val="21"/>
        </w:rPr>
      </w:pPr>
      <w:r>
        <w:rPr>
          <w:spacing w:val="-6"/>
          <w:sz w:val="21"/>
        </w:rPr>
        <w:t>大型建设项目应根据该项目建设过程阶段的特点和评价等级、受纳水体特点以及当地</w:t>
      </w:r>
      <w:r>
        <w:rPr>
          <w:spacing w:val="-7"/>
          <w:sz w:val="21"/>
        </w:rPr>
        <w:t>环保要求决定是否预测该阶段的环境影响。同时具备如下三个特点的大型建设项目应预测建</w:t>
      </w:r>
      <w:r>
        <w:rPr>
          <w:spacing w:val="-2"/>
          <w:sz w:val="21"/>
        </w:rPr>
        <w:t>设过程阶段的环境影响。</w:t>
      </w:r>
    </w:p>
    <w:p>
      <w:pPr>
        <w:pStyle w:val="ListParagraph"/>
        <w:numPr>
          <w:ilvl w:val="0"/>
          <w:numId w:val="31"/>
        </w:numPr>
        <w:tabs>
          <w:tab w:val="left" w:pos="891"/>
        </w:tabs>
        <w:spacing w:before="0" w:after="0" w:line="269" w:lineRule="exact"/>
        <w:ind w:left="890" w:right="0" w:hanging="251"/>
        <w:jc w:val="left"/>
        <w:rPr>
          <w:sz w:val="21"/>
        </w:rPr>
      </w:pPr>
      <w:r>
        <w:rPr>
          <w:spacing w:val="-1"/>
          <w:sz w:val="21"/>
        </w:rPr>
        <w:t>地面水水质要求较高，如要求达到Ⅲ类以上；</w:t>
      </w:r>
    </w:p>
    <w:p>
      <w:pPr>
        <w:pStyle w:val="ListParagraph"/>
        <w:numPr>
          <w:ilvl w:val="0"/>
          <w:numId w:val="31"/>
        </w:numPr>
        <w:tabs>
          <w:tab w:val="left" w:pos="903"/>
        </w:tabs>
        <w:spacing w:before="51" w:after="0" w:line="240" w:lineRule="auto"/>
        <w:ind w:left="902" w:right="0" w:hanging="263"/>
        <w:jc w:val="left"/>
        <w:rPr>
          <w:sz w:val="21"/>
        </w:rPr>
      </w:pPr>
      <w:r>
        <w:rPr>
          <w:spacing w:val="-1"/>
          <w:sz w:val="21"/>
        </w:rPr>
        <w:t>可能进入地面水环境的堆积物较多或土方量较大；</w:t>
      </w:r>
    </w:p>
    <w:p>
      <w:pPr>
        <w:pStyle w:val="ListParagraph"/>
        <w:numPr>
          <w:ilvl w:val="0"/>
          <w:numId w:val="31"/>
        </w:numPr>
        <w:tabs>
          <w:tab w:val="left" w:pos="891"/>
        </w:tabs>
        <w:spacing w:before="51" w:after="0" w:line="240" w:lineRule="auto"/>
        <w:ind w:left="890" w:right="0" w:hanging="251"/>
        <w:jc w:val="left"/>
        <w:rPr>
          <w:sz w:val="21"/>
        </w:rPr>
      </w:pPr>
      <w:r>
        <w:rPr>
          <w:spacing w:val="-1"/>
          <w:sz w:val="21"/>
        </w:rPr>
        <w:t>建设阶段时间较长，如超过一年。</w:t>
      </w:r>
    </w:p>
    <w:p>
      <w:pPr>
        <w:pStyle w:val="BodyText"/>
        <w:spacing w:before="51"/>
        <w:ind w:left="640"/>
      </w:pPr>
      <w:r>
        <w:rPr>
          <w:spacing w:val="-1"/>
        </w:rPr>
        <w:t>建设过程阶段对水环境的影响主要来自水土流失和堆积物的流失。</w:t>
      </w:r>
    </w:p>
    <w:p>
      <w:pPr>
        <w:pStyle w:val="ListParagraph"/>
        <w:numPr>
          <w:ilvl w:val="2"/>
          <w:numId w:val="32"/>
        </w:numPr>
        <w:tabs>
          <w:tab w:val="left" w:pos="849"/>
          <w:tab w:val="left" w:pos="850"/>
        </w:tabs>
        <w:spacing w:before="51" w:after="0" w:line="285" w:lineRule="auto"/>
        <w:ind w:left="220" w:right="297" w:firstLine="0"/>
        <w:jc w:val="left"/>
        <w:rPr>
          <w:sz w:val="21"/>
        </w:rPr>
      </w:pPr>
      <w:r>
        <w:rPr>
          <w:spacing w:val="-4"/>
          <w:sz w:val="21"/>
        </w:rPr>
        <w:t>根据建设项目的特点、评价等级、地面水环境特点和当地环保要求。个别建设项目应</w:t>
      </w:r>
      <w:r>
        <w:rPr>
          <w:spacing w:val="-2"/>
          <w:sz w:val="21"/>
        </w:rPr>
        <w:t>预测服务期满后对地面水环境的影响。矿山开发项目一般应预测此种环境影响。</w:t>
      </w:r>
    </w:p>
    <w:p>
      <w:pPr>
        <w:pStyle w:val="BodyText"/>
        <w:spacing w:line="285" w:lineRule="auto"/>
        <w:ind w:left="220" w:right="298" w:firstLine="420"/>
      </w:pPr>
      <w:r>
        <w:rPr>
          <w:spacing w:val="-2"/>
        </w:rPr>
        <w:t>服务期满后地面水环境影响主要来源于水土流失所产生的悬浮物和以各种形式存在于</w:t>
      </w:r>
      <w:r>
        <w:rPr>
          <w:spacing w:val="-2"/>
        </w:rPr>
        <w:t>废渣、废矿中的污染物。</w:t>
      </w:r>
    </w:p>
    <w:p>
      <w:pPr>
        <w:pStyle w:val="ListParagraph"/>
        <w:numPr>
          <w:ilvl w:val="2"/>
          <w:numId w:val="32"/>
        </w:numPr>
        <w:tabs>
          <w:tab w:val="left" w:pos="850"/>
        </w:tabs>
        <w:spacing w:before="0" w:after="0" w:line="285" w:lineRule="auto"/>
        <w:ind w:left="220" w:right="298" w:firstLine="0"/>
        <w:jc w:val="both"/>
        <w:rPr>
          <w:sz w:val="21"/>
        </w:rPr>
      </w:pPr>
      <w:r>
        <w:rPr>
          <w:spacing w:val="-6"/>
          <w:sz w:val="21"/>
        </w:rPr>
        <w:t>地面水环境预测应考虑水体自净能力不同的各个时段。通常可将其划分为自净能力最</w:t>
      </w:r>
      <w:r>
        <w:rPr>
          <w:spacing w:val="-4"/>
          <w:sz w:val="21"/>
        </w:rPr>
        <w:t>小、一般、最大三个时段。自净能力最小的时段通常在枯水期（结合建设项目设计的要求考</w:t>
      </w:r>
      <w:r>
        <w:rPr>
          <w:spacing w:val="-2"/>
          <w:sz w:val="21"/>
        </w:rPr>
        <w:t>虑水量的保证率</w:t>
      </w:r>
      <w:r>
        <w:rPr>
          <w:spacing w:val="-105"/>
          <w:sz w:val="21"/>
        </w:rPr>
        <w:t>）</w:t>
      </w:r>
      <w:r>
        <w:rPr>
          <w:spacing w:val="-2"/>
          <w:sz w:val="21"/>
        </w:rPr>
        <w:t>，个别水域由于面源污染严重也可能在丰水期。自净能力一般的时段通常</w:t>
      </w:r>
      <w:r>
        <w:rPr>
          <w:spacing w:val="-4"/>
          <w:sz w:val="21"/>
        </w:rPr>
        <w:t>在平水期。冰封期的自净能力很小，情况特殊，如果冰封期较长可单独考虑。海湾的自净能</w:t>
      </w:r>
      <w:r>
        <w:rPr>
          <w:spacing w:val="-2"/>
          <w:sz w:val="21"/>
        </w:rPr>
        <w:t>力与时期的关系不明显，可以不分时段。</w:t>
      </w:r>
    </w:p>
    <w:p>
      <w:pPr>
        <w:pStyle w:val="BodyText"/>
        <w:spacing w:line="285" w:lineRule="auto"/>
        <w:ind w:left="220" w:right="205" w:firstLine="420"/>
      </w:pPr>
      <w:r>
        <w:rPr>
          <w:spacing w:val="-12"/>
        </w:rPr>
        <w:t>评价等级为一、二级时应分别预测建设项目在水体自净能力最小和一般两个时段的环境</w:t>
      </w:r>
      <w:r>
        <w:rPr>
          <w:spacing w:val="-2"/>
        </w:rPr>
        <w:t>影响。冰封期较长的水域，当其水体功能为生活饮用水、食品工业用水水源或渔业用水时，</w:t>
      </w:r>
      <w:r>
        <w:rPr>
          <w:spacing w:val="-2"/>
        </w:rPr>
        <w:t>还应预测此时段的环境影响。评价等级三级或评价等级为二级但评价时间较短时，可以只预</w:t>
      </w:r>
      <w:r>
        <w:rPr>
          <w:spacing w:val="-2"/>
        </w:rPr>
        <w:t>测自净能力最小时段的环境影响。</w:t>
      </w:r>
    </w:p>
    <w:p>
      <w:pPr>
        <w:pStyle w:val="ListParagraph"/>
        <w:numPr>
          <w:ilvl w:val="2"/>
          <w:numId w:val="32"/>
        </w:numPr>
        <w:tabs>
          <w:tab w:val="left" w:pos="850"/>
        </w:tabs>
        <w:spacing w:before="0" w:after="0" w:line="285" w:lineRule="auto"/>
        <w:ind w:left="220" w:right="298" w:firstLine="0"/>
        <w:jc w:val="both"/>
        <w:rPr>
          <w:sz w:val="21"/>
        </w:rPr>
      </w:pPr>
      <w:r>
        <w:rPr>
          <w:spacing w:val="-5"/>
          <w:sz w:val="21"/>
        </w:rPr>
        <w:t>本标准中提出的环境影响预测方法大多未考虑污水排放的动量和浮力作用，这对绝大</w:t>
      </w:r>
      <w:r>
        <w:rPr>
          <w:spacing w:val="-4"/>
          <w:sz w:val="21"/>
        </w:rPr>
        <w:t>多数地面水环境影响预测中所遇到的排放特点、水流状态及预测范围来说是可行的。但个别</w:t>
      </w:r>
      <w:r>
        <w:rPr>
          <w:spacing w:val="-4"/>
          <w:sz w:val="21"/>
        </w:rPr>
        <w:t>情况，其污水排放量、排放速度相对于水体来说过大，而预测范围又距排放口较近时，应该</w:t>
      </w:r>
      <w:r>
        <w:rPr>
          <w:spacing w:val="-2"/>
          <w:sz w:val="21"/>
        </w:rPr>
        <w:t>考虑污水排放的动量和浮力作用。</w:t>
      </w:r>
    </w:p>
    <w:p>
      <w:pPr>
        <w:pStyle w:val="ListParagraph"/>
        <w:numPr>
          <w:ilvl w:val="1"/>
          <w:numId w:val="32"/>
        </w:numPr>
        <w:tabs>
          <w:tab w:val="left" w:pos="693"/>
        </w:tabs>
        <w:spacing w:before="0" w:after="0" w:line="268" w:lineRule="exact"/>
        <w:ind w:left="692" w:right="0" w:hanging="473"/>
        <w:jc w:val="both"/>
        <w:rPr>
          <w:sz w:val="21"/>
        </w:rPr>
      </w:pPr>
      <w:r>
        <w:rPr>
          <w:spacing w:val="-1"/>
          <w:sz w:val="21"/>
        </w:rPr>
        <w:t>拟预测水质参数的筛选</w:t>
      </w:r>
    </w:p>
    <w:p>
      <w:pPr>
        <w:spacing w:after="0" w:line="268" w:lineRule="exact"/>
        <w:jc w:val="both"/>
        <w:rPr>
          <w:sz w:val="21"/>
        </w:rPr>
        <w:sectPr>
          <w:footerReference w:type="even" r:id="rId84"/>
          <w:footerReference w:type="default" r:id="rId85"/>
          <w:pgSz w:w="11910" w:h="16840"/>
          <w:pgMar w:top="1420" w:right="1500" w:bottom="1180" w:left="1580" w:header="0" w:footer="990"/>
          <w:pgNumType w:start="640"/>
          <w:cols w:space="708"/>
        </w:sectPr>
      </w:pPr>
    </w:p>
    <w:p>
      <w:pPr>
        <w:pStyle w:val="ListParagraph"/>
        <w:numPr>
          <w:ilvl w:val="2"/>
          <w:numId w:val="32"/>
        </w:numPr>
        <w:tabs>
          <w:tab w:val="left" w:pos="849"/>
          <w:tab w:val="left" w:pos="850"/>
        </w:tabs>
        <w:spacing w:before="48" w:after="0" w:line="285" w:lineRule="auto"/>
        <w:ind w:left="220" w:right="205" w:firstLine="0"/>
        <w:jc w:val="left"/>
        <w:rPr>
          <w:sz w:val="21"/>
        </w:rPr>
      </w:pPr>
      <w:r>
        <w:rPr>
          <w:spacing w:val="-2"/>
          <w:sz w:val="21"/>
        </w:rPr>
        <w:t>建设项目实施过程各阶段拟预测的水质参数应根据工程分析和环境现状、评价等级、</w:t>
      </w:r>
      <w:r>
        <w:rPr>
          <w:spacing w:val="-2"/>
          <w:sz w:val="21"/>
        </w:rPr>
        <w:t>当地的环境要求筛选和确定。</w:t>
      </w:r>
    </w:p>
    <w:p>
      <w:pPr>
        <w:pStyle w:val="BodyText"/>
        <w:spacing w:line="285" w:lineRule="auto"/>
        <w:ind w:left="220" w:right="298" w:firstLine="420"/>
      </w:pPr>
      <w:r>
        <w:rPr>
          <w:spacing w:val="-7"/>
        </w:rPr>
        <w:t>拟预测水质参数和数目应既说明问题又不过多。一般应少于环境现状调查水质参数的数</w:t>
      </w:r>
      <w:r>
        <w:rPr>
          <w:spacing w:val="-6"/>
        </w:rPr>
        <w:t>目。</w:t>
      </w:r>
    </w:p>
    <w:p>
      <w:pPr>
        <w:pStyle w:val="BodyText"/>
        <w:spacing w:line="285" w:lineRule="auto"/>
        <w:ind w:left="220" w:right="298" w:firstLine="420"/>
      </w:pPr>
      <w:r>
        <w:rPr>
          <w:spacing w:val="-2"/>
        </w:rPr>
        <w:t>建设过程、生产运行（包括正常和不正常排放两种情况</w:t>
      </w:r>
      <w:r>
        <w:rPr>
          <w:spacing w:val="-105"/>
        </w:rPr>
        <w:t>）</w:t>
      </w:r>
      <w:r>
        <w:rPr>
          <w:spacing w:val="-2"/>
        </w:rPr>
        <w:t>、服务期满后各阶段均应根据</w:t>
      </w:r>
      <w:r>
        <w:rPr>
          <w:spacing w:val="-2"/>
        </w:rPr>
        <w:t>各自的具体情况决定其拟预测水质参数，彼此不一定相同。</w:t>
      </w:r>
    </w:p>
    <w:p>
      <w:pPr>
        <w:pStyle w:val="ListParagraph"/>
        <w:numPr>
          <w:ilvl w:val="2"/>
          <w:numId w:val="32"/>
        </w:numPr>
        <w:tabs>
          <w:tab w:val="left" w:pos="849"/>
          <w:tab w:val="left" w:pos="850"/>
        </w:tabs>
        <w:spacing w:before="0" w:after="0" w:line="285" w:lineRule="auto"/>
        <w:ind w:left="640" w:right="571" w:hanging="420"/>
        <w:jc w:val="left"/>
        <w:rPr>
          <w:sz w:val="21"/>
        </w:rPr>
      </w:pPr>
      <w:r>
        <w:rPr>
          <w:spacing w:val="-2"/>
          <w:sz w:val="21"/>
        </w:rPr>
        <w:t>根据上述原则，在环境现状调查水质参数（</w:t>
      </w:r>
      <w:r>
        <w:rPr>
          <w:spacing w:val="-16"/>
          <w:sz w:val="21"/>
        </w:rPr>
        <w:t xml:space="preserve">参见 </w:t>
      </w:r>
      <w:r>
        <w:rPr>
          <w:rFonts w:ascii="Times New Roman" w:eastAsia="Times New Roman"/>
          <w:spacing w:val="-2"/>
          <w:sz w:val="21"/>
        </w:rPr>
        <w:t>6.5.2</w:t>
      </w:r>
      <w:r>
        <w:rPr>
          <w:spacing w:val="-2"/>
          <w:sz w:val="21"/>
        </w:rPr>
        <w:t>）中选择拟预测水质参数。</w:t>
      </w:r>
      <w:r>
        <w:rPr>
          <w:spacing w:val="-2"/>
          <w:sz w:val="21"/>
        </w:rPr>
        <w:t>对河流，可以按下式将水质参数排序后从中选取：</w:t>
      </w:r>
    </w:p>
    <w:p>
      <w:pPr>
        <w:spacing w:after="0" w:line="285" w:lineRule="auto"/>
        <w:jc w:val="left"/>
        <w:rPr>
          <w:sz w:val="21"/>
        </w:rPr>
        <w:sectPr>
          <w:footerReference w:type="even" r:id="rId86"/>
          <w:footerReference w:type="default" r:id="rId87"/>
          <w:pgSz w:w="11910" w:h="16840"/>
          <w:pgMar w:top="1420" w:right="1500" w:bottom="1180" w:left="1580" w:header="0" w:footer="990"/>
          <w:pgNumType w:start="641"/>
          <w:cols w:space="708"/>
        </w:sectPr>
      </w:pPr>
    </w:p>
    <w:p>
      <w:pPr>
        <w:spacing w:before="124"/>
        <w:ind w:left="0" w:right="0" w:firstLine="0"/>
        <w:jc w:val="right"/>
        <w:rPr>
          <w:rFonts w:ascii="Times New Roman"/>
          <w:i/>
          <w:sz w:val="20"/>
        </w:rPr>
      </w:pPr>
      <w:r>
        <w:rPr>
          <w:rFonts w:ascii="Times New Roman"/>
          <w:i/>
          <w:spacing w:val="-5"/>
          <w:sz w:val="20"/>
        </w:rPr>
        <w:t>ISE</w:t>
      </w:r>
    </w:p>
    <w:p>
      <w:pPr>
        <w:spacing w:before="110"/>
        <w:ind w:left="79" w:right="0" w:firstLine="0"/>
        <w:jc w:val="left"/>
        <w:rPr>
          <w:rFonts w:ascii="Times New Roman" w:hAnsi="Times New Roman"/>
          <w:i/>
          <w:sz w:val="12"/>
        </w:rPr>
      </w:pPr>
      <w:r>
        <w:br w:type="column"/>
      </w:r>
      <w:r>
        <w:rPr>
          <w:rFonts w:ascii="Symbol" w:hAnsi="Symbol"/>
          <w:sz w:val="20"/>
        </w:rPr>
        <w:sym w:font="Symbol" w:char="F03D"/>
      </w:r>
      <w:r>
        <w:rPr>
          <w:rFonts w:ascii="Times New Roman" w:hAnsi="Times New Roman"/>
          <w:spacing w:val="-1"/>
          <w:sz w:val="20"/>
        </w:rPr>
        <w:t xml:space="preserve"> </w:t>
      </w:r>
      <w:r>
        <w:rPr>
          <w:rFonts w:ascii="Times New Roman" w:hAnsi="Times New Roman"/>
          <w:i/>
          <w:sz w:val="20"/>
        </w:rPr>
        <w:t>c</w:t>
      </w:r>
      <w:r>
        <w:rPr>
          <w:rFonts w:ascii="Times New Roman" w:hAnsi="Times New Roman"/>
          <w:i/>
          <w:spacing w:val="-13"/>
          <w:sz w:val="20"/>
        </w:rPr>
        <w:t xml:space="preserve"> </w:t>
      </w:r>
      <w:r>
        <w:rPr>
          <w:rFonts w:ascii="Times New Roman" w:hAnsi="Times New Roman"/>
          <w:i/>
          <w:position w:val="-4"/>
          <w:sz w:val="12"/>
        </w:rPr>
        <w:t>p</w:t>
      </w:r>
      <w:r>
        <w:rPr>
          <w:rFonts w:ascii="Times New Roman" w:hAnsi="Times New Roman"/>
          <w:i/>
          <w:spacing w:val="-16"/>
          <w:position w:val="-4"/>
          <w:sz w:val="12"/>
        </w:rPr>
        <w:t xml:space="preserve"> </w:t>
      </w:r>
      <w:r>
        <w:rPr>
          <w:rFonts w:ascii="Times New Roman" w:hAnsi="Times New Roman"/>
          <w:i/>
          <w:sz w:val="20"/>
        </w:rPr>
        <w:t>Q</w:t>
      </w:r>
      <w:r>
        <w:rPr>
          <w:rFonts w:ascii="Times New Roman" w:hAnsi="Times New Roman"/>
          <w:i/>
          <w:spacing w:val="-16"/>
          <w:sz w:val="20"/>
        </w:rPr>
        <w:t xml:space="preserve"> </w:t>
      </w:r>
      <w:r>
        <w:rPr>
          <w:rFonts w:ascii="Times New Roman" w:hAnsi="Times New Roman"/>
          <w:i/>
          <w:position w:val="-4"/>
          <w:sz w:val="12"/>
        </w:rPr>
        <w:t>p</w:t>
      </w:r>
      <w:r>
        <w:rPr>
          <w:rFonts w:ascii="Times New Roman" w:hAnsi="Times New Roman"/>
          <w:i/>
          <w:spacing w:val="12"/>
          <w:position w:val="-4"/>
          <w:sz w:val="12"/>
        </w:rPr>
        <w:t xml:space="preserve"> </w:t>
      </w:r>
      <w:r>
        <w:rPr>
          <w:rFonts w:ascii="Times New Roman" w:hAnsi="Times New Roman"/>
          <w:sz w:val="20"/>
        </w:rPr>
        <w:t>/(</w:t>
      </w:r>
      <w:r>
        <w:rPr>
          <w:rFonts w:ascii="Times New Roman" w:hAnsi="Times New Roman"/>
          <w:i/>
          <w:sz w:val="20"/>
        </w:rPr>
        <w:t>c</w:t>
      </w:r>
      <w:r>
        <w:rPr>
          <w:rFonts w:ascii="Times New Roman" w:hAnsi="Times New Roman"/>
          <w:i/>
          <w:position w:val="-4"/>
          <w:sz w:val="12"/>
        </w:rPr>
        <w:t>s</w:t>
      </w:r>
      <w:r>
        <w:rPr>
          <w:rFonts w:ascii="Times New Roman" w:hAnsi="Times New Roman"/>
          <w:i/>
          <w:spacing w:val="66"/>
          <w:position w:val="-4"/>
          <w:sz w:val="12"/>
        </w:rPr>
        <w:t xml:space="preserve"> </w:t>
      </w:r>
      <w:r>
        <w:rPr>
          <w:rFonts w:ascii="Symbol" w:hAnsi="Symbol"/>
          <w:sz w:val="20"/>
        </w:rPr>
        <w:sym w:font="Symbol" w:char="F02D"/>
      </w:r>
      <w:r>
        <w:rPr>
          <w:rFonts w:ascii="Times New Roman" w:hAnsi="Times New Roman"/>
          <w:spacing w:val="-16"/>
          <w:sz w:val="20"/>
        </w:rPr>
        <w:t xml:space="preserve"> </w:t>
      </w:r>
      <w:r>
        <w:rPr>
          <w:rFonts w:ascii="Times New Roman" w:hAnsi="Times New Roman"/>
          <w:i/>
          <w:spacing w:val="10"/>
          <w:sz w:val="20"/>
        </w:rPr>
        <w:t>c</w:t>
      </w:r>
      <w:r>
        <w:rPr>
          <w:rFonts w:ascii="Times New Roman" w:hAnsi="Times New Roman"/>
          <w:i/>
          <w:spacing w:val="10"/>
          <w:position w:val="-4"/>
          <w:sz w:val="12"/>
        </w:rPr>
        <w:t>h</w:t>
      </w:r>
      <w:r>
        <w:rPr>
          <w:rFonts w:ascii="Times New Roman" w:hAnsi="Times New Roman"/>
          <w:i/>
          <w:spacing w:val="16"/>
          <w:position w:val="-4"/>
          <w:sz w:val="12"/>
        </w:rPr>
        <w:t xml:space="preserve"> </w:t>
      </w:r>
      <w:r>
        <w:rPr>
          <w:rFonts w:ascii="Times New Roman" w:hAnsi="Times New Roman"/>
          <w:spacing w:val="-5"/>
          <w:sz w:val="20"/>
        </w:rPr>
        <w:t>)</w:t>
      </w:r>
      <w:r>
        <w:rPr>
          <w:rFonts w:ascii="Times New Roman" w:hAnsi="Times New Roman"/>
          <w:i/>
          <w:spacing w:val="-5"/>
          <w:sz w:val="20"/>
        </w:rPr>
        <w:t>Q</w:t>
      </w:r>
      <w:r>
        <w:rPr>
          <w:rFonts w:ascii="Times New Roman" w:hAnsi="Times New Roman"/>
          <w:i/>
          <w:spacing w:val="-5"/>
          <w:position w:val="-4"/>
          <w:sz w:val="12"/>
        </w:rPr>
        <w:t>h</w:t>
      </w:r>
    </w:p>
    <w:p>
      <w:pPr>
        <w:pStyle w:val="BodyText"/>
        <w:spacing w:before="101"/>
        <w:ind w:right="299"/>
        <w:jc w:val="right"/>
      </w:pPr>
      <w:r>
        <w:br w:type="column"/>
      </w:r>
      <w:r>
        <w:rPr>
          <w:spacing w:val="-4"/>
        </w:rPr>
        <w:t>（</w:t>
      </w:r>
      <w:r>
        <w:rPr>
          <w:rFonts w:ascii="Times New Roman" w:eastAsia="Times New Roman"/>
          <w:spacing w:val="-4"/>
        </w:rPr>
        <w:t>12</w:t>
      </w:r>
      <w:r>
        <w:rPr>
          <w:spacing w:val="-4"/>
        </w:rPr>
        <w:t>）</w:t>
      </w:r>
    </w:p>
    <w:p>
      <w:pPr>
        <w:spacing w:after="0"/>
        <w:jc w:val="right"/>
        <w:sectPr>
          <w:footerReference w:type="even" r:id="rId88"/>
          <w:footerReference w:type="default" r:id="rId89"/>
          <w:type w:val="continuous"/>
          <w:pgSz w:w="11910" w:h="16840"/>
          <w:pgMar w:top="1480" w:right="1500" w:bottom="1180" w:left="1580" w:header="0" w:footer="990"/>
          <w:pgNumType w:start="642"/>
          <w:cols w:num="3" w:space="708" w:equalWidth="0">
            <w:col w:w="3566" w:space="40"/>
            <w:col w:w="1710" w:space="39"/>
            <w:col w:w="3475" w:space="0"/>
          </w:cols>
        </w:sectPr>
      </w:pPr>
    </w:p>
    <w:p>
      <w:pPr>
        <w:pStyle w:val="BodyText"/>
        <w:spacing w:before="4"/>
        <w:rPr>
          <w:sz w:val="12"/>
        </w:rPr>
      </w:pPr>
    </w:p>
    <w:p>
      <w:pPr>
        <w:pStyle w:val="BodyText"/>
        <w:spacing w:before="77"/>
        <w:ind w:left="640"/>
      </w:pPr>
      <w:r>
        <w:rPr>
          <w:rFonts w:ascii="Times New Roman" w:eastAsia="Times New Roman"/>
        </w:rPr>
        <w:t xml:space="preserve">ISE </w:t>
      </w:r>
      <w:r>
        <w:rPr>
          <w:spacing w:val="-1"/>
        </w:rPr>
        <w:t>越大说明建设项目对河流中该项水质参数的影响越大。</w:t>
      </w:r>
    </w:p>
    <w:p>
      <w:pPr>
        <w:pStyle w:val="ListParagraph"/>
        <w:numPr>
          <w:ilvl w:val="1"/>
          <w:numId w:val="32"/>
        </w:numPr>
        <w:tabs>
          <w:tab w:val="left" w:pos="692"/>
          <w:tab w:val="left" w:pos="693"/>
        </w:tabs>
        <w:spacing w:before="51" w:after="0" w:line="240" w:lineRule="auto"/>
        <w:ind w:left="692" w:right="0" w:hanging="473"/>
        <w:jc w:val="left"/>
        <w:rPr>
          <w:sz w:val="21"/>
        </w:rPr>
      </w:pPr>
      <w:r>
        <w:rPr>
          <w:spacing w:val="-1"/>
          <w:sz w:val="21"/>
        </w:rPr>
        <w:t>地面水环境和污染源的简化</w:t>
      </w:r>
    </w:p>
    <w:p>
      <w:pPr>
        <w:pStyle w:val="ListParagraph"/>
        <w:numPr>
          <w:ilvl w:val="2"/>
          <w:numId w:val="32"/>
        </w:numPr>
        <w:tabs>
          <w:tab w:val="left" w:pos="849"/>
          <w:tab w:val="left" w:pos="850"/>
        </w:tabs>
        <w:spacing w:before="51" w:after="0" w:line="285" w:lineRule="auto"/>
        <w:ind w:left="220" w:right="298" w:firstLine="0"/>
        <w:jc w:val="left"/>
        <w:rPr>
          <w:sz w:val="21"/>
        </w:rPr>
      </w:pPr>
      <w:r>
        <w:rPr>
          <w:spacing w:val="-4"/>
          <w:sz w:val="21"/>
        </w:rPr>
        <w:t>地面水环境简化包括边界几何形状的规则化和水文、水力要素时空分布的简化等。这</w:t>
      </w:r>
      <w:r>
        <w:rPr>
          <w:spacing w:val="-2"/>
          <w:sz w:val="21"/>
        </w:rPr>
        <w:t>种简化应根据水文调查与水文测量的结果和评价等级等进行。</w:t>
      </w:r>
    </w:p>
    <w:p>
      <w:pPr>
        <w:pStyle w:val="ListParagraph"/>
        <w:numPr>
          <w:ilvl w:val="2"/>
          <w:numId w:val="32"/>
        </w:numPr>
        <w:tabs>
          <w:tab w:val="left" w:pos="849"/>
          <w:tab w:val="left" w:pos="850"/>
        </w:tabs>
        <w:spacing w:before="0" w:after="0" w:line="269" w:lineRule="exact"/>
        <w:ind w:left="850" w:right="0" w:hanging="630"/>
        <w:jc w:val="left"/>
        <w:rPr>
          <w:sz w:val="21"/>
        </w:rPr>
      </w:pPr>
      <w:r>
        <w:rPr>
          <w:spacing w:val="-3"/>
          <w:sz w:val="21"/>
        </w:rPr>
        <w:t>河流简化</w:t>
      </w:r>
    </w:p>
    <w:p>
      <w:pPr>
        <w:pStyle w:val="ListParagraph"/>
        <w:numPr>
          <w:ilvl w:val="3"/>
          <w:numId w:val="32"/>
        </w:numPr>
        <w:tabs>
          <w:tab w:val="left" w:pos="1007"/>
          <w:tab w:val="left" w:pos="1008"/>
        </w:tabs>
        <w:spacing w:before="51" w:after="0" w:line="285" w:lineRule="auto"/>
        <w:ind w:left="640" w:right="2146" w:hanging="420"/>
        <w:jc w:val="left"/>
        <w:rPr>
          <w:sz w:val="21"/>
        </w:rPr>
      </w:pPr>
      <w:r>
        <w:rPr>
          <w:spacing w:val="-2"/>
          <w:sz w:val="21"/>
        </w:rPr>
        <w:t>河流可以简化为矩形平直河流，矩形弯曲河流和非矩形河流。</w:t>
      </w:r>
      <w:r>
        <w:rPr>
          <w:sz w:val="21"/>
        </w:rPr>
        <w:t>河流的断面宽深比≥</w:t>
      </w:r>
      <w:r>
        <w:rPr>
          <w:rFonts w:ascii="Times New Roman" w:eastAsia="Times New Roman" w:hAnsi="Times New Roman"/>
          <w:sz w:val="21"/>
        </w:rPr>
        <w:t xml:space="preserve">20 </w:t>
      </w:r>
      <w:r>
        <w:rPr>
          <w:sz w:val="21"/>
        </w:rPr>
        <w:t>时，可视为矩形河流。</w:t>
      </w:r>
    </w:p>
    <w:p>
      <w:pPr>
        <w:pStyle w:val="BodyText"/>
        <w:spacing w:line="285" w:lineRule="auto"/>
        <w:ind w:left="220" w:right="297" w:firstLine="420"/>
      </w:pPr>
      <w:r>
        <w:rPr>
          <w:spacing w:val="-2"/>
        </w:rPr>
        <w:t>大中河流中，预测河段弯曲较大（如其最大弯曲系数</w:t>
      </w:r>
      <w:r>
        <w:rPr>
          <w:rFonts w:ascii="Times New Roman" w:eastAsia="Times New Roman"/>
          <w:spacing w:val="-2"/>
        </w:rPr>
        <w:t>&gt;1.3</w:t>
      </w:r>
      <w:r>
        <w:rPr>
          <w:spacing w:val="-2"/>
        </w:rPr>
        <w:t>）时，可视为弯曲河流，否则</w:t>
      </w:r>
      <w:r>
        <w:rPr>
          <w:spacing w:val="-2"/>
        </w:rPr>
        <w:t>可以简化为平直河流。</w:t>
      </w:r>
    </w:p>
    <w:p>
      <w:pPr>
        <w:pStyle w:val="BodyText"/>
        <w:spacing w:line="269" w:lineRule="exact"/>
        <w:ind w:left="640"/>
      </w:pPr>
      <w:r>
        <w:rPr>
          <w:spacing w:val="-1"/>
        </w:rPr>
        <w:t>大中河流预测河段的断面形状沿程变化较大时，可以分段考虑。</w:t>
      </w:r>
    </w:p>
    <w:p>
      <w:pPr>
        <w:pStyle w:val="BodyText"/>
        <w:spacing w:before="51" w:line="285" w:lineRule="auto"/>
        <w:ind w:left="220" w:right="297" w:firstLine="420"/>
      </w:pPr>
      <w:r>
        <w:rPr>
          <w:spacing w:val="-4"/>
        </w:rPr>
        <w:t>大中河流断面上水深变化很大且评价等级高（如一级评价）时，可以视为非矩形河流并</w:t>
      </w:r>
      <w:r>
        <w:rPr>
          <w:spacing w:val="-2"/>
        </w:rPr>
        <w:t>应调查其流场，其他情况均可简化为矩形河流。</w:t>
      </w:r>
    </w:p>
    <w:p>
      <w:pPr>
        <w:pStyle w:val="BodyText"/>
        <w:spacing w:line="269" w:lineRule="exact"/>
        <w:ind w:left="640"/>
      </w:pPr>
      <w:r>
        <w:rPr>
          <w:spacing w:val="-1"/>
        </w:rPr>
        <w:t>小河可以简化为矩形平直河流。</w:t>
      </w:r>
    </w:p>
    <w:p>
      <w:pPr>
        <w:pStyle w:val="ListParagraph"/>
        <w:numPr>
          <w:ilvl w:val="3"/>
          <w:numId w:val="32"/>
        </w:numPr>
        <w:tabs>
          <w:tab w:val="left" w:pos="1007"/>
          <w:tab w:val="left" w:pos="1008"/>
        </w:tabs>
        <w:spacing w:before="51" w:after="0" w:line="285" w:lineRule="auto"/>
        <w:ind w:left="220" w:right="298" w:firstLine="0"/>
        <w:jc w:val="left"/>
        <w:rPr>
          <w:sz w:val="21"/>
        </w:rPr>
      </w:pPr>
      <w:r>
        <w:rPr>
          <w:spacing w:val="-2"/>
          <w:sz w:val="21"/>
        </w:rPr>
        <w:t>河流水文特征或水质有急剧变化的河段，可在急剧变化之处分段，各段分别进行环</w:t>
      </w:r>
      <w:r>
        <w:rPr>
          <w:spacing w:val="-2"/>
          <w:sz w:val="21"/>
        </w:rPr>
        <w:t>境影响预测。</w:t>
      </w:r>
    </w:p>
    <w:p>
      <w:pPr>
        <w:pStyle w:val="BodyText"/>
        <w:spacing w:line="269" w:lineRule="exact"/>
        <w:ind w:left="640"/>
      </w:pPr>
      <w:r>
        <w:rPr>
          <w:spacing w:val="-1"/>
        </w:rPr>
        <w:t>河网应分段进行环境影响预测。</w:t>
      </w:r>
    </w:p>
    <w:p>
      <w:pPr>
        <w:pStyle w:val="ListParagraph"/>
        <w:numPr>
          <w:ilvl w:val="3"/>
          <w:numId w:val="32"/>
        </w:numPr>
        <w:tabs>
          <w:tab w:val="left" w:pos="1007"/>
          <w:tab w:val="left" w:pos="1008"/>
        </w:tabs>
        <w:spacing w:before="51" w:after="0" w:line="240" w:lineRule="auto"/>
        <w:ind w:left="1007" w:right="0" w:hanging="788"/>
        <w:jc w:val="left"/>
        <w:rPr>
          <w:sz w:val="21"/>
        </w:rPr>
      </w:pPr>
      <w:r>
        <w:rPr>
          <w:spacing w:val="-1"/>
          <w:sz w:val="21"/>
        </w:rPr>
        <w:t>评价等级为三级时，江心洲、浅滩等均可按无江心洲、浅滩的情况对待。</w:t>
      </w:r>
    </w:p>
    <w:p>
      <w:pPr>
        <w:pStyle w:val="BodyText"/>
        <w:spacing w:before="51" w:line="285" w:lineRule="auto"/>
        <w:ind w:left="220" w:right="298" w:firstLine="420"/>
      </w:pPr>
      <w:r>
        <w:rPr>
          <w:spacing w:val="-4"/>
        </w:rPr>
        <w:t>江心洲位于充分混合段，评价等级为二级时，可以按无江心洲对待；评价等级为一级且</w:t>
      </w:r>
      <w:r>
        <w:rPr>
          <w:spacing w:val="-2"/>
        </w:rPr>
        <w:t>江心洲较大时，可以分段进行环境影响预测，江心洲较小时可不考虑。</w:t>
      </w:r>
    </w:p>
    <w:p>
      <w:pPr>
        <w:pStyle w:val="BodyText"/>
        <w:spacing w:line="285" w:lineRule="auto"/>
        <w:ind w:left="220" w:right="298" w:firstLine="420"/>
      </w:pPr>
      <w:r>
        <w:rPr>
          <w:spacing w:val="-4"/>
        </w:rPr>
        <w:t>江心洲位于混合过程段，可分段进行环境影响预测，评价等级为一级时也可以采用数值</w:t>
      </w:r>
      <w:r>
        <w:rPr>
          <w:spacing w:val="-2"/>
        </w:rPr>
        <w:t>模式进行环境影响预测。</w:t>
      </w:r>
    </w:p>
    <w:p>
      <w:pPr>
        <w:pStyle w:val="ListParagraph"/>
        <w:numPr>
          <w:ilvl w:val="3"/>
          <w:numId w:val="32"/>
        </w:numPr>
        <w:tabs>
          <w:tab w:val="left" w:pos="1008"/>
          <w:tab w:val="left" w:pos="1009"/>
        </w:tabs>
        <w:spacing w:before="0" w:after="0" w:line="285" w:lineRule="auto"/>
        <w:ind w:left="220" w:right="298" w:firstLine="0"/>
        <w:jc w:val="left"/>
        <w:rPr>
          <w:sz w:val="21"/>
        </w:rPr>
      </w:pPr>
      <w:r>
        <w:rPr>
          <w:spacing w:val="-4"/>
          <w:sz w:val="21"/>
        </w:rPr>
        <w:t>人工控制河流根据水流情况可以视其为水库，也可视其为河流（</w:t>
      </w:r>
      <w:r>
        <w:rPr>
          <w:spacing w:val="-17"/>
          <w:sz w:val="21"/>
        </w:rPr>
        <w:t xml:space="preserve">参考 </w:t>
      </w:r>
      <w:r>
        <w:rPr>
          <w:rFonts w:ascii="Times New Roman" w:eastAsia="Times New Roman"/>
          <w:spacing w:val="11"/>
          <w:sz w:val="21"/>
        </w:rPr>
        <w:t>6.5.6</w:t>
      </w:r>
      <w:r>
        <w:rPr>
          <w:spacing w:val="-94"/>
          <w:sz w:val="21"/>
        </w:rPr>
        <w:t>）</w:t>
      </w:r>
      <w:r>
        <w:rPr>
          <w:sz w:val="21"/>
        </w:rPr>
        <w:t>，分段</w:t>
      </w:r>
      <w:r>
        <w:rPr>
          <w:spacing w:val="-2"/>
          <w:sz w:val="21"/>
        </w:rPr>
        <w:t>进行环境影响预测。</w:t>
      </w:r>
    </w:p>
    <w:p>
      <w:pPr>
        <w:pStyle w:val="ListParagraph"/>
        <w:numPr>
          <w:ilvl w:val="2"/>
          <w:numId w:val="32"/>
        </w:numPr>
        <w:tabs>
          <w:tab w:val="left" w:pos="849"/>
          <w:tab w:val="left" w:pos="850"/>
        </w:tabs>
        <w:spacing w:before="0" w:after="0" w:line="269" w:lineRule="exact"/>
        <w:ind w:left="850" w:right="0" w:hanging="630"/>
        <w:jc w:val="left"/>
        <w:rPr>
          <w:sz w:val="21"/>
        </w:rPr>
      </w:pPr>
      <w:r>
        <w:rPr>
          <w:spacing w:val="-3"/>
          <w:sz w:val="21"/>
        </w:rPr>
        <w:t>河口简化</w:t>
      </w:r>
    </w:p>
    <w:p>
      <w:pPr>
        <w:pStyle w:val="BodyText"/>
        <w:spacing w:before="50"/>
        <w:ind w:left="640"/>
      </w:pPr>
      <w:r>
        <w:rPr>
          <w:spacing w:val="-1"/>
        </w:rPr>
        <w:t>河口包括河流汇合部、河流感潮段、口外滨海段、河流与湖泊、水库汇合部。</w:t>
      </w:r>
    </w:p>
    <w:p>
      <w:pPr>
        <w:pStyle w:val="BodyText"/>
        <w:spacing w:before="51" w:line="285" w:lineRule="auto"/>
        <w:ind w:left="220" w:right="205" w:firstLine="420"/>
      </w:pPr>
      <w:r>
        <w:rPr>
          <w:spacing w:val="-7"/>
        </w:rPr>
        <w:t>河流感潮段是指受潮汐作用影响较明显的河段。可以将落潮时最大断面平均流速与涨潮</w:t>
      </w:r>
      <w:r>
        <w:rPr>
          <w:spacing w:val="-3"/>
        </w:rPr>
        <w:t xml:space="preserve">时最小断面平均流速之差等于 </w:t>
      </w:r>
      <w:r>
        <w:rPr>
          <w:rFonts w:ascii="Times New Roman" w:eastAsia="Times New Roman"/>
        </w:rPr>
        <w:t xml:space="preserve">0.05m/s </w:t>
      </w:r>
      <w:r>
        <w:t>的断面作为其与河流的界限。除个别要求很高（如评</w:t>
      </w:r>
      <w:r>
        <w:rPr>
          <w:spacing w:val="-2"/>
        </w:rPr>
        <w:t>价等级为一级）的情况外，河流感潮段一般可按潮周平均、高潮平均和低潮平均三种情况，</w:t>
      </w:r>
      <w:r>
        <w:rPr>
          <w:spacing w:val="-2"/>
        </w:rPr>
        <w:t>简化为稳态进行预测。</w:t>
      </w:r>
    </w:p>
    <w:p>
      <w:pPr>
        <w:pStyle w:val="BodyText"/>
        <w:spacing w:line="285" w:lineRule="auto"/>
        <w:ind w:left="220" w:right="297" w:firstLine="420"/>
      </w:pPr>
      <w:r>
        <w:rPr>
          <w:spacing w:val="-4"/>
        </w:rPr>
        <w:t>河流汇合部可以分为支流、汇合前主流、汇合后主流三段分别进行环境影响预测。小河</w:t>
      </w:r>
      <w:r>
        <w:rPr>
          <w:spacing w:val="-2"/>
        </w:rPr>
        <w:t>汇入大河时可以把小河看成点源。</w:t>
      </w:r>
    </w:p>
    <w:p>
      <w:pPr>
        <w:pStyle w:val="BodyText"/>
        <w:spacing w:line="285" w:lineRule="auto"/>
        <w:ind w:left="640" w:right="625"/>
      </w:pPr>
      <w:r>
        <w:rPr>
          <w:spacing w:val="-2"/>
        </w:rPr>
        <w:t>河流与湖泊、水库汇合部可以按照河流和湖泊、水库两部分分别预测其环境影响。</w:t>
      </w:r>
      <w:r>
        <w:rPr>
          <w:spacing w:val="-2"/>
        </w:rPr>
        <w:t>河口断面沿程变化较大时，可以分段进行环境影响预测。</w:t>
      </w:r>
    </w:p>
    <w:p>
      <w:pPr>
        <w:spacing w:after="0" w:line="285" w:lineRule="auto"/>
        <w:sectPr>
          <w:footerReference w:type="even" r:id="rId90"/>
          <w:footerReference w:type="default" r:id="rId91"/>
          <w:type w:val="continuous"/>
          <w:pgSz w:w="11910" w:h="16840"/>
          <w:pgMar w:top="1480" w:right="1500" w:bottom="1180" w:left="1580" w:header="0" w:footer="990"/>
          <w:pgNumType w:start="643"/>
          <w:cols w:space="708"/>
        </w:sectPr>
      </w:pPr>
    </w:p>
    <w:p>
      <w:pPr>
        <w:pStyle w:val="BodyText"/>
        <w:spacing w:before="48"/>
        <w:ind w:left="640"/>
      </w:pPr>
      <w:r>
        <w:rPr>
          <w:spacing w:val="-1"/>
        </w:rPr>
        <w:t>口外滨海段可视为海湾。</w:t>
      </w:r>
    </w:p>
    <w:p>
      <w:pPr>
        <w:pStyle w:val="ListParagraph"/>
        <w:numPr>
          <w:ilvl w:val="2"/>
          <w:numId w:val="32"/>
        </w:numPr>
        <w:tabs>
          <w:tab w:val="left" w:pos="849"/>
          <w:tab w:val="left" w:pos="850"/>
        </w:tabs>
        <w:spacing w:before="59" w:after="0" w:line="240" w:lineRule="auto"/>
        <w:ind w:left="850" w:right="0" w:hanging="630"/>
        <w:jc w:val="left"/>
        <w:rPr>
          <w:sz w:val="21"/>
        </w:rPr>
      </w:pPr>
      <w:r>
        <w:rPr>
          <w:spacing w:val="-2"/>
          <w:sz w:val="21"/>
        </w:rPr>
        <w:t>湖泊、水库简化</w:t>
      </w:r>
    </w:p>
    <w:p>
      <w:pPr>
        <w:pStyle w:val="BodyText"/>
        <w:spacing w:before="61"/>
        <w:ind w:left="640"/>
      </w:pPr>
      <w:r>
        <w:rPr>
          <w:spacing w:val="-4"/>
        </w:rPr>
        <w:t>在预测湖泊、水库环境影响时，可以将湖泊、水库简化为大湖（库</w:t>
      </w:r>
      <w:r>
        <w:rPr>
          <w:spacing w:val="-105"/>
        </w:rPr>
        <w:t>）</w:t>
      </w:r>
      <w:r>
        <w:rPr>
          <w:spacing w:val="-4"/>
        </w:rPr>
        <w:t>、小湖（库</w:t>
      </w:r>
      <w:r>
        <w:rPr>
          <w:spacing w:val="-105"/>
        </w:rPr>
        <w:t>）</w:t>
      </w:r>
      <w:r>
        <w:t>（</w:t>
      </w:r>
      <w:r>
        <w:rPr>
          <w:spacing w:val="-7"/>
        </w:rPr>
        <w:t>参考</w:t>
      </w:r>
    </w:p>
    <w:p>
      <w:pPr>
        <w:pStyle w:val="BodyText"/>
        <w:spacing w:before="61"/>
        <w:ind w:left="220"/>
      </w:pPr>
      <w:r>
        <w:rPr>
          <w:rFonts w:ascii="Times New Roman" w:eastAsia="Times New Roman"/>
          <w:spacing w:val="20"/>
        </w:rPr>
        <w:t>5.2</w:t>
      </w:r>
      <w:r>
        <w:rPr>
          <w:spacing w:val="-85"/>
        </w:rPr>
        <w:t>）</w:t>
      </w:r>
      <w:r>
        <w:rPr>
          <w:spacing w:val="-6"/>
        </w:rPr>
        <w:t>、分层湖（库）</w:t>
      </w:r>
      <w:r>
        <w:rPr>
          <w:spacing w:val="-7"/>
        </w:rPr>
        <w:t>等三种情况进行。</w:t>
      </w:r>
    </w:p>
    <w:p>
      <w:pPr>
        <w:pStyle w:val="BodyText"/>
        <w:spacing w:before="60" w:line="295" w:lineRule="auto"/>
        <w:ind w:left="220" w:right="192" w:firstLine="420"/>
      </w:pPr>
      <w:r>
        <w:rPr>
          <w:spacing w:val="-19"/>
        </w:rPr>
        <w:t>评价等级为一级时、中湖</w:t>
      </w:r>
      <w:r>
        <w:rPr>
          <w:spacing w:val="-2"/>
        </w:rPr>
        <w:t>（库</w:t>
      </w:r>
      <w:r>
        <w:rPr>
          <w:spacing w:val="-89"/>
        </w:rPr>
        <w:t>）</w:t>
      </w:r>
      <w:r>
        <w:rPr>
          <w:spacing w:val="-20"/>
        </w:rPr>
        <w:t>可以按大湖</w:t>
      </w:r>
      <w:r>
        <w:rPr>
          <w:spacing w:val="-2"/>
        </w:rPr>
        <w:t>（库</w:t>
      </w:r>
      <w:r>
        <w:rPr>
          <w:spacing w:val="-89"/>
        </w:rPr>
        <w:t>）</w:t>
      </w:r>
      <w:r>
        <w:rPr>
          <w:spacing w:val="-17"/>
        </w:rPr>
        <w:t>对待，停留时间较短时也可以按小湖</w:t>
      </w:r>
      <w:r>
        <w:rPr>
          <w:spacing w:val="-2"/>
        </w:rPr>
        <w:t>（库</w:t>
      </w:r>
      <w:r>
        <w:rPr>
          <w:spacing w:val="-2"/>
        </w:rPr>
        <w:t>）</w:t>
      </w:r>
      <w:r>
        <w:rPr>
          <w:spacing w:val="-2"/>
        </w:rPr>
        <w:t>对待。评价等级为三级时，中湖（库）可以按小湖（库）对待，停留时间很长时也可以按大</w:t>
      </w:r>
      <w:r>
        <w:rPr>
          <w:spacing w:val="-2"/>
        </w:rPr>
        <w:t>湖（库）对待。评价等级为二级时，如何简化可视具体情况而定。</w:t>
      </w:r>
    </w:p>
    <w:p>
      <w:pPr>
        <w:pStyle w:val="BodyText"/>
        <w:spacing w:line="295" w:lineRule="auto"/>
        <w:ind w:left="640" w:right="1483"/>
      </w:pPr>
      <w:r>
        <w:t>水深</w:t>
      </w:r>
      <w:r>
        <w:rPr>
          <w:rFonts w:ascii="Times New Roman" w:eastAsia="Times New Roman"/>
        </w:rPr>
        <w:t>&gt;10m</w:t>
      </w:r>
      <w:r>
        <w:rPr>
          <w:rFonts w:ascii="Times New Roman" w:eastAsia="Times New Roman"/>
          <w:spacing w:val="-14"/>
        </w:rPr>
        <w:t xml:space="preserve"> </w:t>
      </w:r>
      <w:r>
        <w:t>且分层期较长（如</w:t>
      </w:r>
      <w:r>
        <w:rPr>
          <w:rFonts w:ascii="Times New Roman" w:eastAsia="Times New Roman"/>
        </w:rPr>
        <w:t>&gt;30</w:t>
      </w:r>
      <w:r>
        <w:rPr>
          <w:rFonts w:ascii="Times New Roman" w:eastAsia="Times New Roman"/>
          <w:spacing w:val="-13"/>
        </w:rPr>
        <w:t xml:space="preserve"> </w:t>
      </w:r>
      <w:r>
        <w:t>天）的湖泊、水库可视为分层湖（库</w:t>
      </w:r>
      <w:r>
        <w:rPr>
          <w:spacing w:val="-105"/>
        </w:rPr>
        <w:t>）</w:t>
      </w:r>
      <w:r>
        <w:t>。</w:t>
      </w:r>
      <w:r>
        <w:rPr>
          <w:spacing w:val="-2"/>
        </w:rPr>
        <w:t>珍珠串湖泊可以分为若干区，各区分别按上述情况简化。</w:t>
      </w:r>
    </w:p>
    <w:p>
      <w:pPr>
        <w:pStyle w:val="BodyText"/>
        <w:spacing w:line="295" w:lineRule="auto"/>
        <w:ind w:left="220" w:right="298" w:firstLine="420"/>
      </w:pPr>
      <w:r>
        <w:rPr>
          <w:spacing w:val="-4"/>
        </w:rPr>
        <w:t>不存在大面积回流区和死水区且流速较快，停留时间较短的狭长湖泊可简化为河流。其</w:t>
      </w:r>
      <w:r>
        <w:rPr>
          <w:spacing w:val="-2"/>
        </w:rPr>
        <w:t>岸边形状和水文要素变化较大时还可以进一步分段。</w:t>
      </w:r>
    </w:p>
    <w:p>
      <w:pPr>
        <w:pStyle w:val="BodyText"/>
        <w:spacing w:line="267" w:lineRule="exact"/>
        <w:ind w:left="640"/>
      </w:pPr>
      <w:r>
        <w:rPr>
          <w:spacing w:val="-1"/>
        </w:rPr>
        <w:t>不规则形状的湖泊、水库可根据流场的分布情况和几何形状分区。</w:t>
      </w:r>
    </w:p>
    <w:p>
      <w:pPr>
        <w:pStyle w:val="BodyText"/>
        <w:spacing w:before="57" w:line="295" w:lineRule="auto"/>
        <w:ind w:left="220" w:right="298" w:firstLine="420"/>
      </w:pPr>
      <w:r>
        <w:rPr>
          <w:spacing w:val="-6"/>
        </w:rPr>
        <w:t>自顶端入口附近排入废水的狭长湖泊或循环利用湖水的小湖，可以分别按各自的特点考</w:t>
      </w:r>
      <w:r>
        <w:rPr>
          <w:spacing w:val="-6"/>
        </w:rPr>
        <w:t>虑。</w:t>
      </w:r>
    </w:p>
    <w:p>
      <w:pPr>
        <w:pStyle w:val="ListParagraph"/>
        <w:numPr>
          <w:ilvl w:val="2"/>
          <w:numId w:val="32"/>
        </w:numPr>
        <w:tabs>
          <w:tab w:val="left" w:pos="849"/>
          <w:tab w:val="left" w:pos="850"/>
        </w:tabs>
        <w:spacing w:before="0" w:after="0" w:line="267" w:lineRule="exact"/>
        <w:ind w:left="850" w:right="0" w:hanging="630"/>
        <w:jc w:val="left"/>
        <w:rPr>
          <w:sz w:val="21"/>
        </w:rPr>
      </w:pPr>
      <w:r>
        <w:rPr>
          <w:spacing w:val="-3"/>
          <w:sz w:val="21"/>
        </w:rPr>
        <w:t>海湾简化</w:t>
      </w:r>
    </w:p>
    <w:p>
      <w:pPr>
        <w:pStyle w:val="BodyText"/>
        <w:spacing w:before="61" w:line="295" w:lineRule="auto"/>
        <w:ind w:left="220" w:right="297" w:firstLine="420"/>
      </w:pPr>
      <w:r>
        <w:rPr>
          <w:spacing w:val="-4"/>
        </w:rPr>
        <w:t>预测海湾水质时一般只考虑潮汐作用，不考虑波浪作用。评价等级一级且海流（主要指</w:t>
      </w:r>
      <w:r>
        <w:rPr>
          <w:spacing w:val="-2"/>
        </w:rPr>
        <w:t>风海流）作用较强时，可以考虑海流对水质的影响。</w:t>
      </w:r>
    </w:p>
    <w:p>
      <w:pPr>
        <w:pStyle w:val="BodyText"/>
        <w:spacing w:line="295" w:lineRule="auto"/>
        <w:ind w:left="220" w:right="298" w:firstLine="420"/>
      </w:pPr>
      <w:r>
        <w:rPr>
          <w:spacing w:val="-8"/>
        </w:rPr>
        <w:t>潮流可以简化为平面二维非恒定流场。当评价等级为三级时可以只考虑潮周期的平均情</w:t>
      </w:r>
      <w:r>
        <w:rPr>
          <w:spacing w:val="-6"/>
        </w:rPr>
        <w:t>况。</w:t>
      </w:r>
    </w:p>
    <w:p>
      <w:pPr>
        <w:pStyle w:val="BodyText"/>
        <w:spacing w:line="267" w:lineRule="exact"/>
        <w:ind w:left="640"/>
      </w:pPr>
      <w:r>
        <w:rPr>
          <w:spacing w:val="-1"/>
        </w:rPr>
        <w:t>较大的海湾交换周期很长，可视为封闭海湾。</w:t>
      </w:r>
    </w:p>
    <w:p>
      <w:pPr>
        <w:pStyle w:val="BodyText"/>
        <w:spacing w:before="59" w:line="295" w:lineRule="auto"/>
        <w:ind w:left="220" w:right="298" w:firstLine="420"/>
      </w:pPr>
      <w:r>
        <w:rPr>
          <w:spacing w:val="-4"/>
        </w:rPr>
        <w:t>在注入海湾的河流中，大河及评价等级为一、二级的中河应考虑其对海湾流场和水质的</w:t>
      </w:r>
      <w:r>
        <w:rPr>
          <w:spacing w:val="-2"/>
        </w:rPr>
        <w:t>影响；小河及评价等级为三级的中河可视为点源，忽略其对海湾流场的影响。</w:t>
      </w:r>
    </w:p>
    <w:p>
      <w:pPr>
        <w:pStyle w:val="ListParagraph"/>
        <w:numPr>
          <w:ilvl w:val="2"/>
          <w:numId w:val="32"/>
        </w:numPr>
        <w:tabs>
          <w:tab w:val="left" w:pos="849"/>
          <w:tab w:val="left" w:pos="850"/>
        </w:tabs>
        <w:spacing w:before="0" w:after="0" w:line="267" w:lineRule="exact"/>
        <w:ind w:left="850" w:right="0" w:hanging="630"/>
        <w:jc w:val="left"/>
        <w:rPr>
          <w:sz w:val="21"/>
        </w:rPr>
      </w:pPr>
      <w:r>
        <w:rPr>
          <w:spacing w:val="-2"/>
          <w:sz w:val="21"/>
        </w:rPr>
        <w:t>污染源简化</w:t>
      </w:r>
    </w:p>
    <w:p>
      <w:pPr>
        <w:pStyle w:val="ListParagraph"/>
        <w:numPr>
          <w:ilvl w:val="3"/>
          <w:numId w:val="32"/>
        </w:numPr>
        <w:tabs>
          <w:tab w:val="left" w:pos="1007"/>
          <w:tab w:val="left" w:pos="1008"/>
        </w:tabs>
        <w:spacing w:before="61" w:after="0" w:line="295" w:lineRule="auto"/>
        <w:ind w:left="220" w:right="298" w:firstLine="0"/>
        <w:jc w:val="left"/>
        <w:rPr>
          <w:sz w:val="21"/>
        </w:rPr>
      </w:pPr>
      <w:r>
        <w:rPr>
          <w:spacing w:val="-2"/>
          <w:sz w:val="21"/>
        </w:rPr>
        <w:t>污染源简化包括排放形式的简化和排放规律的简化。根据污染源的具体情况排放形</w:t>
      </w:r>
      <w:r>
        <w:rPr>
          <w:spacing w:val="-2"/>
          <w:sz w:val="21"/>
        </w:rPr>
        <w:t>式可简化为点源和面源，排放规律可简化为连续恒定排放和非连续恒定排放。</w:t>
      </w:r>
    </w:p>
    <w:p>
      <w:pPr>
        <w:pStyle w:val="ListParagraph"/>
        <w:numPr>
          <w:ilvl w:val="3"/>
          <w:numId w:val="32"/>
        </w:numPr>
        <w:tabs>
          <w:tab w:val="left" w:pos="1007"/>
          <w:tab w:val="left" w:pos="1008"/>
        </w:tabs>
        <w:spacing w:before="0" w:after="0" w:line="295" w:lineRule="auto"/>
        <w:ind w:left="220" w:right="193" w:firstLine="0"/>
        <w:jc w:val="left"/>
        <w:rPr>
          <w:sz w:val="21"/>
        </w:rPr>
      </w:pPr>
      <w:r>
        <w:rPr>
          <w:spacing w:val="-10"/>
          <w:sz w:val="21"/>
        </w:rPr>
        <w:t>排入河流的两排放口的间距较近时，可以简化为一个，其位置假设在两排放口之间，</w:t>
      </w:r>
      <w:r>
        <w:rPr>
          <w:spacing w:val="-2"/>
          <w:sz w:val="21"/>
        </w:rPr>
        <w:t>其排放量为两者之和。两排放口间距较远时，可分别单独考虑。</w:t>
      </w:r>
    </w:p>
    <w:p>
      <w:pPr>
        <w:pStyle w:val="BodyText"/>
        <w:spacing w:line="295" w:lineRule="auto"/>
        <w:ind w:left="220" w:right="100" w:firstLine="420"/>
      </w:pPr>
      <w:r>
        <w:rPr>
          <w:spacing w:val="-28"/>
        </w:rPr>
        <w:t>排入小湖</w:t>
      </w:r>
      <w:r>
        <w:rPr>
          <w:spacing w:val="-2"/>
        </w:rPr>
        <w:t>（库</w:t>
      </w:r>
      <w:r>
        <w:rPr>
          <w:spacing w:val="-105"/>
        </w:rPr>
        <w:t>）</w:t>
      </w:r>
      <w:r>
        <w:rPr>
          <w:spacing w:val="-17"/>
        </w:rPr>
        <w:t>的所有排放口可以简化为一个，其排放量为所有排放量之和。排入大湖</w:t>
      </w:r>
      <w:r>
        <w:rPr>
          <w:spacing w:val="-2"/>
        </w:rPr>
        <w:t>（库</w:t>
      </w:r>
      <w:r>
        <w:rPr>
          <w:spacing w:val="-2"/>
        </w:rPr>
        <w:t>）</w:t>
      </w:r>
      <w:r>
        <w:rPr>
          <w:spacing w:val="-2"/>
        </w:rPr>
        <w:t>的两排放口间距较近时，可以简化成一个，其位置假设在两排放口之间，其排放量为两者之</w:t>
      </w:r>
      <w:r>
        <w:rPr>
          <w:spacing w:val="-2"/>
        </w:rPr>
        <w:t xml:space="preserve"> </w:t>
      </w:r>
      <w:r>
        <w:rPr>
          <w:spacing w:val="-2"/>
        </w:rPr>
        <w:t>和。两排放口间距较远时，可分别单独考虑。</w:t>
      </w:r>
    </w:p>
    <w:p>
      <w:pPr>
        <w:pStyle w:val="BodyText"/>
        <w:spacing w:line="295" w:lineRule="auto"/>
        <w:ind w:left="220" w:right="205" w:firstLine="420"/>
      </w:pPr>
      <w:r>
        <w:rPr>
          <w:spacing w:val="-2"/>
        </w:rPr>
        <w:t>当评价等级为一、二级并且排入海湾的两排放口间距小于沿岸方向差分网格的步长时，</w:t>
      </w:r>
      <w:r>
        <w:rPr>
          <w:spacing w:val="-2"/>
        </w:rPr>
        <w:t>可以简化成一个、其排放量为两者之和，如不是这种情况，可分别单独考虑。评价等级为三</w:t>
      </w:r>
      <w:r>
        <w:rPr>
          <w:spacing w:val="-2"/>
        </w:rPr>
        <w:t>级时，海湾污染源简化与大湖（库）相同。</w:t>
      </w:r>
    </w:p>
    <w:p>
      <w:pPr>
        <w:pStyle w:val="ListParagraph"/>
        <w:numPr>
          <w:ilvl w:val="3"/>
          <w:numId w:val="32"/>
        </w:numPr>
        <w:tabs>
          <w:tab w:val="left" w:pos="1007"/>
          <w:tab w:val="left" w:pos="1008"/>
        </w:tabs>
        <w:spacing w:before="0" w:after="0" w:line="295" w:lineRule="auto"/>
        <w:ind w:left="640" w:right="193" w:hanging="420"/>
        <w:jc w:val="left"/>
        <w:rPr>
          <w:sz w:val="21"/>
        </w:rPr>
      </w:pPr>
      <w:r>
        <w:rPr>
          <w:spacing w:val="-11"/>
          <w:sz w:val="21"/>
        </w:rPr>
        <w:t>无组织排放可以简化成面源。从多个间距很近的排放口排水时，也可以简化为面源。</w:t>
      </w:r>
      <w:r>
        <w:rPr>
          <w:spacing w:val="-2"/>
          <w:sz w:val="21"/>
        </w:rPr>
        <w:t>在地面水环境影响预测中，通常可以把排放规律简化为连续恒定排放。</w:t>
      </w:r>
    </w:p>
    <w:p>
      <w:pPr>
        <w:pStyle w:val="ListParagraph"/>
        <w:numPr>
          <w:ilvl w:val="1"/>
          <w:numId w:val="32"/>
        </w:numPr>
        <w:tabs>
          <w:tab w:val="left" w:pos="692"/>
          <w:tab w:val="left" w:pos="693"/>
        </w:tabs>
        <w:spacing w:before="0" w:after="0" w:line="267" w:lineRule="exact"/>
        <w:ind w:left="692" w:right="0" w:hanging="473"/>
        <w:jc w:val="left"/>
        <w:rPr>
          <w:sz w:val="21"/>
        </w:rPr>
      </w:pPr>
      <w:r>
        <w:rPr>
          <w:spacing w:val="-1"/>
          <w:sz w:val="21"/>
        </w:rPr>
        <w:t>各种点源的环境影响预测方法</w:t>
      </w:r>
    </w:p>
    <w:p>
      <w:pPr>
        <w:pStyle w:val="ListParagraph"/>
        <w:numPr>
          <w:ilvl w:val="2"/>
          <w:numId w:val="32"/>
        </w:numPr>
        <w:tabs>
          <w:tab w:val="left" w:pos="849"/>
          <w:tab w:val="left" w:pos="850"/>
        </w:tabs>
        <w:spacing w:before="51" w:after="0" w:line="240" w:lineRule="auto"/>
        <w:ind w:left="850" w:right="0" w:hanging="630"/>
        <w:jc w:val="left"/>
        <w:rPr>
          <w:sz w:val="21"/>
        </w:rPr>
      </w:pPr>
      <w:r>
        <w:rPr>
          <w:spacing w:val="-3"/>
          <w:sz w:val="21"/>
        </w:rPr>
        <w:t>一般原则</w:t>
      </w:r>
    </w:p>
    <w:p>
      <w:pPr>
        <w:pStyle w:val="ListParagraph"/>
        <w:numPr>
          <w:ilvl w:val="3"/>
          <w:numId w:val="32"/>
        </w:numPr>
        <w:tabs>
          <w:tab w:val="left" w:pos="1007"/>
          <w:tab w:val="left" w:pos="1008"/>
        </w:tabs>
        <w:spacing w:before="61" w:after="0" w:line="240" w:lineRule="auto"/>
        <w:ind w:left="1007" w:right="0" w:hanging="788"/>
        <w:jc w:val="left"/>
        <w:rPr>
          <w:sz w:val="21"/>
        </w:rPr>
      </w:pPr>
      <w:r>
        <w:rPr>
          <w:spacing w:val="-3"/>
          <w:sz w:val="21"/>
        </w:rPr>
        <w:t xml:space="preserve">各种点源的环境影响预测方法及其选用原则参见 </w:t>
      </w:r>
      <w:r>
        <w:rPr>
          <w:rFonts w:ascii="Times New Roman" w:eastAsia="Times New Roman"/>
          <w:sz w:val="21"/>
        </w:rPr>
        <w:t>HJ/T</w:t>
      </w:r>
      <w:r>
        <w:rPr>
          <w:rFonts w:ascii="Times New Roman" w:eastAsia="Times New Roman"/>
          <w:spacing w:val="-4"/>
          <w:sz w:val="21"/>
        </w:rPr>
        <w:t xml:space="preserve"> </w:t>
      </w:r>
      <w:r>
        <w:rPr>
          <w:rFonts w:ascii="Times New Roman" w:eastAsia="Times New Roman"/>
          <w:sz w:val="21"/>
        </w:rPr>
        <w:t xml:space="preserve">2.1 </w:t>
      </w:r>
      <w:r>
        <w:rPr>
          <w:spacing w:val="-27"/>
          <w:sz w:val="21"/>
        </w:rPr>
        <w:t xml:space="preserve">的 </w:t>
      </w:r>
      <w:r>
        <w:rPr>
          <w:rFonts w:ascii="Times New Roman" w:eastAsia="Times New Roman"/>
          <w:sz w:val="21"/>
        </w:rPr>
        <w:t>9.2</w:t>
      </w:r>
      <w:r>
        <w:rPr>
          <w:spacing w:val="-10"/>
          <w:sz w:val="21"/>
        </w:rPr>
        <w:t>。</w:t>
      </w:r>
    </w:p>
    <w:p>
      <w:pPr>
        <w:pStyle w:val="ListParagraph"/>
        <w:numPr>
          <w:ilvl w:val="3"/>
          <w:numId w:val="32"/>
        </w:numPr>
        <w:tabs>
          <w:tab w:val="left" w:pos="1007"/>
          <w:tab w:val="left" w:pos="1008"/>
        </w:tabs>
        <w:spacing w:before="61" w:after="0" w:line="295" w:lineRule="auto"/>
        <w:ind w:left="220" w:right="193" w:firstLine="0"/>
        <w:jc w:val="left"/>
        <w:rPr>
          <w:sz w:val="21"/>
        </w:rPr>
      </w:pPr>
      <w:r>
        <w:rPr>
          <w:spacing w:val="-7"/>
          <w:sz w:val="21"/>
        </w:rPr>
        <w:t>本标准主要考虑环境影响评价中经常遇到而其预测模式又不相同的四种污染物，即：</w:t>
      </w:r>
      <w:r>
        <w:rPr>
          <w:spacing w:val="-2"/>
          <w:sz w:val="21"/>
        </w:rPr>
        <w:t>持久性污染物、非持久性污染物、酸碱污染物和废热。</w:t>
      </w:r>
    </w:p>
    <w:p>
      <w:pPr>
        <w:pStyle w:val="BodyText"/>
        <w:spacing w:line="295" w:lineRule="auto"/>
        <w:ind w:left="220" w:right="297" w:firstLine="420"/>
      </w:pPr>
      <w:r>
        <w:rPr>
          <w:spacing w:val="-4"/>
        </w:rPr>
        <w:t>持久性污染物是指在地面水中不能或很难由于物理、化学、生物作用而分解、沉淀或挥</w:t>
      </w:r>
      <w:r>
        <w:rPr>
          <w:spacing w:val="-2"/>
        </w:rPr>
        <w:t>发的污染物，例如在悬浮物甚少，沉降作用不明显水体中的无机盐类、重金属等。</w:t>
      </w:r>
    </w:p>
    <w:p>
      <w:pPr>
        <w:spacing w:after="0" w:line="295" w:lineRule="auto"/>
        <w:sectPr>
          <w:footerReference w:type="even" r:id="rId92"/>
          <w:footerReference w:type="default" r:id="rId93"/>
          <w:pgSz w:w="11910" w:h="16840"/>
          <w:pgMar w:top="1420" w:right="1500" w:bottom="1180" w:left="1580" w:header="0" w:footer="990"/>
          <w:pgNumType w:start="644"/>
          <w:cols w:space="708"/>
        </w:sectPr>
      </w:pPr>
    </w:p>
    <w:p>
      <w:pPr>
        <w:pStyle w:val="BodyText"/>
        <w:spacing w:before="56" w:line="295" w:lineRule="auto"/>
        <w:ind w:left="640" w:right="205"/>
      </w:pPr>
      <w:r>
        <w:rPr>
          <w:spacing w:val="-2"/>
        </w:rPr>
        <w:t>非持久性污染物是指在地面水中由于生物作用而逐渐减少的污染物，例如耗氧有机物。</w:t>
      </w:r>
      <w:r>
        <w:rPr>
          <w:spacing w:val="-1"/>
        </w:rPr>
        <w:t xml:space="preserve">酸碱污染物有各种废酸、废碱等。表征酸碱污染物的主要水质参数是 </w:t>
      </w:r>
      <w:r>
        <w:rPr>
          <w:rFonts w:ascii="Times New Roman" w:eastAsia="Times New Roman"/>
        </w:rPr>
        <w:t xml:space="preserve">pH </w:t>
      </w:r>
      <w:r>
        <w:t>值。</w:t>
      </w:r>
    </w:p>
    <w:p>
      <w:pPr>
        <w:pStyle w:val="BodyText"/>
        <w:spacing w:line="267" w:lineRule="exact"/>
        <w:ind w:left="640"/>
      </w:pPr>
      <w:r>
        <w:rPr>
          <w:spacing w:val="-1"/>
        </w:rPr>
        <w:t>废热主要由排放热废水所引起，表征废热的水质参数是水温。</w:t>
      </w:r>
    </w:p>
    <w:p>
      <w:pPr>
        <w:pStyle w:val="ListParagraph"/>
        <w:numPr>
          <w:ilvl w:val="3"/>
          <w:numId w:val="32"/>
        </w:numPr>
        <w:tabs>
          <w:tab w:val="left" w:pos="1008"/>
        </w:tabs>
        <w:spacing w:before="61" w:after="0" w:line="295" w:lineRule="auto"/>
        <w:ind w:left="220" w:right="298" w:firstLine="0"/>
        <w:jc w:val="both"/>
        <w:rPr>
          <w:sz w:val="21"/>
        </w:rPr>
      </w:pPr>
      <w:r>
        <w:rPr>
          <w:spacing w:val="-2"/>
          <w:sz w:val="21"/>
        </w:rPr>
        <w:t>预测范围内的河段可以分为充分混合段，混合过程段和上游河段。充分混合段是指</w:t>
      </w:r>
      <w:r>
        <w:rPr>
          <w:spacing w:val="-8"/>
          <w:sz w:val="21"/>
        </w:rPr>
        <w:t>污染物浓度在断面上均匀分布的河段。当断面上任意一点的浓度与断面平均浓度之差小于平</w:t>
      </w:r>
      <w:r>
        <w:rPr>
          <w:spacing w:val="-5"/>
          <w:sz w:val="21"/>
        </w:rPr>
        <w:t xml:space="preserve">均浓度的 </w:t>
      </w:r>
      <w:r>
        <w:rPr>
          <w:rFonts w:ascii="Times New Roman" w:eastAsia="Times New Roman"/>
          <w:spacing w:val="-2"/>
          <w:sz w:val="21"/>
        </w:rPr>
        <w:t>5%</w:t>
      </w:r>
      <w:r>
        <w:rPr>
          <w:spacing w:val="-2"/>
          <w:sz w:val="21"/>
        </w:rPr>
        <w:t>时，可以认为达到均匀分布。混合过程段是指排放口下游达到充分混合以前的</w:t>
      </w:r>
      <w:r>
        <w:rPr>
          <w:spacing w:val="-2"/>
          <w:sz w:val="21"/>
        </w:rPr>
        <w:t>河段。上游河段是指排放口上游的河段。</w:t>
      </w:r>
    </w:p>
    <w:p>
      <w:pPr>
        <w:pStyle w:val="BodyText"/>
        <w:spacing w:line="265" w:lineRule="exact"/>
        <w:ind w:left="640"/>
      </w:pPr>
      <w:r>
        <w:rPr>
          <w:spacing w:val="-1"/>
        </w:rPr>
        <w:t>混合过程段的长度可由下式估算：</w:t>
      </w:r>
    </w:p>
    <w:p>
      <w:pPr>
        <w:spacing w:after="0" w:line="265" w:lineRule="exact"/>
        <w:sectPr>
          <w:footerReference w:type="even" r:id="rId94"/>
          <w:footerReference w:type="default" r:id="rId95"/>
          <w:pgSz w:w="11910" w:h="16840"/>
          <w:pgMar w:top="1420" w:right="1500" w:bottom="1180" w:left="1580" w:header="0" w:footer="990"/>
          <w:pgNumType w:start="645"/>
          <w:cols w:space="708"/>
        </w:sectPr>
      </w:pPr>
    </w:p>
    <w:p>
      <w:pPr>
        <w:tabs>
          <w:tab w:val="left" w:pos="3649"/>
        </w:tabs>
        <w:spacing w:before="52" w:line="124" w:lineRule="auto"/>
        <w:ind w:left="2731" w:right="0" w:firstLine="0"/>
        <w:jc w:val="left"/>
        <w:rPr>
          <w:rFonts w:ascii="Times New Roman" w:hAnsi="Times New Roman"/>
          <w:i/>
          <w:sz w:val="20"/>
        </w:rPr>
      </w:pPr>
      <w:r>
        <w:pict>
          <v:line id="_x0000_s1130" style="mso-position-horizontal-relative:page;position:absolute;z-index:251675648" from="231pt,14.95pt" to="361.2pt,14.95pt" stroked="t" strokecolor="black" strokeweight="0.5pt">
            <v:stroke dashstyle="solid"/>
          </v:line>
        </w:pict>
      </w:r>
      <w:r>
        <w:rPr>
          <w:rFonts w:ascii="Times New Roman" w:hAnsi="Times New Roman"/>
          <w:i/>
          <w:position w:val="-12"/>
          <w:sz w:val="20"/>
        </w:rPr>
        <w:t>l</w:t>
      </w:r>
      <w:r>
        <w:rPr>
          <w:rFonts w:ascii="Times New Roman" w:hAnsi="Times New Roman"/>
          <w:i/>
          <w:spacing w:val="45"/>
          <w:position w:val="-12"/>
          <w:sz w:val="20"/>
        </w:rPr>
        <w:t xml:space="preserve"> </w:t>
      </w:r>
      <w:r>
        <w:rPr>
          <w:rFonts w:ascii="Symbol" w:hAnsi="Symbol"/>
          <w:spacing w:val="-10"/>
          <w:position w:val="-12"/>
          <w:sz w:val="20"/>
        </w:rPr>
        <w:sym w:font="Symbol" w:char="F03D"/>
      </w:r>
      <w:r>
        <w:rPr>
          <w:rFonts w:ascii="Times New Roman" w:hAnsi="Times New Roman"/>
          <w:position w:val="-12"/>
          <w:sz w:val="20"/>
        </w:rPr>
        <w:tab/>
      </w:r>
      <w:r>
        <w:rPr>
          <w:rFonts w:ascii="Times New Roman" w:hAnsi="Times New Roman"/>
          <w:sz w:val="20"/>
        </w:rPr>
        <w:t>(0.4</w:t>
      </w:r>
      <w:r>
        <w:rPr>
          <w:rFonts w:ascii="Times New Roman" w:hAnsi="Times New Roman"/>
          <w:i/>
          <w:sz w:val="20"/>
        </w:rPr>
        <w:t>B</w:t>
      </w:r>
      <w:r>
        <w:rPr>
          <w:rFonts w:ascii="Times New Roman" w:hAnsi="Times New Roman"/>
          <w:i/>
          <w:spacing w:val="47"/>
          <w:sz w:val="20"/>
        </w:rPr>
        <w:t xml:space="preserve"> </w:t>
      </w:r>
      <w:r>
        <w:rPr>
          <w:rFonts w:ascii="Symbol" w:hAnsi="Symbol"/>
          <w:sz w:val="20"/>
        </w:rPr>
        <w:sym w:font="Symbol" w:char="F02D"/>
      </w:r>
      <w:r>
        <w:rPr>
          <w:rFonts w:ascii="Times New Roman" w:hAnsi="Times New Roman"/>
          <w:spacing w:val="-7"/>
          <w:sz w:val="20"/>
        </w:rPr>
        <w:t xml:space="preserve"> </w:t>
      </w:r>
      <w:r>
        <w:rPr>
          <w:rFonts w:ascii="Times New Roman" w:hAnsi="Times New Roman"/>
          <w:spacing w:val="-2"/>
          <w:sz w:val="20"/>
        </w:rPr>
        <w:t>0.6</w:t>
      </w:r>
      <w:r>
        <w:rPr>
          <w:rFonts w:ascii="Times New Roman" w:hAnsi="Times New Roman"/>
          <w:i/>
          <w:spacing w:val="-2"/>
          <w:sz w:val="20"/>
        </w:rPr>
        <w:t>a</w:t>
      </w:r>
      <w:r>
        <w:rPr>
          <w:rFonts w:ascii="Times New Roman" w:hAnsi="Times New Roman"/>
          <w:spacing w:val="-2"/>
          <w:sz w:val="20"/>
        </w:rPr>
        <w:t>)</w:t>
      </w:r>
      <w:r>
        <w:rPr>
          <w:rFonts w:ascii="Times New Roman" w:hAnsi="Times New Roman"/>
          <w:i/>
          <w:spacing w:val="-2"/>
          <w:sz w:val="20"/>
        </w:rPr>
        <w:t>Bu</w:t>
      </w:r>
    </w:p>
    <w:p>
      <w:pPr>
        <w:pStyle w:val="BodyText"/>
        <w:spacing w:before="139" w:line="173" w:lineRule="exact"/>
        <w:ind w:right="299"/>
        <w:jc w:val="right"/>
      </w:pPr>
      <w:r>
        <w:br w:type="column"/>
      </w:r>
      <w:r>
        <w:rPr>
          <w:spacing w:val="-4"/>
        </w:rPr>
        <w:t>（</w:t>
      </w:r>
      <w:r>
        <w:rPr>
          <w:rFonts w:ascii="Times New Roman" w:eastAsia="Times New Roman"/>
          <w:spacing w:val="-4"/>
        </w:rPr>
        <w:t>13</w:t>
      </w:r>
      <w:r>
        <w:rPr>
          <w:spacing w:val="-4"/>
        </w:rPr>
        <w:t>）</w:t>
      </w:r>
    </w:p>
    <w:p>
      <w:pPr>
        <w:spacing w:after="0" w:line="173" w:lineRule="exact"/>
        <w:jc w:val="right"/>
        <w:sectPr>
          <w:footerReference w:type="even" r:id="rId96"/>
          <w:footerReference w:type="default" r:id="rId97"/>
          <w:type w:val="continuous"/>
          <w:pgSz w:w="11910" w:h="16840"/>
          <w:pgMar w:top="1480" w:right="1500" w:bottom="1180" w:left="1580" w:header="0" w:footer="990"/>
          <w:pgNumType w:start="646"/>
          <w:cols w:num="2" w:space="708" w:equalWidth="0">
            <w:col w:w="5036" w:space="128"/>
            <w:col w:w="3666" w:space="0"/>
          </w:cols>
        </w:sectPr>
      </w:pPr>
    </w:p>
    <w:p>
      <w:pPr>
        <w:spacing w:before="0"/>
        <w:ind w:left="0" w:right="167" w:firstLine="0"/>
        <w:jc w:val="center"/>
        <w:rPr>
          <w:rFonts w:ascii="Times New Roman" w:hAnsi="Times New Roman"/>
          <w:sz w:val="20"/>
        </w:rPr>
      </w:pPr>
      <w:r>
        <w:rPr>
          <w:rFonts w:ascii="Times New Roman" w:hAnsi="Times New Roman"/>
          <w:sz w:val="20"/>
        </w:rPr>
        <w:t>(0.058</w:t>
      </w:r>
      <w:r>
        <w:rPr>
          <w:rFonts w:ascii="Times New Roman" w:hAnsi="Times New Roman"/>
          <w:i/>
          <w:sz w:val="20"/>
        </w:rPr>
        <w:t>H</w:t>
      </w:r>
      <w:r>
        <w:rPr>
          <w:rFonts w:ascii="Times New Roman" w:hAnsi="Times New Roman"/>
          <w:i/>
          <w:spacing w:val="52"/>
          <w:sz w:val="20"/>
        </w:rPr>
        <w:t xml:space="preserve"> </w:t>
      </w:r>
      <w:r>
        <w:rPr>
          <w:rFonts w:ascii="Symbol" w:hAnsi="Symbol"/>
          <w:sz w:val="20"/>
        </w:rPr>
        <w:sym w:font="Symbol" w:char="F02B"/>
      </w:r>
      <w:r>
        <w:rPr>
          <w:rFonts w:ascii="Times New Roman" w:hAnsi="Times New Roman"/>
          <w:spacing w:val="-3"/>
          <w:sz w:val="20"/>
        </w:rPr>
        <w:t xml:space="preserve"> </w:t>
      </w:r>
      <w:r>
        <w:rPr>
          <w:rFonts w:ascii="Times New Roman" w:hAnsi="Times New Roman"/>
          <w:sz w:val="20"/>
        </w:rPr>
        <w:t>0.0065</w:t>
      </w:r>
      <w:r>
        <w:rPr>
          <w:rFonts w:ascii="Times New Roman" w:hAnsi="Times New Roman"/>
          <w:i/>
          <w:sz w:val="20"/>
        </w:rPr>
        <w:t>B</w:t>
      </w:r>
      <w:r>
        <w:rPr>
          <w:rFonts w:ascii="Times New Roman" w:hAnsi="Times New Roman"/>
          <w:i/>
          <w:spacing w:val="2"/>
          <w:sz w:val="20"/>
        </w:rPr>
        <w:t xml:space="preserve"> </w:t>
      </w:r>
      <w:r>
        <w:rPr>
          <w:rFonts w:ascii="Times New Roman" w:hAnsi="Times New Roman"/>
          <w:sz w:val="20"/>
        </w:rPr>
        <w:t>)</w:t>
      </w:r>
      <w:r>
        <w:rPr>
          <w:rFonts w:ascii="Times New Roman" w:hAnsi="Times New Roman"/>
          <w:spacing w:val="69"/>
          <w:w w:val="150"/>
          <w:sz w:val="20"/>
        </w:rPr>
        <w:t xml:space="preserve"> </w:t>
      </w:r>
      <w:r>
        <w:rPr>
          <w:rFonts w:ascii="Times New Roman" w:hAnsi="Times New Roman"/>
          <w:sz w:val="20"/>
        </w:rPr>
        <w:t>(</w:t>
      </w:r>
      <w:r>
        <w:rPr>
          <w:rFonts w:ascii="Times New Roman" w:hAnsi="Times New Roman"/>
          <w:spacing w:val="-20"/>
          <w:sz w:val="20"/>
        </w:rPr>
        <w:t xml:space="preserve"> </w:t>
      </w:r>
      <w:r>
        <w:rPr>
          <w:rFonts w:ascii="Times New Roman" w:hAnsi="Times New Roman"/>
          <w:i/>
          <w:sz w:val="20"/>
        </w:rPr>
        <w:t>gHI</w:t>
      </w:r>
      <w:r>
        <w:rPr>
          <w:rFonts w:ascii="Times New Roman" w:hAnsi="Times New Roman"/>
          <w:i/>
          <w:spacing w:val="11"/>
          <w:sz w:val="20"/>
        </w:rPr>
        <w:t xml:space="preserve"> </w:t>
      </w:r>
      <w:r>
        <w:rPr>
          <w:rFonts w:ascii="Times New Roman" w:hAnsi="Times New Roman"/>
          <w:spacing w:val="-4"/>
          <w:sz w:val="20"/>
        </w:rPr>
        <w:t>)</w:t>
      </w:r>
      <w:r>
        <w:rPr>
          <w:rFonts w:ascii="Times New Roman" w:hAnsi="Times New Roman"/>
          <w:spacing w:val="-4"/>
          <w:sz w:val="20"/>
          <w:vertAlign w:val="superscript"/>
        </w:rPr>
        <w:t>1.2</w:t>
      </w:r>
    </w:p>
    <w:p>
      <w:pPr>
        <w:pStyle w:val="ListParagraph"/>
        <w:numPr>
          <w:ilvl w:val="3"/>
          <w:numId w:val="32"/>
        </w:numPr>
        <w:tabs>
          <w:tab w:val="left" w:pos="1008"/>
        </w:tabs>
        <w:spacing w:before="127" w:after="0" w:line="295" w:lineRule="auto"/>
        <w:ind w:left="220" w:right="298" w:firstLine="0"/>
        <w:jc w:val="both"/>
        <w:rPr>
          <w:sz w:val="21"/>
        </w:rPr>
      </w:pPr>
      <w:r>
        <w:rPr>
          <w:spacing w:val="-2"/>
          <w:sz w:val="21"/>
        </w:rPr>
        <w:t>在利用数学模式预测河流水质时，充分混合段可以采用一维模式或零维模式预测断</w:t>
      </w:r>
      <w:r>
        <w:rPr>
          <w:spacing w:val="-2"/>
          <w:sz w:val="21"/>
        </w:rPr>
        <w:t xml:space="preserve">面平均水质。大、中河流一、二级评价，且排放口下游 </w:t>
      </w:r>
      <w:r>
        <w:rPr>
          <w:rFonts w:ascii="Times New Roman" w:eastAsia="Times New Roman"/>
          <w:sz w:val="21"/>
        </w:rPr>
        <w:t>3~5km</w:t>
      </w:r>
      <w:r>
        <w:rPr>
          <w:rFonts w:ascii="Times New Roman" w:eastAsia="Times New Roman"/>
          <w:spacing w:val="-11"/>
          <w:sz w:val="21"/>
        </w:rPr>
        <w:t xml:space="preserve"> </w:t>
      </w:r>
      <w:r>
        <w:rPr>
          <w:sz w:val="21"/>
        </w:rPr>
        <w:t>以内有集中取水点或其他特</w:t>
      </w:r>
      <w:r>
        <w:rPr>
          <w:spacing w:val="-2"/>
          <w:sz w:val="21"/>
        </w:rPr>
        <w:t>别重要的环保目标时，均应采用二维模式（或弗</w:t>
      </w:r>
      <w:r>
        <w:rPr>
          <w:rFonts w:ascii="Times New Roman" w:eastAsia="Times New Roman"/>
          <w:spacing w:val="-2"/>
          <w:sz w:val="21"/>
        </w:rPr>
        <w:t>-</w:t>
      </w:r>
      <w:r>
        <w:rPr>
          <w:spacing w:val="-2"/>
          <w:sz w:val="21"/>
        </w:rPr>
        <w:t>罗模式）预测混合过程段水质。其它情况</w:t>
      </w:r>
      <w:r>
        <w:rPr>
          <w:spacing w:val="-2"/>
          <w:sz w:val="21"/>
        </w:rPr>
        <w:t>可根据工程、环境特点、评价工作等级及当地环保要求，决定是否采用二维模式。</w:t>
      </w:r>
    </w:p>
    <w:p>
      <w:pPr>
        <w:pStyle w:val="BodyText"/>
        <w:spacing w:line="295" w:lineRule="auto"/>
        <w:ind w:left="220" w:right="298" w:firstLine="420"/>
      </w:pPr>
      <w:r>
        <w:rPr>
          <w:spacing w:val="-2"/>
        </w:rPr>
        <w:t>弗罗洛夫</w:t>
      </w:r>
      <w:r>
        <w:rPr>
          <w:rFonts w:ascii="Times New Roman" w:eastAsia="Times New Roman" w:hAnsi="Times New Roman"/>
          <w:spacing w:val="-2"/>
        </w:rPr>
        <w:t>-</w:t>
      </w:r>
      <w:r>
        <w:rPr>
          <w:spacing w:val="-2"/>
        </w:rPr>
        <w:t>罗德齐勒列尔（简称弗—罗）模式适用于预测混合过程段以内的断面平均水</w:t>
      </w:r>
      <w:r>
        <w:t>质。其使用条件为：大、中河流，</w:t>
      </w:r>
      <w:r>
        <w:rPr>
          <w:rFonts w:ascii="Times New Roman" w:eastAsia="Times New Roman" w:hAnsi="Times New Roman"/>
        </w:rPr>
        <w:t>B/H</w:t>
      </w:r>
      <w:r>
        <w:t>≥</w:t>
      </w:r>
      <w:r>
        <w:rPr>
          <w:rFonts w:ascii="Times New Roman" w:eastAsia="Times New Roman" w:hAnsi="Times New Roman"/>
        </w:rPr>
        <w:t>20</w:t>
      </w:r>
      <w:r>
        <w:rPr>
          <w:spacing w:val="-3"/>
        </w:rPr>
        <w:t xml:space="preserve">，预测水质断面至排放口的距离 </w:t>
      </w:r>
      <w:r>
        <w:rPr>
          <w:rFonts w:ascii="Times New Roman" w:eastAsia="Times New Roman" w:hAnsi="Times New Roman"/>
        </w:rPr>
        <w:t>x</w:t>
      </w:r>
      <w:r>
        <w:t>≥</w:t>
      </w:r>
      <w:r>
        <w:rPr>
          <w:rFonts w:ascii="Times New Roman" w:eastAsia="Times New Roman" w:hAnsi="Times New Roman"/>
        </w:rPr>
        <w:t>3000m</w:t>
      </w:r>
      <w:r>
        <w:t>。</w:t>
      </w:r>
    </w:p>
    <w:p>
      <w:pPr>
        <w:pStyle w:val="BodyText"/>
        <w:spacing w:line="295" w:lineRule="auto"/>
        <w:ind w:left="220" w:right="298" w:firstLine="420"/>
      </w:pPr>
      <w:r>
        <w:t>河流水温可以采用一维模式预测断面平均值或其它预测方法。</w:t>
      </w:r>
      <w:r>
        <w:rPr>
          <w:rFonts w:ascii="Times New Roman" w:eastAsia="Times New Roman"/>
        </w:rPr>
        <w:t>pH</w:t>
      </w:r>
      <w:r>
        <w:rPr>
          <w:rFonts w:ascii="Times New Roman" w:eastAsia="Times New Roman"/>
          <w:spacing w:val="-14"/>
        </w:rPr>
        <w:t xml:space="preserve"> </w:t>
      </w:r>
      <w:r>
        <w:t>视具体情况可以只采</w:t>
      </w:r>
      <w:r>
        <w:rPr>
          <w:spacing w:val="-2"/>
        </w:rPr>
        <w:t>用零维模式预测。</w:t>
      </w:r>
    </w:p>
    <w:p>
      <w:pPr>
        <w:pStyle w:val="BodyText"/>
        <w:spacing w:line="295" w:lineRule="auto"/>
        <w:ind w:left="220" w:right="298" w:firstLine="420"/>
        <w:jc w:val="both"/>
      </w:pPr>
      <w:r>
        <w:rPr>
          <w:spacing w:val="-4"/>
        </w:rPr>
        <w:t>除个别要求很高的情况（如评价等级为一级）外，感潮河段一般可以按潮周平均、高潮</w:t>
      </w:r>
      <w:r>
        <w:rPr>
          <w:spacing w:val="-4"/>
        </w:rPr>
        <w:t>平均和低潮平均三种情况预测水质。感潮河段下游可能出现上溯流动，此时可按上溯流动期</w:t>
      </w:r>
      <w:r>
        <w:rPr>
          <w:spacing w:val="-4"/>
        </w:rPr>
        <w:t>间的平均情况预测水质。感潮河段的水文要素和环境水力学参数（主要指水体混合输移参数</w:t>
      </w:r>
      <w:r>
        <w:rPr>
          <w:spacing w:val="-2"/>
        </w:rPr>
        <w:t>及水质模式参数）应采用相应的平均值。</w:t>
      </w:r>
    </w:p>
    <w:p>
      <w:pPr>
        <w:pStyle w:val="BodyText"/>
        <w:spacing w:line="295" w:lineRule="auto"/>
        <w:ind w:left="220" w:right="297" w:firstLine="420"/>
      </w:pPr>
      <w:r>
        <w:rPr>
          <w:spacing w:val="-4"/>
        </w:rPr>
        <w:t>小湖（库）可以采用零维数字模式预测其平衡时的平均水质，大湖应预测排放口附近各</w:t>
      </w:r>
      <w:r>
        <w:rPr>
          <w:spacing w:val="-2"/>
        </w:rPr>
        <w:t>点的水质。</w:t>
      </w:r>
    </w:p>
    <w:p>
      <w:pPr>
        <w:pStyle w:val="BodyText"/>
        <w:spacing w:line="295" w:lineRule="auto"/>
        <w:ind w:left="220" w:right="297" w:firstLine="420"/>
        <w:jc w:val="both"/>
      </w:pPr>
      <w:r>
        <w:rPr>
          <w:spacing w:val="-4"/>
        </w:rPr>
        <w:t>海洋应采用二维数字模式预测平面各点的水质。评价等级为一、二级时，首先应计算流场，然后预测水质。大型排污口选址和倾废区选址，可以考虑进行标识质点的拉格郎日数值</w:t>
      </w:r>
      <w:r>
        <w:rPr>
          <w:spacing w:val="-2"/>
        </w:rPr>
        <w:t>计算和现场追踪。预测海区内有重要环境敏感区且为一级评价时，也可以采用这种方法。</w:t>
      </w:r>
    </w:p>
    <w:p>
      <w:pPr>
        <w:pStyle w:val="ListParagraph"/>
        <w:numPr>
          <w:ilvl w:val="3"/>
          <w:numId w:val="32"/>
        </w:numPr>
        <w:tabs>
          <w:tab w:val="left" w:pos="1008"/>
        </w:tabs>
        <w:spacing w:before="0" w:after="0" w:line="295" w:lineRule="auto"/>
        <w:ind w:left="220" w:right="298" w:firstLine="0"/>
        <w:jc w:val="both"/>
        <w:rPr>
          <w:sz w:val="21"/>
        </w:rPr>
      </w:pPr>
      <w:r>
        <w:rPr>
          <w:spacing w:val="-2"/>
          <w:sz w:val="21"/>
        </w:rPr>
        <w:t>本标准所选录的数学模式中，解析模式适用于恒定水域中点源连续恒定排放，其中</w:t>
      </w:r>
      <w:r>
        <w:rPr>
          <w:spacing w:val="-4"/>
          <w:sz w:val="21"/>
        </w:rPr>
        <w:t>二维解析模式只适用于矩形河流或水深变化不大的湖泊、水库；稳态数值模式适用于非矩形</w:t>
      </w:r>
      <w:r>
        <w:rPr>
          <w:spacing w:val="-4"/>
          <w:sz w:val="21"/>
        </w:rPr>
        <w:t>河流、水深变化较大的浅水湖泊、水库形成的恒定水域内的连续恒定排放；动态数值模式适</w:t>
      </w:r>
      <w:r>
        <w:rPr>
          <w:spacing w:val="-2"/>
          <w:sz w:val="21"/>
        </w:rPr>
        <w:t>用于各类恒定水域中的非连续恒定排放或非恒定水域中的各类排放。</w:t>
      </w:r>
    </w:p>
    <w:p>
      <w:pPr>
        <w:pStyle w:val="ListParagraph"/>
        <w:numPr>
          <w:ilvl w:val="3"/>
          <w:numId w:val="32"/>
        </w:numPr>
        <w:tabs>
          <w:tab w:val="left" w:pos="1008"/>
        </w:tabs>
        <w:spacing w:before="0" w:after="0" w:line="265" w:lineRule="exact"/>
        <w:ind w:left="1007" w:right="0" w:hanging="788"/>
        <w:jc w:val="both"/>
        <w:rPr>
          <w:sz w:val="21"/>
        </w:rPr>
      </w:pPr>
      <w:r>
        <w:rPr>
          <w:spacing w:val="-4"/>
          <w:sz w:val="21"/>
        </w:rPr>
        <w:t>运用数学模式时的坐标系以排放点为原点，</w:t>
      </w:r>
      <w:r>
        <w:rPr>
          <w:rFonts w:ascii="Times New Roman" w:eastAsia="Times New Roman"/>
          <w:spacing w:val="-4"/>
          <w:sz w:val="21"/>
        </w:rPr>
        <w:t>Z</w:t>
      </w:r>
      <w:r>
        <w:rPr>
          <w:rFonts w:ascii="Times New Roman" w:eastAsia="Times New Roman"/>
          <w:spacing w:val="10"/>
          <w:sz w:val="21"/>
        </w:rPr>
        <w:t xml:space="preserve"> </w:t>
      </w:r>
      <w:r>
        <w:rPr>
          <w:spacing w:val="-4"/>
          <w:sz w:val="21"/>
        </w:rPr>
        <w:t>轴铅直向上，</w:t>
      </w:r>
      <w:r>
        <w:rPr>
          <w:rFonts w:ascii="Times New Roman" w:eastAsia="Times New Roman"/>
          <w:spacing w:val="-4"/>
          <w:sz w:val="21"/>
        </w:rPr>
        <w:t>X</w:t>
      </w:r>
      <w:r>
        <w:rPr>
          <w:rFonts w:ascii="Times New Roman" w:eastAsia="Times New Roman"/>
          <w:spacing w:val="11"/>
          <w:sz w:val="21"/>
        </w:rPr>
        <w:t xml:space="preserve"> </w:t>
      </w:r>
      <w:r>
        <w:rPr>
          <w:spacing w:val="-4"/>
          <w:sz w:val="21"/>
        </w:rPr>
        <w:t>轴、</w:t>
      </w:r>
      <w:r>
        <w:rPr>
          <w:rFonts w:ascii="Times New Roman" w:eastAsia="Times New Roman"/>
          <w:spacing w:val="-4"/>
          <w:sz w:val="21"/>
        </w:rPr>
        <w:t>Y</w:t>
      </w:r>
      <w:r>
        <w:rPr>
          <w:rFonts w:ascii="Times New Roman" w:eastAsia="Times New Roman"/>
          <w:spacing w:val="11"/>
          <w:sz w:val="21"/>
        </w:rPr>
        <w:t xml:space="preserve"> </w:t>
      </w:r>
      <w:r>
        <w:rPr>
          <w:spacing w:val="-5"/>
          <w:sz w:val="21"/>
        </w:rPr>
        <w:t>轴为水平方向，</w:t>
      </w:r>
    </w:p>
    <w:p>
      <w:pPr>
        <w:pStyle w:val="BodyText"/>
        <w:spacing w:before="45"/>
        <w:ind w:left="220"/>
      </w:pPr>
      <w:r>
        <w:rPr>
          <w:rFonts w:ascii="Times New Roman" w:eastAsia="Times New Roman"/>
        </w:rPr>
        <w:t xml:space="preserve">x </w:t>
      </w:r>
      <w:r>
        <w:t>方向与主流方向一致，</w:t>
      </w:r>
      <w:r>
        <w:rPr>
          <w:rFonts w:ascii="Times New Roman" w:eastAsia="Times New Roman"/>
        </w:rPr>
        <w:t xml:space="preserve">y </w:t>
      </w:r>
      <w:r>
        <w:rPr>
          <w:spacing w:val="-2"/>
        </w:rPr>
        <w:t>方向与主流垂直。</w:t>
      </w:r>
    </w:p>
    <w:p>
      <w:pPr>
        <w:pStyle w:val="ListParagraph"/>
        <w:numPr>
          <w:ilvl w:val="3"/>
          <w:numId w:val="32"/>
        </w:numPr>
        <w:tabs>
          <w:tab w:val="left" w:pos="1007"/>
          <w:tab w:val="left" w:pos="1008"/>
        </w:tabs>
        <w:spacing w:before="61" w:after="0" w:line="240" w:lineRule="auto"/>
        <w:ind w:left="1007" w:right="0" w:hanging="788"/>
        <w:jc w:val="left"/>
        <w:rPr>
          <w:sz w:val="21"/>
        </w:rPr>
      </w:pPr>
      <w:r>
        <w:rPr>
          <w:spacing w:val="-2"/>
          <w:sz w:val="21"/>
        </w:rPr>
        <w:t xml:space="preserve">在地面水环境影响评价中，采用数学模式进行预测的工作程序见图 </w:t>
      </w:r>
      <w:r>
        <w:rPr>
          <w:rFonts w:ascii="Times New Roman" w:eastAsia="Times New Roman"/>
          <w:sz w:val="21"/>
        </w:rPr>
        <w:t>2</w:t>
      </w:r>
      <w:r>
        <w:rPr>
          <w:spacing w:val="-10"/>
          <w:sz w:val="21"/>
        </w:rPr>
        <w:t>。</w:t>
      </w:r>
    </w:p>
    <w:p>
      <w:pPr>
        <w:spacing w:after="0" w:line="240" w:lineRule="auto"/>
        <w:jc w:val="left"/>
        <w:rPr>
          <w:sz w:val="21"/>
        </w:rPr>
        <w:sectPr>
          <w:footerReference w:type="even" r:id="rId98"/>
          <w:footerReference w:type="default" r:id="rId99"/>
          <w:type w:val="continuous"/>
          <w:pgSz w:w="11910" w:h="16840"/>
          <w:pgMar w:top="1480" w:right="1500" w:bottom="1180" w:left="1580" w:header="0" w:footer="990"/>
          <w:pgNumType w:start="647"/>
          <w:cols w:space="708"/>
        </w:sectPr>
      </w:pPr>
    </w:p>
    <w:p>
      <w:pPr>
        <w:pStyle w:val="BodyText"/>
        <w:ind w:left="572"/>
        <w:rPr>
          <w:sz w:val="20"/>
        </w:rPr>
      </w:pPr>
      <w:r>
        <w:rPr>
          <w:sz w:val="20"/>
        </w:rPr>
        <w:pict>
          <v:group id="_x0000_i1131" style="width:324.75pt;height:320.55pt;mso-position-horizontal-relative:char;mso-position-vertical-relative:line" coordorigin="0,0" coordsize="6495,6411">
            <v:rect id="_x0000_s1132" style="width:1620;height:624;left:3247;position:absolute;top:787" filled="f" stroked="t" strokecolor="black" strokeweight="0.75pt">
              <v:stroke dashstyle="solid"/>
            </v:rect>
            <v:shape id="_x0000_s1133" style="width:120;height:120;left:3127;position:absolute;top:1195" coordorigin="3128,1195" coordsize="120,120" path="m3128,1315l3128,1195,3248,1255,3128,1315xe" filled="t" fillcolor="black" stroked="f">
              <v:fill type="solid"/>
              <v:path arrowok="t"/>
            </v:shape>
            <v:line id="_x0000_s1134" style="position:absolute" from="368,1255" to="3225,1255" stroked="t" strokecolor="black" strokeweight="0.75pt">
              <v:stroke dashstyle="solid"/>
            </v:line>
            <v:shape id="_x0000_s1135" style="width:120;height:120;left:2107;position:absolute;top:1447" coordorigin="2108,1447" coordsize="120,120" path="m2168,1567l2108,1447,2228,1447,2168,1567xe" filled="t" fillcolor="black" stroked="f">
              <v:fill type="solid"/>
              <v:path arrowok="t"/>
            </v:shape>
            <v:line id="_x0000_s1136" style="position:absolute" from="2168,319" to="2168,1545" stroked="t" strokecolor="black" strokeweight="0.75pt">
              <v:stroke dashstyle="solid"/>
            </v:line>
            <v:shape id="_x0000_s1137" style="width:120;height:120;left:3367;position:absolute;top:667" coordorigin="3368,668" coordsize="120,120" path="m3428,787l3368,667,3488,667,3428,787xe" filled="t" fillcolor="black" stroked="f">
              <v:fill type="solid"/>
              <v:path arrowok="t"/>
            </v:shape>
            <v:line id="_x0000_s1138" style="position:absolute" from="3428,319" to="3428,765" stroked="t" strokecolor="black" strokeweight="0.75pt">
              <v:stroke dashstyle="solid"/>
            </v:line>
            <v:shape id="_x0000_s1139" style="width:120;height:120;left:4447;position:absolute;top:667" coordorigin="4448,668" coordsize="120,120" path="m4508,787l4448,667,4568,667,4508,787xe" filled="t" fillcolor="black" stroked="f">
              <v:fill type="solid"/>
              <v:path arrowok="t"/>
            </v:shape>
            <v:line id="_x0000_s1140" style="position:absolute" from="4508,319" to="4508,765" stroked="t" strokecolor="black" strokeweight="0.75pt">
              <v:stroke dashstyle="solid"/>
            </v:line>
            <v:shape id="_x0000_s1141" style="width:120;height:120;left:3907;position:absolute;top:2071" coordorigin="3908,2071" coordsize="120,120" path="m3968,2191l3908,2071,4028,2071,3968,2191xe" filled="t" fillcolor="black" stroked="f">
              <v:fill type="solid"/>
              <v:path arrowok="t"/>
            </v:shape>
            <v:line id="_x0000_s1142" style="position:absolute" from="3968,1411" to="3968,2169" stroked="t" strokecolor="black" strokeweight="0.75pt">
              <v:stroke dashstyle="solid"/>
            </v:line>
            <v:rect id="_x0000_s1143" style="width:1620;height:312;left:3247;position:absolute;top:3439" filled="f" stroked="t" strokecolor="black" strokeweight="0.75pt">
              <v:stroke dashstyle="solid"/>
            </v:rect>
            <v:shape id="_x0000_s1144" style="width:120;height:120;left:3127;position:absolute;top:3535" coordorigin="3128,3536" coordsize="120,120" path="m3128,3656l3128,3536,3248,3596,3128,3656xe" filled="t" fillcolor="black" stroked="f">
              <v:fill type="solid"/>
              <v:path arrowok="t"/>
            </v:shape>
            <v:line id="_x0000_s1145" style="position:absolute" from="368,3596" to="3225,3596" stroked="t" strokecolor="black" strokeweight="0.75pt">
              <v:stroke dashstyle="solid"/>
            </v:line>
            <v:shape id="_x0000_s1146" style="width:120;height:120;left:3907;position:absolute;top:3319" coordorigin="3908,3319" coordsize="120,120" path="m3968,3439l3908,3319,4028,3319,3968,3439xe" filled="t" fillcolor="black" stroked="f">
              <v:fill type="solid"/>
              <v:path arrowok="t"/>
            </v:shape>
            <v:line id="_x0000_s1147" style="position:absolute" from="3968,2503" to="3968,3417" stroked="t" strokecolor="black" strokeweight="0.75pt">
              <v:stroke dashstyle="solid"/>
            </v:line>
            <v:rect id="_x0000_s1148" style="width:1620;height:312;left:3247;position:absolute;top:4531" filled="f" stroked="t" strokecolor="black" strokeweight="0.75pt">
              <v:stroke dashstyle="solid"/>
            </v:rect>
            <v:shape id="_x0000_s1149" style="width:120;height:120;left:3127;position:absolute;top:4627" coordorigin="3128,4628" coordsize="120,120" path="m3128,4748l3128,4628,3248,4688,3128,4748xe" filled="t" fillcolor="black" stroked="f">
              <v:fill type="solid"/>
              <v:path arrowok="t"/>
            </v:shape>
            <v:line id="_x0000_s1150" style="position:absolute" from="2348,4688" to="3225,4688" stroked="t" strokecolor="black" strokeweight="0.75pt">
              <v:stroke dashstyle="solid"/>
            </v:line>
            <v:shape id="_x0000_s1151" style="width:120;height:120;left:3907;position:absolute;top:4411" coordorigin="3908,4411" coordsize="120,120" path="m3968,4531l3908,4411,4028,4411,3968,4531xe" filled="t" fillcolor="black" stroked="f">
              <v:fill type="solid"/>
              <v:path arrowok="t"/>
            </v:shape>
            <v:line id="_x0000_s1152" style="position:absolute" from="3968,3751" to="3968,4509" stroked="t" strokecolor="black" strokeweight="0.75pt">
              <v:stroke dashstyle="solid"/>
            </v:line>
            <v:shape id="_x0000_s1153" style="width:120;height:120;left:3907;position:absolute;top:5971" coordorigin="3908,5972" coordsize="120,120" path="m3968,6092l3908,5972,4028,5972,3968,6092xe" filled="t" fillcolor="black" stroked="f">
              <v:fill type="solid"/>
              <v:path arrowok="t"/>
            </v:shape>
            <v:line id="_x0000_s1154" style="position:absolute" from="3968,4844" to="3968,6069" stroked="t" strokecolor="black" strokeweight="0.75pt">
              <v:stroke dashstyle="solid"/>
            </v:line>
            <v:shape id="_x0000_s1155" style="width:120;height:120;left:4867;position:absolute;top:4627" coordorigin="4868,4628" coordsize="120,120" path="m4988,4748l4868,4688,4988,4628,4988,4748xe" filled="t" fillcolor="black" stroked="f">
              <v:fill type="solid"/>
              <v:path arrowok="t"/>
            </v:shape>
            <v:line id="_x0000_s1156" style="position:absolute" from="5588,4688" to="4890,4688" stroked="t" strokecolor="black" strokeweight="0.75pt">
              <v:stroke dashstyle="solid"/>
            </v:line>
            <v:line id="_x0000_s1157" style="position:absolute" from="728,5779" to="6488,5779" stroked="t" strokecolor="black" strokeweight="0.75pt">
              <v:stroke dashstyle="shortDash"/>
            </v:line>
            <v:line id="_x0000_s1158" style="position:absolute" from="6488,5785" to="6488,478" stroked="t" strokecolor="black" strokeweight="0.75pt">
              <v:stroke dashstyle="shortDash"/>
            </v:line>
            <v:line id="_x0000_s1159" style="position:absolute" from="6485,478" to="725,478" stroked="t" strokecolor="black" strokeweight="0.75pt">
              <v:stroke dashstyle="shortDash"/>
            </v:line>
            <v:shape id="_x0000_s1160" style="width:120;height:120;left:1867;position:absolute;top:2443" coordorigin="1868,2444" coordsize="120,120" path="m1868,2564l1868,2444,1988,2504,1868,2564xe" filled="t" fillcolor="black" stroked="f">
              <v:fill type="solid"/>
              <v:path arrowok="t"/>
            </v:shape>
            <v:line id="_x0000_s1161" style="position:absolute" from="368,2504" to="1965,2504" stroked="t" strokecolor="black" strokeweight="0.75pt">
              <v:stroke dashstyle="solid"/>
            </v:line>
            <v:shape id="_x0000_s1162" style="width:120;height:120;left:1867;position:absolute;top:4627" coordorigin="1868,4628" coordsize="120,120" path="m1868,4748l1868,4628,1988,4688,1868,4748xe" filled="t" fillcolor="black" stroked="f">
              <v:fill type="solid"/>
              <v:path arrowok="t"/>
            </v:shape>
            <v:line id="_x0000_s1163" style="position:absolute" from="368,4688" to="1965,4688" stroked="t" strokecolor="black" strokeweight="0.75pt">
              <v:stroke dashstyle="solid"/>
            </v:line>
            <v:line id="_x0000_s1164" style="position:absolute" from="725,478" to="725,5782" stroked="t" strokecolor="black" strokeweight="0.75pt">
              <v:stroke dashstyle="shortDash"/>
            </v:line>
            <v:shape id="_x0000_s1165" style="width:120;height:120;left:5707;position:absolute;top:4255" coordorigin="5708,4255" coordsize="120,120" path="m5768,4375l5708,4255,5828,4255,5768,4375xe" filled="t" fillcolor="black" stroked="f">
              <v:fill type="solid"/>
              <v:path arrowok="t"/>
            </v:shape>
            <v:line id="_x0000_s1166" style="position:absolute" from="5768,319" to="5768,4353" stroked="t" strokecolor="black" strokeweight="0.75pt">
              <v:stroke dashstyle="longDashDotDot"/>
            </v:line>
            <v:shape id="_x0000_s1167" style="width:120;height:120;left:3127;position:absolute;top:3691" coordorigin="3128,3691" coordsize="120,120" path="m3128,3811l3128,3691,3248,3751,3128,3811xe" filled="t" fillcolor="black" stroked="f">
              <v:fill type="solid"/>
              <v:path arrowok="t"/>
            </v:shape>
            <v:line id="_x0000_s1168" style="position:absolute" from="2888,3751" to="3225,3751" stroked="t" strokecolor="black" strokeweight="0.75pt">
              <v:stroke dashstyle="solid"/>
            </v:line>
            <v:shape id="_x0000_s1169" style="width:120;height:120;left:4855;position:absolute;top:2333" coordorigin="4855,2334" coordsize="120,120" path="m4975,2454l4855,2394,4975,2334,4975,2454xe" filled="t" fillcolor="black" stroked="f">
              <v:fill type="solid"/>
              <v:path arrowok="t"/>
            </v:shape>
            <v:line id="_x0000_s1170" style="position:absolute" from="5149,2394" to="4878,2394" stroked="t" strokecolor="black" strokeweight="0.75pt">
              <v:stroke dashstyle="solid"/>
            </v:line>
            <v:shape id="_x0000_s1171" style="width:120;height:120;left:5257;position:absolute;top:2025" coordorigin="5258,2026" coordsize="120,120" path="m5318,2146l5258,2026,5378,2026,5318,2146xe" filled="t" fillcolor="black" stroked="f">
              <v:fill type="solid"/>
              <v:path arrowok="t"/>
            </v:shape>
            <v:line id="_x0000_s1172" style="position:absolute" from="5318,348" to="5318,2123" stroked="t" strokecolor="black" strokeweight="0.75pt">
              <v:stroke dashstyle="solid"/>
            </v:line>
            <v:shape id="_x0000_s1173" type="#_x0000_t202" style="width:920;height:492;left:3607;position:absolute;top:862" filled="f" stroked="f">
              <v:textbox inset="0,0,0,0">
                <w:txbxContent>
                  <w:p>
                    <w:pPr>
                      <w:spacing w:before="0" w:line="205" w:lineRule="exact"/>
                      <w:ind w:left="90" w:right="0" w:firstLine="0"/>
                      <w:jc w:val="left"/>
                      <w:rPr>
                        <w:sz w:val="18"/>
                      </w:rPr>
                    </w:pPr>
                    <w:r>
                      <w:rPr>
                        <w:spacing w:val="-6"/>
                        <w:sz w:val="18"/>
                      </w:rPr>
                      <w:t>预测水质</w:t>
                    </w:r>
                  </w:p>
                  <w:p>
                    <w:pPr>
                      <w:spacing w:before="81" w:line="205" w:lineRule="exact"/>
                      <w:ind w:left="0" w:right="0" w:firstLine="0"/>
                      <w:jc w:val="left"/>
                      <w:rPr>
                        <w:sz w:val="18"/>
                      </w:rPr>
                    </w:pPr>
                    <w:r>
                      <w:rPr>
                        <w:spacing w:val="-4"/>
                        <w:sz w:val="18"/>
                      </w:rPr>
                      <w:t>参数的筛选</w:t>
                    </w:r>
                  </w:p>
                </w:txbxContent>
              </v:textbox>
            </v:shape>
            <v:shape id="_x0000_s1174" type="#_x0000_t202" style="width:740;height:180;left:3697;position:absolute;top:3514" filled="f" stroked="f">
              <v:textbox inset="0,0,0,0">
                <w:txbxContent>
                  <w:p>
                    <w:pPr>
                      <w:spacing w:before="0" w:line="180" w:lineRule="exact"/>
                      <w:ind w:left="0" w:right="0" w:firstLine="0"/>
                      <w:jc w:val="left"/>
                      <w:rPr>
                        <w:sz w:val="18"/>
                      </w:rPr>
                    </w:pPr>
                    <w:r>
                      <w:rPr>
                        <w:spacing w:val="-6"/>
                        <w:sz w:val="18"/>
                      </w:rPr>
                      <w:t>参数估值</w:t>
                    </w:r>
                  </w:p>
                </w:txbxContent>
              </v:textbox>
            </v:shape>
            <v:shape id="_x0000_s1175" type="#_x0000_t202" style="width:1100;height:180;left:1807;position:absolute;top:3818" filled="f" stroked="f">
              <v:textbox inset="0,0,0,0">
                <w:txbxContent>
                  <w:p>
                    <w:pPr>
                      <w:spacing w:before="0" w:line="180" w:lineRule="exact"/>
                      <w:ind w:left="0" w:right="0" w:firstLine="0"/>
                      <w:jc w:val="left"/>
                      <w:rPr>
                        <w:sz w:val="18"/>
                      </w:rPr>
                    </w:pPr>
                    <w:r>
                      <w:rPr>
                        <w:sz w:val="18"/>
                      </w:rPr>
                      <w:t>（试验参数</w:t>
                    </w:r>
                    <w:r>
                      <w:rPr>
                        <w:spacing w:val="-10"/>
                        <w:sz w:val="18"/>
                      </w:rPr>
                      <w:t>）</w:t>
                    </w:r>
                  </w:p>
                </w:txbxContent>
              </v:textbox>
            </v:shape>
            <v:shape id="_x0000_s1176" type="#_x0000_t202" style="width:740;height:180;left:3697;position:absolute;top:4606" filled="f" stroked="f">
              <v:textbox inset="0,0,0,0">
                <w:txbxContent>
                  <w:p>
                    <w:pPr>
                      <w:spacing w:before="0" w:line="180" w:lineRule="exact"/>
                      <w:ind w:left="0" w:right="0" w:firstLine="0"/>
                      <w:jc w:val="left"/>
                      <w:rPr>
                        <w:sz w:val="18"/>
                      </w:rPr>
                    </w:pPr>
                    <w:r>
                      <w:rPr>
                        <w:spacing w:val="-6"/>
                        <w:sz w:val="18"/>
                      </w:rPr>
                      <w:t>模式计算</w:t>
                    </w:r>
                  </w:p>
                </w:txbxContent>
              </v:textbox>
            </v:shape>
            <v:shape id="_x0000_s1177" type="#_x0000_t202" style="width:2700;height:312;left:2707;position:absolute;top:6091" filled="f" stroked="t" strokecolor="black" strokeweight="0.75pt">
              <v:stroke dashstyle="solid"/>
              <v:textbox inset="0,0,0,0">
                <w:txbxContent>
                  <w:p>
                    <w:pPr>
                      <w:spacing w:before="42"/>
                      <w:ind w:left="82" w:right="0" w:firstLine="0"/>
                      <w:jc w:val="left"/>
                      <w:rPr>
                        <w:sz w:val="18"/>
                      </w:rPr>
                    </w:pPr>
                    <w:r>
                      <w:rPr>
                        <w:spacing w:val="-3"/>
                        <w:sz w:val="18"/>
                      </w:rPr>
                      <w:t>评价建设项目的地面水环境影响</w:t>
                    </w:r>
                  </w:p>
                </w:txbxContent>
              </v:textbox>
            </v:shape>
            <v:shape id="_x0000_s1178" type="#_x0000_t202" style="width:399;height:1095;left:5548;position:absolute;top:4375" filled="f" stroked="t" strokecolor="black" strokeweight="0.75pt">
              <v:stroke dashstyle="longDashDotDot"/>
              <v:textbox inset="0,0,0,0">
                <w:txbxContent>
                  <w:p>
                    <w:pPr>
                      <w:spacing w:before="2" w:line="240" w:lineRule="auto"/>
                      <w:rPr>
                        <w:sz w:val="15"/>
                      </w:rPr>
                    </w:pPr>
                  </w:p>
                  <w:p>
                    <w:pPr>
                      <w:spacing w:before="0" w:line="187" w:lineRule="auto"/>
                      <w:ind w:left="136" w:right="65" w:firstLine="0"/>
                      <w:jc w:val="both"/>
                      <w:rPr>
                        <w:sz w:val="18"/>
                      </w:rPr>
                    </w:pPr>
                    <w:r>
                      <w:rPr>
                        <w:spacing w:val="-10"/>
                        <w:sz w:val="18"/>
                      </w:rPr>
                      <w:t>源强确定</w:t>
                    </w:r>
                  </w:p>
                </w:txbxContent>
              </v:textbox>
            </v:shape>
            <v:shape id="_x0000_s1179" type="#_x0000_t202" style="width:360;height:1092;left:1987;position:absolute;top:4063" filled="f" stroked="t" strokecolor="black" strokeweight="0.75pt">
              <v:stroke dashstyle="solid"/>
              <v:textbox inset="0,0,0,0">
                <w:txbxContent>
                  <w:p>
                    <w:pPr>
                      <w:spacing w:before="0" w:line="240" w:lineRule="auto"/>
                      <w:rPr>
                        <w:sz w:val="15"/>
                      </w:rPr>
                    </w:pPr>
                  </w:p>
                  <w:p>
                    <w:pPr>
                      <w:spacing w:before="0" w:line="187" w:lineRule="auto"/>
                      <w:ind w:left="97" w:right="65" w:firstLine="0"/>
                      <w:jc w:val="both"/>
                      <w:rPr>
                        <w:sz w:val="18"/>
                      </w:rPr>
                    </w:pPr>
                    <w:r>
                      <w:rPr>
                        <w:spacing w:val="-10"/>
                        <w:sz w:val="18"/>
                      </w:rPr>
                      <w:t>边界条件</w:t>
                    </w:r>
                  </w:p>
                </w:txbxContent>
              </v:textbox>
            </v:shape>
            <v:shape id="_x0000_s1180" type="#_x0000_t202" style="width:399;height:1069;left:5149;position:absolute;top:2191" filled="f" stroked="t" strokecolor="black" strokeweight="0.75pt">
              <v:stroke dashstyle="solid"/>
              <v:textbox inset="0,0,0,0">
                <w:txbxContent>
                  <w:p>
                    <w:pPr>
                      <w:spacing w:before="56" w:line="187" w:lineRule="auto"/>
                      <w:ind w:left="97" w:right="104" w:firstLine="0"/>
                      <w:jc w:val="both"/>
                      <w:rPr>
                        <w:sz w:val="18"/>
                      </w:rPr>
                    </w:pPr>
                    <w:r>
                      <w:rPr>
                        <w:spacing w:val="-10"/>
                        <w:sz w:val="18"/>
                      </w:rPr>
                      <w:t>污染源简化</w:t>
                    </w:r>
                  </w:p>
                </w:txbxContent>
              </v:textbox>
            </v:shape>
            <v:shape id="_x0000_s1181" type="#_x0000_t202" style="width:1620;height:312;left:3247;position:absolute;top:2191" filled="f" stroked="t" strokecolor="black" strokeweight="0.75pt">
              <v:stroke dashstyle="solid"/>
              <v:textbox inset="0,0,0,0">
                <w:txbxContent>
                  <w:p>
                    <w:pPr>
                      <w:spacing w:before="42"/>
                      <w:ind w:left="172" w:right="0" w:firstLine="0"/>
                      <w:jc w:val="left"/>
                      <w:rPr>
                        <w:sz w:val="18"/>
                      </w:rPr>
                    </w:pPr>
                    <w:r>
                      <w:rPr>
                        <w:spacing w:val="-4"/>
                        <w:sz w:val="18"/>
                      </w:rPr>
                      <w:t>数学模式的选择</w:t>
                    </w:r>
                  </w:p>
                </w:txbxContent>
              </v:textbox>
            </v:shape>
            <v:shape id="_x0000_s1182" type="#_x0000_t202" style="width:360;height:1696;left:1987;position:absolute;top:1564" filled="f" stroked="t" strokecolor="black" strokeweight="0.75pt">
              <v:stroke dashstyle="solid"/>
              <v:textbox inset="0,0,0,0">
                <w:txbxContent>
                  <w:p>
                    <w:pPr>
                      <w:spacing w:before="5" w:line="240" w:lineRule="auto"/>
                      <w:rPr>
                        <w:sz w:val="18"/>
                      </w:rPr>
                    </w:pPr>
                  </w:p>
                  <w:p>
                    <w:pPr>
                      <w:spacing w:before="0" w:line="187" w:lineRule="auto"/>
                      <w:ind w:left="97" w:right="65" w:firstLine="0"/>
                      <w:jc w:val="both"/>
                      <w:rPr>
                        <w:sz w:val="18"/>
                      </w:rPr>
                    </w:pPr>
                    <w:r>
                      <w:rPr>
                        <w:spacing w:val="-10"/>
                        <w:sz w:val="18"/>
                      </w:rPr>
                      <w:t>水环境状况简化</w:t>
                    </w:r>
                  </w:p>
                </w:txbxContent>
              </v:textbox>
            </v:shape>
            <v:shape id="_x0000_s1183" type="#_x0000_t202" style="width:360;height:4056;left:7;position:absolute;top:943" filled="f" stroked="t" strokecolor="black" strokeweight="0.75pt">
              <v:stroke dashstyle="solid"/>
              <v:textbox inset="0,0,0,0">
                <w:txbxContent>
                  <w:p>
                    <w:pPr>
                      <w:spacing w:before="0" w:line="240" w:lineRule="auto"/>
                      <w:rPr>
                        <w:sz w:val="18"/>
                      </w:rPr>
                    </w:pPr>
                  </w:p>
                  <w:p>
                    <w:pPr>
                      <w:spacing w:before="3" w:line="240" w:lineRule="auto"/>
                      <w:rPr>
                        <w:sz w:val="18"/>
                      </w:rPr>
                    </w:pPr>
                  </w:p>
                  <w:p>
                    <w:pPr>
                      <w:spacing w:before="1" w:line="374" w:lineRule="auto"/>
                      <w:ind w:left="97" w:right="65" w:firstLine="0"/>
                      <w:jc w:val="both"/>
                      <w:rPr>
                        <w:sz w:val="18"/>
                      </w:rPr>
                    </w:pPr>
                    <w:r>
                      <w:rPr>
                        <w:spacing w:val="-10"/>
                        <w:sz w:val="18"/>
                      </w:rPr>
                      <w:t>地面水环境现状调查</w:t>
                    </w:r>
                  </w:p>
                </w:txbxContent>
              </v:textbox>
            </v:shape>
            <v:shape id="_x0000_s1184" type="#_x0000_t202" style="width:1620;height:312;left:4327;position:absolute;top:7" filled="f" stroked="t" strokecolor="black" strokeweight="0.75pt">
              <v:stroke dashstyle="solid"/>
              <v:textbox inset="0,0,0,0">
                <w:txbxContent>
                  <w:p>
                    <w:pPr>
                      <w:spacing w:before="42"/>
                      <w:ind w:left="442" w:right="0" w:firstLine="0"/>
                      <w:jc w:val="left"/>
                      <w:rPr>
                        <w:sz w:val="18"/>
                      </w:rPr>
                    </w:pPr>
                    <w:r>
                      <w:rPr>
                        <w:spacing w:val="-6"/>
                        <w:sz w:val="18"/>
                      </w:rPr>
                      <w:t>工程分析</w:t>
                    </w:r>
                  </w:p>
                </w:txbxContent>
              </v:textbox>
            </v:shape>
            <v:shape id="_x0000_s1185" type="#_x0000_t202" style="width:1800;height:312;left:1807;position:absolute;top:7" filled="f" stroked="t" strokecolor="black" strokeweight="0.75pt">
              <v:stroke dashstyle="solid"/>
              <v:textbox inset="0,0,0,0">
                <w:txbxContent>
                  <w:p>
                    <w:pPr>
                      <w:spacing w:before="42"/>
                      <w:ind w:left="352" w:right="0" w:firstLine="0"/>
                      <w:jc w:val="left"/>
                      <w:rPr>
                        <w:sz w:val="18"/>
                      </w:rPr>
                    </w:pPr>
                    <w:r>
                      <w:rPr>
                        <w:spacing w:val="-4"/>
                        <w:sz w:val="18"/>
                      </w:rPr>
                      <w:t>评价等级确定</w:t>
                    </w:r>
                  </w:p>
                </w:txbxContent>
              </v:textbox>
            </v:shape>
            <w10:wrap type="none"/>
          </v:group>
        </w:pict>
      </w:r>
    </w:p>
    <w:p>
      <w:pPr>
        <w:pStyle w:val="BodyText"/>
        <w:spacing w:before="10"/>
        <w:rPr>
          <w:sz w:val="6"/>
        </w:rPr>
      </w:pPr>
    </w:p>
    <w:p>
      <w:pPr>
        <w:spacing w:after="0"/>
        <w:rPr>
          <w:sz w:val="6"/>
        </w:rPr>
        <w:sectPr>
          <w:footerReference w:type="even" r:id="rId100"/>
          <w:footerReference w:type="default" r:id="rId101"/>
          <w:pgSz w:w="11910" w:h="16840"/>
          <w:pgMar w:top="1500" w:right="1500" w:bottom="1180" w:left="1580" w:header="0" w:footer="990"/>
          <w:pgNumType w:start="648"/>
          <w:cols w:space="708"/>
        </w:sectPr>
      </w:pPr>
    </w:p>
    <w:p>
      <w:pPr>
        <w:spacing w:before="75"/>
        <w:ind w:left="0" w:right="0" w:firstLine="0"/>
        <w:jc w:val="right"/>
        <w:rPr>
          <w:sz w:val="18"/>
        </w:rPr>
      </w:pPr>
      <w:r>
        <w:rPr>
          <w:spacing w:val="-4"/>
          <w:sz w:val="18"/>
        </w:rPr>
        <w:t>说明：</w:t>
      </w:r>
    </w:p>
    <w:p>
      <w:pPr>
        <w:spacing w:before="0" w:line="240" w:lineRule="auto"/>
        <w:rPr>
          <w:sz w:val="18"/>
        </w:rPr>
      </w:pPr>
      <w:r>
        <w:br w:type="column"/>
      </w:r>
    </w:p>
    <w:p>
      <w:pPr>
        <w:spacing w:before="156" w:line="487" w:lineRule="auto"/>
        <w:ind w:left="322" w:right="505" w:firstLine="0"/>
        <w:jc w:val="left"/>
        <w:rPr>
          <w:sz w:val="18"/>
        </w:rPr>
      </w:pPr>
      <w:r>
        <w:pict>
          <v:rect id="_x0000_s1186" style="width:36pt;height:15.6pt;margin-top:5.7pt;margin-left:351pt;mso-position-horizontal-relative:page;position:absolute;z-index:251676672" filled="f" stroked="t" strokecolor="black" strokeweight="0.75pt">
            <v:stroke dashstyle="shortDash"/>
          </v:rect>
        </w:pict>
      </w:r>
      <w:r>
        <w:pict>
          <v:rect id="_x0000_s1187" style="width:36pt;height:15.6pt;margin-top:29.09pt;margin-left:351pt;mso-position-horizontal-relative:page;position:absolute;z-index:251677696" filled="f" stroked="t" strokecolor="black" strokeweight="0.75pt">
            <v:stroke dashstyle="longDashDotDot"/>
          </v:rect>
        </w:pict>
      </w:r>
      <w:r>
        <w:rPr>
          <w:spacing w:val="-2"/>
          <w:sz w:val="18"/>
        </w:rPr>
        <w:t>环境影响预测的工作范围</w:t>
      </w:r>
      <w:r>
        <w:rPr>
          <w:spacing w:val="-2"/>
          <w:sz w:val="18"/>
        </w:rPr>
        <w:t>属于工程分析的工作</w:t>
      </w:r>
    </w:p>
    <w:p>
      <w:pPr>
        <w:spacing w:after="0" w:line="487" w:lineRule="auto"/>
        <w:jc w:val="left"/>
        <w:rPr>
          <w:sz w:val="18"/>
        </w:rPr>
        <w:sectPr>
          <w:footerReference w:type="even" r:id="rId102"/>
          <w:footerReference w:type="default" r:id="rId103"/>
          <w:type w:val="continuous"/>
          <w:pgSz w:w="11910" w:h="16840"/>
          <w:pgMar w:top="1480" w:right="1500" w:bottom="1180" w:left="1580" w:header="0" w:footer="990"/>
          <w:pgNumType w:start="649"/>
          <w:cols w:num="2" w:space="708" w:equalWidth="0">
            <w:col w:w="5978" w:space="40"/>
            <w:col w:w="2812" w:space="0"/>
          </w:cols>
        </w:sectPr>
      </w:pPr>
    </w:p>
    <w:p>
      <w:pPr>
        <w:pStyle w:val="BodyText"/>
        <w:tabs>
          <w:tab w:val="left" w:pos="577"/>
        </w:tabs>
        <w:spacing w:before="112"/>
        <w:ind w:right="78"/>
        <w:jc w:val="center"/>
      </w:pPr>
      <w:r>
        <w:t>图</w:t>
      </w:r>
      <w:r>
        <w:rPr>
          <w:spacing w:val="-53"/>
        </w:rPr>
        <w:t xml:space="preserve"> </w:t>
      </w:r>
      <w:r>
        <w:rPr>
          <w:rFonts w:ascii="Times New Roman" w:eastAsia="Times New Roman"/>
          <w:spacing w:val="-10"/>
        </w:rPr>
        <w:t>2</w:t>
      </w:r>
      <w:r>
        <w:rPr>
          <w:rFonts w:ascii="Times New Roman" w:eastAsia="Times New Roman"/>
        </w:rPr>
        <w:tab/>
      </w:r>
      <w:r>
        <w:t>采用数学模式法预测地面水环境影响的工作程</w:t>
      </w:r>
      <w:r>
        <w:rPr>
          <w:spacing w:val="-10"/>
        </w:rPr>
        <w:t>序</w:t>
      </w:r>
    </w:p>
    <w:p>
      <w:pPr>
        <w:pStyle w:val="BodyText"/>
        <w:rPr>
          <w:sz w:val="22"/>
        </w:rPr>
      </w:pPr>
    </w:p>
    <w:p>
      <w:pPr>
        <w:pStyle w:val="ListParagraph"/>
        <w:numPr>
          <w:ilvl w:val="2"/>
          <w:numId w:val="42"/>
        </w:numPr>
        <w:tabs>
          <w:tab w:val="left" w:pos="849"/>
          <w:tab w:val="left" w:pos="850"/>
        </w:tabs>
        <w:spacing w:before="185" w:after="0" w:line="240" w:lineRule="auto"/>
        <w:ind w:left="850" w:right="0" w:hanging="630"/>
        <w:jc w:val="left"/>
        <w:rPr>
          <w:sz w:val="21"/>
        </w:rPr>
      </w:pPr>
      <w:r>
        <w:rPr>
          <w:spacing w:val="-1"/>
          <w:sz w:val="21"/>
        </w:rPr>
        <w:t>河流常用数字模式及其推荐</w:t>
      </w:r>
    </w:p>
    <w:p>
      <w:pPr>
        <w:pStyle w:val="ListParagraph"/>
        <w:numPr>
          <w:ilvl w:val="3"/>
          <w:numId w:val="42"/>
        </w:numPr>
        <w:tabs>
          <w:tab w:val="left" w:pos="1007"/>
          <w:tab w:val="left" w:pos="1008"/>
        </w:tabs>
        <w:spacing w:before="51" w:after="0" w:line="240" w:lineRule="auto"/>
        <w:ind w:left="1007" w:right="0" w:hanging="788"/>
        <w:jc w:val="left"/>
        <w:rPr>
          <w:sz w:val="21"/>
        </w:rPr>
      </w:pPr>
      <w:r>
        <w:rPr>
          <w:spacing w:val="-2"/>
          <w:sz w:val="21"/>
        </w:rPr>
        <w:t>持久性污染物</w:t>
      </w:r>
    </w:p>
    <w:p>
      <w:pPr>
        <w:pStyle w:val="ListParagraph"/>
        <w:numPr>
          <w:ilvl w:val="4"/>
          <w:numId w:val="42"/>
        </w:numPr>
        <w:tabs>
          <w:tab w:val="left" w:pos="891"/>
        </w:tabs>
        <w:spacing w:before="51" w:after="0" w:line="240" w:lineRule="auto"/>
        <w:ind w:left="890" w:right="0" w:hanging="251"/>
        <w:jc w:val="left"/>
        <w:rPr>
          <w:sz w:val="21"/>
        </w:rPr>
      </w:pPr>
      <w:r>
        <w:rPr>
          <w:spacing w:val="-2"/>
          <w:sz w:val="21"/>
        </w:rPr>
        <w:t>充分混合段</w:t>
      </w:r>
    </w:p>
    <w:p>
      <w:pPr>
        <w:pStyle w:val="BodyText"/>
        <w:spacing w:before="51" w:line="285" w:lineRule="auto"/>
        <w:ind w:left="640" w:right="3565"/>
      </w:pPr>
      <w:r>
        <w:rPr>
          <w:spacing w:val="-2"/>
        </w:rPr>
        <w:t>建议一、二、三级评价均采用河流完全混合模式。</w:t>
      </w:r>
      <w:r>
        <w:t>河</w:t>
      </w:r>
      <w:r>
        <w:rPr>
          <w:rFonts w:ascii="Times New Roman" w:eastAsia="Times New Roman"/>
        </w:rPr>
        <w:t xml:space="preserve">-1 </w:t>
      </w:r>
      <w:r>
        <w:t>河流完全混合模式</w:t>
      </w:r>
    </w:p>
    <w:p>
      <w:pPr>
        <w:spacing w:after="0" w:line="285" w:lineRule="auto"/>
        <w:sectPr>
          <w:footerReference w:type="even" r:id="rId104"/>
          <w:footerReference w:type="default" r:id="rId105"/>
          <w:type w:val="continuous"/>
          <w:pgSz w:w="11910" w:h="16840"/>
          <w:pgMar w:top="1480" w:right="1500" w:bottom="1180" w:left="1580" w:header="0" w:footer="990"/>
          <w:pgNumType w:start="650"/>
          <w:cols w:space="708"/>
        </w:sectPr>
      </w:pPr>
    </w:p>
    <w:p>
      <w:pPr>
        <w:spacing w:before="111"/>
        <w:ind w:left="3749" w:right="0" w:firstLine="0"/>
        <w:jc w:val="left"/>
        <w:rPr>
          <w:rFonts w:ascii="Times New Roman" w:hAnsi="Times New Roman"/>
          <w:sz w:val="20"/>
        </w:rPr>
      </w:pPr>
      <w:r>
        <w:rPr>
          <w:rFonts w:ascii="Times New Roman" w:hAnsi="Times New Roman"/>
          <w:sz w:val="20"/>
        </w:rPr>
        <w:t xml:space="preserve">c </w:t>
      </w:r>
      <w:r>
        <w:rPr>
          <w:rFonts w:ascii="Symbol" w:hAnsi="Symbol"/>
          <w:sz w:val="20"/>
        </w:rPr>
        <w:sym w:font="Symbol" w:char="F03D"/>
      </w:r>
      <w:r>
        <w:rPr>
          <w:rFonts w:ascii="Times New Roman" w:hAnsi="Times New Roman"/>
          <w:spacing w:val="-1"/>
          <w:sz w:val="20"/>
        </w:rPr>
        <w:t xml:space="preserve"> </w:t>
      </w:r>
      <w:r>
        <w:rPr>
          <w:rFonts w:ascii="Times New Roman" w:hAnsi="Times New Roman"/>
          <w:sz w:val="20"/>
        </w:rPr>
        <w:t>(c</w:t>
      </w:r>
      <w:r>
        <w:rPr>
          <w:rFonts w:ascii="Times New Roman" w:hAnsi="Times New Roman"/>
          <w:spacing w:val="-18"/>
          <w:sz w:val="20"/>
        </w:rPr>
        <w:t xml:space="preserve"> </w:t>
      </w:r>
      <w:r>
        <w:rPr>
          <w:rFonts w:ascii="Times New Roman" w:hAnsi="Times New Roman"/>
          <w:i/>
          <w:position w:val="-4"/>
          <w:sz w:val="12"/>
        </w:rPr>
        <w:t>p</w:t>
      </w:r>
      <w:r>
        <w:rPr>
          <w:rFonts w:ascii="Times New Roman" w:hAnsi="Times New Roman"/>
          <w:i/>
          <w:spacing w:val="-19"/>
          <w:position w:val="-4"/>
          <w:sz w:val="12"/>
        </w:rPr>
        <w:t xml:space="preserve"> </w:t>
      </w:r>
      <w:r>
        <w:rPr>
          <w:rFonts w:ascii="Times New Roman" w:hAnsi="Times New Roman"/>
          <w:i/>
          <w:sz w:val="20"/>
        </w:rPr>
        <w:t>Q</w:t>
      </w:r>
      <w:r>
        <w:rPr>
          <w:rFonts w:ascii="Times New Roman" w:hAnsi="Times New Roman"/>
          <w:i/>
          <w:spacing w:val="-19"/>
          <w:sz w:val="20"/>
        </w:rPr>
        <w:t xml:space="preserve"> </w:t>
      </w:r>
      <w:r>
        <w:rPr>
          <w:rFonts w:ascii="Times New Roman" w:hAnsi="Times New Roman"/>
          <w:i/>
          <w:position w:val="-4"/>
          <w:sz w:val="12"/>
        </w:rPr>
        <w:t>p</w:t>
      </w:r>
      <w:r>
        <w:rPr>
          <w:rFonts w:ascii="Times New Roman" w:hAnsi="Times New Roman"/>
          <w:i/>
          <w:spacing w:val="55"/>
          <w:position w:val="-4"/>
          <w:sz w:val="12"/>
        </w:rPr>
        <w:t xml:space="preserve"> </w:t>
      </w:r>
      <w:r>
        <w:rPr>
          <w:rFonts w:ascii="Symbol" w:hAnsi="Symbol"/>
          <w:sz w:val="20"/>
        </w:rPr>
        <w:sym w:font="Symbol" w:char="F02B"/>
      </w:r>
      <w:r>
        <w:rPr>
          <w:rFonts w:ascii="Times New Roman" w:hAnsi="Times New Roman"/>
          <w:spacing w:val="-17"/>
          <w:sz w:val="20"/>
        </w:rPr>
        <w:t xml:space="preserve"> </w:t>
      </w:r>
      <w:r>
        <w:rPr>
          <w:rFonts w:ascii="Times New Roman" w:hAnsi="Times New Roman"/>
          <w:i/>
          <w:spacing w:val="10"/>
          <w:sz w:val="20"/>
        </w:rPr>
        <w:t>c</w:t>
      </w:r>
      <w:r>
        <w:rPr>
          <w:rFonts w:ascii="Times New Roman" w:hAnsi="Times New Roman"/>
          <w:i/>
          <w:spacing w:val="10"/>
          <w:position w:val="-4"/>
          <w:sz w:val="12"/>
        </w:rPr>
        <w:t>h</w:t>
      </w:r>
      <w:r>
        <w:rPr>
          <w:rFonts w:ascii="Times New Roman" w:hAnsi="Times New Roman"/>
          <w:i/>
          <w:spacing w:val="10"/>
          <w:sz w:val="20"/>
        </w:rPr>
        <w:t>Q</w:t>
      </w:r>
      <w:r>
        <w:rPr>
          <w:rFonts w:ascii="Times New Roman" w:hAnsi="Times New Roman"/>
          <w:i/>
          <w:spacing w:val="10"/>
          <w:position w:val="-4"/>
          <w:sz w:val="12"/>
        </w:rPr>
        <w:t>h</w:t>
      </w:r>
      <w:r>
        <w:rPr>
          <w:rFonts w:ascii="Times New Roman" w:hAnsi="Times New Roman"/>
          <w:i/>
          <w:spacing w:val="14"/>
          <w:position w:val="-4"/>
          <w:sz w:val="12"/>
        </w:rPr>
        <w:t xml:space="preserve"> </w:t>
      </w:r>
      <w:r>
        <w:rPr>
          <w:rFonts w:ascii="Times New Roman" w:hAnsi="Times New Roman"/>
          <w:sz w:val="20"/>
        </w:rPr>
        <w:t>)/(</w:t>
      </w:r>
      <w:r>
        <w:rPr>
          <w:rFonts w:ascii="Times New Roman" w:hAnsi="Times New Roman"/>
          <w:i/>
          <w:sz w:val="20"/>
        </w:rPr>
        <w:t>Q</w:t>
      </w:r>
      <w:r>
        <w:rPr>
          <w:rFonts w:ascii="Times New Roman" w:hAnsi="Times New Roman"/>
          <w:i/>
          <w:spacing w:val="-19"/>
          <w:sz w:val="20"/>
        </w:rPr>
        <w:t xml:space="preserve"> </w:t>
      </w:r>
      <w:r>
        <w:rPr>
          <w:rFonts w:ascii="Times New Roman" w:hAnsi="Times New Roman"/>
          <w:i/>
          <w:position w:val="-4"/>
          <w:sz w:val="12"/>
        </w:rPr>
        <w:t>p</w:t>
      </w:r>
      <w:r>
        <w:rPr>
          <w:rFonts w:ascii="Times New Roman" w:hAnsi="Times New Roman"/>
          <w:i/>
          <w:spacing w:val="53"/>
          <w:position w:val="-4"/>
          <w:sz w:val="12"/>
        </w:rPr>
        <w:t xml:space="preserve"> </w:t>
      </w:r>
      <w:r>
        <w:rPr>
          <w:rFonts w:ascii="Symbol" w:hAnsi="Symbol"/>
          <w:sz w:val="20"/>
        </w:rPr>
        <w:sym w:font="Symbol" w:char="F02B"/>
      </w:r>
      <w:r>
        <w:rPr>
          <w:rFonts w:ascii="Times New Roman" w:hAnsi="Times New Roman"/>
          <w:spacing w:val="-28"/>
          <w:sz w:val="20"/>
        </w:rPr>
        <w:t xml:space="preserve"> </w:t>
      </w:r>
      <w:r>
        <w:rPr>
          <w:rFonts w:ascii="Times New Roman" w:hAnsi="Times New Roman"/>
          <w:i/>
          <w:sz w:val="20"/>
        </w:rPr>
        <w:t>Q</w:t>
      </w:r>
      <w:r>
        <w:rPr>
          <w:rFonts w:ascii="Times New Roman" w:hAnsi="Times New Roman"/>
          <w:i/>
          <w:position w:val="-4"/>
          <w:sz w:val="12"/>
        </w:rPr>
        <w:t>h</w:t>
      </w:r>
      <w:r>
        <w:rPr>
          <w:rFonts w:ascii="Times New Roman" w:hAnsi="Times New Roman"/>
          <w:i/>
          <w:spacing w:val="13"/>
          <w:position w:val="-4"/>
          <w:sz w:val="12"/>
        </w:rPr>
        <w:t xml:space="preserve"> </w:t>
      </w:r>
      <w:r>
        <w:rPr>
          <w:rFonts w:ascii="Times New Roman" w:hAnsi="Times New Roman"/>
          <w:spacing w:val="-10"/>
          <w:sz w:val="20"/>
        </w:rPr>
        <w:t>)</w:t>
      </w:r>
    </w:p>
    <w:p>
      <w:pPr>
        <w:pStyle w:val="BodyText"/>
        <w:spacing w:before="102"/>
        <w:ind w:left="1689"/>
      </w:pPr>
      <w:r>
        <w:br w:type="column"/>
      </w:r>
      <w:r>
        <w:rPr>
          <w:spacing w:val="-4"/>
        </w:rPr>
        <w:t>（</w:t>
      </w:r>
      <w:r>
        <w:rPr>
          <w:rFonts w:ascii="Times New Roman" w:eastAsia="Times New Roman"/>
          <w:spacing w:val="-4"/>
        </w:rPr>
        <w:t>14</w:t>
      </w:r>
      <w:r>
        <w:rPr>
          <w:spacing w:val="-4"/>
        </w:rPr>
        <w:t>）</w:t>
      </w:r>
    </w:p>
    <w:p>
      <w:pPr>
        <w:spacing w:after="0"/>
        <w:sectPr>
          <w:footerReference w:type="even" r:id="rId106"/>
          <w:footerReference w:type="default" r:id="rId107"/>
          <w:type w:val="continuous"/>
          <w:pgSz w:w="11910" w:h="16840"/>
          <w:pgMar w:top="1480" w:right="1500" w:bottom="1180" w:left="1580" w:header="0" w:footer="990"/>
          <w:pgNumType w:start="651"/>
          <w:cols w:num="2" w:space="708" w:equalWidth="0">
            <w:col w:w="6167" w:space="40"/>
            <w:col w:w="2623" w:space="0"/>
          </w:cols>
        </w:sectPr>
      </w:pPr>
    </w:p>
    <w:p>
      <w:pPr>
        <w:pStyle w:val="BodyText"/>
        <w:spacing w:before="4"/>
        <w:rPr>
          <w:sz w:val="12"/>
        </w:rPr>
      </w:pPr>
    </w:p>
    <w:p>
      <w:pPr>
        <w:pStyle w:val="ListParagraph"/>
        <w:numPr>
          <w:ilvl w:val="4"/>
          <w:numId w:val="42"/>
        </w:numPr>
        <w:tabs>
          <w:tab w:val="left" w:pos="903"/>
        </w:tabs>
        <w:spacing w:before="78" w:after="0" w:line="240" w:lineRule="auto"/>
        <w:ind w:left="902" w:right="0" w:hanging="263"/>
        <w:jc w:val="left"/>
        <w:rPr>
          <w:sz w:val="21"/>
        </w:rPr>
      </w:pPr>
      <w:r>
        <w:rPr>
          <w:spacing w:val="-2"/>
          <w:sz w:val="21"/>
        </w:rPr>
        <w:t>平直河流混合过程段</w:t>
      </w:r>
    </w:p>
    <w:p>
      <w:pPr>
        <w:pStyle w:val="BodyText"/>
        <w:tabs>
          <w:tab w:val="left" w:pos="1269"/>
        </w:tabs>
        <w:spacing w:before="51" w:line="285" w:lineRule="auto"/>
        <w:ind w:left="640" w:right="192"/>
      </w:pPr>
      <w:r>
        <w:rPr>
          <w:spacing w:val="-6"/>
        </w:rPr>
        <w:t>一</w:t>
      </w:r>
      <w:r>
        <w:rPr>
          <w:spacing w:val="-6"/>
        </w:rPr>
        <w:t>级</w:t>
      </w:r>
      <w:r>
        <w:tab/>
      </w:r>
      <w:r>
        <w:rPr>
          <w:spacing w:val="-2"/>
        </w:rPr>
        <w:t>建</w:t>
      </w:r>
      <w:r>
        <w:rPr>
          <w:spacing w:val="-2"/>
        </w:rPr>
        <w:t>议</w:t>
      </w:r>
      <w:r>
        <w:rPr>
          <w:spacing w:val="-2"/>
        </w:rPr>
        <w:t>采</w:t>
      </w:r>
      <w:r>
        <w:rPr>
          <w:spacing w:val="-2"/>
        </w:rPr>
        <w:t>用</w:t>
      </w:r>
      <w:r>
        <w:rPr>
          <w:spacing w:val="-2"/>
        </w:rPr>
        <w:t>二</w:t>
      </w:r>
      <w:r>
        <w:rPr>
          <w:spacing w:val="-2"/>
        </w:rPr>
        <w:t>维</w:t>
      </w:r>
      <w:r>
        <w:rPr>
          <w:spacing w:val="-2"/>
        </w:rPr>
        <w:t>稳</w:t>
      </w:r>
      <w:r>
        <w:rPr>
          <w:spacing w:val="-2"/>
        </w:rPr>
        <w:t>态</w:t>
      </w:r>
      <w:r>
        <w:rPr>
          <w:spacing w:val="-2"/>
        </w:rPr>
        <w:t>混</w:t>
      </w:r>
      <w:r>
        <w:rPr>
          <w:spacing w:val="-2"/>
        </w:rPr>
        <w:t>合</w:t>
      </w:r>
      <w:r>
        <w:rPr>
          <w:spacing w:val="-2"/>
        </w:rPr>
        <w:t>模</w:t>
      </w:r>
      <w:r>
        <w:rPr>
          <w:spacing w:val="-2"/>
        </w:rPr>
        <w:t>式</w:t>
      </w:r>
      <w:r>
        <w:rPr>
          <w:spacing w:val="-105"/>
        </w:rPr>
        <w:t>。</w:t>
      </w:r>
      <w:r>
        <w:rPr>
          <w:spacing w:val="-2"/>
        </w:rPr>
        <w:t>其</w:t>
      </w:r>
      <w:r>
        <w:rPr>
          <w:spacing w:val="-2"/>
        </w:rPr>
        <w:t>中</w:t>
      </w:r>
      <w:r>
        <w:rPr>
          <w:spacing w:val="-45"/>
        </w:rPr>
        <w:t xml:space="preserve"> </w:t>
      </w:r>
      <w:r>
        <w:rPr>
          <w:rFonts w:ascii="Times New Roman" w:eastAsia="Times New Roman"/>
          <w:spacing w:val="-2"/>
        </w:rPr>
        <w:t>M</w:t>
      </w:r>
      <w:r>
        <w:rPr>
          <w:rFonts w:ascii="Times New Roman" w:eastAsia="Times New Roman"/>
          <w:spacing w:val="-2"/>
          <w:vertAlign w:val="subscript"/>
        </w:rPr>
        <w:t>y</w:t>
      </w:r>
      <w:r>
        <w:rPr>
          <w:rFonts w:ascii="Times New Roman" w:eastAsia="Times New Roman"/>
          <w:spacing w:val="-17"/>
          <w:vertAlign w:val="baseline"/>
        </w:rPr>
        <w:t xml:space="preserve"> </w:t>
      </w:r>
      <w:r>
        <w:rPr>
          <w:spacing w:val="-2"/>
          <w:vertAlign w:val="baseline"/>
        </w:rPr>
        <w:t>可</w:t>
      </w:r>
      <w:r>
        <w:rPr>
          <w:spacing w:val="-2"/>
          <w:vertAlign w:val="baseline"/>
        </w:rPr>
        <w:t>以</w:t>
      </w:r>
      <w:r>
        <w:rPr>
          <w:spacing w:val="-2"/>
          <w:vertAlign w:val="baseline"/>
        </w:rPr>
        <w:t>采</w:t>
      </w:r>
      <w:r>
        <w:rPr>
          <w:spacing w:val="-2"/>
          <w:vertAlign w:val="baseline"/>
        </w:rPr>
        <w:t>用</w:t>
      </w:r>
      <w:r>
        <w:rPr>
          <w:spacing w:val="-2"/>
          <w:vertAlign w:val="baseline"/>
        </w:rPr>
        <w:t>多</w:t>
      </w:r>
      <w:r>
        <w:rPr>
          <w:spacing w:val="-2"/>
          <w:vertAlign w:val="baseline"/>
        </w:rPr>
        <w:t>参</w:t>
      </w:r>
      <w:r>
        <w:rPr>
          <w:spacing w:val="-2"/>
          <w:vertAlign w:val="baseline"/>
        </w:rPr>
        <w:t>数</w:t>
      </w:r>
      <w:r>
        <w:rPr>
          <w:spacing w:val="-2"/>
          <w:vertAlign w:val="baseline"/>
        </w:rPr>
        <w:t>优</w:t>
      </w:r>
      <w:r>
        <w:rPr>
          <w:spacing w:val="-2"/>
          <w:vertAlign w:val="baseline"/>
        </w:rPr>
        <w:t>化</w:t>
      </w:r>
      <w:r>
        <w:rPr>
          <w:spacing w:val="-2"/>
          <w:vertAlign w:val="baseline"/>
        </w:rPr>
        <w:t>法</w:t>
      </w:r>
      <w:r>
        <w:rPr>
          <w:spacing w:val="-2"/>
          <w:vertAlign w:val="baseline"/>
        </w:rPr>
        <w:t>或</w:t>
      </w:r>
      <w:r>
        <w:rPr>
          <w:spacing w:val="-2"/>
          <w:vertAlign w:val="baseline"/>
        </w:rPr>
        <w:t>示</w:t>
      </w:r>
      <w:r>
        <w:rPr>
          <w:spacing w:val="-2"/>
          <w:vertAlign w:val="baseline"/>
        </w:rPr>
        <w:t>踪</w:t>
      </w:r>
      <w:r>
        <w:rPr>
          <w:spacing w:val="-2"/>
          <w:vertAlign w:val="baseline"/>
        </w:rPr>
        <w:t>试</w:t>
      </w:r>
      <w:r>
        <w:rPr>
          <w:spacing w:val="-2"/>
          <w:vertAlign w:val="baseline"/>
        </w:rPr>
        <w:t>验</w:t>
      </w:r>
      <w:r>
        <w:rPr>
          <w:spacing w:val="-2"/>
          <w:vertAlign w:val="baseline"/>
        </w:rPr>
        <w:t>法</w:t>
      </w:r>
      <w:r>
        <w:rPr>
          <w:spacing w:val="-2"/>
          <w:vertAlign w:val="baseline"/>
        </w:rPr>
        <w:t>确</w:t>
      </w:r>
      <w:r>
        <w:rPr>
          <w:spacing w:val="-2"/>
          <w:vertAlign w:val="baseline"/>
        </w:rPr>
        <w:t>定</w:t>
      </w:r>
      <w:r>
        <w:rPr>
          <w:spacing w:val="-2"/>
          <w:vertAlign w:val="baseline"/>
        </w:rPr>
        <w:t>。</w:t>
      </w:r>
      <w:r>
        <w:rPr>
          <w:vertAlign w:val="baseline"/>
        </w:rPr>
        <w:t>二</w:t>
      </w:r>
      <w:r>
        <w:rPr>
          <w:vertAlign w:val="baseline"/>
        </w:rPr>
        <w:t>、</w:t>
      </w:r>
      <w:r>
        <w:rPr>
          <w:vertAlign w:val="baseline"/>
        </w:rPr>
        <w:t>三</w:t>
      </w:r>
      <w:r>
        <w:rPr>
          <w:vertAlign w:val="baseline"/>
        </w:rPr>
        <w:t>级</w:t>
      </w:r>
      <w:r>
        <w:rPr>
          <w:spacing w:val="109"/>
          <w:vertAlign w:val="baseline"/>
        </w:rPr>
        <w:t xml:space="preserve"> </w:t>
      </w:r>
      <w:r>
        <w:rPr>
          <w:vertAlign w:val="baseline"/>
        </w:rPr>
        <w:t>建</w:t>
      </w:r>
      <w:r>
        <w:rPr>
          <w:vertAlign w:val="baseline"/>
        </w:rPr>
        <w:t>议</w:t>
      </w:r>
      <w:r>
        <w:rPr>
          <w:vertAlign w:val="baseline"/>
        </w:rPr>
        <w:t>采</w:t>
      </w:r>
      <w:r>
        <w:rPr>
          <w:vertAlign w:val="baseline"/>
        </w:rPr>
        <w:t>用</w:t>
      </w:r>
      <w:r>
        <w:rPr>
          <w:vertAlign w:val="baseline"/>
        </w:rPr>
        <w:t>二</w:t>
      </w:r>
      <w:r>
        <w:rPr>
          <w:vertAlign w:val="baseline"/>
        </w:rPr>
        <w:t>维</w:t>
      </w:r>
      <w:r>
        <w:rPr>
          <w:vertAlign w:val="baseline"/>
        </w:rPr>
        <w:t>稳</w:t>
      </w:r>
      <w:r>
        <w:rPr>
          <w:vertAlign w:val="baseline"/>
        </w:rPr>
        <w:t>态</w:t>
      </w:r>
      <w:r>
        <w:rPr>
          <w:vertAlign w:val="baseline"/>
        </w:rPr>
        <w:t>混</w:t>
      </w:r>
      <w:r>
        <w:rPr>
          <w:vertAlign w:val="baseline"/>
        </w:rPr>
        <w:t>合</w:t>
      </w:r>
      <w:r>
        <w:rPr>
          <w:vertAlign w:val="baseline"/>
        </w:rPr>
        <w:t>模</w:t>
      </w:r>
      <w:r>
        <w:rPr>
          <w:vertAlign w:val="baseline"/>
        </w:rPr>
        <w:t>式</w:t>
      </w:r>
      <w:r>
        <w:rPr>
          <w:vertAlign w:val="baseline"/>
        </w:rPr>
        <w:t>，</w:t>
      </w:r>
      <w:r>
        <w:rPr>
          <w:vertAlign w:val="baseline"/>
        </w:rPr>
        <w:t>条</w:t>
      </w:r>
      <w:r>
        <w:rPr>
          <w:vertAlign w:val="baseline"/>
        </w:rPr>
        <w:t>件</w:t>
      </w:r>
      <w:r>
        <w:rPr>
          <w:vertAlign w:val="baseline"/>
        </w:rPr>
        <w:t>适</w:t>
      </w:r>
      <w:r>
        <w:rPr>
          <w:vertAlign w:val="baseline"/>
        </w:rPr>
        <w:t>合</w:t>
      </w:r>
      <w:r>
        <w:rPr>
          <w:vertAlign w:val="baseline"/>
        </w:rPr>
        <w:t>（见</w:t>
      </w:r>
      <w:r>
        <w:rPr>
          <w:spacing w:val="-30"/>
          <w:vertAlign w:val="baseline"/>
        </w:rPr>
        <w:t xml:space="preserve"> </w:t>
      </w:r>
      <w:r>
        <w:rPr>
          <w:rFonts w:ascii="Times New Roman" w:eastAsia="Times New Roman"/>
          <w:vertAlign w:val="baseline"/>
        </w:rPr>
        <w:t>7.6.1.4</w:t>
      </w:r>
      <w:r>
        <w:rPr>
          <w:vertAlign w:val="baseline"/>
        </w:rPr>
        <w:t>）</w:t>
      </w:r>
      <w:r>
        <w:rPr>
          <w:vertAlign w:val="baseline"/>
        </w:rPr>
        <w:t>时</w:t>
      </w:r>
      <w:r>
        <w:rPr>
          <w:vertAlign w:val="baseline"/>
        </w:rPr>
        <w:t>，</w:t>
      </w:r>
      <w:r>
        <w:rPr>
          <w:vertAlign w:val="baseline"/>
        </w:rPr>
        <w:t>也</w:t>
      </w:r>
      <w:r>
        <w:rPr>
          <w:vertAlign w:val="baseline"/>
        </w:rPr>
        <w:t>可</w:t>
      </w:r>
      <w:r>
        <w:rPr>
          <w:vertAlign w:val="baseline"/>
        </w:rPr>
        <w:t>以</w:t>
      </w:r>
      <w:r>
        <w:rPr>
          <w:vertAlign w:val="baseline"/>
        </w:rPr>
        <w:t>采</w:t>
      </w:r>
      <w:r>
        <w:rPr>
          <w:vertAlign w:val="baseline"/>
        </w:rPr>
        <w:t>用</w:t>
      </w:r>
      <w:r>
        <w:rPr>
          <w:vertAlign w:val="baseline"/>
        </w:rPr>
        <w:t>弗</w:t>
      </w:r>
      <w:r>
        <w:rPr>
          <w:rFonts w:ascii="Times New Roman" w:eastAsia="Times New Roman"/>
          <w:vertAlign w:val="baseline"/>
        </w:rPr>
        <w:t>-</w:t>
      </w:r>
      <w:r>
        <w:rPr>
          <w:vertAlign w:val="baseline"/>
        </w:rPr>
        <w:t>罗</w:t>
      </w:r>
    </w:p>
    <w:p>
      <w:pPr>
        <w:pStyle w:val="BodyText"/>
        <w:spacing w:line="285" w:lineRule="auto"/>
        <w:ind w:left="220" w:right="297"/>
      </w:pPr>
      <w:r>
        <w:rPr>
          <w:spacing w:val="-11"/>
        </w:rPr>
        <w:t xml:space="preserve">模式。其中 </w:t>
      </w:r>
      <w:r>
        <w:rPr>
          <w:rFonts w:ascii="Times New Roman" w:eastAsia="Times New Roman" w:hAnsi="Times New Roman"/>
          <w:spacing w:val="-2"/>
        </w:rPr>
        <w:t>M</w:t>
      </w:r>
      <w:r>
        <w:rPr>
          <w:rFonts w:ascii="Times New Roman" w:eastAsia="Times New Roman" w:hAnsi="Times New Roman"/>
          <w:spacing w:val="-2"/>
          <w:vertAlign w:val="subscript"/>
        </w:rPr>
        <w:t>y</w:t>
      </w:r>
      <w:r>
        <w:rPr>
          <w:rFonts w:ascii="Times New Roman" w:eastAsia="Times New Roman" w:hAnsi="Times New Roman"/>
          <w:spacing w:val="-17"/>
          <w:vertAlign w:val="baseline"/>
        </w:rPr>
        <w:t xml:space="preserve"> </w:t>
      </w:r>
      <w:r>
        <w:rPr>
          <w:spacing w:val="-2"/>
          <w:vertAlign w:val="baseline"/>
        </w:rPr>
        <w:t>的确定建议采用泰勒（</w:t>
      </w:r>
      <w:r>
        <w:rPr>
          <w:rFonts w:ascii="Times New Roman" w:eastAsia="Times New Roman" w:hAnsi="Times New Roman"/>
          <w:spacing w:val="-2"/>
          <w:vertAlign w:val="baseline"/>
        </w:rPr>
        <w:t>Taylor</w:t>
      </w:r>
      <w:r>
        <w:rPr>
          <w:spacing w:val="-2"/>
          <w:vertAlign w:val="baseline"/>
        </w:rPr>
        <w:t>）法；式中ε</w:t>
      </w:r>
      <w:r>
        <w:rPr>
          <w:spacing w:val="-7"/>
          <w:vertAlign w:val="baseline"/>
        </w:rPr>
        <w:t xml:space="preserve">的确定：岸边排放取 </w:t>
      </w:r>
      <w:r>
        <w:rPr>
          <w:rFonts w:ascii="Times New Roman" w:eastAsia="Times New Roman" w:hAnsi="Times New Roman"/>
          <w:spacing w:val="-2"/>
          <w:vertAlign w:val="baseline"/>
        </w:rPr>
        <w:t>1.0</w:t>
      </w:r>
      <w:r>
        <w:rPr>
          <w:spacing w:val="-2"/>
          <w:vertAlign w:val="baseline"/>
        </w:rPr>
        <w:t>，河中心</w:t>
      </w:r>
      <w:r>
        <w:rPr>
          <w:spacing w:val="-6"/>
          <w:vertAlign w:val="baseline"/>
        </w:rPr>
        <w:t xml:space="preserve">排放取 </w:t>
      </w:r>
      <w:r>
        <w:rPr>
          <w:rFonts w:ascii="Times New Roman" w:eastAsia="Times New Roman" w:hAnsi="Times New Roman"/>
          <w:vertAlign w:val="baseline"/>
        </w:rPr>
        <w:t>1.5</w:t>
      </w:r>
      <w:r>
        <w:rPr>
          <w:spacing w:val="-4"/>
          <w:vertAlign w:val="baseline"/>
        </w:rPr>
        <w:t xml:space="preserve">，其它情况在 </w:t>
      </w:r>
      <w:r>
        <w:rPr>
          <w:rFonts w:ascii="Times New Roman" w:eastAsia="Times New Roman" w:hAnsi="Times New Roman"/>
          <w:vertAlign w:val="baseline"/>
        </w:rPr>
        <w:t xml:space="preserve">1.0~1.5 </w:t>
      </w:r>
      <w:r>
        <w:rPr>
          <w:vertAlign w:val="baseline"/>
        </w:rPr>
        <w:t>之间；</w:t>
      </w:r>
      <w:r>
        <w:rPr>
          <w:rFonts w:ascii="Times New Roman" w:eastAsia="Times New Roman" w:hAnsi="Times New Roman"/>
          <w:vertAlign w:val="baseline"/>
        </w:rPr>
        <w:t xml:space="preserve">n </w:t>
      </w:r>
      <w:r>
        <w:rPr>
          <w:spacing w:val="-4"/>
          <w:vertAlign w:val="baseline"/>
        </w:rPr>
        <w:t xml:space="preserve">的确定见表 </w:t>
      </w:r>
      <w:r>
        <w:rPr>
          <w:rFonts w:ascii="Times New Roman" w:eastAsia="Times New Roman" w:hAnsi="Times New Roman"/>
          <w:vertAlign w:val="baseline"/>
        </w:rPr>
        <w:t>9</w:t>
      </w:r>
      <w:r>
        <w:rPr>
          <w:vertAlign w:val="baseline"/>
        </w:rPr>
        <w:t>。</w:t>
      </w:r>
    </w:p>
    <w:p>
      <w:pPr>
        <w:spacing w:after="0" w:line="285" w:lineRule="auto"/>
        <w:sectPr>
          <w:footerReference w:type="even" r:id="rId108"/>
          <w:footerReference w:type="default" r:id="rId109"/>
          <w:type w:val="continuous"/>
          <w:pgSz w:w="11910" w:h="16840"/>
          <w:pgMar w:top="1480" w:right="1500" w:bottom="1180" w:left="1580" w:header="0" w:footer="990"/>
          <w:pgNumType w:start="652"/>
          <w:cols w:space="708"/>
        </w:sectPr>
      </w:pPr>
    </w:p>
    <w:p>
      <w:pPr>
        <w:pStyle w:val="BodyText"/>
        <w:tabs>
          <w:tab w:val="left" w:pos="577"/>
        </w:tabs>
        <w:spacing w:before="52"/>
        <w:ind w:right="78"/>
        <w:jc w:val="center"/>
      </w:pPr>
      <w:r>
        <w:t>表</w:t>
      </w:r>
      <w:r>
        <w:rPr>
          <w:spacing w:val="-53"/>
        </w:rPr>
        <w:t xml:space="preserve"> </w:t>
      </w:r>
      <w:r>
        <w:rPr>
          <w:rFonts w:ascii="Times New Roman" w:eastAsia="Times New Roman"/>
          <w:spacing w:val="-10"/>
        </w:rPr>
        <w:t>9</w:t>
      </w:r>
      <w:r>
        <w:rPr>
          <w:rFonts w:ascii="Times New Roman" w:eastAsia="Times New Roman"/>
        </w:rPr>
        <w:tab/>
      </w:r>
      <w:r>
        <w:t>天 然 河 道 糙 率</w:t>
      </w:r>
      <w:r>
        <w:rPr>
          <w:spacing w:val="-5"/>
        </w:rPr>
        <w:t>（</w:t>
      </w:r>
      <w:r>
        <w:rPr>
          <w:rFonts w:ascii="Times New Roman" w:eastAsia="Times New Roman"/>
          <w:spacing w:val="-5"/>
        </w:rPr>
        <w:t>n</w:t>
      </w:r>
      <w:r>
        <w:rPr>
          <w:spacing w:val="-5"/>
        </w:rPr>
        <w:t>）</w:t>
      </w:r>
    </w:p>
    <w:p>
      <w:pPr>
        <w:pStyle w:val="ListParagraph"/>
        <w:numPr>
          <w:ilvl w:val="5"/>
          <w:numId w:val="32"/>
        </w:numPr>
        <w:tabs>
          <w:tab w:val="left" w:pos="526"/>
        </w:tabs>
        <w:spacing w:before="131" w:after="21" w:line="240" w:lineRule="auto"/>
        <w:ind w:left="526" w:right="79" w:hanging="526"/>
        <w:jc w:val="center"/>
        <w:rPr>
          <w:sz w:val="21"/>
        </w:rPr>
      </w:pPr>
      <w:r>
        <w:rPr>
          <w:sz w:val="21"/>
        </w:rPr>
        <w:t>单式断（或主槽）</w:t>
      </w:r>
      <w:r>
        <w:rPr>
          <w:spacing w:val="-2"/>
          <w:sz w:val="21"/>
        </w:rPr>
        <w:t>较高水部分</w:t>
      </w:r>
    </w:p>
    <w:tbl>
      <w:tblPr>
        <w:tblStyle w:val="TableNormal10"/>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1"/>
        <w:gridCol w:w="528"/>
        <w:gridCol w:w="1871"/>
        <w:gridCol w:w="783"/>
        <w:gridCol w:w="540"/>
        <w:gridCol w:w="540"/>
        <w:gridCol w:w="764"/>
        <w:gridCol w:w="1890"/>
        <w:gridCol w:w="1124"/>
      </w:tblGrid>
      <w:tr>
        <w:tblPrEx>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40"/>
          <w:jc w:val="left"/>
        </w:trPr>
        <w:tc>
          <w:tcPr>
            <w:tcW w:w="1009" w:type="dxa"/>
            <w:gridSpan w:val="2"/>
            <w:vMerge w:val="restart"/>
            <w:tcBorders>
              <w:left w:val="nil"/>
            </w:tcBorders>
          </w:tcPr>
          <w:p>
            <w:pPr>
              <w:pStyle w:val="TableParagraph"/>
              <w:spacing w:before="5"/>
              <w:rPr>
                <w:sz w:val="19"/>
              </w:rPr>
            </w:pPr>
          </w:p>
          <w:p>
            <w:pPr>
              <w:pStyle w:val="TableParagraph"/>
              <w:ind w:left="319"/>
              <w:rPr>
                <w:sz w:val="18"/>
              </w:rPr>
            </w:pPr>
            <w:r>
              <w:rPr>
                <w:spacing w:val="-5"/>
                <w:sz w:val="18"/>
              </w:rPr>
              <w:t>类型</w:t>
            </w:r>
          </w:p>
        </w:tc>
        <w:tc>
          <w:tcPr>
            <w:tcW w:w="1871" w:type="dxa"/>
            <w:tcBorders>
              <w:right w:val="nil"/>
            </w:tcBorders>
          </w:tcPr>
          <w:p>
            <w:pPr>
              <w:pStyle w:val="TableParagraph"/>
              <w:rPr>
                <w:rFonts w:ascii="Times New Roman"/>
                <w:sz w:val="18"/>
              </w:rPr>
            </w:pPr>
          </w:p>
        </w:tc>
        <w:tc>
          <w:tcPr>
            <w:tcW w:w="783" w:type="dxa"/>
            <w:tcBorders>
              <w:left w:val="nil"/>
              <w:right w:val="nil"/>
            </w:tcBorders>
          </w:tcPr>
          <w:p>
            <w:pPr>
              <w:pStyle w:val="TableParagraph"/>
              <w:spacing w:before="44"/>
              <w:ind w:left="423"/>
              <w:rPr>
                <w:sz w:val="18"/>
              </w:rPr>
            </w:pPr>
            <w:r>
              <w:rPr>
                <w:sz w:val="18"/>
              </w:rPr>
              <w:t>河</w:t>
            </w:r>
          </w:p>
        </w:tc>
        <w:tc>
          <w:tcPr>
            <w:tcW w:w="540" w:type="dxa"/>
            <w:tcBorders>
              <w:left w:val="nil"/>
              <w:right w:val="nil"/>
            </w:tcBorders>
          </w:tcPr>
          <w:p>
            <w:pPr>
              <w:pStyle w:val="TableParagraph"/>
              <w:spacing w:before="44"/>
              <w:ind w:left="180"/>
              <w:rPr>
                <w:sz w:val="18"/>
              </w:rPr>
            </w:pPr>
            <w:r>
              <w:rPr>
                <w:sz w:val="18"/>
              </w:rPr>
              <w:t>段</w:t>
            </w:r>
          </w:p>
        </w:tc>
        <w:tc>
          <w:tcPr>
            <w:tcW w:w="540" w:type="dxa"/>
            <w:tcBorders>
              <w:left w:val="nil"/>
              <w:right w:val="nil"/>
            </w:tcBorders>
          </w:tcPr>
          <w:p>
            <w:pPr>
              <w:pStyle w:val="TableParagraph"/>
              <w:spacing w:before="44"/>
              <w:ind w:left="180"/>
              <w:rPr>
                <w:sz w:val="18"/>
              </w:rPr>
            </w:pPr>
            <w:r>
              <w:rPr>
                <w:sz w:val="18"/>
              </w:rPr>
              <w:t>特</w:t>
            </w:r>
          </w:p>
        </w:tc>
        <w:tc>
          <w:tcPr>
            <w:tcW w:w="764" w:type="dxa"/>
            <w:tcBorders>
              <w:left w:val="nil"/>
              <w:right w:val="nil"/>
            </w:tcBorders>
          </w:tcPr>
          <w:p>
            <w:pPr>
              <w:pStyle w:val="TableParagraph"/>
              <w:spacing w:before="44"/>
              <w:ind w:left="180"/>
              <w:rPr>
                <w:sz w:val="18"/>
              </w:rPr>
            </w:pPr>
            <w:r>
              <w:rPr>
                <w:sz w:val="18"/>
              </w:rPr>
              <w:t>征</w:t>
            </w:r>
          </w:p>
        </w:tc>
        <w:tc>
          <w:tcPr>
            <w:tcW w:w="1890" w:type="dxa"/>
            <w:tcBorders>
              <w:left w:val="nil"/>
            </w:tcBorders>
          </w:tcPr>
          <w:p>
            <w:pPr>
              <w:pStyle w:val="TableParagraph"/>
              <w:rPr>
                <w:rFonts w:ascii="Times New Roman"/>
                <w:sz w:val="18"/>
              </w:rPr>
            </w:pPr>
          </w:p>
        </w:tc>
        <w:tc>
          <w:tcPr>
            <w:tcW w:w="1124" w:type="dxa"/>
            <w:vMerge w:val="restart"/>
            <w:tcBorders>
              <w:right w:val="nil"/>
            </w:tcBorders>
          </w:tcPr>
          <w:p>
            <w:pPr>
              <w:pStyle w:val="TableParagraph"/>
              <w:spacing w:before="4"/>
              <w:rPr>
                <w:sz w:val="20"/>
              </w:rPr>
            </w:pPr>
          </w:p>
          <w:p>
            <w:pPr>
              <w:pStyle w:val="TableParagraph"/>
              <w:ind w:left="1"/>
              <w:jc w:val="center"/>
              <w:rPr>
                <w:rFonts w:ascii="Times New Roman"/>
                <w:sz w:val="18"/>
              </w:rPr>
            </w:pPr>
            <w:r>
              <w:rPr>
                <w:rFonts w:ascii="Times New Roman"/>
                <w:sz w:val="18"/>
              </w:rPr>
              <w:t>n</w:t>
            </w:r>
          </w:p>
        </w:tc>
      </w:tr>
      <w:tr>
        <w:tblPrEx>
          <w:tblW w:w="0" w:type="auto"/>
          <w:jc w:val="left"/>
          <w:tblInd w:w="119" w:type="dxa"/>
          <w:tblLayout w:type="fixed"/>
          <w:tblCellMar>
            <w:top w:w="0" w:type="dxa"/>
            <w:left w:w="0" w:type="dxa"/>
            <w:bottom w:w="0" w:type="dxa"/>
            <w:right w:w="0" w:type="dxa"/>
          </w:tblCellMar>
          <w:tblLook w:val="01E0"/>
        </w:tblPrEx>
        <w:trPr>
          <w:trHeight w:val="340"/>
          <w:jc w:val="left"/>
        </w:trPr>
        <w:tc>
          <w:tcPr>
            <w:tcW w:w="1009" w:type="dxa"/>
            <w:gridSpan w:val="2"/>
            <w:vMerge/>
            <w:tcBorders>
              <w:top w:val="nil"/>
              <w:left w:val="nil"/>
            </w:tcBorders>
          </w:tcPr>
          <w:p>
            <w:pPr>
              <w:rPr>
                <w:sz w:val="2"/>
                <w:szCs w:val="2"/>
              </w:rPr>
            </w:pPr>
          </w:p>
        </w:tc>
        <w:tc>
          <w:tcPr>
            <w:tcW w:w="1871" w:type="dxa"/>
          </w:tcPr>
          <w:p>
            <w:pPr>
              <w:pStyle w:val="TableParagraph"/>
              <w:spacing w:before="44"/>
              <w:ind w:left="120"/>
              <w:rPr>
                <w:sz w:val="18"/>
              </w:rPr>
            </w:pPr>
            <w:r>
              <w:rPr>
                <w:spacing w:val="-2"/>
                <w:sz w:val="18"/>
              </w:rPr>
              <w:t>河床组成及床面特性</w:t>
            </w:r>
          </w:p>
        </w:tc>
        <w:tc>
          <w:tcPr>
            <w:tcW w:w="2627" w:type="dxa"/>
            <w:gridSpan w:val="4"/>
          </w:tcPr>
          <w:p>
            <w:pPr>
              <w:pStyle w:val="TableParagraph"/>
              <w:spacing w:before="44"/>
              <w:ind w:left="498"/>
              <w:rPr>
                <w:sz w:val="18"/>
              </w:rPr>
            </w:pPr>
            <w:r>
              <w:rPr>
                <w:spacing w:val="-2"/>
                <w:sz w:val="18"/>
              </w:rPr>
              <w:t>平面形态及水流流态</w:t>
            </w:r>
          </w:p>
        </w:tc>
        <w:tc>
          <w:tcPr>
            <w:tcW w:w="1890" w:type="dxa"/>
          </w:tcPr>
          <w:p>
            <w:pPr>
              <w:pStyle w:val="TableParagraph"/>
              <w:spacing w:before="44"/>
              <w:ind w:left="580"/>
              <w:rPr>
                <w:sz w:val="18"/>
              </w:rPr>
            </w:pPr>
            <w:r>
              <w:rPr>
                <w:spacing w:val="-3"/>
                <w:sz w:val="18"/>
              </w:rPr>
              <w:t>岸壁特征</w:t>
            </w:r>
          </w:p>
        </w:tc>
        <w:tc>
          <w:tcPr>
            <w:tcW w:w="1124" w:type="dxa"/>
            <w:vMerge/>
            <w:tcBorders>
              <w:top w:val="nil"/>
              <w:right w:val="nil"/>
            </w:tcBorders>
          </w:tcPr>
          <w:p>
            <w:pPr>
              <w:rPr>
                <w:sz w:val="2"/>
                <w:szCs w:val="2"/>
              </w:rPr>
            </w:pPr>
          </w:p>
        </w:tc>
      </w:tr>
      <w:tr>
        <w:tblPrEx>
          <w:tblW w:w="0" w:type="auto"/>
          <w:jc w:val="left"/>
          <w:tblInd w:w="119" w:type="dxa"/>
          <w:tblLayout w:type="fixed"/>
          <w:tblCellMar>
            <w:top w:w="0" w:type="dxa"/>
            <w:left w:w="0" w:type="dxa"/>
            <w:bottom w:w="0" w:type="dxa"/>
            <w:right w:w="0" w:type="dxa"/>
          </w:tblCellMar>
          <w:tblLook w:val="01E0"/>
        </w:tblPrEx>
        <w:trPr>
          <w:trHeight w:val="661"/>
          <w:jc w:val="left"/>
        </w:trPr>
        <w:tc>
          <w:tcPr>
            <w:tcW w:w="1009" w:type="dxa"/>
            <w:gridSpan w:val="2"/>
            <w:tcBorders>
              <w:left w:val="nil"/>
            </w:tcBorders>
          </w:tcPr>
          <w:p>
            <w:pPr>
              <w:pStyle w:val="TableParagraph"/>
              <w:spacing w:before="3"/>
              <w:rPr>
                <w:sz w:val="18"/>
              </w:rPr>
            </w:pPr>
          </w:p>
          <w:p>
            <w:pPr>
              <w:pStyle w:val="TableParagraph"/>
              <w:spacing w:before="1"/>
              <w:jc w:val="center"/>
              <w:rPr>
                <w:sz w:val="18"/>
              </w:rPr>
            </w:pPr>
            <w:r>
              <w:rPr>
                <w:sz w:val="18"/>
              </w:rPr>
              <w:t>Ⅰ</w:t>
            </w:r>
          </w:p>
        </w:tc>
        <w:tc>
          <w:tcPr>
            <w:tcW w:w="1871" w:type="dxa"/>
          </w:tcPr>
          <w:p>
            <w:pPr>
              <w:pStyle w:val="TableParagraph"/>
              <w:spacing w:before="45" w:line="280" w:lineRule="atLeast"/>
              <w:ind w:left="103" w:right="101"/>
              <w:rPr>
                <w:sz w:val="18"/>
              </w:rPr>
            </w:pPr>
            <w:r>
              <w:rPr>
                <w:spacing w:val="-2"/>
                <w:sz w:val="18"/>
              </w:rPr>
              <w:t>河床为砂质组成，床</w:t>
            </w:r>
            <w:r>
              <w:rPr>
                <w:spacing w:val="-4"/>
                <w:sz w:val="18"/>
              </w:rPr>
              <w:t>面较平整</w:t>
            </w:r>
          </w:p>
        </w:tc>
        <w:tc>
          <w:tcPr>
            <w:tcW w:w="2627" w:type="dxa"/>
            <w:gridSpan w:val="4"/>
          </w:tcPr>
          <w:p>
            <w:pPr>
              <w:pStyle w:val="TableParagraph"/>
              <w:spacing w:before="45" w:line="280" w:lineRule="atLeast"/>
              <w:ind w:left="103" w:right="101"/>
              <w:rPr>
                <w:sz w:val="18"/>
              </w:rPr>
            </w:pPr>
            <w:r>
              <w:rPr>
                <w:spacing w:val="-2"/>
                <w:sz w:val="18"/>
              </w:rPr>
              <w:t>河段顺直，断面规整，水流通</w:t>
            </w:r>
            <w:r>
              <w:rPr>
                <w:spacing w:val="-10"/>
                <w:sz w:val="18"/>
              </w:rPr>
              <w:t>畅</w:t>
            </w:r>
          </w:p>
        </w:tc>
        <w:tc>
          <w:tcPr>
            <w:tcW w:w="1890" w:type="dxa"/>
          </w:tcPr>
          <w:p>
            <w:pPr>
              <w:pStyle w:val="TableParagraph"/>
              <w:spacing w:before="45" w:line="280" w:lineRule="atLeast"/>
              <w:ind w:left="103" w:right="100"/>
              <w:rPr>
                <w:sz w:val="18"/>
              </w:rPr>
            </w:pPr>
            <w:r>
              <w:rPr>
                <w:spacing w:val="-2"/>
                <w:sz w:val="18"/>
              </w:rPr>
              <w:t>两侧岸壁为水土质或</w:t>
            </w:r>
            <w:r>
              <w:rPr>
                <w:spacing w:val="-2"/>
                <w:sz w:val="18"/>
              </w:rPr>
              <w:t>土砂质，形状较整齐</w:t>
            </w:r>
          </w:p>
        </w:tc>
        <w:tc>
          <w:tcPr>
            <w:tcW w:w="1124" w:type="dxa"/>
            <w:tcBorders>
              <w:right w:val="nil"/>
            </w:tcBorders>
          </w:tcPr>
          <w:p>
            <w:pPr>
              <w:pStyle w:val="TableParagraph"/>
              <w:spacing w:before="3"/>
              <w:rPr>
                <w:sz w:val="19"/>
              </w:rPr>
            </w:pPr>
          </w:p>
          <w:p>
            <w:pPr>
              <w:pStyle w:val="TableParagraph"/>
              <w:ind w:left="104"/>
              <w:rPr>
                <w:rFonts w:ascii="Times New Roman"/>
                <w:sz w:val="18"/>
              </w:rPr>
            </w:pPr>
            <w:r>
              <w:rPr>
                <w:rFonts w:ascii="Times New Roman"/>
                <w:spacing w:val="-2"/>
                <w:sz w:val="18"/>
              </w:rPr>
              <w:t>0.020~0.024</w:t>
            </w:r>
          </w:p>
        </w:tc>
      </w:tr>
      <w:tr>
        <w:tblPrEx>
          <w:tblW w:w="0" w:type="auto"/>
          <w:jc w:val="left"/>
          <w:tblInd w:w="119" w:type="dxa"/>
          <w:tblLayout w:type="fixed"/>
          <w:tblCellMar>
            <w:top w:w="0" w:type="dxa"/>
            <w:left w:w="0" w:type="dxa"/>
            <w:bottom w:w="0" w:type="dxa"/>
            <w:right w:w="0" w:type="dxa"/>
          </w:tblCellMar>
          <w:tblLook w:val="01E0"/>
        </w:tblPrEx>
        <w:trPr>
          <w:trHeight w:val="840"/>
          <w:jc w:val="left"/>
        </w:trPr>
        <w:tc>
          <w:tcPr>
            <w:tcW w:w="1009" w:type="dxa"/>
            <w:gridSpan w:val="2"/>
            <w:tcBorders>
              <w:left w:val="nil"/>
            </w:tcBorders>
          </w:tcPr>
          <w:p>
            <w:pPr>
              <w:pStyle w:val="TableParagraph"/>
              <w:spacing w:before="3"/>
              <w:rPr>
                <w:sz w:val="25"/>
              </w:rPr>
            </w:pPr>
          </w:p>
          <w:p>
            <w:pPr>
              <w:pStyle w:val="TableParagraph"/>
              <w:jc w:val="center"/>
              <w:rPr>
                <w:sz w:val="18"/>
              </w:rPr>
            </w:pPr>
            <w:r>
              <w:rPr>
                <w:sz w:val="18"/>
              </w:rPr>
              <w:t>Ⅱ</w:t>
            </w:r>
          </w:p>
        </w:tc>
        <w:tc>
          <w:tcPr>
            <w:tcW w:w="1871" w:type="dxa"/>
          </w:tcPr>
          <w:p>
            <w:pPr>
              <w:pStyle w:val="TableParagraph"/>
              <w:spacing w:line="280" w:lineRule="exact"/>
              <w:ind w:left="103" w:right="101"/>
              <w:jc w:val="both"/>
              <w:rPr>
                <w:sz w:val="18"/>
              </w:rPr>
            </w:pPr>
            <w:r>
              <w:rPr>
                <w:spacing w:val="-2"/>
                <w:sz w:val="18"/>
              </w:rPr>
              <w:t>河床为岩板、砂砾石</w:t>
            </w:r>
            <w:r>
              <w:rPr>
                <w:spacing w:val="-2"/>
                <w:sz w:val="18"/>
              </w:rPr>
              <w:t>或卵石组成，床面较</w:t>
            </w:r>
            <w:r>
              <w:rPr>
                <w:spacing w:val="-6"/>
                <w:sz w:val="18"/>
              </w:rPr>
              <w:t>平整</w:t>
            </w:r>
          </w:p>
        </w:tc>
        <w:tc>
          <w:tcPr>
            <w:tcW w:w="2627" w:type="dxa"/>
            <w:gridSpan w:val="4"/>
          </w:tcPr>
          <w:p>
            <w:pPr>
              <w:pStyle w:val="TableParagraph"/>
              <w:spacing w:before="4"/>
              <w:rPr>
                <w:sz w:val="14"/>
              </w:rPr>
            </w:pPr>
          </w:p>
          <w:p>
            <w:pPr>
              <w:pStyle w:val="TableParagraph"/>
              <w:spacing w:line="290" w:lineRule="auto"/>
              <w:ind w:left="103" w:right="101"/>
              <w:rPr>
                <w:sz w:val="18"/>
              </w:rPr>
            </w:pPr>
            <w:r>
              <w:rPr>
                <w:spacing w:val="-2"/>
                <w:sz w:val="18"/>
              </w:rPr>
              <w:t>河段顺直，断面规整，水流通</w:t>
            </w:r>
            <w:r>
              <w:rPr>
                <w:spacing w:val="-10"/>
                <w:sz w:val="18"/>
              </w:rPr>
              <w:t>畅</w:t>
            </w:r>
          </w:p>
        </w:tc>
        <w:tc>
          <w:tcPr>
            <w:tcW w:w="1890" w:type="dxa"/>
          </w:tcPr>
          <w:p>
            <w:pPr>
              <w:pStyle w:val="TableParagraph"/>
              <w:spacing w:before="4"/>
              <w:rPr>
                <w:sz w:val="14"/>
              </w:rPr>
            </w:pPr>
          </w:p>
          <w:p>
            <w:pPr>
              <w:pStyle w:val="TableParagraph"/>
              <w:spacing w:line="290" w:lineRule="auto"/>
              <w:ind w:left="103" w:right="100"/>
              <w:rPr>
                <w:sz w:val="18"/>
              </w:rPr>
            </w:pPr>
            <w:r>
              <w:rPr>
                <w:spacing w:val="-2"/>
                <w:sz w:val="18"/>
              </w:rPr>
              <w:t>两侧岸壁为土砂或石</w:t>
            </w:r>
            <w:r>
              <w:rPr>
                <w:spacing w:val="-2"/>
                <w:sz w:val="18"/>
              </w:rPr>
              <w:t>质，形状较整齐</w:t>
            </w:r>
          </w:p>
        </w:tc>
        <w:tc>
          <w:tcPr>
            <w:tcW w:w="1124" w:type="dxa"/>
            <w:tcBorders>
              <w:right w:val="nil"/>
            </w:tcBorders>
          </w:tcPr>
          <w:p>
            <w:pPr>
              <w:pStyle w:val="TableParagraph"/>
              <w:spacing w:before="2"/>
              <w:rPr>
                <w:sz w:val="26"/>
              </w:rPr>
            </w:pPr>
          </w:p>
          <w:p>
            <w:pPr>
              <w:pStyle w:val="TableParagraph"/>
              <w:spacing w:before="1"/>
              <w:ind w:left="103"/>
              <w:rPr>
                <w:rFonts w:ascii="Times New Roman"/>
                <w:sz w:val="18"/>
              </w:rPr>
            </w:pPr>
            <w:r>
              <w:rPr>
                <w:rFonts w:ascii="Times New Roman"/>
                <w:spacing w:val="-2"/>
                <w:sz w:val="18"/>
              </w:rPr>
              <w:t>0.022~0.026</w:t>
            </w:r>
          </w:p>
        </w:tc>
      </w:tr>
      <w:tr>
        <w:tblPrEx>
          <w:tblW w:w="0" w:type="auto"/>
          <w:jc w:val="left"/>
          <w:tblInd w:w="119" w:type="dxa"/>
          <w:tblLayout w:type="fixed"/>
          <w:tblCellMar>
            <w:top w:w="0" w:type="dxa"/>
            <w:left w:w="0" w:type="dxa"/>
            <w:bottom w:w="0" w:type="dxa"/>
            <w:right w:w="0" w:type="dxa"/>
          </w:tblCellMar>
          <w:tblLook w:val="01E0"/>
        </w:tblPrEx>
        <w:trPr>
          <w:trHeight w:val="658"/>
          <w:jc w:val="left"/>
        </w:trPr>
        <w:tc>
          <w:tcPr>
            <w:tcW w:w="481" w:type="dxa"/>
            <w:vMerge w:val="restart"/>
            <w:tcBorders>
              <w:left w:val="nil"/>
            </w:tcBorders>
          </w:tcPr>
          <w:p>
            <w:pPr>
              <w:pStyle w:val="TableParagraph"/>
              <w:rPr>
                <w:sz w:val="18"/>
              </w:rPr>
            </w:pPr>
          </w:p>
          <w:p>
            <w:pPr>
              <w:pStyle w:val="TableParagraph"/>
              <w:rPr>
                <w:sz w:val="18"/>
              </w:rPr>
            </w:pPr>
          </w:p>
          <w:p>
            <w:pPr>
              <w:pStyle w:val="TableParagraph"/>
              <w:spacing w:before="9"/>
              <w:rPr>
                <w:sz w:val="19"/>
              </w:rPr>
            </w:pPr>
          </w:p>
          <w:p>
            <w:pPr>
              <w:pStyle w:val="TableParagraph"/>
              <w:ind w:left="145"/>
              <w:rPr>
                <w:sz w:val="18"/>
              </w:rPr>
            </w:pPr>
            <w:r>
              <w:rPr>
                <w:sz w:val="18"/>
              </w:rPr>
              <w:t>Ⅲ</w:t>
            </w:r>
          </w:p>
        </w:tc>
        <w:tc>
          <w:tcPr>
            <w:tcW w:w="528" w:type="dxa"/>
          </w:tcPr>
          <w:p>
            <w:pPr>
              <w:pStyle w:val="TableParagraph"/>
              <w:spacing w:before="1"/>
              <w:rPr>
                <w:sz w:val="19"/>
              </w:rPr>
            </w:pPr>
          </w:p>
          <w:p>
            <w:pPr>
              <w:pStyle w:val="TableParagraph"/>
              <w:jc w:val="center"/>
              <w:rPr>
                <w:rFonts w:ascii="Times New Roman"/>
                <w:sz w:val="18"/>
              </w:rPr>
            </w:pPr>
            <w:r>
              <w:rPr>
                <w:rFonts w:ascii="Times New Roman"/>
                <w:sz w:val="18"/>
              </w:rPr>
              <w:t>1</w:t>
            </w:r>
          </w:p>
        </w:tc>
        <w:tc>
          <w:tcPr>
            <w:tcW w:w="1871" w:type="dxa"/>
          </w:tcPr>
          <w:p>
            <w:pPr>
              <w:pStyle w:val="TableParagraph"/>
              <w:spacing w:before="43" w:line="280" w:lineRule="atLeast"/>
              <w:ind w:left="103" w:right="101"/>
              <w:rPr>
                <w:sz w:val="18"/>
              </w:rPr>
            </w:pPr>
            <w:r>
              <w:rPr>
                <w:spacing w:val="-2"/>
                <w:sz w:val="18"/>
              </w:rPr>
              <w:t>砂质河床，河底不太</w:t>
            </w:r>
            <w:r>
              <w:rPr>
                <w:spacing w:val="-6"/>
                <w:sz w:val="18"/>
              </w:rPr>
              <w:t>平顺</w:t>
            </w:r>
          </w:p>
        </w:tc>
        <w:tc>
          <w:tcPr>
            <w:tcW w:w="2627" w:type="dxa"/>
            <w:gridSpan w:val="4"/>
          </w:tcPr>
          <w:p>
            <w:pPr>
              <w:pStyle w:val="TableParagraph"/>
              <w:spacing w:before="43" w:line="280" w:lineRule="atLeast"/>
              <w:ind w:left="103" w:right="101"/>
              <w:rPr>
                <w:sz w:val="18"/>
              </w:rPr>
            </w:pPr>
            <w:r>
              <w:rPr>
                <w:spacing w:val="-2"/>
                <w:sz w:val="18"/>
              </w:rPr>
              <w:t>上游顺直，下游接缓弯，水流</w:t>
            </w:r>
            <w:r>
              <w:rPr>
                <w:spacing w:val="-2"/>
                <w:sz w:val="18"/>
              </w:rPr>
              <w:t>不够通畅，有局部回流</w:t>
            </w:r>
          </w:p>
        </w:tc>
        <w:tc>
          <w:tcPr>
            <w:tcW w:w="1890" w:type="dxa"/>
          </w:tcPr>
          <w:p>
            <w:pPr>
              <w:pStyle w:val="TableParagraph"/>
              <w:spacing w:before="43" w:line="280" w:lineRule="atLeast"/>
              <w:ind w:left="103" w:right="100"/>
              <w:rPr>
                <w:sz w:val="18"/>
              </w:rPr>
            </w:pPr>
            <w:r>
              <w:rPr>
                <w:spacing w:val="-2"/>
                <w:sz w:val="18"/>
              </w:rPr>
              <w:t>两侧岸壁为黄土，长</w:t>
            </w:r>
            <w:r>
              <w:rPr>
                <w:spacing w:val="-4"/>
                <w:sz w:val="18"/>
              </w:rPr>
              <w:t>有杂草</w:t>
            </w:r>
          </w:p>
        </w:tc>
        <w:tc>
          <w:tcPr>
            <w:tcW w:w="1124" w:type="dxa"/>
            <w:tcBorders>
              <w:right w:val="nil"/>
            </w:tcBorders>
          </w:tcPr>
          <w:p>
            <w:pPr>
              <w:pStyle w:val="TableParagraph"/>
              <w:spacing w:before="1"/>
              <w:rPr>
                <w:sz w:val="19"/>
              </w:rPr>
            </w:pPr>
          </w:p>
          <w:p>
            <w:pPr>
              <w:pStyle w:val="TableParagraph"/>
              <w:ind w:left="103"/>
              <w:rPr>
                <w:rFonts w:ascii="Times New Roman"/>
                <w:sz w:val="18"/>
              </w:rPr>
            </w:pPr>
            <w:r>
              <w:rPr>
                <w:rFonts w:ascii="Times New Roman"/>
                <w:spacing w:val="-2"/>
                <w:sz w:val="18"/>
              </w:rPr>
              <w:t>0.025~0.029</w:t>
            </w:r>
          </w:p>
        </w:tc>
      </w:tr>
      <w:tr>
        <w:tblPrEx>
          <w:tblW w:w="0" w:type="auto"/>
          <w:jc w:val="left"/>
          <w:tblInd w:w="119" w:type="dxa"/>
          <w:tblLayout w:type="fixed"/>
          <w:tblCellMar>
            <w:top w:w="0" w:type="dxa"/>
            <w:left w:w="0" w:type="dxa"/>
            <w:bottom w:w="0" w:type="dxa"/>
            <w:right w:w="0" w:type="dxa"/>
          </w:tblCellMar>
          <w:tblLook w:val="01E0"/>
        </w:tblPrEx>
        <w:trPr>
          <w:trHeight w:val="952"/>
          <w:jc w:val="left"/>
        </w:trPr>
        <w:tc>
          <w:tcPr>
            <w:tcW w:w="481" w:type="dxa"/>
            <w:vMerge/>
            <w:tcBorders>
              <w:top w:val="nil"/>
              <w:left w:val="nil"/>
            </w:tcBorders>
          </w:tcPr>
          <w:p>
            <w:pPr>
              <w:rPr>
                <w:sz w:val="2"/>
                <w:szCs w:val="2"/>
              </w:rPr>
            </w:pPr>
          </w:p>
        </w:tc>
        <w:tc>
          <w:tcPr>
            <w:tcW w:w="528" w:type="dxa"/>
          </w:tcPr>
          <w:p>
            <w:pPr>
              <w:pStyle w:val="TableParagraph"/>
              <w:rPr>
                <w:sz w:val="20"/>
              </w:rPr>
            </w:pPr>
          </w:p>
          <w:p>
            <w:pPr>
              <w:pStyle w:val="TableParagraph"/>
              <w:spacing w:before="135"/>
              <w:jc w:val="center"/>
              <w:rPr>
                <w:rFonts w:ascii="Times New Roman"/>
                <w:sz w:val="18"/>
              </w:rPr>
            </w:pPr>
            <w:r>
              <w:rPr>
                <w:rFonts w:ascii="Times New Roman"/>
                <w:sz w:val="18"/>
              </w:rPr>
              <w:t>2</w:t>
            </w:r>
          </w:p>
        </w:tc>
        <w:tc>
          <w:tcPr>
            <w:tcW w:w="1871" w:type="dxa"/>
          </w:tcPr>
          <w:p>
            <w:pPr>
              <w:pStyle w:val="TableParagraph"/>
              <w:spacing w:before="50" w:line="280" w:lineRule="atLeast"/>
              <w:ind w:left="103" w:right="101"/>
              <w:jc w:val="both"/>
              <w:rPr>
                <w:sz w:val="18"/>
              </w:rPr>
            </w:pPr>
            <w:r>
              <w:rPr>
                <w:spacing w:val="-2"/>
                <w:sz w:val="18"/>
              </w:rPr>
              <w:t>河底为砂砾或卵石组</w:t>
            </w:r>
            <w:r>
              <w:rPr>
                <w:spacing w:val="-2"/>
                <w:sz w:val="18"/>
              </w:rPr>
              <w:t>成，底坡较均匀，床</w:t>
            </w:r>
            <w:r>
              <w:rPr>
                <w:spacing w:val="-4"/>
                <w:sz w:val="18"/>
              </w:rPr>
              <w:t>面尚平整</w:t>
            </w:r>
          </w:p>
        </w:tc>
        <w:tc>
          <w:tcPr>
            <w:tcW w:w="2627" w:type="dxa"/>
            <w:gridSpan w:val="4"/>
          </w:tcPr>
          <w:p>
            <w:pPr>
              <w:pStyle w:val="TableParagraph"/>
              <w:spacing w:before="50" w:line="280" w:lineRule="atLeast"/>
              <w:ind w:left="103" w:right="11"/>
              <w:rPr>
                <w:sz w:val="18"/>
              </w:rPr>
            </w:pPr>
            <w:r>
              <w:rPr>
                <w:spacing w:val="-5"/>
                <w:sz w:val="18"/>
              </w:rPr>
              <w:t>河段顺直段较长，断面较规整，</w:t>
            </w:r>
            <w:r>
              <w:rPr>
                <w:spacing w:val="4"/>
                <w:sz w:val="18"/>
              </w:rPr>
              <w:t>水流较通畅，基本上无死水、斜流或回流</w:t>
            </w:r>
          </w:p>
        </w:tc>
        <w:tc>
          <w:tcPr>
            <w:tcW w:w="1890" w:type="dxa"/>
          </w:tcPr>
          <w:p>
            <w:pPr>
              <w:pStyle w:val="TableParagraph"/>
              <w:spacing w:before="50" w:line="280" w:lineRule="atLeast"/>
              <w:ind w:left="103" w:right="10"/>
              <w:rPr>
                <w:sz w:val="18"/>
              </w:rPr>
            </w:pPr>
            <w:r>
              <w:rPr>
                <w:spacing w:val="-2"/>
                <w:sz w:val="18"/>
              </w:rPr>
              <w:t>两侧岩壁为土砂、岩</w:t>
            </w:r>
            <w:r>
              <w:rPr>
                <w:spacing w:val="-6"/>
                <w:sz w:val="18"/>
              </w:rPr>
              <w:t>石，略有杂草、小树，</w:t>
            </w:r>
            <w:r>
              <w:rPr>
                <w:spacing w:val="-2"/>
                <w:sz w:val="18"/>
              </w:rPr>
              <w:t>形状较整齐</w:t>
            </w:r>
          </w:p>
        </w:tc>
        <w:tc>
          <w:tcPr>
            <w:tcW w:w="1124" w:type="dxa"/>
            <w:tcBorders>
              <w:right w:val="nil"/>
            </w:tcBorders>
          </w:tcPr>
          <w:p>
            <w:pPr>
              <w:pStyle w:val="TableParagraph"/>
              <w:rPr>
                <w:sz w:val="20"/>
              </w:rPr>
            </w:pPr>
          </w:p>
          <w:p>
            <w:pPr>
              <w:pStyle w:val="TableParagraph"/>
              <w:spacing w:before="135"/>
              <w:ind w:left="103"/>
              <w:rPr>
                <w:rFonts w:ascii="Times New Roman"/>
                <w:sz w:val="18"/>
              </w:rPr>
            </w:pPr>
            <w:r>
              <w:rPr>
                <w:rFonts w:ascii="Times New Roman"/>
                <w:spacing w:val="-2"/>
                <w:sz w:val="18"/>
              </w:rPr>
              <w:t>0.025~0.029</w:t>
            </w:r>
          </w:p>
        </w:tc>
      </w:tr>
      <w:tr>
        <w:tblPrEx>
          <w:tblW w:w="0" w:type="auto"/>
          <w:jc w:val="left"/>
          <w:tblInd w:w="119" w:type="dxa"/>
          <w:tblLayout w:type="fixed"/>
          <w:tblCellMar>
            <w:top w:w="0" w:type="dxa"/>
            <w:left w:w="0" w:type="dxa"/>
            <w:bottom w:w="0" w:type="dxa"/>
            <w:right w:w="0" w:type="dxa"/>
          </w:tblCellMar>
          <w:tblLook w:val="01E0"/>
        </w:tblPrEx>
        <w:trPr>
          <w:trHeight w:val="1534"/>
          <w:jc w:val="left"/>
        </w:trPr>
        <w:tc>
          <w:tcPr>
            <w:tcW w:w="481" w:type="dxa"/>
            <w:vMerge w:val="restart"/>
            <w:tcBorders>
              <w:left w:val="nil"/>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7"/>
              <w:rPr>
                <w:sz w:val="25"/>
              </w:rPr>
            </w:pPr>
          </w:p>
          <w:p>
            <w:pPr>
              <w:pStyle w:val="TableParagraph"/>
              <w:ind w:left="145"/>
              <w:rPr>
                <w:sz w:val="18"/>
              </w:rPr>
            </w:pPr>
            <w:r>
              <w:rPr>
                <w:sz w:val="18"/>
              </w:rPr>
              <w:t>Ⅳ</w:t>
            </w:r>
          </w:p>
        </w:tc>
        <w:tc>
          <w:tcPr>
            <w:tcW w:w="528" w:type="dxa"/>
          </w:tcPr>
          <w:p>
            <w:pPr>
              <w:pStyle w:val="TableParagraph"/>
              <w:rPr>
                <w:sz w:val="20"/>
              </w:rPr>
            </w:pPr>
          </w:p>
          <w:p>
            <w:pPr>
              <w:pStyle w:val="TableParagraph"/>
              <w:rPr>
                <w:sz w:val="20"/>
              </w:rPr>
            </w:pPr>
          </w:p>
          <w:p>
            <w:pPr>
              <w:pStyle w:val="TableParagraph"/>
              <w:spacing w:before="171"/>
              <w:jc w:val="center"/>
              <w:rPr>
                <w:rFonts w:ascii="Times New Roman"/>
                <w:sz w:val="18"/>
              </w:rPr>
            </w:pPr>
            <w:r>
              <w:rPr>
                <w:rFonts w:ascii="Times New Roman"/>
                <w:sz w:val="18"/>
              </w:rPr>
              <w:t>1</w:t>
            </w:r>
          </w:p>
        </w:tc>
        <w:tc>
          <w:tcPr>
            <w:tcW w:w="1871" w:type="dxa"/>
          </w:tcPr>
          <w:p>
            <w:pPr>
              <w:pStyle w:val="TableParagraph"/>
              <w:rPr>
                <w:sz w:val="18"/>
              </w:rPr>
            </w:pPr>
          </w:p>
          <w:p>
            <w:pPr>
              <w:pStyle w:val="TableParagraph"/>
              <w:spacing w:before="6"/>
              <w:rPr>
                <w:sz w:val="23"/>
              </w:rPr>
            </w:pPr>
          </w:p>
          <w:p>
            <w:pPr>
              <w:pStyle w:val="TableParagraph"/>
              <w:spacing w:line="290" w:lineRule="auto"/>
              <w:ind w:left="103" w:right="101"/>
              <w:rPr>
                <w:sz w:val="18"/>
              </w:rPr>
            </w:pPr>
            <w:r>
              <w:rPr>
                <w:spacing w:val="-2"/>
                <w:sz w:val="18"/>
              </w:rPr>
              <w:t>细砂，河底中有稀疏</w:t>
            </w:r>
            <w:r>
              <w:rPr>
                <w:spacing w:val="-2"/>
                <w:sz w:val="18"/>
              </w:rPr>
              <w:t>水草或水生植物</w:t>
            </w:r>
          </w:p>
        </w:tc>
        <w:tc>
          <w:tcPr>
            <w:tcW w:w="2627" w:type="dxa"/>
            <w:gridSpan w:val="4"/>
          </w:tcPr>
          <w:p>
            <w:pPr>
              <w:pStyle w:val="TableParagraph"/>
              <w:rPr>
                <w:sz w:val="18"/>
              </w:rPr>
            </w:pPr>
          </w:p>
          <w:p>
            <w:pPr>
              <w:pStyle w:val="TableParagraph"/>
              <w:spacing w:before="6"/>
              <w:rPr>
                <w:sz w:val="23"/>
              </w:rPr>
            </w:pPr>
          </w:p>
          <w:p>
            <w:pPr>
              <w:pStyle w:val="TableParagraph"/>
              <w:spacing w:line="290" w:lineRule="auto"/>
              <w:ind w:left="103" w:right="101"/>
              <w:rPr>
                <w:sz w:val="18"/>
              </w:rPr>
            </w:pPr>
            <w:r>
              <w:rPr>
                <w:spacing w:val="-2"/>
                <w:sz w:val="18"/>
              </w:rPr>
              <w:t>河段不够顺直，上下游附近弯</w:t>
            </w:r>
            <w:r>
              <w:rPr>
                <w:spacing w:val="-2"/>
                <w:sz w:val="18"/>
              </w:rPr>
              <w:t>曲，有挑水坝，水流不顺畅</w:t>
            </w:r>
          </w:p>
        </w:tc>
        <w:tc>
          <w:tcPr>
            <w:tcW w:w="1890" w:type="dxa"/>
          </w:tcPr>
          <w:p>
            <w:pPr>
              <w:pStyle w:val="TableParagraph"/>
              <w:spacing w:before="111" w:line="290" w:lineRule="auto"/>
              <w:ind w:left="103" w:right="100"/>
              <w:jc w:val="both"/>
              <w:rPr>
                <w:sz w:val="18"/>
              </w:rPr>
            </w:pPr>
            <w:r>
              <w:rPr>
                <w:spacing w:val="-2"/>
                <w:sz w:val="18"/>
              </w:rPr>
              <w:t>土质岸壁，一岸坍塌</w:t>
            </w:r>
            <w:r>
              <w:rPr>
                <w:spacing w:val="-2"/>
                <w:sz w:val="18"/>
              </w:rPr>
              <w:t>严重，为锯齿状，长</w:t>
            </w:r>
            <w:r>
              <w:rPr>
                <w:spacing w:val="-2"/>
                <w:sz w:val="18"/>
              </w:rPr>
              <w:t>有稀疏杂草及灌木；</w:t>
            </w:r>
            <w:r>
              <w:rPr>
                <w:spacing w:val="-2"/>
                <w:sz w:val="18"/>
              </w:rPr>
              <w:t>一岸坍塌，长有稠密</w:t>
            </w:r>
            <w:r>
              <w:rPr>
                <w:spacing w:val="-2"/>
                <w:sz w:val="18"/>
              </w:rPr>
              <w:t>杂草或芦苇</w:t>
            </w:r>
          </w:p>
        </w:tc>
        <w:tc>
          <w:tcPr>
            <w:tcW w:w="1124" w:type="dxa"/>
            <w:tcBorders>
              <w:right w:val="nil"/>
            </w:tcBorders>
          </w:tcPr>
          <w:p>
            <w:pPr>
              <w:pStyle w:val="TableParagraph"/>
              <w:rPr>
                <w:sz w:val="20"/>
              </w:rPr>
            </w:pPr>
          </w:p>
          <w:p>
            <w:pPr>
              <w:pStyle w:val="TableParagraph"/>
              <w:rPr>
                <w:sz w:val="20"/>
              </w:rPr>
            </w:pPr>
          </w:p>
          <w:p>
            <w:pPr>
              <w:pStyle w:val="TableParagraph"/>
              <w:spacing w:before="171"/>
              <w:ind w:left="103"/>
              <w:rPr>
                <w:rFonts w:ascii="Times New Roman"/>
                <w:sz w:val="18"/>
              </w:rPr>
            </w:pPr>
            <w:r>
              <w:rPr>
                <w:rFonts w:ascii="Times New Roman"/>
                <w:spacing w:val="-2"/>
                <w:sz w:val="18"/>
              </w:rPr>
              <w:t>0.030~0.034</w:t>
            </w:r>
          </w:p>
        </w:tc>
      </w:tr>
      <w:tr>
        <w:tblPrEx>
          <w:tblW w:w="0" w:type="auto"/>
          <w:jc w:val="left"/>
          <w:tblInd w:w="119" w:type="dxa"/>
          <w:tblLayout w:type="fixed"/>
          <w:tblCellMar>
            <w:top w:w="0" w:type="dxa"/>
            <w:left w:w="0" w:type="dxa"/>
            <w:bottom w:w="0" w:type="dxa"/>
            <w:right w:w="0" w:type="dxa"/>
          </w:tblCellMar>
          <w:tblLook w:val="01E0"/>
        </w:tblPrEx>
        <w:trPr>
          <w:trHeight w:val="1607"/>
          <w:jc w:val="left"/>
        </w:trPr>
        <w:tc>
          <w:tcPr>
            <w:tcW w:w="481" w:type="dxa"/>
            <w:vMerge/>
            <w:tcBorders>
              <w:top w:val="nil"/>
              <w:left w:val="nil"/>
            </w:tcBorders>
          </w:tcPr>
          <w:p>
            <w:pPr>
              <w:rPr>
                <w:sz w:val="2"/>
                <w:szCs w:val="2"/>
              </w:rPr>
            </w:pPr>
          </w:p>
        </w:tc>
        <w:tc>
          <w:tcPr>
            <w:tcW w:w="528" w:type="dxa"/>
          </w:tcPr>
          <w:p>
            <w:pPr>
              <w:pStyle w:val="TableParagraph"/>
              <w:rPr>
                <w:sz w:val="20"/>
              </w:rPr>
            </w:pPr>
          </w:p>
          <w:p>
            <w:pPr>
              <w:pStyle w:val="TableParagraph"/>
              <w:rPr>
                <w:sz w:val="20"/>
              </w:rPr>
            </w:pPr>
          </w:p>
          <w:p>
            <w:pPr>
              <w:pStyle w:val="TableParagraph"/>
              <w:spacing w:before="2"/>
              <w:rPr>
                <w:sz w:val="16"/>
              </w:rPr>
            </w:pPr>
          </w:p>
          <w:p>
            <w:pPr>
              <w:pStyle w:val="TableParagraph"/>
              <w:jc w:val="center"/>
              <w:rPr>
                <w:rFonts w:ascii="Times New Roman"/>
                <w:sz w:val="18"/>
              </w:rPr>
            </w:pPr>
            <w:r>
              <w:rPr>
                <w:rFonts w:ascii="Times New Roman"/>
                <w:sz w:val="18"/>
              </w:rPr>
              <w:t>2</w:t>
            </w:r>
          </w:p>
        </w:tc>
        <w:tc>
          <w:tcPr>
            <w:tcW w:w="1871" w:type="dxa"/>
          </w:tcPr>
          <w:p>
            <w:pPr>
              <w:pStyle w:val="TableParagraph"/>
              <w:rPr>
                <w:sz w:val="18"/>
              </w:rPr>
            </w:pPr>
          </w:p>
          <w:p>
            <w:pPr>
              <w:pStyle w:val="TableParagraph"/>
              <w:spacing w:before="5"/>
              <w:rPr>
                <w:sz w:val="15"/>
              </w:rPr>
            </w:pPr>
          </w:p>
          <w:p>
            <w:pPr>
              <w:pStyle w:val="TableParagraph"/>
              <w:spacing w:line="290" w:lineRule="auto"/>
              <w:ind w:left="103" w:right="101"/>
              <w:jc w:val="both"/>
              <w:rPr>
                <w:sz w:val="18"/>
              </w:rPr>
            </w:pPr>
            <w:r>
              <w:rPr>
                <w:spacing w:val="-2"/>
                <w:sz w:val="18"/>
              </w:rPr>
              <w:t>河床为砾石或卵石组</w:t>
            </w:r>
            <w:r>
              <w:rPr>
                <w:spacing w:val="-2"/>
                <w:sz w:val="18"/>
              </w:rPr>
              <w:t>成，底坡尚均匀，床</w:t>
            </w:r>
            <w:r>
              <w:rPr>
                <w:spacing w:val="-4"/>
                <w:sz w:val="18"/>
              </w:rPr>
              <w:t>面不平整</w:t>
            </w:r>
          </w:p>
        </w:tc>
        <w:tc>
          <w:tcPr>
            <w:tcW w:w="2627" w:type="dxa"/>
            <w:gridSpan w:val="4"/>
          </w:tcPr>
          <w:p>
            <w:pPr>
              <w:pStyle w:val="TableParagraph"/>
              <w:rPr>
                <w:sz w:val="18"/>
              </w:rPr>
            </w:pPr>
          </w:p>
          <w:p>
            <w:pPr>
              <w:pStyle w:val="TableParagraph"/>
              <w:spacing w:before="5"/>
              <w:rPr>
                <w:sz w:val="15"/>
              </w:rPr>
            </w:pPr>
          </w:p>
          <w:p>
            <w:pPr>
              <w:pStyle w:val="TableParagraph"/>
              <w:spacing w:line="290" w:lineRule="auto"/>
              <w:ind w:left="103" w:right="101"/>
              <w:jc w:val="both"/>
              <w:rPr>
                <w:sz w:val="18"/>
              </w:rPr>
            </w:pPr>
            <w:r>
              <w:rPr>
                <w:spacing w:val="-2"/>
                <w:sz w:val="18"/>
              </w:rPr>
              <w:t>顺直段距上弯道不远，断面尚</w:t>
            </w:r>
            <w:r>
              <w:rPr>
                <w:spacing w:val="-2"/>
                <w:sz w:val="18"/>
              </w:rPr>
              <w:t>规整，水流尚通畅，斜流或回</w:t>
            </w:r>
            <w:r>
              <w:rPr>
                <w:spacing w:val="-2"/>
                <w:sz w:val="18"/>
              </w:rPr>
              <w:t>流不甚明显</w:t>
            </w:r>
          </w:p>
        </w:tc>
        <w:tc>
          <w:tcPr>
            <w:tcW w:w="1890" w:type="dxa"/>
          </w:tcPr>
          <w:p>
            <w:pPr>
              <w:pStyle w:val="TableParagraph"/>
              <w:spacing w:before="148" w:line="290" w:lineRule="auto"/>
              <w:ind w:left="103" w:right="100"/>
              <w:jc w:val="both"/>
              <w:rPr>
                <w:sz w:val="18"/>
              </w:rPr>
            </w:pPr>
            <w:r>
              <w:rPr>
                <w:spacing w:val="-2"/>
                <w:sz w:val="18"/>
              </w:rPr>
              <w:t>一侧岸壁为石质、陡</w:t>
            </w:r>
            <w:r>
              <w:rPr>
                <w:spacing w:val="-2"/>
                <w:sz w:val="18"/>
              </w:rPr>
              <w:t>坡，形状尚整齐，另</w:t>
            </w:r>
            <w:r>
              <w:rPr>
                <w:spacing w:val="-2"/>
                <w:sz w:val="18"/>
              </w:rPr>
              <w:t>一侧岸壁为砂土，略</w:t>
            </w:r>
            <w:r>
              <w:rPr>
                <w:spacing w:val="-2"/>
                <w:sz w:val="18"/>
              </w:rPr>
              <w:t>有杂草、小树，形状</w:t>
            </w:r>
            <w:r>
              <w:rPr>
                <w:spacing w:val="-4"/>
                <w:sz w:val="18"/>
              </w:rPr>
              <w:t>较整齐</w:t>
            </w:r>
          </w:p>
        </w:tc>
        <w:tc>
          <w:tcPr>
            <w:tcW w:w="1124" w:type="dxa"/>
            <w:tcBorders>
              <w:right w:val="nil"/>
            </w:tcBorders>
          </w:tcPr>
          <w:p>
            <w:pPr>
              <w:pStyle w:val="TableParagraph"/>
              <w:rPr>
                <w:sz w:val="20"/>
              </w:rPr>
            </w:pPr>
          </w:p>
          <w:p>
            <w:pPr>
              <w:pStyle w:val="TableParagraph"/>
              <w:rPr>
                <w:sz w:val="20"/>
              </w:rPr>
            </w:pPr>
          </w:p>
          <w:p>
            <w:pPr>
              <w:pStyle w:val="TableParagraph"/>
              <w:spacing w:before="2"/>
              <w:rPr>
                <w:sz w:val="16"/>
              </w:rPr>
            </w:pPr>
          </w:p>
          <w:p>
            <w:pPr>
              <w:pStyle w:val="TableParagraph"/>
              <w:ind w:left="103"/>
              <w:rPr>
                <w:rFonts w:ascii="Times New Roman"/>
                <w:sz w:val="18"/>
              </w:rPr>
            </w:pPr>
            <w:r>
              <w:rPr>
                <w:rFonts w:ascii="Times New Roman"/>
                <w:spacing w:val="-2"/>
                <w:sz w:val="18"/>
              </w:rPr>
              <w:t>0.030~0.034</w:t>
            </w:r>
          </w:p>
        </w:tc>
      </w:tr>
      <w:tr>
        <w:tblPrEx>
          <w:tblW w:w="0" w:type="auto"/>
          <w:jc w:val="left"/>
          <w:tblInd w:w="119" w:type="dxa"/>
          <w:tblLayout w:type="fixed"/>
          <w:tblCellMar>
            <w:top w:w="0" w:type="dxa"/>
            <w:left w:w="0" w:type="dxa"/>
            <w:bottom w:w="0" w:type="dxa"/>
            <w:right w:w="0" w:type="dxa"/>
          </w:tblCellMar>
          <w:tblLook w:val="01E0"/>
        </w:tblPrEx>
        <w:trPr>
          <w:trHeight w:val="1252"/>
          <w:jc w:val="left"/>
        </w:trPr>
        <w:tc>
          <w:tcPr>
            <w:tcW w:w="1009" w:type="dxa"/>
            <w:gridSpan w:val="2"/>
            <w:tcBorders>
              <w:left w:val="nil"/>
            </w:tcBorders>
          </w:tcPr>
          <w:p>
            <w:pPr>
              <w:pStyle w:val="TableParagraph"/>
              <w:rPr>
                <w:sz w:val="18"/>
              </w:rPr>
            </w:pPr>
          </w:p>
          <w:p>
            <w:pPr>
              <w:pStyle w:val="TableParagraph"/>
              <w:spacing w:before="4"/>
              <w:rPr>
                <w:sz w:val="23"/>
              </w:rPr>
            </w:pPr>
          </w:p>
          <w:p>
            <w:pPr>
              <w:pStyle w:val="TableParagraph"/>
              <w:jc w:val="center"/>
              <w:rPr>
                <w:sz w:val="18"/>
              </w:rPr>
            </w:pPr>
            <w:r>
              <w:rPr>
                <w:sz w:val="18"/>
              </w:rPr>
              <w:t>Ⅴ</w:t>
            </w:r>
          </w:p>
        </w:tc>
        <w:tc>
          <w:tcPr>
            <w:tcW w:w="1871" w:type="dxa"/>
          </w:tcPr>
          <w:p>
            <w:pPr>
              <w:pStyle w:val="TableParagraph"/>
              <w:spacing w:before="110" w:line="290" w:lineRule="auto"/>
              <w:ind w:left="103" w:right="101"/>
              <w:jc w:val="both"/>
              <w:rPr>
                <w:sz w:val="18"/>
              </w:rPr>
            </w:pPr>
            <w:r>
              <w:rPr>
                <w:spacing w:val="-2"/>
                <w:sz w:val="18"/>
              </w:rPr>
              <w:t>河底为卵石、块石组</w:t>
            </w:r>
            <w:r>
              <w:rPr>
                <w:spacing w:val="-2"/>
                <w:sz w:val="18"/>
              </w:rPr>
              <w:t>成，间有大漂石，底</w:t>
            </w:r>
            <w:r>
              <w:rPr>
                <w:spacing w:val="-2"/>
                <w:sz w:val="18"/>
              </w:rPr>
              <w:t>坡尚均匀，床面不平</w:t>
            </w:r>
            <w:r>
              <w:rPr>
                <w:spacing w:val="-10"/>
                <w:sz w:val="18"/>
              </w:rPr>
              <w:t>整</w:t>
            </w:r>
          </w:p>
        </w:tc>
        <w:tc>
          <w:tcPr>
            <w:tcW w:w="2627" w:type="dxa"/>
            <w:gridSpan w:val="4"/>
          </w:tcPr>
          <w:p>
            <w:pPr>
              <w:pStyle w:val="TableParagraph"/>
              <w:spacing w:before="6"/>
              <w:rPr>
                <w:sz w:val="19"/>
              </w:rPr>
            </w:pPr>
          </w:p>
          <w:p>
            <w:pPr>
              <w:pStyle w:val="TableParagraph"/>
              <w:spacing w:line="290" w:lineRule="auto"/>
              <w:ind w:left="103" w:right="101"/>
              <w:jc w:val="both"/>
              <w:rPr>
                <w:sz w:val="18"/>
              </w:rPr>
            </w:pPr>
            <w:r>
              <w:rPr>
                <w:spacing w:val="-2"/>
                <w:sz w:val="18"/>
              </w:rPr>
              <w:t>顺直段夹于两弯道之间，距离</w:t>
            </w:r>
            <w:r>
              <w:rPr>
                <w:spacing w:val="-2"/>
                <w:sz w:val="18"/>
              </w:rPr>
              <w:t>不远，断面尚规整，水流显出</w:t>
            </w:r>
            <w:r>
              <w:rPr>
                <w:spacing w:val="-2"/>
                <w:sz w:val="18"/>
              </w:rPr>
              <w:t>斜流、回流或死水现象</w:t>
            </w:r>
          </w:p>
        </w:tc>
        <w:tc>
          <w:tcPr>
            <w:tcW w:w="1890" w:type="dxa"/>
          </w:tcPr>
          <w:p>
            <w:pPr>
              <w:pStyle w:val="TableParagraph"/>
              <w:spacing w:before="6"/>
              <w:rPr>
                <w:sz w:val="19"/>
              </w:rPr>
            </w:pPr>
          </w:p>
          <w:p>
            <w:pPr>
              <w:pStyle w:val="TableParagraph"/>
              <w:spacing w:line="290" w:lineRule="auto"/>
              <w:ind w:left="103" w:right="100"/>
              <w:jc w:val="both"/>
              <w:rPr>
                <w:sz w:val="18"/>
              </w:rPr>
            </w:pPr>
            <w:r>
              <w:rPr>
                <w:spacing w:val="-2"/>
                <w:sz w:val="18"/>
              </w:rPr>
              <w:t>两侧岸壁均为石质、</w:t>
            </w:r>
            <w:r>
              <w:rPr>
                <w:spacing w:val="-2"/>
                <w:sz w:val="18"/>
              </w:rPr>
              <w:t>陡坡，长有杂草、树</w:t>
            </w:r>
            <w:r>
              <w:rPr>
                <w:spacing w:val="-2"/>
                <w:sz w:val="18"/>
              </w:rPr>
              <w:t>木，形状尚整齐</w:t>
            </w:r>
          </w:p>
        </w:tc>
        <w:tc>
          <w:tcPr>
            <w:tcW w:w="1124" w:type="dxa"/>
            <w:tcBorders>
              <w:right w:val="nil"/>
            </w:tcBorders>
          </w:tcPr>
          <w:p>
            <w:pPr>
              <w:pStyle w:val="TableParagraph"/>
              <w:rPr>
                <w:sz w:val="20"/>
              </w:rPr>
            </w:pPr>
          </w:p>
          <w:p>
            <w:pPr>
              <w:pStyle w:val="TableParagraph"/>
              <w:spacing w:before="3"/>
              <w:rPr>
                <w:sz w:val="22"/>
              </w:rPr>
            </w:pPr>
          </w:p>
          <w:p>
            <w:pPr>
              <w:pStyle w:val="TableParagraph"/>
              <w:spacing w:before="1"/>
              <w:ind w:left="103"/>
              <w:rPr>
                <w:rFonts w:ascii="Times New Roman"/>
                <w:sz w:val="18"/>
              </w:rPr>
            </w:pPr>
            <w:r>
              <w:rPr>
                <w:rFonts w:ascii="Times New Roman"/>
                <w:spacing w:val="-2"/>
                <w:sz w:val="18"/>
              </w:rPr>
              <w:t>0.035~0.040</w:t>
            </w:r>
          </w:p>
        </w:tc>
      </w:tr>
      <w:tr>
        <w:tblPrEx>
          <w:tblW w:w="0" w:type="auto"/>
          <w:jc w:val="left"/>
          <w:tblInd w:w="119" w:type="dxa"/>
          <w:tblLayout w:type="fixed"/>
          <w:tblCellMar>
            <w:top w:w="0" w:type="dxa"/>
            <w:left w:w="0" w:type="dxa"/>
            <w:bottom w:w="0" w:type="dxa"/>
            <w:right w:w="0" w:type="dxa"/>
          </w:tblCellMar>
          <w:tblLook w:val="01E0"/>
        </w:tblPrEx>
        <w:trPr>
          <w:trHeight w:val="3695"/>
          <w:jc w:val="left"/>
        </w:trPr>
        <w:tc>
          <w:tcPr>
            <w:tcW w:w="1009" w:type="dxa"/>
            <w:gridSpan w:val="2"/>
            <w:tcBorders>
              <w:left w:val="nil"/>
            </w:tcBorders>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137"/>
              <w:jc w:val="center"/>
              <w:rPr>
                <w:sz w:val="18"/>
              </w:rPr>
            </w:pPr>
            <w:r>
              <w:rPr>
                <w:sz w:val="18"/>
              </w:rPr>
              <w:t>Ⅵ</w:t>
            </w:r>
          </w:p>
        </w:tc>
        <w:tc>
          <w:tcPr>
            <w:tcW w:w="1871" w:type="dxa"/>
          </w:tcPr>
          <w:p>
            <w:pPr>
              <w:pStyle w:val="TableParagraph"/>
              <w:rPr>
                <w:sz w:val="18"/>
              </w:rPr>
            </w:pPr>
          </w:p>
          <w:p>
            <w:pPr>
              <w:pStyle w:val="TableParagraph"/>
              <w:rPr>
                <w:sz w:val="18"/>
              </w:rPr>
            </w:pPr>
          </w:p>
          <w:p>
            <w:pPr>
              <w:pStyle w:val="TableParagraph"/>
              <w:rPr>
                <w:sz w:val="18"/>
              </w:rPr>
            </w:pPr>
          </w:p>
          <w:p>
            <w:pPr>
              <w:pStyle w:val="TableParagraph"/>
              <w:rPr>
                <w:sz w:val="18"/>
              </w:rPr>
            </w:pPr>
          </w:p>
          <w:p>
            <w:pPr>
              <w:pStyle w:val="TableParagraph"/>
              <w:spacing w:before="12"/>
              <w:rPr>
                <w:sz w:val="20"/>
              </w:rPr>
            </w:pPr>
          </w:p>
          <w:p>
            <w:pPr>
              <w:pStyle w:val="TableParagraph"/>
              <w:spacing w:line="290" w:lineRule="auto"/>
              <w:ind w:left="103" w:right="101"/>
              <w:jc w:val="both"/>
              <w:rPr>
                <w:sz w:val="18"/>
              </w:rPr>
            </w:pPr>
            <w:r>
              <w:rPr>
                <w:spacing w:val="-2"/>
                <w:sz w:val="18"/>
              </w:rPr>
              <w:t>河床为卵石、块石、</w:t>
            </w:r>
            <w:r>
              <w:rPr>
                <w:spacing w:val="-2"/>
                <w:sz w:val="18"/>
              </w:rPr>
              <w:t>乱石或大块石、大乱</w:t>
            </w:r>
            <w:r>
              <w:rPr>
                <w:spacing w:val="-2"/>
                <w:sz w:val="18"/>
              </w:rPr>
              <w:t>石及大孤石组成，床</w:t>
            </w:r>
            <w:r>
              <w:rPr>
                <w:spacing w:val="-2"/>
                <w:sz w:val="18"/>
              </w:rPr>
              <w:t>面不平整，底坡有凸</w:t>
            </w:r>
            <w:r>
              <w:rPr>
                <w:spacing w:val="-4"/>
                <w:sz w:val="18"/>
              </w:rPr>
              <w:t>凹凸状</w:t>
            </w:r>
          </w:p>
        </w:tc>
        <w:tc>
          <w:tcPr>
            <w:tcW w:w="2627" w:type="dxa"/>
            <w:gridSpan w:val="4"/>
          </w:tcPr>
          <w:p>
            <w:pPr>
              <w:pStyle w:val="TableParagraph"/>
              <w:spacing w:before="6"/>
              <w:rPr>
                <w:sz w:val="16"/>
              </w:rPr>
            </w:pPr>
          </w:p>
          <w:p>
            <w:pPr>
              <w:pStyle w:val="TableParagraph"/>
              <w:spacing w:line="290" w:lineRule="auto"/>
              <w:ind w:left="103" w:right="11"/>
              <w:rPr>
                <w:sz w:val="18"/>
              </w:rPr>
            </w:pPr>
            <w:r>
              <w:rPr>
                <w:spacing w:val="4"/>
                <w:sz w:val="18"/>
              </w:rPr>
              <w:t>河段不顺直、上下游有急弯，或下游有急滩、深坑等；河段</w:t>
            </w:r>
            <w:r>
              <w:rPr>
                <w:spacing w:val="-12"/>
                <w:sz w:val="18"/>
              </w:rPr>
              <w:t xml:space="preserve">处于 </w:t>
            </w:r>
            <w:r>
              <w:rPr>
                <w:rFonts w:ascii="Times New Roman" w:eastAsia="Times New Roman"/>
                <w:sz w:val="18"/>
              </w:rPr>
              <w:t xml:space="preserve">S </w:t>
            </w:r>
            <w:r>
              <w:rPr>
                <w:spacing w:val="4"/>
                <w:sz w:val="18"/>
              </w:rPr>
              <w:t>形顺直段，不整齐，有阻塞或岩熔情况较发育；水流</w:t>
            </w:r>
            <w:r>
              <w:rPr>
                <w:spacing w:val="-4"/>
                <w:sz w:val="18"/>
              </w:rPr>
              <w:t>不通畅，有斜流、回流、旋涡、</w:t>
            </w:r>
            <w:r>
              <w:rPr>
                <w:spacing w:val="4"/>
                <w:sz w:val="18"/>
              </w:rPr>
              <w:t>死水现象；河段上游为弯道或</w:t>
            </w:r>
            <w:r>
              <w:rPr>
                <w:spacing w:val="-3"/>
                <w:sz w:val="18"/>
              </w:rPr>
              <w:t>为两河汇口，落差大，水流急，</w:t>
            </w:r>
            <w:r>
              <w:rPr>
                <w:spacing w:val="4"/>
                <w:sz w:val="18"/>
              </w:rPr>
              <w:t>河中有严重阻塞，或两侧有深入河中的岩石，伴有深潭或有回流等；上游为弯道，河段不顺直，水行于深槽峡谷间，多阻塞，水流湍急，水声较大</w:t>
            </w:r>
          </w:p>
        </w:tc>
        <w:tc>
          <w:tcPr>
            <w:tcW w:w="1890" w:type="dxa"/>
          </w:tcPr>
          <w:p>
            <w:pPr>
              <w:pStyle w:val="TableParagraph"/>
              <w:rPr>
                <w:sz w:val="18"/>
              </w:rPr>
            </w:pPr>
          </w:p>
          <w:p>
            <w:pPr>
              <w:pStyle w:val="TableParagraph"/>
              <w:rPr>
                <w:sz w:val="18"/>
              </w:rPr>
            </w:pPr>
          </w:p>
          <w:p>
            <w:pPr>
              <w:pStyle w:val="TableParagraph"/>
              <w:rPr>
                <w:sz w:val="18"/>
              </w:rPr>
            </w:pPr>
          </w:p>
          <w:p>
            <w:pPr>
              <w:pStyle w:val="TableParagraph"/>
              <w:spacing w:before="1"/>
              <w:rPr>
                <w:sz w:val="17"/>
              </w:rPr>
            </w:pPr>
          </w:p>
          <w:p>
            <w:pPr>
              <w:pStyle w:val="TableParagraph"/>
              <w:spacing w:before="1" w:line="290" w:lineRule="auto"/>
              <w:ind w:left="103" w:right="10"/>
              <w:rPr>
                <w:sz w:val="18"/>
              </w:rPr>
            </w:pPr>
            <w:r>
              <w:rPr>
                <w:spacing w:val="-2"/>
                <w:sz w:val="18"/>
              </w:rPr>
              <w:t>两侧岸壁为岩石及砂</w:t>
            </w:r>
            <w:r>
              <w:rPr>
                <w:spacing w:val="-6"/>
                <w:sz w:val="18"/>
              </w:rPr>
              <w:t>土，长有杂草、树木，</w:t>
            </w:r>
            <w:r>
              <w:rPr>
                <w:spacing w:val="-2"/>
                <w:sz w:val="18"/>
              </w:rPr>
              <w:t>形状尚整齐；两侧岸</w:t>
            </w:r>
            <w:r>
              <w:rPr>
                <w:spacing w:val="-2"/>
                <w:sz w:val="18"/>
              </w:rPr>
              <w:t>壁为石质砂夹乱石、</w:t>
            </w:r>
            <w:r>
              <w:rPr>
                <w:spacing w:val="-2"/>
                <w:sz w:val="18"/>
              </w:rPr>
              <w:t>风化页岩，崎岖不平</w:t>
            </w:r>
            <w:r>
              <w:rPr>
                <w:spacing w:val="-2"/>
                <w:sz w:val="18"/>
              </w:rPr>
              <w:t>整，上面生长杂草、</w:t>
            </w:r>
            <w:r>
              <w:rPr>
                <w:spacing w:val="-6"/>
                <w:sz w:val="18"/>
              </w:rPr>
              <w:t>树木</w:t>
            </w:r>
          </w:p>
        </w:tc>
        <w:tc>
          <w:tcPr>
            <w:tcW w:w="1124" w:type="dxa"/>
            <w:tcBorders>
              <w:right w:val="nil"/>
            </w:tcBorders>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8"/>
              <w:rPr>
                <w:sz w:val="17"/>
              </w:rPr>
            </w:pPr>
          </w:p>
          <w:p>
            <w:pPr>
              <w:pStyle w:val="TableParagraph"/>
              <w:ind w:left="103"/>
              <w:rPr>
                <w:rFonts w:ascii="Times New Roman"/>
                <w:sz w:val="18"/>
              </w:rPr>
            </w:pPr>
            <w:r>
              <w:rPr>
                <w:rFonts w:ascii="Times New Roman"/>
                <w:spacing w:val="-2"/>
                <w:sz w:val="18"/>
              </w:rPr>
              <w:t>0.04~0.10</w:t>
            </w:r>
          </w:p>
        </w:tc>
      </w:tr>
    </w:tbl>
    <w:p>
      <w:pPr>
        <w:spacing w:after="0"/>
        <w:rPr>
          <w:rFonts w:ascii="Times New Roman"/>
          <w:sz w:val="18"/>
        </w:rPr>
      </w:pPr>
      <w:r>
        <w:rPr>
          <w:rFonts w:ascii="Times New Roman"/>
          <w:sz w:val="18"/>
        </w:rPr>
        <w:br/>
      </w:r>
      <w:r>
        <w:rPr>
          <w:rFonts w:ascii="Times New Roman"/>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0" w:history="1">
        <w:r>
          <w:rPr>
            <w:rFonts w:ascii="SimSun" w:eastAsia="SimSun" w:hAnsi="SimSun" w:cs="SimSun"/>
            <w:b/>
            <w:bCs/>
            <w:color w:val="0000EE"/>
            <w:sz w:val="30"/>
            <w:szCs w:val="30"/>
            <w:u w:val="single" w:color="0000EE"/>
          </w:rPr>
          <w:t>https://d.book118.com/345100243330011121</w:t>
        </w:r>
      </w:hyperlink>
    </w:p>
    <w:p>
      <w:pPr>
        <w:spacing w:after="0"/>
        <w:rPr>
          <w:rFonts w:ascii="Times New Roman"/>
          <w:sz w:val="18"/>
        </w:rPr>
      </w:pPr>
    </w:p>
    <w:sectPr>
      <w:footerReference w:type="even" r:id="rId111"/>
      <w:footerReference w:type="default" r:id="rId112"/>
      <w:pgSz w:w="11910" w:h="16840"/>
      <w:pgMar w:top="1480" w:right="1500" w:bottom="1180" w:left="1580" w:header="0" w:footer="990"/>
      <w:pgNumType w:start="65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Verdana">
    <w:altName w:val="Verdana"/>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MT Extra">
    <w:altName w:val="MT Extra"/>
    <w:charset w:val="02"/>
    <w:family w:val="roman"/>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5pt;height:12pt;margin-top:781.38pt;margin-left:87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600</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5pt;height:12pt;margin-top:781.38pt;margin-left:488.8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5pt;height:12pt;margin-top:781.38pt;margin-left:87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5pt;height:12pt;margin-top:781.38pt;margin-left:488.8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5pt;height:12pt;margin-top:781.38pt;margin-left:87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5pt;height:12pt;margin-top:781.38pt;margin-left:488.8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5pt;height:12pt;margin-top:781.38pt;margin-left:87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5pt;height:12pt;margin-top:781.38pt;margin-left:488.8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603</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5pt;height:12pt;margin-top:781.38pt;margin-left:87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604</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5pt;height:12pt;margin-top:781.38pt;margin-left:488.8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5pt;height:12pt;margin-top:781.38pt;margin-left:87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5pt;height:12pt;margin-top:781.38pt;margin-left:488.8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605</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5pt;height:12pt;margin-top:781.38pt;margin-left:87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606</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5pt;height:12pt;margin-top:781.38pt;margin-left:488.8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5pt;height:12pt;margin-top:781.38pt;margin-left:87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5pt;height:12pt;margin-top:781.38pt;margin-left:488.8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607</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5pt;height:12pt;margin-top:781.38pt;margin-left:87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608</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5pt;height:12pt;margin-top:781.38pt;margin-left:488.8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0.5pt;height:12pt;margin-top:781.38pt;margin-left:87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0.5pt;height:12pt;margin-top:781.38pt;margin-left:488.8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609</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5pt;height:12pt;margin-top:781.38pt;margin-left:87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610</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0.5pt;height:12pt;margin-top:781.38pt;margin-left:488.8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0.5pt;height:12pt;margin-top:781.38pt;margin-left:87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0.5pt;height:12pt;margin-top:781.38pt;margin-left:488.8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611</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0.5pt;height:12pt;margin-top:781.38pt;margin-left:87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612</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0.5pt;height:12pt;margin-top:781.38pt;margin-left:488.8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0.5pt;height:12pt;margin-top:781.38pt;margin-left:87pt;mso-position-horizontal-relative:page;mso-position-vertical-relative:page;position:absolute;z-index:-2516316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0.5pt;height:12pt;margin-top:781.38pt;margin-left:488.8pt;mso-position-horizontal-relative:page;mso-position-vertical-relative:page;position:absolute;z-index:-2516305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613</w:t>
                </w:r>
                <w:r>
                  <w:rPr>
                    <w:rFonts w:ascii="Times New Roman"/>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0.5pt;height:12pt;margin-top:781.38pt;margin-left:87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614</w:t>
                </w:r>
                <w:r>
                  <w:rPr>
                    <w:rFonts w:ascii="Times New Roman"/>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0.5pt;height:12pt;margin-top:781.38pt;margin-left:488.8pt;mso-position-horizontal-relative:page;mso-position-vertical-relative:page;position:absolute;z-index:-2516285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0.5pt;height:12pt;margin-top:781.38pt;margin-left:87pt;mso-position-horizontal-relative:page;mso-position-vertical-relative:page;position:absolute;z-index:-2516275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0.5pt;height:12pt;margin-top:781.38pt;margin-left:488.8pt;mso-position-horizontal-relative:page;mso-position-vertical-relative:page;position:absolute;z-index:-2516264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615</w:t>
                </w:r>
                <w:r>
                  <w:rPr>
                    <w:rFonts w:ascii="Times New Roman"/>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0.5pt;height:12pt;margin-top:781.38pt;margin-left:87pt;mso-position-horizontal-relative:page;mso-position-vertical-relative:page;position:absolute;z-index:-2516254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616</w:t>
                </w:r>
                <w:r>
                  <w:rPr>
                    <w:rFonts w:ascii="Times New Roman"/>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0.5pt;height:12pt;margin-top:781.38pt;margin-left:488.8pt;mso-position-horizontal-relative:page;mso-position-vertical-relative:page;position:absolute;z-index:-2516244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0.5pt;height:12pt;margin-top:781.38pt;margin-left:87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0.5pt;height:12pt;margin-top:781.38pt;margin-left:488.8pt;mso-position-horizontal-relative:page;mso-position-vertical-relative:page;position:absolute;z-index:-2516224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617</w:t>
                </w:r>
                <w:r>
                  <w:rPr>
                    <w:rFonts w:ascii="Times New Roman"/>
                    <w:spacing w:val="-5"/>
                    <w:sz w:val="18"/>
                  </w:rPr>
                  <w:fldChar w:fldCharType="end"/>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0.5pt;height:12pt;margin-top:781.38pt;margin-left:87pt;mso-position-horizontal-relative:page;mso-position-vertical-relative:page;position:absolute;z-index:-2516213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618</w:t>
                </w:r>
                <w:r>
                  <w:rPr>
                    <w:rFonts w:ascii="Times New Roman"/>
                    <w:spacing w:val="-5"/>
                    <w:sz w:val="18"/>
                  </w:rPr>
                  <w:fldChar w:fldCharType="end"/>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0.5pt;height:12pt;margin-top:781.38pt;margin-left:488.8pt;mso-position-horizontal-relative:page;mso-position-vertical-relative:page;position:absolute;z-index:-2516203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0.5pt;height:12pt;margin-top:781.38pt;margin-left:87pt;mso-position-horizontal-relative:page;mso-position-vertical-relative:page;position:absolute;z-index:-2516193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20.5pt;height:12pt;margin-top:781.38pt;margin-left:488.8pt;mso-position-horizontal-relative:page;mso-position-vertical-relative:page;position:absolute;z-index:-2516183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619</w:t>
                </w:r>
                <w:r>
                  <w:rPr>
                    <w:rFonts w:ascii="Times New Roman"/>
                    <w:spacing w:val="-5"/>
                    <w:sz w:val="18"/>
                  </w:rPr>
                  <w:fldChar w:fldCharType="end"/>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20.5pt;height:12pt;margin-top:781.38pt;margin-left:87pt;mso-position-horizontal-relative:page;mso-position-vertical-relative:page;position:absolute;z-index:-2516172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20.5pt;height:12pt;margin-top:781.38pt;margin-left:488.8pt;mso-position-horizontal-relative:page;mso-position-vertical-relative:page;position:absolute;z-index:-2516162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20.5pt;height:12pt;margin-top:781.38pt;margin-left:87pt;mso-position-horizontal-relative:page;mso-position-vertical-relative:page;position:absolute;z-index:-2516152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20.5pt;height:12pt;margin-top:781.38pt;margin-left:488.8pt;mso-position-horizontal-relative:page;mso-position-vertical-relative:page;position:absolute;z-index:-2516142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20.5pt;height:12pt;margin-top:781.38pt;margin-left:87pt;mso-position-horizontal-relative:page;mso-position-vertical-relative:page;position:absolute;z-index:-2516131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20.5pt;height:12pt;margin-top:781.38pt;margin-left:488.8pt;mso-position-horizontal-relative:page;mso-position-vertical-relative:page;position:absolute;z-index:-2516121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20.5pt;height:12pt;margin-top:781.38pt;margin-left:87pt;mso-position-horizontal-relative:page;mso-position-vertical-relative:page;position:absolute;z-index:-2516111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20.5pt;height:12pt;margin-top:781.38pt;margin-left:488.8pt;mso-position-horizontal-relative:page;mso-position-vertical-relative:page;position:absolute;z-index:-2516101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623</w:t>
                </w:r>
                <w:r>
                  <w:rPr>
                    <w:rFonts w:ascii="Times New Roman"/>
                    <w:spacing w:val="-5"/>
                    <w:sz w:val="18"/>
                  </w:rPr>
                  <w:fldChar w:fldCharType="end"/>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20.5pt;height:12pt;margin-top:781.38pt;margin-left:87pt;mso-position-horizontal-relative:page;mso-position-vertical-relative:page;position:absolute;z-index:-2516090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20.5pt;height:12pt;margin-top:781.38pt;margin-left:488.8pt;mso-position-horizontal-relative:page;mso-position-vertical-relative:page;position:absolute;z-index:-2516080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20.5pt;height:12pt;margin-top:781.38pt;margin-left:87pt;mso-position-horizontal-relative:page;mso-position-vertical-relative:page;position:absolute;z-index:-2516070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20.5pt;height:12pt;margin-top:781.38pt;margin-left:488.8pt;mso-position-horizontal-relative:page;mso-position-vertical-relative:page;position:absolute;z-index:-2516060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20.5pt;height:12pt;margin-top:781.38pt;margin-left:87pt;mso-position-horizontal-relative:page;mso-position-vertical-relative:page;position:absolute;z-index:-2516049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20.5pt;height:12pt;margin-top:781.38pt;margin-left:488.8pt;mso-position-horizontal-relative:page;mso-position-vertical-relative:page;position:absolute;z-index:-2516039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20.5pt;height:12pt;margin-top:781.38pt;margin-left:87pt;mso-position-horizontal-relative:page;mso-position-vertical-relative:page;position:absolute;z-index:-2516029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20.5pt;height:12pt;margin-top:781.38pt;margin-left:488.8pt;mso-position-horizontal-relative:page;mso-position-vertical-relative:page;position:absolute;z-index:-2516019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20.5pt;height:12pt;margin-top:781.38pt;margin-left:87pt;mso-position-horizontal-relative:page;mso-position-vertical-relative:page;position:absolute;z-index:-2516008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20.5pt;height:12pt;margin-top:781.38pt;margin-left:488.8pt;mso-position-horizontal-relative:page;mso-position-vertical-relative:page;position:absolute;z-index:-2515998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7" type="#_x0000_t202" style="width:20.5pt;height:12pt;margin-top:781.38pt;margin-left:87pt;mso-position-horizontal-relative:page;mso-position-vertical-relative:page;position:absolute;z-index:-2515988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20.5pt;height:12pt;margin-top:781.38pt;margin-left:488.8pt;mso-position-horizontal-relative:page;mso-position-vertical-relative:page;position:absolute;z-index:-2515978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20.5pt;height:12pt;margin-top:781.38pt;margin-left:87pt;mso-position-horizontal-relative:page;mso-position-vertical-relative:page;position:absolute;z-index:-2515968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20.5pt;height:12pt;margin-top:781.38pt;margin-left:488.8pt;mso-position-horizontal-relative:page;mso-position-vertical-relative:page;position:absolute;z-index:-2515957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1" type="#_x0000_t202" style="width:20.5pt;height:12pt;margin-top:781.38pt;margin-left:87pt;mso-position-horizontal-relative:page;mso-position-vertical-relative:page;position:absolute;z-index:-2515947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20.5pt;height:12pt;margin-top:781.38pt;margin-left:488.8pt;mso-position-horizontal-relative:page;mso-position-vertical-relative:page;position:absolute;z-index:-2515937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3" type="#_x0000_t202" style="width:20.5pt;height:12pt;margin-top:781.38pt;margin-left:87pt;mso-position-horizontal-relative:page;mso-position-vertical-relative:page;position:absolute;z-index:-2515927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20.5pt;height:12pt;margin-top:781.38pt;margin-left:488.8pt;mso-position-horizontal-relative:page;mso-position-vertical-relative:page;position:absolute;z-index:-2515916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20.5pt;height:12pt;margin-top:781.38pt;margin-left:87pt;mso-position-horizontal-relative:page;mso-position-vertical-relative:page;position:absolute;z-index:-2515906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20.5pt;height:12pt;margin-top:781.38pt;margin-left:488.8pt;mso-position-horizontal-relative:page;mso-position-vertical-relative:page;position:absolute;z-index:-2515896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7" type="#_x0000_t202" style="width:20.5pt;height:12pt;margin-top:781.38pt;margin-left:87pt;mso-position-horizontal-relative:page;mso-position-vertical-relative:page;position:absolute;z-index:-2515886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20.5pt;height:12pt;margin-top:781.38pt;margin-left:488.8pt;mso-position-horizontal-relative:page;mso-position-vertical-relative:page;position:absolute;z-index:-2515875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9" type="#_x0000_t202" style="width:20.5pt;height:12pt;margin-top:781.38pt;margin-left:87pt;mso-position-horizontal-relative:page;mso-position-vertical-relative:page;position:absolute;z-index:-2515865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20.5pt;height:12pt;margin-top:781.38pt;margin-left:488.8pt;mso-position-horizontal-relative:page;mso-position-vertical-relative:page;position:absolute;z-index:-2515855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20.5pt;height:12pt;margin-top:781.38pt;margin-left:87pt;mso-position-horizontal-relative:page;mso-position-vertical-relative:page;position:absolute;z-index:-2515845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2" type="#_x0000_t202" style="width:20.5pt;height:12pt;margin-top:781.38pt;margin-left:488.8pt;mso-position-horizontal-relative:page;mso-position-vertical-relative:page;position:absolute;z-index:-2515834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3" type="#_x0000_t202" style="width:20.5pt;height:12pt;margin-top:781.38pt;margin-left:87pt;mso-position-horizontal-relative:page;mso-position-vertical-relative:page;position:absolute;z-index:-2515824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20.5pt;height:12pt;margin-top:781.38pt;margin-left:488.8pt;mso-position-horizontal-relative:page;mso-position-vertical-relative:page;position:absolute;z-index:-2515814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5" type="#_x0000_t202" style="width:20.5pt;height:12pt;margin-top:781.38pt;margin-left:87pt;mso-position-horizontal-relative:page;mso-position-vertical-relative:page;position:absolute;z-index:-2515804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6" type="#_x0000_t202" style="width:20.5pt;height:12pt;margin-top:781.38pt;margin-left:488.8pt;mso-position-horizontal-relative:page;mso-position-vertical-relative:page;position:absolute;z-index:-2515793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20.5pt;height:12pt;margin-top:781.38pt;margin-left:87pt;mso-position-horizontal-relative:page;mso-position-vertical-relative:page;position:absolute;z-index:-2515783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8" type="#_x0000_t202" style="width:20.5pt;height:12pt;margin-top:781.38pt;margin-left:488.8pt;mso-position-horizontal-relative:page;mso-position-vertical-relative:page;position:absolute;z-index:-2515773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9" type="#_x0000_t202" style="width:20.5pt;height:12pt;margin-top:781.38pt;margin-left:87pt;mso-position-horizontal-relative:page;mso-position-vertical-relative:page;position:absolute;z-index:-2515763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640</w:t>
                </w:r>
                <w:r>
                  <w:rPr>
                    <w:rFonts w:ascii="Times New Roman"/>
                    <w:spacing w:val="-5"/>
                    <w:sz w:val="18"/>
                  </w:rPr>
                  <w:fldChar w:fldCharType="end"/>
                </w:r>
              </w:p>
            </w:txbxContent>
          </v:textbox>
        </v:shape>
      </w:pic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20.5pt;height:12pt;margin-top:781.38pt;margin-left:488.8pt;mso-position-horizontal-relative:page;mso-position-vertical-relative:page;position:absolute;z-index:-2515752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1" type="#_x0000_t202" style="width:20.5pt;height:12pt;margin-top:781.38pt;margin-left:87pt;mso-position-horizontal-relative:page;mso-position-vertical-relative:page;position:absolute;z-index:-2515742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2" type="#_x0000_t202" style="width:20.5pt;height:12pt;margin-top:781.38pt;margin-left:488.8pt;mso-position-horizontal-relative:page;mso-position-vertical-relative:page;position:absolute;z-index:-2515732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641</w:t>
                </w:r>
                <w:r>
                  <w:rPr>
                    <w:rFonts w:ascii="Times New Roman"/>
                    <w:spacing w:val="-5"/>
                    <w:sz w:val="18"/>
                  </w:rPr>
                  <w:fldChar w:fldCharType="end"/>
                </w:r>
              </w:p>
            </w:txbxContent>
          </v:textbox>
        </v:shape>
      </w:pic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20.5pt;height:12pt;margin-top:781.38pt;margin-left:87pt;mso-position-horizontal-relative:page;mso-position-vertical-relative:page;position:absolute;z-index:-2515722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4" type="#_x0000_t202" style="width:20.5pt;height:12pt;margin-top:781.38pt;margin-left:488.8pt;mso-position-horizontal-relative:page;mso-position-vertical-relative:page;position:absolute;z-index:-2515712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5" type="#_x0000_t202" style="width:20.5pt;height:12pt;margin-top:781.38pt;margin-left:87pt;mso-position-horizontal-relative:page;mso-position-vertical-relative:page;position:absolute;z-index:-2515701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20.5pt;height:12pt;margin-top:781.38pt;margin-left:488.8pt;mso-position-horizontal-relative:page;mso-position-vertical-relative:page;position:absolute;z-index:-2515691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7" type="#_x0000_t202" style="width:20.5pt;height:12pt;margin-top:781.38pt;margin-left:87pt;mso-position-horizontal-relative:page;mso-position-vertical-relative:page;position:absolute;z-index:-2515681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644</w:t>
                </w:r>
                <w:r>
                  <w:rPr>
                    <w:rFonts w:ascii="Times New Roman"/>
                    <w:spacing w:val="-5"/>
                    <w:sz w:val="18"/>
                  </w:rPr>
                  <w:fldChar w:fldCharType="end"/>
                </w:r>
              </w:p>
            </w:txbxContent>
          </v:textbox>
        </v:shape>
      </w:pic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8" type="#_x0000_t202" style="width:20.5pt;height:12pt;margin-top:781.38pt;margin-left:488.8pt;mso-position-horizontal-relative:page;mso-position-vertical-relative:page;position:absolute;z-index:-2515671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20.5pt;height:12pt;margin-top:781.38pt;margin-left:87pt;mso-position-horizontal-relative:page;mso-position-vertical-relative:page;position:absolute;z-index:-2515660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0" type="#_x0000_t202" style="width:20.5pt;height:12pt;margin-top:781.38pt;margin-left:488.8pt;mso-position-horizontal-relative:page;mso-position-vertical-relative:page;position:absolute;z-index:-2515650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645</w:t>
                </w:r>
                <w:r>
                  <w:rPr>
                    <w:rFonts w:ascii="Times New Roman"/>
                    <w:spacing w:val="-5"/>
                    <w:sz w:val="18"/>
                  </w:rPr>
                  <w:fldChar w:fldCharType="end"/>
                </w:r>
              </w:p>
            </w:txbxContent>
          </v:textbox>
        </v:shape>
      </w:pic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1" type="#_x0000_t202" style="width:20.5pt;height:12pt;margin-top:781.38pt;margin-left:87pt;mso-position-horizontal-relative:page;mso-position-vertical-relative:page;position:absolute;z-index:-2515640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20.5pt;height:12pt;margin-top:781.38pt;margin-left:488.8pt;mso-position-horizontal-relative:page;mso-position-vertical-relative:page;position:absolute;z-index:-2515630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3" type="#_x0000_t202" style="width:20.5pt;height:12pt;margin-top:781.38pt;margin-left:87pt;mso-position-horizontal-relative:page;mso-position-vertical-relative:page;position:absolute;z-index:-2515619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4" type="#_x0000_t202" style="width:20.5pt;height:12pt;margin-top:781.38pt;margin-left:488.8pt;mso-position-horizontal-relative:page;mso-position-vertical-relative:page;position:absolute;z-index:-2515609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20.5pt;height:12pt;margin-top:781.38pt;margin-left:87pt;mso-position-horizontal-relative:page;mso-position-vertical-relative:page;position:absolute;z-index:-2515599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648</w:t>
                </w:r>
                <w:r>
                  <w:rPr>
                    <w:rFonts w:ascii="Times New Roman"/>
                    <w:spacing w:val="-5"/>
                    <w:sz w:val="18"/>
                  </w:rPr>
                  <w:fldChar w:fldCharType="end"/>
                </w:r>
              </w:p>
            </w:txbxContent>
          </v:textbox>
        </v:shape>
      </w:pict>
    </w: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6" type="#_x0000_t202" style="width:20.5pt;height:12pt;margin-top:781.38pt;margin-left:488.8pt;mso-position-horizontal-relative:page;mso-position-vertical-relative:page;position:absolute;z-index:-2515589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7" type="#_x0000_t202" style="width:20.5pt;height:12pt;margin-top:781.38pt;margin-left:87pt;mso-position-horizontal-relative:page;mso-position-vertical-relative:page;position:absolute;z-index:-2515578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20.5pt;height:12pt;margin-top:781.38pt;margin-left:488.8pt;mso-position-horizontal-relative:page;mso-position-vertical-relative:page;position:absolute;z-index:-2515568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9" type="#_x0000_t202" style="width:20.5pt;height:12pt;margin-top:781.38pt;margin-left:87pt;mso-position-horizontal-relative:page;mso-position-vertical-relative:page;position:absolute;z-index:-2515558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0" type="#_x0000_t202" style="width:20.5pt;height:12pt;margin-top:781.38pt;margin-left:488.8pt;mso-position-horizontal-relative:page;mso-position-vertical-relative:page;position:absolute;z-index:-2515548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20.5pt;height:12pt;margin-top:781.38pt;margin-left:87pt;mso-position-horizontal-relative:page;mso-position-vertical-relative:page;position:absolute;z-index:-2515537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2" type="#_x0000_t202" style="width:20.5pt;height:12pt;margin-top:781.38pt;margin-left:488.8pt;mso-position-horizontal-relative:page;mso-position-vertical-relative:page;position:absolute;z-index:-2515527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3" type="#_x0000_t202" style="width:20.5pt;height:12pt;margin-top:781.38pt;margin-left:87pt;mso-position-horizontal-relative:page;mso-position-vertical-relative:page;position:absolute;z-index:-2515517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20.5pt;height:12pt;margin-top:781.38pt;margin-left:488.8pt;mso-position-horizontal-relative:page;mso-position-vertical-relative:page;position:absolute;z-index:-2515507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5" type="#_x0000_t202" style="width:20.5pt;height:12pt;margin-top:781.38pt;margin-left:87pt;mso-position-horizontal-relative:page;mso-position-vertical-relative:page;position:absolute;z-index:-2515496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654</w:t>
                </w:r>
                <w:r>
                  <w:rPr>
                    <w:rFonts w:ascii="Times New Roman"/>
                    <w:spacing w:val="-5"/>
                    <w:sz w:val="18"/>
                  </w:rPr>
                  <w:fldChar w:fldCharType="end"/>
                </w:r>
              </w:p>
            </w:txbxContent>
          </v:textbox>
        </v:shape>
      </w:pict>
    </w: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6" type="#_x0000_t202" style="width:20.5pt;height:12pt;margin-top:781.38pt;margin-left:488.8pt;mso-position-horizontal-relative:page;mso-position-vertical-relative:page;position:absolute;z-index:-2515486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653</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EDF97"/>
    <w:multiLevelType w:val="hybridMultilevel"/>
    <w:tmpl w:val="00000000"/>
    <w:lvl w:ilvl="0">
      <w:start w:val="7"/>
      <w:numFmt w:val="decimal"/>
      <w:lvlText w:val="%1"/>
      <w:lvlJc w:val="left"/>
      <w:pPr>
        <w:ind w:left="850" w:hanging="630"/>
        <w:jc w:val="left"/>
      </w:pPr>
      <w:rPr>
        <w:rFonts w:hint="default"/>
        <w:lang w:val="en-US" w:eastAsia="zh-CN" w:bidi="ar-SA"/>
      </w:rPr>
    </w:lvl>
    <w:lvl w:ilvl="1">
      <w:start w:val="6"/>
      <w:numFmt w:val="decimal"/>
      <w:lvlText w:val="%1.%2"/>
      <w:lvlJc w:val="left"/>
      <w:pPr>
        <w:ind w:left="850" w:hanging="630"/>
        <w:jc w:val="left"/>
      </w:pPr>
      <w:rPr>
        <w:rFonts w:hint="default"/>
        <w:lang w:val="en-US" w:eastAsia="zh-CN" w:bidi="ar-SA"/>
      </w:rPr>
    </w:lvl>
    <w:lvl w:ilvl="2">
      <w:start w:val="3"/>
      <w:numFmt w:val="decimal"/>
      <w:lvlText w:val="%1.%2.%3"/>
      <w:lvlJc w:val="left"/>
      <w:pPr>
        <w:ind w:left="85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1007"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1"/>
      <w:numFmt w:val="lowerLetter"/>
      <w:lvlText w:val="%5."/>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5">
      <w:start w:val="0"/>
      <w:numFmt w:val="bullet"/>
      <w:lvlText w:val="•"/>
      <w:lvlJc w:val="left"/>
      <w:pPr>
        <w:ind w:left="1433" w:hanging="251"/>
      </w:pPr>
      <w:rPr>
        <w:rFonts w:hint="default"/>
        <w:lang w:val="en-US" w:eastAsia="zh-CN" w:bidi="ar-SA"/>
      </w:rPr>
    </w:lvl>
    <w:lvl w:ilvl="6">
      <w:start w:val="0"/>
      <w:numFmt w:val="bullet"/>
      <w:lvlText w:val="•"/>
      <w:lvlJc w:val="left"/>
      <w:pPr>
        <w:ind w:left="1650" w:hanging="251"/>
      </w:pPr>
      <w:rPr>
        <w:rFonts w:hint="default"/>
        <w:lang w:val="en-US" w:eastAsia="zh-CN" w:bidi="ar-SA"/>
      </w:rPr>
    </w:lvl>
    <w:lvl w:ilvl="7">
      <w:start w:val="0"/>
      <w:numFmt w:val="bullet"/>
      <w:lvlText w:val="•"/>
      <w:lvlJc w:val="left"/>
      <w:pPr>
        <w:ind w:left="1867" w:hanging="251"/>
      </w:pPr>
      <w:rPr>
        <w:rFonts w:hint="default"/>
        <w:lang w:val="en-US" w:eastAsia="zh-CN" w:bidi="ar-SA"/>
      </w:rPr>
    </w:lvl>
    <w:lvl w:ilvl="8">
      <w:start w:val="0"/>
      <w:numFmt w:val="bullet"/>
      <w:lvlText w:val="•"/>
      <w:lvlJc w:val="left"/>
      <w:pPr>
        <w:ind w:left="2083" w:hanging="251"/>
      </w:pPr>
      <w:rPr>
        <w:rFonts w:hint="default"/>
        <w:lang w:val="en-US" w:eastAsia="zh-CN" w:bidi="ar-SA"/>
      </w:rPr>
    </w:lvl>
  </w:abstractNum>
  <w:abstractNum w:abstractNumId="1">
    <w:nsid w:val="046ACF75"/>
    <w:multiLevelType w:val="hybridMultilevel"/>
    <w:tmpl w:val="00000000"/>
    <w:lvl w:ilvl="0">
      <w:start w:val="1"/>
      <w:numFmt w:val="lowerLetter"/>
      <w:lvlText w:val="%1."/>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51"/>
      </w:pPr>
      <w:rPr>
        <w:rFonts w:hint="default"/>
        <w:lang w:val="en-US" w:eastAsia="zh-CN" w:bidi="ar-SA"/>
      </w:rPr>
    </w:lvl>
    <w:lvl w:ilvl="2">
      <w:start w:val="0"/>
      <w:numFmt w:val="bullet"/>
      <w:lvlText w:val="•"/>
      <w:lvlJc w:val="left"/>
      <w:pPr>
        <w:ind w:left="2485" w:hanging="251"/>
      </w:pPr>
      <w:rPr>
        <w:rFonts w:hint="default"/>
        <w:lang w:val="en-US" w:eastAsia="zh-CN" w:bidi="ar-SA"/>
      </w:rPr>
    </w:lvl>
    <w:lvl w:ilvl="3">
      <w:start w:val="0"/>
      <w:numFmt w:val="bullet"/>
      <w:lvlText w:val="•"/>
      <w:lvlJc w:val="left"/>
      <w:pPr>
        <w:ind w:left="3277" w:hanging="251"/>
      </w:pPr>
      <w:rPr>
        <w:rFonts w:hint="default"/>
        <w:lang w:val="en-US" w:eastAsia="zh-CN" w:bidi="ar-SA"/>
      </w:rPr>
    </w:lvl>
    <w:lvl w:ilvl="4">
      <w:start w:val="0"/>
      <w:numFmt w:val="bullet"/>
      <w:lvlText w:val="•"/>
      <w:lvlJc w:val="left"/>
      <w:pPr>
        <w:ind w:left="4070" w:hanging="251"/>
      </w:pPr>
      <w:rPr>
        <w:rFonts w:hint="default"/>
        <w:lang w:val="en-US" w:eastAsia="zh-CN" w:bidi="ar-SA"/>
      </w:rPr>
    </w:lvl>
    <w:lvl w:ilvl="5">
      <w:start w:val="0"/>
      <w:numFmt w:val="bullet"/>
      <w:lvlText w:val="•"/>
      <w:lvlJc w:val="left"/>
      <w:pPr>
        <w:ind w:left="4863" w:hanging="251"/>
      </w:pPr>
      <w:rPr>
        <w:rFonts w:hint="default"/>
        <w:lang w:val="en-US" w:eastAsia="zh-CN" w:bidi="ar-SA"/>
      </w:rPr>
    </w:lvl>
    <w:lvl w:ilvl="6">
      <w:start w:val="0"/>
      <w:numFmt w:val="bullet"/>
      <w:lvlText w:val="•"/>
      <w:lvlJc w:val="left"/>
      <w:pPr>
        <w:ind w:left="5655" w:hanging="251"/>
      </w:pPr>
      <w:rPr>
        <w:rFonts w:hint="default"/>
        <w:lang w:val="en-US" w:eastAsia="zh-CN" w:bidi="ar-SA"/>
      </w:rPr>
    </w:lvl>
    <w:lvl w:ilvl="7">
      <w:start w:val="0"/>
      <w:numFmt w:val="bullet"/>
      <w:lvlText w:val="•"/>
      <w:lvlJc w:val="left"/>
      <w:pPr>
        <w:ind w:left="6448" w:hanging="251"/>
      </w:pPr>
      <w:rPr>
        <w:rFonts w:hint="default"/>
        <w:lang w:val="en-US" w:eastAsia="zh-CN" w:bidi="ar-SA"/>
      </w:rPr>
    </w:lvl>
    <w:lvl w:ilvl="8">
      <w:start w:val="0"/>
      <w:numFmt w:val="bullet"/>
      <w:lvlText w:val="•"/>
      <w:lvlJc w:val="left"/>
      <w:pPr>
        <w:ind w:left="7240" w:hanging="251"/>
      </w:pPr>
      <w:rPr>
        <w:rFonts w:hint="default"/>
        <w:lang w:val="en-US" w:eastAsia="zh-CN" w:bidi="ar-SA"/>
      </w:rPr>
    </w:lvl>
  </w:abstractNum>
  <w:abstractNum w:abstractNumId="2">
    <w:nsid w:val="0C99C077"/>
    <w:multiLevelType w:val="hybridMultilevel"/>
    <w:tmpl w:val="00000000"/>
    <w:lvl w:ilvl="0">
      <w:start w:val="7"/>
      <w:numFmt w:val="decimal"/>
      <w:lvlText w:val="%1"/>
      <w:lvlJc w:val="left"/>
      <w:pPr>
        <w:ind w:left="535" w:hanging="315"/>
        <w:jc w:val="left"/>
      </w:pPr>
      <w:rPr>
        <w:rFonts w:ascii="黑体" w:eastAsia="黑体" w:hAnsi="黑体" w:cs="黑体" w:hint="default"/>
        <w:b w:val="0"/>
        <w:bCs w:val="0"/>
        <w:i w:val="0"/>
        <w:iCs w:val="0"/>
        <w:w w:val="100"/>
        <w:sz w:val="21"/>
        <w:szCs w:val="21"/>
        <w:lang w:val="en-US" w:eastAsia="zh-CN" w:bidi="ar-SA"/>
      </w:rPr>
    </w:lvl>
    <w:lvl w:ilvl="1">
      <w:start w:val="1"/>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85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640"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1"/>
      <w:numFmt w:val="lowerLetter"/>
      <w:lvlText w:val="%5."/>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5">
      <w:start w:val="1"/>
      <w:numFmt w:val="decimal"/>
      <w:lvlText w:val="（%6）"/>
      <w:lvlJc w:val="left"/>
      <w:pPr>
        <w:ind w:left="3271" w:hanging="526"/>
        <w:jc w:val="right"/>
      </w:pPr>
      <w:rPr>
        <w:rFonts w:ascii="宋体" w:eastAsia="宋体" w:hAnsi="宋体" w:cs="宋体" w:hint="default"/>
        <w:b w:val="0"/>
        <w:bCs w:val="0"/>
        <w:i w:val="0"/>
        <w:iCs w:val="0"/>
        <w:w w:val="100"/>
        <w:sz w:val="19"/>
        <w:szCs w:val="19"/>
        <w:lang w:val="en-US" w:eastAsia="zh-CN" w:bidi="ar-SA"/>
      </w:rPr>
    </w:lvl>
    <w:lvl w:ilvl="6">
      <w:start w:val="0"/>
      <w:numFmt w:val="bullet"/>
      <w:lvlText w:val="•"/>
      <w:lvlJc w:val="left"/>
      <w:pPr>
        <w:ind w:left="1000" w:hanging="526"/>
      </w:pPr>
      <w:rPr>
        <w:rFonts w:hint="default"/>
        <w:lang w:val="en-US" w:eastAsia="zh-CN" w:bidi="ar-SA"/>
      </w:rPr>
    </w:lvl>
    <w:lvl w:ilvl="7">
      <w:start w:val="0"/>
      <w:numFmt w:val="bullet"/>
      <w:lvlText w:val="•"/>
      <w:lvlJc w:val="left"/>
      <w:pPr>
        <w:ind w:left="3280" w:hanging="526"/>
      </w:pPr>
      <w:rPr>
        <w:rFonts w:hint="default"/>
        <w:lang w:val="en-US" w:eastAsia="zh-CN" w:bidi="ar-SA"/>
      </w:rPr>
    </w:lvl>
    <w:lvl w:ilvl="8">
      <w:start w:val="0"/>
      <w:numFmt w:val="bullet"/>
      <w:lvlText w:val="•"/>
      <w:lvlJc w:val="left"/>
      <w:pPr>
        <w:ind w:left="3270" w:hanging="526"/>
      </w:pPr>
      <w:rPr>
        <w:rFonts w:hint="default"/>
        <w:lang w:val="en-US" w:eastAsia="zh-CN" w:bidi="ar-SA"/>
      </w:rPr>
    </w:lvl>
  </w:abstractNum>
  <w:abstractNum w:abstractNumId="3">
    <w:nsid w:val="0E91D0D2"/>
    <w:multiLevelType w:val="hybridMultilevel"/>
    <w:tmpl w:val="00000000"/>
    <w:lvl w:ilvl="0">
      <w:start w:val="0"/>
      <w:numFmt w:val="bullet"/>
      <w:lvlText w:val=""/>
      <w:lvlJc w:val="left"/>
      <w:pPr>
        <w:ind w:left="507" w:hanging="96"/>
      </w:pPr>
      <w:rPr>
        <w:rFonts w:ascii="Symbol" w:eastAsia="Symbol" w:hAnsi="Symbol" w:cs="Symbol" w:hint="default"/>
        <w:b w:val="0"/>
        <w:bCs w:val="0"/>
        <w:i w:val="0"/>
        <w:iCs w:val="0"/>
        <w:spacing w:val="13"/>
        <w:w w:val="98"/>
        <w:position w:val="-7"/>
        <w:sz w:val="16"/>
        <w:szCs w:val="16"/>
        <w:lang w:val="en-US" w:eastAsia="zh-CN" w:bidi="ar-SA"/>
      </w:rPr>
    </w:lvl>
    <w:lvl w:ilvl="1">
      <w:start w:val="0"/>
      <w:numFmt w:val="bullet"/>
      <w:lvlText w:val="•"/>
      <w:lvlJc w:val="left"/>
      <w:pPr>
        <w:ind w:left="924" w:hanging="96"/>
      </w:pPr>
      <w:rPr>
        <w:rFonts w:hint="default"/>
        <w:lang w:val="en-US" w:eastAsia="zh-CN" w:bidi="ar-SA"/>
      </w:rPr>
    </w:lvl>
    <w:lvl w:ilvl="2">
      <w:start w:val="0"/>
      <w:numFmt w:val="bullet"/>
      <w:lvlText w:val="•"/>
      <w:lvlJc w:val="left"/>
      <w:pPr>
        <w:ind w:left="1348" w:hanging="96"/>
      </w:pPr>
      <w:rPr>
        <w:rFonts w:hint="default"/>
        <w:lang w:val="en-US" w:eastAsia="zh-CN" w:bidi="ar-SA"/>
      </w:rPr>
    </w:lvl>
    <w:lvl w:ilvl="3">
      <w:start w:val="0"/>
      <w:numFmt w:val="bullet"/>
      <w:lvlText w:val="•"/>
      <w:lvlJc w:val="left"/>
      <w:pPr>
        <w:ind w:left="1773" w:hanging="96"/>
      </w:pPr>
      <w:rPr>
        <w:rFonts w:hint="default"/>
        <w:lang w:val="en-US" w:eastAsia="zh-CN" w:bidi="ar-SA"/>
      </w:rPr>
    </w:lvl>
    <w:lvl w:ilvl="4">
      <w:start w:val="0"/>
      <w:numFmt w:val="bullet"/>
      <w:lvlText w:val="•"/>
      <w:lvlJc w:val="left"/>
      <w:pPr>
        <w:ind w:left="2197" w:hanging="96"/>
      </w:pPr>
      <w:rPr>
        <w:rFonts w:hint="default"/>
        <w:lang w:val="en-US" w:eastAsia="zh-CN" w:bidi="ar-SA"/>
      </w:rPr>
    </w:lvl>
    <w:lvl w:ilvl="5">
      <w:start w:val="0"/>
      <w:numFmt w:val="bullet"/>
      <w:lvlText w:val="•"/>
      <w:lvlJc w:val="left"/>
      <w:pPr>
        <w:ind w:left="2621" w:hanging="96"/>
      </w:pPr>
      <w:rPr>
        <w:rFonts w:hint="default"/>
        <w:lang w:val="en-US" w:eastAsia="zh-CN" w:bidi="ar-SA"/>
      </w:rPr>
    </w:lvl>
    <w:lvl w:ilvl="6">
      <w:start w:val="0"/>
      <w:numFmt w:val="bullet"/>
      <w:lvlText w:val="•"/>
      <w:lvlJc w:val="left"/>
      <w:pPr>
        <w:ind w:left="3046" w:hanging="96"/>
      </w:pPr>
      <w:rPr>
        <w:rFonts w:hint="default"/>
        <w:lang w:val="en-US" w:eastAsia="zh-CN" w:bidi="ar-SA"/>
      </w:rPr>
    </w:lvl>
    <w:lvl w:ilvl="7">
      <w:start w:val="0"/>
      <w:numFmt w:val="bullet"/>
      <w:lvlText w:val="•"/>
      <w:lvlJc w:val="left"/>
      <w:pPr>
        <w:ind w:left="3470" w:hanging="96"/>
      </w:pPr>
      <w:rPr>
        <w:rFonts w:hint="default"/>
        <w:lang w:val="en-US" w:eastAsia="zh-CN" w:bidi="ar-SA"/>
      </w:rPr>
    </w:lvl>
    <w:lvl w:ilvl="8">
      <w:start w:val="0"/>
      <w:numFmt w:val="bullet"/>
      <w:lvlText w:val="•"/>
      <w:lvlJc w:val="left"/>
      <w:pPr>
        <w:ind w:left="3895" w:hanging="96"/>
      </w:pPr>
      <w:rPr>
        <w:rFonts w:hint="default"/>
        <w:lang w:val="en-US" w:eastAsia="zh-CN" w:bidi="ar-SA"/>
      </w:rPr>
    </w:lvl>
  </w:abstractNum>
  <w:abstractNum w:abstractNumId="4">
    <w:nsid w:val="1241797B"/>
    <w:multiLevelType w:val="hybridMultilevel"/>
    <w:tmpl w:val="00000000"/>
    <w:lvl w:ilvl="0">
      <w:start w:val="0"/>
      <w:numFmt w:val="bullet"/>
      <w:lvlText w:val=""/>
      <w:lvlJc w:val="left"/>
      <w:pPr>
        <w:ind w:left="222" w:hanging="157"/>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270" w:hanging="157"/>
      </w:pPr>
      <w:rPr>
        <w:rFonts w:hint="default"/>
        <w:lang w:val="en-US" w:eastAsia="zh-CN" w:bidi="ar-SA"/>
      </w:rPr>
    </w:lvl>
    <w:lvl w:ilvl="2">
      <w:start w:val="0"/>
      <w:numFmt w:val="bullet"/>
      <w:lvlText w:val="•"/>
      <w:lvlJc w:val="left"/>
      <w:pPr>
        <w:ind w:left="320" w:hanging="157"/>
      </w:pPr>
      <w:rPr>
        <w:rFonts w:hint="default"/>
        <w:lang w:val="en-US" w:eastAsia="zh-CN" w:bidi="ar-SA"/>
      </w:rPr>
    </w:lvl>
    <w:lvl w:ilvl="3">
      <w:start w:val="0"/>
      <w:numFmt w:val="bullet"/>
      <w:lvlText w:val="•"/>
      <w:lvlJc w:val="left"/>
      <w:pPr>
        <w:ind w:left="370" w:hanging="157"/>
      </w:pPr>
      <w:rPr>
        <w:rFonts w:hint="default"/>
        <w:lang w:val="en-US" w:eastAsia="zh-CN" w:bidi="ar-SA"/>
      </w:rPr>
    </w:lvl>
    <w:lvl w:ilvl="4">
      <w:start w:val="0"/>
      <w:numFmt w:val="bullet"/>
      <w:lvlText w:val="•"/>
      <w:lvlJc w:val="left"/>
      <w:pPr>
        <w:ind w:left="420" w:hanging="157"/>
      </w:pPr>
      <w:rPr>
        <w:rFonts w:hint="default"/>
        <w:lang w:val="en-US" w:eastAsia="zh-CN" w:bidi="ar-SA"/>
      </w:rPr>
    </w:lvl>
    <w:lvl w:ilvl="5">
      <w:start w:val="0"/>
      <w:numFmt w:val="bullet"/>
      <w:lvlText w:val="•"/>
      <w:lvlJc w:val="left"/>
      <w:pPr>
        <w:ind w:left="470" w:hanging="157"/>
      </w:pPr>
      <w:rPr>
        <w:rFonts w:hint="default"/>
        <w:lang w:val="en-US" w:eastAsia="zh-CN" w:bidi="ar-SA"/>
      </w:rPr>
    </w:lvl>
    <w:lvl w:ilvl="6">
      <w:start w:val="0"/>
      <w:numFmt w:val="bullet"/>
      <w:lvlText w:val="•"/>
      <w:lvlJc w:val="left"/>
      <w:pPr>
        <w:ind w:left="520" w:hanging="157"/>
      </w:pPr>
      <w:rPr>
        <w:rFonts w:hint="default"/>
        <w:lang w:val="en-US" w:eastAsia="zh-CN" w:bidi="ar-SA"/>
      </w:rPr>
    </w:lvl>
    <w:lvl w:ilvl="7">
      <w:start w:val="0"/>
      <w:numFmt w:val="bullet"/>
      <w:lvlText w:val="•"/>
      <w:lvlJc w:val="left"/>
      <w:pPr>
        <w:ind w:left="570" w:hanging="157"/>
      </w:pPr>
      <w:rPr>
        <w:rFonts w:hint="default"/>
        <w:lang w:val="en-US" w:eastAsia="zh-CN" w:bidi="ar-SA"/>
      </w:rPr>
    </w:lvl>
    <w:lvl w:ilvl="8">
      <w:start w:val="0"/>
      <w:numFmt w:val="bullet"/>
      <w:lvlText w:val="•"/>
      <w:lvlJc w:val="left"/>
      <w:pPr>
        <w:ind w:left="620" w:hanging="157"/>
      </w:pPr>
      <w:rPr>
        <w:rFonts w:hint="default"/>
        <w:lang w:val="en-US" w:eastAsia="zh-CN" w:bidi="ar-SA"/>
      </w:rPr>
    </w:lvl>
  </w:abstractNum>
  <w:abstractNum w:abstractNumId="5">
    <w:nsid w:val="137FA971"/>
    <w:multiLevelType w:val="hybridMultilevel"/>
    <w:tmpl w:val="00000000"/>
    <w:lvl w:ilvl="0">
      <w:start w:val="1"/>
      <w:numFmt w:val="decimal"/>
      <w:lvlText w:val="（%1）"/>
      <w:lvlJc w:val="left"/>
      <w:pPr>
        <w:ind w:left="74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986" w:hanging="526"/>
      </w:pPr>
      <w:rPr>
        <w:rFonts w:hint="default"/>
        <w:lang w:val="en-US" w:eastAsia="zh-CN" w:bidi="ar-SA"/>
      </w:rPr>
    </w:lvl>
    <w:lvl w:ilvl="2">
      <w:start w:val="0"/>
      <w:numFmt w:val="bullet"/>
      <w:lvlText w:val="•"/>
      <w:lvlJc w:val="left"/>
      <w:pPr>
        <w:ind w:left="1232" w:hanging="526"/>
      </w:pPr>
      <w:rPr>
        <w:rFonts w:hint="default"/>
        <w:lang w:val="en-US" w:eastAsia="zh-CN" w:bidi="ar-SA"/>
      </w:rPr>
    </w:lvl>
    <w:lvl w:ilvl="3">
      <w:start w:val="0"/>
      <w:numFmt w:val="bullet"/>
      <w:lvlText w:val="•"/>
      <w:lvlJc w:val="left"/>
      <w:pPr>
        <w:ind w:left="1478" w:hanging="526"/>
      </w:pPr>
      <w:rPr>
        <w:rFonts w:hint="default"/>
        <w:lang w:val="en-US" w:eastAsia="zh-CN" w:bidi="ar-SA"/>
      </w:rPr>
    </w:lvl>
    <w:lvl w:ilvl="4">
      <w:start w:val="0"/>
      <w:numFmt w:val="bullet"/>
      <w:lvlText w:val="•"/>
      <w:lvlJc w:val="left"/>
      <w:pPr>
        <w:ind w:left="1724" w:hanging="526"/>
      </w:pPr>
      <w:rPr>
        <w:rFonts w:hint="default"/>
        <w:lang w:val="en-US" w:eastAsia="zh-CN" w:bidi="ar-SA"/>
      </w:rPr>
    </w:lvl>
    <w:lvl w:ilvl="5">
      <w:start w:val="0"/>
      <w:numFmt w:val="bullet"/>
      <w:lvlText w:val="•"/>
      <w:lvlJc w:val="left"/>
      <w:pPr>
        <w:ind w:left="1970" w:hanging="526"/>
      </w:pPr>
      <w:rPr>
        <w:rFonts w:hint="default"/>
        <w:lang w:val="en-US" w:eastAsia="zh-CN" w:bidi="ar-SA"/>
      </w:rPr>
    </w:lvl>
    <w:lvl w:ilvl="6">
      <w:start w:val="0"/>
      <w:numFmt w:val="bullet"/>
      <w:lvlText w:val="•"/>
      <w:lvlJc w:val="left"/>
      <w:pPr>
        <w:ind w:left="2216" w:hanging="526"/>
      </w:pPr>
      <w:rPr>
        <w:rFonts w:hint="default"/>
        <w:lang w:val="en-US" w:eastAsia="zh-CN" w:bidi="ar-SA"/>
      </w:rPr>
    </w:lvl>
    <w:lvl w:ilvl="7">
      <w:start w:val="0"/>
      <w:numFmt w:val="bullet"/>
      <w:lvlText w:val="•"/>
      <w:lvlJc w:val="left"/>
      <w:pPr>
        <w:ind w:left="2462" w:hanging="526"/>
      </w:pPr>
      <w:rPr>
        <w:rFonts w:hint="default"/>
        <w:lang w:val="en-US" w:eastAsia="zh-CN" w:bidi="ar-SA"/>
      </w:rPr>
    </w:lvl>
    <w:lvl w:ilvl="8">
      <w:start w:val="0"/>
      <w:numFmt w:val="bullet"/>
      <w:lvlText w:val="•"/>
      <w:lvlJc w:val="left"/>
      <w:pPr>
        <w:ind w:left="2708" w:hanging="526"/>
      </w:pPr>
      <w:rPr>
        <w:rFonts w:hint="default"/>
        <w:lang w:val="en-US" w:eastAsia="zh-CN" w:bidi="ar-SA"/>
      </w:rPr>
    </w:lvl>
  </w:abstractNum>
  <w:abstractNum w:abstractNumId="6">
    <w:nsid w:val="14346649"/>
    <w:multiLevelType w:val="hybridMultilevel"/>
    <w:tmpl w:val="00000000"/>
    <w:lvl w:ilvl="0">
      <w:start w:val="0"/>
      <w:numFmt w:val="bullet"/>
      <w:lvlText w:val=""/>
      <w:lvlJc w:val="left"/>
      <w:pPr>
        <w:ind w:left="230" w:hanging="165"/>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270" w:hanging="165"/>
      </w:pPr>
      <w:rPr>
        <w:rFonts w:hint="default"/>
        <w:lang w:val="en-US" w:eastAsia="zh-CN" w:bidi="ar-SA"/>
      </w:rPr>
    </w:lvl>
    <w:lvl w:ilvl="2">
      <w:start w:val="0"/>
      <w:numFmt w:val="bullet"/>
      <w:lvlText w:val="•"/>
      <w:lvlJc w:val="left"/>
      <w:pPr>
        <w:ind w:left="301" w:hanging="165"/>
      </w:pPr>
      <w:rPr>
        <w:rFonts w:hint="default"/>
        <w:lang w:val="en-US" w:eastAsia="zh-CN" w:bidi="ar-SA"/>
      </w:rPr>
    </w:lvl>
    <w:lvl w:ilvl="3">
      <w:start w:val="0"/>
      <w:numFmt w:val="bullet"/>
      <w:lvlText w:val="•"/>
      <w:lvlJc w:val="left"/>
      <w:pPr>
        <w:ind w:left="331" w:hanging="165"/>
      </w:pPr>
      <w:rPr>
        <w:rFonts w:hint="default"/>
        <w:lang w:val="en-US" w:eastAsia="zh-CN" w:bidi="ar-SA"/>
      </w:rPr>
    </w:lvl>
    <w:lvl w:ilvl="4">
      <w:start w:val="0"/>
      <w:numFmt w:val="bullet"/>
      <w:lvlText w:val="•"/>
      <w:lvlJc w:val="left"/>
      <w:pPr>
        <w:ind w:left="362" w:hanging="165"/>
      </w:pPr>
      <w:rPr>
        <w:rFonts w:hint="default"/>
        <w:lang w:val="en-US" w:eastAsia="zh-CN" w:bidi="ar-SA"/>
      </w:rPr>
    </w:lvl>
    <w:lvl w:ilvl="5">
      <w:start w:val="0"/>
      <w:numFmt w:val="bullet"/>
      <w:lvlText w:val="•"/>
      <w:lvlJc w:val="left"/>
      <w:pPr>
        <w:ind w:left="392" w:hanging="165"/>
      </w:pPr>
      <w:rPr>
        <w:rFonts w:hint="default"/>
        <w:lang w:val="en-US" w:eastAsia="zh-CN" w:bidi="ar-SA"/>
      </w:rPr>
    </w:lvl>
    <w:lvl w:ilvl="6">
      <w:start w:val="0"/>
      <w:numFmt w:val="bullet"/>
      <w:lvlText w:val="•"/>
      <w:lvlJc w:val="left"/>
      <w:pPr>
        <w:ind w:left="423" w:hanging="165"/>
      </w:pPr>
      <w:rPr>
        <w:rFonts w:hint="default"/>
        <w:lang w:val="en-US" w:eastAsia="zh-CN" w:bidi="ar-SA"/>
      </w:rPr>
    </w:lvl>
    <w:lvl w:ilvl="7">
      <w:start w:val="0"/>
      <w:numFmt w:val="bullet"/>
      <w:lvlText w:val="•"/>
      <w:lvlJc w:val="left"/>
      <w:pPr>
        <w:ind w:left="453" w:hanging="165"/>
      </w:pPr>
      <w:rPr>
        <w:rFonts w:hint="default"/>
        <w:lang w:val="en-US" w:eastAsia="zh-CN" w:bidi="ar-SA"/>
      </w:rPr>
    </w:lvl>
    <w:lvl w:ilvl="8">
      <w:start w:val="0"/>
      <w:numFmt w:val="bullet"/>
      <w:lvlText w:val="•"/>
      <w:lvlJc w:val="left"/>
      <w:pPr>
        <w:ind w:left="484" w:hanging="165"/>
      </w:pPr>
      <w:rPr>
        <w:rFonts w:hint="default"/>
        <w:lang w:val="en-US" w:eastAsia="zh-CN" w:bidi="ar-SA"/>
      </w:rPr>
    </w:lvl>
  </w:abstractNum>
  <w:abstractNum w:abstractNumId="7">
    <w:nsid w:val="171852FB"/>
    <w:multiLevelType w:val="hybridMultilevel"/>
    <w:tmpl w:val="00000000"/>
    <w:lvl w:ilvl="0">
      <w:start w:val="25"/>
      <w:numFmt w:val="lowerLetter"/>
      <w:lvlText w:val="%1"/>
      <w:lvlJc w:val="left"/>
      <w:pPr>
        <w:ind w:left="569" w:hanging="190"/>
        <w:jc w:val="left"/>
      </w:pPr>
      <w:rPr>
        <w:rFonts w:hint="default"/>
        <w:w w:val="100"/>
        <w:lang w:val="en-US" w:eastAsia="zh-CN" w:bidi="ar-SA"/>
      </w:rPr>
    </w:lvl>
    <w:lvl w:ilvl="1">
      <w:start w:val="0"/>
      <w:numFmt w:val="bullet"/>
      <w:lvlText w:val="•"/>
      <w:lvlJc w:val="left"/>
      <w:pPr>
        <w:ind w:left="764" w:hanging="190"/>
      </w:pPr>
      <w:rPr>
        <w:rFonts w:hint="default"/>
        <w:lang w:val="en-US" w:eastAsia="zh-CN" w:bidi="ar-SA"/>
      </w:rPr>
    </w:lvl>
    <w:lvl w:ilvl="2">
      <w:start w:val="0"/>
      <w:numFmt w:val="bullet"/>
      <w:lvlText w:val="•"/>
      <w:lvlJc w:val="left"/>
      <w:pPr>
        <w:ind w:left="969" w:hanging="190"/>
      </w:pPr>
      <w:rPr>
        <w:rFonts w:hint="default"/>
        <w:lang w:val="en-US" w:eastAsia="zh-CN" w:bidi="ar-SA"/>
      </w:rPr>
    </w:lvl>
    <w:lvl w:ilvl="3">
      <w:start w:val="0"/>
      <w:numFmt w:val="bullet"/>
      <w:lvlText w:val="•"/>
      <w:lvlJc w:val="left"/>
      <w:pPr>
        <w:ind w:left="1174" w:hanging="190"/>
      </w:pPr>
      <w:rPr>
        <w:rFonts w:hint="default"/>
        <w:lang w:val="en-US" w:eastAsia="zh-CN" w:bidi="ar-SA"/>
      </w:rPr>
    </w:lvl>
    <w:lvl w:ilvl="4">
      <w:start w:val="0"/>
      <w:numFmt w:val="bullet"/>
      <w:lvlText w:val="•"/>
      <w:lvlJc w:val="left"/>
      <w:pPr>
        <w:ind w:left="1379" w:hanging="190"/>
      </w:pPr>
      <w:rPr>
        <w:rFonts w:hint="default"/>
        <w:lang w:val="en-US" w:eastAsia="zh-CN" w:bidi="ar-SA"/>
      </w:rPr>
    </w:lvl>
    <w:lvl w:ilvl="5">
      <w:start w:val="0"/>
      <w:numFmt w:val="bullet"/>
      <w:lvlText w:val="•"/>
      <w:lvlJc w:val="left"/>
      <w:pPr>
        <w:ind w:left="1584" w:hanging="190"/>
      </w:pPr>
      <w:rPr>
        <w:rFonts w:hint="default"/>
        <w:lang w:val="en-US" w:eastAsia="zh-CN" w:bidi="ar-SA"/>
      </w:rPr>
    </w:lvl>
    <w:lvl w:ilvl="6">
      <w:start w:val="0"/>
      <w:numFmt w:val="bullet"/>
      <w:lvlText w:val="•"/>
      <w:lvlJc w:val="left"/>
      <w:pPr>
        <w:ind w:left="1789" w:hanging="190"/>
      </w:pPr>
      <w:rPr>
        <w:rFonts w:hint="default"/>
        <w:lang w:val="en-US" w:eastAsia="zh-CN" w:bidi="ar-SA"/>
      </w:rPr>
    </w:lvl>
    <w:lvl w:ilvl="7">
      <w:start w:val="0"/>
      <w:numFmt w:val="bullet"/>
      <w:lvlText w:val="•"/>
      <w:lvlJc w:val="left"/>
      <w:pPr>
        <w:ind w:left="1994" w:hanging="190"/>
      </w:pPr>
      <w:rPr>
        <w:rFonts w:hint="default"/>
        <w:lang w:val="en-US" w:eastAsia="zh-CN" w:bidi="ar-SA"/>
      </w:rPr>
    </w:lvl>
    <w:lvl w:ilvl="8">
      <w:start w:val="0"/>
      <w:numFmt w:val="bullet"/>
      <w:lvlText w:val="•"/>
      <w:lvlJc w:val="left"/>
      <w:pPr>
        <w:ind w:left="2199" w:hanging="190"/>
      </w:pPr>
      <w:rPr>
        <w:rFonts w:hint="default"/>
        <w:lang w:val="en-US" w:eastAsia="zh-CN" w:bidi="ar-SA"/>
      </w:rPr>
    </w:lvl>
  </w:abstractNum>
  <w:abstractNum w:abstractNumId="8">
    <w:nsid w:val="26F6429E"/>
    <w:multiLevelType w:val="hybridMultilevel"/>
    <w:tmpl w:val="00000000"/>
    <w:lvl w:ilvl="0">
      <w:start w:val="1"/>
      <w:numFmt w:val="decimal"/>
      <w:lvlText w:val="%1"/>
      <w:lvlJc w:val="left"/>
      <w:pPr>
        <w:ind w:left="170" w:hanging="156"/>
        <w:jc w:val="left"/>
      </w:pPr>
      <w:rPr>
        <w:rFonts w:ascii="Times New Roman" w:eastAsia="Times New Roman" w:hAnsi="Times New Roman" w:cs="Times New Roman" w:hint="default"/>
        <w:b w:val="0"/>
        <w:bCs w:val="0"/>
        <w:i w:val="0"/>
        <w:iCs w:val="0"/>
        <w:w w:val="100"/>
        <w:position w:val="13"/>
        <w:sz w:val="20"/>
        <w:szCs w:val="20"/>
        <w:lang w:val="en-US" w:eastAsia="zh-CN" w:bidi="ar-SA"/>
      </w:rPr>
    </w:lvl>
    <w:lvl w:ilvl="1">
      <w:start w:val="0"/>
      <w:numFmt w:val="bullet"/>
      <w:lvlText w:val="•"/>
      <w:lvlJc w:val="left"/>
      <w:pPr>
        <w:ind w:left="214" w:hanging="156"/>
      </w:pPr>
      <w:rPr>
        <w:rFonts w:hint="default"/>
        <w:lang w:val="en-US" w:eastAsia="zh-CN" w:bidi="ar-SA"/>
      </w:rPr>
    </w:lvl>
    <w:lvl w:ilvl="2">
      <w:start w:val="0"/>
      <w:numFmt w:val="bullet"/>
      <w:lvlText w:val="•"/>
      <w:lvlJc w:val="left"/>
      <w:pPr>
        <w:ind w:left="248" w:hanging="156"/>
      </w:pPr>
      <w:rPr>
        <w:rFonts w:hint="default"/>
        <w:lang w:val="en-US" w:eastAsia="zh-CN" w:bidi="ar-SA"/>
      </w:rPr>
    </w:lvl>
    <w:lvl w:ilvl="3">
      <w:start w:val="0"/>
      <w:numFmt w:val="bullet"/>
      <w:lvlText w:val="•"/>
      <w:lvlJc w:val="left"/>
      <w:pPr>
        <w:ind w:left="282" w:hanging="156"/>
      </w:pPr>
      <w:rPr>
        <w:rFonts w:hint="default"/>
        <w:lang w:val="en-US" w:eastAsia="zh-CN" w:bidi="ar-SA"/>
      </w:rPr>
    </w:lvl>
    <w:lvl w:ilvl="4">
      <w:start w:val="0"/>
      <w:numFmt w:val="bullet"/>
      <w:lvlText w:val="•"/>
      <w:lvlJc w:val="left"/>
      <w:pPr>
        <w:ind w:left="316" w:hanging="156"/>
      </w:pPr>
      <w:rPr>
        <w:rFonts w:hint="default"/>
        <w:lang w:val="en-US" w:eastAsia="zh-CN" w:bidi="ar-SA"/>
      </w:rPr>
    </w:lvl>
    <w:lvl w:ilvl="5">
      <w:start w:val="0"/>
      <w:numFmt w:val="bullet"/>
      <w:lvlText w:val="•"/>
      <w:lvlJc w:val="left"/>
      <w:pPr>
        <w:ind w:left="351" w:hanging="156"/>
      </w:pPr>
      <w:rPr>
        <w:rFonts w:hint="default"/>
        <w:lang w:val="en-US" w:eastAsia="zh-CN" w:bidi="ar-SA"/>
      </w:rPr>
    </w:lvl>
    <w:lvl w:ilvl="6">
      <w:start w:val="0"/>
      <w:numFmt w:val="bullet"/>
      <w:lvlText w:val="•"/>
      <w:lvlJc w:val="left"/>
      <w:pPr>
        <w:ind w:left="385" w:hanging="156"/>
      </w:pPr>
      <w:rPr>
        <w:rFonts w:hint="default"/>
        <w:lang w:val="en-US" w:eastAsia="zh-CN" w:bidi="ar-SA"/>
      </w:rPr>
    </w:lvl>
    <w:lvl w:ilvl="7">
      <w:start w:val="0"/>
      <w:numFmt w:val="bullet"/>
      <w:lvlText w:val="•"/>
      <w:lvlJc w:val="left"/>
      <w:pPr>
        <w:ind w:left="419" w:hanging="156"/>
      </w:pPr>
      <w:rPr>
        <w:rFonts w:hint="default"/>
        <w:lang w:val="en-US" w:eastAsia="zh-CN" w:bidi="ar-SA"/>
      </w:rPr>
    </w:lvl>
    <w:lvl w:ilvl="8">
      <w:start w:val="0"/>
      <w:numFmt w:val="bullet"/>
      <w:lvlText w:val="•"/>
      <w:lvlJc w:val="left"/>
      <w:pPr>
        <w:ind w:left="453" w:hanging="156"/>
      </w:pPr>
      <w:rPr>
        <w:rFonts w:hint="default"/>
        <w:lang w:val="en-US" w:eastAsia="zh-CN" w:bidi="ar-SA"/>
      </w:rPr>
    </w:lvl>
  </w:abstractNum>
  <w:abstractNum w:abstractNumId="9">
    <w:nsid w:val="27009250"/>
    <w:multiLevelType w:val="hybridMultilevel"/>
    <w:tmpl w:val="00000000"/>
    <w:lvl w:ilvl="0">
      <w:start w:val="0"/>
      <w:numFmt w:val="bullet"/>
      <w:lvlText w:val=""/>
      <w:lvlJc w:val="left"/>
      <w:pPr>
        <w:ind w:left="235" w:hanging="175"/>
      </w:pPr>
      <w:rPr>
        <w:rFonts w:ascii="Symbol" w:eastAsia="Symbol" w:hAnsi="Symbol" w:cs="Symbol" w:hint="default"/>
        <w:w w:val="100"/>
        <w:position w:val="-15"/>
        <w:lang w:val="en-US" w:eastAsia="zh-CN" w:bidi="ar-SA"/>
      </w:rPr>
    </w:lvl>
    <w:lvl w:ilvl="1">
      <w:start w:val="0"/>
      <w:numFmt w:val="bullet"/>
      <w:lvlText w:val="•"/>
      <w:lvlJc w:val="left"/>
      <w:pPr>
        <w:ind w:left="302" w:hanging="175"/>
      </w:pPr>
      <w:rPr>
        <w:rFonts w:hint="default"/>
        <w:lang w:val="en-US" w:eastAsia="zh-CN" w:bidi="ar-SA"/>
      </w:rPr>
    </w:lvl>
    <w:lvl w:ilvl="2">
      <w:start w:val="0"/>
      <w:numFmt w:val="bullet"/>
      <w:lvlText w:val="•"/>
      <w:lvlJc w:val="left"/>
      <w:pPr>
        <w:ind w:left="364" w:hanging="175"/>
      </w:pPr>
      <w:rPr>
        <w:rFonts w:hint="default"/>
        <w:lang w:val="en-US" w:eastAsia="zh-CN" w:bidi="ar-SA"/>
      </w:rPr>
    </w:lvl>
    <w:lvl w:ilvl="3">
      <w:start w:val="0"/>
      <w:numFmt w:val="bullet"/>
      <w:lvlText w:val="•"/>
      <w:lvlJc w:val="left"/>
      <w:pPr>
        <w:ind w:left="426" w:hanging="175"/>
      </w:pPr>
      <w:rPr>
        <w:rFonts w:hint="default"/>
        <w:lang w:val="en-US" w:eastAsia="zh-CN" w:bidi="ar-SA"/>
      </w:rPr>
    </w:lvl>
    <w:lvl w:ilvl="4">
      <w:start w:val="0"/>
      <w:numFmt w:val="bullet"/>
      <w:lvlText w:val="•"/>
      <w:lvlJc w:val="left"/>
      <w:pPr>
        <w:ind w:left="489" w:hanging="175"/>
      </w:pPr>
      <w:rPr>
        <w:rFonts w:hint="default"/>
        <w:lang w:val="en-US" w:eastAsia="zh-CN" w:bidi="ar-SA"/>
      </w:rPr>
    </w:lvl>
    <w:lvl w:ilvl="5">
      <w:start w:val="0"/>
      <w:numFmt w:val="bullet"/>
      <w:lvlText w:val="•"/>
      <w:lvlJc w:val="left"/>
      <w:pPr>
        <w:ind w:left="551" w:hanging="175"/>
      </w:pPr>
      <w:rPr>
        <w:rFonts w:hint="default"/>
        <w:lang w:val="en-US" w:eastAsia="zh-CN" w:bidi="ar-SA"/>
      </w:rPr>
    </w:lvl>
    <w:lvl w:ilvl="6">
      <w:start w:val="0"/>
      <w:numFmt w:val="bullet"/>
      <w:lvlText w:val="•"/>
      <w:lvlJc w:val="left"/>
      <w:pPr>
        <w:ind w:left="613" w:hanging="175"/>
      </w:pPr>
      <w:rPr>
        <w:rFonts w:hint="default"/>
        <w:lang w:val="en-US" w:eastAsia="zh-CN" w:bidi="ar-SA"/>
      </w:rPr>
    </w:lvl>
    <w:lvl w:ilvl="7">
      <w:start w:val="0"/>
      <w:numFmt w:val="bullet"/>
      <w:lvlText w:val="•"/>
      <w:lvlJc w:val="left"/>
      <w:pPr>
        <w:ind w:left="675" w:hanging="175"/>
      </w:pPr>
      <w:rPr>
        <w:rFonts w:hint="default"/>
        <w:lang w:val="en-US" w:eastAsia="zh-CN" w:bidi="ar-SA"/>
      </w:rPr>
    </w:lvl>
    <w:lvl w:ilvl="8">
      <w:start w:val="0"/>
      <w:numFmt w:val="bullet"/>
      <w:lvlText w:val="•"/>
      <w:lvlJc w:val="left"/>
      <w:pPr>
        <w:ind w:left="738" w:hanging="175"/>
      </w:pPr>
      <w:rPr>
        <w:rFonts w:hint="default"/>
        <w:lang w:val="en-US" w:eastAsia="zh-CN" w:bidi="ar-SA"/>
      </w:rPr>
    </w:lvl>
  </w:abstractNum>
  <w:abstractNum w:abstractNumId="10">
    <w:nsid w:val="281C4321"/>
    <w:multiLevelType w:val="hybridMultilevel"/>
    <w:tmpl w:val="00000000"/>
    <w:lvl w:ilvl="0">
      <w:start w:val="0"/>
      <w:numFmt w:val="bullet"/>
      <w:lvlText w:val="*"/>
      <w:lvlJc w:val="left"/>
      <w:pPr>
        <w:ind w:left="400" w:hanging="180"/>
      </w:pPr>
      <w:rPr>
        <w:rFonts w:ascii="Times New Roman" w:eastAsia="Times New Roman" w:hAnsi="Times New Roman" w:cs="Times New Roman" w:hint="default"/>
        <w:b w:val="0"/>
        <w:bCs w:val="0"/>
        <w:i w:val="0"/>
        <w:iCs w:val="0"/>
        <w:w w:val="100"/>
        <w:sz w:val="18"/>
        <w:szCs w:val="18"/>
        <w:lang w:val="en-US" w:eastAsia="zh-CN" w:bidi="ar-SA"/>
      </w:rPr>
    </w:lvl>
    <w:lvl w:ilvl="1">
      <w:start w:val="0"/>
      <w:numFmt w:val="bullet"/>
      <w:lvlText w:val="•"/>
      <w:lvlJc w:val="left"/>
      <w:pPr>
        <w:ind w:left="1242" w:hanging="180"/>
      </w:pPr>
      <w:rPr>
        <w:rFonts w:hint="default"/>
        <w:lang w:val="en-US" w:eastAsia="zh-CN" w:bidi="ar-SA"/>
      </w:rPr>
    </w:lvl>
    <w:lvl w:ilvl="2">
      <w:start w:val="0"/>
      <w:numFmt w:val="bullet"/>
      <w:lvlText w:val="•"/>
      <w:lvlJc w:val="left"/>
      <w:pPr>
        <w:ind w:left="2085" w:hanging="180"/>
      </w:pPr>
      <w:rPr>
        <w:rFonts w:hint="default"/>
        <w:lang w:val="en-US" w:eastAsia="zh-CN" w:bidi="ar-SA"/>
      </w:rPr>
    </w:lvl>
    <w:lvl w:ilvl="3">
      <w:start w:val="0"/>
      <w:numFmt w:val="bullet"/>
      <w:lvlText w:val="•"/>
      <w:lvlJc w:val="left"/>
      <w:pPr>
        <w:ind w:left="2927" w:hanging="180"/>
      </w:pPr>
      <w:rPr>
        <w:rFonts w:hint="default"/>
        <w:lang w:val="en-US" w:eastAsia="zh-CN" w:bidi="ar-SA"/>
      </w:rPr>
    </w:lvl>
    <w:lvl w:ilvl="4">
      <w:start w:val="0"/>
      <w:numFmt w:val="bullet"/>
      <w:lvlText w:val="•"/>
      <w:lvlJc w:val="left"/>
      <w:pPr>
        <w:ind w:left="3770" w:hanging="180"/>
      </w:pPr>
      <w:rPr>
        <w:rFonts w:hint="default"/>
        <w:lang w:val="en-US" w:eastAsia="zh-CN" w:bidi="ar-SA"/>
      </w:rPr>
    </w:lvl>
    <w:lvl w:ilvl="5">
      <w:start w:val="0"/>
      <w:numFmt w:val="bullet"/>
      <w:lvlText w:val="•"/>
      <w:lvlJc w:val="left"/>
      <w:pPr>
        <w:ind w:left="4613" w:hanging="180"/>
      </w:pPr>
      <w:rPr>
        <w:rFonts w:hint="default"/>
        <w:lang w:val="en-US" w:eastAsia="zh-CN" w:bidi="ar-SA"/>
      </w:rPr>
    </w:lvl>
    <w:lvl w:ilvl="6">
      <w:start w:val="0"/>
      <w:numFmt w:val="bullet"/>
      <w:lvlText w:val="•"/>
      <w:lvlJc w:val="left"/>
      <w:pPr>
        <w:ind w:left="5455" w:hanging="180"/>
      </w:pPr>
      <w:rPr>
        <w:rFonts w:hint="default"/>
        <w:lang w:val="en-US" w:eastAsia="zh-CN" w:bidi="ar-SA"/>
      </w:rPr>
    </w:lvl>
    <w:lvl w:ilvl="7">
      <w:start w:val="0"/>
      <w:numFmt w:val="bullet"/>
      <w:lvlText w:val="•"/>
      <w:lvlJc w:val="left"/>
      <w:pPr>
        <w:ind w:left="6298" w:hanging="180"/>
      </w:pPr>
      <w:rPr>
        <w:rFonts w:hint="default"/>
        <w:lang w:val="en-US" w:eastAsia="zh-CN" w:bidi="ar-SA"/>
      </w:rPr>
    </w:lvl>
    <w:lvl w:ilvl="8">
      <w:start w:val="0"/>
      <w:numFmt w:val="bullet"/>
      <w:lvlText w:val="•"/>
      <w:lvlJc w:val="left"/>
      <w:pPr>
        <w:ind w:left="7140" w:hanging="180"/>
      </w:pPr>
      <w:rPr>
        <w:rFonts w:hint="default"/>
        <w:lang w:val="en-US" w:eastAsia="zh-CN" w:bidi="ar-SA"/>
      </w:rPr>
    </w:lvl>
  </w:abstractNum>
  <w:abstractNum w:abstractNumId="11">
    <w:nsid w:val="28B7BEF5"/>
    <w:multiLevelType w:val="hybridMultilevel"/>
    <w:tmpl w:val="00000000"/>
    <w:lvl w:ilvl="0">
      <w:start w:val="1"/>
      <w:numFmt w:val="decimal"/>
      <w:lvlText w:val="%1"/>
      <w:lvlJc w:val="left"/>
      <w:pPr>
        <w:ind w:left="535" w:hanging="315"/>
        <w:jc w:val="left"/>
      </w:pPr>
      <w:rPr>
        <w:rFonts w:ascii="黑体" w:eastAsia="黑体" w:hAnsi="黑体" w:cs="黑体" w:hint="default"/>
        <w:b w:val="0"/>
        <w:bCs w:val="0"/>
        <w:i w:val="0"/>
        <w:iCs w:val="0"/>
        <w:w w:val="100"/>
        <w:sz w:val="21"/>
        <w:szCs w:val="21"/>
        <w:lang w:val="en-US" w:eastAsia="zh-CN" w:bidi="ar-SA"/>
      </w:rPr>
    </w:lvl>
    <w:lvl w:ilvl="1">
      <w:start w:val="1"/>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22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1007"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1"/>
      <w:numFmt w:val="lowerLetter"/>
      <w:lvlText w:val="%5."/>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5">
      <w:start w:val="0"/>
      <w:numFmt w:val="bullet"/>
      <w:lvlText w:val="•"/>
      <w:lvlJc w:val="left"/>
      <w:pPr>
        <w:ind w:left="900" w:hanging="251"/>
      </w:pPr>
      <w:rPr>
        <w:rFonts w:hint="default"/>
        <w:lang w:val="en-US" w:eastAsia="zh-CN" w:bidi="ar-SA"/>
      </w:rPr>
    </w:lvl>
    <w:lvl w:ilvl="6">
      <w:start w:val="0"/>
      <w:numFmt w:val="bullet"/>
      <w:lvlText w:val="•"/>
      <w:lvlJc w:val="left"/>
      <w:pPr>
        <w:ind w:left="1000" w:hanging="251"/>
      </w:pPr>
      <w:rPr>
        <w:rFonts w:hint="default"/>
        <w:lang w:val="en-US" w:eastAsia="zh-CN" w:bidi="ar-SA"/>
      </w:rPr>
    </w:lvl>
    <w:lvl w:ilvl="7">
      <w:start w:val="0"/>
      <w:numFmt w:val="bullet"/>
      <w:lvlText w:val="•"/>
      <w:lvlJc w:val="left"/>
      <w:pPr>
        <w:ind w:left="1040" w:hanging="251"/>
      </w:pPr>
      <w:rPr>
        <w:rFonts w:hint="default"/>
        <w:lang w:val="en-US" w:eastAsia="zh-CN" w:bidi="ar-SA"/>
      </w:rPr>
    </w:lvl>
    <w:lvl w:ilvl="8">
      <w:start w:val="0"/>
      <w:numFmt w:val="bullet"/>
      <w:lvlText w:val="•"/>
      <w:lvlJc w:val="left"/>
      <w:pPr>
        <w:ind w:left="3635" w:hanging="251"/>
      </w:pPr>
      <w:rPr>
        <w:rFonts w:hint="default"/>
        <w:lang w:val="en-US" w:eastAsia="zh-CN" w:bidi="ar-SA"/>
      </w:rPr>
    </w:lvl>
  </w:abstractNum>
  <w:abstractNum w:abstractNumId="12">
    <w:nsid w:val="2992CB83"/>
    <w:multiLevelType w:val="hybridMultilevel"/>
    <w:tmpl w:val="00000000"/>
    <w:lvl w:ilvl="0">
      <w:start w:val="1"/>
      <w:numFmt w:val="decimal"/>
      <w:lvlText w:val="%1"/>
      <w:lvlJc w:val="left"/>
      <w:pPr>
        <w:ind w:left="377" w:hanging="158"/>
        <w:jc w:val="left"/>
      </w:pPr>
      <w:rPr>
        <w:rFonts w:hint="default"/>
        <w:w w:val="106"/>
        <w:lang w:val="en-US" w:eastAsia="zh-CN" w:bidi="ar-SA"/>
      </w:rPr>
    </w:lvl>
    <w:lvl w:ilvl="1">
      <w:start w:val="0"/>
      <w:numFmt w:val="bullet"/>
      <w:lvlText w:val="•"/>
      <w:lvlJc w:val="left"/>
      <w:pPr>
        <w:ind w:left="718" w:hanging="158"/>
      </w:pPr>
      <w:rPr>
        <w:rFonts w:hint="default"/>
        <w:lang w:val="en-US" w:eastAsia="zh-CN" w:bidi="ar-SA"/>
      </w:rPr>
    </w:lvl>
    <w:lvl w:ilvl="2">
      <w:start w:val="0"/>
      <w:numFmt w:val="bullet"/>
      <w:lvlText w:val="•"/>
      <w:lvlJc w:val="left"/>
      <w:pPr>
        <w:ind w:left="1056" w:hanging="158"/>
      </w:pPr>
      <w:rPr>
        <w:rFonts w:hint="default"/>
        <w:lang w:val="en-US" w:eastAsia="zh-CN" w:bidi="ar-SA"/>
      </w:rPr>
    </w:lvl>
    <w:lvl w:ilvl="3">
      <w:start w:val="0"/>
      <w:numFmt w:val="bullet"/>
      <w:lvlText w:val="•"/>
      <w:lvlJc w:val="left"/>
      <w:pPr>
        <w:ind w:left="1395" w:hanging="158"/>
      </w:pPr>
      <w:rPr>
        <w:rFonts w:hint="default"/>
        <w:lang w:val="en-US" w:eastAsia="zh-CN" w:bidi="ar-SA"/>
      </w:rPr>
    </w:lvl>
    <w:lvl w:ilvl="4">
      <w:start w:val="0"/>
      <w:numFmt w:val="bullet"/>
      <w:lvlText w:val="•"/>
      <w:lvlJc w:val="left"/>
      <w:pPr>
        <w:ind w:left="1733" w:hanging="158"/>
      </w:pPr>
      <w:rPr>
        <w:rFonts w:hint="default"/>
        <w:lang w:val="en-US" w:eastAsia="zh-CN" w:bidi="ar-SA"/>
      </w:rPr>
    </w:lvl>
    <w:lvl w:ilvl="5">
      <w:start w:val="0"/>
      <w:numFmt w:val="bullet"/>
      <w:lvlText w:val="•"/>
      <w:lvlJc w:val="left"/>
      <w:pPr>
        <w:ind w:left="2071" w:hanging="158"/>
      </w:pPr>
      <w:rPr>
        <w:rFonts w:hint="default"/>
        <w:lang w:val="en-US" w:eastAsia="zh-CN" w:bidi="ar-SA"/>
      </w:rPr>
    </w:lvl>
    <w:lvl w:ilvl="6">
      <w:start w:val="0"/>
      <w:numFmt w:val="bullet"/>
      <w:lvlText w:val="•"/>
      <w:lvlJc w:val="left"/>
      <w:pPr>
        <w:ind w:left="2410" w:hanging="158"/>
      </w:pPr>
      <w:rPr>
        <w:rFonts w:hint="default"/>
        <w:lang w:val="en-US" w:eastAsia="zh-CN" w:bidi="ar-SA"/>
      </w:rPr>
    </w:lvl>
    <w:lvl w:ilvl="7">
      <w:start w:val="0"/>
      <w:numFmt w:val="bullet"/>
      <w:lvlText w:val="•"/>
      <w:lvlJc w:val="left"/>
      <w:pPr>
        <w:ind w:left="2748" w:hanging="158"/>
      </w:pPr>
      <w:rPr>
        <w:rFonts w:hint="default"/>
        <w:lang w:val="en-US" w:eastAsia="zh-CN" w:bidi="ar-SA"/>
      </w:rPr>
    </w:lvl>
    <w:lvl w:ilvl="8">
      <w:start w:val="0"/>
      <w:numFmt w:val="bullet"/>
      <w:lvlText w:val="•"/>
      <w:lvlJc w:val="left"/>
      <w:pPr>
        <w:ind w:left="3086" w:hanging="158"/>
      </w:pPr>
      <w:rPr>
        <w:rFonts w:hint="default"/>
        <w:lang w:val="en-US" w:eastAsia="zh-CN" w:bidi="ar-SA"/>
      </w:rPr>
    </w:lvl>
  </w:abstractNum>
  <w:abstractNum w:abstractNumId="13">
    <w:nsid w:val="2D81FE2D"/>
    <w:multiLevelType w:val="hybridMultilevel"/>
    <w:tmpl w:val="00000000"/>
    <w:lvl w:ilvl="0">
      <w:start w:val="1"/>
      <w:numFmt w:val="lowerLetter"/>
      <w:lvlText w:val="%1."/>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51"/>
      </w:pPr>
      <w:rPr>
        <w:rFonts w:hint="default"/>
        <w:lang w:val="en-US" w:eastAsia="zh-CN" w:bidi="ar-SA"/>
      </w:rPr>
    </w:lvl>
    <w:lvl w:ilvl="2">
      <w:start w:val="0"/>
      <w:numFmt w:val="bullet"/>
      <w:lvlText w:val="•"/>
      <w:lvlJc w:val="left"/>
      <w:pPr>
        <w:ind w:left="2485" w:hanging="251"/>
      </w:pPr>
      <w:rPr>
        <w:rFonts w:hint="default"/>
        <w:lang w:val="en-US" w:eastAsia="zh-CN" w:bidi="ar-SA"/>
      </w:rPr>
    </w:lvl>
    <w:lvl w:ilvl="3">
      <w:start w:val="0"/>
      <w:numFmt w:val="bullet"/>
      <w:lvlText w:val="•"/>
      <w:lvlJc w:val="left"/>
      <w:pPr>
        <w:ind w:left="3277" w:hanging="251"/>
      </w:pPr>
      <w:rPr>
        <w:rFonts w:hint="default"/>
        <w:lang w:val="en-US" w:eastAsia="zh-CN" w:bidi="ar-SA"/>
      </w:rPr>
    </w:lvl>
    <w:lvl w:ilvl="4">
      <w:start w:val="0"/>
      <w:numFmt w:val="bullet"/>
      <w:lvlText w:val="•"/>
      <w:lvlJc w:val="left"/>
      <w:pPr>
        <w:ind w:left="4070" w:hanging="251"/>
      </w:pPr>
      <w:rPr>
        <w:rFonts w:hint="default"/>
        <w:lang w:val="en-US" w:eastAsia="zh-CN" w:bidi="ar-SA"/>
      </w:rPr>
    </w:lvl>
    <w:lvl w:ilvl="5">
      <w:start w:val="0"/>
      <w:numFmt w:val="bullet"/>
      <w:lvlText w:val="•"/>
      <w:lvlJc w:val="left"/>
      <w:pPr>
        <w:ind w:left="4863" w:hanging="251"/>
      </w:pPr>
      <w:rPr>
        <w:rFonts w:hint="default"/>
        <w:lang w:val="en-US" w:eastAsia="zh-CN" w:bidi="ar-SA"/>
      </w:rPr>
    </w:lvl>
    <w:lvl w:ilvl="6">
      <w:start w:val="0"/>
      <w:numFmt w:val="bullet"/>
      <w:lvlText w:val="•"/>
      <w:lvlJc w:val="left"/>
      <w:pPr>
        <w:ind w:left="5655" w:hanging="251"/>
      </w:pPr>
      <w:rPr>
        <w:rFonts w:hint="default"/>
        <w:lang w:val="en-US" w:eastAsia="zh-CN" w:bidi="ar-SA"/>
      </w:rPr>
    </w:lvl>
    <w:lvl w:ilvl="7">
      <w:start w:val="0"/>
      <w:numFmt w:val="bullet"/>
      <w:lvlText w:val="•"/>
      <w:lvlJc w:val="left"/>
      <w:pPr>
        <w:ind w:left="6448" w:hanging="251"/>
      </w:pPr>
      <w:rPr>
        <w:rFonts w:hint="default"/>
        <w:lang w:val="en-US" w:eastAsia="zh-CN" w:bidi="ar-SA"/>
      </w:rPr>
    </w:lvl>
    <w:lvl w:ilvl="8">
      <w:start w:val="0"/>
      <w:numFmt w:val="bullet"/>
      <w:lvlText w:val="•"/>
      <w:lvlJc w:val="left"/>
      <w:pPr>
        <w:ind w:left="7240" w:hanging="251"/>
      </w:pPr>
      <w:rPr>
        <w:rFonts w:hint="default"/>
        <w:lang w:val="en-US" w:eastAsia="zh-CN" w:bidi="ar-SA"/>
      </w:rPr>
    </w:lvl>
  </w:abstractNum>
  <w:abstractNum w:abstractNumId="14">
    <w:nsid w:val="2FB136D3"/>
    <w:multiLevelType w:val="hybridMultilevel"/>
    <w:tmpl w:val="00000000"/>
    <w:lvl w:ilvl="0">
      <w:start w:val="0"/>
      <w:numFmt w:val="bullet"/>
      <w:lvlText w:val=""/>
      <w:lvlJc w:val="left"/>
      <w:pPr>
        <w:ind w:left="232" w:hanging="162"/>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264" w:hanging="162"/>
      </w:pPr>
      <w:rPr>
        <w:rFonts w:hint="default"/>
        <w:lang w:val="en-US" w:eastAsia="zh-CN" w:bidi="ar-SA"/>
      </w:rPr>
    </w:lvl>
    <w:lvl w:ilvl="2">
      <w:start w:val="0"/>
      <w:numFmt w:val="bullet"/>
      <w:lvlText w:val="•"/>
      <w:lvlJc w:val="left"/>
      <w:pPr>
        <w:ind w:left="288" w:hanging="162"/>
      </w:pPr>
      <w:rPr>
        <w:rFonts w:hint="default"/>
        <w:lang w:val="en-US" w:eastAsia="zh-CN" w:bidi="ar-SA"/>
      </w:rPr>
    </w:lvl>
    <w:lvl w:ilvl="3">
      <w:start w:val="0"/>
      <w:numFmt w:val="bullet"/>
      <w:lvlText w:val="•"/>
      <w:lvlJc w:val="left"/>
      <w:pPr>
        <w:ind w:left="312" w:hanging="162"/>
      </w:pPr>
      <w:rPr>
        <w:rFonts w:hint="default"/>
        <w:lang w:val="en-US" w:eastAsia="zh-CN" w:bidi="ar-SA"/>
      </w:rPr>
    </w:lvl>
    <w:lvl w:ilvl="4">
      <w:start w:val="0"/>
      <w:numFmt w:val="bullet"/>
      <w:lvlText w:val="•"/>
      <w:lvlJc w:val="left"/>
      <w:pPr>
        <w:ind w:left="337" w:hanging="162"/>
      </w:pPr>
      <w:rPr>
        <w:rFonts w:hint="default"/>
        <w:lang w:val="en-US" w:eastAsia="zh-CN" w:bidi="ar-SA"/>
      </w:rPr>
    </w:lvl>
    <w:lvl w:ilvl="5">
      <w:start w:val="0"/>
      <w:numFmt w:val="bullet"/>
      <w:lvlText w:val="•"/>
      <w:lvlJc w:val="left"/>
      <w:pPr>
        <w:ind w:left="361" w:hanging="162"/>
      </w:pPr>
      <w:rPr>
        <w:rFonts w:hint="default"/>
        <w:lang w:val="en-US" w:eastAsia="zh-CN" w:bidi="ar-SA"/>
      </w:rPr>
    </w:lvl>
    <w:lvl w:ilvl="6">
      <w:start w:val="0"/>
      <w:numFmt w:val="bullet"/>
      <w:lvlText w:val="•"/>
      <w:lvlJc w:val="left"/>
      <w:pPr>
        <w:ind w:left="385" w:hanging="162"/>
      </w:pPr>
      <w:rPr>
        <w:rFonts w:hint="default"/>
        <w:lang w:val="en-US" w:eastAsia="zh-CN" w:bidi="ar-SA"/>
      </w:rPr>
    </w:lvl>
    <w:lvl w:ilvl="7">
      <w:start w:val="0"/>
      <w:numFmt w:val="bullet"/>
      <w:lvlText w:val="•"/>
      <w:lvlJc w:val="left"/>
      <w:pPr>
        <w:ind w:left="410" w:hanging="162"/>
      </w:pPr>
      <w:rPr>
        <w:rFonts w:hint="default"/>
        <w:lang w:val="en-US" w:eastAsia="zh-CN" w:bidi="ar-SA"/>
      </w:rPr>
    </w:lvl>
    <w:lvl w:ilvl="8">
      <w:start w:val="0"/>
      <w:numFmt w:val="bullet"/>
      <w:lvlText w:val="•"/>
      <w:lvlJc w:val="left"/>
      <w:pPr>
        <w:ind w:left="434" w:hanging="162"/>
      </w:pPr>
      <w:rPr>
        <w:rFonts w:hint="default"/>
        <w:lang w:val="en-US" w:eastAsia="zh-CN" w:bidi="ar-SA"/>
      </w:rPr>
    </w:lvl>
  </w:abstractNum>
  <w:abstractNum w:abstractNumId="15">
    <w:nsid w:val="3728CD96"/>
    <w:multiLevelType w:val="hybridMultilevel"/>
    <w:tmpl w:val="00000000"/>
    <w:lvl w:ilvl="0">
      <w:start w:val="0"/>
      <w:numFmt w:val="bullet"/>
      <w:lvlText w:val=""/>
      <w:lvlJc w:val="left"/>
      <w:pPr>
        <w:ind w:left="657" w:hanging="165"/>
      </w:pPr>
      <w:rPr>
        <w:rFonts w:ascii="Symbol" w:eastAsia="Symbol" w:hAnsi="Symbol" w:cs="Symbol" w:hint="default"/>
        <w:w w:val="100"/>
        <w:lang w:val="en-US" w:eastAsia="zh-CN" w:bidi="ar-SA"/>
      </w:rPr>
    </w:lvl>
    <w:lvl w:ilvl="1">
      <w:start w:val="0"/>
      <w:numFmt w:val="bullet"/>
      <w:lvlText w:val="•"/>
      <w:lvlJc w:val="left"/>
      <w:pPr>
        <w:ind w:left="1262" w:hanging="165"/>
      </w:pPr>
      <w:rPr>
        <w:rFonts w:hint="default"/>
        <w:lang w:val="en-US" w:eastAsia="zh-CN" w:bidi="ar-SA"/>
      </w:rPr>
    </w:lvl>
    <w:lvl w:ilvl="2">
      <w:start w:val="0"/>
      <w:numFmt w:val="bullet"/>
      <w:lvlText w:val="•"/>
      <w:lvlJc w:val="left"/>
      <w:pPr>
        <w:ind w:left="1865" w:hanging="165"/>
      </w:pPr>
      <w:rPr>
        <w:rFonts w:hint="default"/>
        <w:lang w:val="en-US" w:eastAsia="zh-CN" w:bidi="ar-SA"/>
      </w:rPr>
    </w:lvl>
    <w:lvl w:ilvl="3">
      <w:start w:val="0"/>
      <w:numFmt w:val="bullet"/>
      <w:lvlText w:val="•"/>
      <w:lvlJc w:val="left"/>
      <w:pPr>
        <w:ind w:left="2467" w:hanging="165"/>
      </w:pPr>
      <w:rPr>
        <w:rFonts w:hint="default"/>
        <w:lang w:val="en-US" w:eastAsia="zh-CN" w:bidi="ar-SA"/>
      </w:rPr>
    </w:lvl>
    <w:lvl w:ilvl="4">
      <w:start w:val="0"/>
      <w:numFmt w:val="bullet"/>
      <w:lvlText w:val="•"/>
      <w:lvlJc w:val="left"/>
      <w:pPr>
        <w:ind w:left="3070" w:hanging="165"/>
      </w:pPr>
      <w:rPr>
        <w:rFonts w:hint="default"/>
        <w:lang w:val="en-US" w:eastAsia="zh-CN" w:bidi="ar-SA"/>
      </w:rPr>
    </w:lvl>
    <w:lvl w:ilvl="5">
      <w:start w:val="0"/>
      <w:numFmt w:val="bullet"/>
      <w:lvlText w:val="•"/>
      <w:lvlJc w:val="left"/>
      <w:pPr>
        <w:ind w:left="3672" w:hanging="165"/>
      </w:pPr>
      <w:rPr>
        <w:rFonts w:hint="default"/>
        <w:lang w:val="en-US" w:eastAsia="zh-CN" w:bidi="ar-SA"/>
      </w:rPr>
    </w:lvl>
    <w:lvl w:ilvl="6">
      <w:start w:val="0"/>
      <w:numFmt w:val="bullet"/>
      <w:lvlText w:val="•"/>
      <w:lvlJc w:val="left"/>
      <w:pPr>
        <w:ind w:left="4275" w:hanging="165"/>
      </w:pPr>
      <w:rPr>
        <w:rFonts w:hint="default"/>
        <w:lang w:val="en-US" w:eastAsia="zh-CN" w:bidi="ar-SA"/>
      </w:rPr>
    </w:lvl>
    <w:lvl w:ilvl="7">
      <w:start w:val="0"/>
      <w:numFmt w:val="bullet"/>
      <w:lvlText w:val="•"/>
      <w:lvlJc w:val="left"/>
      <w:pPr>
        <w:ind w:left="4878" w:hanging="165"/>
      </w:pPr>
      <w:rPr>
        <w:rFonts w:hint="default"/>
        <w:lang w:val="en-US" w:eastAsia="zh-CN" w:bidi="ar-SA"/>
      </w:rPr>
    </w:lvl>
    <w:lvl w:ilvl="8">
      <w:start w:val="0"/>
      <w:numFmt w:val="bullet"/>
      <w:lvlText w:val="•"/>
      <w:lvlJc w:val="left"/>
      <w:pPr>
        <w:ind w:left="5480" w:hanging="165"/>
      </w:pPr>
      <w:rPr>
        <w:rFonts w:hint="default"/>
        <w:lang w:val="en-US" w:eastAsia="zh-CN" w:bidi="ar-SA"/>
      </w:rPr>
    </w:lvl>
  </w:abstractNum>
  <w:abstractNum w:abstractNumId="16">
    <w:nsid w:val="37D63823"/>
    <w:multiLevelType w:val="hybridMultilevel"/>
    <w:tmpl w:val="00000000"/>
    <w:lvl w:ilvl="0">
      <w:start w:val="0"/>
      <w:numFmt w:val="bullet"/>
      <w:lvlText w:val=""/>
      <w:lvlJc w:val="left"/>
      <w:pPr>
        <w:ind w:left="199" w:hanging="150"/>
      </w:pPr>
      <w:rPr>
        <w:rFonts w:ascii="Symbol" w:eastAsia="Symbol" w:hAnsi="Symbol" w:cs="Symbol" w:hint="default"/>
        <w:b w:val="0"/>
        <w:bCs w:val="0"/>
        <w:i w:val="0"/>
        <w:iCs w:val="0"/>
        <w:w w:val="99"/>
        <w:sz w:val="20"/>
        <w:szCs w:val="20"/>
        <w:lang w:val="en-US" w:eastAsia="zh-CN" w:bidi="ar-SA"/>
      </w:rPr>
    </w:lvl>
    <w:lvl w:ilvl="1">
      <w:start w:val="0"/>
      <w:numFmt w:val="bullet"/>
      <w:lvlText w:val="•"/>
      <w:lvlJc w:val="left"/>
      <w:pPr>
        <w:ind w:left="224" w:hanging="150"/>
      </w:pPr>
      <w:rPr>
        <w:rFonts w:hint="default"/>
        <w:lang w:val="en-US" w:eastAsia="zh-CN" w:bidi="ar-SA"/>
      </w:rPr>
    </w:lvl>
    <w:lvl w:ilvl="2">
      <w:start w:val="0"/>
      <w:numFmt w:val="bullet"/>
      <w:lvlText w:val="•"/>
      <w:lvlJc w:val="left"/>
      <w:pPr>
        <w:ind w:left="249" w:hanging="150"/>
      </w:pPr>
      <w:rPr>
        <w:rFonts w:hint="default"/>
        <w:lang w:val="en-US" w:eastAsia="zh-CN" w:bidi="ar-SA"/>
      </w:rPr>
    </w:lvl>
    <w:lvl w:ilvl="3">
      <w:start w:val="0"/>
      <w:numFmt w:val="bullet"/>
      <w:lvlText w:val="•"/>
      <w:lvlJc w:val="left"/>
      <w:pPr>
        <w:ind w:left="274" w:hanging="150"/>
      </w:pPr>
      <w:rPr>
        <w:rFonts w:hint="default"/>
        <w:lang w:val="en-US" w:eastAsia="zh-CN" w:bidi="ar-SA"/>
      </w:rPr>
    </w:lvl>
    <w:lvl w:ilvl="4">
      <w:start w:val="0"/>
      <w:numFmt w:val="bullet"/>
      <w:lvlText w:val="•"/>
      <w:lvlJc w:val="left"/>
      <w:pPr>
        <w:ind w:left="299" w:hanging="150"/>
      </w:pPr>
      <w:rPr>
        <w:rFonts w:hint="default"/>
        <w:lang w:val="en-US" w:eastAsia="zh-CN" w:bidi="ar-SA"/>
      </w:rPr>
    </w:lvl>
    <w:lvl w:ilvl="5">
      <w:start w:val="0"/>
      <w:numFmt w:val="bullet"/>
      <w:lvlText w:val="•"/>
      <w:lvlJc w:val="left"/>
      <w:pPr>
        <w:ind w:left="323" w:hanging="150"/>
      </w:pPr>
      <w:rPr>
        <w:rFonts w:hint="default"/>
        <w:lang w:val="en-US" w:eastAsia="zh-CN" w:bidi="ar-SA"/>
      </w:rPr>
    </w:lvl>
    <w:lvl w:ilvl="6">
      <w:start w:val="0"/>
      <w:numFmt w:val="bullet"/>
      <w:lvlText w:val="•"/>
      <w:lvlJc w:val="left"/>
      <w:pPr>
        <w:ind w:left="348" w:hanging="150"/>
      </w:pPr>
      <w:rPr>
        <w:rFonts w:hint="default"/>
        <w:lang w:val="en-US" w:eastAsia="zh-CN" w:bidi="ar-SA"/>
      </w:rPr>
    </w:lvl>
    <w:lvl w:ilvl="7">
      <w:start w:val="0"/>
      <w:numFmt w:val="bullet"/>
      <w:lvlText w:val="•"/>
      <w:lvlJc w:val="left"/>
      <w:pPr>
        <w:ind w:left="373" w:hanging="150"/>
      </w:pPr>
      <w:rPr>
        <w:rFonts w:hint="default"/>
        <w:lang w:val="en-US" w:eastAsia="zh-CN" w:bidi="ar-SA"/>
      </w:rPr>
    </w:lvl>
    <w:lvl w:ilvl="8">
      <w:start w:val="0"/>
      <w:numFmt w:val="bullet"/>
      <w:lvlText w:val="•"/>
      <w:lvlJc w:val="left"/>
      <w:pPr>
        <w:ind w:left="398" w:hanging="150"/>
      </w:pPr>
      <w:rPr>
        <w:rFonts w:hint="default"/>
        <w:lang w:val="en-US" w:eastAsia="zh-CN" w:bidi="ar-SA"/>
      </w:rPr>
    </w:lvl>
  </w:abstractNum>
  <w:abstractNum w:abstractNumId="17">
    <w:nsid w:val="3DFF6BE5"/>
    <w:multiLevelType w:val="hybridMultilevel"/>
    <w:tmpl w:val="00000000"/>
    <w:lvl w:ilvl="0">
      <w:start w:val="24"/>
      <w:numFmt w:val="lowerLetter"/>
      <w:lvlText w:val="%1"/>
      <w:lvlJc w:val="left"/>
      <w:pPr>
        <w:ind w:left="411" w:hanging="64"/>
        <w:jc w:val="left"/>
      </w:pPr>
      <w:rPr>
        <w:rFonts w:ascii="Times New Roman" w:eastAsia="Times New Roman" w:hAnsi="Times New Roman" w:cs="Times New Roman" w:hint="default"/>
        <w:b w:val="0"/>
        <w:bCs w:val="0"/>
        <w:i/>
        <w:iCs/>
        <w:w w:val="100"/>
        <w:sz w:val="11"/>
        <w:szCs w:val="11"/>
        <w:lang w:val="en-US" w:eastAsia="zh-CN" w:bidi="ar-SA"/>
      </w:rPr>
    </w:lvl>
    <w:lvl w:ilvl="1">
      <w:start w:val="0"/>
      <w:numFmt w:val="bullet"/>
      <w:lvlText w:val="•"/>
      <w:lvlJc w:val="left"/>
      <w:pPr>
        <w:ind w:left="556" w:hanging="64"/>
      </w:pPr>
      <w:rPr>
        <w:rFonts w:hint="default"/>
        <w:lang w:val="en-US" w:eastAsia="zh-CN" w:bidi="ar-SA"/>
      </w:rPr>
    </w:lvl>
    <w:lvl w:ilvl="2">
      <w:start w:val="0"/>
      <w:numFmt w:val="bullet"/>
      <w:lvlText w:val="•"/>
      <w:lvlJc w:val="left"/>
      <w:pPr>
        <w:ind w:left="692" w:hanging="64"/>
      </w:pPr>
      <w:rPr>
        <w:rFonts w:hint="default"/>
        <w:lang w:val="en-US" w:eastAsia="zh-CN" w:bidi="ar-SA"/>
      </w:rPr>
    </w:lvl>
    <w:lvl w:ilvl="3">
      <w:start w:val="0"/>
      <w:numFmt w:val="bullet"/>
      <w:lvlText w:val="•"/>
      <w:lvlJc w:val="left"/>
      <w:pPr>
        <w:ind w:left="829" w:hanging="64"/>
      </w:pPr>
      <w:rPr>
        <w:rFonts w:hint="default"/>
        <w:lang w:val="en-US" w:eastAsia="zh-CN" w:bidi="ar-SA"/>
      </w:rPr>
    </w:lvl>
    <w:lvl w:ilvl="4">
      <w:start w:val="0"/>
      <w:numFmt w:val="bullet"/>
      <w:lvlText w:val="•"/>
      <w:lvlJc w:val="left"/>
      <w:pPr>
        <w:ind w:left="965" w:hanging="64"/>
      </w:pPr>
      <w:rPr>
        <w:rFonts w:hint="default"/>
        <w:lang w:val="en-US" w:eastAsia="zh-CN" w:bidi="ar-SA"/>
      </w:rPr>
    </w:lvl>
    <w:lvl w:ilvl="5">
      <w:start w:val="0"/>
      <w:numFmt w:val="bullet"/>
      <w:lvlText w:val="•"/>
      <w:lvlJc w:val="left"/>
      <w:pPr>
        <w:ind w:left="1102" w:hanging="64"/>
      </w:pPr>
      <w:rPr>
        <w:rFonts w:hint="default"/>
        <w:lang w:val="en-US" w:eastAsia="zh-CN" w:bidi="ar-SA"/>
      </w:rPr>
    </w:lvl>
    <w:lvl w:ilvl="6">
      <w:start w:val="0"/>
      <w:numFmt w:val="bullet"/>
      <w:lvlText w:val="•"/>
      <w:lvlJc w:val="left"/>
      <w:pPr>
        <w:ind w:left="1238" w:hanging="64"/>
      </w:pPr>
      <w:rPr>
        <w:rFonts w:hint="default"/>
        <w:lang w:val="en-US" w:eastAsia="zh-CN" w:bidi="ar-SA"/>
      </w:rPr>
    </w:lvl>
    <w:lvl w:ilvl="7">
      <w:start w:val="0"/>
      <w:numFmt w:val="bullet"/>
      <w:lvlText w:val="•"/>
      <w:lvlJc w:val="left"/>
      <w:pPr>
        <w:ind w:left="1375" w:hanging="64"/>
      </w:pPr>
      <w:rPr>
        <w:rFonts w:hint="default"/>
        <w:lang w:val="en-US" w:eastAsia="zh-CN" w:bidi="ar-SA"/>
      </w:rPr>
    </w:lvl>
    <w:lvl w:ilvl="8">
      <w:start w:val="0"/>
      <w:numFmt w:val="bullet"/>
      <w:lvlText w:val="•"/>
      <w:lvlJc w:val="left"/>
      <w:pPr>
        <w:ind w:left="1511" w:hanging="64"/>
      </w:pPr>
      <w:rPr>
        <w:rFonts w:hint="default"/>
        <w:lang w:val="en-US" w:eastAsia="zh-CN" w:bidi="ar-SA"/>
      </w:rPr>
    </w:lvl>
  </w:abstractNum>
  <w:abstractNum w:abstractNumId="18">
    <w:nsid w:val="44A08893"/>
    <w:multiLevelType w:val="hybridMultilevel"/>
    <w:tmpl w:val="00000000"/>
    <w:lvl w:ilvl="0">
      <w:start w:val="1"/>
      <w:numFmt w:val="decimal"/>
      <w:lvlText w:val="（%1）"/>
      <w:lvlJc w:val="left"/>
      <w:pPr>
        <w:ind w:left="746"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028" w:hanging="526"/>
      </w:pPr>
      <w:rPr>
        <w:rFonts w:hint="default"/>
        <w:lang w:val="en-US" w:eastAsia="zh-CN" w:bidi="ar-SA"/>
      </w:rPr>
    </w:lvl>
    <w:lvl w:ilvl="2">
      <w:start w:val="0"/>
      <w:numFmt w:val="bullet"/>
      <w:lvlText w:val="•"/>
      <w:lvlJc w:val="left"/>
      <w:pPr>
        <w:ind w:left="1316" w:hanging="526"/>
      </w:pPr>
      <w:rPr>
        <w:rFonts w:hint="default"/>
        <w:lang w:val="en-US" w:eastAsia="zh-CN" w:bidi="ar-SA"/>
      </w:rPr>
    </w:lvl>
    <w:lvl w:ilvl="3">
      <w:start w:val="0"/>
      <w:numFmt w:val="bullet"/>
      <w:lvlText w:val="•"/>
      <w:lvlJc w:val="left"/>
      <w:pPr>
        <w:ind w:left="1604" w:hanging="526"/>
      </w:pPr>
      <w:rPr>
        <w:rFonts w:hint="default"/>
        <w:lang w:val="en-US" w:eastAsia="zh-CN" w:bidi="ar-SA"/>
      </w:rPr>
    </w:lvl>
    <w:lvl w:ilvl="4">
      <w:start w:val="0"/>
      <w:numFmt w:val="bullet"/>
      <w:lvlText w:val="•"/>
      <w:lvlJc w:val="left"/>
      <w:pPr>
        <w:ind w:left="1892" w:hanging="526"/>
      </w:pPr>
      <w:rPr>
        <w:rFonts w:hint="default"/>
        <w:lang w:val="en-US" w:eastAsia="zh-CN" w:bidi="ar-SA"/>
      </w:rPr>
    </w:lvl>
    <w:lvl w:ilvl="5">
      <w:start w:val="0"/>
      <w:numFmt w:val="bullet"/>
      <w:lvlText w:val="•"/>
      <w:lvlJc w:val="left"/>
      <w:pPr>
        <w:ind w:left="2180" w:hanging="526"/>
      </w:pPr>
      <w:rPr>
        <w:rFonts w:hint="default"/>
        <w:lang w:val="en-US" w:eastAsia="zh-CN" w:bidi="ar-SA"/>
      </w:rPr>
    </w:lvl>
    <w:lvl w:ilvl="6">
      <w:start w:val="0"/>
      <w:numFmt w:val="bullet"/>
      <w:lvlText w:val="•"/>
      <w:lvlJc w:val="left"/>
      <w:pPr>
        <w:ind w:left="2468" w:hanging="526"/>
      </w:pPr>
      <w:rPr>
        <w:rFonts w:hint="default"/>
        <w:lang w:val="en-US" w:eastAsia="zh-CN" w:bidi="ar-SA"/>
      </w:rPr>
    </w:lvl>
    <w:lvl w:ilvl="7">
      <w:start w:val="0"/>
      <w:numFmt w:val="bullet"/>
      <w:lvlText w:val="•"/>
      <w:lvlJc w:val="left"/>
      <w:pPr>
        <w:ind w:left="2756" w:hanging="526"/>
      </w:pPr>
      <w:rPr>
        <w:rFonts w:hint="default"/>
        <w:lang w:val="en-US" w:eastAsia="zh-CN" w:bidi="ar-SA"/>
      </w:rPr>
    </w:lvl>
    <w:lvl w:ilvl="8">
      <w:start w:val="0"/>
      <w:numFmt w:val="bullet"/>
      <w:lvlText w:val="•"/>
      <w:lvlJc w:val="left"/>
      <w:pPr>
        <w:ind w:left="3044" w:hanging="526"/>
      </w:pPr>
      <w:rPr>
        <w:rFonts w:hint="default"/>
        <w:lang w:val="en-US" w:eastAsia="zh-CN" w:bidi="ar-SA"/>
      </w:rPr>
    </w:lvl>
  </w:abstractNum>
  <w:abstractNum w:abstractNumId="19">
    <w:nsid w:val="4616BD4F"/>
    <w:multiLevelType w:val="hybridMultilevel"/>
    <w:tmpl w:val="00000000"/>
    <w:lvl w:ilvl="0">
      <w:start w:val="6"/>
      <w:numFmt w:val="decimal"/>
      <w:lvlText w:val="%1"/>
      <w:lvlJc w:val="left"/>
      <w:pPr>
        <w:ind w:left="692" w:hanging="473"/>
        <w:jc w:val="left"/>
      </w:pPr>
      <w:rPr>
        <w:rFonts w:hint="default"/>
        <w:lang w:val="en-US" w:eastAsia="zh-CN" w:bidi="ar-SA"/>
      </w:rPr>
    </w:lvl>
    <w:lvl w:ilvl="1">
      <w:start w:val="6"/>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85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1007"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0"/>
      <w:numFmt w:val="decimal"/>
      <w:lvlText w:val="%5"/>
      <w:lvlJc w:val="left"/>
      <w:pPr>
        <w:ind w:left="576" w:hanging="139"/>
        <w:jc w:val="left"/>
      </w:pPr>
      <w:rPr>
        <w:rFonts w:ascii="Times New Roman" w:eastAsia="Times New Roman" w:hAnsi="Times New Roman" w:cs="Times New Roman" w:hint="default"/>
        <w:b w:val="0"/>
        <w:bCs w:val="0"/>
        <w:i w:val="0"/>
        <w:iCs w:val="0"/>
        <w:w w:val="100"/>
        <w:sz w:val="20"/>
        <w:szCs w:val="20"/>
        <w:lang w:val="en-US" w:eastAsia="zh-CN" w:bidi="ar-SA"/>
      </w:rPr>
    </w:lvl>
    <w:lvl w:ilvl="5">
      <w:start w:val="1"/>
      <w:numFmt w:val="decimal"/>
      <w:lvlText w:val="%5.%6"/>
      <w:lvlJc w:val="left"/>
      <w:pPr>
        <w:ind w:left="745" w:hanging="285"/>
        <w:jc w:val="left"/>
      </w:pPr>
      <w:rPr>
        <w:rFonts w:ascii="Times New Roman" w:eastAsia="Times New Roman" w:hAnsi="Times New Roman" w:cs="Times New Roman" w:hint="default"/>
        <w:b w:val="0"/>
        <w:bCs w:val="0"/>
        <w:i w:val="0"/>
        <w:iCs w:val="0"/>
        <w:w w:val="99"/>
        <w:sz w:val="20"/>
        <w:szCs w:val="20"/>
        <w:lang w:val="en-US" w:eastAsia="zh-CN" w:bidi="ar-SA"/>
      </w:rPr>
    </w:lvl>
    <w:lvl w:ilvl="6">
      <w:start w:val="0"/>
      <w:numFmt w:val="bullet"/>
      <w:lvlText w:val="•"/>
      <w:lvlJc w:val="left"/>
      <w:pPr>
        <w:ind w:left="933" w:hanging="285"/>
      </w:pPr>
      <w:rPr>
        <w:rFonts w:hint="default"/>
        <w:lang w:val="en-US" w:eastAsia="zh-CN" w:bidi="ar-SA"/>
      </w:rPr>
    </w:lvl>
    <w:lvl w:ilvl="7">
      <w:start w:val="0"/>
      <w:numFmt w:val="bullet"/>
      <w:lvlText w:val="•"/>
      <w:lvlJc w:val="left"/>
      <w:pPr>
        <w:ind w:left="900" w:hanging="285"/>
      </w:pPr>
      <w:rPr>
        <w:rFonts w:hint="default"/>
        <w:lang w:val="en-US" w:eastAsia="zh-CN" w:bidi="ar-SA"/>
      </w:rPr>
    </w:lvl>
    <w:lvl w:ilvl="8">
      <w:start w:val="0"/>
      <w:numFmt w:val="bullet"/>
      <w:lvlText w:val="•"/>
      <w:lvlJc w:val="left"/>
      <w:pPr>
        <w:ind w:left="867" w:hanging="285"/>
      </w:pPr>
      <w:rPr>
        <w:rFonts w:hint="default"/>
        <w:lang w:val="en-US" w:eastAsia="zh-CN" w:bidi="ar-SA"/>
      </w:rPr>
    </w:lvl>
  </w:abstractNum>
  <w:abstractNum w:abstractNumId="20">
    <w:nsid w:val="4760939B"/>
    <w:multiLevelType w:val="hybridMultilevel"/>
    <w:tmpl w:val="00000000"/>
    <w:lvl w:ilvl="0">
      <w:start w:val="1"/>
      <w:numFmt w:val="decimal"/>
      <w:lvlText w:val="%1"/>
      <w:lvlJc w:val="left"/>
      <w:pPr>
        <w:ind w:left="535" w:hanging="315"/>
        <w:jc w:val="left"/>
      </w:pPr>
      <w:rPr>
        <w:rFonts w:ascii="黑体" w:eastAsia="黑体" w:hAnsi="黑体" w:cs="黑体" w:hint="default"/>
        <w:b w:val="0"/>
        <w:bCs w:val="0"/>
        <w:i w:val="0"/>
        <w:iCs w:val="0"/>
        <w:w w:val="100"/>
        <w:sz w:val="21"/>
        <w:szCs w:val="21"/>
        <w:lang w:val="en-US" w:eastAsia="zh-CN" w:bidi="ar-SA"/>
      </w:rPr>
    </w:lvl>
    <w:lvl w:ilvl="1">
      <w:start w:val="1"/>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22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1007"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1"/>
      <w:numFmt w:val="lowerLetter"/>
      <w:lvlText w:val="%5."/>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5">
      <w:start w:val="0"/>
      <w:numFmt w:val="bullet"/>
      <w:lvlText w:val="•"/>
      <w:lvlJc w:val="left"/>
      <w:pPr>
        <w:ind w:left="900" w:hanging="251"/>
      </w:pPr>
      <w:rPr>
        <w:rFonts w:hint="default"/>
        <w:lang w:val="en-US" w:eastAsia="zh-CN" w:bidi="ar-SA"/>
      </w:rPr>
    </w:lvl>
    <w:lvl w:ilvl="6">
      <w:start w:val="0"/>
      <w:numFmt w:val="bullet"/>
      <w:lvlText w:val="•"/>
      <w:lvlJc w:val="left"/>
      <w:pPr>
        <w:ind w:left="1000" w:hanging="251"/>
      </w:pPr>
      <w:rPr>
        <w:rFonts w:hint="default"/>
        <w:lang w:val="en-US" w:eastAsia="zh-CN" w:bidi="ar-SA"/>
      </w:rPr>
    </w:lvl>
    <w:lvl w:ilvl="7">
      <w:start w:val="0"/>
      <w:numFmt w:val="bullet"/>
      <w:lvlText w:val="•"/>
      <w:lvlJc w:val="left"/>
      <w:pPr>
        <w:ind w:left="1040" w:hanging="251"/>
      </w:pPr>
      <w:rPr>
        <w:rFonts w:hint="default"/>
        <w:lang w:val="en-US" w:eastAsia="zh-CN" w:bidi="ar-SA"/>
      </w:rPr>
    </w:lvl>
    <w:lvl w:ilvl="8">
      <w:start w:val="0"/>
      <w:numFmt w:val="bullet"/>
      <w:lvlText w:val="•"/>
      <w:lvlJc w:val="left"/>
      <w:pPr>
        <w:ind w:left="3635" w:hanging="251"/>
      </w:pPr>
      <w:rPr>
        <w:rFonts w:hint="default"/>
        <w:lang w:val="en-US" w:eastAsia="zh-CN" w:bidi="ar-SA"/>
      </w:rPr>
    </w:lvl>
  </w:abstractNum>
  <w:abstractNum w:abstractNumId="21">
    <w:nsid w:val="47D4B88A"/>
    <w:multiLevelType w:val="hybridMultilevel"/>
    <w:tmpl w:val="00000000"/>
    <w:lvl w:ilvl="0">
      <w:start w:val="0"/>
      <w:numFmt w:val="bullet"/>
      <w:lvlText w:val=""/>
      <w:lvlJc w:val="left"/>
      <w:pPr>
        <w:ind w:left="160" w:hanging="140"/>
      </w:pPr>
      <w:rPr>
        <w:rFonts w:ascii="Symbol" w:eastAsia="Symbol" w:hAnsi="Symbol" w:cs="Symbol" w:hint="default"/>
        <w:b w:val="0"/>
        <w:bCs w:val="0"/>
        <w:i w:val="0"/>
        <w:iCs w:val="0"/>
        <w:w w:val="100"/>
        <w:position w:val="-21"/>
        <w:sz w:val="20"/>
        <w:szCs w:val="20"/>
        <w:lang w:val="en-US" w:eastAsia="zh-CN" w:bidi="ar-SA"/>
      </w:rPr>
    </w:lvl>
    <w:lvl w:ilvl="1">
      <w:start w:val="0"/>
      <w:numFmt w:val="bullet"/>
      <w:lvlText w:val="•"/>
      <w:lvlJc w:val="left"/>
      <w:pPr>
        <w:ind w:left="200" w:hanging="140"/>
      </w:pPr>
      <w:rPr>
        <w:rFonts w:hint="default"/>
        <w:lang w:val="en-US" w:eastAsia="zh-CN" w:bidi="ar-SA"/>
      </w:rPr>
    </w:lvl>
    <w:lvl w:ilvl="2">
      <w:start w:val="0"/>
      <w:numFmt w:val="bullet"/>
      <w:lvlText w:val="•"/>
      <w:lvlJc w:val="left"/>
      <w:pPr>
        <w:ind w:left="241" w:hanging="140"/>
      </w:pPr>
      <w:rPr>
        <w:rFonts w:hint="default"/>
        <w:lang w:val="en-US" w:eastAsia="zh-CN" w:bidi="ar-SA"/>
      </w:rPr>
    </w:lvl>
    <w:lvl w:ilvl="3">
      <w:start w:val="0"/>
      <w:numFmt w:val="bullet"/>
      <w:lvlText w:val="•"/>
      <w:lvlJc w:val="left"/>
      <w:pPr>
        <w:ind w:left="282" w:hanging="140"/>
      </w:pPr>
      <w:rPr>
        <w:rFonts w:hint="default"/>
        <w:lang w:val="en-US" w:eastAsia="zh-CN" w:bidi="ar-SA"/>
      </w:rPr>
    </w:lvl>
    <w:lvl w:ilvl="4">
      <w:start w:val="0"/>
      <w:numFmt w:val="bullet"/>
      <w:lvlText w:val="•"/>
      <w:lvlJc w:val="left"/>
      <w:pPr>
        <w:ind w:left="323" w:hanging="140"/>
      </w:pPr>
      <w:rPr>
        <w:rFonts w:hint="default"/>
        <w:lang w:val="en-US" w:eastAsia="zh-CN" w:bidi="ar-SA"/>
      </w:rPr>
    </w:lvl>
    <w:lvl w:ilvl="5">
      <w:start w:val="0"/>
      <w:numFmt w:val="bullet"/>
      <w:lvlText w:val="•"/>
      <w:lvlJc w:val="left"/>
      <w:pPr>
        <w:ind w:left="364" w:hanging="140"/>
      </w:pPr>
      <w:rPr>
        <w:rFonts w:hint="default"/>
        <w:lang w:val="en-US" w:eastAsia="zh-CN" w:bidi="ar-SA"/>
      </w:rPr>
    </w:lvl>
    <w:lvl w:ilvl="6">
      <w:start w:val="0"/>
      <w:numFmt w:val="bullet"/>
      <w:lvlText w:val="•"/>
      <w:lvlJc w:val="left"/>
      <w:pPr>
        <w:ind w:left="404" w:hanging="140"/>
      </w:pPr>
      <w:rPr>
        <w:rFonts w:hint="default"/>
        <w:lang w:val="en-US" w:eastAsia="zh-CN" w:bidi="ar-SA"/>
      </w:rPr>
    </w:lvl>
    <w:lvl w:ilvl="7">
      <w:start w:val="0"/>
      <w:numFmt w:val="bullet"/>
      <w:lvlText w:val="•"/>
      <w:lvlJc w:val="left"/>
      <w:pPr>
        <w:ind w:left="445" w:hanging="140"/>
      </w:pPr>
      <w:rPr>
        <w:rFonts w:hint="default"/>
        <w:lang w:val="en-US" w:eastAsia="zh-CN" w:bidi="ar-SA"/>
      </w:rPr>
    </w:lvl>
    <w:lvl w:ilvl="8">
      <w:start w:val="0"/>
      <w:numFmt w:val="bullet"/>
      <w:lvlText w:val="•"/>
      <w:lvlJc w:val="left"/>
      <w:pPr>
        <w:ind w:left="486" w:hanging="140"/>
      </w:pPr>
      <w:rPr>
        <w:rFonts w:hint="default"/>
        <w:lang w:val="en-US" w:eastAsia="zh-CN" w:bidi="ar-SA"/>
      </w:rPr>
    </w:lvl>
  </w:abstractNum>
  <w:abstractNum w:abstractNumId="22">
    <w:nsid w:val="482657A6"/>
    <w:multiLevelType w:val="hybridMultilevel"/>
    <w:tmpl w:val="00000000"/>
    <w:lvl w:ilvl="0">
      <w:start w:val="0"/>
      <w:numFmt w:val="bullet"/>
      <w:lvlText w:val=""/>
      <w:lvlJc w:val="left"/>
      <w:pPr>
        <w:ind w:left="120" w:hanging="107"/>
      </w:pPr>
      <w:rPr>
        <w:rFonts w:ascii="Symbol" w:eastAsia="Symbol" w:hAnsi="Symbol" w:cs="Symbol" w:hint="default"/>
        <w:b w:val="0"/>
        <w:bCs w:val="0"/>
        <w:i w:val="0"/>
        <w:iCs w:val="0"/>
        <w:spacing w:val="14"/>
        <w:w w:val="100"/>
        <w:sz w:val="18"/>
        <w:szCs w:val="18"/>
        <w:lang w:val="en-US" w:eastAsia="zh-CN" w:bidi="ar-SA"/>
      </w:rPr>
    </w:lvl>
    <w:lvl w:ilvl="1">
      <w:start w:val="0"/>
      <w:numFmt w:val="bullet"/>
      <w:lvlText w:val=""/>
      <w:lvlJc w:val="left"/>
      <w:pPr>
        <w:ind w:left="311" w:hanging="153"/>
      </w:pPr>
      <w:rPr>
        <w:rFonts w:ascii="Symbol" w:eastAsia="Symbol" w:hAnsi="Symbol" w:cs="Symbol" w:hint="default"/>
        <w:b w:val="0"/>
        <w:bCs w:val="0"/>
        <w:i w:val="0"/>
        <w:iCs w:val="0"/>
        <w:w w:val="100"/>
        <w:sz w:val="20"/>
        <w:szCs w:val="20"/>
        <w:lang w:val="en-US" w:eastAsia="zh-CN" w:bidi="ar-SA"/>
      </w:rPr>
    </w:lvl>
    <w:lvl w:ilvl="2">
      <w:start w:val="0"/>
      <w:numFmt w:val="bullet"/>
      <w:lvlText w:val="•"/>
      <w:lvlJc w:val="left"/>
      <w:pPr>
        <w:ind w:left="44" w:hanging="153"/>
      </w:pPr>
      <w:rPr>
        <w:rFonts w:hint="default"/>
        <w:lang w:val="en-US" w:eastAsia="zh-CN" w:bidi="ar-SA"/>
      </w:rPr>
    </w:lvl>
    <w:lvl w:ilvl="3">
      <w:start w:val="0"/>
      <w:numFmt w:val="bullet"/>
      <w:lvlText w:val="•"/>
      <w:lvlJc w:val="left"/>
      <w:pPr>
        <w:ind w:left="-231" w:hanging="153"/>
      </w:pPr>
      <w:rPr>
        <w:rFonts w:hint="default"/>
        <w:lang w:val="en-US" w:eastAsia="zh-CN" w:bidi="ar-SA"/>
      </w:rPr>
    </w:lvl>
    <w:lvl w:ilvl="4">
      <w:start w:val="0"/>
      <w:numFmt w:val="bullet"/>
      <w:lvlText w:val="•"/>
      <w:lvlJc w:val="left"/>
      <w:pPr>
        <w:ind w:left="-506" w:hanging="153"/>
      </w:pPr>
      <w:rPr>
        <w:rFonts w:hint="default"/>
        <w:lang w:val="en-US" w:eastAsia="zh-CN" w:bidi="ar-SA"/>
      </w:rPr>
    </w:lvl>
    <w:lvl w:ilvl="5">
      <w:start w:val="0"/>
      <w:numFmt w:val="bullet"/>
      <w:lvlText w:val="•"/>
      <w:lvlJc w:val="left"/>
      <w:pPr>
        <w:ind w:left="-781" w:hanging="153"/>
      </w:pPr>
      <w:rPr>
        <w:rFonts w:hint="default"/>
        <w:lang w:val="en-US" w:eastAsia="zh-CN" w:bidi="ar-SA"/>
      </w:rPr>
    </w:lvl>
    <w:lvl w:ilvl="6">
      <w:start w:val="0"/>
      <w:numFmt w:val="bullet"/>
      <w:lvlText w:val="•"/>
      <w:lvlJc w:val="left"/>
      <w:pPr>
        <w:ind w:left="-1056" w:hanging="153"/>
      </w:pPr>
      <w:rPr>
        <w:rFonts w:hint="default"/>
        <w:lang w:val="en-US" w:eastAsia="zh-CN" w:bidi="ar-SA"/>
      </w:rPr>
    </w:lvl>
    <w:lvl w:ilvl="7">
      <w:start w:val="0"/>
      <w:numFmt w:val="bullet"/>
      <w:lvlText w:val="•"/>
      <w:lvlJc w:val="left"/>
      <w:pPr>
        <w:ind w:left="-1332" w:hanging="153"/>
      </w:pPr>
      <w:rPr>
        <w:rFonts w:hint="default"/>
        <w:lang w:val="en-US" w:eastAsia="zh-CN" w:bidi="ar-SA"/>
      </w:rPr>
    </w:lvl>
    <w:lvl w:ilvl="8">
      <w:start w:val="0"/>
      <w:numFmt w:val="bullet"/>
      <w:lvlText w:val="•"/>
      <w:lvlJc w:val="left"/>
      <w:pPr>
        <w:ind w:left="-1607" w:hanging="153"/>
      </w:pPr>
      <w:rPr>
        <w:rFonts w:hint="default"/>
        <w:lang w:val="en-US" w:eastAsia="zh-CN" w:bidi="ar-SA"/>
      </w:rPr>
    </w:lvl>
  </w:abstractNum>
  <w:abstractNum w:abstractNumId="23">
    <w:nsid w:val="4BDE9F5C"/>
    <w:multiLevelType w:val="hybridMultilevel"/>
    <w:tmpl w:val="00000000"/>
    <w:lvl w:ilvl="0">
      <w:start w:val="0"/>
      <w:numFmt w:val="bullet"/>
      <w:lvlText w:val=""/>
      <w:lvlJc w:val="left"/>
      <w:pPr>
        <w:ind w:left="234" w:hanging="166"/>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255" w:hanging="166"/>
      </w:pPr>
      <w:rPr>
        <w:rFonts w:hint="default"/>
        <w:lang w:val="en-US" w:eastAsia="zh-CN" w:bidi="ar-SA"/>
      </w:rPr>
    </w:lvl>
    <w:lvl w:ilvl="2">
      <w:start w:val="0"/>
      <w:numFmt w:val="bullet"/>
      <w:lvlText w:val="•"/>
      <w:lvlJc w:val="left"/>
      <w:pPr>
        <w:ind w:left="270" w:hanging="166"/>
      </w:pPr>
      <w:rPr>
        <w:rFonts w:hint="default"/>
        <w:lang w:val="en-US" w:eastAsia="zh-CN" w:bidi="ar-SA"/>
      </w:rPr>
    </w:lvl>
    <w:lvl w:ilvl="3">
      <w:start w:val="0"/>
      <w:numFmt w:val="bullet"/>
      <w:lvlText w:val="•"/>
      <w:lvlJc w:val="left"/>
      <w:pPr>
        <w:ind w:left="286" w:hanging="166"/>
      </w:pPr>
      <w:rPr>
        <w:rFonts w:hint="default"/>
        <w:lang w:val="en-US" w:eastAsia="zh-CN" w:bidi="ar-SA"/>
      </w:rPr>
    </w:lvl>
    <w:lvl w:ilvl="4">
      <w:start w:val="0"/>
      <w:numFmt w:val="bullet"/>
      <w:lvlText w:val="•"/>
      <w:lvlJc w:val="left"/>
      <w:pPr>
        <w:ind w:left="301" w:hanging="166"/>
      </w:pPr>
      <w:rPr>
        <w:rFonts w:hint="default"/>
        <w:lang w:val="en-US" w:eastAsia="zh-CN" w:bidi="ar-SA"/>
      </w:rPr>
    </w:lvl>
    <w:lvl w:ilvl="5">
      <w:start w:val="0"/>
      <w:numFmt w:val="bullet"/>
      <w:lvlText w:val="•"/>
      <w:lvlJc w:val="left"/>
      <w:pPr>
        <w:ind w:left="317" w:hanging="166"/>
      </w:pPr>
      <w:rPr>
        <w:rFonts w:hint="default"/>
        <w:lang w:val="en-US" w:eastAsia="zh-CN" w:bidi="ar-SA"/>
      </w:rPr>
    </w:lvl>
    <w:lvl w:ilvl="6">
      <w:start w:val="0"/>
      <w:numFmt w:val="bullet"/>
      <w:lvlText w:val="•"/>
      <w:lvlJc w:val="left"/>
      <w:pPr>
        <w:ind w:left="332" w:hanging="166"/>
      </w:pPr>
      <w:rPr>
        <w:rFonts w:hint="default"/>
        <w:lang w:val="en-US" w:eastAsia="zh-CN" w:bidi="ar-SA"/>
      </w:rPr>
    </w:lvl>
    <w:lvl w:ilvl="7">
      <w:start w:val="0"/>
      <w:numFmt w:val="bullet"/>
      <w:lvlText w:val="•"/>
      <w:lvlJc w:val="left"/>
      <w:pPr>
        <w:ind w:left="348" w:hanging="166"/>
      </w:pPr>
      <w:rPr>
        <w:rFonts w:hint="default"/>
        <w:lang w:val="en-US" w:eastAsia="zh-CN" w:bidi="ar-SA"/>
      </w:rPr>
    </w:lvl>
    <w:lvl w:ilvl="8">
      <w:start w:val="0"/>
      <w:numFmt w:val="bullet"/>
      <w:lvlText w:val="•"/>
      <w:lvlJc w:val="left"/>
      <w:pPr>
        <w:ind w:left="363" w:hanging="166"/>
      </w:pPr>
      <w:rPr>
        <w:rFonts w:hint="default"/>
        <w:lang w:val="en-US" w:eastAsia="zh-CN" w:bidi="ar-SA"/>
      </w:rPr>
    </w:lvl>
  </w:abstractNum>
  <w:abstractNum w:abstractNumId="24">
    <w:nsid w:val="4CD2D419"/>
    <w:multiLevelType w:val="hybridMultilevel"/>
    <w:tmpl w:val="00000000"/>
    <w:lvl w:ilvl="0">
      <w:start w:val="1"/>
      <w:numFmt w:val="lowerLetter"/>
      <w:lvlText w:val="%1."/>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51"/>
      </w:pPr>
      <w:rPr>
        <w:rFonts w:hint="default"/>
        <w:lang w:val="en-US" w:eastAsia="zh-CN" w:bidi="ar-SA"/>
      </w:rPr>
    </w:lvl>
    <w:lvl w:ilvl="2">
      <w:start w:val="0"/>
      <w:numFmt w:val="bullet"/>
      <w:lvlText w:val="•"/>
      <w:lvlJc w:val="left"/>
      <w:pPr>
        <w:ind w:left="2485" w:hanging="251"/>
      </w:pPr>
      <w:rPr>
        <w:rFonts w:hint="default"/>
        <w:lang w:val="en-US" w:eastAsia="zh-CN" w:bidi="ar-SA"/>
      </w:rPr>
    </w:lvl>
    <w:lvl w:ilvl="3">
      <w:start w:val="0"/>
      <w:numFmt w:val="bullet"/>
      <w:lvlText w:val="•"/>
      <w:lvlJc w:val="left"/>
      <w:pPr>
        <w:ind w:left="3277" w:hanging="251"/>
      </w:pPr>
      <w:rPr>
        <w:rFonts w:hint="default"/>
        <w:lang w:val="en-US" w:eastAsia="zh-CN" w:bidi="ar-SA"/>
      </w:rPr>
    </w:lvl>
    <w:lvl w:ilvl="4">
      <w:start w:val="0"/>
      <w:numFmt w:val="bullet"/>
      <w:lvlText w:val="•"/>
      <w:lvlJc w:val="left"/>
      <w:pPr>
        <w:ind w:left="4070" w:hanging="251"/>
      </w:pPr>
      <w:rPr>
        <w:rFonts w:hint="default"/>
        <w:lang w:val="en-US" w:eastAsia="zh-CN" w:bidi="ar-SA"/>
      </w:rPr>
    </w:lvl>
    <w:lvl w:ilvl="5">
      <w:start w:val="0"/>
      <w:numFmt w:val="bullet"/>
      <w:lvlText w:val="•"/>
      <w:lvlJc w:val="left"/>
      <w:pPr>
        <w:ind w:left="4863" w:hanging="251"/>
      </w:pPr>
      <w:rPr>
        <w:rFonts w:hint="default"/>
        <w:lang w:val="en-US" w:eastAsia="zh-CN" w:bidi="ar-SA"/>
      </w:rPr>
    </w:lvl>
    <w:lvl w:ilvl="6">
      <w:start w:val="0"/>
      <w:numFmt w:val="bullet"/>
      <w:lvlText w:val="•"/>
      <w:lvlJc w:val="left"/>
      <w:pPr>
        <w:ind w:left="5655" w:hanging="251"/>
      </w:pPr>
      <w:rPr>
        <w:rFonts w:hint="default"/>
        <w:lang w:val="en-US" w:eastAsia="zh-CN" w:bidi="ar-SA"/>
      </w:rPr>
    </w:lvl>
    <w:lvl w:ilvl="7">
      <w:start w:val="0"/>
      <w:numFmt w:val="bullet"/>
      <w:lvlText w:val="•"/>
      <w:lvlJc w:val="left"/>
      <w:pPr>
        <w:ind w:left="6448" w:hanging="251"/>
      </w:pPr>
      <w:rPr>
        <w:rFonts w:hint="default"/>
        <w:lang w:val="en-US" w:eastAsia="zh-CN" w:bidi="ar-SA"/>
      </w:rPr>
    </w:lvl>
    <w:lvl w:ilvl="8">
      <w:start w:val="0"/>
      <w:numFmt w:val="bullet"/>
      <w:lvlText w:val="•"/>
      <w:lvlJc w:val="left"/>
      <w:pPr>
        <w:ind w:left="7240" w:hanging="251"/>
      </w:pPr>
      <w:rPr>
        <w:rFonts w:hint="default"/>
        <w:lang w:val="en-US" w:eastAsia="zh-CN" w:bidi="ar-SA"/>
      </w:rPr>
    </w:lvl>
  </w:abstractNum>
  <w:abstractNum w:abstractNumId="25">
    <w:nsid w:val="4E1D4E11"/>
    <w:multiLevelType w:val="hybridMultilevel"/>
    <w:tmpl w:val="00000000"/>
    <w:lvl w:ilvl="0">
      <w:start w:val="1"/>
      <w:numFmt w:val="lowerLetter"/>
      <w:lvlText w:val="%1."/>
      <w:lvlJc w:val="left"/>
      <w:pPr>
        <w:ind w:left="220" w:hanging="25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080" w:hanging="253"/>
      </w:pPr>
      <w:rPr>
        <w:rFonts w:hint="default"/>
        <w:lang w:val="en-US" w:eastAsia="zh-CN" w:bidi="ar-SA"/>
      </w:rPr>
    </w:lvl>
    <w:lvl w:ilvl="2">
      <w:start w:val="0"/>
      <w:numFmt w:val="bullet"/>
      <w:lvlText w:val="•"/>
      <w:lvlJc w:val="left"/>
      <w:pPr>
        <w:ind w:left="1941" w:hanging="253"/>
      </w:pPr>
      <w:rPr>
        <w:rFonts w:hint="default"/>
        <w:lang w:val="en-US" w:eastAsia="zh-CN" w:bidi="ar-SA"/>
      </w:rPr>
    </w:lvl>
    <w:lvl w:ilvl="3">
      <w:start w:val="0"/>
      <w:numFmt w:val="bullet"/>
      <w:lvlText w:val="•"/>
      <w:lvlJc w:val="left"/>
      <w:pPr>
        <w:ind w:left="2801" w:hanging="253"/>
      </w:pPr>
      <w:rPr>
        <w:rFonts w:hint="default"/>
        <w:lang w:val="en-US" w:eastAsia="zh-CN" w:bidi="ar-SA"/>
      </w:rPr>
    </w:lvl>
    <w:lvl w:ilvl="4">
      <w:start w:val="0"/>
      <w:numFmt w:val="bullet"/>
      <w:lvlText w:val="•"/>
      <w:lvlJc w:val="left"/>
      <w:pPr>
        <w:ind w:left="3662" w:hanging="253"/>
      </w:pPr>
      <w:rPr>
        <w:rFonts w:hint="default"/>
        <w:lang w:val="en-US" w:eastAsia="zh-CN" w:bidi="ar-SA"/>
      </w:rPr>
    </w:lvl>
    <w:lvl w:ilvl="5">
      <w:start w:val="0"/>
      <w:numFmt w:val="bullet"/>
      <w:lvlText w:val="•"/>
      <w:lvlJc w:val="left"/>
      <w:pPr>
        <w:ind w:left="4523" w:hanging="253"/>
      </w:pPr>
      <w:rPr>
        <w:rFonts w:hint="default"/>
        <w:lang w:val="en-US" w:eastAsia="zh-CN" w:bidi="ar-SA"/>
      </w:rPr>
    </w:lvl>
    <w:lvl w:ilvl="6">
      <w:start w:val="0"/>
      <w:numFmt w:val="bullet"/>
      <w:lvlText w:val="•"/>
      <w:lvlJc w:val="left"/>
      <w:pPr>
        <w:ind w:left="5383" w:hanging="253"/>
      </w:pPr>
      <w:rPr>
        <w:rFonts w:hint="default"/>
        <w:lang w:val="en-US" w:eastAsia="zh-CN" w:bidi="ar-SA"/>
      </w:rPr>
    </w:lvl>
    <w:lvl w:ilvl="7">
      <w:start w:val="0"/>
      <w:numFmt w:val="bullet"/>
      <w:lvlText w:val="•"/>
      <w:lvlJc w:val="left"/>
      <w:pPr>
        <w:ind w:left="6244" w:hanging="253"/>
      </w:pPr>
      <w:rPr>
        <w:rFonts w:hint="default"/>
        <w:lang w:val="en-US" w:eastAsia="zh-CN" w:bidi="ar-SA"/>
      </w:rPr>
    </w:lvl>
    <w:lvl w:ilvl="8">
      <w:start w:val="0"/>
      <w:numFmt w:val="bullet"/>
      <w:lvlText w:val="•"/>
      <w:lvlJc w:val="left"/>
      <w:pPr>
        <w:ind w:left="7104" w:hanging="253"/>
      </w:pPr>
      <w:rPr>
        <w:rFonts w:hint="default"/>
        <w:lang w:val="en-US" w:eastAsia="zh-CN" w:bidi="ar-SA"/>
      </w:rPr>
    </w:lvl>
  </w:abstractNum>
  <w:abstractNum w:abstractNumId="26">
    <w:nsid w:val="4E91CA40"/>
    <w:multiLevelType w:val="hybridMultilevel"/>
    <w:tmpl w:val="00000000"/>
    <w:lvl w:ilvl="0">
      <w:start w:val="1"/>
      <w:numFmt w:val="lowerLetter"/>
      <w:lvlText w:val="%1."/>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51"/>
      </w:pPr>
      <w:rPr>
        <w:rFonts w:hint="default"/>
        <w:lang w:val="en-US" w:eastAsia="zh-CN" w:bidi="ar-SA"/>
      </w:rPr>
    </w:lvl>
    <w:lvl w:ilvl="2">
      <w:start w:val="0"/>
      <w:numFmt w:val="bullet"/>
      <w:lvlText w:val="•"/>
      <w:lvlJc w:val="left"/>
      <w:pPr>
        <w:ind w:left="2485" w:hanging="251"/>
      </w:pPr>
      <w:rPr>
        <w:rFonts w:hint="default"/>
        <w:lang w:val="en-US" w:eastAsia="zh-CN" w:bidi="ar-SA"/>
      </w:rPr>
    </w:lvl>
    <w:lvl w:ilvl="3">
      <w:start w:val="0"/>
      <w:numFmt w:val="bullet"/>
      <w:lvlText w:val="•"/>
      <w:lvlJc w:val="left"/>
      <w:pPr>
        <w:ind w:left="3277" w:hanging="251"/>
      </w:pPr>
      <w:rPr>
        <w:rFonts w:hint="default"/>
        <w:lang w:val="en-US" w:eastAsia="zh-CN" w:bidi="ar-SA"/>
      </w:rPr>
    </w:lvl>
    <w:lvl w:ilvl="4">
      <w:start w:val="0"/>
      <w:numFmt w:val="bullet"/>
      <w:lvlText w:val="•"/>
      <w:lvlJc w:val="left"/>
      <w:pPr>
        <w:ind w:left="4070" w:hanging="251"/>
      </w:pPr>
      <w:rPr>
        <w:rFonts w:hint="default"/>
        <w:lang w:val="en-US" w:eastAsia="zh-CN" w:bidi="ar-SA"/>
      </w:rPr>
    </w:lvl>
    <w:lvl w:ilvl="5">
      <w:start w:val="0"/>
      <w:numFmt w:val="bullet"/>
      <w:lvlText w:val="•"/>
      <w:lvlJc w:val="left"/>
      <w:pPr>
        <w:ind w:left="4863" w:hanging="251"/>
      </w:pPr>
      <w:rPr>
        <w:rFonts w:hint="default"/>
        <w:lang w:val="en-US" w:eastAsia="zh-CN" w:bidi="ar-SA"/>
      </w:rPr>
    </w:lvl>
    <w:lvl w:ilvl="6">
      <w:start w:val="0"/>
      <w:numFmt w:val="bullet"/>
      <w:lvlText w:val="•"/>
      <w:lvlJc w:val="left"/>
      <w:pPr>
        <w:ind w:left="5655" w:hanging="251"/>
      </w:pPr>
      <w:rPr>
        <w:rFonts w:hint="default"/>
        <w:lang w:val="en-US" w:eastAsia="zh-CN" w:bidi="ar-SA"/>
      </w:rPr>
    </w:lvl>
    <w:lvl w:ilvl="7">
      <w:start w:val="0"/>
      <w:numFmt w:val="bullet"/>
      <w:lvlText w:val="•"/>
      <w:lvlJc w:val="left"/>
      <w:pPr>
        <w:ind w:left="6448" w:hanging="251"/>
      </w:pPr>
      <w:rPr>
        <w:rFonts w:hint="default"/>
        <w:lang w:val="en-US" w:eastAsia="zh-CN" w:bidi="ar-SA"/>
      </w:rPr>
    </w:lvl>
    <w:lvl w:ilvl="8">
      <w:start w:val="0"/>
      <w:numFmt w:val="bullet"/>
      <w:lvlText w:val="•"/>
      <w:lvlJc w:val="left"/>
      <w:pPr>
        <w:ind w:left="7240" w:hanging="251"/>
      </w:pPr>
      <w:rPr>
        <w:rFonts w:hint="default"/>
        <w:lang w:val="en-US" w:eastAsia="zh-CN" w:bidi="ar-SA"/>
      </w:rPr>
    </w:lvl>
  </w:abstractNum>
  <w:abstractNum w:abstractNumId="27">
    <w:nsid w:val="5011C9BF"/>
    <w:multiLevelType w:val="hybridMultilevel"/>
    <w:tmpl w:val="00000000"/>
    <w:lvl w:ilvl="0">
      <w:start w:val="24"/>
      <w:numFmt w:val="lowerLetter"/>
      <w:lvlText w:val="%1"/>
      <w:lvlJc w:val="left"/>
      <w:pPr>
        <w:ind w:left="154" w:hanging="63"/>
        <w:jc w:val="right"/>
      </w:pPr>
      <w:rPr>
        <w:rFonts w:ascii="Times New Roman" w:eastAsia="Times New Roman" w:hAnsi="Times New Roman" w:cs="Times New Roman" w:hint="default"/>
        <w:b w:val="0"/>
        <w:bCs w:val="0"/>
        <w:i/>
        <w:iCs/>
        <w:w w:val="100"/>
        <w:sz w:val="11"/>
        <w:szCs w:val="11"/>
        <w:lang w:val="en-US" w:eastAsia="zh-CN" w:bidi="ar-SA"/>
      </w:rPr>
    </w:lvl>
    <w:lvl w:ilvl="1">
      <w:start w:val="0"/>
      <w:numFmt w:val="bullet"/>
      <w:lvlText w:val="•"/>
      <w:lvlJc w:val="left"/>
      <w:pPr>
        <w:ind w:left="186" w:hanging="63"/>
      </w:pPr>
      <w:rPr>
        <w:rFonts w:hint="default"/>
        <w:lang w:val="en-US" w:eastAsia="zh-CN" w:bidi="ar-SA"/>
      </w:rPr>
    </w:lvl>
    <w:lvl w:ilvl="2">
      <w:start w:val="0"/>
      <w:numFmt w:val="bullet"/>
      <w:lvlText w:val="•"/>
      <w:lvlJc w:val="left"/>
      <w:pPr>
        <w:ind w:left="213" w:hanging="63"/>
      </w:pPr>
      <w:rPr>
        <w:rFonts w:hint="default"/>
        <w:lang w:val="en-US" w:eastAsia="zh-CN" w:bidi="ar-SA"/>
      </w:rPr>
    </w:lvl>
    <w:lvl w:ilvl="3">
      <w:start w:val="0"/>
      <w:numFmt w:val="bullet"/>
      <w:lvlText w:val="•"/>
      <w:lvlJc w:val="left"/>
      <w:pPr>
        <w:ind w:left="240" w:hanging="63"/>
      </w:pPr>
      <w:rPr>
        <w:rFonts w:hint="default"/>
        <w:lang w:val="en-US" w:eastAsia="zh-CN" w:bidi="ar-SA"/>
      </w:rPr>
    </w:lvl>
    <w:lvl w:ilvl="4">
      <w:start w:val="0"/>
      <w:numFmt w:val="bullet"/>
      <w:lvlText w:val="•"/>
      <w:lvlJc w:val="left"/>
      <w:pPr>
        <w:ind w:left="266" w:hanging="63"/>
      </w:pPr>
      <w:rPr>
        <w:rFonts w:hint="default"/>
        <w:lang w:val="en-US" w:eastAsia="zh-CN" w:bidi="ar-SA"/>
      </w:rPr>
    </w:lvl>
    <w:lvl w:ilvl="5">
      <w:start w:val="0"/>
      <w:numFmt w:val="bullet"/>
      <w:lvlText w:val="•"/>
      <w:lvlJc w:val="left"/>
      <w:pPr>
        <w:ind w:left="293" w:hanging="63"/>
      </w:pPr>
      <w:rPr>
        <w:rFonts w:hint="default"/>
        <w:lang w:val="en-US" w:eastAsia="zh-CN" w:bidi="ar-SA"/>
      </w:rPr>
    </w:lvl>
    <w:lvl w:ilvl="6">
      <w:start w:val="0"/>
      <w:numFmt w:val="bullet"/>
      <w:lvlText w:val="•"/>
      <w:lvlJc w:val="left"/>
      <w:pPr>
        <w:ind w:left="320" w:hanging="63"/>
      </w:pPr>
      <w:rPr>
        <w:rFonts w:hint="default"/>
        <w:lang w:val="en-US" w:eastAsia="zh-CN" w:bidi="ar-SA"/>
      </w:rPr>
    </w:lvl>
    <w:lvl w:ilvl="7">
      <w:start w:val="0"/>
      <w:numFmt w:val="bullet"/>
      <w:lvlText w:val="•"/>
      <w:lvlJc w:val="left"/>
      <w:pPr>
        <w:ind w:left="346" w:hanging="63"/>
      </w:pPr>
      <w:rPr>
        <w:rFonts w:hint="default"/>
        <w:lang w:val="en-US" w:eastAsia="zh-CN" w:bidi="ar-SA"/>
      </w:rPr>
    </w:lvl>
    <w:lvl w:ilvl="8">
      <w:start w:val="0"/>
      <w:numFmt w:val="bullet"/>
      <w:lvlText w:val="•"/>
      <w:lvlJc w:val="left"/>
      <w:pPr>
        <w:ind w:left="373" w:hanging="63"/>
      </w:pPr>
      <w:rPr>
        <w:rFonts w:hint="default"/>
        <w:lang w:val="en-US" w:eastAsia="zh-CN" w:bidi="ar-SA"/>
      </w:rPr>
    </w:lvl>
  </w:abstractNum>
  <w:abstractNum w:abstractNumId="28">
    <w:nsid w:val="54045DFD"/>
    <w:multiLevelType w:val="hybridMultilevel"/>
    <w:tmpl w:val="00000000"/>
    <w:lvl w:ilvl="0">
      <w:start w:val="1"/>
      <w:numFmt w:val="lowerLetter"/>
      <w:lvlText w:val="%1."/>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51"/>
      </w:pPr>
      <w:rPr>
        <w:rFonts w:hint="default"/>
        <w:lang w:val="en-US" w:eastAsia="zh-CN" w:bidi="ar-SA"/>
      </w:rPr>
    </w:lvl>
    <w:lvl w:ilvl="2">
      <w:start w:val="0"/>
      <w:numFmt w:val="bullet"/>
      <w:lvlText w:val="•"/>
      <w:lvlJc w:val="left"/>
      <w:pPr>
        <w:ind w:left="2485" w:hanging="251"/>
      </w:pPr>
      <w:rPr>
        <w:rFonts w:hint="default"/>
        <w:lang w:val="en-US" w:eastAsia="zh-CN" w:bidi="ar-SA"/>
      </w:rPr>
    </w:lvl>
    <w:lvl w:ilvl="3">
      <w:start w:val="0"/>
      <w:numFmt w:val="bullet"/>
      <w:lvlText w:val="•"/>
      <w:lvlJc w:val="left"/>
      <w:pPr>
        <w:ind w:left="3277" w:hanging="251"/>
      </w:pPr>
      <w:rPr>
        <w:rFonts w:hint="default"/>
        <w:lang w:val="en-US" w:eastAsia="zh-CN" w:bidi="ar-SA"/>
      </w:rPr>
    </w:lvl>
    <w:lvl w:ilvl="4">
      <w:start w:val="0"/>
      <w:numFmt w:val="bullet"/>
      <w:lvlText w:val="•"/>
      <w:lvlJc w:val="left"/>
      <w:pPr>
        <w:ind w:left="4070" w:hanging="251"/>
      </w:pPr>
      <w:rPr>
        <w:rFonts w:hint="default"/>
        <w:lang w:val="en-US" w:eastAsia="zh-CN" w:bidi="ar-SA"/>
      </w:rPr>
    </w:lvl>
    <w:lvl w:ilvl="5">
      <w:start w:val="0"/>
      <w:numFmt w:val="bullet"/>
      <w:lvlText w:val="•"/>
      <w:lvlJc w:val="left"/>
      <w:pPr>
        <w:ind w:left="4863" w:hanging="251"/>
      </w:pPr>
      <w:rPr>
        <w:rFonts w:hint="default"/>
        <w:lang w:val="en-US" w:eastAsia="zh-CN" w:bidi="ar-SA"/>
      </w:rPr>
    </w:lvl>
    <w:lvl w:ilvl="6">
      <w:start w:val="0"/>
      <w:numFmt w:val="bullet"/>
      <w:lvlText w:val="•"/>
      <w:lvlJc w:val="left"/>
      <w:pPr>
        <w:ind w:left="5655" w:hanging="251"/>
      </w:pPr>
      <w:rPr>
        <w:rFonts w:hint="default"/>
        <w:lang w:val="en-US" w:eastAsia="zh-CN" w:bidi="ar-SA"/>
      </w:rPr>
    </w:lvl>
    <w:lvl w:ilvl="7">
      <w:start w:val="0"/>
      <w:numFmt w:val="bullet"/>
      <w:lvlText w:val="•"/>
      <w:lvlJc w:val="left"/>
      <w:pPr>
        <w:ind w:left="6448" w:hanging="251"/>
      </w:pPr>
      <w:rPr>
        <w:rFonts w:hint="default"/>
        <w:lang w:val="en-US" w:eastAsia="zh-CN" w:bidi="ar-SA"/>
      </w:rPr>
    </w:lvl>
    <w:lvl w:ilvl="8">
      <w:start w:val="0"/>
      <w:numFmt w:val="bullet"/>
      <w:lvlText w:val="•"/>
      <w:lvlJc w:val="left"/>
      <w:pPr>
        <w:ind w:left="7240" w:hanging="251"/>
      </w:pPr>
      <w:rPr>
        <w:rFonts w:hint="default"/>
        <w:lang w:val="en-US" w:eastAsia="zh-CN" w:bidi="ar-SA"/>
      </w:rPr>
    </w:lvl>
  </w:abstractNum>
  <w:abstractNum w:abstractNumId="29">
    <w:nsid w:val="540D7457"/>
    <w:multiLevelType w:val="hybridMultilevel"/>
    <w:tmpl w:val="00000000"/>
    <w:lvl w:ilvl="0">
      <w:start w:val="7"/>
      <w:numFmt w:val="decimal"/>
      <w:lvlText w:val="%1"/>
      <w:lvlJc w:val="left"/>
      <w:pPr>
        <w:ind w:left="692" w:hanging="473"/>
        <w:jc w:val="left"/>
      </w:pPr>
      <w:rPr>
        <w:rFonts w:hint="default"/>
        <w:lang w:val="en-US" w:eastAsia="zh-CN" w:bidi="ar-SA"/>
      </w:rPr>
    </w:lvl>
    <w:lvl w:ilvl="1">
      <w:start w:val="7"/>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85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220" w:hanging="797"/>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1"/>
      <w:numFmt w:val="lowerLetter"/>
      <w:lvlText w:val="%5."/>
      <w:lvlJc w:val="left"/>
      <w:pPr>
        <w:ind w:left="64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5">
      <w:start w:val="0"/>
      <w:numFmt w:val="bullet"/>
      <w:lvlText w:val="•"/>
      <w:lvlJc w:val="left"/>
      <w:pPr>
        <w:ind w:left="2304" w:hanging="251"/>
      </w:pPr>
      <w:rPr>
        <w:rFonts w:hint="default"/>
        <w:lang w:val="en-US" w:eastAsia="zh-CN" w:bidi="ar-SA"/>
      </w:rPr>
    </w:lvl>
    <w:lvl w:ilvl="6">
      <w:start w:val="0"/>
      <w:numFmt w:val="bullet"/>
      <w:lvlText w:val="•"/>
      <w:lvlJc w:val="left"/>
      <w:pPr>
        <w:ind w:left="3608" w:hanging="251"/>
      </w:pPr>
      <w:rPr>
        <w:rFonts w:hint="default"/>
        <w:lang w:val="en-US" w:eastAsia="zh-CN" w:bidi="ar-SA"/>
      </w:rPr>
    </w:lvl>
    <w:lvl w:ilvl="7">
      <w:start w:val="0"/>
      <w:numFmt w:val="bullet"/>
      <w:lvlText w:val="•"/>
      <w:lvlJc w:val="left"/>
      <w:pPr>
        <w:ind w:left="4913" w:hanging="251"/>
      </w:pPr>
      <w:rPr>
        <w:rFonts w:hint="default"/>
        <w:lang w:val="en-US" w:eastAsia="zh-CN" w:bidi="ar-SA"/>
      </w:rPr>
    </w:lvl>
    <w:lvl w:ilvl="8">
      <w:start w:val="0"/>
      <w:numFmt w:val="bullet"/>
      <w:lvlText w:val="•"/>
      <w:lvlJc w:val="left"/>
      <w:pPr>
        <w:ind w:left="6217" w:hanging="251"/>
      </w:pPr>
      <w:rPr>
        <w:rFonts w:hint="default"/>
        <w:lang w:val="en-US" w:eastAsia="zh-CN" w:bidi="ar-SA"/>
      </w:rPr>
    </w:lvl>
  </w:abstractNum>
  <w:abstractNum w:abstractNumId="30">
    <w:nsid w:val="5CFDCF52"/>
    <w:multiLevelType w:val="hybridMultilevel"/>
    <w:tmpl w:val="00000000"/>
    <w:lvl w:ilvl="0">
      <w:start w:val="1"/>
      <w:numFmt w:val="decimal"/>
      <w:lvlText w:val="%1"/>
      <w:lvlJc w:val="left"/>
      <w:pPr>
        <w:ind w:left="213" w:hanging="173"/>
        <w:jc w:val="right"/>
      </w:pPr>
      <w:rPr>
        <w:rFonts w:hint="default"/>
        <w:w w:val="100"/>
        <w:position w:val="-6"/>
        <w:lang w:val="en-US" w:eastAsia="zh-CN" w:bidi="ar-SA"/>
      </w:rPr>
    </w:lvl>
    <w:lvl w:ilvl="1">
      <w:start w:val="0"/>
      <w:numFmt w:val="bullet"/>
      <w:lvlText w:val="•"/>
      <w:lvlJc w:val="left"/>
      <w:pPr>
        <w:ind w:left="967" w:hanging="173"/>
      </w:pPr>
      <w:rPr>
        <w:rFonts w:hint="default"/>
        <w:lang w:val="en-US" w:eastAsia="zh-CN" w:bidi="ar-SA"/>
      </w:rPr>
    </w:lvl>
    <w:lvl w:ilvl="2">
      <w:start w:val="0"/>
      <w:numFmt w:val="bullet"/>
      <w:lvlText w:val="•"/>
      <w:lvlJc w:val="left"/>
      <w:pPr>
        <w:ind w:left="1714" w:hanging="173"/>
      </w:pPr>
      <w:rPr>
        <w:rFonts w:hint="default"/>
        <w:lang w:val="en-US" w:eastAsia="zh-CN" w:bidi="ar-SA"/>
      </w:rPr>
    </w:lvl>
    <w:lvl w:ilvl="3">
      <w:start w:val="0"/>
      <w:numFmt w:val="bullet"/>
      <w:lvlText w:val="•"/>
      <w:lvlJc w:val="left"/>
      <w:pPr>
        <w:ind w:left="2462" w:hanging="173"/>
      </w:pPr>
      <w:rPr>
        <w:rFonts w:hint="default"/>
        <w:lang w:val="en-US" w:eastAsia="zh-CN" w:bidi="ar-SA"/>
      </w:rPr>
    </w:lvl>
    <w:lvl w:ilvl="4">
      <w:start w:val="0"/>
      <w:numFmt w:val="bullet"/>
      <w:lvlText w:val="•"/>
      <w:lvlJc w:val="left"/>
      <w:pPr>
        <w:ind w:left="3209" w:hanging="173"/>
      </w:pPr>
      <w:rPr>
        <w:rFonts w:hint="default"/>
        <w:lang w:val="en-US" w:eastAsia="zh-CN" w:bidi="ar-SA"/>
      </w:rPr>
    </w:lvl>
    <w:lvl w:ilvl="5">
      <w:start w:val="0"/>
      <w:numFmt w:val="bullet"/>
      <w:lvlText w:val="•"/>
      <w:lvlJc w:val="left"/>
      <w:pPr>
        <w:ind w:left="3956" w:hanging="173"/>
      </w:pPr>
      <w:rPr>
        <w:rFonts w:hint="default"/>
        <w:lang w:val="en-US" w:eastAsia="zh-CN" w:bidi="ar-SA"/>
      </w:rPr>
    </w:lvl>
    <w:lvl w:ilvl="6">
      <w:start w:val="0"/>
      <w:numFmt w:val="bullet"/>
      <w:lvlText w:val="•"/>
      <w:lvlJc w:val="left"/>
      <w:pPr>
        <w:ind w:left="4704" w:hanging="173"/>
      </w:pPr>
      <w:rPr>
        <w:rFonts w:hint="default"/>
        <w:lang w:val="en-US" w:eastAsia="zh-CN" w:bidi="ar-SA"/>
      </w:rPr>
    </w:lvl>
    <w:lvl w:ilvl="7">
      <w:start w:val="0"/>
      <w:numFmt w:val="bullet"/>
      <w:lvlText w:val="•"/>
      <w:lvlJc w:val="left"/>
      <w:pPr>
        <w:ind w:left="5451" w:hanging="173"/>
      </w:pPr>
      <w:rPr>
        <w:rFonts w:hint="default"/>
        <w:lang w:val="en-US" w:eastAsia="zh-CN" w:bidi="ar-SA"/>
      </w:rPr>
    </w:lvl>
    <w:lvl w:ilvl="8">
      <w:start w:val="0"/>
      <w:numFmt w:val="bullet"/>
      <w:lvlText w:val="•"/>
      <w:lvlJc w:val="left"/>
      <w:pPr>
        <w:ind w:left="6198" w:hanging="173"/>
      </w:pPr>
      <w:rPr>
        <w:rFonts w:hint="default"/>
        <w:lang w:val="en-US" w:eastAsia="zh-CN" w:bidi="ar-SA"/>
      </w:rPr>
    </w:lvl>
  </w:abstractNum>
  <w:abstractNum w:abstractNumId="31">
    <w:nsid w:val="5D69DD4D"/>
    <w:multiLevelType w:val="hybridMultilevel"/>
    <w:tmpl w:val="00000000"/>
    <w:lvl w:ilvl="0">
      <w:start w:val="0"/>
      <w:numFmt w:val="bullet"/>
      <w:lvlText w:val=""/>
      <w:lvlJc w:val="left"/>
      <w:pPr>
        <w:ind w:left="199" w:hanging="132"/>
      </w:pPr>
      <w:rPr>
        <w:rFonts w:ascii="Symbol" w:eastAsia="Symbol" w:hAnsi="Symbol" w:cs="Symbol" w:hint="default"/>
        <w:w w:val="102"/>
        <w:lang w:val="en-US" w:eastAsia="zh-CN" w:bidi="ar-SA"/>
      </w:rPr>
    </w:lvl>
    <w:lvl w:ilvl="1">
      <w:start w:val="0"/>
      <w:numFmt w:val="bullet"/>
      <w:lvlText w:val="•"/>
      <w:lvlJc w:val="left"/>
      <w:pPr>
        <w:ind w:left="269" w:hanging="132"/>
      </w:pPr>
      <w:rPr>
        <w:rFonts w:hint="default"/>
        <w:lang w:val="en-US" w:eastAsia="zh-CN" w:bidi="ar-SA"/>
      </w:rPr>
    </w:lvl>
    <w:lvl w:ilvl="2">
      <w:start w:val="0"/>
      <w:numFmt w:val="bullet"/>
      <w:lvlText w:val="•"/>
      <w:lvlJc w:val="left"/>
      <w:pPr>
        <w:ind w:left="339" w:hanging="132"/>
      </w:pPr>
      <w:rPr>
        <w:rFonts w:hint="default"/>
        <w:lang w:val="en-US" w:eastAsia="zh-CN" w:bidi="ar-SA"/>
      </w:rPr>
    </w:lvl>
    <w:lvl w:ilvl="3">
      <w:start w:val="0"/>
      <w:numFmt w:val="bullet"/>
      <w:lvlText w:val="•"/>
      <w:lvlJc w:val="left"/>
      <w:pPr>
        <w:ind w:left="409" w:hanging="132"/>
      </w:pPr>
      <w:rPr>
        <w:rFonts w:hint="default"/>
        <w:lang w:val="en-US" w:eastAsia="zh-CN" w:bidi="ar-SA"/>
      </w:rPr>
    </w:lvl>
    <w:lvl w:ilvl="4">
      <w:start w:val="0"/>
      <w:numFmt w:val="bullet"/>
      <w:lvlText w:val="•"/>
      <w:lvlJc w:val="left"/>
      <w:pPr>
        <w:ind w:left="478" w:hanging="132"/>
      </w:pPr>
      <w:rPr>
        <w:rFonts w:hint="default"/>
        <w:lang w:val="en-US" w:eastAsia="zh-CN" w:bidi="ar-SA"/>
      </w:rPr>
    </w:lvl>
    <w:lvl w:ilvl="5">
      <w:start w:val="0"/>
      <w:numFmt w:val="bullet"/>
      <w:lvlText w:val="•"/>
      <w:lvlJc w:val="left"/>
      <w:pPr>
        <w:ind w:left="548" w:hanging="132"/>
      </w:pPr>
      <w:rPr>
        <w:rFonts w:hint="default"/>
        <w:lang w:val="en-US" w:eastAsia="zh-CN" w:bidi="ar-SA"/>
      </w:rPr>
    </w:lvl>
    <w:lvl w:ilvl="6">
      <w:start w:val="0"/>
      <w:numFmt w:val="bullet"/>
      <w:lvlText w:val="•"/>
      <w:lvlJc w:val="left"/>
      <w:pPr>
        <w:ind w:left="618" w:hanging="132"/>
      </w:pPr>
      <w:rPr>
        <w:rFonts w:hint="default"/>
        <w:lang w:val="en-US" w:eastAsia="zh-CN" w:bidi="ar-SA"/>
      </w:rPr>
    </w:lvl>
    <w:lvl w:ilvl="7">
      <w:start w:val="0"/>
      <w:numFmt w:val="bullet"/>
      <w:lvlText w:val="•"/>
      <w:lvlJc w:val="left"/>
      <w:pPr>
        <w:ind w:left="688" w:hanging="132"/>
      </w:pPr>
      <w:rPr>
        <w:rFonts w:hint="default"/>
        <w:lang w:val="en-US" w:eastAsia="zh-CN" w:bidi="ar-SA"/>
      </w:rPr>
    </w:lvl>
    <w:lvl w:ilvl="8">
      <w:start w:val="0"/>
      <w:numFmt w:val="bullet"/>
      <w:lvlText w:val="•"/>
      <w:lvlJc w:val="left"/>
      <w:pPr>
        <w:ind w:left="757" w:hanging="132"/>
      </w:pPr>
      <w:rPr>
        <w:rFonts w:hint="default"/>
        <w:lang w:val="en-US" w:eastAsia="zh-CN" w:bidi="ar-SA"/>
      </w:rPr>
    </w:lvl>
  </w:abstractNum>
  <w:abstractNum w:abstractNumId="32">
    <w:nsid w:val="5FD00F9D"/>
    <w:multiLevelType w:val="hybridMultilevel"/>
    <w:tmpl w:val="00000000"/>
    <w:lvl w:ilvl="0">
      <w:start w:val="0"/>
      <w:numFmt w:val="bullet"/>
      <w:lvlText w:val=""/>
      <w:lvlJc w:val="left"/>
      <w:pPr>
        <w:ind w:left="218" w:hanging="160"/>
      </w:pPr>
      <w:rPr>
        <w:rFonts w:ascii="Symbol" w:eastAsia="Symbol" w:hAnsi="Symbol" w:cs="Symbol" w:hint="default"/>
        <w:b w:val="0"/>
        <w:bCs w:val="0"/>
        <w:i w:val="0"/>
        <w:iCs w:val="0"/>
        <w:w w:val="100"/>
        <w:position w:val="5"/>
        <w:sz w:val="20"/>
        <w:szCs w:val="20"/>
        <w:lang w:val="en-US" w:eastAsia="zh-CN" w:bidi="ar-SA"/>
      </w:rPr>
    </w:lvl>
    <w:lvl w:ilvl="1">
      <w:start w:val="0"/>
      <w:numFmt w:val="bullet"/>
      <w:lvlText w:val=""/>
      <w:lvlJc w:val="left"/>
      <w:pPr>
        <w:ind w:left="517" w:hanging="137"/>
      </w:pPr>
      <w:rPr>
        <w:rFonts w:ascii="Symbol" w:eastAsia="Symbol" w:hAnsi="Symbol" w:cs="Symbol" w:hint="default"/>
        <w:b w:val="0"/>
        <w:bCs w:val="0"/>
        <w:i w:val="0"/>
        <w:iCs w:val="0"/>
        <w:w w:val="100"/>
        <w:sz w:val="20"/>
        <w:szCs w:val="20"/>
        <w:lang w:val="en-US" w:eastAsia="zh-CN" w:bidi="ar-SA"/>
      </w:rPr>
    </w:lvl>
    <w:lvl w:ilvl="2">
      <w:start w:val="0"/>
      <w:numFmt w:val="bullet"/>
      <w:lvlText w:val="•"/>
      <w:lvlJc w:val="left"/>
      <w:pPr>
        <w:ind w:left="610" w:hanging="137"/>
      </w:pPr>
      <w:rPr>
        <w:rFonts w:hint="default"/>
        <w:lang w:val="en-US" w:eastAsia="zh-CN" w:bidi="ar-SA"/>
      </w:rPr>
    </w:lvl>
    <w:lvl w:ilvl="3">
      <w:start w:val="0"/>
      <w:numFmt w:val="bullet"/>
      <w:lvlText w:val="•"/>
      <w:lvlJc w:val="left"/>
      <w:pPr>
        <w:ind w:left="701" w:hanging="137"/>
      </w:pPr>
      <w:rPr>
        <w:rFonts w:hint="default"/>
        <w:lang w:val="en-US" w:eastAsia="zh-CN" w:bidi="ar-SA"/>
      </w:rPr>
    </w:lvl>
    <w:lvl w:ilvl="4">
      <w:start w:val="0"/>
      <w:numFmt w:val="bullet"/>
      <w:lvlText w:val="•"/>
      <w:lvlJc w:val="left"/>
      <w:pPr>
        <w:ind w:left="792" w:hanging="137"/>
      </w:pPr>
      <w:rPr>
        <w:rFonts w:hint="default"/>
        <w:lang w:val="en-US" w:eastAsia="zh-CN" w:bidi="ar-SA"/>
      </w:rPr>
    </w:lvl>
    <w:lvl w:ilvl="5">
      <w:start w:val="0"/>
      <w:numFmt w:val="bullet"/>
      <w:lvlText w:val="•"/>
      <w:lvlJc w:val="left"/>
      <w:pPr>
        <w:ind w:left="883" w:hanging="137"/>
      </w:pPr>
      <w:rPr>
        <w:rFonts w:hint="default"/>
        <w:lang w:val="en-US" w:eastAsia="zh-CN" w:bidi="ar-SA"/>
      </w:rPr>
    </w:lvl>
    <w:lvl w:ilvl="6">
      <w:start w:val="0"/>
      <w:numFmt w:val="bullet"/>
      <w:lvlText w:val="•"/>
      <w:lvlJc w:val="left"/>
      <w:pPr>
        <w:ind w:left="973" w:hanging="137"/>
      </w:pPr>
      <w:rPr>
        <w:rFonts w:hint="default"/>
        <w:lang w:val="en-US" w:eastAsia="zh-CN" w:bidi="ar-SA"/>
      </w:rPr>
    </w:lvl>
    <w:lvl w:ilvl="7">
      <w:start w:val="0"/>
      <w:numFmt w:val="bullet"/>
      <w:lvlText w:val="•"/>
      <w:lvlJc w:val="left"/>
      <w:pPr>
        <w:ind w:left="1064" w:hanging="137"/>
      </w:pPr>
      <w:rPr>
        <w:rFonts w:hint="default"/>
        <w:lang w:val="en-US" w:eastAsia="zh-CN" w:bidi="ar-SA"/>
      </w:rPr>
    </w:lvl>
    <w:lvl w:ilvl="8">
      <w:start w:val="0"/>
      <w:numFmt w:val="bullet"/>
      <w:lvlText w:val="•"/>
      <w:lvlJc w:val="left"/>
      <w:pPr>
        <w:ind w:left="1155" w:hanging="137"/>
      </w:pPr>
      <w:rPr>
        <w:rFonts w:hint="default"/>
        <w:lang w:val="en-US" w:eastAsia="zh-CN" w:bidi="ar-SA"/>
      </w:rPr>
    </w:lvl>
  </w:abstractNum>
  <w:abstractNum w:abstractNumId="33">
    <w:nsid w:val="5FF6467E"/>
    <w:multiLevelType w:val="hybridMultilevel"/>
    <w:tmpl w:val="00000000"/>
    <w:lvl w:ilvl="0">
      <w:start w:val="0"/>
      <w:numFmt w:val="bullet"/>
      <w:lvlText w:val=""/>
      <w:lvlJc w:val="left"/>
      <w:pPr>
        <w:ind w:left="1261" w:hanging="142"/>
      </w:pPr>
      <w:rPr>
        <w:rFonts w:ascii="Symbol" w:eastAsia="Symbol" w:hAnsi="Symbol" w:cs="Symbol" w:hint="default"/>
        <w:b w:val="0"/>
        <w:bCs w:val="0"/>
        <w:i w:val="0"/>
        <w:iCs w:val="0"/>
        <w:w w:val="100"/>
        <w:position w:val="-7"/>
        <w:sz w:val="20"/>
        <w:szCs w:val="20"/>
        <w:lang w:val="en-US" w:eastAsia="zh-CN" w:bidi="ar-SA"/>
      </w:rPr>
    </w:lvl>
    <w:lvl w:ilvl="1">
      <w:start w:val="0"/>
      <w:numFmt w:val="bullet"/>
      <w:lvlText w:val="•"/>
      <w:lvlJc w:val="left"/>
      <w:pPr>
        <w:ind w:left="1529" w:hanging="142"/>
      </w:pPr>
      <w:rPr>
        <w:rFonts w:hint="default"/>
        <w:lang w:val="en-US" w:eastAsia="zh-CN" w:bidi="ar-SA"/>
      </w:rPr>
    </w:lvl>
    <w:lvl w:ilvl="2">
      <w:start w:val="0"/>
      <w:numFmt w:val="bullet"/>
      <w:lvlText w:val="•"/>
      <w:lvlJc w:val="left"/>
      <w:pPr>
        <w:ind w:left="1798" w:hanging="142"/>
      </w:pPr>
      <w:rPr>
        <w:rFonts w:hint="default"/>
        <w:lang w:val="en-US" w:eastAsia="zh-CN" w:bidi="ar-SA"/>
      </w:rPr>
    </w:lvl>
    <w:lvl w:ilvl="3">
      <w:start w:val="0"/>
      <w:numFmt w:val="bullet"/>
      <w:lvlText w:val="•"/>
      <w:lvlJc w:val="left"/>
      <w:pPr>
        <w:ind w:left="2067" w:hanging="142"/>
      </w:pPr>
      <w:rPr>
        <w:rFonts w:hint="default"/>
        <w:lang w:val="en-US" w:eastAsia="zh-CN" w:bidi="ar-SA"/>
      </w:rPr>
    </w:lvl>
    <w:lvl w:ilvl="4">
      <w:start w:val="0"/>
      <w:numFmt w:val="bullet"/>
      <w:lvlText w:val="•"/>
      <w:lvlJc w:val="left"/>
      <w:pPr>
        <w:ind w:left="2336" w:hanging="142"/>
      </w:pPr>
      <w:rPr>
        <w:rFonts w:hint="default"/>
        <w:lang w:val="en-US" w:eastAsia="zh-CN" w:bidi="ar-SA"/>
      </w:rPr>
    </w:lvl>
    <w:lvl w:ilvl="5">
      <w:start w:val="0"/>
      <w:numFmt w:val="bullet"/>
      <w:lvlText w:val="•"/>
      <w:lvlJc w:val="left"/>
      <w:pPr>
        <w:ind w:left="2605" w:hanging="142"/>
      </w:pPr>
      <w:rPr>
        <w:rFonts w:hint="default"/>
        <w:lang w:val="en-US" w:eastAsia="zh-CN" w:bidi="ar-SA"/>
      </w:rPr>
    </w:lvl>
    <w:lvl w:ilvl="6">
      <w:start w:val="0"/>
      <w:numFmt w:val="bullet"/>
      <w:lvlText w:val="•"/>
      <w:lvlJc w:val="left"/>
      <w:pPr>
        <w:ind w:left="2875" w:hanging="142"/>
      </w:pPr>
      <w:rPr>
        <w:rFonts w:hint="default"/>
        <w:lang w:val="en-US" w:eastAsia="zh-CN" w:bidi="ar-SA"/>
      </w:rPr>
    </w:lvl>
    <w:lvl w:ilvl="7">
      <w:start w:val="0"/>
      <w:numFmt w:val="bullet"/>
      <w:lvlText w:val="•"/>
      <w:lvlJc w:val="left"/>
      <w:pPr>
        <w:ind w:left="3144" w:hanging="142"/>
      </w:pPr>
      <w:rPr>
        <w:rFonts w:hint="default"/>
        <w:lang w:val="en-US" w:eastAsia="zh-CN" w:bidi="ar-SA"/>
      </w:rPr>
    </w:lvl>
    <w:lvl w:ilvl="8">
      <w:start w:val="0"/>
      <w:numFmt w:val="bullet"/>
      <w:lvlText w:val="•"/>
      <w:lvlJc w:val="left"/>
      <w:pPr>
        <w:ind w:left="3413" w:hanging="142"/>
      </w:pPr>
      <w:rPr>
        <w:rFonts w:hint="default"/>
        <w:lang w:val="en-US" w:eastAsia="zh-CN" w:bidi="ar-SA"/>
      </w:rPr>
    </w:lvl>
  </w:abstractNum>
  <w:abstractNum w:abstractNumId="34">
    <w:nsid w:val="631E4D4B"/>
    <w:multiLevelType w:val="hybridMultilevel"/>
    <w:tmpl w:val="00000000"/>
    <w:lvl w:ilvl="0">
      <w:start w:val="1"/>
      <w:numFmt w:val="decimal"/>
      <w:lvlText w:val="%1."/>
      <w:lvlJc w:val="left"/>
      <w:pPr>
        <w:ind w:left="415" w:hanging="271"/>
        <w:jc w:val="left"/>
      </w:pPr>
      <w:rPr>
        <w:rFonts w:ascii="Times New Roman" w:eastAsia="Times New Roman" w:hAnsi="Times New Roman" w:cs="Times New Roman" w:hint="default"/>
        <w:b w:val="0"/>
        <w:bCs w:val="0"/>
        <w:i w:val="0"/>
        <w:iCs w:val="0"/>
        <w:w w:val="100"/>
        <w:sz w:val="16"/>
        <w:szCs w:val="16"/>
        <w:lang w:val="en-US" w:eastAsia="zh-CN" w:bidi="ar-SA"/>
      </w:rPr>
    </w:lvl>
    <w:lvl w:ilvl="1">
      <w:start w:val="0"/>
      <w:numFmt w:val="bullet"/>
      <w:lvlText w:val="•"/>
      <w:lvlJc w:val="left"/>
      <w:pPr>
        <w:ind w:left="628" w:hanging="271"/>
      </w:pPr>
      <w:rPr>
        <w:rFonts w:hint="default"/>
        <w:lang w:val="en-US" w:eastAsia="zh-CN" w:bidi="ar-SA"/>
      </w:rPr>
    </w:lvl>
    <w:lvl w:ilvl="2">
      <w:start w:val="0"/>
      <w:numFmt w:val="bullet"/>
      <w:lvlText w:val="•"/>
      <w:lvlJc w:val="left"/>
      <w:pPr>
        <w:ind w:left="837" w:hanging="271"/>
      </w:pPr>
      <w:rPr>
        <w:rFonts w:hint="default"/>
        <w:lang w:val="en-US" w:eastAsia="zh-CN" w:bidi="ar-SA"/>
      </w:rPr>
    </w:lvl>
    <w:lvl w:ilvl="3">
      <w:start w:val="0"/>
      <w:numFmt w:val="bullet"/>
      <w:lvlText w:val="•"/>
      <w:lvlJc w:val="left"/>
      <w:pPr>
        <w:ind w:left="1045" w:hanging="271"/>
      </w:pPr>
      <w:rPr>
        <w:rFonts w:hint="default"/>
        <w:lang w:val="en-US" w:eastAsia="zh-CN" w:bidi="ar-SA"/>
      </w:rPr>
    </w:lvl>
    <w:lvl w:ilvl="4">
      <w:start w:val="0"/>
      <w:numFmt w:val="bullet"/>
      <w:lvlText w:val="•"/>
      <w:lvlJc w:val="left"/>
      <w:pPr>
        <w:ind w:left="1254" w:hanging="271"/>
      </w:pPr>
      <w:rPr>
        <w:rFonts w:hint="default"/>
        <w:lang w:val="en-US" w:eastAsia="zh-CN" w:bidi="ar-SA"/>
      </w:rPr>
    </w:lvl>
    <w:lvl w:ilvl="5">
      <w:start w:val="0"/>
      <w:numFmt w:val="bullet"/>
      <w:lvlText w:val="•"/>
      <w:lvlJc w:val="left"/>
      <w:pPr>
        <w:ind w:left="1462" w:hanging="271"/>
      </w:pPr>
      <w:rPr>
        <w:rFonts w:hint="default"/>
        <w:lang w:val="en-US" w:eastAsia="zh-CN" w:bidi="ar-SA"/>
      </w:rPr>
    </w:lvl>
    <w:lvl w:ilvl="6">
      <w:start w:val="0"/>
      <w:numFmt w:val="bullet"/>
      <w:lvlText w:val="•"/>
      <w:lvlJc w:val="left"/>
      <w:pPr>
        <w:ind w:left="1671" w:hanging="271"/>
      </w:pPr>
      <w:rPr>
        <w:rFonts w:hint="default"/>
        <w:lang w:val="en-US" w:eastAsia="zh-CN" w:bidi="ar-SA"/>
      </w:rPr>
    </w:lvl>
    <w:lvl w:ilvl="7">
      <w:start w:val="0"/>
      <w:numFmt w:val="bullet"/>
      <w:lvlText w:val="•"/>
      <w:lvlJc w:val="left"/>
      <w:pPr>
        <w:ind w:left="1879" w:hanging="271"/>
      </w:pPr>
      <w:rPr>
        <w:rFonts w:hint="default"/>
        <w:lang w:val="en-US" w:eastAsia="zh-CN" w:bidi="ar-SA"/>
      </w:rPr>
    </w:lvl>
    <w:lvl w:ilvl="8">
      <w:start w:val="0"/>
      <w:numFmt w:val="bullet"/>
      <w:lvlText w:val="•"/>
      <w:lvlJc w:val="left"/>
      <w:pPr>
        <w:ind w:left="2088" w:hanging="271"/>
      </w:pPr>
      <w:rPr>
        <w:rFonts w:hint="default"/>
        <w:lang w:val="en-US" w:eastAsia="zh-CN" w:bidi="ar-SA"/>
      </w:rPr>
    </w:lvl>
  </w:abstractNum>
  <w:abstractNum w:abstractNumId="35">
    <w:nsid w:val="6413CFF9"/>
    <w:multiLevelType w:val="hybridMultilevel"/>
    <w:tmpl w:val="00000000"/>
    <w:lvl w:ilvl="0">
      <w:start w:val="0"/>
      <w:numFmt w:val="bullet"/>
      <w:lvlText w:val=""/>
      <w:lvlJc w:val="left"/>
      <w:pPr>
        <w:ind w:left="221" w:hanging="153"/>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235" w:hanging="153"/>
      </w:pPr>
      <w:rPr>
        <w:rFonts w:hint="default"/>
        <w:lang w:val="en-US" w:eastAsia="zh-CN" w:bidi="ar-SA"/>
      </w:rPr>
    </w:lvl>
    <w:lvl w:ilvl="2">
      <w:start w:val="0"/>
      <w:numFmt w:val="bullet"/>
      <w:lvlText w:val="•"/>
      <w:lvlJc w:val="left"/>
      <w:pPr>
        <w:ind w:left="250" w:hanging="153"/>
      </w:pPr>
      <w:rPr>
        <w:rFonts w:hint="default"/>
        <w:lang w:val="en-US" w:eastAsia="zh-CN" w:bidi="ar-SA"/>
      </w:rPr>
    </w:lvl>
    <w:lvl w:ilvl="3">
      <w:start w:val="0"/>
      <w:numFmt w:val="bullet"/>
      <w:lvlText w:val="•"/>
      <w:lvlJc w:val="left"/>
      <w:pPr>
        <w:ind w:left="266" w:hanging="153"/>
      </w:pPr>
      <w:rPr>
        <w:rFonts w:hint="default"/>
        <w:lang w:val="en-US" w:eastAsia="zh-CN" w:bidi="ar-SA"/>
      </w:rPr>
    </w:lvl>
    <w:lvl w:ilvl="4">
      <w:start w:val="0"/>
      <w:numFmt w:val="bullet"/>
      <w:lvlText w:val="•"/>
      <w:lvlJc w:val="left"/>
      <w:pPr>
        <w:ind w:left="281" w:hanging="153"/>
      </w:pPr>
      <w:rPr>
        <w:rFonts w:hint="default"/>
        <w:lang w:val="en-US" w:eastAsia="zh-CN" w:bidi="ar-SA"/>
      </w:rPr>
    </w:lvl>
    <w:lvl w:ilvl="5">
      <w:start w:val="0"/>
      <w:numFmt w:val="bullet"/>
      <w:lvlText w:val="•"/>
      <w:lvlJc w:val="left"/>
      <w:pPr>
        <w:ind w:left="296" w:hanging="153"/>
      </w:pPr>
      <w:rPr>
        <w:rFonts w:hint="default"/>
        <w:lang w:val="en-US" w:eastAsia="zh-CN" w:bidi="ar-SA"/>
      </w:rPr>
    </w:lvl>
    <w:lvl w:ilvl="6">
      <w:start w:val="0"/>
      <w:numFmt w:val="bullet"/>
      <w:lvlText w:val="•"/>
      <w:lvlJc w:val="left"/>
      <w:pPr>
        <w:ind w:left="312" w:hanging="153"/>
      </w:pPr>
      <w:rPr>
        <w:rFonts w:hint="default"/>
        <w:lang w:val="en-US" w:eastAsia="zh-CN" w:bidi="ar-SA"/>
      </w:rPr>
    </w:lvl>
    <w:lvl w:ilvl="7">
      <w:start w:val="0"/>
      <w:numFmt w:val="bullet"/>
      <w:lvlText w:val="•"/>
      <w:lvlJc w:val="left"/>
      <w:pPr>
        <w:ind w:left="327" w:hanging="153"/>
      </w:pPr>
      <w:rPr>
        <w:rFonts w:hint="default"/>
        <w:lang w:val="en-US" w:eastAsia="zh-CN" w:bidi="ar-SA"/>
      </w:rPr>
    </w:lvl>
    <w:lvl w:ilvl="8">
      <w:start w:val="0"/>
      <w:numFmt w:val="bullet"/>
      <w:lvlText w:val="•"/>
      <w:lvlJc w:val="left"/>
      <w:pPr>
        <w:ind w:left="343" w:hanging="153"/>
      </w:pPr>
      <w:rPr>
        <w:rFonts w:hint="default"/>
        <w:lang w:val="en-US" w:eastAsia="zh-CN" w:bidi="ar-SA"/>
      </w:rPr>
    </w:lvl>
  </w:abstractNum>
  <w:abstractNum w:abstractNumId="36">
    <w:nsid w:val="6CAF562B"/>
    <w:multiLevelType w:val="hybridMultilevel"/>
    <w:tmpl w:val="00000000"/>
    <w:lvl w:ilvl="0">
      <w:start w:val="0"/>
      <w:numFmt w:val="bullet"/>
      <w:lvlText w:val=""/>
      <w:lvlJc w:val="left"/>
      <w:pPr>
        <w:ind w:left="585" w:hanging="317"/>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774" w:hanging="317"/>
      </w:pPr>
      <w:rPr>
        <w:rFonts w:ascii="Symbol" w:eastAsia="Symbol" w:hAnsi="Symbol" w:cs="Symbol" w:hint="default"/>
        <w:b w:val="0"/>
        <w:bCs w:val="0"/>
        <w:i w:val="0"/>
        <w:iCs w:val="0"/>
        <w:w w:val="100"/>
        <w:sz w:val="20"/>
        <w:szCs w:val="20"/>
        <w:lang w:val="en-US" w:eastAsia="zh-CN" w:bidi="ar-SA"/>
      </w:rPr>
    </w:lvl>
    <w:lvl w:ilvl="2">
      <w:start w:val="0"/>
      <w:numFmt w:val="bullet"/>
      <w:lvlText w:val="•"/>
      <w:lvlJc w:val="left"/>
      <w:pPr>
        <w:ind w:left="688" w:hanging="317"/>
      </w:pPr>
      <w:rPr>
        <w:rFonts w:hint="default"/>
        <w:lang w:val="en-US" w:eastAsia="zh-CN" w:bidi="ar-SA"/>
      </w:rPr>
    </w:lvl>
    <w:lvl w:ilvl="3">
      <w:start w:val="0"/>
      <w:numFmt w:val="bullet"/>
      <w:lvlText w:val="•"/>
      <w:lvlJc w:val="left"/>
      <w:pPr>
        <w:ind w:left="597" w:hanging="317"/>
      </w:pPr>
      <w:rPr>
        <w:rFonts w:hint="default"/>
        <w:lang w:val="en-US" w:eastAsia="zh-CN" w:bidi="ar-SA"/>
      </w:rPr>
    </w:lvl>
    <w:lvl w:ilvl="4">
      <w:start w:val="0"/>
      <w:numFmt w:val="bullet"/>
      <w:lvlText w:val="•"/>
      <w:lvlJc w:val="left"/>
      <w:pPr>
        <w:ind w:left="506" w:hanging="317"/>
      </w:pPr>
      <w:rPr>
        <w:rFonts w:hint="default"/>
        <w:lang w:val="en-US" w:eastAsia="zh-CN" w:bidi="ar-SA"/>
      </w:rPr>
    </w:lvl>
    <w:lvl w:ilvl="5">
      <w:start w:val="0"/>
      <w:numFmt w:val="bullet"/>
      <w:lvlText w:val="•"/>
      <w:lvlJc w:val="left"/>
      <w:pPr>
        <w:ind w:left="415" w:hanging="317"/>
      </w:pPr>
      <w:rPr>
        <w:rFonts w:hint="default"/>
        <w:lang w:val="en-US" w:eastAsia="zh-CN" w:bidi="ar-SA"/>
      </w:rPr>
    </w:lvl>
    <w:lvl w:ilvl="6">
      <w:start w:val="0"/>
      <w:numFmt w:val="bullet"/>
      <w:lvlText w:val="•"/>
      <w:lvlJc w:val="left"/>
      <w:pPr>
        <w:ind w:left="324" w:hanging="317"/>
      </w:pPr>
      <w:rPr>
        <w:rFonts w:hint="default"/>
        <w:lang w:val="en-US" w:eastAsia="zh-CN" w:bidi="ar-SA"/>
      </w:rPr>
    </w:lvl>
    <w:lvl w:ilvl="7">
      <w:start w:val="0"/>
      <w:numFmt w:val="bullet"/>
      <w:lvlText w:val="•"/>
      <w:lvlJc w:val="left"/>
      <w:pPr>
        <w:ind w:left="233" w:hanging="317"/>
      </w:pPr>
      <w:rPr>
        <w:rFonts w:hint="default"/>
        <w:lang w:val="en-US" w:eastAsia="zh-CN" w:bidi="ar-SA"/>
      </w:rPr>
    </w:lvl>
    <w:lvl w:ilvl="8">
      <w:start w:val="0"/>
      <w:numFmt w:val="bullet"/>
      <w:lvlText w:val="•"/>
      <w:lvlJc w:val="left"/>
      <w:pPr>
        <w:ind w:left="142" w:hanging="317"/>
      </w:pPr>
      <w:rPr>
        <w:rFonts w:hint="default"/>
        <w:lang w:val="en-US" w:eastAsia="zh-CN" w:bidi="ar-SA"/>
      </w:rPr>
    </w:lvl>
  </w:abstractNum>
  <w:abstractNum w:abstractNumId="37">
    <w:nsid w:val="70590BBC"/>
    <w:multiLevelType w:val="hybridMultilevel"/>
    <w:tmpl w:val="00000000"/>
    <w:lvl w:ilvl="0">
      <w:start w:val="1"/>
      <w:numFmt w:val="lowerLetter"/>
      <w:lvlText w:val="%1."/>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692" w:hanging="251"/>
      </w:pPr>
      <w:rPr>
        <w:rFonts w:hint="default"/>
        <w:lang w:val="en-US" w:eastAsia="zh-CN" w:bidi="ar-SA"/>
      </w:rPr>
    </w:lvl>
    <w:lvl w:ilvl="2">
      <w:start w:val="0"/>
      <w:numFmt w:val="bullet"/>
      <w:lvlText w:val="•"/>
      <w:lvlJc w:val="left"/>
      <w:pPr>
        <w:ind w:left="2485" w:hanging="251"/>
      </w:pPr>
      <w:rPr>
        <w:rFonts w:hint="default"/>
        <w:lang w:val="en-US" w:eastAsia="zh-CN" w:bidi="ar-SA"/>
      </w:rPr>
    </w:lvl>
    <w:lvl w:ilvl="3">
      <w:start w:val="0"/>
      <w:numFmt w:val="bullet"/>
      <w:lvlText w:val="•"/>
      <w:lvlJc w:val="left"/>
      <w:pPr>
        <w:ind w:left="3277" w:hanging="251"/>
      </w:pPr>
      <w:rPr>
        <w:rFonts w:hint="default"/>
        <w:lang w:val="en-US" w:eastAsia="zh-CN" w:bidi="ar-SA"/>
      </w:rPr>
    </w:lvl>
    <w:lvl w:ilvl="4">
      <w:start w:val="0"/>
      <w:numFmt w:val="bullet"/>
      <w:lvlText w:val="•"/>
      <w:lvlJc w:val="left"/>
      <w:pPr>
        <w:ind w:left="4070" w:hanging="251"/>
      </w:pPr>
      <w:rPr>
        <w:rFonts w:hint="default"/>
        <w:lang w:val="en-US" w:eastAsia="zh-CN" w:bidi="ar-SA"/>
      </w:rPr>
    </w:lvl>
    <w:lvl w:ilvl="5">
      <w:start w:val="0"/>
      <w:numFmt w:val="bullet"/>
      <w:lvlText w:val="•"/>
      <w:lvlJc w:val="left"/>
      <w:pPr>
        <w:ind w:left="4863" w:hanging="251"/>
      </w:pPr>
      <w:rPr>
        <w:rFonts w:hint="default"/>
        <w:lang w:val="en-US" w:eastAsia="zh-CN" w:bidi="ar-SA"/>
      </w:rPr>
    </w:lvl>
    <w:lvl w:ilvl="6">
      <w:start w:val="0"/>
      <w:numFmt w:val="bullet"/>
      <w:lvlText w:val="•"/>
      <w:lvlJc w:val="left"/>
      <w:pPr>
        <w:ind w:left="5655" w:hanging="251"/>
      </w:pPr>
      <w:rPr>
        <w:rFonts w:hint="default"/>
        <w:lang w:val="en-US" w:eastAsia="zh-CN" w:bidi="ar-SA"/>
      </w:rPr>
    </w:lvl>
    <w:lvl w:ilvl="7">
      <w:start w:val="0"/>
      <w:numFmt w:val="bullet"/>
      <w:lvlText w:val="•"/>
      <w:lvlJc w:val="left"/>
      <w:pPr>
        <w:ind w:left="6448" w:hanging="251"/>
      </w:pPr>
      <w:rPr>
        <w:rFonts w:hint="default"/>
        <w:lang w:val="en-US" w:eastAsia="zh-CN" w:bidi="ar-SA"/>
      </w:rPr>
    </w:lvl>
    <w:lvl w:ilvl="8">
      <w:start w:val="0"/>
      <w:numFmt w:val="bullet"/>
      <w:lvlText w:val="•"/>
      <w:lvlJc w:val="left"/>
      <w:pPr>
        <w:ind w:left="7240" w:hanging="251"/>
      </w:pPr>
      <w:rPr>
        <w:rFonts w:hint="default"/>
        <w:lang w:val="en-US" w:eastAsia="zh-CN" w:bidi="ar-SA"/>
      </w:rPr>
    </w:lvl>
  </w:abstractNum>
  <w:abstractNum w:abstractNumId="38">
    <w:nsid w:val="74FC3EE1"/>
    <w:multiLevelType w:val="hybridMultilevel"/>
    <w:tmpl w:val="00000000"/>
    <w:lvl w:ilvl="0">
      <w:start w:val="7"/>
      <w:numFmt w:val="decimal"/>
      <w:lvlText w:val="%1"/>
      <w:lvlJc w:val="left"/>
      <w:pPr>
        <w:ind w:left="535" w:hanging="315"/>
        <w:jc w:val="left"/>
      </w:pPr>
      <w:rPr>
        <w:rFonts w:ascii="黑体" w:eastAsia="黑体" w:hAnsi="黑体" w:cs="黑体" w:hint="default"/>
        <w:b w:val="0"/>
        <w:bCs w:val="0"/>
        <w:i w:val="0"/>
        <w:iCs w:val="0"/>
        <w:w w:val="100"/>
        <w:sz w:val="21"/>
        <w:szCs w:val="21"/>
        <w:lang w:val="en-US" w:eastAsia="zh-CN" w:bidi="ar-SA"/>
      </w:rPr>
    </w:lvl>
    <w:lvl w:ilvl="1">
      <w:start w:val="1"/>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85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640"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1"/>
      <w:numFmt w:val="lowerLetter"/>
      <w:lvlText w:val="%5."/>
      <w:lvlJc w:val="left"/>
      <w:pPr>
        <w:ind w:left="89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5">
      <w:start w:val="1"/>
      <w:numFmt w:val="decimal"/>
      <w:lvlText w:val="（%6）"/>
      <w:lvlJc w:val="left"/>
      <w:pPr>
        <w:ind w:left="3271" w:hanging="526"/>
        <w:jc w:val="right"/>
      </w:pPr>
      <w:rPr>
        <w:rFonts w:ascii="宋体" w:eastAsia="宋体" w:hAnsi="宋体" w:cs="宋体" w:hint="default"/>
        <w:b w:val="0"/>
        <w:bCs w:val="0"/>
        <w:i w:val="0"/>
        <w:iCs w:val="0"/>
        <w:w w:val="100"/>
        <w:sz w:val="19"/>
        <w:szCs w:val="19"/>
        <w:lang w:val="en-US" w:eastAsia="zh-CN" w:bidi="ar-SA"/>
      </w:rPr>
    </w:lvl>
    <w:lvl w:ilvl="6">
      <w:start w:val="0"/>
      <w:numFmt w:val="bullet"/>
      <w:lvlText w:val="•"/>
      <w:lvlJc w:val="left"/>
      <w:pPr>
        <w:ind w:left="1000" w:hanging="526"/>
      </w:pPr>
      <w:rPr>
        <w:rFonts w:hint="default"/>
        <w:lang w:val="en-US" w:eastAsia="zh-CN" w:bidi="ar-SA"/>
      </w:rPr>
    </w:lvl>
    <w:lvl w:ilvl="7">
      <w:start w:val="0"/>
      <w:numFmt w:val="bullet"/>
      <w:lvlText w:val="•"/>
      <w:lvlJc w:val="left"/>
      <w:pPr>
        <w:ind w:left="3280" w:hanging="526"/>
      </w:pPr>
      <w:rPr>
        <w:rFonts w:hint="default"/>
        <w:lang w:val="en-US" w:eastAsia="zh-CN" w:bidi="ar-SA"/>
      </w:rPr>
    </w:lvl>
    <w:lvl w:ilvl="8">
      <w:start w:val="0"/>
      <w:numFmt w:val="bullet"/>
      <w:lvlText w:val="•"/>
      <w:lvlJc w:val="left"/>
      <w:pPr>
        <w:ind w:left="3270" w:hanging="526"/>
      </w:pPr>
      <w:rPr>
        <w:rFonts w:hint="default"/>
        <w:lang w:val="en-US" w:eastAsia="zh-CN" w:bidi="ar-SA"/>
      </w:rPr>
    </w:lvl>
  </w:abstractNum>
  <w:abstractNum w:abstractNumId="39">
    <w:nsid w:val="7820FA2F"/>
    <w:multiLevelType w:val="hybridMultilevel"/>
    <w:tmpl w:val="00000000"/>
    <w:lvl w:ilvl="0">
      <w:start w:val="0"/>
      <w:numFmt w:val="bullet"/>
      <w:lvlText w:val=""/>
      <w:lvlJc w:val="left"/>
      <w:pPr>
        <w:ind w:left="222" w:hanging="157"/>
      </w:pPr>
      <w:rPr>
        <w:rFonts w:ascii="Symbol" w:eastAsia="Symbol" w:hAnsi="Symbol" w:cs="Symbol" w:hint="default"/>
        <w:b w:val="0"/>
        <w:bCs w:val="0"/>
        <w:i w:val="0"/>
        <w:iCs w:val="0"/>
        <w:w w:val="100"/>
        <w:sz w:val="20"/>
        <w:szCs w:val="20"/>
        <w:lang w:val="en-US" w:eastAsia="zh-CN" w:bidi="ar-SA"/>
      </w:rPr>
    </w:lvl>
    <w:lvl w:ilvl="1">
      <w:start w:val="0"/>
      <w:numFmt w:val="bullet"/>
      <w:lvlText w:val="•"/>
      <w:lvlJc w:val="left"/>
      <w:pPr>
        <w:ind w:left="270" w:hanging="157"/>
      </w:pPr>
      <w:rPr>
        <w:rFonts w:hint="default"/>
        <w:lang w:val="en-US" w:eastAsia="zh-CN" w:bidi="ar-SA"/>
      </w:rPr>
    </w:lvl>
    <w:lvl w:ilvl="2">
      <w:start w:val="0"/>
      <w:numFmt w:val="bullet"/>
      <w:lvlText w:val="•"/>
      <w:lvlJc w:val="left"/>
      <w:pPr>
        <w:ind w:left="320" w:hanging="157"/>
      </w:pPr>
      <w:rPr>
        <w:rFonts w:hint="default"/>
        <w:lang w:val="en-US" w:eastAsia="zh-CN" w:bidi="ar-SA"/>
      </w:rPr>
    </w:lvl>
    <w:lvl w:ilvl="3">
      <w:start w:val="0"/>
      <w:numFmt w:val="bullet"/>
      <w:lvlText w:val="•"/>
      <w:lvlJc w:val="left"/>
      <w:pPr>
        <w:ind w:left="370" w:hanging="157"/>
      </w:pPr>
      <w:rPr>
        <w:rFonts w:hint="default"/>
        <w:lang w:val="en-US" w:eastAsia="zh-CN" w:bidi="ar-SA"/>
      </w:rPr>
    </w:lvl>
    <w:lvl w:ilvl="4">
      <w:start w:val="0"/>
      <w:numFmt w:val="bullet"/>
      <w:lvlText w:val="•"/>
      <w:lvlJc w:val="left"/>
      <w:pPr>
        <w:ind w:left="420" w:hanging="157"/>
      </w:pPr>
      <w:rPr>
        <w:rFonts w:hint="default"/>
        <w:lang w:val="en-US" w:eastAsia="zh-CN" w:bidi="ar-SA"/>
      </w:rPr>
    </w:lvl>
    <w:lvl w:ilvl="5">
      <w:start w:val="0"/>
      <w:numFmt w:val="bullet"/>
      <w:lvlText w:val="•"/>
      <w:lvlJc w:val="left"/>
      <w:pPr>
        <w:ind w:left="470" w:hanging="157"/>
      </w:pPr>
      <w:rPr>
        <w:rFonts w:hint="default"/>
        <w:lang w:val="en-US" w:eastAsia="zh-CN" w:bidi="ar-SA"/>
      </w:rPr>
    </w:lvl>
    <w:lvl w:ilvl="6">
      <w:start w:val="0"/>
      <w:numFmt w:val="bullet"/>
      <w:lvlText w:val="•"/>
      <w:lvlJc w:val="left"/>
      <w:pPr>
        <w:ind w:left="520" w:hanging="157"/>
      </w:pPr>
      <w:rPr>
        <w:rFonts w:hint="default"/>
        <w:lang w:val="en-US" w:eastAsia="zh-CN" w:bidi="ar-SA"/>
      </w:rPr>
    </w:lvl>
    <w:lvl w:ilvl="7">
      <w:start w:val="0"/>
      <w:numFmt w:val="bullet"/>
      <w:lvlText w:val="•"/>
      <w:lvlJc w:val="left"/>
      <w:pPr>
        <w:ind w:left="570" w:hanging="157"/>
      </w:pPr>
      <w:rPr>
        <w:rFonts w:hint="default"/>
        <w:lang w:val="en-US" w:eastAsia="zh-CN" w:bidi="ar-SA"/>
      </w:rPr>
    </w:lvl>
    <w:lvl w:ilvl="8">
      <w:start w:val="0"/>
      <w:numFmt w:val="bullet"/>
      <w:lvlText w:val="•"/>
      <w:lvlJc w:val="left"/>
      <w:pPr>
        <w:ind w:left="620" w:hanging="157"/>
      </w:pPr>
      <w:rPr>
        <w:rFonts w:hint="default"/>
        <w:lang w:val="en-US" w:eastAsia="zh-CN" w:bidi="ar-SA"/>
      </w:rPr>
    </w:lvl>
  </w:abstractNum>
  <w:abstractNum w:abstractNumId="40">
    <w:nsid w:val="787D7477"/>
    <w:multiLevelType w:val="hybridMultilevel"/>
    <w:tmpl w:val="00000000"/>
    <w:lvl w:ilvl="0">
      <w:start w:val="1"/>
      <w:numFmt w:val="lowerLetter"/>
      <w:lvlText w:val="%1."/>
      <w:lvlJc w:val="left"/>
      <w:pPr>
        <w:ind w:left="640" w:hanging="25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458" w:hanging="251"/>
      </w:pPr>
      <w:rPr>
        <w:rFonts w:hint="default"/>
        <w:lang w:val="en-US" w:eastAsia="zh-CN" w:bidi="ar-SA"/>
      </w:rPr>
    </w:lvl>
    <w:lvl w:ilvl="2">
      <w:start w:val="0"/>
      <w:numFmt w:val="bullet"/>
      <w:lvlText w:val="•"/>
      <w:lvlJc w:val="left"/>
      <w:pPr>
        <w:ind w:left="2277" w:hanging="251"/>
      </w:pPr>
      <w:rPr>
        <w:rFonts w:hint="default"/>
        <w:lang w:val="en-US" w:eastAsia="zh-CN" w:bidi="ar-SA"/>
      </w:rPr>
    </w:lvl>
    <w:lvl w:ilvl="3">
      <w:start w:val="0"/>
      <w:numFmt w:val="bullet"/>
      <w:lvlText w:val="•"/>
      <w:lvlJc w:val="left"/>
      <w:pPr>
        <w:ind w:left="3095" w:hanging="251"/>
      </w:pPr>
      <w:rPr>
        <w:rFonts w:hint="default"/>
        <w:lang w:val="en-US" w:eastAsia="zh-CN" w:bidi="ar-SA"/>
      </w:rPr>
    </w:lvl>
    <w:lvl w:ilvl="4">
      <w:start w:val="0"/>
      <w:numFmt w:val="bullet"/>
      <w:lvlText w:val="•"/>
      <w:lvlJc w:val="left"/>
      <w:pPr>
        <w:ind w:left="3914" w:hanging="251"/>
      </w:pPr>
      <w:rPr>
        <w:rFonts w:hint="default"/>
        <w:lang w:val="en-US" w:eastAsia="zh-CN" w:bidi="ar-SA"/>
      </w:rPr>
    </w:lvl>
    <w:lvl w:ilvl="5">
      <w:start w:val="0"/>
      <w:numFmt w:val="bullet"/>
      <w:lvlText w:val="•"/>
      <w:lvlJc w:val="left"/>
      <w:pPr>
        <w:ind w:left="4733" w:hanging="251"/>
      </w:pPr>
      <w:rPr>
        <w:rFonts w:hint="default"/>
        <w:lang w:val="en-US" w:eastAsia="zh-CN" w:bidi="ar-SA"/>
      </w:rPr>
    </w:lvl>
    <w:lvl w:ilvl="6">
      <w:start w:val="0"/>
      <w:numFmt w:val="bullet"/>
      <w:lvlText w:val="•"/>
      <w:lvlJc w:val="left"/>
      <w:pPr>
        <w:ind w:left="5551" w:hanging="251"/>
      </w:pPr>
      <w:rPr>
        <w:rFonts w:hint="default"/>
        <w:lang w:val="en-US" w:eastAsia="zh-CN" w:bidi="ar-SA"/>
      </w:rPr>
    </w:lvl>
    <w:lvl w:ilvl="7">
      <w:start w:val="0"/>
      <w:numFmt w:val="bullet"/>
      <w:lvlText w:val="•"/>
      <w:lvlJc w:val="left"/>
      <w:pPr>
        <w:ind w:left="6370" w:hanging="251"/>
      </w:pPr>
      <w:rPr>
        <w:rFonts w:hint="default"/>
        <w:lang w:val="en-US" w:eastAsia="zh-CN" w:bidi="ar-SA"/>
      </w:rPr>
    </w:lvl>
    <w:lvl w:ilvl="8">
      <w:start w:val="0"/>
      <w:numFmt w:val="bullet"/>
      <w:lvlText w:val="•"/>
      <w:lvlJc w:val="left"/>
      <w:pPr>
        <w:ind w:left="7188" w:hanging="251"/>
      </w:pPr>
      <w:rPr>
        <w:rFonts w:hint="default"/>
        <w:lang w:val="en-US" w:eastAsia="zh-CN" w:bidi="ar-SA"/>
      </w:rPr>
    </w:lvl>
  </w:abstractNum>
  <w:abstractNum w:abstractNumId="41">
    <w:nsid w:val="7A637AE0"/>
    <w:multiLevelType w:val="hybridMultilevel"/>
    <w:tmpl w:val="00000000"/>
    <w:lvl w:ilvl="0">
      <w:start w:val="8"/>
      <w:numFmt w:val="decimal"/>
      <w:lvlText w:val="%1"/>
      <w:lvlJc w:val="left"/>
      <w:pPr>
        <w:ind w:left="535" w:hanging="315"/>
        <w:jc w:val="left"/>
      </w:pPr>
      <w:rPr>
        <w:rFonts w:ascii="黑体" w:eastAsia="黑体" w:hAnsi="黑体" w:cs="黑体" w:hint="default"/>
        <w:b w:val="0"/>
        <w:bCs w:val="0"/>
        <w:i w:val="0"/>
        <w:iCs w:val="0"/>
        <w:w w:val="100"/>
        <w:sz w:val="21"/>
        <w:szCs w:val="21"/>
        <w:lang w:val="en-US" w:eastAsia="zh-CN" w:bidi="ar-SA"/>
      </w:rPr>
    </w:lvl>
    <w:lvl w:ilvl="1">
      <w:start w:val="1"/>
      <w:numFmt w:val="decimal"/>
      <w:lvlText w:val="%1.%2"/>
      <w:lvlJc w:val="left"/>
      <w:pPr>
        <w:ind w:left="692" w:hanging="473"/>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850" w:hanging="630"/>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1"/>
      <w:numFmt w:val="decimal"/>
      <w:lvlText w:val="%1.%2.%3.%4"/>
      <w:lvlJc w:val="left"/>
      <w:pPr>
        <w:ind w:left="1007" w:hanging="788"/>
        <w:jc w:val="left"/>
      </w:pPr>
      <w:rPr>
        <w:rFonts w:ascii="Times New Roman" w:eastAsia="Times New Roman" w:hAnsi="Times New Roman" w:cs="Times New Roman" w:hint="default"/>
        <w:b w:val="0"/>
        <w:bCs w:val="0"/>
        <w:i w:val="0"/>
        <w:iCs w:val="0"/>
        <w:w w:val="100"/>
        <w:sz w:val="21"/>
        <w:szCs w:val="21"/>
        <w:lang w:val="en-US" w:eastAsia="zh-CN" w:bidi="ar-SA"/>
      </w:rPr>
    </w:lvl>
    <w:lvl w:ilvl="4">
      <w:start w:val="0"/>
      <w:numFmt w:val="bullet"/>
      <w:lvlText w:val="•"/>
      <w:lvlJc w:val="left"/>
      <w:pPr>
        <w:ind w:left="2118" w:hanging="788"/>
      </w:pPr>
      <w:rPr>
        <w:rFonts w:hint="default"/>
        <w:lang w:val="en-US" w:eastAsia="zh-CN" w:bidi="ar-SA"/>
      </w:rPr>
    </w:lvl>
    <w:lvl w:ilvl="5">
      <w:start w:val="0"/>
      <w:numFmt w:val="bullet"/>
      <w:lvlText w:val="•"/>
      <w:lvlJc w:val="left"/>
      <w:pPr>
        <w:ind w:left="3236" w:hanging="788"/>
      </w:pPr>
      <w:rPr>
        <w:rFonts w:hint="default"/>
        <w:lang w:val="en-US" w:eastAsia="zh-CN" w:bidi="ar-SA"/>
      </w:rPr>
    </w:lvl>
    <w:lvl w:ilvl="6">
      <w:start w:val="0"/>
      <w:numFmt w:val="bullet"/>
      <w:lvlText w:val="•"/>
      <w:lvlJc w:val="left"/>
      <w:pPr>
        <w:ind w:left="4354" w:hanging="788"/>
      </w:pPr>
      <w:rPr>
        <w:rFonts w:hint="default"/>
        <w:lang w:val="en-US" w:eastAsia="zh-CN" w:bidi="ar-SA"/>
      </w:rPr>
    </w:lvl>
    <w:lvl w:ilvl="7">
      <w:start w:val="0"/>
      <w:numFmt w:val="bullet"/>
      <w:lvlText w:val="•"/>
      <w:lvlJc w:val="left"/>
      <w:pPr>
        <w:ind w:left="5472" w:hanging="788"/>
      </w:pPr>
      <w:rPr>
        <w:rFonts w:hint="default"/>
        <w:lang w:val="en-US" w:eastAsia="zh-CN" w:bidi="ar-SA"/>
      </w:rPr>
    </w:lvl>
    <w:lvl w:ilvl="8">
      <w:start w:val="0"/>
      <w:numFmt w:val="bullet"/>
      <w:lvlText w:val="•"/>
      <w:lvlJc w:val="left"/>
      <w:pPr>
        <w:ind w:left="6590" w:hanging="788"/>
      </w:pPr>
      <w:rPr>
        <w:rFonts w:hint="default"/>
        <w:lang w:val="en-US" w:eastAsia="zh-CN" w:bidi="ar-SA"/>
      </w:rPr>
    </w:lvl>
  </w:abstractNum>
  <w:num w:numId="1">
    <w:abstractNumId w:val="27"/>
  </w:num>
  <w:num w:numId="2">
    <w:abstractNumId w:val="30"/>
  </w:num>
  <w:num w:numId="3">
    <w:abstractNumId w:val="8"/>
  </w:num>
  <w:num w:numId="4">
    <w:abstractNumId w:val="12"/>
  </w:num>
  <w:num w:numId="5">
    <w:abstractNumId w:val="32"/>
  </w:num>
  <w:num w:numId="6">
    <w:abstractNumId w:val="33"/>
  </w:num>
  <w:num w:numId="7">
    <w:abstractNumId w:val="17"/>
  </w:num>
  <w:num w:numId="8">
    <w:abstractNumId w:val="31"/>
  </w:num>
  <w:num w:numId="9">
    <w:abstractNumId w:val="7"/>
  </w:num>
  <w:num w:numId="10">
    <w:abstractNumId w:val="36"/>
  </w:num>
  <w:num w:numId="11">
    <w:abstractNumId w:val="21"/>
  </w:num>
  <w:num w:numId="12">
    <w:abstractNumId w:val="15"/>
  </w:num>
  <w:num w:numId="13">
    <w:abstractNumId w:val="9"/>
  </w:num>
  <w:num w:numId="14">
    <w:abstractNumId w:val="18"/>
  </w:num>
  <w:num w:numId="15">
    <w:abstractNumId w:val="3"/>
  </w:num>
  <w:num w:numId="16">
    <w:abstractNumId w:val="5"/>
  </w:num>
  <w:num w:numId="17">
    <w:abstractNumId w:val="28"/>
  </w:num>
  <w:num w:numId="18">
    <w:abstractNumId w:val="25"/>
  </w:num>
  <w:num w:numId="19">
    <w:abstractNumId w:val="40"/>
  </w:num>
  <w:num w:numId="20">
    <w:abstractNumId w:val="41"/>
  </w:num>
  <w:num w:numId="21">
    <w:abstractNumId w:val="6"/>
  </w:num>
  <w:num w:numId="22">
    <w:abstractNumId w:val="29"/>
  </w:num>
  <w:num w:numId="23">
    <w:abstractNumId w:val="37"/>
  </w:num>
  <w:num w:numId="24">
    <w:abstractNumId w:val="1"/>
  </w:num>
  <w:num w:numId="25">
    <w:abstractNumId w:val="24"/>
  </w:num>
  <w:num w:numId="26">
    <w:abstractNumId w:val="23"/>
  </w:num>
  <w:num w:numId="27">
    <w:abstractNumId w:val="16"/>
  </w:num>
  <w:num w:numId="28">
    <w:abstractNumId w:val="35"/>
  </w:num>
  <w:num w:numId="29">
    <w:abstractNumId w:val="0"/>
  </w:num>
  <w:num w:numId="30">
    <w:abstractNumId w:val="22"/>
  </w:num>
  <w:num w:numId="31">
    <w:abstractNumId w:val="13"/>
  </w:num>
  <w:num w:numId="32">
    <w:abstractNumId w:val="38"/>
  </w:num>
  <w:num w:numId="33">
    <w:abstractNumId w:val="26"/>
  </w:num>
  <w:num w:numId="34">
    <w:abstractNumId w:val="14"/>
  </w:num>
  <w:num w:numId="35">
    <w:abstractNumId w:val="39"/>
  </w:num>
  <w:num w:numId="36">
    <w:abstractNumId w:val="19"/>
  </w:num>
  <w:num w:numId="37">
    <w:abstractNumId w:val="10"/>
  </w:num>
  <w:num w:numId="38">
    <w:abstractNumId w:val="34"/>
  </w:num>
  <w:num w:numId="39">
    <w:abstractNumId w:val="20"/>
  </w:num>
  <w:num w:numId="40">
    <w:abstractNumId w:val="11"/>
  </w:num>
  <w:num w:numId="41">
    <w:abstractNumId w:val="4"/>
  </w:num>
  <w:num w:numId="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220"/>
      <w:outlineLvl w:val="0"/>
    </w:pPr>
    <w:rPr>
      <w:rFonts w:ascii="黑体" w:eastAsia="黑体" w:hAnsi="黑体" w:cs="黑体"/>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zh-CN" w:bidi="ar-SA"/>
    </w:rPr>
  </w:style>
  <w:style w:type="paragraph" w:styleId="Title">
    <w:name w:val="Title"/>
    <w:basedOn w:val="Normal"/>
    <w:uiPriority w:val="1"/>
    <w:qFormat/>
    <w:pPr>
      <w:spacing w:before="96"/>
      <w:ind w:left="990" w:right="376"/>
      <w:jc w:val="center"/>
    </w:pPr>
    <w:rPr>
      <w:rFonts w:ascii="黑体" w:eastAsia="黑体" w:hAnsi="黑体" w:cs="黑体"/>
      <w:sz w:val="36"/>
      <w:szCs w:val="36"/>
      <w:lang w:val="en-US" w:eastAsia="zh-CN" w:bidi="ar-SA"/>
    </w:rPr>
  </w:style>
  <w:style w:type="paragraph" w:styleId="ListParagraph">
    <w:name w:val="List Paragraph"/>
    <w:basedOn w:val="Normal"/>
    <w:uiPriority w:val="1"/>
    <w:qFormat/>
    <w:pPr>
      <w:ind w:left="22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00" Type="http://schemas.openxmlformats.org/officeDocument/2006/relationships/footer" Target="footer97.xml" /><Relationship Id="rId101" Type="http://schemas.openxmlformats.org/officeDocument/2006/relationships/footer" Target="footer98.xml" /><Relationship Id="rId102" Type="http://schemas.openxmlformats.org/officeDocument/2006/relationships/footer" Target="footer99.xml" /><Relationship Id="rId103" Type="http://schemas.openxmlformats.org/officeDocument/2006/relationships/footer" Target="footer100.xml" /><Relationship Id="rId104" Type="http://schemas.openxmlformats.org/officeDocument/2006/relationships/footer" Target="footer101.xml" /><Relationship Id="rId105" Type="http://schemas.openxmlformats.org/officeDocument/2006/relationships/footer" Target="footer102.xml" /><Relationship Id="rId106" Type="http://schemas.openxmlformats.org/officeDocument/2006/relationships/footer" Target="footer103.xml" /><Relationship Id="rId107" Type="http://schemas.openxmlformats.org/officeDocument/2006/relationships/footer" Target="footer104.xml" /><Relationship Id="rId108" Type="http://schemas.openxmlformats.org/officeDocument/2006/relationships/footer" Target="footer105.xml" /><Relationship Id="rId109" Type="http://schemas.openxmlformats.org/officeDocument/2006/relationships/footer" Target="footer106.xml" /><Relationship Id="rId11" Type="http://schemas.openxmlformats.org/officeDocument/2006/relationships/footer" Target="footer8.xml" /><Relationship Id="rId110" Type="http://schemas.openxmlformats.org/officeDocument/2006/relationships/hyperlink" Target="https://d.book118.com/345100243330011121" TargetMode="External" /><Relationship Id="rId111" Type="http://schemas.openxmlformats.org/officeDocument/2006/relationships/footer" Target="footer107.xml" /><Relationship Id="rId112" Type="http://schemas.openxmlformats.org/officeDocument/2006/relationships/footer" Target="footer108.xml" /><Relationship Id="rId113" Type="http://schemas.openxmlformats.org/officeDocument/2006/relationships/theme" Target="theme/theme1.xml" /><Relationship Id="rId114" Type="http://schemas.openxmlformats.org/officeDocument/2006/relationships/numbering" Target="numbering.xml" /><Relationship Id="rId115" Type="http://schemas.openxmlformats.org/officeDocument/2006/relationships/styles" Target="styles.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footer" Target="footer43.xml" /><Relationship Id="rId47" Type="http://schemas.openxmlformats.org/officeDocument/2006/relationships/footer" Target="footer44.xml" /><Relationship Id="rId48" Type="http://schemas.openxmlformats.org/officeDocument/2006/relationships/footer" Target="footer45.xml" /><Relationship Id="rId49" Type="http://schemas.openxmlformats.org/officeDocument/2006/relationships/footer" Target="footer46.xml" /><Relationship Id="rId5" Type="http://schemas.openxmlformats.org/officeDocument/2006/relationships/footer" Target="footer2.xml" /><Relationship Id="rId50" Type="http://schemas.openxmlformats.org/officeDocument/2006/relationships/footer" Target="footer47.xml" /><Relationship Id="rId51" Type="http://schemas.openxmlformats.org/officeDocument/2006/relationships/footer" Target="footer48.xml" /><Relationship Id="rId52" Type="http://schemas.openxmlformats.org/officeDocument/2006/relationships/footer" Target="footer49.xml" /><Relationship Id="rId53" Type="http://schemas.openxmlformats.org/officeDocument/2006/relationships/footer" Target="footer50.xml" /><Relationship Id="rId54" Type="http://schemas.openxmlformats.org/officeDocument/2006/relationships/footer" Target="footer51.xml" /><Relationship Id="rId55" Type="http://schemas.openxmlformats.org/officeDocument/2006/relationships/footer" Target="footer52.xml" /><Relationship Id="rId56" Type="http://schemas.openxmlformats.org/officeDocument/2006/relationships/footer" Target="footer53.xml" /><Relationship Id="rId57" Type="http://schemas.openxmlformats.org/officeDocument/2006/relationships/footer" Target="footer54.xml" /><Relationship Id="rId58" Type="http://schemas.openxmlformats.org/officeDocument/2006/relationships/footer" Target="footer55.xml" /><Relationship Id="rId59" Type="http://schemas.openxmlformats.org/officeDocument/2006/relationships/footer" Target="footer56.xml" /><Relationship Id="rId6" Type="http://schemas.openxmlformats.org/officeDocument/2006/relationships/footer" Target="footer3.xml" /><Relationship Id="rId60" Type="http://schemas.openxmlformats.org/officeDocument/2006/relationships/footer" Target="footer57.xml" /><Relationship Id="rId61" Type="http://schemas.openxmlformats.org/officeDocument/2006/relationships/footer" Target="footer58.xml" /><Relationship Id="rId62" Type="http://schemas.openxmlformats.org/officeDocument/2006/relationships/footer" Target="footer59.xml" /><Relationship Id="rId63" Type="http://schemas.openxmlformats.org/officeDocument/2006/relationships/footer" Target="footer60.xml" /><Relationship Id="rId64" Type="http://schemas.openxmlformats.org/officeDocument/2006/relationships/footer" Target="footer61.xml" /><Relationship Id="rId65" Type="http://schemas.openxmlformats.org/officeDocument/2006/relationships/footer" Target="footer62.xml" /><Relationship Id="rId66" Type="http://schemas.openxmlformats.org/officeDocument/2006/relationships/footer" Target="footer63.xml" /><Relationship Id="rId67" Type="http://schemas.openxmlformats.org/officeDocument/2006/relationships/footer" Target="footer64.xml" /><Relationship Id="rId68" Type="http://schemas.openxmlformats.org/officeDocument/2006/relationships/footer" Target="footer65.xml" /><Relationship Id="rId69" Type="http://schemas.openxmlformats.org/officeDocument/2006/relationships/footer" Target="footer66.xml" /><Relationship Id="rId7" Type="http://schemas.openxmlformats.org/officeDocument/2006/relationships/footer" Target="footer4.xml" /><Relationship Id="rId70" Type="http://schemas.openxmlformats.org/officeDocument/2006/relationships/footer" Target="footer67.xml" /><Relationship Id="rId71" Type="http://schemas.openxmlformats.org/officeDocument/2006/relationships/footer" Target="footer68.xml" /><Relationship Id="rId72" Type="http://schemas.openxmlformats.org/officeDocument/2006/relationships/footer" Target="footer69.xml" /><Relationship Id="rId73" Type="http://schemas.openxmlformats.org/officeDocument/2006/relationships/footer" Target="footer70.xml" /><Relationship Id="rId74" Type="http://schemas.openxmlformats.org/officeDocument/2006/relationships/footer" Target="footer71.xml" /><Relationship Id="rId75" Type="http://schemas.openxmlformats.org/officeDocument/2006/relationships/footer" Target="footer72.xml" /><Relationship Id="rId76" Type="http://schemas.openxmlformats.org/officeDocument/2006/relationships/footer" Target="footer73.xml" /><Relationship Id="rId77" Type="http://schemas.openxmlformats.org/officeDocument/2006/relationships/footer" Target="footer74.xml" /><Relationship Id="rId78" Type="http://schemas.openxmlformats.org/officeDocument/2006/relationships/footer" Target="footer75.xml" /><Relationship Id="rId79" Type="http://schemas.openxmlformats.org/officeDocument/2006/relationships/footer" Target="footer76.xml" /><Relationship Id="rId8" Type="http://schemas.openxmlformats.org/officeDocument/2006/relationships/footer" Target="footer5.xml" /><Relationship Id="rId80" Type="http://schemas.openxmlformats.org/officeDocument/2006/relationships/footer" Target="footer77.xml" /><Relationship Id="rId81" Type="http://schemas.openxmlformats.org/officeDocument/2006/relationships/footer" Target="footer78.xml" /><Relationship Id="rId82" Type="http://schemas.openxmlformats.org/officeDocument/2006/relationships/footer" Target="footer79.xml" /><Relationship Id="rId83" Type="http://schemas.openxmlformats.org/officeDocument/2006/relationships/footer" Target="footer80.xml" /><Relationship Id="rId84" Type="http://schemas.openxmlformats.org/officeDocument/2006/relationships/footer" Target="footer81.xml" /><Relationship Id="rId85" Type="http://schemas.openxmlformats.org/officeDocument/2006/relationships/footer" Target="footer82.xml" /><Relationship Id="rId86" Type="http://schemas.openxmlformats.org/officeDocument/2006/relationships/footer" Target="footer83.xml" /><Relationship Id="rId87" Type="http://schemas.openxmlformats.org/officeDocument/2006/relationships/footer" Target="footer84.xml" /><Relationship Id="rId88" Type="http://schemas.openxmlformats.org/officeDocument/2006/relationships/footer" Target="footer85.xml" /><Relationship Id="rId89" Type="http://schemas.openxmlformats.org/officeDocument/2006/relationships/footer" Target="footer86.xml" /><Relationship Id="rId9" Type="http://schemas.openxmlformats.org/officeDocument/2006/relationships/footer" Target="footer6.xml" /><Relationship Id="rId90" Type="http://schemas.openxmlformats.org/officeDocument/2006/relationships/footer" Target="footer87.xml" /><Relationship Id="rId91" Type="http://schemas.openxmlformats.org/officeDocument/2006/relationships/footer" Target="footer88.xml" /><Relationship Id="rId92" Type="http://schemas.openxmlformats.org/officeDocument/2006/relationships/footer" Target="footer89.xml" /><Relationship Id="rId93" Type="http://schemas.openxmlformats.org/officeDocument/2006/relationships/footer" Target="footer90.xml" /><Relationship Id="rId94" Type="http://schemas.openxmlformats.org/officeDocument/2006/relationships/footer" Target="footer91.xml" /><Relationship Id="rId95" Type="http://schemas.openxmlformats.org/officeDocument/2006/relationships/footer" Target="footer92.xml" /><Relationship Id="rId96" Type="http://schemas.openxmlformats.org/officeDocument/2006/relationships/footer" Target="footer93.xml" /><Relationship Id="rId97" Type="http://schemas.openxmlformats.org/officeDocument/2006/relationships/footer" Target="footer94.xml" /><Relationship Id="rId98" Type="http://schemas.openxmlformats.org/officeDocument/2006/relationships/footer" Target="footer95.xml" /><Relationship Id="rId99" Type="http://schemas.openxmlformats.org/officeDocument/2006/relationships/footer" Target="footer9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2024-03-05T06:39:38Z</dcterms:created>
  <dcterms:modified xsi:type="dcterms:W3CDTF">2024-03-05T06:39:38Z</dcterms:modified>
</cp:coreProperties>
</file>