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76" w:lineRule="auto"/>
        <w:rPr>
          <w:rFonts w:ascii="黑体" w:eastAsia="黑体" w:hAnsi="黑体" w:hint="eastAsia"/>
          <w:color w:val="auto"/>
          <w:sz w:val="36"/>
          <w:szCs w:val="36"/>
        </w:rPr>
      </w:pPr>
    </w:p>
    <w:p>
      <w:pPr>
        <w:pStyle w:val="TOC1"/>
        <w:tabs>
          <w:tab w:val="right" w:leader="dot" w:pos="8296"/>
        </w:tabs>
        <w:ind w:firstLine="640" w:firstLineChars="200"/>
        <w:jc w:val="both"/>
        <w:rPr>
          <w:rFonts w:hint="eastAsia"/>
          <w:color w:val="auto"/>
          <w:sz w:val="48"/>
          <w:szCs w:val="48"/>
          <w:lang w:eastAsia="zh-CN"/>
        </w:rPr>
      </w:pPr>
      <w:bookmarkStart w:id="0" w:name="_GoBack"/>
      <w:r>
        <w:rPr>
          <w:rStyle w:val="Hyperlink"/>
          <w:color w:val="auto"/>
          <w:sz w:val="32"/>
          <w:szCs w:val="24"/>
        </w:rPr>
        <w:t>新零售背景下</w:t>
      </w:r>
      <w:r>
        <w:rPr>
          <w:rStyle w:val="Hyperlink"/>
          <w:rFonts w:hint="eastAsia"/>
          <w:color w:val="auto"/>
          <w:sz w:val="32"/>
          <w:szCs w:val="24"/>
          <w:lang w:eastAsia="zh-CN"/>
        </w:rPr>
        <w:t>我国</w:t>
      </w:r>
      <w:r>
        <w:rPr>
          <w:rStyle w:val="Hyperlink"/>
          <w:color w:val="auto"/>
          <w:sz w:val="32"/>
          <w:szCs w:val="24"/>
        </w:rPr>
        <w:t>生鲜电商发展</w:t>
      </w:r>
      <w:r>
        <w:rPr>
          <w:rStyle w:val="Hyperlink"/>
          <w:rFonts w:hint="eastAsia"/>
          <w:color w:val="auto"/>
          <w:sz w:val="32"/>
          <w:szCs w:val="24"/>
          <w:lang w:eastAsia="zh-CN"/>
        </w:rPr>
        <w:t>问题及完善对策研究</w:t>
      </w:r>
    </w:p>
    <w:bookmarkEnd w:id="0"/>
    <w:p/>
    <w:p>
      <w:pPr>
        <w:pStyle w:val="TOC1"/>
        <w:tabs>
          <w:tab w:val="right" w:leader="dot" w:pos="8296"/>
        </w:tabs>
        <w:rPr>
          <w:rFonts w:eastAsiaTheme="minorEastAsia"/>
          <w:sz w:val="18"/>
          <w:szCs w:val="20"/>
        </w:rPr>
      </w:pPr>
      <w:r>
        <w:rPr>
          <w:sz w:val="22"/>
          <w:szCs w:val="20"/>
        </w:rPr>
        <w:fldChar w:fldCharType="begin"/>
      </w:r>
      <w:r>
        <w:rPr>
          <w:sz w:val="22"/>
          <w:szCs w:val="20"/>
        </w:rPr>
        <w:instrText xml:space="preserve"> TOC \o "1-3" \h \z \u </w:instrText>
      </w:r>
      <w:r>
        <w:rPr>
          <w:sz w:val="22"/>
          <w:szCs w:val="20"/>
        </w:rPr>
        <w:fldChar w:fldCharType="separate"/>
      </w:r>
      <w:hyperlink w:anchor="_Toc71163687" w:history="1">
        <w:r>
          <w:rPr>
            <w:rStyle w:val="Hyperlink"/>
            <w:sz w:val="22"/>
            <w:szCs w:val="20"/>
          </w:rPr>
          <w:t>第一章 绪论</w:t>
        </w:r>
        <w:r>
          <w:rPr>
            <w:sz w:val="22"/>
            <w:szCs w:val="20"/>
          </w:rPr>
          <w:tab/>
        </w:r>
        <w:r>
          <w:rPr>
            <w:sz w:val="22"/>
            <w:szCs w:val="20"/>
          </w:rPr>
          <w:fldChar w:fldCharType="begin"/>
        </w:r>
        <w:r>
          <w:rPr>
            <w:sz w:val="22"/>
            <w:szCs w:val="20"/>
          </w:rPr>
          <w:instrText xml:space="preserve"> PAGEREF _Toc71163687 \h </w:instrText>
        </w:r>
        <w:r>
          <w:rPr>
            <w:sz w:val="22"/>
            <w:szCs w:val="20"/>
          </w:rPr>
          <w:fldChar w:fldCharType="separate"/>
        </w:r>
        <w:r>
          <w:rPr>
            <w:sz w:val="22"/>
            <w:szCs w:val="20"/>
          </w:rPr>
          <w:t>1</w:t>
        </w:r>
        <w:r>
          <w:rPr>
            <w:sz w:val="22"/>
            <w:szCs w:val="20"/>
          </w:rPr>
          <w:fldChar w:fldCharType="end"/>
        </w:r>
      </w:hyperlink>
    </w:p>
    <w:p>
      <w:pPr>
        <w:pStyle w:val="TOC2"/>
        <w:tabs>
          <w:tab w:val="right" w:leader="dot" w:pos="8296"/>
        </w:tabs>
        <w:ind w:left="420"/>
        <w:rPr>
          <w:rFonts w:eastAsiaTheme="minorEastAsia"/>
          <w:sz w:val="18"/>
          <w:szCs w:val="20"/>
        </w:rPr>
      </w:pPr>
      <w:hyperlink w:anchor="_Toc71163688" w:history="1">
        <w:r>
          <w:rPr>
            <w:rStyle w:val="Hyperlink"/>
            <w:sz w:val="22"/>
            <w:szCs w:val="20"/>
          </w:rPr>
          <w:t>一、选题背景与意义</w:t>
        </w:r>
        <w:r>
          <w:rPr>
            <w:sz w:val="22"/>
            <w:szCs w:val="20"/>
          </w:rPr>
          <w:tab/>
        </w:r>
        <w:r>
          <w:rPr>
            <w:sz w:val="22"/>
            <w:szCs w:val="20"/>
          </w:rPr>
          <w:fldChar w:fldCharType="begin"/>
        </w:r>
        <w:r>
          <w:rPr>
            <w:sz w:val="22"/>
            <w:szCs w:val="20"/>
          </w:rPr>
          <w:instrText xml:space="preserve"> PAGEREF _Toc71163688 \h </w:instrText>
        </w:r>
        <w:r>
          <w:rPr>
            <w:sz w:val="22"/>
            <w:szCs w:val="20"/>
          </w:rPr>
          <w:fldChar w:fldCharType="separate"/>
        </w:r>
        <w:r>
          <w:rPr>
            <w:sz w:val="22"/>
            <w:szCs w:val="20"/>
          </w:rPr>
          <w:t>1</w:t>
        </w:r>
        <w:r>
          <w:rPr>
            <w:sz w:val="22"/>
            <w:szCs w:val="20"/>
          </w:rPr>
          <w:fldChar w:fldCharType="end"/>
        </w:r>
      </w:hyperlink>
    </w:p>
    <w:p>
      <w:pPr>
        <w:pStyle w:val="TOC2"/>
        <w:tabs>
          <w:tab w:val="right" w:leader="dot" w:pos="8296"/>
        </w:tabs>
        <w:ind w:left="420"/>
        <w:rPr>
          <w:rFonts w:eastAsiaTheme="minorEastAsia"/>
          <w:sz w:val="18"/>
          <w:szCs w:val="20"/>
        </w:rPr>
      </w:pPr>
      <w:hyperlink w:anchor="_Toc71163689" w:history="1">
        <w:r>
          <w:rPr>
            <w:rStyle w:val="Hyperlink"/>
            <w:sz w:val="22"/>
            <w:szCs w:val="20"/>
          </w:rPr>
          <w:t>二、研究方法与研究内容</w:t>
        </w:r>
        <w:r>
          <w:rPr>
            <w:sz w:val="22"/>
            <w:szCs w:val="20"/>
          </w:rPr>
          <w:tab/>
        </w:r>
        <w:r>
          <w:rPr>
            <w:sz w:val="22"/>
            <w:szCs w:val="20"/>
          </w:rPr>
          <w:fldChar w:fldCharType="begin"/>
        </w:r>
        <w:r>
          <w:rPr>
            <w:sz w:val="22"/>
            <w:szCs w:val="20"/>
          </w:rPr>
          <w:instrText xml:space="preserve"> PAGEREF _Toc71163689 \h </w:instrText>
        </w:r>
        <w:r>
          <w:rPr>
            <w:sz w:val="22"/>
            <w:szCs w:val="20"/>
          </w:rPr>
          <w:fldChar w:fldCharType="separate"/>
        </w:r>
        <w:r>
          <w:rPr>
            <w:sz w:val="22"/>
            <w:szCs w:val="20"/>
          </w:rPr>
          <w:t>2</w:t>
        </w:r>
        <w:r>
          <w:rPr>
            <w:sz w:val="22"/>
            <w:szCs w:val="20"/>
          </w:rPr>
          <w:fldChar w:fldCharType="end"/>
        </w:r>
      </w:hyperlink>
    </w:p>
    <w:p>
      <w:pPr>
        <w:pStyle w:val="TOC2"/>
        <w:tabs>
          <w:tab w:val="right" w:leader="dot" w:pos="8296"/>
        </w:tabs>
        <w:ind w:left="420"/>
        <w:rPr>
          <w:rFonts w:eastAsiaTheme="minorEastAsia"/>
          <w:sz w:val="18"/>
          <w:szCs w:val="20"/>
        </w:rPr>
      </w:pPr>
      <w:hyperlink w:anchor="_Toc71163690" w:history="1">
        <w:r>
          <w:rPr>
            <w:rStyle w:val="Hyperlink"/>
            <w:sz w:val="22"/>
            <w:szCs w:val="20"/>
          </w:rPr>
          <w:t>三、技术路线</w:t>
        </w:r>
        <w:r>
          <w:rPr>
            <w:sz w:val="22"/>
            <w:szCs w:val="20"/>
          </w:rPr>
          <w:tab/>
        </w:r>
        <w:r>
          <w:rPr>
            <w:sz w:val="22"/>
            <w:szCs w:val="20"/>
          </w:rPr>
          <w:fldChar w:fldCharType="begin"/>
        </w:r>
        <w:r>
          <w:rPr>
            <w:sz w:val="22"/>
            <w:szCs w:val="20"/>
          </w:rPr>
          <w:instrText xml:space="preserve"> PAGEREF _Toc71163690 \h </w:instrText>
        </w:r>
        <w:r>
          <w:rPr>
            <w:sz w:val="22"/>
            <w:szCs w:val="20"/>
          </w:rPr>
          <w:fldChar w:fldCharType="separate"/>
        </w:r>
        <w:r>
          <w:rPr>
            <w:sz w:val="22"/>
            <w:szCs w:val="20"/>
          </w:rPr>
          <w:t>3</w:t>
        </w:r>
        <w:r>
          <w:rPr>
            <w:sz w:val="22"/>
            <w:szCs w:val="20"/>
          </w:rPr>
          <w:fldChar w:fldCharType="end"/>
        </w:r>
      </w:hyperlink>
    </w:p>
    <w:p>
      <w:pPr>
        <w:pStyle w:val="TOC1"/>
        <w:tabs>
          <w:tab w:val="right" w:leader="dot" w:pos="8296"/>
        </w:tabs>
        <w:rPr>
          <w:rFonts w:eastAsiaTheme="minorEastAsia"/>
          <w:sz w:val="18"/>
          <w:szCs w:val="20"/>
        </w:rPr>
      </w:pPr>
      <w:hyperlink w:anchor="_Toc71163691" w:history="1">
        <w:r>
          <w:rPr>
            <w:rStyle w:val="Hyperlink"/>
            <w:sz w:val="22"/>
            <w:szCs w:val="20"/>
          </w:rPr>
          <w:t>第二章 相关理论概念与文献综述</w:t>
        </w:r>
        <w:r>
          <w:rPr>
            <w:sz w:val="22"/>
            <w:szCs w:val="20"/>
          </w:rPr>
          <w:tab/>
        </w:r>
        <w:r>
          <w:rPr>
            <w:sz w:val="22"/>
            <w:szCs w:val="20"/>
          </w:rPr>
          <w:fldChar w:fldCharType="begin"/>
        </w:r>
        <w:r>
          <w:rPr>
            <w:sz w:val="22"/>
            <w:szCs w:val="20"/>
          </w:rPr>
          <w:instrText xml:space="preserve"> PAGEREF _Toc71163691 \h </w:instrText>
        </w:r>
        <w:r>
          <w:rPr>
            <w:sz w:val="22"/>
            <w:szCs w:val="20"/>
          </w:rPr>
          <w:fldChar w:fldCharType="separate"/>
        </w:r>
        <w:r>
          <w:rPr>
            <w:sz w:val="22"/>
            <w:szCs w:val="20"/>
          </w:rPr>
          <w:t>4</w:t>
        </w:r>
        <w:r>
          <w:rPr>
            <w:sz w:val="22"/>
            <w:szCs w:val="20"/>
          </w:rPr>
          <w:fldChar w:fldCharType="end"/>
        </w:r>
      </w:hyperlink>
    </w:p>
    <w:p>
      <w:pPr>
        <w:pStyle w:val="TOC2"/>
        <w:tabs>
          <w:tab w:val="right" w:leader="dot" w:pos="8296"/>
        </w:tabs>
        <w:ind w:left="420"/>
        <w:rPr>
          <w:rFonts w:eastAsiaTheme="minorEastAsia"/>
          <w:sz w:val="18"/>
          <w:szCs w:val="20"/>
        </w:rPr>
      </w:pPr>
      <w:hyperlink w:anchor="_Toc71163692" w:history="1">
        <w:r>
          <w:rPr>
            <w:rStyle w:val="Hyperlink"/>
            <w:sz w:val="22"/>
            <w:szCs w:val="20"/>
          </w:rPr>
          <w:t>一、相关理论概念</w:t>
        </w:r>
        <w:r>
          <w:rPr>
            <w:sz w:val="22"/>
            <w:szCs w:val="20"/>
          </w:rPr>
          <w:tab/>
        </w:r>
        <w:r>
          <w:rPr>
            <w:sz w:val="22"/>
            <w:szCs w:val="20"/>
          </w:rPr>
          <w:fldChar w:fldCharType="begin"/>
        </w:r>
        <w:r>
          <w:rPr>
            <w:sz w:val="22"/>
            <w:szCs w:val="20"/>
          </w:rPr>
          <w:instrText xml:space="preserve"> PAGEREF _Toc71163692 \h </w:instrText>
        </w:r>
        <w:r>
          <w:rPr>
            <w:sz w:val="22"/>
            <w:szCs w:val="20"/>
          </w:rPr>
          <w:fldChar w:fldCharType="separate"/>
        </w:r>
        <w:r>
          <w:rPr>
            <w:sz w:val="22"/>
            <w:szCs w:val="20"/>
          </w:rPr>
          <w:t>4</w:t>
        </w:r>
        <w:r>
          <w:rPr>
            <w:sz w:val="22"/>
            <w:szCs w:val="20"/>
          </w:rPr>
          <w:fldChar w:fldCharType="end"/>
        </w:r>
      </w:hyperlink>
    </w:p>
    <w:p>
      <w:pPr>
        <w:pStyle w:val="TOC3"/>
        <w:tabs>
          <w:tab w:val="right" w:leader="dot" w:pos="8296"/>
        </w:tabs>
        <w:ind w:left="840"/>
        <w:rPr>
          <w:rFonts w:eastAsiaTheme="minorEastAsia"/>
          <w:sz w:val="18"/>
          <w:szCs w:val="20"/>
        </w:rPr>
      </w:pPr>
      <w:hyperlink w:anchor="_Toc71163693" w:history="1">
        <w:r>
          <w:rPr>
            <w:rStyle w:val="Hyperlink"/>
            <w:sz w:val="22"/>
            <w:szCs w:val="20"/>
          </w:rPr>
          <w:t>（一）新零售概述</w:t>
        </w:r>
        <w:r>
          <w:rPr>
            <w:sz w:val="22"/>
            <w:szCs w:val="20"/>
          </w:rPr>
          <w:tab/>
        </w:r>
        <w:r>
          <w:rPr>
            <w:sz w:val="22"/>
            <w:szCs w:val="20"/>
          </w:rPr>
          <w:fldChar w:fldCharType="begin"/>
        </w:r>
        <w:r>
          <w:rPr>
            <w:sz w:val="22"/>
            <w:szCs w:val="20"/>
          </w:rPr>
          <w:instrText xml:space="preserve"> PAGEREF _Toc71163693 \h </w:instrText>
        </w:r>
        <w:r>
          <w:rPr>
            <w:sz w:val="22"/>
            <w:szCs w:val="20"/>
          </w:rPr>
          <w:fldChar w:fldCharType="separate"/>
        </w:r>
        <w:r>
          <w:rPr>
            <w:sz w:val="22"/>
            <w:szCs w:val="20"/>
          </w:rPr>
          <w:t>4</w:t>
        </w:r>
        <w:r>
          <w:rPr>
            <w:sz w:val="22"/>
            <w:szCs w:val="20"/>
          </w:rPr>
          <w:fldChar w:fldCharType="end"/>
        </w:r>
      </w:hyperlink>
    </w:p>
    <w:p>
      <w:pPr>
        <w:pStyle w:val="TOC3"/>
        <w:tabs>
          <w:tab w:val="right" w:leader="dot" w:pos="8296"/>
        </w:tabs>
        <w:ind w:left="840"/>
        <w:rPr>
          <w:rFonts w:eastAsiaTheme="minorEastAsia"/>
          <w:sz w:val="18"/>
          <w:szCs w:val="20"/>
        </w:rPr>
      </w:pPr>
      <w:hyperlink w:anchor="_Toc71163694" w:history="1">
        <w:r>
          <w:rPr>
            <w:rStyle w:val="Hyperlink"/>
            <w:sz w:val="22"/>
            <w:szCs w:val="20"/>
          </w:rPr>
          <w:t>（二）生鲜电商概述</w:t>
        </w:r>
        <w:r>
          <w:rPr>
            <w:sz w:val="22"/>
            <w:szCs w:val="20"/>
          </w:rPr>
          <w:tab/>
        </w:r>
        <w:r>
          <w:rPr>
            <w:sz w:val="22"/>
            <w:szCs w:val="20"/>
          </w:rPr>
          <w:fldChar w:fldCharType="begin"/>
        </w:r>
        <w:r>
          <w:rPr>
            <w:sz w:val="22"/>
            <w:szCs w:val="20"/>
          </w:rPr>
          <w:instrText xml:space="preserve"> PAGEREF _Toc71163694 \h </w:instrText>
        </w:r>
        <w:r>
          <w:rPr>
            <w:sz w:val="22"/>
            <w:szCs w:val="20"/>
          </w:rPr>
          <w:fldChar w:fldCharType="separate"/>
        </w:r>
        <w:r>
          <w:rPr>
            <w:sz w:val="22"/>
            <w:szCs w:val="20"/>
          </w:rPr>
          <w:t>4</w:t>
        </w:r>
        <w:r>
          <w:rPr>
            <w:sz w:val="22"/>
            <w:szCs w:val="20"/>
          </w:rPr>
          <w:fldChar w:fldCharType="end"/>
        </w:r>
      </w:hyperlink>
    </w:p>
    <w:p>
      <w:pPr>
        <w:pStyle w:val="TOC2"/>
        <w:tabs>
          <w:tab w:val="right" w:leader="dot" w:pos="8296"/>
        </w:tabs>
        <w:ind w:left="420"/>
        <w:rPr>
          <w:rFonts w:eastAsiaTheme="minorEastAsia"/>
          <w:sz w:val="18"/>
          <w:szCs w:val="20"/>
        </w:rPr>
      </w:pPr>
      <w:hyperlink w:anchor="_Toc71163695" w:history="1">
        <w:r>
          <w:rPr>
            <w:rStyle w:val="Hyperlink"/>
            <w:sz w:val="22"/>
            <w:szCs w:val="20"/>
          </w:rPr>
          <w:t>二、文献综述</w:t>
        </w:r>
        <w:r>
          <w:rPr>
            <w:sz w:val="22"/>
            <w:szCs w:val="20"/>
          </w:rPr>
          <w:tab/>
        </w:r>
        <w:r>
          <w:rPr>
            <w:sz w:val="22"/>
            <w:szCs w:val="20"/>
          </w:rPr>
          <w:fldChar w:fldCharType="begin"/>
        </w:r>
        <w:r>
          <w:rPr>
            <w:sz w:val="22"/>
            <w:szCs w:val="20"/>
          </w:rPr>
          <w:instrText xml:space="preserve"> PAGEREF _Toc71163695 \h </w:instrText>
        </w:r>
        <w:r>
          <w:rPr>
            <w:sz w:val="22"/>
            <w:szCs w:val="20"/>
          </w:rPr>
          <w:fldChar w:fldCharType="separate"/>
        </w:r>
        <w:r>
          <w:rPr>
            <w:sz w:val="22"/>
            <w:szCs w:val="20"/>
          </w:rPr>
          <w:t>5</w:t>
        </w:r>
        <w:r>
          <w:rPr>
            <w:sz w:val="22"/>
            <w:szCs w:val="20"/>
          </w:rPr>
          <w:fldChar w:fldCharType="end"/>
        </w:r>
      </w:hyperlink>
    </w:p>
    <w:p>
      <w:pPr>
        <w:pStyle w:val="TOC3"/>
        <w:tabs>
          <w:tab w:val="right" w:leader="dot" w:pos="8296"/>
        </w:tabs>
        <w:ind w:left="840"/>
        <w:rPr>
          <w:rFonts w:eastAsiaTheme="minorEastAsia"/>
          <w:sz w:val="18"/>
          <w:szCs w:val="20"/>
        </w:rPr>
      </w:pPr>
      <w:hyperlink w:anchor="_Toc71163696" w:history="1">
        <w:r>
          <w:rPr>
            <w:rStyle w:val="Hyperlink"/>
            <w:sz w:val="22"/>
            <w:szCs w:val="20"/>
          </w:rPr>
          <w:t>（一）关于消费者购买生鲜电商产品影响因素的研究</w:t>
        </w:r>
        <w:r>
          <w:rPr>
            <w:sz w:val="22"/>
            <w:szCs w:val="20"/>
          </w:rPr>
          <w:tab/>
        </w:r>
        <w:r>
          <w:rPr>
            <w:sz w:val="22"/>
            <w:szCs w:val="20"/>
          </w:rPr>
          <w:fldChar w:fldCharType="begin"/>
        </w:r>
        <w:r>
          <w:rPr>
            <w:sz w:val="22"/>
            <w:szCs w:val="20"/>
          </w:rPr>
          <w:instrText xml:space="preserve"> PAGEREF _Toc71163696 \h </w:instrText>
        </w:r>
        <w:r>
          <w:rPr>
            <w:sz w:val="22"/>
            <w:szCs w:val="20"/>
          </w:rPr>
          <w:fldChar w:fldCharType="separate"/>
        </w:r>
        <w:r>
          <w:rPr>
            <w:sz w:val="22"/>
            <w:szCs w:val="20"/>
          </w:rPr>
          <w:t>5</w:t>
        </w:r>
        <w:r>
          <w:rPr>
            <w:sz w:val="22"/>
            <w:szCs w:val="20"/>
          </w:rPr>
          <w:fldChar w:fldCharType="end"/>
        </w:r>
      </w:hyperlink>
    </w:p>
    <w:p>
      <w:pPr>
        <w:pStyle w:val="TOC3"/>
        <w:tabs>
          <w:tab w:val="right" w:leader="dot" w:pos="8296"/>
        </w:tabs>
        <w:ind w:left="840"/>
        <w:rPr>
          <w:rFonts w:eastAsiaTheme="minorEastAsia"/>
          <w:sz w:val="18"/>
          <w:szCs w:val="20"/>
        </w:rPr>
      </w:pPr>
      <w:hyperlink w:anchor="_Toc71163697" w:history="1">
        <w:r>
          <w:rPr>
            <w:rStyle w:val="Hyperlink"/>
            <w:sz w:val="22"/>
            <w:szCs w:val="20"/>
          </w:rPr>
          <w:t>（二）关于生鲜电商物流配送的研究</w:t>
        </w:r>
        <w:r>
          <w:rPr>
            <w:sz w:val="22"/>
            <w:szCs w:val="20"/>
          </w:rPr>
          <w:tab/>
        </w:r>
        <w:r>
          <w:rPr>
            <w:sz w:val="22"/>
            <w:szCs w:val="20"/>
          </w:rPr>
          <w:fldChar w:fldCharType="begin"/>
        </w:r>
        <w:r>
          <w:rPr>
            <w:sz w:val="22"/>
            <w:szCs w:val="20"/>
          </w:rPr>
          <w:instrText xml:space="preserve"> PAGEREF _Toc71163697 \h </w:instrText>
        </w:r>
        <w:r>
          <w:rPr>
            <w:sz w:val="22"/>
            <w:szCs w:val="20"/>
          </w:rPr>
          <w:fldChar w:fldCharType="separate"/>
        </w:r>
        <w:r>
          <w:rPr>
            <w:sz w:val="22"/>
            <w:szCs w:val="20"/>
          </w:rPr>
          <w:t>5</w:t>
        </w:r>
        <w:r>
          <w:rPr>
            <w:sz w:val="22"/>
            <w:szCs w:val="20"/>
          </w:rPr>
          <w:fldChar w:fldCharType="end"/>
        </w:r>
      </w:hyperlink>
    </w:p>
    <w:p>
      <w:pPr>
        <w:pStyle w:val="TOC3"/>
        <w:tabs>
          <w:tab w:val="right" w:leader="dot" w:pos="8296"/>
        </w:tabs>
        <w:ind w:left="840"/>
        <w:rPr>
          <w:rFonts w:eastAsiaTheme="minorEastAsia"/>
          <w:sz w:val="18"/>
          <w:szCs w:val="20"/>
        </w:rPr>
      </w:pPr>
      <w:hyperlink w:anchor="_Toc71163698" w:history="1">
        <w:r>
          <w:rPr>
            <w:rStyle w:val="Hyperlink"/>
            <w:sz w:val="22"/>
            <w:szCs w:val="20"/>
          </w:rPr>
          <w:t>（三）关于新零售背景下生鲜电商发展现状的研究</w:t>
        </w:r>
        <w:r>
          <w:rPr>
            <w:sz w:val="22"/>
            <w:szCs w:val="20"/>
          </w:rPr>
          <w:tab/>
        </w:r>
        <w:r>
          <w:rPr>
            <w:sz w:val="22"/>
            <w:szCs w:val="20"/>
          </w:rPr>
          <w:fldChar w:fldCharType="begin"/>
        </w:r>
        <w:r>
          <w:rPr>
            <w:sz w:val="22"/>
            <w:szCs w:val="20"/>
          </w:rPr>
          <w:instrText xml:space="preserve"> PAGEREF _Toc71163698 \h </w:instrText>
        </w:r>
        <w:r>
          <w:rPr>
            <w:sz w:val="22"/>
            <w:szCs w:val="20"/>
          </w:rPr>
          <w:fldChar w:fldCharType="separate"/>
        </w:r>
        <w:r>
          <w:rPr>
            <w:sz w:val="22"/>
            <w:szCs w:val="20"/>
          </w:rPr>
          <w:t>5</w:t>
        </w:r>
        <w:r>
          <w:rPr>
            <w:sz w:val="22"/>
            <w:szCs w:val="20"/>
          </w:rPr>
          <w:fldChar w:fldCharType="end"/>
        </w:r>
      </w:hyperlink>
    </w:p>
    <w:p>
      <w:pPr>
        <w:pStyle w:val="TOC3"/>
        <w:tabs>
          <w:tab w:val="right" w:leader="dot" w:pos="8296"/>
        </w:tabs>
        <w:ind w:left="840"/>
        <w:rPr>
          <w:rFonts w:eastAsiaTheme="minorEastAsia"/>
          <w:sz w:val="18"/>
          <w:szCs w:val="20"/>
        </w:rPr>
      </w:pPr>
      <w:hyperlink w:anchor="_Toc71163699" w:history="1">
        <w:r>
          <w:rPr>
            <w:rStyle w:val="Hyperlink"/>
            <w:sz w:val="22"/>
            <w:szCs w:val="20"/>
          </w:rPr>
          <w:t>（四）关于新零售背景下生鲜电商发展困境的研究</w:t>
        </w:r>
        <w:r>
          <w:rPr>
            <w:sz w:val="22"/>
            <w:szCs w:val="20"/>
          </w:rPr>
          <w:tab/>
        </w:r>
        <w:r>
          <w:rPr>
            <w:sz w:val="22"/>
            <w:szCs w:val="20"/>
          </w:rPr>
          <w:fldChar w:fldCharType="begin"/>
        </w:r>
        <w:r>
          <w:rPr>
            <w:sz w:val="22"/>
            <w:szCs w:val="20"/>
          </w:rPr>
          <w:instrText xml:space="preserve"> PAGEREF _Toc71163699 \h </w:instrText>
        </w:r>
        <w:r>
          <w:rPr>
            <w:sz w:val="22"/>
            <w:szCs w:val="20"/>
          </w:rPr>
          <w:fldChar w:fldCharType="separate"/>
        </w:r>
        <w:r>
          <w:rPr>
            <w:sz w:val="22"/>
            <w:szCs w:val="20"/>
          </w:rPr>
          <w:t>6</w:t>
        </w:r>
        <w:r>
          <w:rPr>
            <w:sz w:val="22"/>
            <w:szCs w:val="20"/>
          </w:rPr>
          <w:fldChar w:fldCharType="end"/>
        </w:r>
      </w:hyperlink>
    </w:p>
    <w:p>
      <w:pPr>
        <w:pStyle w:val="TOC3"/>
        <w:tabs>
          <w:tab w:val="right" w:leader="dot" w:pos="8296"/>
        </w:tabs>
        <w:ind w:left="840"/>
        <w:rPr>
          <w:rFonts w:eastAsiaTheme="minorEastAsia"/>
          <w:sz w:val="18"/>
          <w:szCs w:val="20"/>
        </w:rPr>
      </w:pPr>
      <w:hyperlink w:anchor="_Toc71163700" w:history="1">
        <w:r>
          <w:rPr>
            <w:rStyle w:val="Hyperlink"/>
            <w:sz w:val="22"/>
            <w:szCs w:val="20"/>
          </w:rPr>
          <w:t>（五）关于我国生鲜电商发展建议的研究</w:t>
        </w:r>
        <w:r>
          <w:rPr>
            <w:sz w:val="22"/>
            <w:szCs w:val="20"/>
          </w:rPr>
          <w:tab/>
        </w:r>
        <w:r>
          <w:rPr>
            <w:sz w:val="22"/>
            <w:szCs w:val="20"/>
          </w:rPr>
          <w:fldChar w:fldCharType="begin"/>
        </w:r>
        <w:r>
          <w:rPr>
            <w:sz w:val="22"/>
            <w:szCs w:val="20"/>
          </w:rPr>
          <w:instrText xml:space="preserve"> PAGEREF _Toc71163700 \h </w:instrText>
        </w:r>
        <w:r>
          <w:rPr>
            <w:sz w:val="22"/>
            <w:szCs w:val="20"/>
          </w:rPr>
          <w:fldChar w:fldCharType="separate"/>
        </w:r>
        <w:r>
          <w:rPr>
            <w:sz w:val="22"/>
            <w:szCs w:val="20"/>
          </w:rPr>
          <w:t>6</w:t>
        </w:r>
        <w:r>
          <w:rPr>
            <w:sz w:val="22"/>
            <w:szCs w:val="20"/>
          </w:rPr>
          <w:fldChar w:fldCharType="end"/>
        </w:r>
      </w:hyperlink>
    </w:p>
    <w:p>
      <w:pPr>
        <w:pStyle w:val="TOC2"/>
        <w:tabs>
          <w:tab w:val="right" w:leader="dot" w:pos="8296"/>
        </w:tabs>
        <w:ind w:left="420"/>
        <w:rPr>
          <w:rFonts w:eastAsiaTheme="minorEastAsia"/>
          <w:sz w:val="18"/>
          <w:szCs w:val="20"/>
        </w:rPr>
      </w:pPr>
      <w:hyperlink w:anchor="_Toc71163701" w:history="1">
        <w:r>
          <w:rPr>
            <w:rStyle w:val="Hyperlink"/>
            <w:sz w:val="22"/>
            <w:szCs w:val="20"/>
          </w:rPr>
          <w:t>三、文献述评</w:t>
        </w:r>
        <w:r>
          <w:rPr>
            <w:sz w:val="22"/>
            <w:szCs w:val="20"/>
          </w:rPr>
          <w:tab/>
        </w:r>
        <w:r>
          <w:rPr>
            <w:sz w:val="22"/>
            <w:szCs w:val="20"/>
          </w:rPr>
          <w:fldChar w:fldCharType="begin"/>
        </w:r>
        <w:r>
          <w:rPr>
            <w:sz w:val="22"/>
            <w:szCs w:val="20"/>
          </w:rPr>
          <w:instrText xml:space="preserve"> PAGEREF _Toc71163701 \h </w:instrText>
        </w:r>
        <w:r>
          <w:rPr>
            <w:sz w:val="22"/>
            <w:szCs w:val="20"/>
          </w:rPr>
          <w:fldChar w:fldCharType="separate"/>
        </w:r>
        <w:r>
          <w:rPr>
            <w:sz w:val="22"/>
            <w:szCs w:val="20"/>
          </w:rPr>
          <w:t>7</w:t>
        </w:r>
        <w:r>
          <w:rPr>
            <w:sz w:val="22"/>
            <w:szCs w:val="20"/>
          </w:rPr>
          <w:fldChar w:fldCharType="end"/>
        </w:r>
      </w:hyperlink>
    </w:p>
    <w:p>
      <w:pPr>
        <w:pStyle w:val="TOC1"/>
        <w:tabs>
          <w:tab w:val="right" w:leader="dot" w:pos="8296"/>
        </w:tabs>
        <w:rPr>
          <w:rFonts w:eastAsiaTheme="minorEastAsia"/>
          <w:sz w:val="18"/>
          <w:szCs w:val="20"/>
        </w:rPr>
      </w:pPr>
      <w:hyperlink w:anchor="_Toc71163702" w:history="1">
        <w:r>
          <w:rPr>
            <w:rStyle w:val="Hyperlink"/>
            <w:sz w:val="22"/>
            <w:szCs w:val="20"/>
          </w:rPr>
          <w:t>第三章 新零售出现的动因</w:t>
        </w:r>
        <w:r>
          <w:rPr>
            <w:sz w:val="22"/>
            <w:szCs w:val="20"/>
          </w:rPr>
          <w:tab/>
        </w:r>
        <w:r>
          <w:rPr>
            <w:sz w:val="22"/>
            <w:szCs w:val="20"/>
          </w:rPr>
          <w:fldChar w:fldCharType="begin"/>
        </w:r>
        <w:r>
          <w:rPr>
            <w:sz w:val="22"/>
            <w:szCs w:val="20"/>
          </w:rPr>
          <w:instrText xml:space="preserve"> PAGEREF _Toc71163702 \h </w:instrText>
        </w:r>
        <w:r>
          <w:rPr>
            <w:sz w:val="22"/>
            <w:szCs w:val="20"/>
          </w:rPr>
          <w:fldChar w:fldCharType="separate"/>
        </w:r>
        <w:r>
          <w:rPr>
            <w:sz w:val="22"/>
            <w:szCs w:val="20"/>
          </w:rPr>
          <w:t>8</w:t>
        </w:r>
        <w:r>
          <w:rPr>
            <w:sz w:val="22"/>
            <w:szCs w:val="20"/>
          </w:rPr>
          <w:fldChar w:fldCharType="end"/>
        </w:r>
      </w:hyperlink>
    </w:p>
    <w:p>
      <w:pPr>
        <w:pStyle w:val="TOC2"/>
        <w:tabs>
          <w:tab w:val="right" w:leader="dot" w:pos="8296"/>
        </w:tabs>
        <w:ind w:left="420"/>
        <w:rPr>
          <w:rFonts w:eastAsiaTheme="minorEastAsia"/>
          <w:sz w:val="18"/>
          <w:szCs w:val="20"/>
        </w:rPr>
      </w:pPr>
      <w:hyperlink w:anchor="_Toc71163703" w:history="1">
        <w:r>
          <w:rPr>
            <w:rStyle w:val="Hyperlink"/>
            <w:sz w:val="22"/>
            <w:szCs w:val="20"/>
          </w:rPr>
          <w:t>一、人：消费升级催生个性化需求，拉新获客成本提高</w:t>
        </w:r>
        <w:r>
          <w:rPr>
            <w:sz w:val="22"/>
            <w:szCs w:val="20"/>
          </w:rPr>
          <w:tab/>
        </w:r>
        <w:r>
          <w:rPr>
            <w:sz w:val="22"/>
            <w:szCs w:val="20"/>
          </w:rPr>
          <w:fldChar w:fldCharType="begin"/>
        </w:r>
        <w:r>
          <w:rPr>
            <w:sz w:val="22"/>
            <w:szCs w:val="20"/>
          </w:rPr>
          <w:instrText xml:space="preserve"> PAGEREF _Toc71163703 \h </w:instrText>
        </w:r>
        <w:r>
          <w:rPr>
            <w:sz w:val="22"/>
            <w:szCs w:val="20"/>
          </w:rPr>
          <w:fldChar w:fldCharType="separate"/>
        </w:r>
        <w:r>
          <w:rPr>
            <w:sz w:val="22"/>
            <w:szCs w:val="20"/>
          </w:rPr>
          <w:t>8</w:t>
        </w:r>
        <w:r>
          <w:rPr>
            <w:sz w:val="22"/>
            <w:szCs w:val="20"/>
          </w:rPr>
          <w:fldChar w:fldCharType="end"/>
        </w:r>
      </w:hyperlink>
    </w:p>
    <w:p>
      <w:pPr>
        <w:pStyle w:val="TOC2"/>
        <w:tabs>
          <w:tab w:val="right" w:leader="dot" w:pos="8296"/>
        </w:tabs>
        <w:ind w:left="420"/>
        <w:rPr>
          <w:rFonts w:eastAsiaTheme="minorEastAsia"/>
          <w:sz w:val="18"/>
          <w:szCs w:val="20"/>
        </w:rPr>
      </w:pPr>
      <w:hyperlink w:anchor="_Toc71163704" w:history="1">
        <w:r>
          <w:rPr>
            <w:rStyle w:val="Hyperlink"/>
            <w:sz w:val="22"/>
            <w:szCs w:val="20"/>
          </w:rPr>
          <w:t>二、货：交易成本居高，附加价值凸显</w:t>
        </w:r>
        <w:r>
          <w:rPr>
            <w:sz w:val="22"/>
            <w:szCs w:val="20"/>
          </w:rPr>
          <w:tab/>
        </w:r>
        <w:r>
          <w:rPr>
            <w:sz w:val="22"/>
            <w:szCs w:val="20"/>
          </w:rPr>
          <w:fldChar w:fldCharType="begin"/>
        </w:r>
        <w:r>
          <w:rPr>
            <w:sz w:val="22"/>
            <w:szCs w:val="20"/>
          </w:rPr>
          <w:instrText xml:space="preserve"> PAGEREF _Toc71163704 \h </w:instrText>
        </w:r>
        <w:r>
          <w:rPr>
            <w:sz w:val="22"/>
            <w:szCs w:val="20"/>
          </w:rPr>
          <w:fldChar w:fldCharType="separate"/>
        </w:r>
        <w:r>
          <w:rPr>
            <w:sz w:val="22"/>
            <w:szCs w:val="20"/>
          </w:rPr>
          <w:t>8</w:t>
        </w:r>
        <w:r>
          <w:rPr>
            <w:sz w:val="22"/>
            <w:szCs w:val="20"/>
          </w:rPr>
          <w:fldChar w:fldCharType="end"/>
        </w:r>
      </w:hyperlink>
    </w:p>
    <w:p>
      <w:pPr>
        <w:pStyle w:val="TOC2"/>
        <w:tabs>
          <w:tab w:val="right" w:leader="dot" w:pos="8296"/>
        </w:tabs>
        <w:ind w:left="420"/>
        <w:rPr>
          <w:rFonts w:eastAsiaTheme="minorEastAsia"/>
          <w:sz w:val="18"/>
          <w:szCs w:val="20"/>
        </w:rPr>
      </w:pPr>
      <w:hyperlink w:anchor="_Toc71163705" w:history="1">
        <w:r>
          <w:rPr>
            <w:rStyle w:val="Hyperlink"/>
            <w:sz w:val="22"/>
            <w:szCs w:val="20"/>
          </w:rPr>
          <w:t>三、场：组合效率有待提高，消费场景需求更加多元化</w:t>
        </w:r>
        <w:r>
          <w:rPr>
            <w:sz w:val="22"/>
            <w:szCs w:val="20"/>
          </w:rPr>
          <w:tab/>
        </w:r>
        <w:r>
          <w:rPr>
            <w:sz w:val="22"/>
            <w:szCs w:val="20"/>
          </w:rPr>
          <w:fldChar w:fldCharType="begin"/>
        </w:r>
        <w:r>
          <w:rPr>
            <w:sz w:val="22"/>
            <w:szCs w:val="20"/>
          </w:rPr>
          <w:instrText xml:space="preserve"> PAGEREF _Toc71163705 \h </w:instrText>
        </w:r>
        <w:r>
          <w:rPr>
            <w:sz w:val="22"/>
            <w:szCs w:val="20"/>
          </w:rPr>
          <w:fldChar w:fldCharType="separate"/>
        </w:r>
        <w:r>
          <w:rPr>
            <w:sz w:val="22"/>
            <w:szCs w:val="20"/>
          </w:rPr>
          <w:t>9</w:t>
        </w:r>
        <w:r>
          <w:rPr>
            <w:sz w:val="22"/>
            <w:szCs w:val="20"/>
          </w:rPr>
          <w:fldChar w:fldCharType="end"/>
        </w:r>
      </w:hyperlink>
    </w:p>
    <w:p>
      <w:pPr>
        <w:pStyle w:val="TOC1"/>
        <w:tabs>
          <w:tab w:val="right" w:leader="dot" w:pos="8296"/>
        </w:tabs>
        <w:rPr>
          <w:rFonts w:eastAsiaTheme="minorEastAsia"/>
          <w:sz w:val="18"/>
          <w:szCs w:val="20"/>
        </w:rPr>
      </w:pPr>
      <w:hyperlink w:anchor="_Toc71163706" w:history="1">
        <w:r>
          <w:rPr>
            <w:rStyle w:val="Hyperlink"/>
            <w:sz w:val="22"/>
            <w:szCs w:val="20"/>
          </w:rPr>
          <w:t>第四章 我国生鲜电商发展历程与市场环境分析</w:t>
        </w:r>
        <w:r>
          <w:rPr>
            <w:sz w:val="22"/>
            <w:szCs w:val="20"/>
          </w:rPr>
          <w:tab/>
        </w:r>
        <w:r>
          <w:rPr>
            <w:sz w:val="22"/>
            <w:szCs w:val="20"/>
          </w:rPr>
          <w:fldChar w:fldCharType="begin"/>
        </w:r>
        <w:r>
          <w:rPr>
            <w:sz w:val="22"/>
            <w:szCs w:val="20"/>
          </w:rPr>
          <w:instrText xml:space="preserve"> PAGEREF _Toc71163706 \h </w:instrText>
        </w:r>
        <w:r>
          <w:rPr>
            <w:sz w:val="22"/>
            <w:szCs w:val="20"/>
          </w:rPr>
          <w:fldChar w:fldCharType="separate"/>
        </w:r>
        <w:r>
          <w:rPr>
            <w:sz w:val="22"/>
            <w:szCs w:val="20"/>
          </w:rPr>
          <w:t>10</w:t>
        </w:r>
        <w:r>
          <w:rPr>
            <w:sz w:val="22"/>
            <w:szCs w:val="20"/>
          </w:rPr>
          <w:fldChar w:fldCharType="end"/>
        </w:r>
      </w:hyperlink>
    </w:p>
    <w:p>
      <w:pPr>
        <w:pStyle w:val="TOC2"/>
        <w:tabs>
          <w:tab w:val="right" w:leader="dot" w:pos="8296"/>
        </w:tabs>
        <w:ind w:left="420"/>
        <w:rPr>
          <w:rFonts w:eastAsiaTheme="minorEastAsia"/>
          <w:sz w:val="18"/>
          <w:szCs w:val="20"/>
        </w:rPr>
      </w:pPr>
      <w:hyperlink w:anchor="_Toc71163707" w:history="1">
        <w:r>
          <w:rPr>
            <w:rStyle w:val="Hyperlink"/>
            <w:sz w:val="22"/>
            <w:szCs w:val="20"/>
          </w:rPr>
          <w:t>一、我国生鲜电商发展历程</w:t>
        </w:r>
        <w:r>
          <w:rPr>
            <w:sz w:val="22"/>
            <w:szCs w:val="20"/>
          </w:rPr>
          <w:tab/>
        </w:r>
        <w:r>
          <w:rPr>
            <w:sz w:val="22"/>
            <w:szCs w:val="20"/>
          </w:rPr>
          <w:fldChar w:fldCharType="begin"/>
        </w:r>
        <w:r>
          <w:rPr>
            <w:sz w:val="22"/>
            <w:szCs w:val="20"/>
          </w:rPr>
          <w:instrText xml:space="preserve"> PAGEREF _Toc71163707 \h </w:instrText>
        </w:r>
        <w:r>
          <w:rPr>
            <w:sz w:val="22"/>
            <w:szCs w:val="20"/>
          </w:rPr>
          <w:fldChar w:fldCharType="separate"/>
        </w:r>
        <w:r>
          <w:rPr>
            <w:sz w:val="22"/>
            <w:szCs w:val="20"/>
          </w:rPr>
          <w:t>10</w:t>
        </w:r>
        <w:r>
          <w:rPr>
            <w:sz w:val="22"/>
            <w:szCs w:val="20"/>
          </w:rPr>
          <w:fldChar w:fldCharType="end"/>
        </w:r>
      </w:hyperlink>
    </w:p>
    <w:p>
      <w:pPr>
        <w:pStyle w:val="TOC3"/>
        <w:tabs>
          <w:tab w:val="right" w:leader="dot" w:pos="8296"/>
        </w:tabs>
        <w:ind w:left="840"/>
        <w:rPr>
          <w:rFonts w:eastAsiaTheme="minorEastAsia"/>
          <w:sz w:val="18"/>
          <w:szCs w:val="20"/>
        </w:rPr>
      </w:pPr>
      <w:hyperlink w:anchor="_Toc71163708" w:history="1">
        <w:r>
          <w:rPr>
            <w:rStyle w:val="Hyperlink"/>
            <w:sz w:val="22"/>
            <w:szCs w:val="20"/>
          </w:rPr>
          <w:t>（一）萌芽探索阶段（2005-2011年）</w:t>
        </w:r>
        <w:r>
          <w:rPr>
            <w:sz w:val="22"/>
            <w:szCs w:val="20"/>
          </w:rPr>
          <w:tab/>
        </w:r>
        <w:r>
          <w:rPr>
            <w:sz w:val="22"/>
            <w:szCs w:val="20"/>
          </w:rPr>
          <w:fldChar w:fldCharType="begin"/>
        </w:r>
        <w:r>
          <w:rPr>
            <w:sz w:val="22"/>
            <w:szCs w:val="20"/>
          </w:rPr>
          <w:instrText xml:space="preserve"> PAGEREF _Toc71163708 \h </w:instrText>
        </w:r>
        <w:r>
          <w:rPr>
            <w:sz w:val="22"/>
            <w:szCs w:val="20"/>
          </w:rPr>
          <w:fldChar w:fldCharType="separate"/>
        </w:r>
        <w:r>
          <w:rPr>
            <w:sz w:val="22"/>
            <w:szCs w:val="20"/>
          </w:rPr>
          <w:t>10</w:t>
        </w:r>
        <w:r>
          <w:rPr>
            <w:sz w:val="22"/>
            <w:szCs w:val="20"/>
          </w:rPr>
          <w:fldChar w:fldCharType="end"/>
        </w:r>
      </w:hyperlink>
    </w:p>
    <w:p>
      <w:pPr>
        <w:pStyle w:val="TOC3"/>
        <w:tabs>
          <w:tab w:val="right" w:leader="dot" w:pos="8296"/>
        </w:tabs>
        <w:ind w:left="840"/>
        <w:rPr>
          <w:rFonts w:eastAsiaTheme="minorEastAsia"/>
          <w:sz w:val="18"/>
          <w:szCs w:val="20"/>
        </w:rPr>
      </w:pPr>
      <w:hyperlink w:anchor="_Toc71163709" w:history="1">
        <w:r>
          <w:rPr>
            <w:rStyle w:val="Hyperlink"/>
            <w:sz w:val="22"/>
            <w:szCs w:val="20"/>
          </w:rPr>
          <w:t>（三）转型升级阶段（2016年-至今）</w:t>
        </w:r>
        <w:r>
          <w:rPr>
            <w:sz w:val="22"/>
            <w:szCs w:val="20"/>
          </w:rPr>
          <w:tab/>
        </w:r>
        <w:r>
          <w:rPr>
            <w:sz w:val="22"/>
            <w:szCs w:val="20"/>
          </w:rPr>
          <w:fldChar w:fldCharType="begin"/>
        </w:r>
        <w:r>
          <w:rPr>
            <w:sz w:val="22"/>
            <w:szCs w:val="20"/>
          </w:rPr>
          <w:instrText xml:space="preserve"> PAGEREF _Toc71163709 \h </w:instrText>
        </w:r>
        <w:r>
          <w:rPr>
            <w:sz w:val="22"/>
            <w:szCs w:val="20"/>
          </w:rPr>
          <w:fldChar w:fldCharType="separate"/>
        </w:r>
        <w:r>
          <w:rPr>
            <w:sz w:val="22"/>
            <w:szCs w:val="20"/>
          </w:rPr>
          <w:t>11</w:t>
        </w:r>
        <w:r>
          <w:rPr>
            <w:sz w:val="22"/>
            <w:szCs w:val="20"/>
          </w:rPr>
          <w:fldChar w:fldCharType="end"/>
        </w:r>
      </w:hyperlink>
    </w:p>
    <w:p>
      <w:pPr>
        <w:pStyle w:val="TOC2"/>
        <w:tabs>
          <w:tab w:val="right" w:leader="dot" w:pos="8296"/>
        </w:tabs>
        <w:ind w:left="420"/>
        <w:rPr>
          <w:rFonts w:eastAsiaTheme="minorEastAsia"/>
          <w:sz w:val="18"/>
          <w:szCs w:val="20"/>
        </w:rPr>
      </w:pPr>
      <w:hyperlink w:anchor="_Toc71163710" w:history="1">
        <w:r>
          <w:rPr>
            <w:rStyle w:val="Hyperlink"/>
            <w:sz w:val="22"/>
            <w:szCs w:val="20"/>
          </w:rPr>
          <w:t>二、我国生鲜电商宏观市场环境分析——基于PEST工具</w:t>
        </w:r>
        <w:r>
          <w:rPr>
            <w:sz w:val="22"/>
            <w:szCs w:val="20"/>
          </w:rPr>
          <w:tab/>
        </w:r>
        <w:r>
          <w:rPr>
            <w:sz w:val="22"/>
            <w:szCs w:val="20"/>
          </w:rPr>
          <w:fldChar w:fldCharType="begin"/>
        </w:r>
        <w:r>
          <w:rPr>
            <w:sz w:val="22"/>
            <w:szCs w:val="20"/>
          </w:rPr>
          <w:instrText xml:space="preserve"> PAGEREF _Toc71163710 \h </w:instrText>
        </w:r>
        <w:r>
          <w:rPr>
            <w:sz w:val="22"/>
            <w:szCs w:val="20"/>
          </w:rPr>
          <w:fldChar w:fldCharType="separate"/>
        </w:r>
        <w:r>
          <w:rPr>
            <w:sz w:val="22"/>
            <w:szCs w:val="20"/>
          </w:rPr>
          <w:t>11</w:t>
        </w:r>
        <w:r>
          <w:rPr>
            <w:sz w:val="22"/>
            <w:szCs w:val="20"/>
          </w:rPr>
          <w:fldChar w:fldCharType="end"/>
        </w:r>
      </w:hyperlink>
    </w:p>
    <w:p>
      <w:pPr>
        <w:pStyle w:val="TOC3"/>
        <w:tabs>
          <w:tab w:val="right" w:leader="dot" w:pos="8296"/>
        </w:tabs>
        <w:ind w:left="840"/>
        <w:rPr>
          <w:rFonts w:eastAsiaTheme="minorEastAsia"/>
          <w:sz w:val="18"/>
          <w:szCs w:val="20"/>
        </w:rPr>
      </w:pPr>
      <w:hyperlink w:anchor="_Toc71163711" w:history="1">
        <w:r>
          <w:rPr>
            <w:rStyle w:val="Hyperlink"/>
            <w:sz w:val="22"/>
            <w:szCs w:val="20"/>
          </w:rPr>
          <w:t>（一）政策环境</w:t>
        </w:r>
        <w:r>
          <w:rPr>
            <w:sz w:val="22"/>
            <w:szCs w:val="20"/>
          </w:rPr>
          <w:tab/>
        </w:r>
        <w:r>
          <w:rPr>
            <w:sz w:val="22"/>
            <w:szCs w:val="20"/>
          </w:rPr>
          <w:fldChar w:fldCharType="begin"/>
        </w:r>
        <w:r>
          <w:rPr>
            <w:sz w:val="22"/>
            <w:szCs w:val="20"/>
          </w:rPr>
          <w:instrText xml:space="preserve"> PAGEREF _Toc71163711 \h </w:instrText>
        </w:r>
        <w:r>
          <w:rPr>
            <w:sz w:val="22"/>
            <w:szCs w:val="20"/>
          </w:rPr>
          <w:fldChar w:fldCharType="separate"/>
        </w:r>
        <w:r>
          <w:rPr>
            <w:sz w:val="22"/>
            <w:szCs w:val="20"/>
          </w:rPr>
          <w:t>11</w:t>
        </w:r>
        <w:r>
          <w:rPr>
            <w:sz w:val="22"/>
            <w:szCs w:val="20"/>
          </w:rPr>
          <w:fldChar w:fldCharType="end"/>
        </w:r>
      </w:hyperlink>
    </w:p>
    <w:p>
      <w:pPr>
        <w:pStyle w:val="TOC3"/>
        <w:tabs>
          <w:tab w:val="right" w:leader="dot" w:pos="8296"/>
        </w:tabs>
        <w:ind w:left="840"/>
        <w:rPr>
          <w:rFonts w:eastAsiaTheme="minorEastAsia"/>
          <w:sz w:val="18"/>
          <w:szCs w:val="20"/>
        </w:rPr>
      </w:pPr>
      <w:hyperlink w:anchor="_Toc71163712" w:history="1">
        <w:r>
          <w:rPr>
            <w:rStyle w:val="Hyperlink"/>
            <w:sz w:val="22"/>
            <w:szCs w:val="20"/>
          </w:rPr>
          <w:t>（二）经济环境</w:t>
        </w:r>
        <w:r>
          <w:rPr>
            <w:sz w:val="22"/>
            <w:szCs w:val="20"/>
          </w:rPr>
          <w:tab/>
        </w:r>
        <w:r>
          <w:rPr>
            <w:sz w:val="22"/>
            <w:szCs w:val="20"/>
          </w:rPr>
          <w:fldChar w:fldCharType="begin"/>
        </w:r>
        <w:r>
          <w:rPr>
            <w:sz w:val="22"/>
            <w:szCs w:val="20"/>
          </w:rPr>
          <w:instrText xml:space="preserve"> PAGEREF _Toc71163712 \h </w:instrText>
        </w:r>
        <w:r>
          <w:rPr>
            <w:sz w:val="22"/>
            <w:szCs w:val="20"/>
          </w:rPr>
          <w:fldChar w:fldCharType="separate"/>
        </w:r>
        <w:r>
          <w:rPr>
            <w:sz w:val="22"/>
            <w:szCs w:val="20"/>
          </w:rPr>
          <w:t>12</w:t>
        </w:r>
        <w:r>
          <w:rPr>
            <w:sz w:val="22"/>
            <w:szCs w:val="20"/>
          </w:rPr>
          <w:fldChar w:fldCharType="end"/>
        </w:r>
      </w:hyperlink>
    </w:p>
    <w:p>
      <w:pPr>
        <w:pStyle w:val="TOC3"/>
        <w:tabs>
          <w:tab w:val="right" w:leader="dot" w:pos="8296"/>
        </w:tabs>
        <w:ind w:left="840"/>
        <w:rPr>
          <w:rFonts w:eastAsiaTheme="minorEastAsia"/>
          <w:sz w:val="18"/>
          <w:szCs w:val="20"/>
        </w:rPr>
      </w:pPr>
      <w:hyperlink w:anchor="_Toc71163713" w:history="1">
        <w:r>
          <w:rPr>
            <w:rStyle w:val="Hyperlink"/>
            <w:sz w:val="22"/>
            <w:szCs w:val="20"/>
          </w:rPr>
          <w:t>（三）社会环境</w:t>
        </w:r>
        <w:r>
          <w:rPr>
            <w:sz w:val="22"/>
            <w:szCs w:val="20"/>
          </w:rPr>
          <w:tab/>
        </w:r>
        <w:r>
          <w:rPr>
            <w:sz w:val="22"/>
            <w:szCs w:val="20"/>
          </w:rPr>
          <w:fldChar w:fldCharType="begin"/>
        </w:r>
        <w:r>
          <w:rPr>
            <w:sz w:val="22"/>
            <w:szCs w:val="20"/>
          </w:rPr>
          <w:instrText xml:space="preserve"> PAGEREF _Toc71163713 \h </w:instrText>
        </w:r>
        <w:r>
          <w:rPr>
            <w:sz w:val="22"/>
            <w:szCs w:val="20"/>
          </w:rPr>
          <w:fldChar w:fldCharType="separate"/>
        </w:r>
        <w:r>
          <w:rPr>
            <w:sz w:val="22"/>
            <w:szCs w:val="20"/>
          </w:rPr>
          <w:t>13</w:t>
        </w:r>
        <w:r>
          <w:rPr>
            <w:sz w:val="22"/>
            <w:szCs w:val="20"/>
          </w:rPr>
          <w:fldChar w:fldCharType="end"/>
        </w:r>
      </w:hyperlink>
    </w:p>
    <w:p>
      <w:pPr>
        <w:pStyle w:val="TOC3"/>
        <w:tabs>
          <w:tab w:val="right" w:leader="dot" w:pos="8296"/>
        </w:tabs>
        <w:ind w:left="840"/>
        <w:rPr>
          <w:rFonts w:eastAsiaTheme="minorEastAsia"/>
          <w:sz w:val="18"/>
          <w:szCs w:val="20"/>
        </w:rPr>
        <w:sectPr>
          <w:headerReference w:type="default" r:id="rId6"/>
          <w:footerReference w:type="default" r:id="rId7"/>
          <w:pgSz w:w="11906" w:h="16838"/>
          <w:pgMar w:top="1440" w:right="1800" w:bottom="1440" w:left="1800" w:header="851" w:footer="992" w:gutter="0"/>
          <w:pgNumType w:start="1"/>
          <w:cols w:num="1" w:space="425"/>
          <w:docGrid w:type="lines" w:linePitch="312" w:charSpace="0"/>
        </w:sectPr>
      </w:pPr>
      <w:hyperlink w:anchor="_Toc71163714" w:history="1">
        <w:r>
          <w:rPr>
            <w:rStyle w:val="Hyperlink"/>
            <w:sz w:val="22"/>
            <w:szCs w:val="20"/>
          </w:rPr>
          <w:t>（四）技术环境</w:t>
        </w:r>
        <w:r>
          <w:rPr>
            <w:sz w:val="22"/>
            <w:szCs w:val="20"/>
          </w:rPr>
          <w:tab/>
        </w:r>
        <w:r>
          <w:rPr>
            <w:sz w:val="22"/>
            <w:szCs w:val="20"/>
          </w:rPr>
          <w:fldChar w:fldCharType="begin"/>
        </w:r>
        <w:r>
          <w:rPr>
            <w:sz w:val="22"/>
            <w:szCs w:val="20"/>
          </w:rPr>
          <w:instrText xml:space="preserve"> PAGEREF _Toc71163714 \h </w:instrText>
        </w:r>
        <w:r>
          <w:rPr>
            <w:sz w:val="22"/>
            <w:szCs w:val="20"/>
          </w:rPr>
          <w:fldChar w:fldCharType="separate"/>
        </w:r>
        <w:r>
          <w:rPr>
            <w:sz w:val="22"/>
            <w:szCs w:val="20"/>
          </w:rPr>
          <w:t>13</w:t>
        </w:r>
        <w:r>
          <w:rPr>
            <w:sz w:val="22"/>
            <w:szCs w:val="20"/>
          </w:rPr>
          <w:fldChar w:fldCharType="end"/>
        </w:r>
      </w:hyperlink>
    </w:p>
    <w:p>
      <w:pPr>
        <w:pStyle w:val="TOC1"/>
        <w:tabs>
          <w:tab w:val="right" w:leader="dot" w:pos="8296"/>
        </w:tabs>
        <w:rPr>
          <w:rFonts w:eastAsiaTheme="minorEastAsia"/>
          <w:sz w:val="18"/>
          <w:szCs w:val="20"/>
        </w:rPr>
      </w:pPr>
      <w:hyperlink w:anchor="_Toc71163715" w:history="1">
        <w:r>
          <w:rPr>
            <w:rStyle w:val="Hyperlink"/>
            <w:sz w:val="22"/>
            <w:szCs w:val="20"/>
          </w:rPr>
          <w:t>第五章 新零售背景下生鲜电商发展现状及问题分析</w:t>
        </w:r>
        <w:r>
          <w:rPr>
            <w:sz w:val="22"/>
            <w:szCs w:val="20"/>
          </w:rPr>
          <w:tab/>
        </w:r>
        <w:r>
          <w:rPr>
            <w:sz w:val="22"/>
            <w:szCs w:val="20"/>
          </w:rPr>
          <w:fldChar w:fldCharType="begin"/>
        </w:r>
        <w:r>
          <w:rPr>
            <w:sz w:val="22"/>
            <w:szCs w:val="20"/>
          </w:rPr>
          <w:instrText xml:space="preserve"> PAGEREF _Toc71163715 \h </w:instrText>
        </w:r>
        <w:r>
          <w:rPr>
            <w:sz w:val="22"/>
            <w:szCs w:val="20"/>
          </w:rPr>
          <w:fldChar w:fldCharType="separate"/>
        </w:r>
        <w:r>
          <w:rPr>
            <w:sz w:val="22"/>
            <w:szCs w:val="20"/>
          </w:rPr>
          <w:t>14</w:t>
        </w:r>
        <w:r>
          <w:rPr>
            <w:sz w:val="22"/>
            <w:szCs w:val="20"/>
          </w:rPr>
          <w:fldChar w:fldCharType="end"/>
        </w:r>
      </w:hyperlink>
    </w:p>
    <w:p>
      <w:pPr>
        <w:pStyle w:val="TOC2"/>
        <w:tabs>
          <w:tab w:val="right" w:leader="dot" w:pos="8296"/>
        </w:tabs>
        <w:ind w:left="420"/>
        <w:rPr>
          <w:rFonts w:eastAsiaTheme="minorEastAsia"/>
          <w:sz w:val="18"/>
          <w:szCs w:val="20"/>
        </w:rPr>
      </w:pPr>
      <w:hyperlink w:anchor="_Toc71163716" w:history="1">
        <w:r>
          <w:rPr>
            <w:rStyle w:val="Hyperlink"/>
            <w:sz w:val="22"/>
            <w:szCs w:val="20"/>
          </w:rPr>
          <w:t>一、市场规模扩大，头部效应凸显</w:t>
        </w:r>
        <w:r>
          <w:rPr>
            <w:sz w:val="22"/>
            <w:szCs w:val="20"/>
          </w:rPr>
          <w:tab/>
        </w:r>
        <w:r>
          <w:rPr>
            <w:sz w:val="22"/>
            <w:szCs w:val="20"/>
          </w:rPr>
          <w:fldChar w:fldCharType="begin"/>
        </w:r>
        <w:r>
          <w:rPr>
            <w:sz w:val="22"/>
            <w:szCs w:val="20"/>
          </w:rPr>
          <w:instrText xml:space="preserve"> PAGEREF _Toc71163716 \h </w:instrText>
        </w:r>
        <w:r>
          <w:rPr>
            <w:sz w:val="22"/>
            <w:szCs w:val="20"/>
          </w:rPr>
          <w:fldChar w:fldCharType="separate"/>
        </w:r>
        <w:r>
          <w:rPr>
            <w:sz w:val="22"/>
            <w:szCs w:val="20"/>
          </w:rPr>
          <w:t>14</w:t>
        </w:r>
        <w:r>
          <w:rPr>
            <w:sz w:val="22"/>
            <w:szCs w:val="20"/>
          </w:rPr>
          <w:fldChar w:fldCharType="end"/>
        </w:r>
      </w:hyperlink>
    </w:p>
    <w:p>
      <w:pPr>
        <w:pStyle w:val="TOC2"/>
        <w:tabs>
          <w:tab w:val="right" w:leader="dot" w:pos="8296"/>
        </w:tabs>
        <w:ind w:left="420"/>
        <w:rPr>
          <w:rFonts w:eastAsiaTheme="minorEastAsia"/>
          <w:sz w:val="18"/>
          <w:szCs w:val="20"/>
        </w:rPr>
      </w:pPr>
      <w:hyperlink w:anchor="_Toc71163717" w:history="1">
        <w:r>
          <w:rPr>
            <w:rStyle w:val="Hyperlink"/>
            <w:sz w:val="22"/>
            <w:szCs w:val="20"/>
          </w:rPr>
          <w:t>二、盈利模式多样，突破盈利瓶颈</w:t>
        </w:r>
        <w:r>
          <w:rPr>
            <w:sz w:val="22"/>
            <w:szCs w:val="20"/>
          </w:rPr>
          <w:tab/>
        </w:r>
        <w:r>
          <w:rPr>
            <w:sz w:val="22"/>
            <w:szCs w:val="20"/>
          </w:rPr>
          <w:fldChar w:fldCharType="begin"/>
        </w:r>
        <w:r>
          <w:rPr>
            <w:sz w:val="22"/>
            <w:szCs w:val="20"/>
          </w:rPr>
          <w:instrText xml:space="preserve"> PAGEREF _Toc71163717 \h </w:instrText>
        </w:r>
        <w:r>
          <w:rPr>
            <w:sz w:val="22"/>
            <w:szCs w:val="20"/>
          </w:rPr>
          <w:fldChar w:fldCharType="separate"/>
        </w:r>
        <w:r>
          <w:rPr>
            <w:sz w:val="22"/>
            <w:szCs w:val="20"/>
          </w:rPr>
          <w:t>14</w:t>
        </w:r>
        <w:r>
          <w:rPr>
            <w:sz w:val="22"/>
            <w:szCs w:val="20"/>
          </w:rPr>
          <w:fldChar w:fldCharType="end"/>
        </w:r>
      </w:hyperlink>
    </w:p>
    <w:p>
      <w:pPr>
        <w:pStyle w:val="TOC2"/>
        <w:tabs>
          <w:tab w:val="right" w:leader="dot" w:pos="8296"/>
        </w:tabs>
        <w:ind w:left="420"/>
        <w:rPr>
          <w:rFonts w:eastAsiaTheme="minorEastAsia"/>
          <w:sz w:val="18"/>
          <w:szCs w:val="20"/>
        </w:rPr>
      </w:pPr>
      <w:hyperlink w:anchor="_Toc71163718" w:history="1">
        <w:r>
          <w:rPr>
            <w:rStyle w:val="Hyperlink"/>
            <w:sz w:val="22"/>
            <w:szCs w:val="20"/>
          </w:rPr>
          <w:t>三、活跃用户规模稳步增长，用户留存仍是难题</w:t>
        </w:r>
        <w:r>
          <w:rPr>
            <w:sz w:val="22"/>
            <w:szCs w:val="20"/>
          </w:rPr>
          <w:tab/>
        </w:r>
        <w:r>
          <w:rPr>
            <w:sz w:val="22"/>
            <w:szCs w:val="20"/>
          </w:rPr>
          <w:fldChar w:fldCharType="begin"/>
        </w:r>
        <w:r>
          <w:rPr>
            <w:sz w:val="22"/>
            <w:szCs w:val="20"/>
          </w:rPr>
          <w:instrText xml:space="preserve"> PAGEREF _Toc71163718 \h </w:instrText>
        </w:r>
        <w:r>
          <w:rPr>
            <w:sz w:val="22"/>
            <w:szCs w:val="20"/>
          </w:rPr>
          <w:fldChar w:fldCharType="separate"/>
        </w:r>
        <w:r>
          <w:rPr>
            <w:sz w:val="22"/>
            <w:szCs w:val="20"/>
          </w:rPr>
          <w:t>15</w:t>
        </w:r>
        <w:r>
          <w:rPr>
            <w:sz w:val="22"/>
            <w:szCs w:val="20"/>
          </w:rPr>
          <w:fldChar w:fldCharType="end"/>
        </w:r>
      </w:hyperlink>
    </w:p>
    <w:p>
      <w:pPr>
        <w:pStyle w:val="TOC1"/>
        <w:tabs>
          <w:tab w:val="right" w:leader="dot" w:pos="8296"/>
        </w:tabs>
        <w:rPr>
          <w:rFonts w:eastAsiaTheme="minorEastAsia"/>
          <w:sz w:val="18"/>
          <w:szCs w:val="20"/>
        </w:rPr>
      </w:pPr>
      <w:hyperlink w:anchor="_Toc71163719" w:history="1">
        <w:r>
          <w:rPr>
            <w:rStyle w:val="Hyperlink"/>
            <w:sz w:val="22"/>
            <w:szCs w:val="20"/>
          </w:rPr>
          <w:t>第六章 “人货场”视角下我国生鲜电商发展优化策略研究</w:t>
        </w:r>
        <w:r>
          <w:rPr>
            <w:sz w:val="22"/>
            <w:szCs w:val="20"/>
          </w:rPr>
          <w:tab/>
        </w:r>
        <w:r>
          <w:rPr>
            <w:sz w:val="22"/>
            <w:szCs w:val="20"/>
          </w:rPr>
          <w:fldChar w:fldCharType="begin"/>
        </w:r>
        <w:r>
          <w:rPr>
            <w:sz w:val="22"/>
            <w:szCs w:val="20"/>
          </w:rPr>
          <w:instrText xml:space="preserve"> PAGEREF _Toc71163719 \h </w:instrText>
        </w:r>
        <w:r>
          <w:rPr>
            <w:sz w:val="22"/>
            <w:szCs w:val="20"/>
          </w:rPr>
          <w:fldChar w:fldCharType="separate"/>
        </w:r>
        <w:r>
          <w:rPr>
            <w:sz w:val="22"/>
            <w:szCs w:val="20"/>
          </w:rPr>
          <w:t>18</w:t>
        </w:r>
        <w:r>
          <w:rPr>
            <w:sz w:val="22"/>
            <w:szCs w:val="20"/>
          </w:rPr>
          <w:fldChar w:fldCharType="end"/>
        </w:r>
      </w:hyperlink>
    </w:p>
    <w:p>
      <w:pPr>
        <w:pStyle w:val="TOC2"/>
        <w:tabs>
          <w:tab w:val="right" w:leader="dot" w:pos="8296"/>
        </w:tabs>
        <w:ind w:left="420"/>
        <w:rPr>
          <w:rFonts w:eastAsiaTheme="minorEastAsia"/>
          <w:sz w:val="18"/>
          <w:szCs w:val="20"/>
        </w:rPr>
      </w:pPr>
      <w:hyperlink w:anchor="_Toc71163720" w:history="1">
        <w:r>
          <w:rPr>
            <w:rStyle w:val="Hyperlink"/>
            <w:sz w:val="22"/>
            <w:szCs w:val="20"/>
          </w:rPr>
          <w:t>一、透析交易过程，提升“人”的效率</w:t>
        </w:r>
        <w:r>
          <w:rPr>
            <w:sz w:val="22"/>
            <w:szCs w:val="20"/>
          </w:rPr>
          <w:tab/>
        </w:r>
        <w:r>
          <w:rPr>
            <w:sz w:val="22"/>
            <w:szCs w:val="20"/>
          </w:rPr>
          <w:fldChar w:fldCharType="begin"/>
        </w:r>
        <w:r>
          <w:rPr>
            <w:sz w:val="22"/>
            <w:szCs w:val="20"/>
          </w:rPr>
          <w:instrText xml:space="preserve"> PAGEREF _Toc71163720 \h </w:instrText>
        </w:r>
        <w:r>
          <w:rPr>
            <w:sz w:val="22"/>
            <w:szCs w:val="20"/>
          </w:rPr>
          <w:fldChar w:fldCharType="separate"/>
        </w:r>
        <w:r>
          <w:rPr>
            <w:sz w:val="22"/>
            <w:szCs w:val="20"/>
          </w:rPr>
          <w:t>18</w:t>
        </w:r>
        <w:r>
          <w:rPr>
            <w:sz w:val="22"/>
            <w:szCs w:val="20"/>
          </w:rPr>
          <w:fldChar w:fldCharType="end"/>
        </w:r>
      </w:hyperlink>
    </w:p>
    <w:p>
      <w:pPr>
        <w:pStyle w:val="TOC3"/>
        <w:tabs>
          <w:tab w:val="right" w:leader="dot" w:pos="8296"/>
        </w:tabs>
        <w:ind w:left="840"/>
        <w:rPr>
          <w:rFonts w:eastAsiaTheme="minorEastAsia"/>
          <w:sz w:val="18"/>
          <w:szCs w:val="20"/>
        </w:rPr>
      </w:pPr>
      <w:hyperlink w:anchor="_Toc71163721" w:history="1">
        <w:r>
          <w:rPr>
            <w:rStyle w:val="Hyperlink"/>
            <w:sz w:val="22"/>
            <w:szCs w:val="20"/>
          </w:rPr>
          <w:t>（一）扩大消费者触点范围，获取更多流量</w:t>
        </w:r>
        <w:r>
          <w:rPr>
            <w:sz w:val="22"/>
            <w:szCs w:val="20"/>
          </w:rPr>
          <w:tab/>
        </w:r>
        <w:r>
          <w:rPr>
            <w:sz w:val="22"/>
            <w:szCs w:val="20"/>
          </w:rPr>
          <w:fldChar w:fldCharType="begin"/>
        </w:r>
        <w:r>
          <w:rPr>
            <w:sz w:val="22"/>
            <w:szCs w:val="20"/>
          </w:rPr>
          <w:instrText xml:space="preserve"> PAGEREF _Toc71163721 \h </w:instrText>
        </w:r>
        <w:r>
          <w:rPr>
            <w:sz w:val="22"/>
            <w:szCs w:val="20"/>
          </w:rPr>
          <w:fldChar w:fldCharType="separate"/>
        </w:r>
        <w:r>
          <w:rPr>
            <w:sz w:val="22"/>
            <w:szCs w:val="20"/>
          </w:rPr>
          <w:t>18</w:t>
        </w:r>
        <w:r>
          <w:rPr>
            <w:sz w:val="22"/>
            <w:szCs w:val="20"/>
          </w:rPr>
          <w:fldChar w:fldCharType="end"/>
        </w:r>
      </w:hyperlink>
    </w:p>
    <w:p>
      <w:pPr>
        <w:pStyle w:val="TOC3"/>
        <w:tabs>
          <w:tab w:val="right" w:leader="dot" w:pos="8296"/>
        </w:tabs>
        <w:ind w:left="840"/>
        <w:rPr>
          <w:rFonts w:eastAsiaTheme="minorEastAsia"/>
          <w:sz w:val="18"/>
          <w:szCs w:val="20"/>
        </w:rPr>
      </w:pPr>
      <w:hyperlink w:anchor="_Toc71163722" w:history="1">
        <w:r>
          <w:rPr>
            <w:rStyle w:val="Hyperlink"/>
            <w:sz w:val="22"/>
            <w:szCs w:val="20"/>
          </w:rPr>
          <w:t>（二）精准匹配社群，提高转化率</w:t>
        </w:r>
        <w:r>
          <w:rPr>
            <w:sz w:val="22"/>
            <w:szCs w:val="20"/>
          </w:rPr>
          <w:tab/>
        </w:r>
        <w:r>
          <w:rPr>
            <w:sz w:val="22"/>
            <w:szCs w:val="20"/>
          </w:rPr>
          <w:fldChar w:fldCharType="begin"/>
        </w:r>
        <w:r>
          <w:rPr>
            <w:sz w:val="22"/>
            <w:szCs w:val="20"/>
          </w:rPr>
          <w:instrText xml:space="preserve"> PAGEREF _Toc71163722 \h </w:instrText>
        </w:r>
        <w:r>
          <w:rPr>
            <w:sz w:val="22"/>
            <w:szCs w:val="20"/>
          </w:rPr>
          <w:fldChar w:fldCharType="separate"/>
        </w:r>
        <w:r>
          <w:rPr>
            <w:sz w:val="22"/>
            <w:szCs w:val="20"/>
          </w:rPr>
          <w:t>19</w:t>
        </w:r>
        <w:r>
          <w:rPr>
            <w:sz w:val="22"/>
            <w:szCs w:val="20"/>
          </w:rPr>
          <w:fldChar w:fldCharType="end"/>
        </w:r>
      </w:hyperlink>
    </w:p>
    <w:p>
      <w:pPr>
        <w:pStyle w:val="TOC3"/>
        <w:tabs>
          <w:tab w:val="right" w:leader="dot" w:pos="8296"/>
        </w:tabs>
        <w:ind w:left="840"/>
        <w:rPr>
          <w:rFonts w:eastAsiaTheme="minorEastAsia"/>
          <w:sz w:val="18"/>
          <w:szCs w:val="20"/>
        </w:rPr>
      </w:pPr>
      <w:hyperlink w:anchor="_Toc71163723" w:history="1">
        <w:r>
          <w:rPr>
            <w:rStyle w:val="Hyperlink"/>
            <w:sz w:val="22"/>
            <w:szCs w:val="20"/>
          </w:rPr>
          <w:t>（三）提高连带率，增加客单价</w:t>
        </w:r>
        <w:r>
          <w:rPr>
            <w:sz w:val="22"/>
            <w:szCs w:val="20"/>
          </w:rPr>
          <w:tab/>
        </w:r>
        <w:r>
          <w:rPr>
            <w:sz w:val="22"/>
            <w:szCs w:val="20"/>
          </w:rPr>
          <w:fldChar w:fldCharType="begin"/>
        </w:r>
        <w:r>
          <w:rPr>
            <w:sz w:val="22"/>
            <w:szCs w:val="20"/>
          </w:rPr>
          <w:instrText xml:space="preserve"> PAGEREF _Toc71163723 \h </w:instrText>
        </w:r>
        <w:r>
          <w:rPr>
            <w:sz w:val="22"/>
            <w:szCs w:val="20"/>
          </w:rPr>
          <w:fldChar w:fldCharType="separate"/>
        </w:r>
        <w:r>
          <w:rPr>
            <w:sz w:val="22"/>
            <w:szCs w:val="20"/>
          </w:rPr>
          <w:t>19</w:t>
        </w:r>
        <w:r>
          <w:rPr>
            <w:sz w:val="22"/>
            <w:szCs w:val="20"/>
          </w:rPr>
          <w:fldChar w:fldCharType="end"/>
        </w:r>
      </w:hyperlink>
    </w:p>
    <w:p>
      <w:pPr>
        <w:pStyle w:val="TOC3"/>
        <w:tabs>
          <w:tab w:val="right" w:leader="dot" w:pos="8296"/>
        </w:tabs>
        <w:ind w:left="840"/>
        <w:rPr>
          <w:rFonts w:eastAsiaTheme="minorEastAsia"/>
          <w:sz w:val="18"/>
          <w:szCs w:val="20"/>
        </w:rPr>
      </w:pPr>
      <w:hyperlink w:anchor="_Toc71163724" w:history="1">
        <w:r>
          <w:rPr>
            <w:rStyle w:val="Hyperlink"/>
            <w:sz w:val="22"/>
            <w:szCs w:val="20"/>
          </w:rPr>
          <w:t>（四）建立用户粘性，提升复购率</w:t>
        </w:r>
        <w:r>
          <w:rPr>
            <w:sz w:val="22"/>
            <w:szCs w:val="20"/>
          </w:rPr>
          <w:tab/>
        </w:r>
        <w:r>
          <w:rPr>
            <w:sz w:val="22"/>
            <w:szCs w:val="20"/>
          </w:rPr>
          <w:fldChar w:fldCharType="begin"/>
        </w:r>
        <w:r>
          <w:rPr>
            <w:sz w:val="22"/>
            <w:szCs w:val="20"/>
          </w:rPr>
          <w:instrText xml:space="preserve"> PAGEREF _Toc71163724 \h </w:instrText>
        </w:r>
        <w:r>
          <w:rPr>
            <w:sz w:val="22"/>
            <w:szCs w:val="20"/>
          </w:rPr>
          <w:fldChar w:fldCharType="separate"/>
        </w:r>
        <w:r>
          <w:rPr>
            <w:sz w:val="22"/>
            <w:szCs w:val="20"/>
          </w:rPr>
          <w:t>19</w:t>
        </w:r>
        <w:r>
          <w:rPr>
            <w:sz w:val="22"/>
            <w:szCs w:val="20"/>
          </w:rPr>
          <w:fldChar w:fldCharType="end"/>
        </w:r>
      </w:hyperlink>
    </w:p>
    <w:p>
      <w:pPr>
        <w:pStyle w:val="TOC2"/>
        <w:tabs>
          <w:tab w:val="right" w:leader="dot" w:pos="8296"/>
        </w:tabs>
        <w:ind w:left="420"/>
        <w:rPr>
          <w:rFonts w:eastAsiaTheme="minorEastAsia"/>
          <w:sz w:val="18"/>
          <w:szCs w:val="20"/>
        </w:rPr>
      </w:pPr>
      <w:hyperlink w:anchor="_Toc71163725" w:history="1">
        <w:r>
          <w:rPr>
            <w:rStyle w:val="Hyperlink"/>
            <w:sz w:val="22"/>
            <w:szCs w:val="20"/>
          </w:rPr>
          <w:t>二、利用短路经济，提升“货”的效率</w:t>
        </w:r>
        <w:r>
          <w:rPr>
            <w:sz w:val="22"/>
            <w:szCs w:val="20"/>
          </w:rPr>
          <w:tab/>
        </w:r>
        <w:r>
          <w:rPr>
            <w:sz w:val="22"/>
            <w:szCs w:val="20"/>
          </w:rPr>
          <w:fldChar w:fldCharType="begin"/>
        </w:r>
        <w:r>
          <w:rPr>
            <w:sz w:val="22"/>
            <w:szCs w:val="20"/>
          </w:rPr>
          <w:instrText xml:space="preserve"> PAGEREF _Toc71163725 \h </w:instrText>
        </w:r>
        <w:r>
          <w:rPr>
            <w:sz w:val="22"/>
            <w:szCs w:val="20"/>
          </w:rPr>
          <w:fldChar w:fldCharType="separate"/>
        </w:r>
        <w:r>
          <w:rPr>
            <w:sz w:val="22"/>
            <w:szCs w:val="20"/>
          </w:rPr>
          <w:t>20</w:t>
        </w:r>
        <w:r>
          <w:rPr>
            <w:sz w:val="22"/>
            <w:szCs w:val="20"/>
          </w:rPr>
          <w:fldChar w:fldCharType="end"/>
        </w:r>
      </w:hyperlink>
    </w:p>
    <w:p>
      <w:pPr>
        <w:pStyle w:val="TOC3"/>
        <w:tabs>
          <w:tab w:val="right" w:leader="dot" w:pos="8296"/>
        </w:tabs>
        <w:ind w:left="840"/>
        <w:rPr>
          <w:rFonts w:eastAsiaTheme="minorEastAsia"/>
          <w:sz w:val="18"/>
          <w:szCs w:val="20"/>
        </w:rPr>
      </w:pPr>
      <w:hyperlink w:anchor="_Toc71163726" w:history="1">
        <w:r>
          <w:rPr>
            <w:rStyle w:val="Hyperlink"/>
            <w:sz w:val="22"/>
            <w:szCs w:val="20"/>
          </w:rPr>
          <w:t>（一）缩短供应链环节，降低定倍率</w:t>
        </w:r>
        <w:r>
          <w:rPr>
            <w:sz w:val="22"/>
            <w:szCs w:val="20"/>
          </w:rPr>
          <w:tab/>
        </w:r>
        <w:r>
          <w:rPr>
            <w:sz w:val="22"/>
            <w:szCs w:val="20"/>
          </w:rPr>
          <w:fldChar w:fldCharType="begin"/>
        </w:r>
        <w:r>
          <w:rPr>
            <w:sz w:val="22"/>
            <w:szCs w:val="20"/>
          </w:rPr>
          <w:instrText xml:space="preserve"> PAGEREF _Toc71163726 \h </w:instrText>
        </w:r>
        <w:r>
          <w:rPr>
            <w:sz w:val="22"/>
            <w:szCs w:val="20"/>
          </w:rPr>
          <w:fldChar w:fldCharType="separate"/>
        </w:r>
        <w:r>
          <w:rPr>
            <w:sz w:val="22"/>
            <w:szCs w:val="20"/>
          </w:rPr>
          <w:t>20</w:t>
        </w:r>
        <w:r>
          <w:rPr>
            <w:sz w:val="22"/>
            <w:szCs w:val="20"/>
          </w:rPr>
          <w:fldChar w:fldCharType="end"/>
        </w:r>
      </w:hyperlink>
    </w:p>
    <w:p>
      <w:pPr>
        <w:pStyle w:val="TOC3"/>
        <w:tabs>
          <w:tab w:val="right" w:leader="dot" w:pos="8296"/>
        </w:tabs>
        <w:ind w:left="840"/>
        <w:rPr>
          <w:rFonts w:eastAsiaTheme="minorEastAsia"/>
          <w:sz w:val="18"/>
          <w:szCs w:val="20"/>
        </w:rPr>
      </w:pPr>
      <w:hyperlink w:anchor="_Toc71163727" w:history="1">
        <w:r>
          <w:rPr>
            <w:rStyle w:val="Hyperlink"/>
            <w:sz w:val="22"/>
            <w:szCs w:val="20"/>
          </w:rPr>
          <w:t>（二）供应链反向操作，降低库销比</w:t>
        </w:r>
        <w:r>
          <w:rPr>
            <w:sz w:val="22"/>
            <w:szCs w:val="20"/>
          </w:rPr>
          <w:tab/>
        </w:r>
        <w:r>
          <w:rPr>
            <w:sz w:val="22"/>
            <w:szCs w:val="20"/>
          </w:rPr>
          <w:fldChar w:fldCharType="begin"/>
        </w:r>
        <w:r>
          <w:rPr>
            <w:sz w:val="22"/>
            <w:szCs w:val="20"/>
          </w:rPr>
          <w:instrText xml:space="preserve"> PAGEREF _Toc71163727 \h </w:instrText>
        </w:r>
        <w:r>
          <w:rPr>
            <w:sz w:val="22"/>
            <w:szCs w:val="20"/>
          </w:rPr>
          <w:fldChar w:fldCharType="separate"/>
        </w:r>
        <w:r>
          <w:rPr>
            <w:sz w:val="22"/>
            <w:szCs w:val="20"/>
          </w:rPr>
          <w:t>21</w:t>
        </w:r>
        <w:r>
          <w:rPr>
            <w:sz w:val="22"/>
            <w:szCs w:val="20"/>
          </w:rPr>
          <w:fldChar w:fldCharType="end"/>
        </w:r>
      </w:hyperlink>
    </w:p>
    <w:p>
      <w:pPr>
        <w:pStyle w:val="TOC2"/>
        <w:tabs>
          <w:tab w:val="right" w:leader="dot" w:pos="8296"/>
        </w:tabs>
        <w:ind w:left="420"/>
        <w:rPr>
          <w:rFonts w:eastAsiaTheme="minorEastAsia"/>
          <w:sz w:val="18"/>
          <w:szCs w:val="20"/>
        </w:rPr>
      </w:pPr>
      <w:hyperlink w:anchor="_Toc71163728" w:history="1">
        <w:r>
          <w:rPr>
            <w:rStyle w:val="Hyperlink"/>
            <w:sz w:val="22"/>
            <w:szCs w:val="20"/>
          </w:rPr>
          <w:t>三、借助数据赋能，提升“场”的效率</w:t>
        </w:r>
        <w:r>
          <w:rPr>
            <w:sz w:val="22"/>
            <w:szCs w:val="20"/>
          </w:rPr>
          <w:tab/>
        </w:r>
        <w:r>
          <w:rPr>
            <w:sz w:val="22"/>
            <w:szCs w:val="20"/>
          </w:rPr>
          <w:fldChar w:fldCharType="begin"/>
        </w:r>
        <w:r>
          <w:rPr>
            <w:sz w:val="22"/>
            <w:szCs w:val="20"/>
          </w:rPr>
          <w:instrText xml:space="preserve"> PAGEREF _Toc71163728 \h </w:instrText>
        </w:r>
        <w:r>
          <w:rPr>
            <w:sz w:val="22"/>
            <w:szCs w:val="20"/>
          </w:rPr>
          <w:fldChar w:fldCharType="separate"/>
        </w:r>
        <w:r>
          <w:rPr>
            <w:sz w:val="22"/>
            <w:szCs w:val="20"/>
          </w:rPr>
          <w:t>21</w:t>
        </w:r>
        <w:r>
          <w:rPr>
            <w:sz w:val="22"/>
            <w:szCs w:val="20"/>
          </w:rPr>
          <w:fldChar w:fldCharType="end"/>
        </w:r>
      </w:hyperlink>
    </w:p>
    <w:p>
      <w:pPr>
        <w:pStyle w:val="TOC3"/>
        <w:tabs>
          <w:tab w:val="right" w:leader="dot" w:pos="8296"/>
        </w:tabs>
        <w:ind w:left="840"/>
        <w:rPr>
          <w:rFonts w:eastAsiaTheme="minorEastAsia"/>
          <w:sz w:val="18"/>
          <w:szCs w:val="20"/>
        </w:rPr>
      </w:pPr>
      <w:hyperlink w:anchor="_Toc71163729" w:history="1">
        <w:r>
          <w:rPr>
            <w:rStyle w:val="Hyperlink"/>
            <w:sz w:val="22"/>
            <w:szCs w:val="20"/>
          </w:rPr>
          <w:t>（一）大数据助力信息流、资金流与物流组合效率提升</w:t>
        </w:r>
        <w:r>
          <w:rPr>
            <w:sz w:val="22"/>
            <w:szCs w:val="20"/>
          </w:rPr>
          <w:tab/>
        </w:r>
        <w:r>
          <w:rPr>
            <w:sz w:val="22"/>
            <w:szCs w:val="20"/>
          </w:rPr>
          <w:fldChar w:fldCharType="begin"/>
        </w:r>
        <w:r>
          <w:rPr>
            <w:sz w:val="22"/>
            <w:szCs w:val="20"/>
          </w:rPr>
          <w:instrText xml:space="preserve"> PAGEREF _Toc71163729 \h </w:instrText>
        </w:r>
        <w:r>
          <w:rPr>
            <w:sz w:val="22"/>
            <w:szCs w:val="20"/>
          </w:rPr>
          <w:fldChar w:fldCharType="separate"/>
        </w:r>
        <w:r>
          <w:rPr>
            <w:sz w:val="22"/>
            <w:szCs w:val="20"/>
          </w:rPr>
          <w:t>21</w:t>
        </w:r>
        <w:r>
          <w:rPr>
            <w:sz w:val="22"/>
            <w:szCs w:val="20"/>
          </w:rPr>
          <w:fldChar w:fldCharType="end"/>
        </w:r>
      </w:hyperlink>
    </w:p>
    <w:p>
      <w:pPr>
        <w:pStyle w:val="TOC3"/>
        <w:tabs>
          <w:tab w:val="right" w:leader="dot" w:pos="8296"/>
        </w:tabs>
        <w:ind w:left="840"/>
        <w:rPr>
          <w:rFonts w:eastAsiaTheme="minorEastAsia"/>
          <w:sz w:val="18"/>
          <w:szCs w:val="20"/>
        </w:rPr>
      </w:pPr>
      <w:hyperlink w:anchor="_Toc71163730" w:history="1">
        <w:r>
          <w:rPr>
            <w:rStyle w:val="Hyperlink"/>
            <w:sz w:val="22"/>
            <w:szCs w:val="20"/>
          </w:rPr>
          <w:t>（二）利用大数据优势进行精准营销</w:t>
        </w:r>
        <w:r>
          <w:rPr>
            <w:sz w:val="22"/>
            <w:szCs w:val="20"/>
          </w:rPr>
          <w:tab/>
        </w:r>
        <w:r>
          <w:rPr>
            <w:sz w:val="22"/>
            <w:szCs w:val="20"/>
          </w:rPr>
          <w:fldChar w:fldCharType="begin"/>
        </w:r>
        <w:r>
          <w:rPr>
            <w:sz w:val="22"/>
            <w:szCs w:val="20"/>
          </w:rPr>
          <w:instrText xml:space="preserve"> PAGEREF _Toc71163730 \h </w:instrText>
        </w:r>
        <w:r>
          <w:rPr>
            <w:sz w:val="22"/>
            <w:szCs w:val="20"/>
          </w:rPr>
          <w:fldChar w:fldCharType="separate"/>
        </w:r>
        <w:r>
          <w:rPr>
            <w:sz w:val="22"/>
            <w:szCs w:val="20"/>
          </w:rPr>
          <w:t>22</w:t>
        </w:r>
        <w:r>
          <w:rPr>
            <w:sz w:val="22"/>
            <w:szCs w:val="20"/>
          </w:rPr>
          <w:fldChar w:fldCharType="end"/>
        </w:r>
      </w:hyperlink>
    </w:p>
    <w:p>
      <w:r>
        <w:rPr>
          <w:sz w:val="18"/>
          <w:szCs w:val="20"/>
        </w:rPr>
        <w:fldChar w:fldCharType="end"/>
      </w:r>
    </w:p>
    <w:p>
      <w:pPr>
        <w:pStyle w:val="Heading1"/>
      </w:pPr>
    </w:p>
    <w:p>
      <w:pPr>
        <w:pStyle w:val="Heading1"/>
      </w:pPr>
      <w:bookmarkStart w:id="1" w:name="_Toc71163687"/>
      <w:r>
        <w:rPr>
          <w:rFonts w:hint="eastAsia"/>
        </w:rPr>
        <w:t>第一章 绪论</w:t>
      </w:r>
      <w:bookmarkEnd w:id="1"/>
    </w:p>
    <w:p>
      <w:pPr>
        <w:spacing w:line="440" w:lineRule="exact"/>
        <w:jc w:val="center"/>
        <w:rPr>
          <w:rFonts w:ascii="黑体" w:eastAsia="黑体" w:hAnsi="黑体"/>
          <w:sz w:val="36"/>
          <w:szCs w:val="36"/>
        </w:rPr>
      </w:pPr>
    </w:p>
    <w:p>
      <w:pPr>
        <w:pStyle w:val="Heading2"/>
      </w:pPr>
      <w:bookmarkStart w:id="2" w:name="_Toc71163688"/>
      <w:r>
        <w:rPr>
          <w:rFonts w:hint="eastAsia"/>
        </w:rPr>
        <w:t>一、选题背景与意义</w:t>
      </w:r>
      <w:bookmarkEnd w:id="2"/>
    </w:p>
    <w:p>
      <w:pPr>
        <w:spacing w:line="440" w:lineRule="exact"/>
        <w:rPr>
          <w:rFonts w:ascii="黑体" w:eastAsia="黑体" w:hAnsi="黑体"/>
          <w:sz w:val="24"/>
          <w:szCs w:val="24"/>
        </w:rPr>
      </w:pPr>
      <w:r>
        <w:rPr>
          <w:rFonts w:ascii="黑体" w:eastAsia="黑体" w:hAnsi="黑体" w:hint="eastAsia"/>
          <w:sz w:val="24"/>
          <w:szCs w:val="24"/>
        </w:rPr>
        <w:t>（一）选题背景</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新零售的出现不是偶然，随着互联网线上红利缩减、线上购物体验性与即得性不高、物流成本居高、获客成本增加等，近年来我国电商行业普遍遇到了用户增长放缓、拉新获客成本增加、线上零售额增速下滑等问题，与之对应的线下实体商铺的情况也不容乐观，面临着升级转型的生存困境。</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正是在这种线上线下发展受滞的环境背景下，新零售应运而生。2016年10月，马云在杭州阿里云栖大会上首次提出了“新零售”概念，同年11月，国务院办公厅也印发了《关于推动实体零售创新转型的意见》，为我国零售行业创新转型提供了指导性方向，推动了新零售概念的实践发展。</w:t>
      </w:r>
    </w:p>
    <w:p>
      <w:pPr>
        <w:spacing w:line="440" w:lineRule="exact"/>
        <w:ind w:firstLine="480" w:firstLineChars="200"/>
        <w:rPr>
          <w:rFonts w:asciiTheme="minorEastAsia" w:hAnsiTheme="minorEastAsia"/>
          <w:sz w:val="24"/>
          <w:szCs w:val="24"/>
        </w:rPr>
        <w:sectPr>
          <w:headerReference w:type="default" r:id="rId8"/>
          <w:footerReference w:type="default" r:id="rId9"/>
          <w:type w:val="nextPage"/>
          <w:pgSz w:w="11906" w:h="16838"/>
          <w:pgMar w:top="1440" w:right="1800" w:bottom="1440" w:left="1800" w:header="851" w:footer="992" w:gutter="0"/>
          <w:pgNumType w:start="2"/>
          <w:cols w:num="1" w:space="425"/>
          <w:titlePg w:val="0"/>
          <w:docGrid w:type="lines" w:linePitch="312" w:charSpace="0"/>
        </w:sectPr>
      </w:pP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生鲜产品作为人们日常生活中的高频消费品，随着国民收入水平和生活质量的提高以及人们日益对健康、多样生活方式的推崇，消费者对生鲜产品的需求有明显的增长趋势，并且对生鲜产品的品类有了更高的需求范围和要求标准，这对生鲜电商来说是一大挑战，也是一大发展机遇。</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近几年来，虽然各类生鲜电商不断涌现，能够给消费者带来更多的生鲜产品选择，但是生鲜农产品的新鲜时效性强、标准化程度低，很多情况下，消费者在收到货后对产品的品质并不是很满意，也缺少了线下购买的场景体验感，与之对应的生鲜农产品电商行业的整体利润水平较低，面临的风险大。在电商品牌竞争激烈的生存困境中，部分中小型生鲜电商企业面临着倒闭或被并购的局面，生鲜电商亟需在新零售的背景下进行必要的升级转型，将线上、线下渠道融合发展，再利用先进的现代物流和新科技手段的支撑来最大程度地提升消费规模和达成效率。</w:t>
      </w:r>
    </w:p>
    <w:p>
      <w:pPr>
        <w:spacing w:line="440" w:lineRule="exact"/>
        <w:rPr>
          <w:rFonts w:ascii="黑体" w:eastAsia="黑体" w:hAnsi="黑体"/>
          <w:sz w:val="24"/>
          <w:szCs w:val="24"/>
        </w:rPr>
      </w:pPr>
      <w:r>
        <w:rPr>
          <w:rFonts w:ascii="黑体" w:eastAsia="黑体" w:hAnsi="黑体" w:hint="eastAsia"/>
          <w:sz w:val="24"/>
          <w:szCs w:val="24"/>
        </w:rPr>
        <w:t>（二）选题意义</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新零售，简单来说就是通过互联网大数据、人工智能、云计算、物联网等技术手段，利用互联网的效率与优势重回线下，将线上的方便简捷性和线下的体验性、即得性更好结合并发挥其最大效用，实现线上线下全渠道融合发展的一种泛零售新业态。不论是在线上还是线下，能否让消费者获得最大的价值感是促成交易的重中之重。新零售带来人、货、场三者关系的重构，关注焦点不仅局限于买卖的实现，还有研究人的需求，抓住用户消费需求升级的机遇，更加注重消费者的消费体验，更好地满足消费者购物、社交、娱乐等多方面的需求。</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目前我国新零售背景下生鲜电商线上、线下融合发展，呈现多模式并行的情形，主要包括传统生鲜电商、“到家”模式生鲜电商和“到店+到家”模式生鲜电商、社区拼团模式生鲜电商、冷柜自提模式生鲜电商等，生鲜电商的市场空间巨大。但是我国生鲜电商新零售尚处于发展的中早期，标准化低、品牌效应弱、盈利水平低、冷链物流成本高、同质化程度高、竞争激烈等阻碍着生鲜电商的发展。因此通过对新零售背景下生鲜电商发展现状进行分析研究，再从现状中洞察发展中现存或潜在的问题，并基于“人货场”视角提出相应优化对策建议，促进生鲜农电商在新零售背景下进一步的升级转型，具有重要的理论和现实意义。</w:t>
      </w:r>
    </w:p>
    <w:p>
      <w:pPr>
        <w:pStyle w:val="Heading2"/>
      </w:pPr>
      <w:bookmarkStart w:id="3" w:name="_Toc71163689"/>
      <w:r>
        <w:rPr>
          <w:rFonts w:hint="eastAsia"/>
        </w:rPr>
        <w:t>二、研究方法与研究内容</w:t>
      </w:r>
      <w:bookmarkEnd w:id="3"/>
    </w:p>
    <w:p>
      <w:pPr>
        <w:spacing w:line="440" w:lineRule="exact"/>
        <w:rPr>
          <w:rFonts w:ascii="黑体" w:eastAsia="黑体" w:hAnsi="黑体"/>
          <w:sz w:val="24"/>
          <w:szCs w:val="24"/>
        </w:rPr>
      </w:pPr>
      <w:r>
        <w:rPr>
          <w:rFonts w:ascii="黑体" w:eastAsia="黑体" w:hAnsi="黑体" w:hint="eastAsia"/>
          <w:sz w:val="24"/>
          <w:szCs w:val="24"/>
        </w:rPr>
        <w:t>（一）研究方法</w:t>
      </w:r>
    </w:p>
    <w:p>
      <w:pPr>
        <w:spacing w:line="440" w:lineRule="exact"/>
        <w:ind w:firstLine="480" w:firstLineChars="200"/>
        <w:rPr>
          <w:rFonts w:asciiTheme="minorEastAsia" w:hAnsiTheme="minorEastAsia"/>
          <w:sz w:val="24"/>
          <w:szCs w:val="24"/>
        </w:rPr>
        <w:sectPr>
          <w:headerReference w:type="default" r:id="rId10"/>
          <w:footerReference w:type="default" r:id="rId11"/>
          <w:type w:val="nextPage"/>
          <w:pgSz w:w="11906" w:h="16838"/>
          <w:pgMar w:top="1440" w:right="1800" w:bottom="1440" w:left="1800" w:header="851" w:footer="992" w:gutter="0"/>
          <w:pgNumType w:start="3"/>
          <w:cols w:num="1" w:space="425"/>
          <w:titlePg w:val="0"/>
          <w:docGrid w:type="lines" w:linePitch="312" w:charSpace="0"/>
        </w:sectPr>
      </w:pPr>
      <w:r>
        <w:rPr>
          <w:rFonts w:asciiTheme="minorEastAsia" w:hAnsiTheme="minorEastAsia" w:hint="eastAsia"/>
          <w:sz w:val="24"/>
          <w:szCs w:val="24"/>
        </w:rPr>
        <w:t>1.</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 xml:space="preserve"> 文献分析：通过借鉴国内外已有文献资料了解新零售出现的动因、生鲜电商的发展历程及市场环境，总结前人学者研究的共性内容与成果，在此基础上建立本文研究的基本框架。</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2. 定性分析：综合书籍及各大网站渠道获取的相关资讯信息，以此为基础定性概括我国新零售背景下生鲜电商的发展现状与存在的问题。</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3. 数据分析：在对生鲜电商发展的具体情况进行阐述时，将通过查阅数据库，挖掘时效性高的有效数据作为文章观点与内容的支撑，并透过数据探究其背后的原因及发展变化的方向。</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4. 规范分析：基于“人货场”视角对生鲜电商行业所存在问题的应对策略进行规范分析，以提升生鲜电商效率为目的，总结并提出优化改善的发展建议。</w:t>
      </w:r>
    </w:p>
    <w:p>
      <w:pPr>
        <w:spacing w:line="440" w:lineRule="exact"/>
        <w:rPr>
          <w:rFonts w:ascii="黑体" w:eastAsia="黑体" w:hAnsi="黑体"/>
          <w:sz w:val="24"/>
          <w:szCs w:val="24"/>
        </w:rPr>
      </w:pPr>
      <w:r>
        <w:rPr>
          <w:rFonts w:ascii="黑体" w:eastAsia="黑体" w:hAnsi="黑体" w:hint="eastAsia"/>
          <w:sz w:val="24"/>
          <w:szCs w:val="24"/>
        </w:rPr>
        <w:t>（二）研究内容</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本文研究主要包括以下内容：</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1、通过文献归类整理与实际洞察分析，从“人货场”角度对新零售出现的动因进行探究，并回顾了生鲜电商行业的发展背景与历程，利用P</w:t>
      </w:r>
      <w:r>
        <w:rPr>
          <w:rFonts w:asciiTheme="minorEastAsia" w:hAnsiTheme="minorEastAsia"/>
          <w:sz w:val="24"/>
          <w:szCs w:val="24"/>
        </w:rPr>
        <w:t>EST</w:t>
      </w:r>
      <w:r>
        <w:rPr>
          <w:rFonts w:asciiTheme="minorEastAsia" w:hAnsiTheme="minorEastAsia" w:hint="eastAsia"/>
          <w:sz w:val="24"/>
          <w:szCs w:val="24"/>
        </w:rPr>
        <w:t>工具分析目前生鲜电商发展的宏观市场环境，以便后续展开新零售背景下生鲜电商发展的相关研究。</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2、在新零售背景下，从生鲜电商整体行业角度分析其现状及存在的问题：市场规模扩大，头部效应凸显；盈利模式多样，突破盈利瓶颈；活跃用户规模稳步增长，用户留存仍是难题等。</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3、基于生鲜电商目前发展的情况与问题背后的原因分析，再次从“人货场”视角探究如何对其效率进行重构，从而突破发展的限制。</w:t>
      </w:r>
    </w:p>
    <w:p>
      <w:pPr>
        <w:pStyle w:val="Heading2"/>
        <w:rPr>
          <w:rFonts w:hint="eastAsia"/>
        </w:rPr>
      </w:pPr>
      <w:bookmarkStart w:id="4" w:name="_Toc71163690"/>
      <w:r>
        <w:rPr>
          <w:rFonts w:hint="eastAsia"/>
        </w:rPr>
        <w:t>三、技术路线</w:t>
      </w:r>
      <w:bookmarkEnd w:id="4"/>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sectPr>
          <w:headerReference w:type="default" r:id="rId12"/>
          <w:footerReference w:type="default" r:id="rId13"/>
          <w:type w:val="nextPage"/>
          <w:pgSz w:w="11906" w:h="16838"/>
          <w:pgMar w:top="1440" w:right="1800" w:bottom="1440" w:left="1800" w:header="851" w:footer="992" w:gutter="0"/>
          <w:pgNumType w:start="4"/>
          <w:cols w:num="1" w:space="425"/>
          <w:titlePg w:val="0"/>
          <w:docGrid w:type="lines" w:linePitch="312" w:charSpace="0"/>
        </w:sectPr>
      </w:pPr>
    </w:p>
    <w:p>
      <w:pPr>
        <w:spacing w:line="440" w:lineRule="exact"/>
        <w:rPr>
          <w:rFonts w:ascii="黑体" w:eastAsia="黑体" w:hAnsi="黑体"/>
          <w:sz w:val="24"/>
          <w:szCs w:val="24"/>
        </w:rPr>
      </w:pPr>
    </w:p>
    <w:p>
      <w:pPr>
        <w:spacing w:line="440" w:lineRule="exact"/>
        <w:rPr>
          <w:rFonts w:ascii="黑体" w:eastAsia="黑体" w:hAnsi="黑体"/>
          <w:sz w:val="24"/>
          <w:szCs w:val="24"/>
        </w:rPr>
      </w:pPr>
      <w:r>
        <w:rPr>
          <w:sz w:val="24"/>
          <w:szCs w:val="24"/>
        </w:rPr>
        <mc:AlternateContent>
          <mc:Choice Requires="wps">
            <w:drawing>
              <wp:anchor distT="0" distB="0" distL="114300" distR="114300" simplePos="0" relativeHeight="251659264" behindDoc="0" locked="0" layoutInCell="1" allowOverlap="1">
                <wp:simplePos x="0" y="0"/>
                <wp:positionH relativeFrom="column">
                  <wp:posOffset>1036955</wp:posOffset>
                </wp:positionH>
                <wp:positionV relativeFrom="paragraph">
                  <wp:posOffset>-635</wp:posOffset>
                </wp:positionV>
                <wp:extent cx="1036320" cy="304800"/>
                <wp:effectExtent l="0" t="0" r="11430" b="1905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36320" cy="304800"/>
                        </a:xfrm>
                        <a:prstGeom prst="rect">
                          <a:avLst/>
                        </a:prstGeom>
                        <a:solidFill>
                          <a:schemeClr val="lt1"/>
                        </a:solidFill>
                        <a:ln w="6350">
                          <a:solidFill>
                            <a:prstClr val="black"/>
                          </a:solidFill>
                        </a:ln>
                      </wps:spPr>
                      <wps:txbx>
                        <w:txbxContent>
                          <w:p>
                            <w:r>
                              <w:rPr>
                                <w:rFonts w:hint="eastAsia"/>
                              </w:rPr>
                              <w:t>选题研究背景</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 o:spid="_x0000_s1025" type="#_x0000_t202" style="width:81.6pt;height:24pt;margin-top:-0.05pt;margin-left:81.65pt;mso-wrap-distance-bottom:0;mso-wrap-distance-left:9pt;mso-wrap-distance-right:9pt;mso-wrap-distance-top:0;position:absolute;v-text-anchor:top;z-index:251658240" fillcolor="white" stroked="t" strokecolor="black" strokeweight="0.5pt">
                <v:textbox>
                  <w:txbxContent>
                    <w:p>
                      <w:r>
                        <w:rPr>
                          <w:rFonts w:hint="eastAsia"/>
                        </w:rPr>
                        <w:t>选题研究背景</w:t>
                      </w:r>
                    </w:p>
                  </w:txbxContent>
                </v:textbox>
              </v:shape>
            </w:pict>
          </mc:Fallback>
        </mc:AlternateContent>
      </w:r>
      <w:r>
        <w:rPr>
          <w:sz w:val="24"/>
          <w:szCs w:val="24"/>
        </w:rPr>
        <mc:AlternateContent>
          <mc:Choice Requires="wps">
            <w:drawing>
              <wp:anchor distT="0" distB="0" distL="114300" distR="114300" simplePos="0" relativeHeight="251661312" behindDoc="0" locked="0" layoutInCell="1" allowOverlap="1">
                <wp:simplePos x="0" y="0"/>
                <wp:positionH relativeFrom="column">
                  <wp:posOffset>1546225</wp:posOffset>
                </wp:positionH>
                <wp:positionV relativeFrom="paragraph">
                  <wp:posOffset>365125</wp:posOffset>
                </wp:positionV>
                <wp:extent cx="0" cy="281940"/>
                <wp:effectExtent l="76200" t="0" r="57150" b="60960"/>
                <wp:wrapNone/>
                <wp:docPr id="4" name="直接箭头连接符 4"/>
                <wp:cNvGraphicFramePr/>
                <a:graphic xmlns:a="http://schemas.openxmlformats.org/drawingml/2006/main">
                  <a:graphicData uri="http://schemas.microsoft.com/office/word/2010/wordprocessingShape">
                    <wps:wsp xmlns:wps="http://schemas.microsoft.com/office/word/2010/wordprocessingShape">
                      <wps:cNvCnPr/>
                      <wps:spPr>
                        <a:xfrm>
                          <a:off x="0" y="0"/>
                          <a:ext cx="0" cy="28194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直接箭头连接符 4" o:spid="_x0000_s1026" type="#_x0000_t32" style="width:0;height:22.2pt;margin-top:28.75pt;margin-left:121.75pt;mso-wrap-distance-bottom:0;mso-wrap-distance-left:9pt;mso-wrap-distance-right:9pt;mso-wrap-distance-top:0;position:absolute;v-text-anchor:top;z-index:251660288" fillcolor="this" stroked="t" strokecolor="black" strokeweight="3pt">
                <v:stroke endarrow="block"/>
                <v:shadow on="t" type="perspective" color="black" opacity="22873f" origin=",0.5" offset="0,1.81pt"/>
              </v:shape>
            </w:pict>
          </mc:Fallback>
        </mc:AlternateContent>
      </w:r>
      <w:r>
        <w:rPr>
          <w:sz w:val="24"/>
          <w:szCs w:val="24"/>
        </w:rPr>
        <mc:AlternateContent>
          <mc:Choice Requires="wps">
            <w:drawing>
              <wp:anchor distT="0" distB="0" distL="114300" distR="114300" simplePos="0" relativeHeight="251663360" behindDoc="0" locked="0" layoutInCell="1" allowOverlap="1">
                <wp:simplePos x="0" y="0"/>
                <wp:positionH relativeFrom="column">
                  <wp:posOffset>1111885</wp:posOffset>
                </wp:positionH>
                <wp:positionV relativeFrom="paragraph">
                  <wp:posOffset>692785</wp:posOffset>
                </wp:positionV>
                <wp:extent cx="891540" cy="281940"/>
                <wp:effectExtent l="0" t="0" r="22860" b="2286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891540" cy="281940"/>
                        </a:xfrm>
                        <a:prstGeom prst="rect">
                          <a:avLst/>
                        </a:prstGeom>
                        <a:solidFill>
                          <a:sysClr val="window" lastClr="CCE8CF"/>
                        </a:solidFill>
                        <a:ln w="6350">
                          <a:solidFill>
                            <a:prstClr val="black"/>
                          </a:solidFill>
                        </a:ln>
                      </wps:spPr>
                      <wps:txbx>
                        <w:txbxContent>
                          <w:p>
                            <w:pPr>
                              <w:jc w:val="center"/>
                            </w:pPr>
                            <w:r>
                              <w:rPr>
                                <w:rFonts w:hint="eastAsia"/>
                              </w:rPr>
                              <w:t>提出问题</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 o:spid="_x0000_s1027" type="#_x0000_t202" style="width:70.2pt;height:22.2pt;margin-top:54.55pt;margin-left:87.55pt;mso-wrap-distance-bottom:0;mso-wrap-distance-left:9pt;mso-wrap-distance-right:9pt;mso-wrap-distance-top:0;position:absolute;v-text-anchor:top;z-index:251662336" fillcolor="white" stroked="t" strokecolor="black" strokeweight="0.5pt">
                <v:textbox>
                  <w:txbxContent>
                    <w:p>
                      <w:pPr>
                        <w:jc w:val="center"/>
                      </w:pPr>
                      <w:r>
                        <w:rPr>
                          <w:rFonts w:hint="eastAsia"/>
                        </w:rPr>
                        <w:t>提出问题</w:t>
                      </w:r>
                    </w:p>
                  </w:txbxContent>
                </v:textbox>
              </v:shape>
            </w:pict>
          </mc:Fallback>
        </mc:AlternateContent>
      </w:r>
      <w:r>
        <w:rPr>
          <w:sz w:val="24"/>
          <w:szCs w:val="24"/>
        </w:rPr>
        <mc:AlternateContent>
          <mc:Choice Requires="wps">
            <w:drawing>
              <wp:anchor distT="0" distB="0" distL="114300" distR="114300" simplePos="0" relativeHeight="251665408" behindDoc="0" locked="0" layoutInCell="1" allowOverlap="1">
                <wp:simplePos x="0" y="0"/>
                <wp:positionH relativeFrom="column">
                  <wp:posOffset>1558290</wp:posOffset>
                </wp:positionH>
                <wp:positionV relativeFrom="paragraph">
                  <wp:posOffset>1031240</wp:posOffset>
                </wp:positionV>
                <wp:extent cx="0" cy="281940"/>
                <wp:effectExtent l="76200" t="0" r="57150" b="60960"/>
                <wp:wrapNone/>
                <wp:docPr id="6" name="直接箭头连接符 6"/>
                <wp:cNvGraphicFramePr/>
                <a:graphic xmlns:a="http://schemas.openxmlformats.org/drawingml/2006/main">
                  <a:graphicData uri="http://schemas.microsoft.com/office/word/2010/wordprocessingShape">
                    <wps:wsp xmlns:wps="http://schemas.microsoft.com/office/word/2010/wordprocessingShape">
                      <wps:cNvCnPr/>
                      <wps:spPr>
                        <a:xfrm>
                          <a:off x="0" y="0"/>
                          <a:ext cx="0" cy="28194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直接箭头连接符 6" o:spid="_x0000_s1028" type="#_x0000_t32" style="width:0;height:22.2pt;margin-top:81.2pt;margin-left:122.7pt;mso-wrap-distance-bottom:0;mso-wrap-distance-left:9pt;mso-wrap-distance-right:9pt;mso-wrap-distance-top:0;position:absolute;v-text-anchor:top;z-index:251664384" fillcolor="this" stroked="t" strokecolor="black" strokeweight="3pt">
                <v:stroke endarrow="block"/>
                <v:shadow on="t" type="perspective" color="black" opacity="22873f" origin=",0.5" offset="0,1.81pt"/>
              </v:shape>
            </w:pict>
          </mc:Fallback>
        </mc:AlternateContent>
      </w:r>
      <w:r>
        <w:rPr>
          <w:sz w:val="24"/>
          <w:szCs w:val="24"/>
        </w:rPr>
        <mc:AlternateContent>
          <mc:Choice Requires="wps">
            <w:drawing>
              <wp:anchor distT="0" distB="0" distL="114300" distR="114300" simplePos="0" relativeHeight="251667456" behindDoc="0" locked="0" layoutInCell="1" allowOverlap="1">
                <wp:simplePos x="0" y="0"/>
                <wp:positionH relativeFrom="column">
                  <wp:posOffset>723265</wp:posOffset>
                </wp:positionH>
                <wp:positionV relativeFrom="paragraph">
                  <wp:posOffset>1370965</wp:posOffset>
                </wp:positionV>
                <wp:extent cx="1691640" cy="289560"/>
                <wp:effectExtent l="0" t="0" r="22860" b="1524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691640" cy="289560"/>
                        </a:xfrm>
                        <a:prstGeom prst="rect">
                          <a:avLst/>
                        </a:prstGeom>
                        <a:solidFill>
                          <a:sysClr val="window" lastClr="CCE8CF"/>
                        </a:solidFill>
                        <a:ln w="6350">
                          <a:solidFill>
                            <a:prstClr val="black"/>
                          </a:solidFill>
                        </a:ln>
                      </wps:spPr>
                      <wps:txbx>
                        <w:txbxContent>
                          <w:p>
                            <w:pPr>
                              <w:jc w:val="center"/>
                            </w:pPr>
                            <w:r>
                              <w:rPr>
                                <w:rFonts w:hint="eastAsia"/>
                              </w:rPr>
                              <w:t>文献资料收集整理与分析</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7" o:spid="_x0000_s1029" type="#_x0000_t202" style="width:133.2pt;height:22.8pt;margin-top:107.95pt;margin-left:56.95pt;mso-wrap-distance-bottom:0;mso-wrap-distance-left:9pt;mso-wrap-distance-right:9pt;mso-wrap-distance-top:0;position:absolute;v-text-anchor:top;z-index:251666432" fillcolor="white" stroked="t" strokecolor="black" strokeweight="0.5pt">
                <v:textbox>
                  <w:txbxContent>
                    <w:p>
                      <w:pPr>
                        <w:jc w:val="center"/>
                      </w:pPr>
                      <w:r>
                        <w:rPr>
                          <w:rFonts w:hint="eastAsia"/>
                        </w:rPr>
                        <w:t>文献资料收集整理与分析</w:t>
                      </w:r>
                    </w:p>
                  </w:txbxContent>
                </v:textbox>
              </v:shape>
            </w:pict>
          </mc:Fallback>
        </mc:AlternateContent>
      </w:r>
      <w:r>
        <w:rPr>
          <w:sz w:val="24"/>
          <w:szCs w:val="24"/>
        </w:rPr>
        <mc:AlternateContent>
          <mc:Choice Requires="wps">
            <w:drawing>
              <wp:anchor distT="0" distB="0" distL="114300" distR="114300" simplePos="0" relativeHeight="251669504" behindDoc="0" locked="0" layoutInCell="1" allowOverlap="1">
                <wp:simplePos x="0" y="0"/>
                <wp:positionH relativeFrom="column">
                  <wp:posOffset>925830</wp:posOffset>
                </wp:positionH>
                <wp:positionV relativeFrom="paragraph">
                  <wp:posOffset>1739900</wp:posOffset>
                </wp:positionV>
                <wp:extent cx="548640" cy="373380"/>
                <wp:effectExtent l="38100" t="0" r="22860" b="64770"/>
                <wp:wrapNone/>
                <wp:docPr id="9" name="直接箭头连接符 9"/>
                <wp:cNvGraphicFramePr/>
                <a:graphic xmlns:a="http://schemas.openxmlformats.org/drawingml/2006/main">
                  <a:graphicData uri="http://schemas.microsoft.com/office/word/2010/wordprocessingShape">
                    <wps:wsp xmlns:wps="http://schemas.microsoft.com/office/word/2010/wordprocessingShape">
                      <wps:cNvCnPr/>
                      <wps:spPr>
                        <a:xfrm flipH="1">
                          <a:off x="0" y="0"/>
                          <a:ext cx="548640" cy="37338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id="直接箭头连接符 9" o:spid="_x0000_s1030" type="#_x0000_t32" style="width:43.2pt;height:29.4pt;margin-top:137pt;margin-left:72.9pt;flip:x;mso-wrap-distance-bottom:0;mso-wrap-distance-left:9pt;mso-wrap-distance-right:9pt;mso-wrap-distance-top:0;position:absolute;v-text-anchor:top;z-index:251668480" fillcolor="this" stroked="t" strokecolor="black" strokeweight="2pt">
                <v:stroke endarrow="block"/>
                <v:shadow on="t" type="perspective" color="black" opacity="24929f" origin=",0.5" offset="0,1.57pt"/>
              </v:shape>
            </w:pict>
          </mc:Fallback>
        </mc:AlternateContent>
      </w:r>
      <w:r>
        <w:rPr>
          <w:sz w:val="24"/>
          <w:szCs w:val="24"/>
        </w:rPr>
        <mc:AlternateContent>
          <mc:Choice Requires="wps">
            <w:drawing>
              <wp:anchor distT="0" distB="0" distL="114300" distR="114300" simplePos="0" relativeHeight="251671552" behindDoc="0" locked="0" layoutInCell="1" allowOverlap="1">
                <wp:simplePos x="0" y="0"/>
                <wp:positionH relativeFrom="column">
                  <wp:posOffset>1729740</wp:posOffset>
                </wp:positionH>
                <wp:positionV relativeFrom="paragraph">
                  <wp:posOffset>1744345</wp:posOffset>
                </wp:positionV>
                <wp:extent cx="647700" cy="350520"/>
                <wp:effectExtent l="0" t="0" r="57150" b="49530"/>
                <wp:wrapNone/>
                <wp:docPr id="10" name="直接箭头连接符 10"/>
                <wp:cNvGraphicFramePr/>
                <a:graphic xmlns:a="http://schemas.openxmlformats.org/drawingml/2006/main">
                  <a:graphicData uri="http://schemas.microsoft.com/office/word/2010/wordprocessingShape">
                    <wps:wsp xmlns:wps="http://schemas.microsoft.com/office/word/2010/wordprocessingShape">
                      <wps:cNvCnPr/>
                      <wps:spPr>
                        <a:xfrm>
                          <a:off x="0" y="0"/>
                          <a:ext cx="647700" cy="350520"/>
                        </a:xfrm>
                        <a:prstGeom prst="straightConnector1">
                          <a:avLst/>
                        </a:prstGeom>
                        <a:noFill/>
                        <a:ln w="12700">
                          <a:solidFill>
                            <a:sysClr val="windowText" lastClr="000000"/>
                          </a:solidFill>
                          <a:prstDash val="solid"/>
                          <a:miter lim="800000"/>
                          <a:tailEnd type="triangle"/>
                        </a:ln>
                        <a:effectLst/>
                      </wps:spPr>
                      <wps:bodyPr/>
                    </wps:wsp>
                  </a:graphicData>
                </a:graphic>
              </wp:anchor>
            </w:drawing>
          </mc:Choice>
          <mc:Fallback>
            <w:pict>
              <v:shape id="直接箭头连接符 10" o:spid="_x0000_s1031" type="#_x0000_t32" style="width:51pt;height:27.6pt;margin-top:137.35pt;margin-left:136.2pt;mso-wrap-distance-bottom:0;mso-wrap-distance-left:9pt;mso-wrap-distance-right:9pt;mso-wrap-distance-top:0;position:absolute;v-text-anchor:top;z-index:251670528" filled="f" fillcolor="this" stroked="t" strokecolor="black" strokeweight="1pt">
                <v:stroke endarrow="block"/>
              </v:shape>
            </w:pict>
          </mc:Fallback>
        </mc:AlternateContent>
      </w:r>
      <w:r>
        <w:rPr>
          <w:sz w:val="24"/>
          <w:szCs w:val="24"/>
        </w:rPr>
        <mc:AlternateContent>
          <mc:Choice Requires="wps">
            <w:drawing>
              <wp:anchor distT="0" distB="0" distL="114300" distR="114300" simplePos="0" relativeHeight="251673600" behindDoc="0" locked="0" layoutInCell="1" allowOverlap="1">
                <wp:simplePos x="0" y="0"/>
                <wp:positionH relativeFrom="column">
                  <wp:posOffset>0</wp:posOffset>
                </wp:positionH>
                <wp:positionV relativeFrom="paragraph">
                  <wp:posOffset>2163445</wp:posOffset>
                </wp:positionV>
                <wp:extent cx="1417320" cy="312420"/>
                <wp:effectExtent l="0" t="0" r="11430" b="11430"/>
                <wp:wrapNone/>
                <wp:docPr id="1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417320" cy="312420"/>
                        </a:xfrm>
                        <a:prstGeom prst="rect">
                          <a:avLst/>
                        </a:prstGeom>
                        <a:solidFill>
                          <a:sysClr val="window" lastClr="CCE8CF"/>
                        </a:solidFill>
                        <a:ln w="6350">
                          <a:solidFill>
                            <a:prstClr val="black"/>
                          </a:solidFill>
                        </a:ln>
                      </wps:spPr>
                      <wps:txbx>
                        <w:txbxContent>
                          <w:p>
                            <w:pPr>
                              <w:jc w:val="center"/>
                            </w:pPr>
                            <w:r>
                              <w:rPr>
                                <w:rFonts w:hint="eastAsia"/>
                              </w:rPr>
                              <w:t>传统生鲜电商</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1" o:spid="_x0000_s1032" type="#_x0000_t202" style="width:111.6pt;height:24.6pt;margin-top:170.35pt;margin-left:0;mso-wrap-distance-bottom:0;mso-wrap-distance-left:9pt;mso-wrap-distance-right:9pt;mso-wrap-distance-top:0;position:absolute;v-text-anchor:top;z-index:251672576" fillcolor="white" stroked="t" strokecolor="black" strokeweight="0.5pt">
                <v:textbox>
                  <w:txbxContent>
                    <w:p>
                      <w:pPr>
                        <w:jc w:val="center"/>
                      </w:pPr>
                      <w:r>
                        <w:rPr>
                          <w:rFonts w:hint="eastAsia"/>
                        </w:rPr>
                        <w:t>传统生鲜电商</w:t>
                      </w:r>
                    </w:p>
                  </w:txbxContent>
                </v:textbox>
              </v:shape>
            </w:pict>
          </mc:Fallback>
        </mc:AlternateContent>
      </w:r>
      <w:r>
        <w:rPr>
          <w:sz w:val="24"/>
          <w:szCs w:val="24"/>
        </w:rPr>
        <mc:AlternateContent>
          <mc:Choice Requires="wps">
            <w:drawing>
              <wp:anchor distT="0" distB="0" distL="114300" distR="114300" simplePos="0" relativeHeight="251675648" behindDoc="0" locked="0" layoutInCell="1" allowOverlap="1">
                <wp:simplePos x="0" y="0"/>
                <wp:positionH relativeFrom="column">
                  <wp:posOffset>1798320</wp:posOffset>
                </wp:positionH>
                <wp:positionV relativeFrom="paragraph">
                  <wp:posOffset>2163445</wp:posOffset>
                </wp:positionV>
                <wp:extent cx="1554480" cy="320040"/>
                <wp:effectExtent l="0" t="0" r="26670" b="22860"/>
                <wp:wrapNone/>
                <wp:docPr id="1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554480" cy="320040"/>
                        </a:xfrm>
                        <a:prstGeom prst="rect">
                          <a:avLst/>
                        </a:prstGeom>
                        <a:solidFill>
                          <a:sysClr val="window" lastClr="CCE8CF"/>
                        </a:solidFill>
                        <a:ln w="6350">
                          <a:solidFill>
                            <a:prstClr val="black"/>
                          </a:solidFill>
                        </a:ln>
                      </wps:spPr>
                      <wps:txbx>
                        <w:txbxContent>
                          <w:p>
                            <w:pPr>
                              <w:jc w:val="center"/>
                            </w:pPr>
                            <w:r>
                              <w:rPr>
                                <w:rFonts w:hint="eastAsia"/>
                              </w:rPr>
                              <w:t>新零售背景下生鲜电商</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2" o:spid="_x0000_s1033" type="#_x0000_t202" style="width:122.4pt;height:25.2pt;margin-top:170.35pt;margin-left:141.6pt;mso-wrap-distance-bottom:0;mso-wrap-distance-left:9pt;mso-wrap-distance-right:9pt;mso-wrap-distance-top:0;position:absolute;v-text-anchor:top;z-index:251674624" fillcolor="white" stroked="t" strokecolor="black" strokeweight="0.5pt">
                <v:textbox>
                  <w:txbxContent>
                    <w:p>
                      <w:pPr>
                        <w:jc w:val="center"/>
                      </w:pPr>
                      <w:r>
                        <w:rPr>
                          <w:rFonts w:hint="eastAsia"/>
                        </w:rPr>
                        <w:t>新零售背景下生鲜电商</w:t>
                      </w:r>
                    </w:p>
                  </w:txbxContent>
                </v:textbox>
              </v:shape>
            </w:pict>
          </mc:Fallback>
        </mc:AlternateContent>
      </w:r>
      <w:r>
        <w:rPr>
          <w:sz w:val="24"/>
          <w:szCs w:val="24"/>
        </w:rPr>
        <mc:AlternateContent>
          <mc:Choice Requires="wps">
            <w:drawing>
              <wp:anchor distT="0" distB="0" distL="114300" distR="114300" simplePos="0" relativeHeight="251677696" behindDoc="0" locked="0" layoutInCell="1" allowOverlap="1">
                <wp:simplePos x="0" y="0"/>
                <wp:positionH relativeFrom="column">
                  <wp:posOffset>1020445</wp:posOffset>
                </wp:positionH>
                <wp:positionV relativeFrom="paragraph">
                  <wp:posOffset>2559685</wp:posOffset>
                </wp:positionV>
                <wp:extent cx="1379220" cy="186690"/>
                <wp:effectExtent l="0" t="19050" r="11430" b="22860"/>
                <wp:wrapNone/>
                <wp:docPr id="14" name="箭头: 下弧形 14"/>
                <wp:cNvGraphicFramePr/>
                <a:graphic xmlns:a="http://schemas.openxmlformats.org/drawingml/2006/main">
                  <a:graphicData uri="http://schemas.microsoft.com/office/word/2010/wordprocessingShape">
                    <wps:wsp xmlns:wps="http://schemas.microsoft.com/office/word/2010/wordprocessingShape">
                      <wps:cNvSpPr/>
                      <wps:spPr>
                        <a:xfrm>
                          <a:off x="0" y="0"/>
                          <a:ext cx="1379220" cy="186690"/>
                        </a:xfrm>
                        <a:prstGeom prst="curvedUpArrow">
                          <a:avLst/>
                        </a:prstGeom>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箭头: 下弧形 14" o:spid="_x0000_s1034" type="#_x0000_t104" style="width:108.6pt;height:14.7pt;margin-top:201.55pt;margin-left:80.35pt;mso-wrap-distance-bottom:0;mso-wrap-distance-left:9pt;mso-wrap-distance-right:9pt;mso-wrap-distance-top:0;position:absolute;v-text-anchor:middle;z-index:251676672" adj="20138,21235,5400" fillcolor="black" stroked="t" strokecolor="black" strokeweight="0.75pt">
                <v:fill rotate="t" angle="180" colors="0 black;52429f black;1 black" focus="100%" type="gradient">
                  <o:fill v:ext="view" type="gradientUnscaled"/>
                </v:fill>
                <v:shadow on="t" type="perspective" color="black" opacity="22873f" origin=",0.5" offset="0,1.81pt"/>
              </v:shape>
            </w:pict>
          </mc:Fallback>
        </mc:AlternateContent>
      </w:r>
      <w:r>
        <w:rPr>
          <w:sz w:val="24"/>
          <w:szCs w:val="24"/>
        </w:rPr>
        <mc:AlternateContent>
          <mc:Choice Requires="wps">
            <w:drawing>
              <wp:anchor distT="0" distB="0" distL="114300" distR="114300" simplePos="0" relativeHeight="251679744" behindDoc="0" locked="0" layoutInCell="1" allowOverlap="1">
                <wp:simplePos x="0" y="0"/>
                <wp:positionH relativeFrom="column">
                  <wp:posOffset>1325245</wp:posOffset>
                </wp:positionH>
                <wp:positionV relativeFrom="paragraph">
                  <wp:posOffset>2765425</wp:posOffset>
                </wp:positionV>
                <wp:extent cx="800100" cy="289560"/>
                <wp:effectExtent l="0" t="0" r="19050" b="15240"/>
                <wp:wrapNone/>
                <wp:docPr id="1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800100" cy="289560"/>
                        </a:xfrm>
                        <a:prstGeom prst="rect">
                          <a:avLst/>
                        </a:prstGeom>
                        <a:solidFill>
                          <a:sysClr val="window" lastClr="CCE8CF"/>
                        </a:solidFill>
                        <a:ln w="6350">
                          <a:solidFill>
                            <a:prstClr val="black"/>
                          </a:solidFill>
                        </a:ln>
                      </wps:spPr>
                      <wps:txbx>
                        <w:txbxContent>
                          <w:p>
                            <w:pPr>
                              <w:jc w:val="center"/>
                            </w:pPr>
                            <w:r>
                              <w:rPr>
                                <w:rFonts w:hint="eastAsia"/>
                              </w:rPr>
                              <w:t>升级转型</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5" o:spid="_x0000_s1035" type="#_x0000_t202" style="width:63pt;height:22.8pt;margin-top:217.75pt;margin-left:104.35pt;mso-wrap-distance-bottom:0;mso-wrap-distance-left:9pt;mso-wrap-distance-right:9pt;mso-wrap-distance-top:0;position:absolute;v-text-anchor:top;z-index:251678720" fillcolor="white" stroked="t" strokecolor="black" strokeweight="0.5pt">
                <v:textbox>
                  <w:txbxContent>
                    <w:p>
                      <w:pPr>
                        <w:jc w:val="center"/>
                      </w:pPr>
                      <w:r>
                        <w:rPr>
                          <w:rFonts w:hint="eastAsia"/>
                        </w:rPr>
                        <w:t>升级转型</w:t>
                      </w:r>
                    </w:p>
                  </w:txbxContent>
                </v:textbox>
              </v:shape>
            </w:pict>
          </mc:Fallback>
        </mc:AlternateContent>
      </w:r>
      <w:r>
        <w:rPr>
          <w:sz w:val="24"/>
          <w:szCs w:val="24"/>
        </w:rPr>
        <mc:AlternateContent>
          <mc:Choice Requires="wps">
            <w:drawing>
              <wp:anchor distT="0" distB="0" distL="114300" distR="114300" simplePos="0" relativeHeight="251681792" behindDoc="0" locked="0" layoutInCell="1" allowOverlap="1">
                <wp:simplePos x="0" y="0"/>
                <wp:positionH relativeFrom="column">
                  <wp:posOffset>2132965</wp:posOffset>
                </wp:positionH>
                <wp:positionV relativeFrom="paragraph">
                  <wp:posOffset>2613025</wp:posOffset>
                </wp:positionV>
                <wp:extent cx="419100" cy="746760"/>
                <wp:effectExtent l="38100" t="0" r="19050" b="53340"/>
                <wp:wrapNone/>
                <wp:docPr id="19" name="直接箭头连接符 19"/>
                <wp:cNvGraphicFramePr/>
                <a:graphic xmlns:a="http://schemas.openxmlformats.org/drawingml/2006/main">
                  <a:graphicData uri="http://schemas.microsoft.com/office/word/2010/wordprocessingShape">
                    <wps:wsp xmlns:wps="http://schemas.microsoft.com/office/word/2010/wordprocessingShape">
                      <wps:cNvCnPr/>
                      <wps:spPr>
                        <a:xfrm flipH="1">
                          <a:off x="0" y="0"/>
                          <a:ext cx="419100" cy="746760"/>
                        </a:xfrm>
                        <a:prstGeom prst="straightConnector1">
                          <a:avLst/>
                        </a:prstGeom>
                        <a:noFill/>
                        <a:ln w="19050">
                          <a:solidFill>
                            <a:sysClr val="windowText" lastClr="000000"/>
                          </a:solidFill>
                          <a:prstDash val="solid"/>
                          <a:miter lim="800000"/>
                          <a:tailEnd type="triangle"/>
                        </a:ln>
                        <a:effectLst/>
                      </wps:spPr>
                      <wps:bodyPr/>
                    </wps:wsp>
                  </a:graphicData>
                </a:graphic>
              </wp:anchor>
            </w:drawing>
          </mc:Choice>
          <mc:Fallback>
            <w:pict>
              <v:shape id="直接箭头连接符 19" o:spid="_x0000_s1036" type="#_x0000_t32" style="width:33pt;height:58.8pt;margin-top:205.75pt;margin-left:167.95pt;flip:x;mso-wrap-distance-bottom:0;mso-wrap-distance-left:9pt;mso-wrap-distance-right:9pt;mso-wrap-distance-top:0;position:absolute;v-text-anchor:top;z-index:251680768" filled="f" fillcolor="this" stroked="t" strokecolor="black" strokeweight="1.5pt">
                <v:stroke endarrow="block"/>
              </v:shape>
            </w:pict>
          </mc:Fallback>
        </mc:AlternateContent>
      </w:r>
      <w:r>
        <w:rPr>
          <w:sz w:val="24"/>
          <w:szCs w:val="24"/>
        </w:rPr>
        <mc:AlternateContent>
          <mc:Choice Requires="wps">
            <w:drawing>
              <wp:anchor distT="0" distB="0" distL="114300" distR="114300" simplePos="0" relativeHeight="251685888" behindDoc="0" locked="0" layoutInCell="1" allowOverlap="1">
                <wp:simplePos x="0" y="0"/>
                <wp:positionH relativeFrom="column">
                  <wp:posOffset>685165</wp:posOffset>
                </wp:positionH>
                <wp:positionV relativeFrom="paragraph">
                  <wp:posOffset>2620645</wp:posOffset>
                </wp:positionV>
                <wp:extent cx="502920" cy="746760"/>
                <wp:effectExtent l="0" t="0" r="68580" b="53340"/>
                <wp:wrapNone/>
                <wp:docPr id="21" name="直接箭头连接符 21"/>
                <wp:cNvGraphicFramePr/>
                <a:graphic xmlns:a="http://schemas.openxmlformats.org/drawingml/2006/main">
                  <a:graphicData uri="http://schemas.microsoft.com/office/word/2010/wordprocessingShape">
                    <wps:wsp xmlns:wps="http://schemas.microsoft.com/office/word/2010/wordprocessingShape">
                      <wps:cNvCnPr/>
                      <wps:spPr>
                        <a:xfrm>
                          <a:off x="0" y="0"/>
                          <a:ext cx="502920" cy="746760"/>
                        </a:xfrm>
                        <a:prstGeom prst="straightConnector1">
                          <a:avLst/>
                        </a:prstGeom>
                        <a:noFill/>
                        <a:ln w="19050">
                          <a:solidFill>
                            <a:sysClr val="windowText" lastClr="000000"/>
                          </a:solidFill>
                          <a:prstDash val="solid"/>
                          <a:miter lim="800000"/>
                          <a:tailEnd type="triangle"/>
                        </a:ln>
                        <a:effectLst/>
                      </wps:spPr>
                      <wps:bodyPr/>
                    </wps:wsp>
                  </a:graphicData>
                </a:graphic>
              </wp:anchor>
            </w:drawing>
          </mc:Choice>
          <mc:Fallback>
            <w:pict>
              <v:shape id="直接箭头连接符 21" o:spid="_x0000_s1037" type="#_x0000_t32" style="width:39.6pt;height:58.8pt;margin-top:206.35pt;margin-left:53.95pt;mso-wrap-distance-bottom:0;mso-wrap-distance-left:9pt;mso-wrap-distance-right:9pt;mso-wrap-distance-top:0;position:absolute;v-text-anchor:top;z-index:251684864" filled="f" fillcolor="this" stroked="t" strokecolor="black" strokeweight="1.5pt">
                <v:stroke endarrow="block"/>
              </v:shape>
            </w:pict>
          </mc:Fallback>
        </mc:AlternateContent>
      </w:r>
      <w:r>
        <w:rPr>
          <w:sz w:val="24"/>
          <w:szCs w:val="24"/>
        </w:rPr>
        <mc:AlternateContent>
          <mc:Choice Requires="wps">
            <w:drawing>
              <wp:anchor distT="0" distB="0" distL="114300" distR="114300" simplePos="0" relativeHeight="251687936" behindDoc="0" locked="0" layoutInCell="1" allowOverlap="1">
                <wp:simplePos x="0" y="0"/>
                <wp:positionH relativeFrom="column">
                  <wp:posOffset>876300</wp:posOffset>
                </wp:positionH>
                <wp:positionV relativeFrom="paragraph">
                  <wp:posOffset>3496945</wp:posOffset>
                </wp:positionV>
                <wp:extent cx="1912620" cy="487680"/>
                <wp:effectExtent l="0" t="0" r="11430" b="26670"/>
                <wp:wrapNone/>
                <wp:docPr id="2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912620" cy="487680"/>
                        </a:xfrm>
                        <a:prstGeom prst="rect">
                          <a:avLst/>
                        </a:prstGeom>
                        <a:solidFill>
                          <a:sysClr val="window" lastClr="CCE8CF"/>
                        </a:solidFill>
                        <a:ln w="6350">
                          <a:solidFill>
                            <a:prstClr val="black"/>
                          </a:solidFill>
                        </a:ln>
                      </wps:spPr>
                      <wps:txbx>
                        <w:txbxContent>
                          <w:p>
                            <w:pPr>
                              <w:jc w:val="center"/>
                            </w:pPr>
                            <w:r>
                              <w:rPr>
                                <w:rFonts w:hint="eastAsia"/>
                              </w:rPr>
                              <w:t>新零售背景下我国生鲜电商发展现状与存在的问题探究</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22" o:spid="_x0000_s1038" type="#_x0000_t202" style="width:150.6pt;height:38.4pt;margin-top:275.35pt;margin-left:69pt;mso-wrap-distance-bottom:0;mso-wrap-distance-left:9pt;mso-wrap-distance-right:9pt;mso-wrap-distance-top:0;position:absolute;v-text-anchor:top;z-index:251686912" fillcolor="white" stroked="t" strokecolor="black" strokeweight="0.5pt">
                <v:textbox>
                  <w:txbxContent>
                    <w:p>
                      <w:pPr>
                        <w:jc w:val="center"/>
                      </w:pPr>
                      <w:r>
                        <w:rPr>
                          <w:rFonts w:hint="eastAsia"/>
                        </w:rPr>
                        <w:t>新零售背景下我国生鲜电商发展现状与存在的问题探究</w:t>
                      </w:r>
                    </w:p>
                  </w:txbxContent>
                </v:textbox>
              </v:shape>
            </w:pict>
          </mc:Fallback>
        </mc:AlternateContent>
      </w:r>
      <w:r>
        <w:rPr>
          <w:sz w:val="24"/>
          <w:szCs w:val="24"/>
        </w:rPr>
        <mc:AlternateContent>
          <mc:Choice Requires="wps">
            <w:drawing>
              <wp:anchor distT="0" distB="0" distL="114300" distR="114300" simplePos="0" relativeHeight="251689984" behindDoc="0" locked="0" layoutInCell="1" allowOverlap="1">
                <wp:simplePos x="0" y="0"/>
                <wp:positionH relativeFrom="column">
                  <wp:posOffset>1786890</wp:posOffset>
                </wp:positionH>
                <wp:positionV relativeFrom="paragraph">
                  <wp:posOffset>4064000</wp:posOffset>
                </wp:positionV>
                <wp:extent cx="0" cy="281940"/>
                <wp:effectExtent l="76200" t="0" r="57150" b="60960"/>
                <wp:wrapNone/>
                <wp:docPr id="23" name="直接箭头连接符 23"/>
                <wp:cNvGraphicFramePr/>
                <a:graphic xmlns:a="http://schemas.openxmlformats.org/drawingml/2006/main">
                  <a:graphicData uri="http://schemas.microsoft.com/office/word/2010/wordprocessingShape">
                    <wps:wsp xmlns:wps="http://schemas.microsoft.com/office/word/2010/wordprocessingShape">
                      <wps:cNvCnPr/>
                      <wps:spPr>
                        <a:xfrm>
                          <a:off x="0" y="0"/>
                          <a:ext cx="0" cy="281940"/>
                        </a:xfrm>
                        <a:prstGeom prst="straightConnector1">
                          <a:avLst/>
                        </a:prstGeom>
                        <a:noFill/>
                        <a:ln w="19050">
                          <a:solidFill>
                            <a:sysClr val="windowText" lastClr="000000"/>
                          </a:solidFill>
                          <a:prstDash val="solid"/>
                          <a:miter lim="800000"/>
                          <a:tailEnd type="triangle"/>
                        </a:ln>
                        <a:effectLst/>
                      </wps:spPr>
                      <wps:bodyPr/>
                    </wps:wsp>
                  </a:graphicData>
                </a:graphic>
              </wp:anchor>
            </w:drawing>
          </mc:Choice>
          <mc:Fallback>
            <w:pict>
              <v:shape id="直接箭头连接符 23" o:spid="_x0000_s1039" type="#_x0000_t32" style="width:0;height:22.2pt;margin-top:320pt;margin-left:140.7pt;mso-wrap-distance-bottom:0;mso-wrap-distance-left:9pt;mso-wrap-distance-right:9pt;mso-wrap-distance-top:0;position:absolute;v-text-anchor:top;z-index:251688960" filled="f" fillcolor="this" stroked="t" strokecolor="black" strokeweight="1.5pt">
                <v:stroke endarrow="block"/>
              </v:shape>
            </w:pict>
          </mc:Fallback>
        </mc:AlternateContent>
      </w:r>
      <w:r>
        <w:rPr>
          <w:sz w:val="24"/>
          <w:szCs w:val="24"/>
        </w:rPr>
        <mc:AlternateContent>
          <mc:Choice Requires="wps">
            <w:drawing>
              <wp:anchor distT="0" distB="0" distL="114300" distR="114300" simplePos="0" relativeHeight="251692032" behindDoc="0" locked="0" layoutInCell="1" allowOverlap="1">
                <wp:simplePos x="0" y="0"/>
                <wp:positionH relativeFrom="column">
                  <wp:posOffset>823595</wp:posOffset>
                </wp:positionH>
                <wp:positionV relativeFrom="paragraph">
                  <wp:posOffset>4441825</wp:posOffset>
                </wp:positionV>
                <wp:extent cx="1935480" cy="335280"/>
                <wp:effectExtent l="0" t="0" r="26670" b="26670"/>
                <wp:wrapNone/>
                <wp:docPr id="24"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935480" cy="335280"/>
                        </a:xfrm>
                        <a:prstGeom prst="rect">
                          <a:avLst/>
                        </a:prstGeom>
                        <a:solidFill>
                          <a:sysClr val="window" lastClr="CCE8CF"/>
                        </a:solidFill>
                        <a:ln w="6350">
                          <a:solidFill>
                            <a:prstClr val="black"/>
                          </a:solidFill>
                        </a:ln>
                      </wps:spPr>
                      <wps:txbx>
                        <w:txbxContent>
                          <w:p>
                            <w:pPr>
                              <w:jc w:val="center"/>
                            </w:pPr>
                            <w:r>
                              <w:rPr>
                                <w:rFonts w:hint="eastAsia"/>
                              </w:rPr>
                              <w:t>结论与对策建议，未来展望</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24" o:spid="_x0000_s1040" type="#_x0000_t202" style="width:152.4pt;height:26.4pt;margin-top:349.75pt;margin-left:64.85pt;mso-wrap-distance-bottom:0;mso-wrap-distance-left:9pt;mso-wrap-distance-right:9pt;mso-wrap-distance-top:0;position:absolute;v-text-anchor:top;z-index:251691008" fillcolor="white" stroked="t" strokecolor="black" strokeweight="0.5pt">
                <v:textbox>
                  <w:txbxContent>
                    <w:p>
                      <w:pPr>
                        <w:jc w:val="center"/>
                      </w:pPr>
                      <w:r>
                        <w:rPr>
                          <w:rFonts w:hint="eastAsia"/>
                        </w:rPr>
                        <w:t>结论与对策建议，未来展望</w:t>
                      </w:r>
                    </w:p>
                  </w:txbxContent>
                </v:textbox>
              </v:shape>
            </w:pict>
          </mc:Fallback>
        </mc:AlternateContent>
      </w:r>
    </w:p>
    <w:p>
      <w:pPr>
        <w:spacing w:line="276" w:lineRule="auto"/>
        <w:jc w:val="center"/>
        <w:rPr>
          <w:rFonts w:ascii="黑体" w:eastAsia="黑体" w:hAnsi="黑体"/>
          <w:sz w:val="36"/>
          <w:szCs w:val="36"/>
        </w:rPr>
      </w:pPr>
    </w:p>
    <w:p>
      <w:pPr>
        <w:spacing w:line="276" w:lineRule="auto"/>
        <w:jc w:val="center"/>
        <w:rPr>
          <w:rFonts w:ascii="黑体" w:eastAsia="黑体" w:hAnsi="黑体"/>
          <w:sz w:val="36"/>
          <w:szCs w:val="36"/>
        </w:rPr>
      </w:pPr>
    </w:p>
    <w:p>
      <w:pPr>
        <w:spacing w:line="276" w:lineRule="auto"/>
        <w:jc w:val="center"/>
        <w:rPr>
          <w:rFonts w:ascii="黑体" w:eastAsia="黑体" w:hAnsi="黑体"/>
          <w:sz w:val="36"/>
          <w:szCs w:val="36"/>
        </w:rPr>
      </w:pPr>
    </w:p>
    <w:p>
      <w:pPr>
        <w:spacing w:line="276" w:lineRule="auto"/>
        <w:jc w:val="center"/>
        <w:rPr>
          <w:rFonts w:ascii="黑体" w:eastAsia="黑体" w:hAnsi="黑体"/>
          <w:sz w:val="36"/>
          <w:szCs w:val="36"/>
        </w:rPr>
      </w:pPr>
    </w:p>
    <w:p>
      <w:pPr>
        <w:spacing w:line="276" w:lineRule="auto"/>
        <w:jc w:val="center"/>
        <w:rPr>
          <w:rFonts w:ascii="黑体" w:eastAsia="黑体" w:hAnsi="黑体"/>
          <w:sz w:val="36"/>
          <w:szCs w:val="36"/>
        </w:rPr>
      </w:pPr>
    </w:p>
    <w:p>
      <w:pPr>
        <w:spacing w:line="276" w:lineRule="auto"/>
        <w:jc w:val="center"/>
        <w:rPr>
          <w:rFonts w:ascii="黑体" w:eastAsia="黑体" w:hAnsi="黑体"/>
          <w:sz w:val="36"/>
          <w:szCs w:val="36"/>
        </w:rPr>
      </w:pPr>
    </w:p>
    <w:p>
      <w:pPr>
        <w:spacing w:line="276" w:lineRule="auto"/>
        <w:jc w:val="center"/>
        <w:rPr>
          <w:rFonts w:ascii="黑体" w:eastAsia="黑体" w:hAnsi="黑体"/>
          <w:sz w:val="36"/>
          <w:szCs w:val="36"/>
        </w:rPr>
      </w:pPr>
      <w:r>
        <w:rPr>
          <w:sz w:val="24"/>
          <w:szCs w:val="24"/>
        </w:rPr>
        <mc:AlternateContent>
          <mc:Choice Requires="wps">
            <w:drawing>
              <wp:anchor distT="0" distB="0" distL="114300" distR="114300" simplePos="0" relativeHeight="251683840" behindDoc="0" locked="0" layoutInCell="1" allowOverlap="1">
                <wp:simplePos x="0" y="0"/>
                <wp:positionH relativeFrom="column">
                  <wp:posOffset>2573655</wp:posOffset>
                </wp:positionH>
                <wp:positionV relativeFrom="paragraph">
                  <wp:posOffset>60325</wp:posOffset>
                </wp:positionV>
                <wp:extent cx="1117600" cy="711200"/>
                <wp:effectExtent l="0" t="0" r="25400" b="12700"/>
                <wp:wrapNone/>
                <wp:docPr id="2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17600" cy="711200"/>
                        </a:xfrm>
                        <a:prstGeom prst="rect">
                          <a:avLst/>
                        </a:prstGeom>
                        <a:solidFill>
                          <a:sysClr val="window" lastClr="CCE8CF"/>
                        </a:solidFill>
                        <a:ln w="6350">
                          <a:solidFill>
                            <a:prstClr val="black"/>
                          </a:solidFill>
                        </a:ln>
                      </wps:spPr>
                      <wps:txbx>
                        <w:txbxContent>
                          <w:p>
                            <w:pPr>
                              <w:jc w:val="center"/>
                              <w:rPr>
                                <w:sz w:val="18"/>
                                <w:szCs w:val="18"/>
                              </w:rPr>
                            </w:pPr>
                            <w:r>
                              <w:rPr>
                                <w:rFonts w:hint="eastAsia"/>
                                <w:sz w:val="18"/>
                                <w:szCs w:val="18"/>
                              </w:rPr>
                              <w:t>文献研究</w:t>
                            </w:r>
                          </w:p>
                          <w:p>
                            <w:pPr>
                              <w:jc w:val="center"/>
                              <w:rPr>
                                <w:sz w:val="18"/>
                                <w:szCs w:val="18"/>
                              </w:rPr>
                            </w:pPr>
                            <w:r>
                              <w:rPr>
                                <w:rFonts w:hint="eastAsia"/>
                                <w:sz w:val="18"/>
                                <w:szCs w:val="18"/>
                              </w:rPr>
                              <w:t>数据支撑</w:t>
                            </w:r>
                          </w:p>
                          <w:p>
                            <w:pPr>
                              <w:jc w:val="center"/>
                              <w:rPr>
                                <w:sz w:val="18"/>
                                <w:szCs w:val="18"/>
                              </w:rPr>
                            </w:pPr>
                            <w:r>
                              <w:rPr>
                                <w:rFonts w:hint="eastAsia"/>
                                <w:sz w:val="18"/>
                                <w:szCs w:val="18"/>
                              </w:rPr>
                              <w:t>定性分析</w:t>
                            </w:r>
                          </w:p>
                          <w:p>
                            <w:pPr>
                              <w:jc w:val="center"/>
                            </w:pPr>
                          </w:p>
                          <w:p>
                            <w:pPr>
                              <w:jc w:val="center"/>
                            </w:pP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20" o:spid="_x0000_s1041" type="#_x0000_t202" style="width:88pt;height:56pt;margin-top:4.75pt;margin-left:202.65pt;mso-wrap-distance-bottom:0;mso-wrap-distance-left:9pt;mso-wrap-distance-right:9pt;mso-wrap-distance-top:0;position:absolute;v-text-anchor:top;z-index:251682816" fillcolor="white" stroked="t" strokecolor="black" strokeweight="0.5pt">
                <v:textbox>
                  <w:txbxContent>
                    <w:p>
                      <w:pPr>
                        <w:jc w:val="center"/>
                        <w:rPr>
                          <w:sz w:val="18"/>
                          <w:szCs w:val="18"/>
                        </w:rPr>
                      </w:pPr>
                      <w:r>
                        <w:rPr>
                          <w:rFonts w:hint="eastAsia"/>
                          <w:sz w:val="18"/>
                          <w:szCs w:val="18"/>
                        </w:rPr>
                        <w:t>文献研究</w:t>
                      </w:r>
                    </w:p>
                    <w:p>
                      <w:pPr>
                        <w:jc w:val="center"/>
                        <w:rPr>
                          <w:sz w:val="18"/>
                          <w:szCs w:val="18"/>
                        </w:rPr>
                      </w:pPr>
                      <w:r>
                        <w:rPr>
                          <w:rFonts w:hint="eastAsia"/>
                          <w:sz w:val="18"/>
                          <w:szCs w:val="18"/>
                        </w:rPr>
                        <w:t>数据支撑</w:t>
                      </w:r>
                    </w:p>
                    <w:p>
                      <w:pPr>
                        <w:jc w:val="center"/>
                        <w:rPr>
                          <w:sz w:val="18"/>
                          <w:szCs w:val="18"/>
                        </w:rPr>
                      </w:pPr>
                      <w:r>
                        <w:rPr>
                          <w:rFonts w:hint="eastAsia"/>
                          <w:sz w:val="18"/>
                          <w:szCs w:val="18"/>
                        </w:rPr>
                        <w:t>定性分析</w:t>
                      </w:r>
                    </w:p>
                    <w:p>
                      <w:pPr>
                        <w:jc w:val="center"/>
                      </w:pPr>
                    </w:p>
                    <w:p>
                      <w:pPr>
                        <w:jc w:val="center"/>
                      </w:pPr>
                    </w:p>
                  </w:txbxContent>
                </v:textbox>
              </v:shape>
            </w:pict>
          </mc:Fallback>
        </mc:AlternateContent>
      </w:r>
    </w:p>
    <w:p>
      <w:pPr>
        <w:spacing w:line="276" w:lineRule="auto"/>
        <w:jc w:val="center"/>
        <w:rPr>
          <w:rFonts w:ascii="黑体" w:eastAsia="黑体" w:hAnsi="黑体"/>
          <w:sz w:val="36"/>
          <w:szCs w:val="36"/>
        </w:rPr>
      </w:pPr>
    </w:p>
    <w:p>
      <w:pPr>
        <w:spacing w:line="276" w:lineRule="auto"/>
        <w:jc w:val="center"/>
        <w:rPr>
          <w:rFonts w:ascii="黑体" w:eastAsia="黑体" w:hAnsi="黑体"/>
          <w:sz w:val="36"/>
          <w:szCs w:val="36"/>
        </w:rPr>
      </w:pPr>
    </w:p>
    <w:p>
      <w:pPr>
        <w:spacing w:line="276" w:lineRule="auto"/>
        <w:jc w:val="center"/>
        <w:rPr>
          <w:rFonts w:ascii="黑体" w:eastAsia="黑体" w:hAnsi="黑体"/>
          <w:sz w:val="36"/>
          <w:szCs w:val="36"/>
        </w:rPr>
      </w:pPr>
    </w:p>
    <w:p>
      <w:pPr>
        <w:spacing w:line="276" w:lineRule="auto"/>
        <w:jc w:val="center"/>
        <w:rPr>
          <w:rFonts w:ascii="黑体" w:eastAsia="黑体" w:hAnsi="黑体"/>
          <w:sz w:val="36"/>
          <w:szCs w:val="36"/>
        </w:rPr>
      </w:pPr>
    </w:p>
    <w:p>
      <w:pPr>
        <w:spacing w:line="276" w:lineRule="auto"/>
        <w:jc w:val="center"/>
        <w:rPr>
          <w:rFonts w:ascii="黑体" w:eastAsia="黑体" w:hAnsi="黑体"/>
          <w:sz w:val="36"/>
          <w:szCs w:val="36"/>
        </w:rPr>
      </w:pPr>
    </w:p>
    <w:p>
      <w:pPr>
        <w:spacing w:line="276" w:lineRule="auto"/>
        <w:jc w:val="center"/>
        <w:rPr>
          <w:rFonts w:ascii="黑体" w:eastAsia="黑体" w:hAnsi="黑体"/>
          <w:sz w:val="36"/>
          <w:szCs w:val="36"/>
        </w:rPr>
      </w:pPr>
    </w:p>
    <w:p>
      <w:pPr>
        <w:spacing w:line="440" w:lineRule="exact"/>
        <w:jc w:val="center"/>
        <w:rPr>
          <w:rFonts w:ascii="黑体" w:eastAsia="黑体" w:hAnsi="黑体"/>
          <w:sz w:val="36"/>
          <w:szCs w:val="36"/>
        </w:rPr>
      </w:pPr>
      <w:r>
        <w:rPr>
          <w:rFonts w:ascii="黑体" w:eastAsia="黑体" w:hAnsi="黑体"/>
          <w:sz w:val="36"/>
          <w:szCs w:val="36"/>
        </w:rPr>
        <w:br/>
      </w:r>
      <w:r>
        <w:rPr>
          <w:rFonts w:ascii="黑体" w:eastAsia="黑体" w:hAnsi="黑体"/>
          <w:sz w:val="36"/>
          <w:szCs w:val="3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https://d.book118.com/345133131101011034</w:t>
        </w:r>
      </w:hyperlink>
    </w:p>
    <w:p>
      <w:pPr>
        <w:spacing w:line="440" w:lineRule="exact"/>
        <w:jc w:val="center"/>
        <w:rPr>
          <w:rFonts w:ascii="黑体" w:eastAsia="黑体" w:hAnsi="黑体"/>
          <w:sz w:val="36"/>
          <w:szCs w:val="36"/>
        </w:rPr>
      </w:pPr>
    </w:p>
    <w:sectPr>
      <w:headerReference w:type="default" r:id="rId15"/>
      <w:footerReference w:type="default" r:id="rId16"/>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39162862"/>
      <w:docPartObj>
        <w:docPartGallery w:val="AutoText"/>
      </w:docPartObj>
    </w:sdtPr>
    <w:sdtEndPr>
      <w:rPr>
        <w:rFonts w:asciiTheme="minorEastAsia" w:hAnsiTheme="minorEastAsia"/>
        <w:sz w:val="21"/>
        <w:szCs w:val="21"/>
      </w:rPr>
    </w:sdtEndPr>
    <w:sdtContent>
      <w:p>
        <w:pPr>
          <w:pStyle w:val="Footer"/>
          <w:jc w:val="center"/>
          <w:rPr>
            <w:rFonts w:asciiTheme="minorEastAsia" w:hAnsiTheme="minorEastAsia"/>
            <w:sz w:val="21"/>
            <w:szCs w:val="21"/>
          </w:rPr>
        </w:pPr>
        <w:r>
          <w:rPr>
            <w:rFonts w:asciiTheme="minorEastAsia" w:hAnsiTheme="minorEastAsia"/>
            <w:sz w:val="21"/>
            <w:szCs w:val="21"/>
          </w:rPr>
          <w:fldChar w:fldCharType="begin"/>
        </w:r>
        <w:r>
          <w:rPr>
            <w:rFonts w:asciiTheme="minorEastAsia" w:hAnsiTheme="minorEastAsia"/>
            <w:sz w:val="21"/>
            <w:szCs w:val="21"/>
          </w:rPr>
          <w:instrText>PAGE   \* MERGEFORMAT</w:instrText>
        </w:r>
        <w:r>
          <w:rPr>
            <w:rFonts w:asciiTheme="minorEastAsia" w:hAnsiTheme="minorEastAsia"/>
            <w:sz w:val="21"/>
            <w:szCs w:val="21"/>
          </w:rPr>
          <w:fldChar w:fldCharType="separate"/>
        </w:r>
        <w:r>
          <w:rPr>
            <w:rFonts w:asciiTheme="minorEastAsia" w:hAnsiTheme="minorEastAsia"/>
            <w:sz w:val="21"/>
            <w:szCs w:val="21"/>
            <w:lang w:val="zh-CN"/>
          </w:rPr>
          <w:t>1</w:t>
        </w:r>
        <w:r>
          <w:rPr>
            <w:rFonts w:asciiTheme="minorEastAsia" w:hAnsiTheme="minorEastAsia"/>
            <w:sz w:val="21"/>
            <w:szCs w:val="21"/>
          </w:rP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21044896"/>
      <w:docPartObj>
        <w:docPartGallery w:val="AutoText"/>
      </w:docPartObj>
    </w:sdtPr>
    <w:sdtEndPr>
      <w:rPr>
        <w:rFonts w:asciiTheme="minorEastAsia" w:hAnsiTheme="minorEastAsia"/>
        <w:sz w:val="21"/>
        <w:szCs w:val="21"/>
      </w:rPr>
    </w:sdtEndPr>
    <w:sdtContent>
      <w:p>
        <w:pPr>
          <w:pStyle w:val="Footer"/>
          <w:jc w:val="center"/>
          <w:rPr>
            <w:rFonts w:asciiTheme="minorEastAsia" w:hAnsiTheme="minorEastAsia"/>
            <w:sz w:val="21"/>
            <w:szCs w:val="21"/>
          </w:rPr>
        </w:pPr>
        <w:r>
          <w:rPr>
            <w:rFonts w:asciiTheme="minorEastAsia" w:hAnsiTheme="minorEastAsia"/>
            <w:sz w:val="21"/>
            <w:szCs w:val="21"/>
          </w:rPr>
          <w:fldChar w:fldCharType="begin"/>
        </w:r>
        <w:r>
          <w:rPr>
            <w:rFonts w:asciiTheme="minorEastAsia" w:hAnsiTheme="minorEastAsia"/>
            <w:sz w:val="21"/>
            <w:szCs w:val="21"/>
          </w:rPr>
          <w:instrText>PAGE   \* MERGEFORMAT</w:instrText>
        </w:r>
        <w:r>
          <w:rPr>
            <w:rFonts w:asciiTheme="minorEastAsia" w:hAnsiTheme="minorEastAsia"/>
            <w:sz w:val="21"/>
            <w:szCs w:val="21"/>
          </w:rPr>
          <w:fldChar w:fldCharType="separate"/>
        </w:r>
        <w:r>
          <w:rPr>
            <w:rFonts w:asciiTheme="minorEastAsia" w:hAnsiTheme="minorEastAsia"/>
            <w:sz w:val="21"/>
            <w:szCs w:val="21"/>
            <w:lang w:val="zh-CN"/>
          </w:rPr>
          <w:t>2</w:t>
        </w:r>
        <w:r>
          <w:rPr>
            <w:rFonts w:asciiTheme="minorEastAsia" w:hAnsiTheme="minorEastAsia"/>
            <w:sz w:val="21"/>
            <w:szCs w:val="21"/>
          </w:rP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83902160"/>
      <w:docPartObj>
        <w:docPartGallery w:val="AutoText"/>
      </w:docPartObj>
    </w:sdtPr>
    <w:sdtEndPr>
      <w:rPr>
        <w:rFonts w:asciiTheme="minorEastAsia" w:hAnsiTheme="minorEastAsia"/>
        <w:sz w:val="21"/>
        <w:szCs w:val="21"/>
      </w:rPr>
    </w:sdtEndPr>
    <w:sdtContent>
      <w:p>
        <w:pPr>
          <w:pStyle w:val="Footer"/>
          <w:jc w:val="center"/>
          <w:rPr>
            <w:rFonts w:asciiTheme="minorEastAsia" w:hAnsiTheme="minorEastAsia"/>
            <w:sz w:val="21"/>
            <w:szCs w:val="21"/>
          </w:rPr>
        </w:pPr>
        <w:r>
          <w:rPr>
            <w:rFonts w:asciiTheme="minorEastAsia" w:hAnsiTheme="minorEastAsia"/>
            <w:sz w:val="21"/>
            <w:szCs w:val="21"/>
          </w:rPr>
          <w:fldChar w:fldCharType="begin"/>
        </w:r>
        <w:r>
          <w:rPr>
            <w:rFonts w:asciiTheme="minorEastAsia" w:hAnsiTheme="minorEastAsia"/>
            <w:sz w:val="21"/>
            <w:szCs w:val="21"/>
          </w:rPr>
          <w:instrText>PAGE   \* MERGEFORMAT</w:instrText>
        </w:r>
        <w:r>
          <w:rPr>
            <w:rFonts w:asciiTheme="minorEastAsia" w:hAnsiTheme="minorEastAsia"/>
            <w:sz w:val="21"/>
            <w:szCs w:val="21"/>
          </w:rPr>
          <w:fldChar w:fldCharType="separate"/>
        </w:r>
        <w:r>
          <w:rPr>
            <w:rFonts w:asciiTheme="minorEastAsia" w:hAnsiTheme="minorEastAsia"/>
            <w:sz w:val="21"/>
            <w:szCs w:val="21"/>
            <w:lang w:val="zh-CN"/>
          </w:rPr>
          <w:t>3</w:t>
        </w:r>
        <w:r>
          <w:rPr>
            <w:rFonts w:asciiTheme="minorEastAsia" w:hAnsiTheme="minorEastAsia"/>
            <w:sz w:val="21"/>
            <w:szCs w:val="21"/>
          </w:rPr>
          <w:fldChar w:fldCharType="end"/>
        </w:r>
      </w:p>
    </w:sdtContent>
  </w:sdt>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89465693"/>
      <w:docPartObj>
        <w:docPartGallery w:val="AutoText"/>
      </w:docPartObj>
    </w:sdtPr>
    <w:sdtEndPr>
      <w:rPr>
        <w:rFonts w:asciiTheme="minorEastAsia" w:hAnsiTheme="minorEastAsia"/>
        <w:sz w:val="21"/>
        <w:szCs w:val="21"/>
      </w:rPr>
    </w:sdtEndPr>
    <w:sdtContent>
      <w:p>
        <w:pPr>
          <w:pStyle w:val="Footer"/>
          <w:jc w:val="center"/>
          <w:rPr>
            <w:rFonts w:asciiTheme="minorEastAsia" w:hAnsiTheme="minorEastAsia"/>
            <w:sz w:val="21"/>
            <w:szCs w:val="21"/>
          </w:rPr>
        </w:pPr>
        <w:r>
          <w:rPr>
            <w:rFonts w:asciiTheme="minorEastAsia" w:hAnsiTheme="minorEastAsia"/>
            <w:sz w:val="21"/>
            <w:szCs w:val="21"/>
          </w:rPr>
          <w:fldChar w:fldCharType="begin"/>
        </w:r>
        <w:r>
          <w:rPr>
            <w:rFonts w:asciiTheme="minorEastAsia" w:hAnsiTheme="minorEastAsia"/>
            <w:sz w:val="21"/>
            <w:szCs w:val="21"/>
          </w:rPr>
          <w:instrText>PAGE   \* MERGEFORMAT</w:instrText>
        </w:r>
        <w:r>
          <w:rPr>
            <w:rFonts w:asciiTheme="minorEastAsia" w:hAnsiTheme="minorEastAsia"/>
            <w:sz w:val="21"/>
            <w:szCs w:val="21"/>
          </w:rPr>
          <w:fldChar w:fldCharType="separate"/>
        </w:r>
        <w:r>
          <w:rPr>
            <w:rFonts w:asciiTheme="minorEastAsia" w:hAnsiTheme="minorEastAsia"/>
            <w:sz w:val="21"/>
            <w:szCs w:val="21"/>
            <w:lang w:val="zh-CN"/>
          </w:rPr>
          <w:t>5</w:t>
        </w:r>
        <w:r>
          <w:rPr>
            <w:rFonts w:asciiTheme="minorEastAsia" w:hAnsiTheme="minorEastAsia"/>
            <w:sz w:val="21"/>
            <w:szCs w:val="21"/>
          </w:rPr>
          <w:fldChar w:fldCharType="end"/>
        </w:r>
      </w:p>
    </w:sdtContent>
  </w:sdt>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3556665"/>
      <w:docPartObj>
        <w:docPartGallery w:val="AutoText"/>
      </w:docPartObj>
    </w:sdtPr>
    <w:sdtEndPr>
      <w:rPr>
        <w:rFonts w:asciiTheme="minorEastAsia" w:hAnsiTheme="minorEastAsia"/>
        <w:sz w:val="21"/>
        <w:szCs w:val="21"/>
      </w:rPr>
    </w:sdtEndPr>
    <w:sdtContent>
      <w:p>
        <w:pPr>
          <w:pStyle w:val="Footer"/>
          <w:jc w:val="center"/>
          <w:rPr>
            <w:rFonts w:asciiTheme="minorEastAsia" w:hAnsiTheme="minorEastAsia"/>
            <w:sz w:val="21"/>
            <w:szCs w:val="21"/>
          </w:rPr>
        </w:pPr>
        <w:r>
          <w:rPr>
            <w:rFonts w:asciiTheme="minorEastAsia" w:hAnsiTheme="minorEastAsia"/>
            <w:sz w:val="21"/>
            <w:szCs w:val="21"/>
          </w:rPr>
          <w:fldChar w:fldCharType="begin"/>
        </w:r>
        <w:r>
          <w:rPr>
            <w:rFonts w:asciiTheme="minorEastAsia" w:hAnsiTheme="minorEastAsia"/>
            <w:sz w:val="21"/>
            <w:szCs w:val="21"/>
          </w:rPr>
          <w:instrText>PAGE   \* MERGEFORMAT</w:instrText>
        </w:r>
        <w:r>
          <w:rPr>
            <w:rFonts w:asciiTheme="minorEastAsia" w:hAnsiTheme="minorEastAsia"/>
            <w:sz w:val="21"/>
            <w:szCs w:val="21"/>
          </w:rPr>
          <w:fldChar w:fldCharType="separate"/>
        </w:r>
        <w:r>
          <w:rPr>
            <w:rFonts w:asciiTheme="minorEastAsia" w:hAnsiTheme="minorEastAsia"/>
            <w:sz w:val="21"/>
            <w:szCs w:val="21"/>
            <w:lang w:val="zh-CN"/>
          </w:rPr>
          <w:t>5</w:t>
        </w:r>
        <w:r>
          <w:rPr>
            <w:rFonts w:asciiTheme="minorEastAsia" w:hAnsiTheme="minorEastAsia"/>
            <w:sz w:val="21"/>
            <w:szCs w:val="21"/>
          </w:rPr>
          <w:fldChar w:fldCharType="end"/>
        </w:r>
      </w:p>
    </w:sdtContent>
  </w:sdt>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ckThinLargeGap" w:sz="24"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ckThinLargeGap" w:sz="24"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ckThinLargeGap" w:sz="24"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ckThinLargeGap" w:sz="24"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ckThinLargeGap" w:sz="24"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2032"/>
    <w:rsid w:val="00000AD4"/>
    <w:rsid w:val="00000F3E"/>
    <w:rsid w:val="00001001"/>
    <w:rsid w:val="00001788"/>
    <w:rsid w:val="00001D84"/>
    <w:rsid w:val="00001F68"/>
    <w:rsid w:val="00002DC1"/>
    <w:rsid w:val="000069D7"/>
    <w:rsid w:val="000072BF"/>
    <w:rsid w:val="0001255F"/>
    <w:rsid w:val="000129A9"/>
    <w:rsid w:val="0001395A"/>
    <w:rsid w:val="00013F35"/>
    <w:rsid w:val="00015C13"/>
    <w:rsid w:val="000168A0"/>
    <w:rsid w:val="00016B74"/>
    <w:rsid w:val="000204A0"/>
    <w:rsid w:val="00020A88"/>
    <w:rsid w:val="000221A7"/>
    <w:rsid w:val="00022F7E"/>
    <w:rsid w:val="00023BB9"/>
    <w:rsid w:val="00023D93"/>
    <w:rsid w:val="00023F3D"/>
    <w:rsid w:val="0002498A"/>
    <w:rsid w:val="0002563C"/>
    <w:rsid w:val="00025DB5"/>
    <w:rsid w:val="000266C6"/>
    <w:rsid w:val="00027AE2"/>
    <w:rsid w:val="00030D2D"/>
    <w:rsid w:val="000346DB"/>
    <w:rsid w:val="0003495A"/>
    <w:rsid w:val="00035B8F"/>
    <w:rsid w:val="00040A88"/>
    <w:rsid w:val="000414EE"/>
    <w:rsid w:val="00043259"/>
    <w:rsid w:val="00043701"/>
    <w:rsid w:val="00045ED3"/>
    <w:rsid w:val="000513AD"/>
    <w:rsid w:val="00053479"/>
    <w:rsid w:val="000539BE"/>
    <w:rsid w:val="00053C52"/>
    <w:rsid w:val="00053E8C"/>
    <w:rsid w:val="00054194"/>
    <w:rsid w:val="0005639F"/>
    <w:rsid w:val="000572E1"/>
    <w:rsid w:val="00062F97"/>
    <w:rsid w:val="00063036"/>
    <w:rsid w:val="00063954"/>
    <w:rsid w:val="00063CC8"/>
    <w:rsid w:val="0006544E"/>
    <w:rsid w:val="00066191"/>
    <w:rsid w:val="00066DC2"/>
    <w:rsid w:val="00070DB1"/>
    <w:rsid w:val="00071331"/>
    <w:rsid w:val="00071634"/>
    <w:rsid w:val="000745B8"/>
    <w:rsid w:val="00074A98"/>
    <w:rsid w:val="0007723D"/>
    <w:rsid w:val="00077F13"/>
    <w:rsid w:val="000821D1"/>
    <w:rsid w:val="00082B75"/>
    <w:rsid w:val="00083CC6"/>
    <w:rsid w:val="00084D49"/>
    <w:rsid w:val="000868E2"/>
    <w:rsid w:val="00086C7B"/>
    <w:rsid w:val="000871DF"/>
    <w:rsid w:val="00087E91"/>
    <w:rsid w:val="00087F09"/>
    <w:rsid w:val="00091B82"/>
    <w:rsid w:val="000924B0"/>
    <w:rsid w:val="00092C25"/>
    <w:rsid w:val="0009495F"/>
    <w:rsid w:val="000964DA"/>
    <w:rsid w:val="000972C5"/>
    <w:rsid w:val="000A133F"/>
    <w:rsid w:val="000A19F8"/>
    <w:rsid w:val="000A308B"/>
    <w:rsid w:val="000A44E3"/>
    <w:rsid w:val="000A59B5"/>
    <w:rsid w:val="000A6726"/>
    <w:rsid w:val="000A6ACB"/>
    <w:rsid w:val="000B0B5D"/>
    <w:rsid w:val="000B12EF"/>
    <w:rsid w:val="000B42B6"/>
    <w:rsid w:val="000B48E8"/>
    <w:rsid w:val="000B4980"/>
    <w:rsid w:val="000B5FB2"/>
    <w:rsid w:val="000B6E70"/>
    <w:rsid w:val="000C0426"/>
    <w:rsid w:val="000C1A12"/>
    <w:rsid w:val="000C461D"/>
    <w:rsid w:val="000C48A7"/>
    <w:rsid w:val="000C6BD2"/>
    <w:rsid w:val="000C7663"/>
    <w:rsid w:val="000D02B0"/>
    <w:rsid w:val="000D1374"/>
    <w:rsid w:val="000D157F"/>
    <w:rsid w:val="000D1994"/>
    <w:rsid w:val="000D22D4"/>
    <w:rsid w:val="000D4A87"/>
    <w:rsid w:val="000D5021"/>
    <w:rsid w:val="000D5091"/>
    <w:rsid w:val="000D5ADC"/>
    <w:rsid w:val="000D5C28"/>
    <w:rsid w:val="000D63FB"/>
    <w:rsid w:val="000D7936"/>
    <w:rsid w:val="000E03DF"/>
    <w:rsid w:val="000E0B09"/>
    <w:rsid w:val="000E2390"/>
    <w:rsid w:val="000E3B9A"/>
    <w:rsid w:val="000E573E"/>
    <w:rsid w:val="000E62D3"/>
    <w:rsid w:val="000E6771"/>
    <w:rsid w:val="000E754E"/>
    <w:rsid w:val="000E7AF7"/>
    <w:rsid w:val="000F181A"/>
    <w:rsid w:val="000F454A"/>
    <w:rsid w:val="000F4553"/>
    <w:rsid w:val="000F4C59"/>
    <w:rsid w:val="000F5467"/>
    <w:rsid w:val="000F5677"/>
    <w:rsid w:val="000F58FE"/>
    <w:rsid w:val="000F60CF"/>
    <w:rsid w:val="000F6A25"/>
    <w:rsid w:val="000F7B67"/>
    <w:rsid w:val="00100738"/>
    <w:rsid w:val="00102A54"/>
    <w:rsid w:val="0010344D"/>
    <w:rsid w:val="00103922"/>
    <w:rsid w:val="00105A70"/>
    <w:rsid w:val="00105AD8"/>
    <w:rsid w:val="00106F0B"/>
    <w:rsid w:val="001071A1"/>
    <w:rsid w:val="001072B1"/>
    <w:rsid w:val="00107517"/>
    <w:rsid w:val="00107B06"/>
    <w:rsid w:val="00110F6D"/>
    <w:rsid w:val="0011114A"/>
    <w:rsid w:val="00111A08"/>
    <w:rsid w:val="0011221C"/>
    <w:rsid w:val="001139C0"/>
    <w:rsid w:val="001151C8"/>
    <w:rsid w:val="00117483"/>
    <w:rsid w:val="00117A02"/>
    <w:rsid w:val="00120803"/>
    <w:rsid w:val="00121282"/>
    <w:rsid w:val="00121EC9"/>
    <w:rsid w:val="00122321"/>
    <w:rsid w:val="0012392F"/>
    <w:rsid w:val="001243AB"/>
    <w:rsid w:val="00126CC6"/>
    <w:rsid w:val="00127FFD"/>
    <w:rsid w:val="00130ACB"/>
    <w:rsid w:val="00130CBC"/>
    <w:rsid w:val="00130F8C"/>
    <w:rsid w:val="0013168C"/>
    <w:rsid w:val="00133BF6"/>
    <w:rsid w:val="00134290"/>
    <w:rsid w:val="00134450"/>
    <w:rsid w:val="00134A1F"/>
    <w:rsid w:val="001350BD"/>
    <w:rsid w:val="001356BD"/>
    <w:rsid w:val="0013584B"/>
    <w:rsid w:val="001373B3"/>
    <w:rsid w:val="00137479"/>
    <w:rsid w:val="00137570"/>
    <w:rsid w:val="00140846"/>
    <w:rsid w:val="001411D5"/>
    <w:rsid w:val="001428CB"/>
    <w:rsid w:val="00142FE2"/>
    <w:rsid w:val="001430BA"/>
    <w:rsid w:val="001436E2"/>
    <w:rsid w:val="00143788"/>
    <w:rsid w:val="001438D1"/>
    <w:rsid w:val="001449C1"/>
    <w:rsid w:val="0014687E"/>
    <w:rsid w:val="00150A1B"/>
    <w:rsid w:val="00151CD8"/>
    <w:rsid w:val="0015370A"/>
    <w:rsid w:val="00153B6E"/>
    <w:rsid w:val="00154567"/>
    <w:rsid w:val="001555D7"/>
    <w:rsid w:val="001560C9"/>
    <w:rsid w:val="001571E3"/>
    <w:rsid w:val="001575F5"/>
    <w:rsid w:val="00157C62"/>
    <w:rsid w:val="001605C3"/>
    <w:rsid w:val="0016197F"/>
    <w:rsid w:val="00163058"/>
    <w:rsid w:val="00163DF2"/>
    <w:rsid w:val="00163E5F"/>
    <w:rsid w:val="001646A0"/>
    <w:rsid w:val="00165769"/>
    <w:rsid w:val="00166942"/>
    <w:rsid w:val="00170966"/>
    <w:rsid w:val="00170BA0"/>
    <w:rsid w:val="00171991"/>
    <w:rsid w:val="00172427"/>
    <w:rsid w:val="0017246C"/>
    <w:rsid w:val="0017270D"/>
    <w:rsid w:val="00173021"/>
    <w:rsid w:val="0017386A"/>
    <w:rsid w:val="00175442"/>
    <w:rsid w:val="0018018F"/>
    <w:rsid w:val="0018092B"/>
    <w:rsid w:val="0018305B"/>
    <w:rsid w:val="00185D1C"/>
    <w:rsid w:val="00185FCC"/>
    <w:rsid w:val="00187392"/>
    <w:rsid w:val="00187B01"/>
    <w:rsid w:val="00190643"/>
    <w:rsid w:val="0019166B"/>
    <w:rsid w:val="00191FB8"/>
    <w:rsid w:val="00193B14"/>
    <w:rsid w:val="00193D2C"/>
    <w:rsid w:val="00194AC2"/>
    <w:rsid w:val="00195292"/>
    <w:rsid w:val="0019767E"/>
    <w:rsid w:val="001A027F"/>
    <w:rsid w:val="001A0333"/>
    <w:rsid w:val="001A1169"/>
    <w:rsid w:val="001A1862"/>
    <w:rsid w:val="001A2931"/>
    <w:rsid w:val="001A3E0E"/>
    <w:rsid w:val="001A4D31"/>
    <w:rsid w:val="001A51C6"/>
    <w:rsid w:val="001A7533"/>
    <w:rsid w:val="001B1B71"/>
    <w:rsid w:val="001B30EC"/>
    <w:rsid w:val="001B4491"/>
    <w:rsid w:val="001B50F3"/>
    <w:rsid w:val="001B5167"/>
    <w:rsid w:val="001B5267"/>
    <w:rsid w:val="001B6845"/>
    <w:rsid w:val="001B71F8"/>
    <w:rsid w:val="001C083C"/>
    <w:rsid w:val="001C0B6B"/>
    <w:rsid w:val="001C0F52"/>
    <w:rsid w:val="001C1F5A"/>
    <w:rsid w:val="001C2109"/>
    <w:rsid w:val="001C27D6"/>
    <w:rsid w:val="001C495F"/>
    <w:rsid w:val="001C6427"/>
    <w:rsid w:val="001C6C65"/>
    <w:rsid w:val="001C7AF7"/>
    <w:rsid w:val="001C7B76"/>
    <w:rsid w:val="001D1C8A"/>
    <w:rsid w:val="001D2860"/>
    <w:rsid w:val="001D3DAF"/>
    <w:rsid w:val="001D4AC1"/>
    <w:rsid w:val="001D4F15"/>
    <w:rsid w:val="001D530F"/>
    <w:rsid w:val="001D5C3B"/>
    <w:rsid w:val="001D72BA"/>
    <w:rsid w:val="001D7880"/>
    <w:rsid w:val="001E2A71"/>
    <w:rsid w:val="001E2B4F"/>
    <w:rsid w:val="001E3805"/>
    <w:rsid w:val="001E3A83"/>
    <w:rsid w:val="001E40DB"/>
    <w:rsid w:val="001E49D6"/>
    <w:rsid w:val="001E555B"/>
    <w:rsid w:val="001E5B05"/>
    <w:rsid w:val="001E6490"/>
    <w:rsid w:val="001E7434"/>
    <w:rsid w:val="001F0CB4"/>
    <w:rsid w:val="001F0F46"/>
    <w:rsid w:val="001F41A4"/>
    <w:rsid w:val="001F5892"/>
    <w:rsid w:val="001F58DA"/>
    <w:rsid w:val="001F6A89"/>
    <w:rsid w:val="001F7BC6"/>
    <w:rsid w:val="00200D9B"/>
    <w:rsid w:val="002071D1"/>
    <w:rsid w:val="002104B2"/>
    <w:rsid w:val="002119A3"/>
    <w:rsid w:val="00213EFA"/>
    <w:rsid w:val="002168FC"/>
    <w:rsid w:val="00217657"/>
    <w:rsid w:val="00221784"/>
    <w:rsid w:val="00221808"/>
    <w:rsid w:val="00222F92"/>
    <w:rsid w:val="00224C7E"/>
    <w:rsid w:val="00226570"/>
    <w:rsid w:val="00227065"/>
    <w:rsid w:val="00227629"/>
    <w:rsid w:val="002277A1"/>
    <w:rsid w:val="002359FE"/>
    <w:rsid w:val="00235B72"/>
    <w:rsid w:val="002378C5"/>
    <w:rsid w:val="00240427"/>
    <w:rsid w:val="0024070C"/>
    <w:rsid w:val="0024126E"/>
    <w:rsid w:val="00242C5D"/>
    <w:rsid w:val="0024557A"/>
    <w:rsid w:val="00246D5A"/>
    <w:rsid w:val="002475A5"/>
    <w:rsid w:val="002509A9"/>
    <w:rsid w:val="002519C7"/>
    <w:rsid w:val="00251BA3"/>
    <w:rsid w:val="00253263"/>
    <w:rsid w:val="00253543"/>
    <w:rsid w:val="002537F0"/>
    <w:rsid w:val="0025432E"/>
    <w:rsid w:val="002551F7"/>
    <w:rsid w:val="0025689F"/>
    <w:rsid w:val="00264AAF"/>
    <w:rsid w:val="00265255"/>
    <w:rsid w:val="0026561C"/>
    <w:rsid w:val="00266702"/>
    <w:rsid w:val="00266C85"/>
    <w:rsid w:val="00267DE0"/>
    <w:rsid w:val="00270B74"/>
    <w:rsid w:val="00271F2D"/>
    <w:rsid w:val="0027373F"/>
    <w:rsid w:val="00273B27"/>
    <w:rsid w:val="00273EDE"/>
    <w:rsid w:val="00274E70"/>
    <w:rsid w:val="0027568A"/>
    <w:rsid w:val="00276033"/>
    <w:rsid w:val="0028046A"/>
    <w:rsid w:val="00281017"/>
    <w:rsid w:val="00281971"/>
    <w:rsid w:val="00281B3E"/>
    <w:rsid w:val="00282AC1"/>
    <w:rsid w:val="00282C08"/>
    <w:rsid w:val="00283AFF"/>
    <w:rsid w:val="00284AF6"/>
    <w:rsid w:val="002866A4"/>
    <w:rsid w:val="0028704B"/>
    <w:rsid w:val="00290B27"/>
    <w:rsid w:val="00291453"/>
    <w:rsid w:val="002925A7"/>
    <w:rsid w:val="00294AF2"/>
    <w:rsid w:val="002950CB"/>
    <w:rsid w:val="00296778"/>
    <w:rsid w:val="00297934"/>
    <w:rsid w:val="002A0914"/>
    <w:rsid w:val="002A1800"/>
    <w:rsid w:val="002A3224"/>
    <w:rsid w:val="002A33BB"/>
    <w:rsid w:val="002A4E52"/>
    <w:rsid w:val="002B0C8F"/>
    <w:rsid w:val="002B28AC"/>
    <w:rsid w:val="002B3366"/>
    <w:rsid w:val="002B36CD"/>
    <w:rsid w:val="002B3C25"/>
    <w:rsid w:val="002B5066"/>
    <w:rsid w:val="002B60B9"/>
    <w:rsid w:val="002B628A"/>
    <w:rsid w:val="002B6711"/>
    <w:rsid w:val="002B6BBE"/>
    <w:rsid w:val="002C0B83"/>
    <w:rsid w:val="002C0D24"/>
    <w:rsid w:val="002C1227"/>
    <w:rsid w:val="002C16C0"/>
    <w:rsid w:val="002C24D4"/>
    <w:rsid w:val="002C3A23"/>
    <w:rsid w:val="002C3B8A"/>
    <w:rsid w:val="002C451A"/>
    <w:rsid w:val="002C4DBA"/>
    <w:rsid w:val="002C52C2"/>
    <w:rsid w:val="002C537B"/>
    <w:rsid w:val="002C6513"/>
    <w:rsid w:val="002D0B3E"/>
    <w:rsid w:val="002D1AC5"/>
    <w:rsid w:val="002D28C8"/>
    <w:rsid w:val="002D43C3"/>
    <w:rsid w:val="002D4E9D"/>
    <w:rsid w:val="002D7D3C"/>
    <w:rsid w:val="002E3923"/>
    <w:rsid w:val="002E4E34"/>
    <w:rsid w:val="002E5028"/>
    <w:rsid w:val="002E5DA2"/>
    <w:rsid w:val="002E6698"/>
    <w:rsid w:val="002E7E66"/>
    <w:rsid w:val="002F181B"/>
    <w:rsid w:val="002F24E3"/>
    <w:rsid w:val="002F2980"/>
    <w:rsid w:val="002F2D89"/>
    <w:rsid w:val="002F3E5C"/>
    <w:rsid w:val="002F4A3C"/>
    <w:rsid w:val="002F707B"/>
    <w:rsid w:val="002F712A"/>
    <w:rsid w:val="00301835"/>
    <w:rsid w:val="003024AC"/>
    <w:rsid w:val="00302C0B"/>
    <w:rsid w:val="003032A1"/>
    <w:rsid w:val="00303B73"/>
    <w:rsid w:val="0030406C"/>
    <w:rsid w:val="00304592"/>
    <w:rsid w:val="003062BA"/>
    <w:rsid w:val="00307168"/>
    <w:rsid w:val="003072FC"/>
    <w:rsid w:val="00307BD6"/>
    <w:rsid w:val="00311104"/>
    <w:rsid w:val="00311B66"/>
    <w:rsid w:val="00311E80"/>
    <w:rsid w:val="00312955"/>
    <w:rsid w:val="00312F5C"/>
    <w:rsid w:val="00314836"/>
    <w:rsid w:val="00315B18"/>
    <w:rsid w:val="00316499"/>
    <w:rsid w:val="00317E05"/>
    <w:rsid w:val="003209B9"/>
    <w:rsid w:val="003213A0"/>
    <w:rsid w:val="00321A87"/>
    <w:rsid w:val="003227E4"/>
    <w:rsid w:val="00322A5A"/>
    <w:rsid w:val="00322EE4"/>
    <w:rsid w:val="00323146"/>
    <w:rsid w:val="00323BA5"/>
    <w:rsid w:val="00325FAA"/>
    <w:rsid w:val="00326ACE"/>
    <w:rsid w:val="003270F6"/>
    <w:rsid w:val="00327302"/>
    <w:rsid w:val="0032776D"/>
    <w:rsid w:val="00330734"/>
    <w:rsid w:val="00330743"/>
    <w:rsid w:val="00330B04"/>
    <w:rsid w:val="003326FF"/>
    <w:rsid w:val="00333A48"/>
    <w:rsid w:val="00335646"/>
    <w:rsid w:val="003357E5"/>
    <w:rsid w:val="00335D7F"/>
    <w:rsid w:val="0033626D"/>
    <w:rsid w:val="00336282"/>
    <w:rsid w:val="003363A6"/>
    <w:rsid w:val="00336425"/>
    <w:rsid w:val="0033666E"/>
    <w:rsid w:val="00336C1D"/>
    <w:rsid w:val="00336ED8"/>
    <w:rsid w:val="00340B91"/>
    <w:rsid w:val="00341B08"/>
    <w:rsid w:val="00342142"/>
    <w:rsid w:val="00344369"/>
    <w:rsid w:val="00344F86"/>
    <w:rsid w:val="00345FCA"/>
    <w:rsid w:val="00346820"/>
    <w:rsid w:val="00347D36"/>
    <w:rsid w:val="00350181"/>
    <w:rsid w:val="003502CB"/>
    <w:rsid w:val="00351061"/>
    <w:rsid w:val="00351A7D"/>
    <w:rsid w:val="00352D6E"/>
    <w:rsid w:val="003531A3"/>
    <w:rsid w:val="003545EC"/>
    <w:rsid w:val="00354ACD"/>
    <w:rsid w:val="003558E3"/>
    <w:rsid w:val="00355F23"/>
    <w:rsid w:val="003565C2"/>
    <w:rsid w:val="00357557"/>
    <w:rsid w:val="0035790A"/>
    <w:rsid w:val="003602FA"/>
    <w:rsid w:val="00360548"/>
    <w:rsid w:val="003607AE"/>
    <w:rsid w:val="00360D65"/>
    <w:rsid w:val="00363445"/>
    <w:rsid w:val="003640C8"/>
    <w:rsid w:val="0036469A"/>
    <w:rsid w:val="00364D9E"/>
    <w:rsid w:val="0036555A"/>
    <w:rsid w:val="003706DD"/>
    <w:rsid w:val="00371508"/>
    <w:rsid w:val="0037154A"/>
    <w:rsid w:val="003731BF"/>
    <w:rsid w:val="00373CBF"/>
    <w:rsid w:val="0037533C"/>
    <w:rsid w:val="00376D7D"/>
    <w:rsid w:val="00377523"/>
    <w:rsid w:val="003779E9"/>
    <w:rsid w:val="00380DDF"/>
    <w:rsid w:val="00383F61"/>
    <w:rsid w:val="003868A7"/>
    <w:rsid w:val="00387AF1"/>
    <w:rsid w:val="003904BE"/>
    <w:rsid w:val="003907B7"/>
    <w:rsid w:val="00390951"/>
    <w:rsid w:val="00390F45"/>
    <w:rsid w:val="00391842"/>
    <w:rsid w:val="00394C50"/>
    <w:rsid w:val="00394D3F"/>
    <w:rsid w:val="003966C5"/>
    <w:rsid w:val="0039685C"/>
    <w:rsid w:val="003A1824"/>
    <w:rsid w:val="003A1D9E"/>
    <w:rsid w:val="003A41A2"/>
    <w:rsid w:val="003A47EC"/>
    <w:rsid w:val="003A5D7F"/>
    <w:rsid w:val="003A60CE"/>
    <w:rsid w:val="003A6D53"/>
    <w:rsid w:val="003A7BDF"/>
    <w:rsid w:val="003A7ED6"/>
    <w:rsid w:val="003B0021"/>
    <w:rsid w:val="003B0124"/>
    <w:rsid w:val="003B10C9"/>
    <w:rsid w:val="003B135E"/>
    <w:rsid w:val="003B147A"/>
    <w:rsid w:val="003B273C"/>
    <w:rsid w:val="003B3751"/>
    <w:rsid w:val="003B60BA"/>
    <w:rsid w:val="003B6928"/>
    <w:rsid w:val="003C1A5A"/>
    <w:rsid w:val="003C2F12"/>
    <w:rsid w:val="003C3ACE"/>
    <w:rsid w:val="003C6799"/>
    <w:rsid w:val="003D26C3"/>
    <w:rsid w:val="003D28EE"/>
    <w:rsid w:val="003D7DBB"/>
    <w:rsid w:val="003E05F3"/>
    <w:rsid w:val="003E1DC8"/>
    <w:rsid w:val="003E3F65"/>
    <w:rsid w:val="003E5118"/>
    <w:rsid w:val="003E55A1"/>
    <w:rsid w:val="003F0E59"/>
    <w:rsid w:val="003F15B8"/>
    <w:rsid w:val="003F2390"/>
    <w:rsid w:val="003F3AD8"/>
    <w:rsid w:val="003F3D2E"/>
    <w:rsid w:val="003F3FB3"/>
    <w:rsid w:val="003F541E"/>
    <w:rsid w:val="003F638F"/>
    <w:rsid w:val="003F6BA4"/>
    <w:rsid w:val="003F7AEA"/>
    <w:rsid w:val="004001F4"/>
    <w:rsid w:val="004012A8"/>
    <w:rsid w:val="00403699"/>
    <w:rsid w:val="00403B49"/>
    <w:rsid w:val="004040FD"/>
    <w:rsid w:val="00404D72"/>
    <w:rsid w:val="00405866"/>
    <w:rsid w:val="00406E1A"/>
    <w:rsid w:val="00407D1C"/>
    <w:rsid w:val="0041164A"/>
    <w:rsid w:val="0041206D"/>
    <w:rsid w:val="004121BD"/>
    <w:rsid w:val="00412612"/>
    <w:rsid w:val="004142CF"/>
    <w:rsid w:val="00414599"/>
    <w:rsid w:val="00414899"/>
    <w:rsid w:val="00414AF1"/>
    <w:rsid w:val="00414E9F"/>
    <w:rsid w:val="00415095"/>
    <w:rsid w:val="0042122C"/>
    <w:rsid w:val="00421C4E"/>
    <w:rsid w:val="00421DE9"/>
    <w:rsid w:val="0042216E"/>
    <w:rsid w:val="00423DAC"/>
    <w:rsid w:val="00425813"/>
    <w:rsid w:val="0042584A"/>
    <w:rsid w:val="00425C13"/>
    <w:rsid w:val="004266EA"/>
    <w:rsid w:val="0042686B"/>
    <w:rsid w:val="00430B25"/>
    <w:rsid w:val="004316F1"/>
    <w:rsid w:val="004335EA"/>
    <w:rsid w:val="004345FE"/>
    <w:rsid w:val="00434981"/>
    <w:rsid w:val="00435F60"/>
    <w:rsid w:val="00440663"/>
    <w:rsid w:val="00440E63"/>
    <w:rsid w:val="00440EA9"/>
    <w:rsid w:val="00442FCE"/>
    <w:rsid w:val="004430AD"/>
    <w:rsid w:val="004445FD"/>
    <w:rsid w:val="00444A84"/>
    <w:rsid w:val="00445A5D"/>
    <w:rsid w:val="004468C6"/>
    <w:rsid w:val="00447720"/>
    <w:rsid w:val="0045018A"/>
    <w:rsid w:val="004501EB"/>
    <w:rsid w:val="00451326"/>
    <w:rsid w:val="004516E6"/>
    <w:rsid w:val="00455ED1"/>
    <w:rsid w:val="00455F84"/>
    <w:rsid w:val="00456740"/>
    <w:rsid w:val="00456F61"/>
    <w:rsid w:val="00460D63"/>
    <w:rsid w:val="004619DF"/>
    <w:rsid w:val="00461E96"/>
    <w:rsid w:val="0046416B"/>
    <w:rsid w:val="004652F7"/>
    <w:rsid w:val="0046624C"/>
    <w:rsid w:val="004662D5"/>
    <w:rsid w:val="00467C6D"/>
    <w:rsid w:val="00470545"/>
    <w:rsid w:val="004716AB"/>
    <w:rsid w:val="00471C47"/>
    <w:rsid w:val="00472A6D"/>
    <w:rsid w:val="004730C2"/>
    <w:rsid w:val="00473220"/>
    <w:rsid w:val="004761DB"/>
    <w:rsid w:val="00476A3E"/>
    <w:rsid w:val="00480953"/>
    <w:rsid w:val="00483909"/>
    <w:rsid w:val="0048433A"/>
    <w:rsid w:val="004845CA"/>
    <w:rsid w:val="004849DF"/>
    <w:rsid w:val="00484D76"/>
    <w:rsid w:val="004862F0"/>
    <w:rsid w:val="004872BD"/>
    <w:rsid w:val="0048748E"/>
    <w:rsid w:val="00490703"/>
    <w:rsid w:val="004914FB"/>
    <w:rsid w:val="00491AD3"/>
    <w:rsid w:val="00491AE5"/>
    <w:rsid w:val="00491E22"/>
    <w:rsid w:val="00492B36"/>
    <w:rsid w:val="00492CC2"/>
    <w:rsid w:val="00493DB7"/>
    <w:rsid w:val="00494AA7"/>
    <w:rsid w:val="00495D10"/>
    <w:rsid w:val="00495EDC"/>
    <w:rsid w:val="00496973"/>
    <w:rsid w:val="00496A54"/>
    <w:rsid w:val="004A0C51"/>
    <w:rsid w:val="004A3397"/>
    <w:rsid w:val="004A34F0"/>
    <w:rsid w:val="004A445D"/>
    <w:rsid w:val="004A4B04"/>
    <w:rsid w:val="004A6280"/>
    <w:rsid w:val="004A62DC"/>
    <w:rsid w:val="004B16E6"/>
    <w:rsid w:val="004B1F35"/>
    <w:rsid w:val="004B243A"/>
    <w:rsid w:val="004B4AAB"/>
    <w:rsid w:val="004B4CCA"/>
    <w:rsid w:val="004B4CFA"/>
    <w:rsid w:val="004B4FF4"/>
    <w:rsid w:val="004B7E6E"/>
    <w:rsid w:val="004C12A6"/>
    <w:rsid w:val="004C2593"/>
    <w:rsid w:val="004C47B7"/>
    <w:rsid w:val="004C5A77"/>
    <w:rsid w:val="004C6D26"/>
    <w:rsid w:val="004D2B99"/>
    <w:rsid w:val="004D4EE9"/>
    <w:rsid w:val="004D5E17"/>
    <w:rsid w:val="004D656E"/>
    <w:rsid w:val="004D7637"/>
    <w:rsid w:val="004D7BCC"/>
    <w:rsid w:val="004E00BC"/>
    <w:rsid w:val="004E1064"/>
    <w:rsid w:val="004E1FF7"/>
    <w:rsid w:val="004E3179"/>
    <w:rsid w:val="004E3E34"/>
    <w:rsid w:val="004E45C8"/>
    <w:rsid w:val="004E509C"/>
    <w:rsid w:val="004E5293"/>
    <w:rsid w:val="004E55AF"/>
    <w:rsid w:val="004E6683"/>
    <w:rsid w:val="004E7B5F"/>
    <w:rsid w:val="004F012F"/>
    <w:rsid w:val="004F08B8"/>
    <w:rsid w:val="004F148C"/>
    <w:rsid w:val="004F1B18"/>
    <w:rsid w:val="004F1B4C"/>
    <w:rsid w:val="004F3E50"/>
    <w:rsid w:val="004F4A95"/>
    <w:rsid w:val="004F599A"/>
    <w:rsid w:val="004F7BA4"/>
    <w:rsid w:val="004F7D09"/>
    <w:rsid w:val="005004FE"/>
    <w:rsid w:val="00500CCB"/>
    <w:rsid w:val="00501F0A"/>
    <w:rsid w:val="00502032"/>
    <w:rsid w:val="0050367F"/>
    <w:rsid w:val="00503C68"/>
    <w:rsid w:val="005040B9"/>
    <w:rsid w:val="00504977"/>
    <w:rsid w:val="00506099"/>
    <w:rsid w:val="00506210"/>
    <w:rsid w:val="00506A34"/>
    <w:rsid w:val="00506B95"/>
    <w:rsid w:val="00507960"/>
    <w:rsid w:val="00507A5F"/>
    <w:rsid w:val="005100F3"/>
    <w:rsid w:val="0051042F"/>
    <w:rsid w:val="00510DBF"/>
    <w:rsid w:val="0051110E"/>
    <w:rsid w:val="00514A98"/>
    <w:rsid w:val="005153C0"/>
    <w:rsid w:val="00515A12"/>
    <w:rsid w:val="005173AE"/>
    <w:rsid w:val="0051797D"/>
    <w:rsid w:val="00523A2F"/>
    <w:rsid w:val="0052532A"/>
    <w:rsid w:val="005259A0"/>
    <w:rsid w:val="0052636A"/>
    <w:rsid w:val="005310C3"/>
    <w:rsid w:val="00532943"/>
    <w:rsid w:val="00533164"/>
    <w:rsid w:val="00533495"/>
    <w:rsid w:val="005336FF"/>
    <w:rsid w:val="00533F25"/>
    <w:rsid w:val="0053483B"/>
    <w:rsid w:val="0053539C"/>
    <w:rsid w:val="00535EBF"/>
    <w:rsid w:val="00536BCC"/>
    <w:rsid w:val="00536C39"/>
    <w:rsid w:val="00536E02"/>
    <w:rsid w:val="00536F5C"/>
    <w:rsid w:val="00537A70"/>
    <w:rsid w:val="0054145F"/>
    <w:rsid w:val="00546619"/>
    <w:rsid w:val="0054767D"/>
    <w:rsid w:val="005503E4"/>
    <w:rsid w:val="0055079D"/>
    <w:rsid w:val="0055224D"/>
    <w:rsid w:val="005530AF"/>
    <w:rsid w:val="00555297"/>
    <w:rsid w:val="00555864"/>
    <w:rsid w:val="005610E4"/>
    <w:rsid w:val="005629D0"/>
    <w:rsid w:val="005640BD"/>
    <w:rsid w:val="00565843"/>
    <w:rsid w:val="00565E8A"/>
    <w:rsid w:val="00566ADD"/>
    <w:rsid w:val="00571BBB"/>
    <w:rsid w:val="0057255A"/>
    <w:rsid w:val="00572731"/>
    <w:rsid w:val="00572D37"/>
    <w:rsid w:val="0057335A"/>
    <w:rsid w:val="00573AE3"/>
    <w:rsid w:val="005741C1"/>
    <w:rsid w:val="00575E70"/>
    <w:rsid w:val="005763F8"/>
    <w:rsid w:val="00577717"/>
    <w:rsid w:val="00577A58"/>
    <w:rsid w:val="005808EC"/>
    <w:rsid w:val="00580A9D"/>
    <w:rsid w:val="005816C5"/>
    <w:rsid w:val="00581821"/>
    <w:rsid w:val="00581FE7"/>
    <w:rsid w:val="00587749"/>
    <w:rsid w:val="005904FB"/>
    <w:rsid w:val="00591306"/>
    <w:rsid w:val="00591498"/>
    <w:rsid w:val="00592081"/>
    <w:rsid w:val="005925A2"/>
    <w:rsid w:val="00595339"/>
    <w:rsid w:val="00595D95"/>
    <w:rsid w:val="00595EF9"/>
    <w:rsid w:val="005A080C"/>
    <w:rsid w:val="005A1518"/>
    <w:rsid w:val="005A1A6F"/>
    <w:rsid w:val="005A41DE"/>
    <w:rsid w:val="005A59BE"/>
    <w:rsid w:val="005A608E"/>
    <w:rsid w:val="005A7A21"/>
    <w:rsid w:val="005B1E87"/>
    <w:rsid w:val="005B2F7A"/>
    <w:rsid w:val="005B385B"/>
    <w:rsid w:val="005B430D"/>
    <w:rsid w:val="005B5B2C"/>
    <w:rsid w:val="005B5FD1"/>
    <w:rsid w:val="005B6FDE"/>
    <w:rsid w:val="005B7541"/>
    <w:rsid w:val="005B7D59"/>
    <w:rsid w:val="005C0D29"/>
    <w:rsid w:val="005C3131"/>
    <w:rsid w:val="005C397C"/>
    <w:rsid w:val="005C41EF"/>
    <w:rsid w:val="005C4425"/>
    <w:rsid w:val="005C4E1E"/>
    <w:rsid w:val="005C53F2"/>
    <w:rsid w:val="005C5428"/>
    <w:rsid w:val="005C65BF"/>
    <w:rsid w:val="005C6BE3"/>
    <w:rsid w:val="005D1B60"/>
    <w:rsid w:val="005D1C38"/>
    <w:rsid w:val="005D2916"/>
    <w:rsid w:val="005D3A96"/>
    <w:rsid w:val="005D492B"/>
    <w:rsid w:val="005D5BE5"/>
    <w:rsid w:val="005D5EAB"/>
    <w:rsid w:val="005E02A0"/>
    <w:rsid w:val="005E0E64"/>
    <w:rsid w:val="005E1289"/>
    <w:rsid w:val="005E2985"/>
    <w:rsid w:val="005E4F4C"/>
    <w:rsid w:val="005E7BCB"/>
    <w:rsid w:val="005F2AF6"/>
    <w:rsid w:val="005F3309"/>
    <w:rsid w:val="005F4C64"/>
    <w:rsid w:val="005F5704"/>
    <w:rsid w:val="005F6A85"/>
    <w:rsid w:val="00600BDF"/>
    <w:rsid w:val="006033B5"/>
    <w:rsid w:val="006033F4"/>
    <w:rsid w:val="006038B0"/>
    <w:rsid w:val="00604682"/>
    <w:rsid w:val="00607016"/>
    <w:rsid w:val="006076E2"/>
    <w:rsid w:val="0061016A"/>
    <w:rsid w:val="00610EE9"/>
    <w:rsid w:val="00613A85"/>
    <w:rsid w:val="006152CC"/>
    <w:rsid w:val="00620893"/>
    <w:rsid w:val="00622457"/>
    <w:rsid w:val="006247BB"/>
    <w:rsid w:val="00624E0B"/>
    <w:rsid w:val="006265FD"/>
    <w:rsid w:val="0062684F"/>
    <w:rsid w:val="006268D8"/>
    <w:rsid w:val="0062788F"/>
    <w:rsid w:val="0063067B"/>
    <w:rsid w:val="00634C37"/>
    <w:rsid w:val="0063573C"/>
    <w:rsid w:val="00636825"/>
    <w:rsid w:val="006410B1"/>
    <w:rsid w:val="00641234"/>
    <w:rsid w:val="006414E0"/>
    <w:rsid w:val="00641690"/>
    <w:rsid w:val="0064245A"/>
    <w:rsid w:val="006426E6"/>
    <w:rsid w:val="00642947"/>
    <w:rsid w:val="00642EAE"/>
    <w:rsid w:val="00643858"/>
    <w:rsid w:val="00644335"/>
    <w:rsid w:val="00644ACA"/>
    <w:rsid w:val="00644CD1"/>
    <w:rsid w:val="006508FA"/>
    <w:rsid w:val="00651290"/>
    <w:rsid w:val="006540BD"/>
    <w:rsid w:val="00656016"/>
    <w:rsid w:val="00656896"/>
    <w:rsid w:val="00656CAA"/>
    <w:rsid w:val="0065736E"/>
    <w:rsid w:val="0066037B"/>
    <w:rsid w:val="00660466"/>
    <w:rsid w:val="006613DF"/>
    <w:rsid w:val="006622E5"/>
    <w:rsid w:val="0066275B"/>
    <w:rsid w:val="00662D24"/>
    <w:rsid w:val="0066448F"/>
    <w:rsid w:val="006647DD"/>
    <w:rsid w:val="00666370"/>
    <w:rsid w:val="00667378"/>
    <w:rsid w:val="00670762"/>
    <w:rsid w:val="00673CE6"/>
    <w:rsid w:val="00673FF2"/>
    <w:rsid w:val="006740B5"/>
    <w:rsid w:val="00674375"/>
    <w:rsid w:val="00677B02"/>
    <w:rsid w:val="006804E0"/>
    <w:rsid w:val="00681EA6"/>
    <w:rsid w:val="0068206B"/>
    <w:rsid w:val="006830F8"/>
    <w:rsid w:val="00683F16"/>
    <w:rsid w:val="006846A2"/>
    <w:rsid w:val="00684C95"/>
    <w:rsid w:val="00684E51"/>
    <w:rsid w:val="00685C6B"/>
    <w:rsid w:val="00685DF3"/>
    <w:rsid w:val="00686ED6"/>
    <w:rsid w:val="006912F7"/>
    <w:rsid w:val="006936D9"/>
    <w:rsid w:val="00693A32"/>
    <w:rsid w:val="0069511D"/>
    <w:rsid w:val="00695159"/>
    <w:rsid w:val="0069520D"/>
    <w:rsid w:val="0069589A"/>
    <w:rsid w:val="00695DDC"/>
    <w:rsid w:val="00697839"/>
    <w:rsid w:val="006A3609"/>
    <w:rsid w:val="006A3F07"/>
    <w:rsid w:val="006A4535"/>
    <w:rsid w:val="006A45BD"/>
    <w:rsid w:val="006A4B3F"/>
    <w:rsid w:val="006A7D2D"/>
    <w:rsid w:val="006B113F"/>
    <w:rsid w:val="006B1E84"/>
    <w:rsid w:val="006B2EFF"/>
    <w:rsid w:val="006B359B"/>
    <w:rsid w:val="006B41B5"/>
    <w:rsid w:val="006B470A"/>
    <w:rsid w:val="006B5E6A"/>
    <w:rsid w:val="006B69DF"/>
    <w:rsid w:val="006C01E6"/>
    <w:rsid w:val="006C0682"/>
    <w:rsid w:val="006C0749"/>
    <w:rsid w:val="006C07F6"/>
    <w:rsid w:val="006C106E"/>
    <w:rsid w:val="006C2278"/>
    <w:rsid w:val="006C4B34"/>
    <w:rsid w:val="006C5967"/>
    <w:rsid w:val="006C5EE8"/>
    <w:rsid w:val="006C628B"/>
    <w:rsid w:val="006C6537"/>
    <w:rsid w:val="006C7BB5"/>
    <w:rsid w:val="006D105C"/>
    <w:rsid w:val="006D12A0"/>
    <w:rsid w:val="006D192A"/>
    <w:rsid w:val="006D38BC"/>
    <w:rsid w:val="006D66AA"/>
    <w:rsid w:val="006D672E"/>
    <w:rsid w:val="006D71DA"/>
    <w:rsid w:val="006D777E"/>
    <w:rsid w:val="006E04C9"/>
    <w:rsid w:val="006E1331"/>
    <w:rsid w:val="006E2B32"/>
    <w:rsid w:val="006E2DE9"/>
    <w:rsid w:val="006E7668"/>
    <w:rsid w:val="006E7759"/>
    <w:rsid w:val="006E776F"/>
    <w:rsid w:val="006F134F"/>
    <w:rsid w:val="006F20F6"/>
    <w:rsid w:val="006F23C8"/>
    <w:rsid w:val="006F2420"/>
    <w:rsid w:val="006F3404"/>
    <w:rsid w:val="006F3A58"/>
    <w:rsid w:val="006F4111"/>
    <w:rsid w:val="006F6443"/>
    <w:rsid w:val="006F6510"/>
    <w:rsid w:val="006F721A"/>
    <w:rsid w:val="006F73D5"/>
    <w:rsid w:val="0070064F"/>
    <w:rsid w:val="007009DF"/>
    <w:rsid w:val="0070358C"/>
    <w:rsid w:val="00705BCE"/>
    <w:rsid w:val="00706B21"/>
    <w:rsid w:val="00707A91"/>
    <w:rsid w:val="00707EDD"/>
    <w:rsid w:val="0071030E"/>
    <w:rsid w:val="00710E16"/>
    <w:rsid w:val="007113A9"/>
    <w:rsid w:val="007113BB"/>
    <w:rsid w:val="0071143B"/>
    <w:rsid w:val="0071179C"/>
    <w:rsid w:val="00713141"/>
    <w:rsid w:val="00714229"/>
    <w:rsid w:val="007146DA"/>
    <w:rsid w:val="00714CC7"/>
    <w:rsid w:val="00715267"/>
    <w:rsid w:val="00721077"/>
    <w:rsid w:val="00722A78"/>
    <w:rsid w:val="007239BF"/>
    <w:rsid w:val="00724B6D"/>
    <w:rsid w:val="0072659C"/>
    <w:rsid w:val="007268F0"/>
    <w:rsid w:val="007337F2"/>
    <w:rsid w:val="00735148"/>
    <w:rsid w:val="00736760"/>
    <w:rsid w:val="00736A12"/>
    <w:rsid w:val="00740CEC"/>
    <w:rsid w:val="00746E1D"/>
    <w:rsid w:val="00747657"/>
    <w:rsid w:val="007505B4"/>
    <w:rsid w:val="007505BD"/>
    <w:rsid w:val="007506E5"/>
    <w:rsid w:val="00750B79"/>
    <w:rsid w:val="00750BEB"/>
    <w:rsid w:val="00750F7A"/>
    <w:rsid w:val="00753871"/>
    <w:rsid w:val="00754231"/>
    <w:rsid w:val="0075542C"/>
    <w:rsid w:val="00756167"/>
    <w:rsid w:val="0075640D"/>
    <w:rsid w:val="0075667C"/>
    <w:rsid w:val="0075671C"/>
    <w:rsid w:val="00756D14"/>
    <w:rsid w:val="00756FBB"/>
    <w:rsid w:val="007578BC"/>
    <w:rsid w:val="00757B0C"/>
    <w:rsid w:val="007600C2"/>
    <w:rsid w:val="007602F7"/>
    <w:rsid w:val="00760570"/>
    <w:rsid w:val="00761C97"/>
    <w:rsid w:val="00763298"/>
    <w:rsid w:val="00763E0B"/>
    <w:rsid w:val="00764485"/>
    <w:rsid w:val="007650B6"/>
    <w:rsid w:val="00770652"/>
    <w:rsid w:val="00771D64"/>
    <w:rsid w:val="00772688"/>
    <w:rsid w:val="007734D9"/>
    <w:rsid w:val="0077529E"/>
    <w:rsid w:val="007774B5"/>
    <w:rsid w:val="00777ACA"/>
    <w:rsid w:val="007833FC"/>
    <w:rsid w:val="00783614"/>
    <w:rsid w:val="0078385A"/>
    <w:rsid w:val="00783EF7"/>
    <w:rsid w:val="00784017"/>
    <w:rsid w:val="00786CCD"/>
    <w:rsid w:val="0078739D"/>
    <w:rsid w:val="00787A00"/>
    <w:rsid w:val="00790824"/>
    <w:rsid w:val="0079132C"/>
    <w:rsid w:val="00792FC1"/>
    <w:rsid w:val="00793AB9"/>
    <w:rsid w:val="007943B2"/>
    <w:rsid w:val="00795E0C"/>
    <w:rsid w:val="007965AB"/>
    <w:rsid w:val="0079686D"/>
    <w:rsid w:val="00797459"/>
    <w:rsid w:val="00797ED6"/>
    <w:rsid w:val="00797F1C"/>
    <w:rsid w:val="007A00CB"/>
    <w:rsid w:val="007A043C"/>
    <w:rsid w:val="007A1405"/>
    <w:rsid w:val="007A1D5D"/>
    <w:rsid w:val="007A39F9"/>
    <w:rsid w:val="007A5FC0"/>
    <w:rsid w:val="007A6C8D"/>
    <w:rsid w:val="007A7E79"/>
    <w:rsid w:val="007B0C71"/>
    <w:rsid w:val="007B2CF3"/>
    <w:rsid w:val="007B3932"/>
    <w:rsid w:val="007B47F1"/>
    <w:rsid w:val="007B4E07"/>
    <w:rsid w:val="007B614D"/>
    <w:rsid w:val="007B6D7D"/>
    <w:rsid w:val="007B7258"/>
    <w:rsid w:val="007B74AC"/>
    <w:rsid w:val="007C0458"/>
    <w:rsid w:val="007C1B01"/>
    <w:rsid w:val="007C2A0C"/>
    <w:rsid w:val="007C35DC"/>
    <w:rsid w:val="007C3E7D"/>
    <w:rsid w:val="007C49F2"/>
    <w:rsid w:val="007C5A98"/>
    <w:rsid w:val="007C7FB3"/>
    <w:rsid w:val="007D04EA"/>
    <w:rsid w:val="007D2CCB"/>
    <w:rsid w:val="007D399A"/>
    <w:rsid w:val="007D4D4B"/>
    <w:rsid w:val="007D51C3"/>
    <w:rsid w:val="007D56FB"/>
    <w:rsid w:val="007D6801"/>
    <w:rsid w:val="007D7C5D"/>
    <w:rsid w:val="007D7C98"/>
    <w:rsid w:val="007E004A"/>
    <w:rsid w:val="007E32E6"/>
    <w:rsid w:val="007E41A5"/>
    <w:rsid w:val="007E4CC0"/>
    <w:rsid w:val="007E52B8"/>
    <w:rsid w:val="007E6307"/>
    <w:rsid w:val="007E778A"/>
    <w:rsid w:val="007F0094"/>
    <w:rsid w:val="007F0197"/>
    <w:rsid w:val="007F1D45"/>
    <w:rsid w:val="007F5220"/>
    <w:rsid w:val="007F7526"/>
    <w:rsid w:val="007F7875"/>
    <w:rsid w:val="00804DDA"/>
    <w:rsid w:val="008055B1"/>
    <w:rsid w:val="00805C5A"/>
    <w:rsid w:val="008063CE"/>
    <w:rsid w:val="00806D33"/>
    <w:rsid w:val="00807624"/>
    <w:rsid w:val="00807BF7"/>
    <w:rsid w:val="00810AC5"/>
    <w:rsid w:val="0081148A"/>
    <w:rsid w:val="008116A8"/>
    <w:rsid w:val="00811980"/>
    <w:rsid w:val="00811CCC"/>
    <w:rsid w:val="00811E54"/>
    <w:rsid w:val="00812A0A"/>
    <w:rsid w:val="008136A2"/>
    <w:rsid w:val="00813EB8"/>
    <w:rsid w:val="00814811"/>
    <w:rsid w:val="0081491A"/>
    <w:rsid w:val="0081620C"/>
    <w:rsid w:val="00816FBE"/>
    <w:rsid w:val="00817290"/>
    <w:rsid w:val="00817658"/>
    <w:rsid w:val="00820E39"/>
    <w:rsid w:val="00821A22"/>
    <w:rsid w:val="008222F1"/>
    <w:rsid w:val="00823A3E"/>
    <w:rsid w:val="0082412F"/>
    <w:rsid w:val="00824742"/>
    <w:rsid w:val="0082536C"/>
    <w:rsid w:val="00825CFB"/>
    <w:rsid w:val="0082601D"/>
    <w:rsid w:val="0082614B"/>
    <w:rsid w:val="0082651E"/>
    <w:rsid w:val="00831326"/>
    <w:rsid w:val="008318ED"/>
    <w:rsid w:val="00834B06"/>
    <w:rsid w:val="0083562A"/>
    <w:rsid w:val="00835886"/>
    <w:rsid w:val="0083634F"/>
    <w:rsid w:val="00836FD4"/>
    <w:rsid w:val="008406D8"/>
    <w:rsid w:val="008409EE"/>
    <w:rsid w:val="00840A7E"/>
    <w:rsid w:val="00840BA6"/>
    <w:rsid w:val="008411FD"/>
    <w:rsid w:val="00841901"/>
    <w:rsid w:val="00844525"/>
    <w:rsid w:val="0084534B"/>
    <w:rsid w:val="00847C63"/>
    <w:rsid w:val="00851A15"/>
    <w:rsid w:val="00852B0C"/>
    <w:rsid w:val="00853080"/>
    <w:rsid w:val="0085342A"/>
    <w:rsid w:val="00855464"/>
    <w:rsid w:val="00855610"/>
    <w:rsid w:val="00856854"/>
    <w:rsid w:val="00857820"/>
    <w:rsid w:val="00857AE7"/>
    <w:rsid w:val="00860501"/>
    <w:rsid w:val="00860917"/>
    <w:rsid w:val="00860A74"/>
    <w:rsid w:val="008617F1"/>
    <w:rsid w:val="00862613"/>
    <w:rsid w:val="00862692"/>
    <w:rsid w:val="00863DC0"/>
    <w:rsid w:val="008643C7"/>
    <w:rsid w:val="00865925"/>
    <w:rsid w:val="00865E93"/>
    <w:rsid w:val="008660CF"/>
    <w:rsid w:val="008665D3"/>
    <w:rsid w:val="00866827"/>
    <w:rsid w:val="00867E76"/>
    <w:rsid w:val="00867F59"/>
    <w:rsid w:val="008702A9"/>
    <w:rsid w:val="00874ADA"/>
    <w:rsid w:val="00875274"/>
    <w:rsid w:val="00877A6A"/>
    <w:rsid w:val="00882DBF"/>
    <w:rsid w:val="008868A8"/>
    <w:rsid w:val="00886A4A"/>
    <w:rsid w:val="0089028A"/>
    <w:rsid w:val="008919E3"/>
    <w:rsid w:val="00892345"/>
    <w:rsid w:val="00893592"/>
    <w:rsid w:val="00893B14"/>
    <w:rsid w:val="0089723F"/>
    <w:rsid w:val="00897283"/>
    <w:rsid w:val="008978C2"/>
    <w:rsid w:val="008A0CF6"/>
    <w:rsid w:val="008A0F69"/>
    <w:rsid w:val="008A136B"/>
    <w:rsid w:val="008A24C3"/>
    <w:rsid w:val="008A29B3"/>
    <w:rsid w:val="008A3370"/>
    <w:rsid w:val="008A562C"/>
    <w:rsid w:val="008A58A9"/>
    <w:rsid w:val="008A748B"/>
    <w:rsid w:val="008B0016"/>
    <w:rsid w:val="008B0D35"/>
    <w:rsid w:val="008B306D"/>
    <w:rsid w:val="008B314F"/>
    <w:rsid w:val="008B4C61"/>
    <w:rsid w:val="008B5A1F"/>
    <w:rsid w:val="008B6278"/>
    <w:rsid w:val="008C071E"/>
    <w:rsid w:val="008C33B1"/>
    <w:rsid w:val="008C39CB"/>
    <w:rsid w:val="008C4B11"/>
    <w:rsid w:val="008C4E1E"/>
    <w:rsid w:val="008C4E5D"/>
    <w:rsid w:val="008C57E4"/>
    <w:rsid w:val="008C5ADE"/>
    <w:rsid w:val="008C6497"/>
    <w:rsid w:val="008C67D6"/>
    <w:rsid w:val="008C6DF0"/>
    <w:rsid w:val="008C799D"/>
    <w:rsid w:val="008C7E31"/>
    <w:rsid w:val="008D2C4B"/>
    <w:rsid w:val="008D38DC"/>
    <w:rsid w:val="008E0941"/>
    <w:rsid w:val="008E14EF"/>
    <w:rsid w:val="008E17AE"/>
    <w:rsid w:val="008E1ABD"/>
    <w:rsid w:val="008E1DB8"/>
    <w:rsid w:val="008E20B4"/>
    <w:rsid w:val="008E2243"/>
    <w:rsid w:val="008E30E3"/>
    <w:rsid w:val="008E405E"/>
    <w:rsid w:val="008E5851"/>
    <w:rsid w:val="008E6026"/>
    <w:rsid w:val="008E6962"/>
    <w:rsid w:val="008F472E"/>
    <w:rsid w:val="008F5452"/>
    <w:rsid w:val="008F650B"/>
    <w:rsid w:val="008F651B"/>
    <w:rsid w:val="008F65C0"/>
    <w:rsid w:val="008F7929"/>
    <w:rsid w:val="009006DE"/>
    <w:rsid w:val="00900D39"/>
    <w:rsid w:val="009017FB"/>
    <w:rsid w:val="009036A8"/>
    <w:rsid w:val="00904B08"/>
    <w:rsid w:val="00904B30"/>
    <w:rsid w:val="009054A8"/>
    <w:rsid w:val="009060BD"/>
    <w:rsid w:val="00906917"/>
    <w:rsid w:val="00910836"/>
    <w:rsid w:val="0091164E"/>
    <w:rsid w:val="0091292E"/>
    <w:rsid w:val="00912BB9"/>
    <w:rsid w:val="0091304D"/>
    <w:rsid w:val="00913D0A"/>
    <w:rsid w:val="00913F76"/>
    <w:rsid w:val="00915AE7"/>
    <w:rsid w:val="00916B16"/>
    <w:rsid w:val="009206FA"/>
    <w:rsid w:val="00920B3D"/>
    <w:rsid w:val="00920E64"/>
    <w:rsid w:val="00920E7C"/>
    <w:rsid w:val="0092449C"/>
    <w:rsid w:val="00924786"/>
    <w:rsid w:val="00927750"/>
    <w:rsid w:val="009304A5"/>
    <w:rsid w:val="00930B35"/>
    <w:rsid w:val="009310D2"/>
    <w:rsid w:val="009324A2"/>
    <w:rsid w:val="009339B6"/>
    <w:rsid w:val="00934653"/>
    <w:rsid w:val="00940EF6"/>
    <w:rsid w:val="0094131D"/>
    <w:rsid w:val="00942555"/>
    <w:rsid w:val="00942701"/>
    <w:rsid w:val="00944A0E"/>
    <w:rsid w:val="00944F06"/>
    <w:rsid w:val="00945120"/>
    <w:rsid w:val="009479C4"/>
    <w:rsid w:val="00950522"/>
    <w:rsid w:val="00950536"/>
    <w:rsid w:val="00951DED"/>
    <w:rsid w:val="009526B3"/>
    <w:rsid w:val="00952A21"/>
    <w:rsid w:val="00952CE1"/>
    <w:rsid w:val="009532D2"/>
    <w:rsid w:val="009534FB"/>
    <w:rsid w:val="00953BE4"/>
    <w:rsid w:val="00956055"/>
    <w:rsid w:val="00957E28"/>
    <w:rsid w:val="00960956"/>
    <w:rsid w:val="009613C8"/>
    <w:rsid w:val="00961A88"/>
    <w:rsid w:val="00965A8D"/>
    <w:rsid w:val="00966371"/>
    <w:rsid w:val="0097004A"/>
    <w:rsid w:val="00970F00"/>
    <w:rsid w:val="00971B24"/>
    <w:rsid w:val="00971DB5"/>
    <w:rsid w:val="00971F42"/>
    <w:rsid w:val="009729F9"/>
    <w:rsid w:val="00973CA9"/>
    <w:rsid w:val="00974691"/>
    <w:rsid w:val="00975649"/>
    <w:rsid w:val="00977E67"/>
    <w:rsid w:val="00980FFE"/>
    <w:rsid w:val="0098103D"/>
    <w:rsid w:val="009816C7"/>
    <w:rsid w:val="009850FE"/>
    <w:rsid w:val="00985879"/>
    <w:rsid w:val="00986069"/>
    <w:rsid w:val="00986E05"/>
    <w:rsid w:val="0098733D"/>
    <w:rsid w:val="00991622"/>
    <w:rsid w:val="009953E3"/>
    <w:rsid w:val="009961E9"/>
    <w:rsid w:val="0099625B"/>
    <w:rsid w:val="009A04F0"/>
    <w:rsid w:val="009A125B"/>
    <w:rsid w:val="009A15A8"/>
    <w:rsid w:val="009A281F"/>
    <w:rsid w:val="009A28CC"/>
    <w:rsid w:val="009A28E0"/>
    <w:rsid w:val="009A3E64"/>
    <w:rsid w:val="009A5D29"/>
    <w:rsid w:val="009A5FD1"/>
    <w:rsid w:val="009A60AB"/>
    <w:rsid w:val="009A6230"/>
    <w:rsid w:val="009A6E8C"/>
    <w:rsid w:val="009A6EBA"/>
    <w:rsid w:val="009B0DA2"/>
    <w:rsid w:val="009B2766"/>
    <w:rsid w:val="009B2AF5"/>
    <w:rsid w:val="009B485D"/>
    <w:rsid w:val="009B5CD5"/>
    <w:rsid w:val="009B6700"/>
    <w:rsid w:val="009B680D"/>
    <w:rsid w:val="009B7F05"/>
    <w:rsid w:val="009C0EEC"/>
    <w:rsid w:val="009C3006"/>
    <w:rsid w:val="009C33AE"/>
    <w:rsid w:val="009C3948"/>
    <w:rsid w:val="009C5446"/>
    <w:rsid w:val="009C55F8"/>
    <w:rsid w:val="009C5EE1"/>
    <w:rsid w:val="009C71BF"/>
    <w:rsid w:val="009D0E37"/>
    <w:rsid w:val="009D2C4A"/>
    <w:rsid w:val="009D3675"/>
    <w:rsid w:val="009D3CE2"/>
    <w:rsid w:val="009D5BAD"/>
    <w:rsid w:val="009E0C90"/>
    <w:rsid w:val="009E2BD0"/>
    <w:rsid w:val="009E3D06"/>
    <w:rsid w:val="009E3E80"/>
    <w:rsid w:val="009E416A"/>
    <w:rsid w:val="009E4AA9"/>
    <w:rsid w:val="009E4AB4"/>
    <w:rsid w:val="009E5B9C"/>
    <w:rsid w:val="009E6284"/>
    <w:rsid w:val="009E6807"/>
    <w:rsid w:val="009F21DC"/>
    <w:rsid w:val="009F2266"/>
    <w:rsid w:val="009F2F8D"/>
    <w:rsid w:val="009F30B2"/>
    <w:rsid w:val="009F358D"/>
    <w:rsid w:val="009F3DB4"/>
    <w:rsid w:val="009F4002"/>
    <w:rsid w:val="009F4070"/>
    <w:rsid w:val="009F69D0"/>
    <w:rsid w:val="00A01FDA"/>
    <w:rsid w:val="00A02B44"/>
    <w:rsid w:val="00A05CED"/>
    <w:rsid w:val="00A10B87"/>
    <w:rsid w:val="00A118EC"/>
    <w:rsid w:val="00A11D12"/>
    <w:rsid w:val="00A1475F"/>
    <w:rsid w:val="00A1508D"/>
    <w:rsid w:val="00A16011"/>
    <w:rsid w:val="00A168BD"/>
    <w:rsid w:val="00A2261B"/>
    <w:rsid w:val="00A24A83"/>
    <w:rsid w:val="00A24C23"/>
    <w:rsid w:val="00A258C6"/>
    <w:rsid w:val="00A25F85"/>
    <w:rsid w:val="00A26153"/>
    <w:rsid w:val="00A26903"/>
    <w:rsid w:val="00A26D0A"/>
    <w:rsid w:val="00A274A0"/>
    <w:rsid w:val="00A30DD3"/>
    <w:rsid w:val="00A31A45"/>
    <w:rsid w:val="00A35B5A"/>
    <w:rsid w:val="00A35B8D"/>
    <w:rsid w:val="00A35EDF"/>
    <w:rsid w:val="00A35F43"/>
    <w:rsid w:val="00A36989"/>
    <w:rsid w:val="00A37E4A"/>
    <w:rsid w:val="00A42267"/>
    <w:rsid w:val="00A44440"/>
    <w:rsid w:val="00A44858"/>
    <w:rsid w:val="00A44C4A"/>
    <w:rsid w:val="00A44D6F"/>
    <w:rsid w:val="00A478F1"/>
    <w:rsid w:val="00A50E62"/>
    <w:rsid w:val="00A52D1D"/>
    <w:rsid w:val="00A545FC"/>
    <w:rsid w:val="00A57C66"/>
    <w:rsid w:val="00A61172"/>
    <w:rsid w:val="00A634C9"/>
    <w:rsid w:val="00A644CE"/>
    <w:rsid w:val="00A64EE6"/>
    <w:rsid w:val="00A65B32"/>
    <w:rsid w:val="00A66ED0"/>
    <w:rsid w:val="00A720CE"/>
    <w:rsid w:val="00A7264A"/>
    <w:rsid w:val="00A726B7"/>
    <w:rsid w:val="00A73C05"/>
    <w:rsid w:val="00A75938"/>
    <w:rsid w:val="00A75E0C"/>
    <w:rsid w:val="00A772AC"/>
    <w:rsid w:val="00A7734E"/>
    <w:rsid w:val="00A80585"/>
    <w:rsid w:val="00A80A9B"/>
    <w:rsid w:val="00A80DEF"/>
    <w:rsid w:val="00A81CF9"/>
    <w:rsid w:val="00A820E5"/>
    <w:rsid w:val="00A82AC9"/>
    <w:rsid w:val="00A84094"/>
    <w:rsid w:val="00A84D1A"/>
    <w:rsid w:val="00A85345"/>
    <w:rsid w:val="00A863D4"/>
    <w:rsid w:val="00A86645"/>
    <w:rsid w:val="00A86B3E"/>
    <w:rsid w:val="00A878E1"/>
    <w:rsid w:val="00A90833"/>
    <w:rsid w:val="00A917B3"/>
    <w:rsid w:val="00A97048"/>
    <w:rsid w:val="00AA2D00"/>
    <w:rsid w:val="00AA3090"/>
    <w:rsid w:val="00AA3A8C"/>
    <w:rsid w:val="00AA548B"/>
    <w:rsid w:val="00AA6817"/>
    <w:rsid w:val="00AA7649"/>
    <w:rsid w:val="00AB0D03"/>
    <w:rsid w:val="00AB2887"/>
    <w:rsid w:val="00AB4F47"/>
    <w:rsid w:val="00AB5825"/>
    <w:rsid w:val="00AB5C90"/>
    <w:rsid w:val="00AB5FFC"/>
    <w:rsid w:val="00AB6721"/>
    <w:rsid w:val="00AB67F7"/>
    <w:rsid w:val="00AC101F"/>
    <w:rsid w:val="00AC1741"/>
    <w:rsid w:val="00AC5D3D"/>
    <w:rsid w:val="00AC6E29"/>
    <w:rsid w:val="00AC7532"/>
    <w:rsid w:val="00AC7712"/>
    <w:rsid w:val="00AC7CCF"/>
    <w:rsid w:val="00AD0D88"/>
    <w:rsid w:val="00AD0E51"/>
    <w:rsid w:val="00AD1C10"/>
    <w:rsid w:val="00AD3351"/>
    <w:rsid w:val="00AD3F73"/>
    <w:rsid w:val="00AD409E"/>
    <w:rsid w:val="00AD43A8"/>
    <w:rsid w:val="00AD4C08"/>
    <w:rsid w:val="00AD4CDC"/>
    <w:rsid w:val="00AD5349"/>
    <w:rsid w:val="00AD67BE"/>
    <w:rsid w:val="00AD6E20"/>
    <w:rsid w:val="00AD7D1D"/>
    <w:rsid w:val="00AE61F8"/>
    <w:rsid w:val="00AE72A9"/>
    <w:rsid w:val="00AE76D1"/>
    <w:rsid w:val="00AE7A86"/>
    <w:rsid w:val="00AF0284"/>
    <w:rsid w:val="00AF183C"/>
    <w:rsid w:val="00AF18A2"/>
    <w:rsid w:val="00AF1F14"/>
    <w:rsid w:val="00AF29F6"/>
    <w:rsid w:val="00AF362B"/>
    <w:rsid w:val="00AF57A7"/>
    <w:rsid w:val="00AF5AEC"/>
    <w:rsid w:val="00AF5B06"/>
    <w:rsid w:val="00AF5F1D"/>
    <w:rsid w:val="00AF6351"/>
    <w:rsid w:val="00AF683C"/>
    <w:rsid w:val="00AF7EAC"/>
    <w:rsid w:val="00B009DB"/>
    <w:rsid w:val="00B00E81"/>
    <w:rsid w:val="00B00F0B"/>
    <w:rsid w:val="00B01A0F"/>
    <w:rsid w:val="00B04852"/>
    <w:rsid w:val="00B04BA4"/>
    <w:rsid w:val="00B04FA3"/>
    <w:rsid w:val="00B06261"/>
    <w:rsid w:val="00B06B1F"/>
    <w:rsid w:val="00B06B51"/>
    <w:rsid w:val="00B06EC8"/>
    <w:rsid w:val="00B10216"/>
    <w:rsid w:val="00B1051F"/>
    <w:rsid w:val="00B1113F"/>
    <w:rsid w:val="00B116C3"/>
    <w:rsid w:val="00B11991"/>
    <w:rsid w:val="00B12241"/>
    <w:rsid w:val="00B12991"/>
    <w:rsid w:val="00B12EA6"/>
    <w:rsid w:val="00B13A92"/>
    <w:rsid w:val="00B13AF5"/>
    <w:rsid w:val="00B16767"/>
    <w:rsid w:val="00B173AF"/>
    <w:rsid w:val="00B22D29"/>
    <w:rsid w:val="00B22F31"/>
    <w:rsid w:val="00B25161"/>
    <w:rsid w:val="00B25438"/>
    <w:rsid w:val="00B25854"/>
    <w:rsid w:val="00B25895"/>
    <w:rsid w:val="00B26E18"/>
    <w:rsid w:val="00B32CFB"/>
    <w:rsid w:val="00B33815"/>
    <w:rsid w:val="00B342F8"/>
    <w:rsid w:val="00B345ED"/>
    <w:rsid w:val="00B34C58"/>
    <w:rsid w:val="00B35ED9"/>
    <w:rsid w:val="00B40686"/>
    <w:rsid w:val="00B430DE"/>
    <w:rsid w:val="00B43467"/>
    <w:rsid w:val="00B4357F"/>
    <w:rsid w:val="00B43ABB"/>
    <w:rsid w:val="00B43E23"/>
    <w:rsid w:val="00B465A7"/>
    <w:rsid w:val="00B46984"/>
    <w:rsid w:val="00B50B2F"/>
    <w:rsid w:val="00B511D6"/>
    <w:rsid w:val="00B52C16"/>
    <w:rsid w:val="00B5376D"/>
    <w:rsid w:val="00B57792"/>
    <w:rsid w:val="00B57B07"/>
    <w:rsid w:val="00B60C33"/>
    <w:rsid w:val="00B61930"/>
    <w:rsid w:val="00B61ACB"/>
    <w:rsid w:val="00B622DF"/>
    <w:rsid w:val="00B633F7"/>
    <w:rsid w:val="00B634F3"/>
    <w:rsid w:val="00B639C1"/>
    <w:rsid w:val="00B64C49"/>
    <w:rsid w:val="00B656A6"/>
    <w:rsid w:val="00B701EA"/>
    <w:rsid w:val="00B70D9D"/>
    <w:rsid w:val="00B7333C"/>
    <w:rsid w:val="00B758F1"/>
    <w:rsid w:val="00B8104E"/>
    <w:rsid w:val="00B81F17"/>
    <w:rsid w:val="00B82E67"/>
    <w:rsid w:val="00B83318"/>
    <w:rsid w:val="00B84948"/>
    <w:rsid w:val="00B84F33"/>
    <w:rsid w:val="00B85609"/>
    <w:rsid w:val="00B85B1C"/>
    <w:rsid w:val="00B87887"/>
    <w:rsid w:val="00B87FC0"/>
    <w:rsid w:val="00B90430"/>
    <w:rsid w:val="00B90A10"/>
    <w:rsid w:val="00B91DDD"/>
    <w:rsid w:val="00B921A3"/>
    <w:rsid w:val="00B95638"/>
    <w:rsid w:val="00B95BF2"/>
    <w:rsid w:val="00B95E49"/>
    <w:rsid w:val="00BA022D"/>
    <w:rsid w:val="00BA06D4"/>
    <w:rsid w:val="00BA0F34"/>
    <w:rsid w:val="00BA160C"/>
    <w:rsid w:val="00BA2C76"/>
    <w:rsid w:val="00BA35B7"/>
    <w:rsid w:val="00BA3AA5"/>
    <w:rsid w:val="00BA45F0"/>
    <w:rsid w:val="00BA4EF5"/>
    <w:rsid w:val="00BA521D"/>
    <w:rsid w:val="00BA6053"/>
    <w:rsid w:val="00BA69C3"/>
    <w:rsid w:val="00BA7915"/>
    <w:rsid w:val="00BA7F0C"/>
    <w:rsid w:val="00BB00DC"/>
    <w:rsid w:val="00BB0F71"/>
    <w:rsid w:val="00BB11B3"/>
    <w:rsid w:val="00BB2B38"/>
    <w:rsid w:val="00BB3AFC"/>
    <w:rsid w:val="00BB3E1F"/>
    <w:rsid w:val="00BB5635"/>
    <w:rsid w:val="00BB68F1"/>
    <w:rsid w:val="00BB6F91"/>
    <w:rsid w:val="00BB7F5C"/>
    <w:rsid w:val="00BB7FD5"/>
    <w:rsid w:val="00BC0C78"/>
    <w:rsid w:val="00BC509E"/>
    <w:rsid w:val="00BC5DB3"/>
    <w:rsid w:val="00BC5E85"/>
    <w:rsid w:val="00BD4713"/>
    <w:rsid w:val="00BD497E"/>
    <w:rsid w:val="00BD5A44"/>
    <w:rsid w:val="00BD6CB2"/>
    <w:rsid w:val="00BE03B1"/>
    <w:rsid w:val="00BE075A"/>
    <w:rsid w:val="00BE0BAF"/>
    <w:rsid w:val="00BE2BF1"/>
    <w:rsid w:val="00BE3065"/>
    <w:rsid w:val="00BE3A48"/>
    <w:rsid w:val="00BE426F"/>
    <w:rsid w:val="00BE52E9"/>
    <w:rsid w:val="00BE62EE"/>
    <w:rsid w:val="00BE6598"/>
    <w:rsid w:val="00BE6DA2"/>
    <w:rsid w:val="00BE76EE"/>
    <w:rsid w:val="00BF180A"/>
    <w:rsid w:val="00BF3337"/>
    <w:rsid w:val="00BF46E3"/>
    <w:rsid w:val="00BF48BB"/>
    <w:rsid w:val="00BF536E"/>
    <w:rsid w:val="00BF616A"/>
    <w:rsid w:val="00BF73A6"/>
    <w:rsid w:val="00BF7C01"/>
    <w:rsid w:val="00C01910"/>
    <w:rsid w:val="00C027E8"/>
    <w:rsid w:val="00C02D6D"/>
    <w:rsid w:val="00C03B27"/>
    <w:rsid w:val="00C03B42"/>
    <w:rsid w:val="00C03FD0"/>
    <w:rsid w:val="00C05D78"/>
    <w:rsid w:val="00C05E88"/>
    <w:rsid w:val="00C0634F"/>
    <w:rsid w:val="00C10E47"/>
    <w:rsid w:val="00C11064"/>
    <w:rsid w:val="00C1108F"/>
    <w:rsid w:val="00C1145B"/>
    <w:rsid w:val="00C129B5"/>
    <w:rsid w:val="00C136E0"/>
    <w:rsid w:val="00C15A14"/>
    <w:rsid w:val="00C178B2"/>
    <w:rsid w:val="00C2162B"/>
    <w:rsid w:val="00C22874"/>
    <w:rsid w:val="00C22CFA"/>
    <w:rsid w:val="00C2333C"/>
    <w:rsid w:val="00C25D59"/>
    <w:rsid w:val="00C263E1"/>
    <w:rsid w:val="00C30F16"/>
    <w:rsid w:val="00C31AD7"/>
    <w:rsid w:val="00C32718"/>
    <w:rsid w:val="00C33001"/>
    <w:rsid w:val="00C33BE6"/>
    <w:rsid w:val="00C34E1D"/>
    <w:rsid w:val="00C36E67"/>
    <w:rsid w:val="00C4039D"/>
    <w:rsid w:val="00C40868"/>
    <w:rsid w:val="00C409B0"/>
    <w:rsid w:val="00C41881"/>
    <w:rsid w:val="00C42F00"/>
    <w:rsid w:val="00C438ED"/>
    <w:rsid w:val="00C450C0"/>
    <w:rsid w:val="00C451F0"/>
    <w:rsid w:val="00C452E3"/>
    <w:rsid w:val="00C45D41"/>
    <w:rsid w:val="00C466BB"/>
    <w:rsid w:val="00C46F70"/>
    <w:rsid w:val="00C47511"/>
    <w:rsid w:val="00C50258"/>
    <w:rsid w:val="00C50519"/>
    <w:rsid w:val="00C50DAD"/>
    <w:rsid w:val="00C518C6"/>
    <w:rsid w:val="00C52686"/>
    <w:rsid w:val="00C52862"/>
    <w:rsid w:val="00C538B3"/>
    <w:rsid w:val="00C53D7F"/>
    <w:rsid w:val="00C54087"/>
    <w:rsid w:val="00C55A31"/>
    <w:rsid w:val="00C561B5"/>
    <w:rsid w:val="00C56D8D"/>
    <w:rsid w:val="00C60D19"/>
    <w:rsid w:val="00C6151F"/>
    <w:rsid w:val="00C61B1D"/>
    <w:rsid w:val="00C62DE8"/>
    <w:rsid w:val="00C6371E"/>
    <w:rsid w:val="00C6401B"/>
    <w:rsid w:val="00C658F0"/>
    <w:rsid w:val="00C66917"/>
    <w:rsid w:val="00C66BCA"/>
    <w:rsid w:val="00C70430"/>
    <w:rsid w:val="00C740DD"/>
    <w:rsid w:val="00C76627"/>
    <w:rsid w:val="00C76AEE"/>
    <w:rsid w:val="00C805E0"/>
    <w:rsid w:val="00C809FF"/>
    <w:rsid w:val="00C84DED"/>
    <w:rsid w:val="00C8573E"/>
    <w:rsid w:val="00C91DAF"/>
    <w:rsid w:val="00C92847"/>
    <w:rsid w:val="00C936E1"/>
    <w:rsid w:val="00C944F9"/>
    <w:rsid w:val="00C94F69"/>
    <w:rsid w:val="00C9558B"/>
    <w:rsid w:val="00C95804"/>
    <w:rsid w:val="00C95CDC"/>
    <w:rsid w:val="00C95DC6"/>
    <w:rsid w:val="00C9650E"/>
    <w:rsid w:val="00C97BA5"/>
    <w:rsid w:val="00CA2C75"/>
    <w:rsid w:val="00CA2DE5"/>
    <w:rsid w:val="00CA36D9"/>
    <w:rsid w:val="00CA5D3D"/>
    <w:rsid w:val="00CA636B"/>
    <w:rsid w:val="00CA70C5"/>
    <w:rsid w:val="00CB0F42"/>
    <w:rsid w:val="00CB130C"/>
    <w:rsid w:val="00CB1504"/>
    <w:rsid w:val="00CB1CC8"/>
    <w:rsid w:val="00CB4801"/>
    <w:rsid w:val="00CB5478"/>
    <w:rsid w:val="00CB65CB"/>
    <w:rsid w:val="00CB6A42"/>
    <w:rsid w:val="00CB7E6E"/>
    <w:rsid w:val="00CC0A8C"/>
    <w:rsid w:val="00CC18FF"/>
    <w:rsid w:val="00CC1A14"/>
    <w:rsid w:val="00CC46BA"/>
    <w:rsid w:val="00CC73EF"/>
    <w:rsid w:val="00CD09D9"/>
    <w:rsid w:val="00CD1C4A"/>
    <w:rsid w:val="00CD240A"/>
    <w:rsid w:val="00CD39F6"/>
    <w:rsid w:val="00CD4CD0"/>
    <w:rsid w:val="00CD5E8D"/>
    <w:rsid w:val="00CD60CD"/>
    <w:rsid w:val="00CE0368"/>
    <w:rsid w:val="00CE0EB4"/>
    <w:rsid w:val="00CE49AC"/>
    <w:rsid w:val="00CE4F49"/>
    <w:rsid w:val="00CE603F"/>
    <w:rsid w:val="00CE6196"/>
    <w:rsid w:val="00CE7A20"/>
    <w:rsid w:val="00CF0078"/>
    <w:rsid w:val="00CF010A"/>
    <w:rsid w:val="00CF126E"/>
    <w:rsid w:val="00CF1C46"/>
    <w:rsid w:val="00CF2362"/>
    <w:rsid w:val="00CF2BC1"/>
    <w:rsid w:val="00CF4712"/>
    <w:rsid w:val="00CF5D56"/>
    <w:rsid w:val="00CF6B5B"/>
    <w:rsid w:val="00CF7EE2"/>
    <w:rsid w:val="00D01490"/>
    <w:rsid w:val="00D02F3C"/>
    <w:rsid w:val="00D049E6"/>
    <w:rsid w:val="00D04C62"/>
    <w:rsid w:val="00D05E86"/>
    <w:rsid w:val="00D106F8"/>
    <w:rsid w:val="00D12516"/>
    <w:rsid w:val="00D12A65"/>
    <w:rsid w:val="00D13A7D"/>
    <w:rsid w:val="00D143E6"/>
    <w:rsid w:val="00D155B7"/>
    <w:rsid w:val="00D176F3"/>
    <w:rsid w:val="00D21330"/>
    <w:rsid w:val="00D21D48"/>
    <w:rsid w:val="00D21E2D"/>
    <w:rsid w:val="00D26FC2"/>
    <w:rsid w:val="00D305C4"/>
    <w:rsid w:val="00D31F15"/>
    <w:rsid w:val="00D320D4"/>
    <w:rsid w:val="00D3285B"/>
    <w:rsid w:val="00D3444A"/>
    <w:rsid w:val="00D34872"/>
    <w:rsid w:val="00D359C9"/>
    <w:rsid w:val="00D35C9A"/>
    <w:rsid w:val="00D36057"/>
    <w:rsid w:val="00D36A26"/>
    <w:rsid w:val="00D37687"/>
    <w:rsid w:val="00D40A74"/>
    <w:rsid w:val="00D43586"/>
    <w:rsid w:val="00D44257"/>
    <w:rsid w:val="00D453C3"/>
    <w:rsid w:val="00D45842"/>
    <w:rsid w:val="00D46999"/>
    <w:rsid w:val="00D47665"/>
    <w:rsid w:val="00D47FD0"/>
    <w:rsid w:val="00D5239F"/>
    <w:rsid w:val="00D52FCF"/>
    <w:rsid w:val="00D530BE"/>
    <w:rsid w:val="00D54F96"/>
    <w:rsid w:val="00D60723"/>
    <w:rsid w:val="00D62E04"/>
    <w:rsid w:val="00D63580"/>
    <w:rsid w:val="00D63B73"/>
    <w:rsid w:val="00D659C1"/>
    <w:rsid w:val="00D664A5"/>
    <w:rsid w:val="00D668D7"/>
    <w:rsid w:val="00D710E6"/>
    <w:rsid w:val="00D71847"/>
    <w:rsid w:val="00D7266B"/>
    <w:rsid w:val="00D74AA5"/>
    <w:rsid w:val="00D759E3"/>
    <w:rsid w:val="00D76140"/>
    <w:rsid w:val="00D76E92"/>
    <w:rsid w:val="00D815A9"/>
    <w:rsid w:val="00D81DFF"/>
    <w:rsid w:val="00D82368"/>
    <w:rsid w:val="00D8277A"/>
    <w:rsid w:val="00D8490A"/>
    <w:rsid w:val="00D85906"/>
    <w:rsid w:val="00D85A7B"/>
    <w:rsid w:val="00D867C9"/>
    <w:rsid w:val="00D87F6D"/>
    <w:rsid w:val="00D90370"/>
    <w:rsid w:val="00D91449"/>
    <w:rsid w:val="00D930DC"/>
    <w:rsid w:val="00D95030"/>
    <w:rsid w:val="00D956FE"/>
    <w:rsid w:val="00D95F7B"/>
    <w:rsid w:val="00D9677A"/>
    <w:rsid w:val="00D97B3A"/>
    <w:rsid w:val="00DA10F2"/>
    <w:rsid w:val="00DA1E98"/>
    <w:rsid w:val="00DA1EAB"/>
    <w:rsid w:val="00DA3EDC"/>
    <w:rsid w:val="00DA67CF"/>
    <w:rsid w:val="00DA74DE"/>
    <w:rsid w:val="00DA7CE8"/>
    <w:rsid w:val="00DB010D"/>
    <w:rsid w:val="00DB26C5"/>
    <w:rsid w:val="00DB3F3B"/>
    <w:rsid w:val="00DB4D6D"/>
    <w:rsid w:val="00DB5B0F"/>
    <w:rsid w:val="00DB7029"/>
    <w:rsid w:val="00DB75E7"/>
    <w:rsid w:val="00DC2FB4"/>
    <w:rsid w:val="00DC455D"/>
    <w:rsid w:val="00DC4908"/>
    <w:rsid w:val="00DC6766"/>
    <w:rsid w:val="00DC714D"/>
    <w:rsid w:val="00DC7E19"/>
    <w:rsid w:val="00DD05DB"/>
    <w:rsid w:val="00DD081E"/>
    <w:rsid w:val="00DD0C11"/>
    <w:rsid w:val="00DD0EDB"/>
    <w:rsid w:val="00DD0FDA"/>
    <w:rsid w:val="00DD1910"/>
    <w:rsid w:val="00DD3A14"/>
    <w:rsid w:val="00DD5029"/>
    <w:rsid w:val="00DD704B"/>
    <w:rsid w:val="00DD73FC"/>
    <w:rsid w:val="00DE28BD"/>
    <w:rsid w:val="00DE4372"/>
    <w:rsid w:val="00DE7426"/>
    <w:rsid w:val="00DE757A"/>
    <w:rsid w:val="00DE759A"/>
    <w:rsid w:val="00DF13FF"/>
    <w:rsid w:val="00DF58EA"/>
    <w:rsid w:val="00DF789A"/>
    <w:rsid w:val="00E00222"/>
    <w:rsid w:val="00E011C1"/>
    <w:rsid w:val="00E02994"/>
    <w:rsid w:val="00E04B05"/>
    <w:rsid w:val="00E06653"/>
    <w:rsid w:val="00E10146"/>
    <w:rsid w:val="00E13DAC"/>
    <w:rsid w:val="00E15FFF"/>
    <w:rsid w:val="00E175F7"/>
    <w:rsid w:val="00E222A1"/>
    <w:rsid w:val="00E26C02"/>
    <w:rsid w:val="00E27F27"/>
    <w:rsid w:val="00E308E1"/>
    <w:rsid w:val="00E30AE9"/>
    <w:rsid w:val="00E3463E"/>
    <w:rsid w:val="00E37DE6"/>
    <w:rsid w:val="00E40B16"/>
    <w:rsid w:val="00E40D73"/>
    <w:rsid w:val="00E40F98"/>
    <w:rsid w:val="00E41581"/>
    <w:rsid w:val="00E41E2B"/>
    <w:rsid w:val="00E42E49"/>
    <w:rsid w:val="00E45418"/>
    <w:rsid w:val="00E5033E"/>
    <w:rsid w:val="00E50F7D"/>
    <w:rsid w:val="00E51D34"/>
    <w:rsid w:val="00E52564"/>
    <w:rsid w:val="00E528A7"/>
    <w:rsid w:val="00E52C9A"/>
    <w:rsid w:val="00E539F1"/>
    <w:rsid w:val="00E54664"/>
    <w:rsid w:val="00E55DC2"/>
    <w:rsid w:val="00E55F88"/>
    <w:rsid w:val="00E56A1D"/>
    <w:rsid w:val="00E570BE"/>
    <w:rsid w:val="00E57D50"/>
    <w:rsid w:val="00E60DBA"/>
    <w:rsid w:val="00E614DE"/>
    <w:rsid w:val="00E61786"/>
    <w:rsid w:val="00E61A8C"/>
    <w:rsid w:val="00E6232F"/>
    <w:rsid w:val="00E623E4"/>
    <w:rsid w:val="00E63931"/>
    <w:rsid w:val="00E651B3"/>
    <w:rsid w:val="00E65E6F"/>
    <w:rsid w:val="00E66748"/>
    <w:rsid w:val="00E66C32"/>
    <w:rsid w:val="00E66D13"/>
    <w:rsid w:val="00E670C3"/>
    <w:rsid w:val="00E67874"/>
    <w:rsid w:val="00E67DE4"/>
    <w:rsid w:val="00E70621"/>
    <w:rsid w:val="00E70E75"/>
    <w:rsid w:val="00E71DAA"/>
    <w:rsid w:val="00E71E69"/>
    <w:rsid w:val="00E72307"/>
    <w:rsid w:val="00E7234F"/>
    <w:rsid w:val="00E725E8"/>
    <w:rsid w:val="00E73EEC"/>
    <w:rsid w:val="00E73FE0"/>
    <w:rsid w:val="00E74E90"/>
    <w:rsid w:val="00E75CA2"/>
    <w:rsid w:val="00E75DCB"/>
    <w:rsid w:val="00E76B08"/>
    <w:rsid w:val="00E772D4"/>
    <w:rsid w:val="00E813EA"/>
    <w:rsid w:val="00E85F2E"/>
    <w:rsid w:val="00E871EE"/>
    <w:rsid w:val="00E904C6"/>
    <w:rsid w:val="00E927C1"/>
    <w:rsid w:val="00E93533"/>
    <w:rsid w:val="00E93B1D"/>
    <w:rsid w:val="00E94835"/>
    <w:rsid w:val="00E95BAC"/>
    <w:rsid w:val="00E96DBF"/>
    <w:rsid w:val="00E96FBB"/>
    <w:rsid w:val="00E9721C"/>
    <w:rsid w:val="00E97569"/>
    <w:rsid w:val="00E97D2A"/>
    <w:rsid w:val="00EA03A6"/>
    <w:rsid w:val="00EA087A"/>
    <w:rsid w:val="00EA16DD"/>
    <w:rsid w:val="00EA2F67"/>
    <w:rsid w:val="00EA5B88"/>
    <w:rsid w:val="00EA6365"/>
    <w:rsid w:val="00EA6F3A"/>
    <w:rsid w:val="00EB183E"/>
    <w:rsid w:val="00EB3179"/>
    <w:rsid w:val="00EB3868"/>
    <w:rsid w:val="00EB3B96"/>
    <w:rsid w:val="00EB3CA2"/>
    <w:rsid w:val="00EB3E45"/>
    <w:rsid w:val="00EB4FDD"/>
    <w:rsid w:val="00EB588F"/>
    <w:rsid w:val="00EB5F90"/>
    <w:rsid w:val="00EB674D"/>
    <w:rsid w:val="00EB7426"/>
    <w:rsid w:val="00EC19A6"/>
    <w:rsid w:val="00EC2DAE"/>
    <w:rsid w:val="00EC2DCF"/>
    <w:rsid w:val="00EC3A5E"/>
    <w:rsid w:val="00EC4D7E"/>
    <w:rsid w:val="00EC5553"/>
    <w:rsid w:val="00EC62A8"/>
    <w:rsid w:val="00EC6A49"/>
    <w:rsid w:val="00ED05BC"/>
    <w:rsid w:val="00ED05DC"/>
    <w:rsid w:val="00ED2695"/>
    <w:rsid w:val="00ED3358"/>
    <w:rsid w:val="00ED39A8"/>
    <w:rsid w:val="00ED3A3E"/>
    <w:rsid w:val="00ED5091"/>
    <w:rsid w:val="00ED64CD"/>
    <w:rsid w:val="00ED7059"/>
    <w:rsid w:val="00EE0154"/>
    <w:rsid w:val="00EE015D"/>
    <w:rsid w:val="00EE228B"/>
    <w:rsid w:val="00EE37F6"/>
    <w:rsid w:val="00EE3C9D"/>
    <w:rsid w:val="00EE6DE5"/>
    <w:rsid w:val="00EE74A2"/>
    <w:rsid w:val="00EE7A04"/>
    <w:rsid w:val="00EF0470"/>
    <w:rsid w:val="00EF12CB"/>
    <w:rsid w:val="00EF388E"/>
    <w:rsid w:val="00EF470B"/>
    <w:rsid w:val="00EF5A2A"/>
    <w:rsid w:val="00EF710F"/>
    <w:rsid w:val="00EF7287"/>
    <w:rsid w:val="00F0068E"/>
    <w:rsid w:val="00F007CE"/>
    <w:rsid w:val="00F009A6"/>
    <w:rsid w:val="00F00BB1"/>
    <w:rsid w:val="00F012BE"/>
    <w:rsid w:val="00F018BA"/>
    <w:rsid w:val="00F0298B"/>
    <w:rsid w:val="00F0611A"/>
    <w:rsid w:val="00F06AC4"/>
    <w:rsid w:val="00F06E7B"/>
    <w:rsid w:val="00F06ED3"/>
    <w:rsid w:val="00F1004A"/>
    <w:rsid w:val="00F10587"/>
    <w:rsid w:val="00F114A8"/>
    <w:rsid w:val="00F11FC5"/>
    <w:rsid w:val="00F13BBF"/>
    <w:rsid w:val="00F1421B"/>
    <w:rsid w:val="00F144D8"/>
    <w:rsid w:val="00F15181"/>
    <w:rsid w:val="00F157DF"/>
    <w:rsid w:val="00F1601C"/>
    <w:rsid w:val="00F1611A"/>
    <w:rsid w:val="00F16460"/>
    <w:rsid w:val="00F16B3F"/>
    <w:rsid w:val="00F212A8"/>
    <w:rsid w:val="00F21C0C"/>
    <w:rsid w:val="00F21D36"/>
    <w:rsid w:val="00F23A1A"/>
    <w:rsid w:val="00F23CA2"/>
    <w:rsid w:val="00F24438"/>
    <w:rsid w:val="00F248A9"/>
    <w:rsid w:val="00F24B8A"/>
    <w:rsid w:val="00F24BCE"/>
    <w:rsid w:val="00F26A7D"/>
    <w:rsid w:val="00F26D48"/>
    <w:rsid w:val="00F27AFB"/>
    <w:rsid w:val="00F312CE"/>
    <w:rsid w:val="00F322D6"/>
    <w:rsid w:val="00F33617"/>
    <w:rsid w:val="00F33DB8"/>
    <w:rsid w:val="00F34999"/>
    <w:rsid w:val="00F34FB5"/>
    <w:rsid w:val="00F34FF5"/>
    <w:rsid w:val="00F35C2B"/>
    <w:rsid w:val="00F401BE"/>
    <w:rsid w:val="00F40C4F"/>
    <w:rsid w:val="00F413B8"/>
    <w:rsid w:val="00F424C9"/>
    <w:rsid w:val="00F42FEE"/>
    <w:rsid w:val="00F43042"/>
    <w:rsid w:val="00F446ED"/>
    <w:rsid w:val="00F45AAC"/>
    <w:rsid w:val="00F475B8"/>
    <w:rsid w:val="00F53BEB"/>
    <w:rsid w:val="00F54B5A"/>
    <w:rsid w:val="00F557A9"/>
    <w:rsid w:val="00F5658A"/>
    <w:rsid w:val="00F57272"/>
    <w:rsid w:val="00F57650"/>
    <w:rsid w:val="00F60AC1"/>
    <w:rsid w:val="00F63EAA"/>
    <w:rsid w:val="00F63FA4"/>
    <w:rsid w:val="00F66ED5"/>
    <w:rsid w:val="00F679D9"/>
    <w:rsid w:val="00F7084A"/>
    <w:rsid w:val="00F73A7E"/>
    <w:rsid w:val="00F74B61"/>
    <w:rsid w:val="00F74C62"/>
    <w:rsid w:val="00F74D26"/>
    <w:rsid w:val="00F75E10"/>
    <w:rsid w:val="00F7604A"/>
    <w:rsid w:val="00F76473"/>
    <w:rsid w:val="00F76EAC"/>
    <w:rsid w:val="00F77C74"/>
    <w:rsid w:val="00F77D9B"/>
    <w:rsid w:val="00F77E8D"/>
    <w:rsid w:val="00F80A9B"/>
    <w:rsid w:val="00F80F97"/>
    <w:rsid w:val="00F815B0"/>
    <w:rsid w:val="00F822E1"/>
    <w:rsid w:val="00F82A59"/>
    <w:rsid w:val="00F82DE9"/>
    <w:rsid w:val="00F83823"/>
    <w:rsid w:val="00F83F7F"/>
    <w:rsid w:val="00F84B02"/>
    <w:rsid w:val="00F84D83"/>
    <w:rsid w:val="00F863BB"/>
    <w:rsid w:val="00F86BB1"/>
    <w:rsid w:val="00F907CD"/>
    <w:rsid w:val="00F90807"/>
    <w:rsid w:val="00F9090F"/>
    <w:rsid w:val="00F90CEC"/>
    <w:rsid w:val="00F92309"/>
    <w:rsid w:val="00F93A63"/>
    <w:rsid w:val="00F93F4A"/>
    <w:rsid w:val="00F94965"/>
    <w:rsid w:val="00F94F9A"/>
    <w:rsid w:val="00F95D95"/>
    <w:rsid w:val="00F9620F"/>
    <w:rsid w:val="00F969AA"/>
    <w:rsid w:val="00F96B39"/>
    <w:rsid w:val="00F97BFA"/>
    <w:rsid w:val="00F97D27"/>
    <w:rsid w:val="00FA1E2C"/>
    <w:rsid w:val="00FA712E"/>
    <w:rsid w:val="00FA7671"/>
    <w:rsid w:val="00FB2FB3"/>
    <w:rsid w:val="00FB4A29"/>
    <w:rsid w:val="00FB51FD"/>
    <w:rsid w:val="00FB5412"/>
    <w:rsid w:val="00FB5801"/>
    <w:rsid w:val="00FB74D1"/>
    <w:rsid w:val="00FB77C7"/>
    <w:rsid w:val="00FB796B"/>
    <w:rsid w:val="00FB7BB8"/>
    <w:rsid w:val="00FC1751"/>
    <w:rsid w:val="00FC17C7"/>
    <w:rsid w:val="00FC2485"/>
    <w:rsid w:val="00FC311A"/>
    <w:rsid w:val="00FC3DAB"/>
    <w:rsid w:val="00FC47F8"/>
    <w:rsid w:val="00FC5012"/>
    <w:rsid w:val="00FC5CFA"/>
    <w:rsid w:val="00FC7BFA"/>
    <w:rsid w:val="00FD07DD"/>
    <w:rsid w:val="00FD105F"/>
    <w:rsid w:val="00FD132D"/>
    <w:rsid w:val="00FD2B49"/>
    <w:rsid w:val="00FD3457"/>
    <w:rsid w:val="00FD536A"/>
    <w:rsid w:val="00FD7121"/>
    <w:rsid w:val="00FE0035"/>
    <w:rsid w:val="00FE00DB"/>
    <w:rsid w:val="00FE07FB"/>
    <w:rsid w:val="00FE0920"/>
    <w:rsid w:val="00FE2C91"/>
    <w:rsid w:val="00FE321F"/>
    <w:rsid w:val="00FE35BE"/>
    <w:rsid w:val="00FE38B5"/>
    <w:rsid w:val="00FE50FC"/>
    <w:rsid w:val="00FF0D26"/>
    <w:rsid w:val="00FF111F"/>
    <w:rsid w:val="00FF29B7"/>
    <w:rsid w:val="00FF2BA4"/>
    <w:rsid w:val="00FF48B3"/>
    <w:rsid w:val="00FF4A1A"/>
    <w:rsid w:val="00FF568E"/>
    <w:rsid w:val="00FF6B2F"/>
    <w:rsid w:val="56F12570"/>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qFormat="1"/>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qFormat="1"/>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autoRedefine/>
    <w:uiPriority w:val="9"/>
    <w:qFormat/>
    <w:pPr>
      <w:keepNext/>
      <w:keepLines/>
      <w:spacing w:line="440" w:lineRule="exact"/>
      <w:jc w:val="center"/>
      <w:outlineLvl w:val="0"/>
    </w:pPr>
    <w:rPr>
      <w:rFonts w:eastAsia="黑体"/>
      <w:bCs/>
      <w:kern w:val="44"/>
      <w:sz w:val="36"/>
      <w:szCs w:val="44"/>
    </w:rPr>
  </w:style>
  <w:style w:type="paragraph" w:styleId="Heading2">
    <w:name w:val="heading 2"/>
    <w:basedOn w:val="Normal"/>
    <w:next w:val="Normal"/>
    <w:link w:val="2"/>
    <w:autoRedefine/>
    <w:uiPriority w:val="9"/>
    <w:unhideWhenUsed/>
    <w:qFormat/>
    <w:pPr>
      <w:keepNext/>
      <w:keepLines/>
      <w:spacing w:line="440" w:lineRule="exact"/>
      <w:jc w:val="left"/>
      <w:outlineLvl w:val="1"/>
    </w:pPr>
    <w:rPr>
      <w:rFonts w:eastAsia="黑体" w:asciiTheme="majorHAnsi" w:hAnsiTheme="majorHAnsi" w:cstheme="majorBidi"/>
      <w:bCs/>
      <w:sz w:val="24"/>
      <w:szCs w:val="32"/>
    </w:rPr>
  </w:style>
  <w:style w:type="paragraph" w:styleId="Heading3">
    <w:name w:val="heading 3"/>
    <w:basedOn w:val="Normal"/>
    <w:next w:val="Normal"/>
    <w:link w:val="3"/>
    <w:autoRedefine/>
    <w:uiPriority w:val="9"/>
    <w:unhideWhenUsed/>
    <w:qFormat/>
    <w:pPr>
      <w:keepNext/>
      <w:keepLines/>
      <w:spacing w:line="440" w:lineRule="exact"/>
      <w:jc w:val="left"/>
      <w:outlineLvl w:val="2"/>
    </w:pPr>
    <w:rPr>
      <w:rFonts w:eastAsia="黑体"/>
      <w:bCs/>
      <w:sz w:val="24"/>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3">
    <w:name w:val="toc 3"/>
    <w:basedOn w:val="Normal"/>
    <w:next w:val="Normal"/>
    <w:autoRedefine/>
    <w:uiPriority w:val="39"/>
    <w:unhideWhenUsed/>
    <w:qFormat/>
    <w:pPr>
      <w:spacing w:line="440" w:lineRule="exact"/>
      <w:ind w:left="400" w:leftChars="400"/>
      <w:jc w:val="distribute"/>
    </w:pPr>
    <w:rPr>
      <w:rFonts w:eastAsia="黑体"/>
      <w:sz w:val="2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spacing w:line="440" w:lineRule="exact"/>
      <w:jc w:val="distribute"/>
    </w:pPr>
    <w:rPr>
      <w:rFonts w:eastAsia="黑体"/>
      <w:sz w:val="28"/>
    </w:rPr>
  </w:style>
  <w:style w:type="paragraph" w:styleId="FootnoteText">
    <w:name w:val="footnote text"/>
    <w:basedOn w:val="Normal"/>
    <w:link w:val="a1"/>
    <w:autoRedefine/>
    <w:uiPriority w:val="99"/>
    <w:semiHidden/>
    <w:unhideWhenUsed/>
    <w:qFormat/>
    <w:pPr>
      <w:snapToGrid w:val="0"/>
      <w:jc w:val="left"/>
    </w:pPr>
    <w:rPr>
      <w:sz w:val="18"/>
      <w:szCs w:val="18"/>
    </w:rPr>
  </w:style>
  <w:style w:type="paragraph" w:styleId="TOC2">
    <w:name w:val="toc 2"/>
    <w:basedOn w:val="Normal"/>
    <w:next w:val="Normal"/>
    <w:autoRedefine/>
    <w:uiPriority w:val="39"/>
    <w:unhideWhenUsed/>
    <w:qFormat/>
    <w:pPr>
      <w:spacing w:line="440" w:lineRule="exact"/>
      <w:ind w:left="200" w:leftChars="200"/>
      <w:jc w:val="distribute"/>
    </w:pPr>
    <w:rPr>
      <w:rFonts w:eastAsia="黑体"/>
      <w:sz w:val="28"/>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utoRedefine/>
    <w:uiPriority w:val="99"/>
    <w:qFormat/>
    <w:rPr>
      <w:color w:val="0000FF"/>
      <w:u w:val="single"/>
    </w:rPr>
  </w:style>
  <w:style w:type="character" w:styleId="FootnoteReference">
    <w:name w:val="footnote reference"/>
    <w:basedOn w:val="DefaultParagraphFont"/>
    <w:autoRedefine/>
    <w:uiPriority w:val="99"/>
    <w:semiHidden/>
    <w:unhideWhenUsed/>
    <w:qFormat/>
    <w:rPr>
      <w:vertAlign w:val="superscript"/>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脚注文本 字符"/>
    <w:basedOn w:val="DefaultParagraphFont"/>
    <w:link w:val="FootnoteText"/>
    <w:autoRedefine/>
    <w:uiPriority w:val="99"/>
    <w:semiHidden/>
    <w:qFormat/>
    <w:rPr>
      <w:sz w:val="18"/>
      <w:szCs w:val="18"/>
    </w:rPr>
  </w:style>
  <w:style w:type="paragraph" w:customStyle="1" w:styleId="Style15">
    <w:name w:val="_Style 15"/>
    <w:basedOn w:val="Normal"/>
    <w:next w:val="Normal"/>
    <w:autoRedefine/>
    <w:qFormat/>
    <w:rPr>
      <w:rFonts w:ascii="Times New Roman" w:eastAsia="宋体" w:hAnsi="Times New Roman" w:cs="Times New Roman"/>
      <w:szCs w:val="24"/>
    </w:rPr>
  </w:style>
  <w:style w:type="table" w:customStyle="1" w:styleId="GridTable5DarkAccent1">
    <w:name w:val="Grid Table 5 Dark Accent 1"/>
    <w:basedOn w:val="TableNormal"/>
    <w:autoRedefine/>
    <w:uiPriority w:val="50"/>
    <w:qFormat/>
    <w:tblPr>
      <w:tblBorders>
        <w:top w:val="single" w:sz="4" w:space="0" w:color="CCE8CF" w:themeColor="background1"/>
        <w:left w:val="single" w:sz="4" w:space="0" w:color="CCE8CF" w:themeColor="background1"/>
        <w:bottom w:val="single" w:sz="4" w:space="0" w:color="CCE8CF" w:themeColor="background1"/>
        <w:right w:val="single" w:sz="4" w:space="0" w:color="CCE8CF" w:themeColor="background1"/>
        <w:insideH w:val="single" w:sz="4" w:space="0" w:color="CCE8CF" w:themeColor="background1"/>
        <w:insideV w:val="single" w:sz="4" w:space="0" w:color="CCE8CF" w:themeColor="background1"/>
      </w:tblBorders>
    </w:tblPr>
    <w:tcPr>
      <w:shd w:val="clear" w:color="auto" w:fill="DBE5F1" w:themeFill="accent1" w:themeFillTint="33"/>
    </w:tcPr>
    <w:tblStylePr w:type="firstRow">
      <w:rPr>
        <w:b/>
        <w:bCs/>
        <w:color w:val="FFFFFF" w:themeColor="background1"/>
        <w14:textFill>
          <w14:solidFill>
            <w14:schemeClr w14:val="bg1"/>
          </w14:solidFill>
        </w14:textFill>
      </w:rPr>
      <w:tblPr/>
      <w:tcPr>
        <w:tcBorders>
          <w:top w:val="single" w:sz="4" w:space="0" w:color="CCE8CF" w:themeColor="background1"/>
          <w:left w:val="single" w:sz="4" w:space="0" w:color="CCE8CF" w:themeColor="background1"/>
          <w:right w:val="single" w:sz="4" w:space="0" w:color="CCE8CF" w:themeColor="background1"/>
          <w:insideH w:val="nil"/>
          <w:insideV w:val="nil"/>
        </w:tcBorders>
        <w:shd w:val="clear" w:color="auto" w:fill="4F81BD" w:themeFill="accent1"/>
      </w:tcPr>
    </w:tblStylePr>
    <w:tblStylePr w:type="lastRow">
      <w:rPr>
        <w:b/>
        <w:bCs/>
        <w:color w:val="FFFFFF" w:themeColor="background1"/>
        <w14:textFill>
          <w14:solidFill>
            <w14:schemeClr w14:val="bg1"/>
          </w14:solidFill>
        </w14:textFill>
      </w:rPr>
      <w:tblPr/>
      <w:tcPr>
        <w:tcBorders>
          <w:left w:val="single" w:sz="4" w:space="0" w:color="CCE8CF" w:themeColor="background1"/>
          <w:bottom w:val="single" w:sz="4" w:space="0" w:color="CCE8CF" w:themeColor="background1"/>
          <w:right w:val="single" w:sz="4" w:space="0" w:color="CCE8CF" w:themeColor="background1"/>
          <w:insideH w:val="nil"/>
          <w:insideV w:val="nil"/>
        </w:tcBorders>
        <w:shd w:val="clear" w:color="auto" w:fill="4F81BD" w:themeFill="accent1"/>
      </w:tcPr>
    </w:tblStylePr>
    <w:tblStylePr w:type="firstCol">
      <w:rPr>
        <w:b/>
        <w:bCs/>
        <w:color w:val="FFFFFF" w:themeColor="background1"/>
        <w14:textFill>
          <w14:solidFill>
            <w14:schemeClr w14:val="bg1"/>
          </w14:solidFill>
        </w14:textFill>
      </w:rPr>
      <w:tblPr/>
      <w:tcPr>
        <w:tcBorders>
          <w:top w:val="single" w:sz="4" w:space="0" w:color="CCE8CF" w:themeColor="background1"/>
          <w:left w:val="single" w:sz="4" w:space="0" w:color="CCE8CF" w:themeColor="background1"/>
          <w:bottom w:val="single" w:sz="4" w:space="0" w:color="CCE8CF" w:themeColor="background1"/>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top w:val="single" w:sz="4" w:space="0" w:color="CCE8CF" w:themeColor="background1"/>
          <w:bottom w:val="single" w:sz="4" w:space="0" w:color="CCE8CF" w:themeColor="background1"/>
          <w:right w:val="single" w:sz="4" w:space="0" w:color="CCE8C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GridTable4Accent1">
    <w:name w:val="Grid Table 4 Accent 1"/>
    <w:basedOn w:val="TableNormal"/>
    <w:autoRedefine/>
    <w:uiPriority w:val="49"/>
    <w:qFormat/>
    <w:tblPr>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14:textFill>
          <w14:solidFill>
            <w14:schemeClr w14:val="bg1"/>
          </w14:solidFill>
        </w14:textFill>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1">
    <w:name w:val="标题 1 字符"/>
    <w:basedOn w:val="DefaultParagraphFont"/>
    <w:link w:val="Heading1"/>
    <w:autoRedefine/>
    <w:uiPriority w:val="9"/>
    <w:qFormat/>
    <w:rPr>
      <w:rFonts w:eastAsia="黑体"/>
      <w:bCs/>
      <w:kern w:val="44"/>
      <w:sz w:val="36"/>
      <w:szCs w:val="44"/>
    </w:rPr>
  </w:style>
  <w:style w:type="character" w:customStyle="1" w:styleId="2">
    <w:name w:val="标题 2 字符"/>
    <w:basedOn w:val="DefaultParagraphFont"/>
    <w:link w:val="Heading2"/>
    <w:autoRedefine/>
    <w:uiPriority w:val="9"/>
    <w:qFormat/>
    <w:rPr>
      <w:rFonts w:eastAsia="黑体" w:asciiTheme="majorHAnsi" w:hAnsiTheme="majorHAnsi" w:cstheme="majorBidi"/>
      <w:bCs/>
      <w:sz w:val="24"/>
      <w:szCs w:val="32"/>
    </w:rPr>
  </w:style>
  <w:style w:type="character" w:customStyle="1" w:styleId="3">
    <w:name w:val="标题 3 字符"/>
    <w:basedOn w:val="DefaultParagraphFont"/>
    <w:link w:val="Heading3"/>
    <w:autoRedefine/>
    <w:uiPriority w:val="9"/>
    <w:qFormat/>
    <w:rPr>
      <w:rFonts w:eastAsia="黑体"/>
      <w:bCs/>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yperlink" Target="https://d.book118.com/345133131101011034" TargetMode="Externa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E92B1E55-CA59-4DE7-ABBD-779B52BA8F12}">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3509</Words>
  <Characters>20004</Characters>
  <Application>Microsoft Office Word</Application>
  <DocSecurity>0</DocSecurity>
  <Lines>166</Lines>
  <Paragraphs>46</Paragraphs>
  <ScaleCrop>false</ScaleCrop>
  <Company/>
  <LinksUpToDate>false</LinksUpToDate>
  <CharactersWithSpaces>23467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钰丽 陈</dc:creator>
  <cp:lastModifiedBy>ABEEL</cp:lastModifiedBy>
  <cp:revision>3</cp:revision>
  <dcterms:created xsi:type="dcterms:W3CDTF">2021-05-06T02:31:00Z</dcterms:created>
  <dcterms:modified xsi:type="dcterms:W3CDTF">2024-01-03T02:26:38Z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3DBF22245FA44F14B3A1973A27FB0A11_13</vt:lpwstr>
  </property>
  <property fmtid="{D5CDD505-2E9C-101B-9397-08002B2CF9AE}" pid="3" name="KSOProductBuildVer">
    <vt:lpwstr>2052-12.1.0.16120</vt:lpwstr>
  </property>
</Properties>
</file>