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2015-2023年广西现代职业技术学院高职单招（数学／语文／英语）历年参考题库带答案解析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小说《风波》的中心情节线索是（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A.九斤老太的五十大寿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B.七斤的飞黄腾达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C.皇帝坐了龙庭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闻一多曾提出新格律诗的“三美”主张，即新诗要有（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A.理想美、思想美、形式美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B.色彩浓、回味永、意境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D.节奏、韵味、意境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下列句子中，含有使动用法的是（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A.故今具道所以，冀君实或见恕也。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B.若弗与，则请除之，无生民心。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C.及尔偕老，老使我怨。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D.千金，重币也；百乘，显使也。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D.《珠玉集》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《张中丞传后叙》最突出的写作特色是（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6.</w:t>
      </w:r>
      <w:r>
        <w:rPr>
          <w:rFonts w:ascii="黑体" w:eastAsia="黑体" w:hAnsi="黑体" w:cs="Times New Roman"/>
          <w:sz w:val="24"/>
          <w:lang w:val="en-US" w:eastAsia="ja-JP" w:bidi="ar-SA"/>
        </w:rPr>
        <w:t>《论学问》、《门槛》、《苦恼》的作者依次是（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A.培根、契诃夫、屠格涅夫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B.契诃夫、屠格涅夫、培根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C.屠格涅夫、契诃夫、培根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D.培根、屠格涅夫、契诃夫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朱自清散文《背影》的最主要特点是（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A.真实简明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B.闲适伤感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C.清丽典雅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D.以情胜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《季氏将伐颛臾》本文中，孔子用“周任有言曰：陈力就列，不能者止”’为论据来驳斥冉有推卸责任的行为，这种论证方法属于（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B.类比论证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梁实秋早年参加的文学社团是（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下列划横线的句子翻译正确的是（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4896364" cy="194330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96364" cy="194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屈原根据战国时期楚地祭祀乐歌加工而成的组诗是（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《国殇》选自（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李斯《谏逐客书》上书的对象是（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https://d.book118.com/345140110101011113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34514011010101111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