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染料类项目规划设计纲要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32" w:history="1">
        <w:r>
          <w:rPr>
            <w:rFonts w:ascii="仿宋" w:eastAsia="仿宋" w:hAnsi="仿宋" w:cs="仿宋" w:hint="eastAsia"/>
            <w:lang w:eastAsia="zh-CN"/>
          </w:rPr>
          <w:t>序言</w:t>
        </w:r>
        <w:r>
          <w:tab/>
        </w:r>
        <w:r>
          <w:fldChar w:fldCharType="begin"/>
        </w:r>
        <w:r>
          <w:instrText xml:space="preserve"> PAGEREF _Toc24532 \h </w:instrText>
        </w:r>
        <w:r>
          <w:fldChar w:fldCharType="separate"/>
        </w:r>
        <w:r>
          <w:t>3</w:t>
        </w:r>
        <w:r>
          <w:fldChar w:fldCharType="end"/>
        </w:r>
      </w:hyperlink>
    </w:p>
    <w:p>
      <w:pPr>
        <w:pStyle w:val="TOC1"/>
        <w:tabs>
          <w:tab w:val="right" w:leader="dot" w:pos="8306"/>
        </w:tabs>
      </w:pPr>
      <w:hyperlink w:anchor="_Toc25295" w:history="1">
        <w:r>
          <w:rPr>
            <w:rFonts w:ascii="仿宋" w:eastAsia="仿宋" w:hAnsi="仿宋" w:cs="仿宋" w:hint="eastAsia"/>
            <w:lang w:eastAsia="zh-CN"/>
          </w:rPr>
          <w:t>一、染料类项目建设单位说明</w:t>
        </w:r>
        <w:r>
          <w:tab/>
        </w:r>
        <w:r>
          <w:fldChar w:fldCharType="begin"/>
        </w:r>
        <w:r>
          <w:instrText xml:space="preserve"> PAGEREF _Toc25295 \h </w:instrText>
        </w:r>
        <w:r>
          <w:fldChar w:fldCharType="separate"/>
        </w:r>
        <w:r>
          <w:t>3</w:t>
        </w:r>
        <w:r>
          <w:fldChar w:fldCharType="end"/>
        </w:r>
      </w:hyperlink>
    </w:p>
    <w:p>
      <w:pPr>
        <w:pStyle w:val="TOC2"/>
        <w:tabs>
          <w:tab w:val="right" w:leader="dot" w:pos="8306"/>
        </w:tabs>
      </w:pPr>
      <w:hyperlink w:anchor="_Toc4680" w:history="1">
        <w:r>
          <w:rPr>
            <w:rFonts w:ascii="仿宋" w:eastAsia="仿宋" w:hAnsi="仿宋" w:cs="仿宋" w:hint="eastAsia"/>
            <w:lang w:eastAsia="zh-CN"/>
          </w:rPr>
          <w:t>(一)、染料类项目承办单位基本情况</w:t>
        </w:r>
        <w:r>
          <w:tab/>
        </w:r>
        <w:r>
          <w:fldChar w:fldCharType="begin"/>
        </w:r>
        <w:r>
          <w:instrText xml:space="preserve"> PAGEREF _Toc4680 \h </w:instrText>
        </w:r>
        <w:r>
          <w:fldChar w:fldCharType="separate"/>
        </w:r>
        <w:r>
          <w:t>3</w:t>
        </w:r>
        <w:r>
          <w:fldChar w:fldCharType="end"/>
        </w:r>
      </w:hyperlink>
    </w:p>
    <w:p>
      <w:pPr>
        <w:pStyle w:val="TOC2"/>
        <w:tabs>
          <w:tab w:val="right" w:leader="dot" w:pos="8306"/>
        </w:tabs>
      </w:pPr>
      <w:hyperlink w:anchor="_Toc31383" w:history="1">
        <w:r>
          <w:rPr>
            <w:rFonts w:ascii="仿宋" w:eastAsia="仿宋" w:hAnsi="仿宋" w:cs="仿宋" w:hint="eastAsia"/>
            <w:lang w:eastAsia="zh-CN"/>
          </w:rPr>
          <w:t>(二)、公司经济效益分析</w:t>
        </w:r>
        <w:r>
          <w:tab/>
        </w:r>
        <w:r>
          <w:fldChar w:fldCharType="begin"/>
        </w:r>
        <w:r>
          <w:instrText xml:space="preserve"> PAGEREF _Toc31383 \h </w:instrText>
        </w:r>
        <w:r>
          <w:fldChar w:fldCharType="separate"/>
        </w:r>
        <w:r>
          <w:t>4</w:t>
        </w:r>
        <w:r>
          <w:fldChar w:fldCharType="end"/>
        </w:r>
      </w:hyperlink>
    </w:p>
    <w:p>
      <w:pPr>
        <w:pStyle w:val="TOC1"/>
        <w:tabs>
          <w:tab w:val="right" w:leader="dot" w:pos="8306"/>
        </w:tabs>
      </w:pPr>
      <w:hyperlink w:anchor="_Toc15786" w:history="1">
        <w:r>
          <w:rPr>
            <w:rFonts w:ascii="仿宋" w:eastAsia="仿宋" w:hAnsi="仿宋" w:cs="仿宋" w:hint="eastAsia"/>
            <w:lang w:eastAsia="zh-CN"/>
          </w:rPr>
          <w:t>二、工艺说明</w:t>
        </w:r>
        <w:r>
          <w:tab/>
        </w:r>
        <w:r>
          <w:fldChar w:fldCharType="begin"/>
        </w:r>
        <w:r>
          <w:instrText xml:space="preserve"> PAGEREF _Toc15786 \h </w:instrText>
        </w:r>
        <w:r>
          <w:fldChar w:fldCharType="separate"/>
        </w:r>
        <w:r>
          <w:t>5</w:t>
        </w:r>
        <w:r>
          <w:fldChar w:fldCharType="end"/>
        </w:r>
      </w:hyperlink>
    </w:p>
    <w:p>
      <w:pPr>
        <w:pStyle w:val="TOC2"/>
        <w:tabs>
          <w:tab w:val="right" w:leader="dot" w:pos="8306"/>
        </w:tabs>
      </w:pPr>
      <w:hyperlink w:anchor="_Toc8158" w:history="1">
        <w:r>
          <w:rPr>
            <w:rFonts w:ascii="仿宋" w:eastAsia="仿宋" w:hAnsi="仿宋" w:cs="仿宋" w:hint="eastAsia"/>
            <w:lang w:eastAsia="zh-CN"/>
          </w:rPr>
          <w:t>(一)、技术管理特点</w:t>
        </w:r>
        <w:r>
          <w:tab/>
        </w:r>
        <w:r>
          <w:fldChar w:fldCharType="begin"/>
        </w:r>
        <w:r>
          <w:instrText xml:space="preserve"> PAGEREF _Toc8158 \h </w:instrText>
        </w:r>
        <w:r>
          <w:fldChar w:fldCharType="separate"/>
        </w:r>
        <w:r>
          <w:t>5</w:t>
        </w:r>
        <w:r>
          <w:fldChar w:fldCharType="end"/>
        </w:r>
      </w:hyperlink>
    </w:p>
    <w:p>
      <w:pPr>
        <w:pStyle w:val="TOC2"/>
        <w:tabs>
          <w:tab w:val="right" w:leader="dot" w:pos="8306"/>
        </w:tabs>
      </w:pPr>
      <w:hyperlink w:anchor="_Toc22699" w:history="1">
        <w:r>
          <w:rPr>
            <w:rFonts w:ascii="仿宋" w:eastAsia="仿宋" w:hAnsi="仿宋" w:cs="仿宋" w:hint="eastAsia"/>
            <w:lang w:eastAsia="zh-CN"/>
          </w:rPr>
          <w:t>(二)、染料类项目工艺技术设计方案</w:t>
        </w:r>
        <w:r>
          <w:tab/>
        </w:r>
        <w:r>
          <w:fldChar w:fldCharType="begin"/>
        </w:r>
        <w:r>
          <w:instrText xml:space="preserve"> PAGEREF _Toc22699 \h </w:instrText>
        </w:r>
        <w:r>
          <w:fldChar w:fldCharType="separate"/>
        </w:r>
        <w:r>
          <w:t>6</w:t>
        </w:r>
        <w:r>
          <w:fldChar w:fldCharType="end"/>
        </w:r>
      </w:hyperlink>
    </w:p>
    <w:p>
      <w:pPr>
        <w:pStyle w:val="TOC2"/>
        <w:tabs>
          <w:tab w:val="right" w:leader="dot" w:pos="8306"/>
        </w:tabs>
      </w:pPr>
      <w:hyperlink w:anchor="_Toc10999" w:history="1">
        <w:r>
          <w:rPr>
            <w:rFonts w:ascii="仿宋" w:eastAsia="仿宋" w:hAnsi="仿宋" w:cs="仿宋" w:hint="eastAsia"/>
            <w:lang w:eastAsia="zh-CN"/>
          </w:rPr>
          <w:t>(三)、设备选型方案</w:t>
        </w:r>
        <w:r>
          <w:tab/>
        </w:r>
        <w:r>
          <w:fldChar w:fldCharType="begin"/>
        </w:r>
        <w:r>
          <w:instrText xml:space="preserve"> PAGEREF _Toc10999 \h </w:instrText>
        </w:r>
        <w:r>
          <w:fldChar w:fldCharType="separate"/>
        </w:r>
        <w:r>
          <w:t>7</w:t>
        </w:r>
        <w:r>
          <w:fldChar w:fldCharType="end"/>
        </w:r>
      </w:hyperlink>
    </w:p>
    <w:p>
      <w:pPr>
        <w:pStyle w:val="TOC1"/>
        <w:tabs>
          <w:tab w:val="right" w:leader="dot" w:pos="8306"/>
        </w:tabs>
      </w:pPr>
      <w:hyperlink w:anchor="_Toc11564" w:history="1">
        <w:r>
          <w:rPr>
            <w:rFonts w:ascii="仿宋" w:eastAsia="仿宋" w:hAnsi="仿宋" w:cs="仿宋" w:hint="eastAsia"/>
            <w:lang w:eastAsia="zh-CN"/>
          </w:rPr>
          <w:t>三、染料类项目文档管理</w:t>
        </w:r>
        <w:r>
          <w:tab/>
        </w:r>
        <w:r>
          <w:fldChar w:fldCharType="begin"/>
        </w:r>
        <w:r>
          <w:instrText xml:space="preserve"> PAGEREF _Toc11564 \h </w:instrText>
        </w:r>
        <w:r>
          <w:fldChar w:fldCharType="separate"/>
        </w:r>
        <w:r>
          <w:t>8</w:t>
        </w:r>
        <w:r>
          <w:fldChar w:fldCharType="end"/>
        </w:r>
      </w:hyperlink>
    </w:p>
    <w:p>
      <w:pPr>
        <w:pStyle w:val="TOC2"/>
        <w:tabs>
          <w:tab w:val="right" w:leader="dot" w:pos="8306"/>
        </w:tabs>
      </w:pPr>
      <w:hyperlink w:anchor="_Toc11696" w:history="1">
        <w:r>
          <w:rPr>
            <w:rFonts w:ascii="仿宋" w:eastAsia="仿宋" w:hAnsi="仿宋" w:cs="仿宋" w:hint="eastAsia"/>
            <w:lang w:eastAsia="zh-CN"/>
          </w:rPr>
          <w:t>(一)、文档编制与审查</w:t>
        </w:r>
        <w:r>
          <w:tab/>
        </w:r>
        <w:r>
          <w:fldChar w:fldCharType="begin"/>
        </w:r>
        <w:r>
          <w:instrText xml:space="preserve"> PAGEREF _Toc11696 \h </w:instrText>
        </w:r>
        <w:r>
          <w:fldChar w:fldCharType="separate"/>
        </w:r>
        <w:r>
          <w:t>8</w:t>
        </w:r>
        <w:r>
          <w:fldChar w:fldCharType="end"/>
        </w:r>
      </w:hyperlink>
    </w:p>
    <w:p>
      <w:pPr>
        <w:pStyle w:val="TOC2"/>
        <w:tabs>
          <w:tab w:val="right" w:leader="dot" w:pos="8306"/>
        </w:tabs>
      </w:pPr>
      <w:hyperlink w:anchor="_Toc32620" w:history="1">
        <w:r>
          <w:rPr>
            <w:rFonts w:ascii="仿宋" w:eastAsia="仿宋" w:hAnsi="仿宋" w:cs="仿宋" w:hint="eastAsia"/>
            <w:lang w:eastAsia="zh-CN"/>
          </w:rPr>
          <w:t>(二)、文档发布与分发</w:t>
        </w:r>
        <w:r>
          <w:tab/>
        </w:r>
        <w:r>
          <w:fldChar w:fldCharType="begin"/>
        </w:r>
        <w:r>
          <w:instrText xml:space="preserve"> PAGEREF _Toc32620 \h </w:instrText>
        </w:r>
        <w:r>
          <w:fldChar w:fldCharType="separate"/>
        </w:r>
        <w:r>
          <w:t>10</w:t>
        </w:r>
        <w:r>
          <w:fldChar w:fldCharType="end"/>
        </w:r>
      </w:hyperlink>
    </w:p>
    <w:p>
      <w:pPr>
        <w:pStyle w:val="TOC2"/>
        <w:tabs>
          <w:tab w:val="right" w:leader="dot" w:pos="8306"/>
        </w:tabs>
      </w:pPr>
      <w:hyperlink w:anchor="_Toc5711" w:history="1">
        <w:r>
          <w:rPr>
            <w:rFonts w:ascii="仿宋" w:eastAsia="仿宋" w:hAnsi="仿宋" w:cs="仿宋" w:hint="eastAsia"/>
            <w:lang w:eastAsia="zh-CN"/>
          </w:rPr>
          <w:t>(三)、文档存档与归档</w:t>
        </w:r>
        <w:r>
          <w:tab/>
        </w:r>
        <w:r>
          <w:fldChar w:fldCharType="begin"/>
        </w:r>
        <w:r>
          <w:instrText xml:space="preserve"> PAGEREF _Toc5711 \h </w:instrText>
        </w:r>
        <w:r>
          <w:fldChar w:fldCharType="separate"/>
        </w:r>
        <w:r>
          <w:t>10</w:t>
        </w:r>
        <w:r>
          <w:fldChar w:fldCharType="end"/>
        </w:r>
      </w:hyperlink>
    </w:p>
    <w:p>
      <w:pPr>
        <w:pStyle w:val="TOC1"/>
        <w:tabs>
          <w:tab w:val="right" w:leader="dot" w:pos="8306"/>
        </w:tabs>
      </w:pPr>
      <w:hyperlink w:anchor="_Toc23444" w:history="1">
        <w:r>
          <w:rPr>
            <w:rFonts w:ascii="仿宋" w:eastAsia="仿宋" w:hAnsi="仿宋" w:cs="仿宋" w:hint="eastAsia"/>
            <w:lang w:eastAsia="zh-CN"/>
          </w:rPr>
          <w:t>四、染料类项目绩效评估</w:t>
        </w:r>
        <w:r>
          <w:tab/>
        </w:r>
        <w:r>
          <w:fldChar w:fldCharType="begin"/>
        </w:r>
        <w:r>
          <w:instrText xml:space="preserve"> PAGEREF _Toc23444 \h </w:instrText>
        </w:r>
        <w:r>
          <w:fldChar w:fldCharType="separate"/>
        </w:r>
        <w:r>
          <w:t>12</w:t>
        </w:r>
        <w:r>
          <w:fldChar w:fldCharType="end"/>
        </w:r>
      </w:hyperlink>
    </w:p>
    <w:p>
      <w:pPr>
        <w:pStyle w:val="TOC2"/>
        <w:tabs>
          <w:tab w:val="right" w:leader="dot" w:pos="8306"/>
        </w:tabs>
      </w:pPr>
      <w:hyperlink w:anchor="_Toc9064" w:history="1">
        <w:r>
          <w:rPr>
            <w:rFonts w:ascii="仿宋" w:eastAsia="仿宋" w:hAnsi="仿宋" w:cs="仿宋" w:hint="eastAsia"/>
            <w:lang w:eastAsia="zh-CN"/>
          </w:rPr>
          <w:t>(一)、绩效评估指标</w:t>
        </w:r>
        <w:r>
          <w:tab/>
        </w:r>
        <w:r>
          <w:fldChar w:fldCharType="begin"/>
        </w:r>
        <w:r>
          <w:instrText xml:space="preserve"> PAGEREF _Toc9064 \h </w:instrText>
        </w:r>
        <w:r>
          <w:fldChar w:fldCharType="separate"/>
        </w:r>
        <w:r>
          <w:t>12</w:t>
        </w:r>
        <w:r>
          <w:fldChar w:fldCharType="end"/>
        </w:r>
      </w:hyperlink>
    </w:p>
    <w:p>
      <w:pPr>
        <w:pStyle w:val="TOC2"/>
        <w:tabs>
          <w:tab w:val="right" w:leader="dot" w:pos="8306"/>
        </w:tabs>
      </w:pPr>
      <w:hyperlink w:anchor="_Toc9392" w:history="1">
        <w:r>
          <w:rPr>
            <w:rFonts w:ascii="仿宋" w:eastAsia="仿宋" w:hAnsi="仿宋" w:cs="仿宋" w:hint="eastAsia"/>
            <w:lang w:eastAsia="zh-CN"/>
          </w:rPr>
          <w:t>(二)、绩效评估方法</w:t>
        </w:r>
        <w:r>
          <w:tab/>
        </w:r>
        <w:r>
          <w:fldChar w:fldCharType="begin"/>
        </w:r>
        <w:r>
          <w:instrText xml:space="preserve"> PAGEREF _Toc9392 \h </w:instrText>
        </w:r>
        <w:r>
          <w:fldChar w:fldCharType="separate"/>
        </w:r>
        <w:r>
          <w:t>13</w:t>
        </w:r>
        <w:r>
          <w:fldChar w:fldCharType="end"/>
        </w:r>
      </w:hyperlink>
    </w:p>
    <w:p>
      <w:pPr>
        <w:pStyle w:val="TOC2"/>
        <w:tabs>
          <w:tab w:val="right" w:leader="dot" w:pos="8306"/>
        </w:tabs>
      </w:pPr>
      <w:hyperlink w:anchor="_Toc30591" w:history="1">
        <w:r>
          <w:rPr>
            <w:rFonts w:ascii="仿宋" w:eastAsia="仿宋" w:hAnsi="仿宋" w:cs="仿宋" w:hint="eastAsia"/>
            <w:lang w:eastAsia="zh-CN"/>
          </w:rPr>
          <w:t>(三)、绩效评估周期</w:t>
        </w:r>
        <w:r>
          <w:tab/>
        </w:r>
        <w:r>
          <w:fldChar w:fldCharType="begin"/>
        </w:r>
        <w:r>
          <w:instrText xml:space="preserve"> PAGEREF _Toc30591 \h </w:instrText>
        </w:r>
        <w:r>
          <w:fldChar w:fldCharType="separate"/>
        </w:r>
        <w:r>
          <w:t>14</w:t>
        </w:r>
        <w:r>
          <w:fldChar w:fldCharType="end"/>
        </w:r>
      </w:hyperlink>
    </w:p>
    <w:p>
      <w:pPr>
        <w:pStyle w:val="TOC1"/>
        <w:tabs>
          <w:tab w:val="right" w:leader="dot" w:pos="8306"/>
        </w:tabs>
      </w:pPr>
      <w:hyperlink w:anchor="_Toc6225" w:history="1">
        <w:r>
          <w:rPr>
            <w:rFonts w:ascii="仿宋" w:eastAsia="仿宋" w:hAnsi="仿宋" w:cs="仿宋" w:hint="eastAsia"/>
            <w:lang w:eastAsia="zh-CN"/>
          </w:rPr>
          <w:t>五、染料类项目危机管理</w:t>
        </w:r>
        <w:r>
          <w:tab/>
        </w:r>
        <w:r>
          <w:fldChar w:fldCharType="begin"/>
        </w:r>
        <w:r>
          <w:instrText xml:space="preserve"> PAGEREF _Toc6225 \h </w:instrText>
        </w:r>
        <w:r>
          <w:fldChar w:fldCharType="separate"/>
        </w:r>
        <w:r>
          <w:t>15</w:t>
        </w:r>
        <w:r>
          <w:fldChar w:fldCharType="end"/>
        </w:r>
      </w:hyperlink>
    </w:p>
    <w:p>
      <w:pPr>
        <w:pStyle w:val="TOC2"/>
        <w:tabs>
          <w:tab w:val="right" w:leader="dot" w:pos="8306"/>
        </w:tabs>
      </w:pPr>
      <w:hyperlink w:anchor="_Toc21133" w:history="1">
        <w:r>
          <w:rPr>
            <w:rFonts w:ascii="仿宋" w:eastAsia="仿宋" w:hAnsi="仿宋" w:cs="仿宋" w:hint="eastAsia"/>
            <w:lang w:eastAsia="zh-CN"/>
          </w:rPr>
          <w:t>(一)、危机预警与识别</w:t>
        </w:r>
        <w:r>
          <w:tab/>
        </w:r>
        <w:r>
          <w:fldChar w:fldCharType="begin"/>
        </w:r>
        <w:r>
          <w:instrText xml:space="preserve"> PAGEREF _Toc21133 \h </w:instrText>
        </w:r>
        <w:r>
          <w:fldChar w:fldCharType="separate"/>
        </w:r>
        <w:r>
          <w:t>15</w:t>
        </w:r>
        <w:r>
          <w:fldChar w:fldCharType="end"/>
        </w:r>
      </w:hyperlink>
    </w:p>
    <w:p>
      <w:pPr>
        <w:pStyle w:val="TOC2"/>
        <w:tabs>
          <w:tab w:val="right" w:leader="dot" w:pos="8306"/>
        </w:tabs>
      </w:pPr>
      <w:hyperlink w:anchor="_Toc21618" w:history="1">
        <w:r>
          <w:rPr>
            <w:rFonts w:ascii="仿宋" w:eastAsia="仿宋" w:hAnsi="仿宋" w:cs="仿宋" w:hint="eastAsia"/>
            <w:lang w:eastAsia="zh-CN"/>
          </w:rPr>
          <w:t>(二)、危机应对与恢复</w:t>
        </w:r>
        <w:r>
          <w:tab/>
        </w:r>
        <w:r>
          <w:fldChar w:fldCharType="begin"/>
        </w:r>
        <w:r>
          <w:instrText xml:space="preserve"> PAGEREF _Toc21618 \h </w:instrText>
        </w:r>
        <w:r>
          <w:fldChar w:fldCharType="separate"/>
        </w:r>
        <w:r>
          <w:t>16</w:t>
        </w:r>
        <w:r>
          <w:fldChar w:fldCharType="end"/>
        </w:r>
      </w:hyperlink>
    </w:p>
    <w:p>
      <w:pPr>
        <w:pStyle w:val="TOC1"/>
        <w:tabs>
          <w:tab w:val="right" w:leader="dot" w:pos="8306"/>
        </w:tabs>
      </w:pPr>
      <w:hyperlink w:anchor="_Toc26853" w:history="1">
        <w:r>
          <w:rPr>
            <w:rFonts w:ascii="仿宋" w:eastAsia="仿宋" w:hAnsi="仿宋" w:cs="仿宋" w:hint="eastAsia"/>
            <w:lang w:eastAsia="zh-CN"/>
          </w:rPr>
          <w:t>六、产品规划分析</w:t>
        </w:r>
        <w:r>
          <w:tab/>
        </w:r>
        <w:r>
          <w:fldChar w:fldCharType="begin"/>
        </w:r>
        <w:r>
          <w:instrText xml:space="preserve"> PAGEREF _Toc26853 \h </w:instrText>
        </w:r>
        <w:r>
          <w:fldChar w:fldCharType="separate"/>
        </w:r>
        <w:r>
          <w:t>17</w:t>
        </w:r>
        <w:r>
          <w:fldChar w:fldCharType="end"/>
        </w:r>
      </w:hyperlink>
    </w:p>
    <w:p>
      <w:pPr>
        <w:pStyle w:val="TOC2"/>
        <w:tabs>
          <w:tab w:val="right" w:leader="dot" w:pos="8306"/>
        </w:tabs>
      </w:pPr>
      <w:hyperlink w:anchor="_Toc6487" w:history="1">
        <w:r>
          <w:rPr>
            <w:rFonts w:ascii="仿宋" w:eastAsia="仿宋" w:hAnsi="仿宋" w:cs="仿宋" w:hint="eastAsia"/>
            <w:lang w:eastAsia="zh-CN"/>
          </w:rPr>
          <w:t>(一)、产品规划</w:t>
        </w:r>
        <w:r>
          <w:tab/>
        </w:r>
        <w:r>
          <w:fldChar w:fldCharType="begin"/>
        </w:r>
        <w:r>
          <w:instrText xml:space="preserve"> PAGEREF _Toc6487 \h </w:instrText>
        </w:r>
        <w:r>
          <w:fldChar w:fldCharType="separate"/>
        </w:r>
        <w:r>
          <w:t>17</w:t>
        </w:r>
        <w:r>
          <w:fldChar w:fldCharType="end"/>
        </w:r>
      </w:hyperlink>
    </w:p>
    <w:p>
      <w:pPr>
        <w:pStyle w:val="TOC2"/>
        <w:tabs>
          <w:tab w:val="right" w:leader="dot" w:pos="8306"/>
        </w:tabs>
      </w:pPr>
      <w:hyperlink w:anchor="_Toc18957" w:history="1">
        <w:r>
          <w:rPr>
            <w:rFonts w:ascii="仿宋" w:eastAsia="仿宋" w:hAnsi="仿宋" w:cs="仿宋" w:hint="eastAsia"/>
            <w:lang w:eastAsia="zh-CN"/>
          </w:rPr>
          <w:t>(二)、建设规模</w:t>
        </w:r>
        <w:r>
          <w:tab/>
        </w:r>
        <w:r>
          <w:fldChar w:fldCharType="begin"/>
        </w:r>
        <w:r>
          <w:instrText xml:space="preserve"> PAGEREF _Toc18957 \h </w:instrText>
        </w:r>
        <w:r>
          <w:fldChar w:fldCharType="separate"/>
        </w:r>
        <w:r>
          <w:t>18</w:t>
        </w:r>
        <w:r>
          <w:fldChar w:fldCharType="end"/>
        </w:r>
      </w:hyperlink>
    </w:p>
    <w:p>
      <w:pPr>
        <w:pStyle w:val="TOC1"/>
        <w:tabs>
          <w:tab w:val="right" w:leader="dot" w:pos="8306"/>
        </w:tabs>
      </w:pPr>
      <w:hyperlink w:anchor="_Toc3960" w:history="1">
        <w:r>
          <w:rPr>
            <w:rFonts w:ascii="仿宋" w:eastAsia="仿宋" w:hAnsi="仿宋" w:cs="仿宋" w:hint="eastAsia"/>
            <w:lang w:eastAsia="zh-CN"/>
          </w:rPr>
          <w:t>七、染料类项目技术管理</w:t>
        </w:r>
        <w:r>
          <w:tab/>
        </w:r>
        <w:r>
          <w:fldChar w:fldCharType="begin"/>
        </w:r>
        <w:r>
          <w:instrText xml:space="preserve"> PAGEREF _Toc3960 \h </w:instrText>
        </w:r>
        <w:r>
          <w:fldChar w:fldCharType="separate"/>
        </w:r>
        <w:r>
          <w:t>19</w:t>
        </w:r>
        <w:r>
          <w:fldChar w:fldCharType="end"/>
        </w:r>
      </w:hyperlink>
    </w:p>
    <w:p>
      <w:pPr>
        <w:pStyle w:val="TOC2"/>
        <w:tabs>
          <w:tab w:val="right" w:leader="dot" w:pos="8306"/>
        </w:tabs>
      </w:pPr>
      <w:hyperlink w:anchor="_Toc8065" w:history="1">
        <w:r>
          <w:rPr>
            <w:rFonts w:ascii="仿宋" w:eastAsia="仿宋" w:hAnsi="仿宋" w:cs="仿宋" w:hint="eastAsia"/>
            <w:lang w:eastAsia="zh-CN"/>
          </w:rPr>
          <w:t>(一)、技术方案选用方向</w:t>
        </w:r>
        <w:r>
          <w:tab/>
        </w:r>
        <w:r>
          <w:fldChar w:fldCharType="begin"/>
        </w:r>
        <w:r>
          <w:instrText xml:space="preserve"> PAGEREF _Toc8065 \h </w:instrText>
        </w:r>
        <w:r>
          <w:fldChar w:fldCharType="separate"/>
        </w:r>
        <w:r>
          <w:t>19</w:t>
        </w:r>
        <w:r>
          <w:fldChar w:fldCharType="end"/>
        </w:r>
      </w:hyperlink>
    </w:p>
    <w:p>
      <w:pPr>
        <w:pStyle w:val="TOC2"/>
        <w:tabs>
          <w:tab w:val="right" w:leader="dot" w:pos="8306"/>
        </w:tabs>
      </w:pPr>
      <w:hyperlink w:anchor="_Toc22970" w:history="1">
        <w:r>
          <w:rPr>
            <w:rFonts w:ascii="仿宋" w:eastAsia="仿宋" w:hAnsi="仿宋" w:cs="仿宋" w:hint="eastAsia"/>
            <w:lang w:eastAsia="zh-CN"/>
          </w:rPr>
          <w:t>(二)、工艺技术方案选用原则</w:t>
        </w:r>
        <w:r>
          <w:tab/>
        </w:r>
        <w:r>
          <w:fldChar w:fldCharType="begin"/>
        </w:r>
        <w:r>
          <w:instrText xml:space="preserve"> PAGEREF _Toc22970 \h </w:instrText>
        </w:r>
        <w:r>
          <w:fldChar w:fldCharType="separate"/>
        </w:r>
        <w:r>
          <w:t>21</w:t>
        </w:r>
        <w:r>
          <w:fldChar w:fldCharType="end"/>
        </w:r>
      </w:hyperlink>
    </w:p>
    <w:p>
      <w:pPr>
        <w:pStyle w:val="TOC2"/>
        <w:tabs>
          <w:tab w:val="right" w:leader="dot" w:pos="8306"/>
        </w:tabs>
      </w:pPr>
      <w:hyperlink w:anchor="_Toc2690" w:history="1">
        <w:r>
          <w:rPr>
            <w:rFonts w:ascii="仿宋" w:eastAsia="仿宋" w:hAnsi="仿宋" w:cs="仿宋" w:hint="eastAsia"/>
            <w:lang w:eastAsia="zh-CN"/>
          </w:rPr>
          <w:t>(三)、工艺技术方案要求</w:t>
        </w:r>
        <w:r>
          <w:tab/>
        </w:r>
        <w:r>
          <w:fldChar w:fldCharType="begin"/>
        </w:r>
        <w:r>
          <w:instrText xml:space="preserve"> PAGEREF _Toc2690 \h </w:instrText>
        </w:r>
        <w:r>
          <w:fldChar w:fldCharType="separate"/>
        </w:r>
        <w:r>
          <w:t>23</w:t>
        </w:r>
        <w:r>
          <w:fldChar w:fldCharType="end"/>
        </w:r>
      </w:hyperlink>
    </w:p>
    <w:p>
      <w:pPr>
        <w:pStyle w:val="TOC1"/>
        <w:tabs>
          <w:tab w:val="right" w:leader="dot" w:pos="8306"/>
        </w:tabs>
      </w:pPr>
      <w:hyperlink w:anchor="_Toc16005" w:history="1">
        <w:r>
          <w:rPr>
            <w:rFonts w:ascii="仿宋" w:eastAsia="仿宋" w:hAnsi="仿宋" w:cs="仿宋" w:hint="eastAsia"/>
            <w:lang w:eastAsia="zh-CN"/>
          </w:rPr>
          <w:t>八、染料类项目人力资源管理</w:t>
        </w:r>
        <w:r>
          <w:tab/>
        </w:r>
        <w:r>
          <w:fldChar w:fldCharType="begin"/>
        </w:r>
        <w:r>
          <w:instrText xml:space="preserve"> PAGEREF _Toc16005 \h </w:instrText>
        </w:r>
        <w:r>
          <w:fldChar w:fldCharType="separate"/>
        </w:r>
        <w:r>
          <w:t>25</w:t>
        </w:r>
        <w:r>
          <w:fldChar w:fldCharType="end"/>
        </w:r>
      </w:hyperlink>
    </w:p>
    <w:p>
      <w:pPr>
        <w:pStyle w:val="TOC2"/>
        <w:tabs>
          <w:tab w:val="right" w:leader="dot" w:pos="8306"/>
        </w:tabs>
      </w:pPr>
      <w:hyperlink w:anchor="_Toc24919" w:history="1">
        <w:r>
          <w:rPr>
            <w:rFonts w:ascii="仿宋" w:eastAsia="仿宋" w:hAnsi="仿宋" w:cs="仿宋" w:hint="eastAsia"/>
            <w:lang w:eastAsia="zh-CN"/>
          </w:rPr>
          <w:t>(一)、建立健全的预算管理制度</w:t>
        </w:r>
        <w:r>
          <w:tab/>
        </w:r>
        <w:r>
          <w:fldChar w:fldCharType="begin"/>
        </w:r>
        <w:r>
          <w:instrText xml:space="preserve"> PAGEREF _Toc24919 \h </w:instrText>
        </w:r>
        <w:r>
          <w:fldChar w:fldCharType="separate"/>
        </w:r>
        <w:r>
          <w:t>25</w:t>
        </w:r>
        <w:r>
          <w:fldChar w:fldCharType="end"/>
        </w:r>
      </w:hyperlink>
    </w:p>
    <w:p>
      <w:pPr>
        <w:pStyle w:val="TOC2"/>
        <w:tabs>
          <w:tab w:val="right" w:leader="dot" w:pos="8306"/>
        </w:tabs>
      </w:pPr>
      <w:hyperlink w:anchor="_Toc18043" w:history="1">
        <w:r>
          <w:rPr>
            <w:rFonts w:ascii="仿宋" w:eastAsia="仿宋" w:hAnsi="仿宋" w:cs="仿宋" w:hint="eastAsia"/>
            <w:lang w:eastAsia="zh-CN"/>
          </w:rPr>
          <w:t>(二)、加强资金流动监控</w:t>
        </w:r>
        <w:r>
          <w:tab/>
        </w:r>
        <w:r>
          <w:fldChar w:fldCharType="begin"/>
        </w:r>
        <w:r>
          <w:instrText xml:space="preserve"> PAGEREF _Toc18043 \h </w:instrText>
        </w:r>
        <w:r>
          <w:fldChar w:fldCharType="separate"/>
        </w:r>
        <w:r>
          <w:t>27</w:t>
        </w:r>
        <w:r>
          <w:fldChar w:fldCharType="end"/>
        </w:r>
      </w:hyperlink>
    </w:p>
    <w:p>
      <w:pPr>
        <w:pStyle w:val="TOC2"/>
        <w:tabs>
          <w:tab w:val="right" w:leader="dot" w:pos="8306"/>
        </w:tabs>
      </w:pPr>
      <w:hyperlink w:anchor="_Toc20403" w:history="1">
        <w:r>
          <w:rPr>
            <w:rFonts w:ascii="仿宋" w:eastAsia="仿宋" w:hAnsi="仿宋" w:cs="仿宋" w:hint="eastAsia"/>
            <w:lang w:eastAsia="zh-CN"/>
          </w:rPr>
          <w:t>(三)、制定完善的风险控制机制</w:t>
        </w:r>
        <w:r>
          <w:tab/>
        </w:r>
        <w:r>
          <w:fldChar w:fldCharType="begin"/>
        </w:r>
        <w:r>
          <w:instrText xml:space="preserve"> PAGEREF _Toc20403 \h </w:instrText>
        </w:r>
        <w:r>
          <w:fldChar w:fldCharType="separate"/>
        </w:r>
        <w:r>
          <w:t>28</w:t>
        </w:r>
        <w:r>
          <w:fldChar w:fldCharType="end"/>
        </w:r>
      </w:hyperlink>
    </w:p>
    <w:p>
      <w:pPr>
        <w:pStyle w:val="TOC2"/>
        <w:tabs>
          <w:tab w:val="right" w:leader="dot" w:pos="8306"/>
        </w:tabs>
      </w:pPr>
      <w:hyperlink w:anchor="_Toc26065" w:history="1">
        <w:r>
          <w:rPr>
            <w:rFonts w:ascii="仿宋" w:eastAsia="仿宋" w:hAnsi="仿宋" w:cs="仿宋" w:hint="eastAsia"/>
            <w:lang w:eastAsia="zh-CN"/>
          </w:rPr>
          <w:t>(四)、优化成本管理</w:t>
        </w:r>
        <w:r>
          <w:tab/>
        </w:r>
        <w:r>
          <w:fldChar w:fldCharType="begin"/>
        </w:r>
        <w:r>
          <w:instrText xml:space="preserve"> PAGEREF _Toc26065 \h </w:instrText>
        </w:r>
        <w:r>
          <w:fldChar w:fldCharType="separate"/>
        </w:r>
        <w:r>
          <w:t>29</w:t>
        </w:r>
        <w:r>
          <w:fldChar w:fldCharType="end"/>
        </w:r>
      </w:hyperlink>
    </w:p>
    <w:p>
      <w:pPr>
        <w:pStyle w:val="TOC1"/>
        <w:tabs>
          <w:tab w:val="right" w:leader="dot" w:pos="8306"/>
        </w:tabs>
      </w:pPr>
      <w:hyperlink w:anchor="_Toc15125" w:history="1">
        <w:r>
          <w:rPr>
            <w:rFonts w:ascii="仿宋" w:eastAsia="仿宋" w:hAnsi="仿宋" w:cs="仿宋" w:hint="eastAsia"/>
            <w:lang w:eastAsia="zh-CN"/>
          </w:rPr>
          <w:t>九、染料类项目创新与研发</w:t>
        </w:r>
        <w:r>
          <w:tab/>
        </w:r>
        <w:r>
          <w:fldChar w:fldCharType="begin"/>
        </w:r>
        <w:r>
          <w:instrText xml:space="preserve"> PAGEREF _Toc15125 \h </w:instrText>
        </w:r>
        <w:r>
          <w:fldChar w:fldCharType="separate"/>
        </w:r>
        <w:r>
          <w:t>30</w:t>
        </w:r>
        <w:r>
          <w:fldChar w:fldCharType="end"/>
        </w:r>
      </w:hyperlink>
    </w:p>
    <w:p>
      <w:pPr>
        <w:pStyle w:val="TOC2"/>
        <w:tabs>
          <w:tab w:val="right" w:leader="dot" w:pos="8306"/>
        </w:tabs>
      </w:pPr>
      <w:hyperlink w:anchor="_Toc11682" w:history="1">
        <w:r>
          <w:rPr>
            <w:rFonts w:ascii="仿宋" w:eastAsia="仿宋" w:hAnsi="仿宋" w:cs="仿宋" w:hint="eastAsia"/>
            <w:lang w:eastAsia="zh-CN"/>
          </w:rPr>
          <w:t>(一)、创新策略与方向</w:t>
        </w:r>
        <w:r>
          <w:tab/>
        </w:r>
        <w:r>
          <w:fldChar w:fldCharType="begin"/>
        </w:r>
        <w:r>
          <w:instrText xml:space="preserve"> PAGEREF _Toc11682 \h </w:instrText>
        </w:r>
        <w:r>
          <w:fldChar w:fldCharType="separate"/>
        </w:r>
        <w:r>
          <w:t>30</w:t>
        </w:r>
        <w:r>
          <w:fldChar w:fldCharType="end"/>
        </w:r>
      </w:hyperlink>
    </w:p>
    <w:p>
      <w:pPr>
        <w:pStyle w:val="TOC2"/>
        <w:tabs>
          <w:tab w:val="right" w:leader="dot" w:pos="8306"/>
        </w:tabs>
      </w:pPr>
      <w:hyperlink w:anchor="_Toc4958" w:history="1">
        <w:r>
          <w:rPr>
            <w:rFonts w:ascii="仿宋" w:eastAsia="仿宋" w:hAnsi="仿宋" w:cs="仿宋" w:hint="eastAsia"/>
            <w:lang w:eastAsia="zh-CN"/>
          </w:rPr>
          <w:t>(二)、研发规划与投入</w:t>
        </w:r>
        <w:r>
          <w:tab/>
        </w:r>
        <w:r>
          <w:fldChar w:fldCharType="begin"/>
        </w:r>
        <w:r>
          <w:instrText xml:space="preserve"> PAGEREF _Toc4958 \h </w:instrText>
        </w:r>
        <w:r>
          <w:fldChar w:fldCharType="separate"/>
        </w:r>
        <w:r>
          <w:t>32</w:t>
        </w:r>
        <w:r>
          <w:fldChar w:fldCharType="end"/>
        </w:r>
      </w:hyperlink>
    </w:p>
    <w:p>
      <w:pPr>
        <w:pStyle w:val="TOC1"/>
        <w:tabs>
          <w:tab w:val="right" w:leader="dot" w:pos="8306"/>
        </w:tabs>
      </w:pPr>
      <w:hyperlink w:anchor="_Toc11446" w:history="1">
        <w:r>
          <w:rPr>
            <w:rFonts w:ascii="仿宋" w:eastAsia="仿宋" w:hAnsi="仿宋" w:cs="仿宋" w:hint="eastAsia"/>
            <w:lang w:eastAsia="zh-CN"/>
          </w:rPr>
          <w:t>十、染料类项目社会影响</w:t>
        </w:r>
        <w:r>
          <w:tab/>
        </w:r>
        <w:r>
          <w:fldChar w:fldCharType="begin"/>
        </w:r>
        <w:r>
          <w:instrText xml:space="preserve"> PAGEREF _Toc11446 \h </w:instrText>
        </w:r>
        <w:r>
          <w:fldChar w:fldCharType="separate"/>
        </w:r>
        <w:r>
          <w:t>33</w:t>
        </w:r>
        <w:r>
          <w:fldChar w:fldCharType="end"/>
        </w:r>
      </w:hyperlink>
    </w:p>
    <w:p>
      <w:pPr>
        <w:pStyle w:val="TOC2"/>
        <w:tabs>
          <w:tab w:val="right" w:leader="dot" w:pos="8306"/>
        </w:tabs>
      </w:pPr>
      <w:hyperlink w:anchor="_Toc14582" w:history="1">
        <w:r>
          <w:rPr>
            <w:rFonts w:ascii="仿宋" w:eastAsia="仿宋" w:hAnsi="仿宋" w:cs="仿宋" w:hint="eastAsia"/>
            <w:lang w:eastAsia="zh-CN"/>
          </w:rPr>
          <w:t>(一)、社会责任与义务</w:t>
        </w:r>
        <w:r>
          <w:tab/>
        </w:r>
        <w:r>
          <w:fldChar w:fldCharType="begin"/>
        </w:r>
        <w:r>
          <w:instrText xml:space="preserve"> PAGEREF _Toc14582 \h </w:instrText>
        </w:r>
        <w:r>
          <w:fldChar w:fldCharType="separate"/>
        </w:r>
        <w:r>
          <w:t>33</w:t>
        </w:r>
        <w:r>
          <w:fldChar w:fldCharType="end"/>
        </w:r>
      </w:hyperlink>
    </w:p>
    <w:p>
      <w:pPr>
        <w:pStyle w:val="TOC2"/>
        <w:tabs>
          <w:tab w:val="right" w:leader="dot" w:pos="8306"/>
        </w:tabs>
      </w:pPr>
      <w:hyperlink w:anchor="_Toc9100" w:history="1">
        <w:r>
          <w:rPr>
            <w:rFonts w:ascii="仿宋" w:eastAsia="仿宋" w:hAnsi="仿宋" w:cs="仿宋" w:hint="eastAsia"/>
            <w:lang w:eastAsia="zh-CN"/>
          </w:rPr>
          <w:t>(二)、社会参与与沟通</w:t>
        </w:r>
        <w:r>
          <w:tab/>
        </w:r>
        <w:r>
          <w:fldChar w:fldCharType="begin"/>
        </w:r>
        <w:r>
          <w:instrText xml:space="preserve"> PAGEREF _Toc9100 \h </w:instrText>
        </w:r>
        <w:r>
          <w:fldChar w:fldCharType="separate"/>
        </w:r>
        <w:r>
          <w:t>34</w:t>
        </w:r>
        <w:r>
          <w:fldChar w:fldCharType="end"/>
        </w:r>
      </w:hyperlink>
    </w:p>
    <w:p>
      <w:pPr>
        <w:pStyle w:val="TOC1"/>
        <w:tabs>
          <w:tab w:val="right" w:leader="dot" w:pos="8306"/>
        </w:tabs>
      </w:pPr>
      <w:hyperlink w:anchor="_Toc11573" w:history="1">
        <w:r>
          <w:rPr>
            <w:rFonts w:ascii="仿宋" w:eastAsia="仿宋" w:hAnsi="仿宋" w:cs="仿宋" w:hint="eastAsia"/>
            <w:lang w:eastAsia="zh-CN"/>
          </w:rPr>
          <w:t>十一、染料类项目经营效益</w:t>
        </w:r>
        <w:r>
          <w:tab/>
        </w:r>
        <w:r>
          <w:fldChar w:fldCharType="begin"/>
        </w:r>
        <w:r>
          <w:instrText xml:space="preserve"> PAGEREF _Toc11573 \h </w:instrText>
        </w:r>
        <w:r>
          <w:fldChar w:fldCharType="separate"/>
        </w:r>
        <w:r>
          <w:t>35</w:t>
        </w:r>
        <w:r>
          <w:fldChar w:fldCharType="end"/>
        </w:r>
      </w:hyperlink>
    </w:p>
    <w:p>
      <w:pPr>
        <w:pStyle w:val="TOC2"/>
        <w:tabs>
          <w:tab w:val="right" w:leader="dot" w:pos="8306"/>
        </w:tabs>
      </w:pPr>
      <w:hyperlink w:anchor="_Toc3500" w:history="1">
        <w:r>
          <w:rPr>
            <w:rFonts w:ascii="仿宋" w:eastAsia="仿宋" w:hAnsi="仿宋" w:cs="仿宋" w:hint="eastAsia"/>
            <w:lang w:eastAsia="zh-CN"/>
          </w:rPr>
          <w:t>(一)、经济评价财务测算</w:t>
        </w:r>
        <w:r>
          <w:tab/>
        </w:r>
        <w:r>
          <w:fldChar w:fldCharType="begin"/>
        </w:r>
        <w:r>
          <w:instrText xml:space="preserve"> PAGEREF _Toc3500 \h </w:instrText>
        </w:r>
        <w:r>
          <w:fldChar w:fldCharType="separate"/>
        </w:r>
        <w:r>
          <w:t>35</w:t>
        </w:r>
        <w:r>
          <w:fldChar w:fldCharType="end"/>
        </w:r>
      </w:hyperlink>
    </w:p>
    <w:p>
      <w:pPr>
        <w:pStyle w:val="TOC2"/>
        <w:tabs>
          <w:tab w:val="right" w:leader="dot" w:pos="8306"/>
        </w:tabs>
      </w:pPr>
      <w:hyperlink w:anchor="_Toc9958" w:history="1">
        <w:r>
          <w:rPr>
            <w:rFonts w:ascii="仿宋" w:eastAsia="仿宋" w:hAnsi="仿宋" w:cs="仿宋" w:hint="eastAsia"/>
            <w:lang w:eastAsia="zh-CN"/>
          </w:rPr>
          <w:t>(二)、染料类项目盈利能力分析</w:t>
        </w:r>
        <w:r>
          <w:tab/>
        </w:r>
        <w:r>
          <w:fldChar w:fldCharType="begin"/>
        </w:r>
        <w:r>
          <w:instrText xml:space="preserve"> PAGEREF _Toc9958 \h </w:instrText>
        </w:r>
        <w:r>
          <w:fldChar w:fldCharType="separate"/>
        </w:r>
        <w:r>
          <w:t>36</w:t>
        </w:r>
        <w:r>
          <w:fldChar w:fldCharType="end"/>
        </w:r>
      </w:hyperlink>
    </w:p>
    <w:p>
      <w:pPr>
        <w:pStyle w:val="TOC1"/>
        <w:tabs>
          <w:tab w:val="right" w:leader="dot" w:pos="8306"/>
        </w:tabs>
      </w:pPr>
      <w:hyperlink w:anchor="_Toc21127" w:history="1">
        <w:r>
          <w:rPr>
            <w:rFonts w:ascii="仿宋" w:eastAsia="仿宋" w:hAnsi="仿宋" w:cs="仿宋" w:hint="eastAsia"/>
            <w:lang w:eastAsia="zh-CN"/>
          </w:rPr>
          <w:t>十二、生产安全保护</w:t>
        </w:r>
        <w:r>
          <w:tab/>
        </w:r>
        <w:r>
          <w:fldChar w:fldCharType="begin"/>
        </w:r>
        <w:r>
          <w:instrText xml:space="preserve"> PAGEREF _Toc21127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350" w:history="1">
        <w:r>
          <w:rPr>
            <w:rFonts w:ascii="仿宋" w:eastAsia="仿宋" w:hAnsi="仿宋" w:cs="仿宋" w:hint="eastAsia"/>
            <w:lang w:eastAsia="zh-CN"/>
          </w:rPr>
          <w:t>(一)、消防安全</w:t>
        </w:r>
        <w:r>
          <w:tab/>
        </w:r>
        <w:r>
          <w:fldChar w:fldCharType="begin"/>
        </w:r>
        <w:r>
          <w:instrText xml:space="preserve"> PAGEREF _Toc13350 \h </w:instrText>
        </w:r>
        <w:r>
          <w:fldChar w:fldCharType="separate"/>
        </w:r>
        <w:r>
          <w:t>37</w:t>
        </w:r>
        <w:r>
          <w:fldChar w:fldCharType="end"/>
        </w:r>
      </w:hyperlink>
    </w:p>
    <w:p>
      <w:pPr>
        <w:pStyle w:val="TOC2"/>
        <w:tabs>
          <w:tab w:val="right" w:leader="dot" w:pos="8306"/>
        </w:tabs>
      </w:pPr>
      <w:hyperlink w:anchor="_Toc17015" w:history="1">
        <w:r>
          <w:rPr>
            <w:rFonts w:ascii="仿宋" w:eastAsia="仿宋" w:hAnsi="仿宋" w:cs="仿宋" w:hint="eastAsia"/>
            <w:lang w:eastAsia="zh-CN"/>
          </w:rPr>
          <w:t>(二)、防火防爆总图布置措施</w:t>
        </w:r>
        <w:r>
          <w:tab/>
        </w:r>
        <w:r>
          <w:fldChar w:fldCharType="begin"/>
        </w:r>
        <w:r>
          <w:instrText xml:space="preserve"> PAGEREF _Toc17015 \h </w:instrText>
        </w:r>
        <w:r>
          <w:fldChar w:fldCharType="separate"/>
        </w:r>
        <w:r>
          <w:t>38</w:t>
        </w:r>
        <w:r>
          <w:fldChar w:fldCharType="end"/>
        </w:r>
      </w:hyperlink>
    </w:p>
    <w:p>
      <w:pPr>
        <w:pStyle w:val="TOC2"/>
        <w:tabs>
          <w:tab w:val="right" w:leader="dot" w:pos="8306"/>
        </w:tabs>
      </w:pPr>
      <w:hyperlink w:anchor="_Toc7143" w:history="1">
        <w:r>
          <w:rPr>
            <w:rFonts w:ascii="仿宋" w:eastAsia="仿宋" w:hAnsi="仿宋" w:cs="仿宋" w:hint="eastAsia"/>
            <w:lang w:eastAsia="zh-CN"/>
          </w:rPr>
          <w:t>(三)、自然灾害防范措施</w:t>
        </w:r>
        <w:r>
          <w:tab/>
        </w:r>
        <w:r>
          <w:fldChar w:fldCharType="begin"/>
        </w:r>
        <w:r>
          <w:instrText xml:space="preserve"> PAGEREF _Toc7143 \h </w:instrText>
        </w:r>
        <w:r>
          <w:fldChar w:fldCharType="separate"/>
        </w:r>
        <w:r>
          <w:t>39</w:t>
        </w:r>
        <w:r>
          <w:fldChar w:fldCharType="end"/>
        </w:r>
      </w:hyperlink>
    </w:p>
    <w:p>
      <w:pPr>
        <w:pStyle w:val="TOC2"/>
        <w:tabs>
          <w:tab w:val="right" w:leader="dot" w:pos="8306"/>
        </w:tabs>
      </w:pPr>
      <w:hyperlink w:anchor="_Toc26780" w:history="1">
        <w:r>
          <w:rPr>
            <w:rFonts w:ascii="仿宋" w:eastAsia="仿宋" w:hAnsi="仿宋" w:cs="仿宋" w:hint="eastAsia"/>
            <w:lang w:eastAsia="zh-CN"/>
          </w:rPr>
          <w:t>(四)、安全色及安全标志使用要求</w:t>
        </w:r>
        <w:r>
          <w:tab/>
        </w:r>
        <w:r>
          <w:fldChar w:fldCharType="begin"/>
        </w:r>
        <w:r>
          <w:instrText xml:space="preserve"> PAGEREF _Toc26780 \h </w:instrText>
        </w:r>
        <w:r>
          <w:fldChar w:fldCharType="separate"/>
        </w:r>
        <w:r>
          <w:t>40</w:t>
        </w:r>
        <w:r>
          <w:fldChar w:fldCharType="end"/>
        </w:r>
      </w:hyperlink>
    </w:p>
    <w:p>
      <w:pPr>
        <w:pStyle w:val="TOC2"/>
        <w:tabs>
          <w:tab w:val="right" w:leader="dot" w:pos="8306"/>
        </w:tabs>
      </w:pPr>
      <w:hyperlink w:anchor="_Toc1247" w:history="1">
        <w:r>
          <w:rPr>
            <w:rFonts w:ascii="仿宋" w:eastAsia="仿宋" w:hAnsi="仿宋" w:cs="仿宋" w:hint="eastAsia"/>
            <w:lang w:eastAsia="zh-CN"/>
          </w:rPr>
          <w:t>(五)、防尘防毒措施</w:t>
        </w:r>
        <w:r>
          <w:tab/>
        </w:r>
        <w:r>
          <w:fldChar w:fldCharType="begin"/>
        </w:r>
        <w:r>
          <w:instrText xml:space="preserve"> PAGEREF _Toc1247 \h </w:instrText>
        </w:r>
        <w:r>
          <w:fldChar w:fldCharType="separate"/>
        </w:r>
        <w:r>
          <w:t>41</w:t>
        </w:r>
        <w:r>
          <w:fldChar w:fldCharType="end"/>
        </w:r>
      </w:hyperlink>
    </w:p>
    <w:p>
      <w:pPr>
        <w:pStyle w:val="TOC2"/>
        <w:tabs>
          <w:tab w:val="right" w:leader="dot" w:pos="8306"/>
        </w:tabs>
      </w:pPr>
      <w:hyperlink w:anchor="_Toc16543" w:history="1">
        <w:r>
          <w:rPr>
            <w:rFonts w:ascii="仿宋" w:eastAsia="仿宋" w:hAnsi="仿宋" w:cs="仿宋" w:hint="eastAsia"/>
            <w:lang w:eastAsia="zh-CN"/>
          </w:rPr>
          <w:t>(六)、防静电、触电防护及防雷措施</w:t>
        </w:r>
        <w:r>
          <w:tab/>
        </w:r>
        <w:r>
          <w:fldChar w:fldCharType="begin"/>
        </w:r>
        <w:r>
          <w:instrText xml:space="preserve"> PAGEREF _Toc16543 \h </w:instrText>
        </w:r>
        <w:r>
          <w:fldChar w:fldCharType="separate"/>
        </w:r>
        <w:r>
          <w:t>42</w:t>
        </w:r>
        <w:r>
          <w:fldChar w:fldCharType="end"/>
        </w:r>
      </w:hyperlink>
    </w:p>
    <w:p>
      <w:pPr>
        <w:pStyle w:val="TOC2"/>
        <w:tabs>
          <w:tab w:val="right" w:leader="dot" w:pos="8306"/>
        </w:tabs>
      </w:pPr>
      <w:hyperlink w:anchor="_Toc21683" w:history="1">
        <w:r>
          <w:rPr>
            <w:rFonts w:ascii="仿宋" w:eastAsia="仿宋" w:hAnsi="仿宋" w:cs="仿宋" w:hint="eastAsia"/>
            <w:lang w:eastAsia="zh-CN"/>
          </w:rPr>
          <w:t>(七)、机械设备安全保障措施</w:t>
        </w:r>
        <w:r>
          <w:tab/>
        </w:r>
        <w:r>
          <w:fldChar w:fldCharType="begin"/>
        </w:r>
        <w:r>
          <w:instrText xml:space="preserve"> PAGEREF _Toc21683 \h </w:instrText>
        </w:r>
        <w:r>
          <w:fldChar w:fldCharType="separate"/>
        </w:r>
        <w:r>
          <w:t>43</w:t>
        </w:r>
        <w:r>
          <w:fldChar w:fldCharType="end"/>
        </w:r>
      </w:hyperlink>
    </w:p>
    <w:p>
      <w:pPr>
        <w:pStyle w:val="TOC1"/>
        <w:tabs>
          <w:tab w:val="right" w:leader="dot" w:pos="8306"/>
        </w:tabs>
      </w:pPr>
      <w:hyperlink w:anchor="_Toc6060" w:history="1">
        <w:r>
          <w:rPr>
            <w:rFonts w:ascii="仿宋" w:eastAsia="仿宋" w:hAnsi="仿宋" w:cs="仿宋" w:hint="eastAsia"/>
            <w:lang w:eastAsia="zh-CN"/>
          </w:rPr>
          <w:t>十三、营销与推广策略</w:t>
        </w:r>
        <w:r>
          <w:tab/>
        </w:r>
        <w:r>
          <w:fldChar w:fldCharType="begin"/>
        </w:r>
        <w:r>
          <w:instrText xml:space="preserve"> PAGEREF _Toc6060 \h </w:instrText>
        </w:r>
        <w:r>
          <w:fldChar w:fldCharType="separate"/>
        </w:r>
        <w:r>
          <w:t>45</w:t>
        </w:r>
        <w:r>
          <w:fldChar w:fldCharType="end"/>
        </w:r>
      </w:hyperlink>
    </w:p>
    <w:p>
      <w:pPr>
        <w:pStyle w:val="TOC2"/>
        <w:tabs>
          <w:tab w:val="right" w:leader="dot" w:pos="8306"/>
        </w:tabs>
      </w:pPr>
      <w:hyperlink w:anchor="_Toc4498" w:history="1">
        <w:r>
          <w:rPr>
            <w:rFonts w:ascii="仿宋" w:eastAsia="仿宋" w:hAnsi="仿宋" w:cs="仿宋" w:hint="eastAsia"/>
            <w:lang w:eastAsia="zh-CN"/>
          </w:rPr>
          <w:t>(一)、产品/服务定位与特点</w:t>
        </w:r>
        <w:r>
          <w:tab/>
        </w:r>
        <w:r>
          <w:fldChar w:fldCharType="begin"/>
        </w:r>
        <w:r>
          <w:instrText xml:space="preserve"> PAGEREF _Toc4498 \h </w:instrText>
        </w:r>
        <w:r>
          <w:fldChar w:fldCharType="separate"/>
        </w:r>
        <w:r>
          <w:t>45</w:t>
        </w:r>
        <w:r>
          <w:fldChar w:fldCharType="end"/>
        </w:r>
      </w:hyperlink>
    </w:p>
    <w:p>
      <w:pPr>
        <w:pStyle w:val="TOC2"/>
        <w:tabs>
          <w:tab w:val="right" w:leader="dot" w:pos="8306"/>
        </w:tabs>
      </w:pPr>
      <w:hyperlink w:anchor="_Toc23073" w:history="1">
        <w:r>
          <w:rPr>
            <w:rFonts w:ascii="仿宋" w:eastAsia="仿宋" w:hAnsi="仿宋" w:cs="仿宋" w:hint="eastAsia"/>
            <w:lang w:eastAsia="zh-CN"/>
          </w:rPr>
          <w:t>(二)、市场定位与竞争分析</w:t>
        </w:r>
        <w:r>
          <w:tab/>
        </w:r>
        <w:r>
          <w:fldChar w:fldCharType="begin"/>
        </w:r>
        <w:r>
          <w:instrText xml:space="preserve"> PAGEREF _Toc23073 \h </w:instrText>
        </w:r>
        <w:r>
          <w:fldChar w:fldCharType="separate"/>
        </w:r>
        <w:r>
          <w:t>46</w:t>
        </w:r>
        <w:r>
          <w:fldChar w:fldCharType="end"/>
        </w:r>
      </w:hyperlink>
    </w:p>
    <w:p>
      <w:pPr>
        <w:pStyle w:val="TOC2"/>
        <w:tabs>
          <w:tab w:val="right" w:leader="dot" w:pos="8306"/>
        </w:tabs>
      </w:pPr>
      <w:hyperlink w:anchor="_Toc8611" w:history="1">
        <w:r>
          <w:rPr>
            <w:rFonts w:ascii="仿宋" w:eastAsia="仿宋" w:hAnsi="仿宋" w:cs="仿宋" w:hint="eastAsia"/>
            <w:lang w:eastAsia="zh-CN"/>
          </w:rPr>
          <w:t>(三)、营销渠道与策略</w:t>
        </w:r>
        <w:r>
          <w:tab/>
        </w:r>
        <w:r>
          <w:fldChar w:fldCharType="begin"/>
        </w:r>
        <w:r>
          <w:instrText xml:space="preserve"> PAGEREF _Toc8611 \h </w:instrText>
        </w:r>
        <w:r>
          <w:fldChar w:fldCharType="separate"/>
        </w:r>
        <w:r>
          <w:t>47</w:t>
        </w:r>
        <w:r>
          <w:fldChar w:fldCharType="end"/>
        </w:r>
      </w:hyperlink>
    </w:p>
    <w:p>
      <w:pPr>
        <w:pStyle w:val="TOC2"/>
        <w:tabs>
          <w:tab w:val="right" w:leader="dot" w:pos="8306"/>
        </w:tabs>
      </w:pPr>
      <w:hyperlink w:anchor="_Toc23487" w:history="1">
        <w:r>
          <w:rPr>
            <w:rFonts w:ascii="仿宋" w:eastAsia="仿宋" w:hAnsi="仿宋" w:cs="仿宋" w:hint="eastAsia"/>
            <w:lang w:eastAsia="zh-CN"/>
          </w:rPr>
          <w:t>(四)、推广与宣传活动</w:t>
        </w:r>
        <w:r>
          <w:tab/>
        </w:r>
        <w:r>
          <w:fldChar w:fldCharType="begin"/>
        </w:r>
        <w:r>
          <w:instrText xml:space="preserve"> PAGEREF _Toc23487 \h </w:instrText>
        </w:r>
        <w:r>
          <w:fldChar w:fldCharType="separate"/>
        </w:r>
        <w:r>
          <w:t>49</w:t>
        </w:r>
        <w:r>
          <w:fldChar w:fldCharType="end"/>
        </w:r>
      </w:hyperlink>
    </w:p>
    <w:p>
      <w:pPr>
        <w:pStyle w:val="TOC1"/>
        <w:tabs>
          <w:tab w:val="right" w:leader="dot" w:pos="8306"/>
        </w:tabs>
      </w:pPr>
      <w:hyperlink w:anchor="_Toc24309" w:history="1">
        <w:r>
          <w:rPr>
            <w:rFonts w:ascii="仿宋" w:eastAsia="仿宋" w:hAnsi="仿宋" w:cs="仿宋" w:hint="eastAsia"/>
            <w:lang w:eastAsia="zh-CN"/>
          </w:rPr>
          <w:t>十四、染料类项目治理与监督</w:t>
        </w:r>
        <w:r>
          <w:tab/>
        </w:r>
        <w:r>
          <w:fldChar w:fldCharType="begin"/>
        </w:r>
        <w:r>
          <w:instrText xml:space="preserve"> PAGEREF _Toc24309 \h </w:instrText>
        </w:r>
        <w:r>
          <w:fldChar w:fldCharType="separate"/>
        </w:r>
        <w:r>
          <w:t>54</w:t>
        </w:r>
        <w:r>
          <w:fldChar w:fldCharType="end"/>
        </w:r>
      </w:hyperlink>
    </w:p>
    <w:p>
      <w:pPr>
        <w:pStyle w:val="TOC2"/>
        <w:tabs>
          <w:tab w:val="right" w:leader="dot" w:pos="8306"/>
        </w:tabs>
      </w:pPr>
      <w:hyperlink w:anchor="_Toc22116" w:history="1">
        <w:r>
          <w:rPr>
            <w:rFonts w:ascii="仿宋" w:eastAsia="仿宋" w:hAnsi="仿宋" w:cs="仿宋" w:hint="eastAsia"/>
            <w:lang w:eastAsia="zh-CN"/>
          </w:rPr>
          <w:t>(一)、染料类项目治理结构</w:t>
        </w:r>
        <w:r>
          <w:tab/>
        </w:r>
        <w:r>
          <w:fldChar w:fldCharType="begin"/>
        </w:r>
        <w:r>
          <w:instrText xml:space="preserve"> PAGEREF _Toc22116 \h </w:instrText>
        </w:r>
        <w:r>
          <w:fldChar w:fldCharType="separate"/>
        </w:r>
        <w:r>
          <w:t>54</w:t>
        </w:r>
        <w:r>
          <w:fldChar w:fldCharType="end"/>
        </w:r>
      </w:hyperlink>
    </w:p>
    <w:p>
      <w:pPr>
        <w:pStyle w:val="TOC2"/>
        <w:tabs>
          <w:tab w:val="right" w:leader="dot" w:pos="8306"/>
        </w:tabs>
      </w:pPr>
      <w:hyperlink w:anchor="_Toc27599" w:history="1">
        <w:r>
          <w:rPr>
            <w:rFonts w:ascii="仿宋" w:eastAsia="仿宋" w:hAnsi="仿宋" w:cs="仿宋" w:hint="eastAsia"/>
            <w:lang w:eastAsia="zh-CN"/>
          </w:rPr>
          <w:t>(二)、监督与审计</w:t>
        </w:r>
        <w:r>
          <w:tab/>
        </w:r>
        <w:r>
          <w:fldChar w:fldCharType="begin"/>
        </w:r>
        <w:r>
          <w:instrText xml:space="preserve"> PAGEREF _Toc27599 \h </w:instrText>
        </w:r>
        <w:r>
          <w:fldChar w:fldCharType="separate"/>
        </w:r>
        <w:r>
          <w:t>55</w:t>
        </w:r>
        <w:r>
          <w:fldChar w:fldCharType="end"/>
        </w:r>
      </w:hyperlink>
    </w:p>
    <w:p>
      <w:pPr>
        <w:pStyle w:val="TOC1"/>
        <w:tabs>
          <w:tab w:val="right" w:leader="dot" w:pos="8306"/>
        </w:tabs>
      </w:pPr>
      <w:hyperlink w:anchor="_Toc31640" w:history="1">
        <w:r>
          <w:rPr>
            <w:rFonts w:ascii="仿宋" w:eastAsia="仿宋" w:hAnsi="仿宋" w:cs="仿宋" w:hint="eastAsia"/>
            <w:lang w:eastAsia="zh-CN"/>
          </w:rPr>
          <w:t>十五、染料类项目实施时间节点</w:t>
        </w:r>
        <w:r>
          <w:tab/>
        </w:r>
        <w:r>
          <w:fldChar w:fldCharType="begin"/>
        </w:r>
        <w:r>
          <w:instrText xml:space="preserve"> PAGEREF _Toc31640 \h </w:instrText>
        </w:r>
        <w:r>
          <w:fldChar w:fldCharType="separate"/>
        </w:r>
        <w:r>
          <w:t>56</w:t>
        </w:r>
        <w:r>
          <w:fldChar w:fldCharType="end"/>
        </w:r>
      </w:hyperlink>
    </w:p>
    <w:p>
      <w:pPr>
        <w:pStyle w:val="TOC2"/>
        <w:tabs>
          <w:tab w:val="right" w:leader="dot" w:pos="8306"/>
        </w:tabs>
      </w:pPr>
      <w:hyperlink w:anchor="_Toc21134" w:history="1">
        <w:r>
          <w:rPr>
            <w:rFonts w:ascii="仿宋" w:eastAsia="仿宋" w:hAnsi="仿宋" w:cs="仿宋" w:hint="eastAsia"/>
            <w:lang w:eastAsia="zh-CN"/>
          </w:rPr>
          <w:t>(一)、染料类项目启动阶段时间节点</w:t>
        </w:r>
        <w:r>
          <w:tab/>
        </w:r>
        <w:r>
          <w:fldChar w:fldCharType="begin"/>
        </w:r>
        <w:r>
          <w:instrText xml:space="preserve"> PAGEREF _Toc21134 \h </w:instrText>
        </w:r>
        <w:r>
          <w:fldChar w:fldCharType="separate"/>
        </w:r>
        <w:r>
          <w:t>56</w:t>
        </w:r>
        <w:r>
          <w:fldChar w:fldCharType="end"/>
        </w:r>
      </w:hyperlink>
    </w:p>
    <w:p>
      <w:pPr>
        <w:pStyle w:val="TOC2"/>
        <w:tabs>
          <w:tab w:val="right" w:leader="dot" w:pos="8306"/>
        </w:tabs>
      </w:pPr>
      <w:hyperlink w:anchor="_Toc5998" w:history="1">
        <w:r>
          <w:rPr>
            <w:rFonts w:ascii="仿宋" w:eastAsia="仿宋" w:hAnsi="仿宋" w:cs="仿宋" w:hint="eastAsia"/>
            <w:lang w:eastAsia="zh-CN"/>
          </w:rPr>
          <w:t>(二)、染料类项目执行阶段时间节点</w:t>
        </w:r>
        <w:r>
          <w:tab/>
        </w:r>
        <w:r>
          <w:fldChar w:fldCharType="begin"/>
        </w:r>
        <w:r>
          <w:instrText xml:space="preserve"> PAGEREF _Toc5998 \h </w:instrText>
        </w:r>
        <w:r>
          <w:fldChar w:fldCharType="separate"/>
        </w:r>
        <w:r>
          <w:t>58</w:t>
        </w:r>
        <w:r>
          <w:fldChar w:fldCharType="end"/>
        </w:r>
      </w:hyperlink>
    </w:p>
    <w:p>
      <w:pPr>
        <w:pStyle w:val="TOC2"/>
        <w:tabs>
          <w:tab w:val="right" w:leader="dot" w:pos="8306"/>
        </w:tabs>
      </w:pPr>
      <w:hyperlink w:anchor="_Toc5495" w:history="1">
        <w:r>
          <w:rPr>
            <w:rFonts w:ascii="仿宋" w:eastAsia="仿宋" w:hAnsi="仿宋" w:cs="仿宋" w:hint="eastAsia"/>
            <w:lang w:eastAsia="zh-CN"/>
          </w:rPr>
          <w:t>(三)、染料类项目完成阶段时间节点</w:t>
        </w:r>
        <w:r>
          <w:tab/>
        </w:r>
        <w:r>
          <w:fldChar w:fldCharType="begin"/>
        </w:r>
        <w:r>
          <w:instrText xml:space="preserve"> PAGEREF _Toc5495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295"/>
      <w:r>
        <w:rPr>
          <w:rFonts w:ascii="仿宋" w:eastAsia="仿宋" w:hAnsi="仿宋" w:cs="仿宋" w:hint="eastAsia"/>
          <w:sz w:val="28"/>
          <w:lang w:eastAsia="zh-CN"/>
        </w:rPr>
        <w:t>一、染料类项目建设单位说明</w:t>
      </w:r>
      <w:bookmarkEnd w:id="2"/>
    </w:p>
    <w:p>
      <w:pPr>
        <w:pStyle w:val="Heading2"/>
        <w:rPr>
          <w:rFonts w:ascii="仿宋" w:eastAsia="仿宋" w:hAnsi="仿宋" w:cs="仿宋" w:hint="eastAsia"/>
          <w:lang w:eastAsia="zh-CN"/>
        </w:rPr>
      </w:pPr>
      <w:bookmarkStart w:id="3" w:name="_Toc4680"/>
      <w:r>
        <w:rPr>
          <w:rFonts w:ascii="仿宋" w:eastAsia="仿宋" w:hAnsi="仿宋" w:cs="仿宋" w:hint="eastAsia"/>
          <w:lang w:eastAsia="zh-CN"/>
        </w:rPr>
        <w:t>(一)、染料类项目承办单位基本情况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138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染料类项目承办单位的XXXX，我们着眼于实现可持续的经济效益。通过技术创新和解决方案的提供，公司预计在染料类项目执行期间将获得可观的收入增长。这一收入来源主要包括染料类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同时，我们注重成本控制和效率提升，以确保染料类项目的可持续盈利。透过精细的管理和资源优化，公司期望实现染料类项目利润最大化。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染料类项目实施进行全面的投资评估，包括染料类项目启动阶段的资金投入和后续运营成本。通过对染料类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染料类项目实施过程中具备足够的资金流动性，公司将进行详尽的现金流分析。这包括资金需求的合理预测、染料类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578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815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染料类项目的技术管理特点体现在其创新导向。通过引入最先进的技术趋势和解决方案，染料类项目致力于提升科技含量、提高质量和效率水平。这意味着我们将采用最新的工具和方法，确保染料类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染料类项目技术管理的显著特征。通过整合不同领域的技术资源，我们实现了跨学科的协同工作。这有助于优化技术架构，提高整体效能。此外，整合性策略还促进了不同技术团队之间的紧密沟通和高效合作，确保染料类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染料类项目所采用的技术。通过不断优化技术方案，染料类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染料类项目团队将在染料类项目初期识别可能的技术风险，并采取相应的预防和应对措施。通过建立健全的风险评估机制，染料类项目能够在实施过程中及时发现并解决潜在的技术问题，保障染料类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通过这些独特的技术管理特点，我们确信在染料类项目中，技术将成为染料类项目成功的有力支持。这一深度剖析揭示了技术管理在染料类项目实施中的关键作用，为染料类项目的技术基础奠定了坚实的基础。</w:t>
      </w:r>
    </w:p>
    <w:p>
      <w:pPr>
        <w:pStyle w:val="Heading2"/>
        <w:ind w:firstLine="560" w:firstLineChars="200"/>
        <w:rPr>
          <w:rFonts w:ascii="仿宋" w:eastAsia="仿宋" w:hAnsi="仿宋" w:cs="仿宋" w:hint="eastAsia"/>
          <w:sz w:val="28"/>
          <w:lang w:eastAsia="zh-CN"/>
        </w:rPr>
      </w:pPr>
      <w:bookmarkStart w:id="7" w:name="_Toc22699"/>
      <w:r>
        <w:rPr>
          <w:rFonts w:ascii="仿宋" w:eastAsia="仿宋" w:hAnsi="仿宋" w:cs="仿宋" w:hint="eastAsia"/>
          <w:sz w:val="28"/>
          <w:lang w:eastAsia="zh-CN"/>
        </w:rPr>
        <w:t>(二)、染料类项目工艺技术设计方案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染料类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染料类项目将严格按照相关行业规范要求进行组织。通过有效控制产品质量，染料类项目将致力于为顾客提供优质的染料类项目产品和良好的服务。这体现了染料类项目对于生产活动合规性和质量标准的高度重视，为染料类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染料类项目注重生态效益和清洁生产原则。染料类项目建设将紧密结合地方特色经济发展，与社会经济发展规划和区域环境保护规划方案相协调一致。通过与当地区域自然生态系统的结合，染料类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染料类项目产品具有多样化的客户需求和个性化的特点。因此，染料类项目产品规格品种多样，且单批生产数量较小。为满足这一特点，染料类项目承办单位将建设先进的柔性制造生产线。通过广泛应用柔性制造技术，染料类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染料类项目采用的技术具有较高的技术含量和自动化水平，处于国内先进水平。这一技术选用不仅体现了对生产效率、质量和环境友好性的高标准要求，同时为染料类项目的可持续发展奠定了坚实的基础。</w:t>
      </w:r>
    </w:p>
    <w:p>
      <w:pPr>
        <w:pStyle w:val="Heading2"/>
        <w:ind w:firstLine="560" w:firstLineChars="200"/>
        <w:rPr>
          <w:rFonts w:ascii="仿宋" w:eastAsia="仿宋" w:hAnsi="仿宋" w:cs="仿宋" w:hint="eastAsia"/>
          <w:sz w:val="28"/>
          <w:lang w:eastAsia="zh-CN"/>
        </w:rPr>
      </w:pPr>
      <w:bookmarkStart w:id="8" w:name="_Toc1099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为确保染料类项目的高效生产和技术实施，我们制定了一套精心设计的设备选型方案，以满足染料类项目生产、质量和环保的要求。该方案的主要特点如下：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染料类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针对染料类项目产品的多样性和小批量生产的特点，我们将建设柔性制造生产线。通过在设备选型中考虑柔性制造技术，可以灵活应对不同产品规格和生产需求，实现生产线的高度灵活性和适应性。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1564"/>
      <w:r>
        <w:rPr>
          <w:rFonts w:ascii="仿宋" w:eastAsia="仿宋" w:hAnsi="仿宋" w:cs="仿宋" w:hint="eastAsia"/>
          <w:sz w:val="28"/>
          <w:lang w:eastAsia="zh-CN"/>
        </w:rPr>
        <w:t>三、染料类项目文档管理</w:t>
      </w:r>
      <w:bookmarkEnd w:id="9"/>
    </w:p>
    <w:p>
      <w:pPr>
        <w:pStyle w:val="Heading2"/>
        <w:rPr>
          <w:rFonts w:ascii="仿宋" w:eastAsia="仿宋" w:hAnsi="仿宋" w:cs="仿宋" w:hint="eastAsia"/>
          <w:lang w:eastAsia="zh-CN"/>
        </w:rPr>
      </w:pPr>
      <w:bookmarkStart w:id="10" w:name="_Toc11696"/>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染料类项目高度重视文档的质量和准确性，以支持染料类项目的各项活动和决策。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染料类项目文档的编制始于染料类项目计划的初期，我们制定了详细的文档编制计划，明确了每个文档的内容、格式和编写责任人。在染料类项目启动阶段，我们首先编制了染料类项目章程，明确定义了染料类项目的目标、范围、风险等关键要素。随后，染料类项目团队根据计划陆续编制了需求文档、设计文档、测试文档等各类文档，确保染料类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染料类项目管理中的重要环节，旨在确保染料类项目文档符合质量标准和染料类项目需求。在染料类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除了内部审查，我们还进行了外部审查，邀请染料类项目相关利益方和专业领域的专家对文档进行独立审查。这有助于获取更全面、客观的反馈，确保染料类项目文档不仅符合内部标准，也满足外部需求。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染料类项目在文档编制与审查方面建立了严格的管理机制，通过规范的流程和多维度的审查，确保染料类项目文档的质量、准确性和可靠性，为染料类项目的顺利推进提供了有力支持。</w:t>
      </w:r>
    </w:p>
    <w:p>
      <w:pPr>
        <w:pStyle w:val="Heading2"/>
        <w:ind w:firstLine="560" w:firstLineChars="200"/>
        <w:rPr>
          <w:rFonts w:ascii="仿宋" w:eastAsia="仿宋" w:hAnsi="仿宋" w:cs="仿宋" w:hint="eastAsia"/>
          <w:sz w:val="28"/>
          <w:lang w:eastAsia="zh-CN"/>
        </w:rPr>
      </w:pPr>
      <w:bookmarkStart w:id="11" w:name="_Toc32620"/>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在染料类项目中，我们致力于优化文档发布与分发过程，以确保信息的高效传递和团队间协作的顺畅进行。以下是我们采取的关键优化策略：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我们通过多渠道发布文档，包括电子邮件、染料类项目管理平台、内部网站等，以满足不同团队成员的偏好和需求。多渠道发布确保了信息的全面覆盖。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我们采用了精细的权限控制，确保只有授权人员可以访问敏感信息。这种安全措施保护了染料类项目文档的机密性，防止了未经授权的信息泄露。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5711"/>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文档存档与归档是染料类项目生命周期中一个至关重要的环节，直接关系到染料类项目信息的长期保存和历史记录的完整性。在染料类项目中，我们实施了一系列有效的文档存档与归档管理策略：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3444"/>
      <w:r>
        <w:rPr>
          <w:rFonts w:ascii="仿宋" w:eastAsia="仿宋" w:hAnsi="仿宋" w:cs="仿宋" w:hint="eastAsia"/>
          <w:sz w:val="28"/>
          <w:lang w:eastAsia="zh-CN"/>
        </w:rPr>
        <w:t>四、染料类项目绩效评估</w:t>
      </w:r>
      <w:bookmarkEnd w:id="13"/>
    </w:p>
    <w:p>
      <w:pPr>
        <w:pStyle w:val="Heading2"/>
        <w:rPr>
          <w:rFonts w:ascii="仿宋" w:eastAsia="仿宋" w:hAnsi="仿宋" w:cs="仿宋" w:hint="eastAsia"/>
          <w:lang w:eastAsia="zh-CN"/>
        </w:rPr>
      </w:pPr>
      <w:bookmarkStart w:id="14" w:name="_Toc9064"/>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在染料类项目中，我们设计了一套全面的绩效评估指标，以确保染料类项目的可控和成功交付。这些指标跨足染料类项目目标、成本、进度和质量等多个维度，为我们提供了全面洞察染料类项目的健康状况。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染料类项目目标达成率是我们关注的首要指标。我们设定了明确的目标，并通过定期监测和评估，迅速发现并应对潜在的目标偏差。这为染料类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成本绩效是另一个核心关注点。通过实际成本与预算成本的对比分析，我们深入了解成本差异的原因，及时调整资源分配，保持染料类项目在经济效益方面的合理水平。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染料类项目进度作为关键的绩效指标之一，得到了精心的关注。我们制定了详细的染料类项目进度计划，并设立了进度符合度指标，确保实际进度与计划进度保持一致。这使我们能够快速发现和解决潜在的进度问题，保持染料类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染料类项目绩效的不可或缺的一环。我们引入了一系列的质量标准和客户满意度指标，以确保染料类项目交付的成果在质量上达到或超越预期水平。通过持续监测这些指标，我们努力提升染料类项目整体质量水平，为染料类项目的成功交付提供有力保障。通过这些科学且全面的绩效评估，我们能够更好地引导染料类项目的持续改进，确保染料类项目目标的顺利达成。</w:t>
      </w:r>
    </w:p>
    <w:p>
      <w:pPr>
        <w:pStyle w:val="Heading2"/>
        <w:ind w:firstLine="560" w:firstLineChars="200"/>
        <w:rPr>
          <w:rFonts w:ascii="仿宋" w:eastAsia="仿宋" w:hAnsi="仿宋" w:cs="仿宋" w:hint="eastAsia"/>
          <w:sz w:val="28"/>
          <w:lang w:eastAsia="zh-CN"/>
        </w:rPr>
      </w:pPr>
      <w:bookmarkStart w:id="15" w:name="_Toc9392"/>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绩效评估是染料类项目中的关键环节，为确保染料类项目达到预期目标，我们采用了多层次、多维度的绩效评估方法。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染料类项目的战略目标对齐，确保每个决策和行动都与染料类项目整体目标保持一致。团队会定期召开战略对齐会议，审视当前工作与染料类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染料类项目进度、质量、成本和风险等方面。这些指标通过数据收集和分析，为染料类项目管理团队提供了客观的评估依据。例如，我们通过染料类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绩效评估不仅仅停留在染料类项目内部，还考虑了染料类项目对外部环境的影响。我们定期进行干系人满意度调查，以了解各利益相关方对染料类项目的期望和满意度，并及时做出调整。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这种多层次、多角度的绩效评估方法，使得我们能够全面了解染料类项目的运行状态，及时做出调整，确保染料类项目在不断变化的环境中保持稳健前行。</w:t>
      </w:r>
    </w:p>
    <w:p>
      <w:pPr>
        <w:pStyle w:val="Heading2"/>
        <w:ind w:firstLine="560" w:firstLineChars="200"/>
        <w:rPr>
          <w:rFonts w:ascii="仿宋" w:eastAsia="仿宋" w:hAnsi="仿宋" w:cs="仿宋" w:hint="eastAsia"/>
          <w:sz w:val="28"/>
          <w:lang w:eastAsia="zh-CN"/>
        </w:rPr>
      </w:pPr>
      <w:bookmarkStart w:id="16" w:name="_Toc30591"/>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为了确保染料类项目的有效管理和不断优化，我们采用了精心设计的绩效评估周期。这个周期旨在实现灵活、实时和全面的评估，以适应染料类项目执行中的各种挑战。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染料类项目的不同需求，分为短期、中期和长期。短期评估关注每个迭代或工作周期，以及时发现和解决当前任务中的问题。中期评估涵盖几个迭代，深入了解整体染料类项目的趋势和性能。长期评估则着眼于整个染料类项目阶段，确保染料类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染料类项目管理工具和协作平台，团队成员能够随时更新和分享染料类项目数据。这种实时性的反馈机制使我们能够及时察觉潜在问题，快速调整，保持染料类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染料类项目的决策制定密不可分。每个周期的染料类项目回顾会议成为集体总结经验、识别问题深层次原因并找到创新解决方案的平台。这种定期的反思与调整机制使染料类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6225"/>
      <w:r>
        <w:rPr>
          <w:rFonts w:ascii="仿宋" w:eastAsia="仿宋" w:hAnsi="仿宋" w:cs="仿宋" w:hint="eastAsia"/>
          <w:sz w:val="28"/>
          <w:lang w:eastAsia="zh-CN"/>
        </w:rPr>
        <w:t>五、染料类项目危机管理</w:t>
      </w:r>
      <w:bookmarkEnd w:id="17"/>
    </w:p>
    <w:p>
      <w:pPr>
        <w:pStyle w:val="Heading2"/>
        <w:rPr>
          <w:rFonts w:ascii="仿宋" w:eastAsia="仿宋" w:hAnsi="仿宋" w:cs="仿宋" w:hint="eastAsia"/>
          <w:lang w:eastAsia="zh-CN"/>
        </w:rPr>
      </w:pPr>
      <w:bookmarkStart w:id="18" w:name="_Toc21133"/>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染料类项目危机管理中，危机预警与识别是确保染料类项目稳健运行的核心步骤。通过建立全面的监测机制，染料类项目团队旨在及时发现和理解潜在的风险和危机因素，以便采取及时的预防和应对措施，确保染料类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首先，通过深入的风险评估，染料类项目团队全面分析了整个染料类项目和各个阶段可能存在的威胁。这包括准确评估每个潜在风险的发生概率和可能影响的程度，为后续危机预警提供了有力支持。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染料类项目团队着重于明确定义染料类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染料类项目进展的持续监控，团队能够及时发现潜在问题并作出迅速反应。染料类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在这一阶段，团队的专业素养和反应速度将发挥至关重要的作用，以确保潜在危机能够在初期得到有效的处理，最大程度地减轻负面影响。通过危机预警与识别，染料类项目得以更有序、可控地推进。</w:t>
      </w:r>
    </w:p>
    <w:p>
      <w:pPr>
        <w:pStyle w:val="Heading2"/>
        <w:ind w:firstLine="560" w:firstLineChars="200"/>
        <w:rPr>
          <w:rFonts w:ascii="仿宋" w:eastAsia="仿宋" w:hAnsi="仿宋" w:cs="仿宋" w:hint="eastAsia"/>
          <w:sz w:val="28"/>
          <w:lang w:eastAsia="zh-CN"/>
        </w:rPr>
      </w:pPr>
      <w:bookmarkStart w:id="19" w:name="_Toc21618"/>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在危机发生时，染料类项目团队立即行动，成立了应急小组。该小组的任务是迅速制定并实施紧急应对措施，以最小化潜在损失。以下是采取的主要措施：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暂停染料类项目进度：为遏制危机蔓延，染料类项目暂时停止进行，以便全面评估当前状况。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资源重新分配：重新评估染料类项目资源的分配，确保最大限度地减小损失。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实时沟通：与关键利益相关者建立实时沟通机制，向他们传递染料类项目危机的实际状况，保障染料类项目核心利益。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在紧急应对的同时，染料类项目团队强调了团队协作和有效沟通的重要性。以下是团队协作的关键举措：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信息共享机制：建立了信息共享平台，确保团队成员能够及时获取染料类项目危机的实时信息。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领导者沟通：染料类项目领导者通过定期会议和即时沟通工具，指导团队应对危机，保持团队稳定运行。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https://d.book118.com/345311334010011124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染料类项目规划设计纲要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染料类项目规划设计纲要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染料类项目规划设计纲要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染料类项目规划设计纲要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染料类项目规划设计纲要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染料类项目规划设计纲要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染料类项目规划设计纲要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染料类项目规划设计纲要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染料类项目规划设计纲要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染料类项目规划设计纲要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染料类项目规划设计纲要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染料类项目规划设计纲要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染料类项目规划设计纲要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染料类项目规划设计纲要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染料类项目规划设计纲要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染料类项目规划设计纲要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染料类项目规划设计纲要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2F7E17"/>
    <w:rsid w:val="272F7E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531133401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2024-03-05T18:04:00Z</dcterms:created>
  <dcterms:modified xsi:type="dcterms:W3CDTF">2024-03-05T18:04:59Z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5634D8F8248E4505B9949D954735CBAF_11</vt:lpwstr>
  </property>
  <property fmtid="{D5CDD505-2E9C-101B-9397-08002B2CF9AE}" pid="3" name="KSOProductBuildVer">
    <vt:lpwstr>2052-12.1.0.16388</vt:lpwstr>
  </property>
</Properties>
</file>