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85"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drawing>
          <wp:anchor distT="0" distB="0" distL="114300" distR="114300" simplePos="0" relativeHeight="251658240" behindDoc="0" locked="0" layoutInCell="1" allowOverlap="1">
            <wp:simplePos x="0" y="0"/>
            <wp:positionH relativeFrom="page">
              <wp:posOffset>11493500</wp:posOffset>
            </wp:positionH>
            <wp:positionV relativeFrom="topMargin">
              <wp:posOffset>11353800</wp:posOffset>
            </wp:positionV>
            <wp:extent cx="419100" cy="444500"/>
            <wp:effectExtent l="0" t="0" r="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xmlns:r="http://schemas.openxmlformats.org/officeDocument/2006/relationships" r:embed="rId5"/>
                    <a:stretch>
                      <a:fillRect/>
                    </a:stretch>
                  </pic:blipFill>
                  <pic:spPr>
                    <a:xfrm>
                      <a:off x="0" y="0"/>
                      <a:ext cx="419100" cy="444500"/>
                    </a:xfrm>
                    <a:prstGeom prst="rect">
                      <a:avLst/>
                    </a:prstGeom>
                  </pic:spPr>
                </pic:pic>
              </a:graphicData>
            </a:graphic>
          </wp:anchor>
        </w:drawing>
      </w:r>
      <w:r>
        <w:rPr>
          <w:rFonts w:ascii="微软雅黑" w:eastAsia="微软雅黑" w:hAnsi="微软雅黑" w:cs="微软雅黑" w:hint="eastAsia"/>
          <w:b/>
          <w:color w:val="000000"/>
          <w:sz w:val="32"/>
        </w:rPr>
        <w:t>2022</w:t>
      </w:r>
      <w:r>
        <w:rPr>
          <w:rFonts w:ascii="微软雅黑" w:eastAsia="微软雅黑" w:hAnsi="微软雅黑" w:cs="微软雅黑" w:hint="eastAsia"/>
          <w:b/>
          <w:color w:val="000000"/>
          <w:sz w:val="32"/>
        </w:rPr>
        <w:t>年天津市普通高中学业水平等级性考试</w:t>
      </w:r>
    </w:p>
    <w:p>
      <w:pPr>
        <w:spacing w:line="285"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生物学</w:t>
      </w:r>
    </w:p>
    <w:p>
      <w:pPr>
        <w:spacing w:line="285"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一、选择题</w:t>
      </w:r>
    </w:p>
    <w:p>
      <w:pPr>
        <w:spacing w:line="360" w:lineRule="auto"/>
        <w:jc w:val="left"/>
        <w:rPr>
          <w:rFonts w:ascii="微软雅黑" w:eastAsia="微软雅黑" w:hAnsi="微软雅黑" w:cs="微软雅黑" w:hint="eastAsia"/>
          <w:color w:val="000000"/>
        </w:rPr>
      </w:pP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新冠病毒抗原检测的对象是蛋白质，其基本组成单位是（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氨基酸</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核苷酸</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单糖</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脂肪酸</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【分析】氨基酸是组成蛋白质的基本单位，构成生物体蛋白质的氨基酸特点：每个氨基酸分子至少有一个氨基（—NH</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 xml:space="preserve"> ），一个羧基（—COOH ），而且都有一个氨基和一个羧基连接在同一个碳原子上，这个碳原子还连接一个氢原子和一个侧链基团，这个侧链基团用R表示，R基不同，氨基酸不同。</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【详解】ABCD、蛋白质是生物大分子，其基本单位是氨基酸，BCD错误，A正确。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故选A。</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rPr>
        <w:t>下列生理过程的完成</w:t>
      </w:r>
      <w:r>
        <w:rPr>
          <w:rFonts w:ascii="微软雅黑" w:eastAsia="微软雅黑" w:hAnsi="微软雅黑" w:cs="微软雅黑" w:hint="eastAsia"/>
          <w:color w:val="000000"/>
          <w:em w:val="dot"/>
        </w:rPr>
        <w:t>不需要</w:t>
      </w:r>
      <w:r>
        <w:rPr>
          <w:rFonts w:ascii="微软雅黑" w:eastAsia="微软雅黑" w:hAnsi="微软雅黑" w:cs="微软雅黑" w:hint="eastAsia"/>
          <w:color w:val="000000"/>
        </w:rPr>
        <w:t>两者结合的是（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神经递质作用于突触后膜上的受体</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抗体作用于相应的抗原</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Ca</w:t>
      </w:r>
      <w:r>
        <w:rPr>
          <w:rFonts w:ascii="微软雅黑" w:eastAsia="微软雅黑" w:hAnsi="微软雅黑" w:cs="微软雅黑" w:hint="eastAsia"/>
          <w:color w:val="000000"/>
          <w:vertAlign w:val="superscript"/>
        </w:rPr>
        <w:t>2+</w:t>
      </w:r>
      <w:r>
        <w:rPr>
          <w:rFonts w:ascii="微软雅黑" w:eastAsia="微软雅黑" w:hAnsi="微软雅黑" w:cs="微软雅黑" w:hint="eastAsia"/>
          <w:color w:val="000000"/>
        </w:rPr>
        <w:t>载体蛋白运输</w:t>
      </w:r>
      <w:r>
        <w:rPr>
          <w:rFonts w:ascii="微软雅黑" w:eastAsia="微软雅黑" w:hAnsi="微软雅黑" w:cs="微软雅黑" w:hint="eastAsia"/>
          <w:color w:val="000000"/>
        </w:rPr>
        <w:t>Ca</w:t>
      </w:r>
      <w:r>
        <w:rPr>
          <w:rFonts w:ascii="微软雅黑" w:eastAsia="微软雅黑" w:hAnsi="微软雅黑" w:cs="微软雅黑" w:hint="eastAsia"/>
          <w:color w:val="000000"/>
          <w:vertAlign w:val="superscript"/>
        </w:rPr>
        <w:t>2+</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K</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通道蛋白运输</w:t>
      </w:r>
      <w:r>
        <w:rPr>
          <w:rFonts w:ascii="微软雅黑" w:eastAsia="微软雅黑" w:hAnsi="微软雅黑" w:cs="微软雅黑" w:hint="eastAsia"/>
          <w:color w:val="000000"/>
        </w:rPr>
        <w:t>K</w:t>
      </w:r>
      <w:r>
        <w:rPr>
          <w:rFonts w:ascii="微软雅黑" w:eastAsia="微软雅黑" w:hAnsi="微软雅黑" w:cs="微软雅黑" w:hint="eastAsia"/>
          <w:color w:val="000000"/>
          <w:vertAlign w:val="superscript"/>
        </w:rPr>
        <w:t>+</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sectPr>
          <w:headerReference w:type="even" r:id="rId6"/>
          <w:footerReference w:type="even" r:id="rId7"/>
          <w:headerReference w:type="first" r:id="rId8"/>
          <w:footerReference w:type="first" r:id="rId9"/>
          <w:pgSz w:w="11906" w:h="16838"/>
          <w:pgMar w:top="910" w:right="1080" w:bottom="1440" w:left="1080" w:header="152" w:footer="0" w:gutter="0"/>
          <w:cols w:num="1" w:space="720"/>
          <w:docGrid w:type="lines" w:linePitch="312" w:charSpace="0"/>
        </w:sectPr>
      </w:pPr>
      <w:r>
        <w:rPr>
          <w:rFonts w:ascii="微软雅黑" w:eastAsia="微软雅黑" w:hAnsi="微软雅黑" w:cs="微软雅黑" w:hint="eastAsia"/>
          <w:color w:val="000000"/>
        </w:rPr>
        <w:t>【分析】载体蛋白只容许与自身结合部位相适应的分子或离子通过，而且每次转运时都会发生自身构象的变化；通道蛋白只容许与自身通道的直径和形状相适配、大小和电荷相适宜的分子或离子通过，分子或离子通过通道蛋白时，不需要与通道蛋白结合。</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【详解】A、神经递质是由突触前膜释放，与突触后膜上相应受体结合后引起离子通道的打开，A不符合题意；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B、抗原与相应抗体结合后可形成沉淀或者细胞集团，被吞噬细胞消化分解，B不符合题意；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C、Ca</w:t>
      </w:r>
      <w:r>
        <w:rPr>
          <w:rFonts w:ascii="微软雅黑" w:eastAsia="微软雅黑" w:hAnsi="微软雅黑" w:cs="微软雅黑" w:hint="eastAsia"/>
          <w:color w:val="000000"/>
          <w:vertAlign w:val="superscript"/>
        </w:rPr>
        <w:t>2+</w:t>
      </w:r>
      <w:r>
        <w:rPr>
          <w:rFonts w:ascii="微软雅黑" w:eastAsia="微软雅黑" w:hAnsi="微软雅黑" w:cs="微软雅黑" w:hint="eastAsia"/>
          <w:color w:val="000000"/>
        </w:rPr>
        <w:t>载体蛋白与Ca</w:t>
      </w:r>
      <w:r>
        <w:rPr>
          <w:rFonts w:ascii="微软雅黑" w:eastAsia="微软雅黑" w:hAnsi="微软雅黑" w:cs="微软雅黑" w:hint="eastAsia"/>
          <w:color w:val="000000"/>
          <w:vertAlign w:val="superscript"/>
        </w:rPr>
        <w:t>2+</w:t>
      </w:r>
      <w:r>
        <w:rPr>
          <w:rFonts w:ascii="微软雅黑" w:eastAsia="微软雅黑" w:hAnsi="微软雅黑" w:cs="微软雅黑" w:hint="eastAsia"/>
          <w:color w:val="000000"/>
        </w:rPr>
        <w:t>结合，Ca</w:t>
      </w:r>
      <w:r>
        <w:rPr>
          <w:rFonts w:ascii="微软雅黑" w:eastAsia="微软雅黑" w:hAnsi="微软雅黑" w:cs="微软雅黑" w:hint="eastAsia"/>
          <w:color w:val="000000"/>
          <w:vertAlign w:val="superscript"/>
        </w:rPr>
        <w:t>2+</w:t>
      </w:r>
      <w:r>
        <w:rPr>
          <w:rFonts w:ascii="微软雅黑" w:eastAsia="微软雅黑" w:hAnsi="微软雅黑" w:cs="微软雅黑" w:hint="eastAsia"/>
          <w:color w:val="000000"/>
        </w:rPr>
        <w:t>载体蛋白发生自身构象的变化，从而运输Ca</w:t>
      </w:r>
      <w:r>
        <w:rPr>
          <w:rFonts w:ascii="微软雅黑" w:eastAsia="微软雅黑" w:hAnsi="微软雅黑" w:cs="微软雅黑" w:hint="eastAsia"/>
          <w:color w:val="000000"/>
          <w:vertAlign w:val="superscript"/>
        </w:rPr>
        <w:t>2+</w:t>
      </w:r>
      <w:r>
        <w:rPr>
          <w:rFonts w:ascii="微软雅黑" w:eastAsia="微软雅黑" w:hAnsi="微软雅黑" w:cs="微软雅黑" w:hint="eastAsia"/>
          <w:color w:val="000000"/>
        </w:rPr>
        <w:t>，C不符合题意；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D、分子或离子通过通道蛋白时，不需要与通道蛋白结合，因此K</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通道蛋白运输K</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时不需要与K</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结合，D符合题意。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故选D。</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下图所示实验方法的应用或原理，</w:t>
      </w:r>
      <w:r>
        <w:rPr>
          <w:rFonts w:ascii="微软雅黑" w:eastAsia="微软雅黑" w:hAnsi="微软雅黑" w:cs="微软雅黑" w:hint="eastAsia"/>
          <w:color w:val="000000"/>
          <w:em w:val="dot"/>
        </w:rPr>
        <w:t>不恰当</w:t>
      </w:r>
      <w:r>
        <w:rPr>
          <w:rFonts w:ascii="微软雅黑" w:eastAsia="微软雅黑" w:hAnsi="微软雅黑" w:cs="微软雅黑" w:hint="eastAsia"/>
          <w:color w:val="000000"/>
        </w:rPr>
        <w:t>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340"/>
        <w:gridCol w:w="2278"/>
        <w:gridCol w:w="3522"/>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实验方法</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应用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原理</w:t>
            </w:r>
          </w:p>
        </w:tc>
      </w:tr>
      <w:tr>
        <w:tblPrEx>
          <w:tblW w:w="0" w:type="auto"/>
          <w:tblInd w:w="0" w:type="dxa"/>
          <w:tblCellMar>
            <w:top w:w="120" w:type="dxa"/>
            <w:left w:w="120" w:type="dxa"/>
            <w:bottom w:w="120" w:type="dxa"/>
            <w:right w:w="120" w:type="dxa"/>
          </w:tblCellMar>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819150" cy="847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0"/>
                          <a:stretch>
                            <a:fillRect/>
                          </a:stretch>
                        </pic:blipFill>
                        <pic:spPr>
                          <a:xfrm>
                            <a:off x="0" y="0"/>
                            <a:ext cx="819150" cy="8477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w:t>
            </w:r>
            <w:r>
              <w:rPr>
                <w:rFonts w:ascii="微软雅黑" w:eastAsia="微软雅黑" w:hAnsi="微软雅黑" w:cs="微软雅黑" w:hint="eastAsia"/>
                <w:color w:val="000000"/>
              </w:rPr>
              <w:t>．分离绿叶中的色素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w:t>
            </w:r>
            <w:r>
              <w:rPr>
                <w:rFonts w:ascii="微软雅黑" w:eastAsia="微软雅黑" w:hAnsi="微软雅黑" w:cs="微软雅黑" w:hint="eastAsia"/>
                <w:color w:val="000000"/>
              </w:rPr>
              <w:t>．不同色素在层析液中溶解度不同</w:t>
            </w:r>
          </w:p>
        </w:tc>
      </w:tr>
      <w:tr>
        <w:tblPrEx>
          <w:tblW w:w="0" w:type="auto"/>
          <w:tblInd w:w="0" w:type="dxa"/>
          <w:tblCellMar>
            <w:top w:w="120" w:type="dxa"/>
            <w:left w:w="120" w:type="dxa"/>
            <w:bottom w:w="120" w:type="dxa"/>
            <w:right w:w="120" w:type="dxa"/>
          </w:tblCellMar>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1333500" cy="790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1"/>
                          <a:stretch>
                            <a:fillRect/>
                          </a:stretch>
                        </pic:blipFill>
                        <pic:spPr>
                          <a:xfrm>
                            <a:off x="0" y="0"/>
                            <a:ext cx="1333500" cy="79057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w:t>
            </w:r>
            <w:r>
              <w:rPr>
                <w:rFonts w:ascii="微软雅黑" w:eastAsia="微软雅黑" w:hAnsi="微软雅黑" w:cs="微软雅黑" w:hint="eastAsia"/>
                <w:color w:val="000000"/>
              </w:rPr>
              <w:t>．细菌计数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w:t>
            </w:r>
            <w:r>
              <w:rPr>
                <w:rFonts w:ascii="微软雅黑" w:eastAsia="微软雅黑" w:hAnsi="微软雅黑" w:cs="微软雅黑" w:hint="eastAsia"/>
                <w:color w:val="000000"/>
              </w:rPr>
              <w:t>．逐步稀释</w:t>
            </w:r>
          </w:p>
        </w:tc>
      </w:tr>
    </w:tbl>
    <w:p>
      <w:pPr>
        <w:spacing w:line="360" w:lineRule="auto"/>
        <w:jc w:val="left"/>
        <w:textAlignment w:val="center"/>
        <w:rPr>
          <w:rFonts w:ascii="微软雅黑" w:eastAsia="微软雅黑" w:hAnsi="微软雅黑" w:cs="微软雅黑" w:hint="eastAsia"/>
          <w:color w:val="000000"/>
        </w:rPr>
      </w:pP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A</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B</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C</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【分析】平板划线法：将已经熔化的培养基倒入培养皿制成平板，接种，划线，在恒温箱里培养，在线的开始部分，微生物往往连在一起生长，随着线的延伸，菌数逐渐减少，最后可能形成单个菌落。</w:t>
      </w:r>
    </w:p>
    <w:p>
      <w:pPr>
        <w:spacing w:line="360" w:lineRule="auto"/>
        <w:jc w:val="left"/>
        <w:textAlignment w:val="center"/>
        <w:rPr>
          <w:rFonts w:ascii="微软雅黑" w:eastAsia="微软雅黑" w:hAnsi="微软雅黑" w:cs="微软雅黑" w:hint="eastAsia"/>
          <w:color w:val="000000"/>
        </w:rPr>
        <w:sectPr>
          <w:headerReference w:type="even" r:id="rId12"/>
          <w:footerReference w:type="even" r:id="rId13"/>
          <w:headerReference w:type="first" r:id="rId14"/>
          <w:footerReference w:type="first" r:id="rId15"/>
          <w:type w:val="nextPage"/>
          <w:pgSz w:w="11906" w:h="16838"/>
          <w:pgMar w:top="910" w:right="1080" w:bottom="1440" w:left="1080" w:header="152" w:footer="0" w:gutter="0"/>
          <w:pgNumType w:start="2"/>
          <w:cols w:num="1" w:space="720"/>
          <w:titlePg w:val="0"/>
          <w:docGrid w:type="lines" w:linePitch="312" w:charSpace="0"/>
        </w:sect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【详解】AB、图示为分离绿叶中的色素，常用层析法，原理是各色素随层析液在滤纸上扩散速度不同，从而分离色素，溶解度大，扩散速度快;溶解度小，扩散速度慢，AB正确；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CD、图示为平板划线法，是分离微生物</w:t>
      </w:r>
      <w:r>
        <w:rPr>
          <w:rFonts w:ascii="微软雅黑" w:eastAsia="微软雅黑" w:hAnsi="微软雅黑" w:cs="微软雅黑" w:hint="eastAsia"/>
          <w:color w:val="000000"/>
        </w:rPr>
        <w:drawing>
          <wp:inline distT="0" distB="0" distL="114300" distR="114300">
            <wp:extent cx="133350" cy="177800"/>
            <wp:effectExtent l="0" t="0" r="0" b="13335"/>
            <wp:docPr id="130506" name="图片 130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06" name="图片 130506"/>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Pr>
          <w:rFonts w:ascii="微软雅黑" w:eastAsia="微软雅黑" w:hAnsi="微软雅黑" w:cs="微软雅黑" w:hint="eastAsia"/>
          <w:color w:val="000000"/>
        </w:rPr>
        <w:t>一种方法，不能用于细菌计数，是指把混杂在一起的微生物或同一微生物群体中的不同细胞，用接种环在平板表面上作多次由点到线的划线稀释而获得较多独立分布的单个细胞，并让其成长为单菌落的方法，C错误，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故选C。</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4. </w:t>
      </w:r>
      <w:r>
        <w:rPr>
          <w:rFonts w:ascii="微软雅黑" w:eastAsia="微软雅黑" w:hAnsi="微软雅黑" w:cs="微软雅黑" w:hint="eastAsia"/>
          <w:color w:val="000000"/>
        </w:rPr>
        <w:t>天津市针对甘肃古浪县水资源短缺现状，实施“农业水利现代化与智慧灌溉技术帮扶项目”，通过水肥一体化智慧灌溉和高标准农田建设，助力落实国家“药肥双减”目标，实现乡村全面振兴。项目需遵循一定生态学原理。下列原理</w:t>
      </w:r>
      <w:r>
        <w:rPr>
          <w:rFonts w:ascii="微软雅黑" w:eastAsia="微软雅黑" w:hAnsi="微软雅黑" w:cs="微软雅黑" w:hint="eastAsia"/>
          <w:color w:val="000000"/>
          <w:em w:val="dot"/>
        </w:rPr>
        <w:t>有误</w:t>
      </w:r>
      <w:r>
        <w:rPr>
          <w:rFonts w:ascii="微软雅黑" w:eastAsia="微软雅黑" w:hAnsi="微软雅黑" w:cs="微软雅黑" w:hint="eastAsia"/>
          <w:color w:val="000000"/>
        </w:rPr>
        <w:t>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人工生态系统具有一定自我调节能力</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项目实施可促进生态系统的物质与能量循环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对人类利用强度较大的生态系统，应给予相应的物质投入</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根据实际需要，合理使用水肥</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【分析】提高生态系统稳定性的措施：(</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)控制对生态系统的干扰程度。(2)实施相应的物质、能量投入，保证生态系统内部结构与功能的协调关系。</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【详解】A、生态系统具有一定的自动调节能力，但这种自动调节能力有一定限度，人工生态系统也具有一定自我调节能力，A正确；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B、能量流动是单向的，逐级递减的，不是循环的，因此不能促进能量的循环，B错误；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C、对人类利用强度较大的生态系统，应实施相应的物质、能量投入，保证生态系统内部结构与功能的协调，C正确；</w:t>
      </w:r>
    </w:p>
    <w:p>
      <w:pPr>
        <w:spacing w:line="360" w:lineRule="auto"/>
        <w:jc w:val="left"/>
        <w:textAlignment w:val="center"/>
        <w:rPr>
          <w:rFonts w:ascii="微软雅黑" w:eastAsia="微软雅黑" w:hAnsi="微软雅黑" w:cs="微软雅黑" w:hint="eastAsia"/>
          <w:color w:val="000000"/>
        </w:rPr>
        <w:sectPr>
          <w:headerReference w:type="even" r:id="rId17"/>
          <w:footerReference w:type="even" r:id="rId18"/>
          <w:headerReference w:type="first" r:id="rId19"/>
          <w:footerReference w:type="first" r:id="rId20"/>
          <w:type w:val="nextPage"/>
          <w:pgSz w:w="11906" w:h="16838"/>
          <w:pgMar w:top="910" w:right="1080" w:bottom="1440" w:left="1080" w:header="152" w:footer="0" w:gutter="0"/>
          <w:pgNumType w:start="3"/>
          <w:cols w:num="1" w:space="720"/>
          <w:titlePg w:val="0"/>
          <w:docGrid w:type="lines" w:linePitch="312" w:charSpace="0"/>
        </w:sectPr>
      </w:pPr>
      <w:r>
        <w:rPr>
          <w:rFonts w:ascii="微软雅黑" w:eastAsia="微软雅黑" w:hAnsi="微软雅黑" w:cs="微软雅黑" w:hint="eastAsia"/>
          <w:color w:val="000000"/>
        </w:rPr>
        <w:t>D、植物不同生长发育时期所需的水和无机盐是不同的，因此要根据实际需要，合理使用水肥，D正确。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故选B。</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5. </w:t>
      </w:r>
      <w:r>
        <w:rPr>
          <w:rFonts w:ascii="微软雅黑" w:eastAsia="微软雅黑" w:hAnsi="微软雅黑" w:cs="微软雅黑" w:hint="eastAsia"/>
          <w:color w:val="000000"/>
        </w:rPr>
        <w:t>小鼠</w:t>
      </w:r>
      <w:r>
        <w:rPr>
          <w:rFonts w:ascii="微软雅黑" w:eastAsia="微软雅黑" w:hAnsi="微软雅黑" w:cs="微软雅黑" w:hint="eastAsia"/>
          <w:color w:val="000000"/>
        </w:rPr>
        <w:t>A</w:t>
      </w:r>
      <w:r>
        <w:rPr>
          <w:rFonts w:ascii="微软雅黑" w:eastAsia="微软雅黑" w:hAnsi="微软雅黑" w:cs="微软雅黑" w:hint="eastAsia"/>
          <w:color w:val="000000"/>
          <w:vertAlign w:val="superscript"/>
        </w:rPr>
        <w:t>vy</w:t>
      </w:r>
      <w:r>
        <w:rPr>
          <w:rFonts w:ascii="微软雅黑" w:eastAsia="微软雅黑" w:hAnsi="微软雅黑" w:cs="微软雅黑" w:hint="eastAsia"/>
          <w:color w:val="000000"/>
        </w:rPr>
        <w:t>基因控制黄色体毛，该基因上游不同程度的甲基化修饰会导致其表达受不同程度抑制，使小鼠毛色发生可遗传的改变。有关叙述正确的是（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A</w:t>
      </w:r>
      <w:r>
        <w:rPr>
          <w:rFonts w:ascii="微软雅黑" w:eastAsia="微软雅黑" w:hAnsi="微软雅黑" w:cs="微软雅黑" w:hint="eastAsia"/>
          <w:color w:val="000000"/>
          <w:vertAlign w:val="superscript"/>
        </w:rPr>
        <w:t>vy</w:t>
      </w:r>
      <w:r>
        <w:rPr>
          <w:rFonts w:ascii="微软雅黑" w:eastAsia="微软雅黑" w:hAnsi="微软雅黑" w:cs="微软雅黑" w:hint="eastAsia"/>
          <w:color w:val="000000"/>
        </w:rPr>
        <w:t>基因的碱基序列保持不变</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甲基化促进</w:t>
      </w:r>
      <w:r>
        <w:rPr>
          <w:rFonts w:ascii="微软雅黑" w:eastAsia="微软雅黑" w:hAnsi="微软雅黑" w:cs="微软雅黑" w:hint="eastAsia"/>
          <w:color w:val="000000"/>
        </w:rPr>
        <w:t>A</w:t>
      </w:r>
      <w:r>
        <w:rPr>
          <w:rFonts w:ascii="微软雅黑" w:eastAsia="微软雅黑" w:hAnsi="微软雅黑" w:cs="微软雅黑" w:hint="eastAsia"/>
          <w:color w:val="000000"/>
          <w:vertAlign w:val="superscript"/>
        </w:rPr>
        <w:t>vy</w:t>
      </w:r>
      <w:r>
        <w:rPr>
          <w:rFonts w:ascii="微软雅黑" w:eastAsia="微软雅黑" w:hAnsi="微软雅黑" w:cs="微软雅黑" w:hint="eastAsia"/>
          <w:color w:val="000000"/>
        </w:rPr>
        <w:t>基因的转录</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甲基化导致</w:t>
      </w:r>
      <w:r>
        <w:rPr>
          <w:rFonts w:ascii="微软雅黑" w:eastAsia="微软雅黑" w:hAnsi="微软雅黑" w:cs="微软雅黑" w:hint="eastAsia"/>
          <w:color w:val="000000"/>
        </w:rPr>
        <w:t>A</w:t>
      </w:r>
      <w:r>
        <w:rPr>
          <w:rFonts w:ascii="微软雅黑" w:eastAsia="微软雅黑" w:hAnsi="微软雅黑" w:cs="微软雅黑" w:hint="eastAsia"/>
          <w:color w:val="000000"/>
          <w:vertAlign w:val="superscript"/>
        </w:rPr>
        <w:t>vy</w:t>
      </w:r>
      <w:r>
        <w:rPr>
          <w:rFonts w:ascii="微软雅黑" w:eastAsia="微软雅黑" w:hAnsi="微软雅黑" w:cs="微软雅黑" w:hint="eastAsia"/>
          <w:color w:val="000000"/>
        </w:rPr>
        <w:t>基因编码的蛋白质结构改变</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甲基化修饰不可遗传</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表观遗传是指DNA序列不发生变化，但基因的表达却发生了可遗传的改变，即基因型未发生变化而表现型却发生了改变，如DNA的甲基化，甲基化的基因不能与RNA聚合酶结合，故无法进行转录产生mRNA，也就无法进行翻译，最终无法合成相应蛋白，从而抑制了基因的表达。</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【详解】A、据题意可知，A</w:t>
      </w:r>
      <w:r>
        <w:rPr>
          <w:rFonts w:ascii="微软雅黑" w:eastAsia="微软雅黑" w:hAnsi="微软雅黑" w:cs="微软雅黑" w:hint="eastAsia"/>
          <w:color w:val="000000"/>
          <w:vertAlign w:val="superscript"/>
        </w:rPr>
        <w:t>vy</w:t>
      </w:r>
      <w:r>
        <w:rPr>
          <w:rFonts w:ascii="微软雅黑" w:eastAsia="微软雅黑" w:hAnsi="微软雅黑" w:cs="微软雅黑" w:hint="eastAsia"/>
          <w:color w:val="000000"/>
        </w:rPr>
        <w:t>基因上游不同程度的甲基化修饰，但它的碱基序列保持不变，A正确；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B、A</w:t>
      </w:r>
      <w:r>
        <w:rPr>
          <w:rFonts w:ascii="微软雅黑" w:eastAsia="微软雅黑" w:hAnsi="微软雅黑" w:cs="微软雅黑" w:hint="eastAsia"/>
          <w:color w:val="000000"/>
          <w:vertAlign w:val="superscript"/>
        </w:rPr>
        <w:t>vy</w:t>
      </w:r>
      <w:r>
        <w:rPr>
          <w:rFonts w:ascii="微软雅黑" w:eastAsia="微软雅黑" w:hAnsi="微软雅黑" w:cs="微软雅黑" w:hint="eastAsia"/>
          <w:color w:val="000000"/>
        </w:rPr>
        <w:t>基因上游不同程度的甲基化修饰会导致其表达受不同程度抑制，基因表达包括转录和翻译，据此推测，应该是甲基化抑制A</w:t>
      </w:r>
      <w:r>
        <w:rPr>
          <w:rFonts w:ascii="微软雅黑" w:eastAsia="微软雅黑" w:hAnsi="微软雅黑" w:cs="微软雅黑" w:hint="eastAsia"/>
          <w:color w:val="000000"/>
          <w:vertAlign w:val="superscript"/>
        </w:rPr>
        <w:t>vy</w:t>
      </w:r>
      <w:r>
        <w:rPr>
          <w:rFonts w:ascii="微软雅黑" w:eastAsia="微软雅黑" w:hAnsi="微软雅黑" w:cs="微软雅黑" w:hint="eastAsia"/>
          <w:color w:val="000000"/>
        </w:rPr>
        <w:t>基因的转录，B错误；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C、甲基化导致A</w:t>
      </w:r>
      <w:r>
        <w:rPr>
          <w:rFonts w:ascii="微软雅黑" w:eastAsia="微软雅黑" w:hAnsi="微软雅黑" w:cs="微软雅黑" w:hint="eastAsia"/>
          <w:color w:val="000000"/>
          <w:vertAlign w:val="superscript"/>
        </w:rPr>
        <w:t>vy</w:t>
      </w:r>
      <w:r>
        <w:rPr>
          <w:rFonts w:ascii="微软雅黑" w:eastAsia="微软雅黑" w:hAnsi="微软雅黑" w:cs="微软雅黑" w:hint="eastAsia"/>
          <w:color w:val="000000"/>
        </w:rPr>
        <w:t>基因不能完成转录，对已表达的蛋白质的结构没有影响，C错误；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D、据题意可知，甲基化修饰使小鼠毛色发生可遗传的改变，即可以遗传，D错误。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故选A。</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6. </w:t>
      </w:r>
      <w:r>
        <w:rPr>
          <w:rFonts w:ascii="微软雅黑" w:eastAsia="微软雅黑" w:hAnsi="微软雅黑" w:cs="微软雅黑" w:hint="eastAsia"/>
          <w:color w:val="000000"/>
        </w:rPr>
        <w:t>用荧光标记技术显示细胞中心体和</w:t>
      </w:r>
      <w:r>
        <w:rPr>
          <w:rFonts w:ascii="微软雅黑" w:eastAsia="微软雅黑" w:hAnsi="微软雅黑" w:cs="微软雅黑" w:hint="eastAsia"/>
          <w:color w:val="000000"/>
        </w:rPr>
        <w:t>DNA</w:t>
      </w:r>
      <w:r>
        <w:rPr>
          <w:rFonts w:ascii="微软雅黑" w:eastAsia="微软雅黑" w:hAnsi="微软雅黑" w:cs="微软雅黑" w:hint="eastAsia"/>
          <w:color w:val="000000"/>
        </w:rPr>
        <w:t>，获得有丝分裂某时期荧光图。有关叙述正确的是（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sectPr>
          <w:headerReference w:type="even" r:id="rId21"/>
          <w:footerReference w:type="even" r:id="rId22"/>
          <w:headerReference w:type="first" r:id="rId23"/>
          <w:footerReference w:type="first" r:id="rId24"/>
          <w:type w:val="nextPage"/>
          <w:pgSz w:w="11906" w:h="16838"/>
          <w:pgMar w:top="910" w:right="1080" w:bottom="1440" w:left="1080" w:header="152" w:footer="0" w:gutter="0"/>
          <w:pgNumType w:start="4"/>
          <w:cols w:num="1" w:space="720"/>
          <w:titlePg w:val="0"/>
          <w:docGrid w:type="lines" w:linePitch="312" w:charSpace="0"/>
        </w:sectPr>
      </w:pPr>
      <w:r>
        <w:rPr>
          <w:rFonts w:ascii="微软雅黑" w:eastAsia="微软雅黑" w:hAnsi="微软雅黑" w:cs="微软雅黑" w:hint="eastAsia"/>
          <w:color w:val="000000"/>
        </w:rPr>
        <w:drawing>
          <wp:inline distT="0" distB="0" distL="114300" distR="114300">
            <wp:extent cx="2533650" cy="1524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5"/>
                    <a:stretch>
                      <a:fillRect/>
                    </a:stretch>
                  </pic:blipFill>
                  <pic:spPr>
                    <a:xfrm>
                      <a:off x="0" y="0"/>
                      <a:ext cx="2533650" cy="1524000"/>
                    </a:xfrm>
                    <a:prstGeom prst="rect">
                      <a:avLst/>
                    </a:prstGeom>
                  </pic:spPr>
                </pic:pic>
              </a:graphicData>
            </a:graphic>
          </wp:inline>
        </w:drawing>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中心体复制和染色体加倍均发生在图示时期</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w:t>
      </w:r>
      <w:r>
        <w:rPr>
          <w:rFonts w:ascii="微软雅黑" w:eastAsia="微软雅黑" w:hAnsi="微软雅黑" w:cs="微软雅黑" w:hint="eastAsia"/>
          <w:color w:val="000000"/>
          <w:position w:val="-22"/>
        </w:rPr>
        <w:drawing>
          <wp:inline distT="0" distB="0" distL="114300" distR="114300">
            <wp:extent cx="31750" cy="88900"/>
            <wp:effectExtent l="0" t="0" r="0" b="0"/>
            <wp:docPr id="130498" name="图片 130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8" name="图片 130498"/>
                    <pic:cNvPicPr>
                      <a:picLocks noChangeAspect="1"/>
                    </pic:cNvPicPr>
                  </pic:nvPicPr>
                  <pic:blipFill>
                    <a:blip xmlns:r="http://schemas.openxmlformats.org/officeDocument/2006/relationships" r:embed="rId26"/>
                    <a:stretch>
                      <a:fillRect/>
                    </a:stretch>
                  </pic:blipFill>
                  <pic:spPr>
                    <a:xfrm>
                      <a:off x="0" y="0"/>
                      <a:ext cx="31750" cy="88900"/>
                    </a:xfrm>
                    <a:prstGeom prst="rect">
                      <a:avLst/>
                    </a:prstGeom>
                  </pic:spPr>
                </pic:pic>
              </a:graphicData>
            </a:graphic>
          </wp:inline>
        </w:drawing>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图中两处</w:t>
      </w:r>
      <w:r>
        <w:rPr>
          <w:rFonts w:ascii="微软雅黑" w:eastAsia="微软雅黑" w:hAnsi="微软雅黑" w:cs="微软雅黑" w:hint="eastAsia"/>
          <w:color w:val="000000"/>
        </w:rPr>
        <w:t>DNA</w:t>
      </w:r>
      <w:r>
        <w:rPr>
          <w:rFonts w:ascii="微软雅黑" w:eastAsia="微软雅黑" w:hAnsi="微软雅黑" w:cs="微软雅黑" w:hint="eastAsia"/>
          <w:color w:val="000000"/>
        </w:rPr>
        <w:t>荧光标记区域均无同源染色体</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图中细胞分裂方向由中心体位置确定</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秋水仙素可促使细胞进入图示分裂时期</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【分析】有丝分裂包括间期和分裂期两个时期。间期主要进行DNA的复制和蛋白质的合成，分裂期包括前期、中期、后期和末期。</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【详解】A、该图为有丝分裂某时期荧光图，中心体的复制发生在间期，有丝分裂过程中染色体加倍发生在后期，A错误；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B、由于该图为有丝分裂某时期荧光图，在有丝分裂过程没有同源染色体联会，但是存在同源染色体，B错误；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C、中心体的位置决定了染色体移动的方向，将分裂开的子染色体拉向两极，从而决定细胞分裂的方向，C正确；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D、秋水仙素能够抑制纺锤体的形成，而纺锤体的形成是在分裂期，D错误。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故选C。</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7. </w:t>
      </w:r>
      <w:r>
        <w:rPr>
          <w:rFonts w:ascii="微软雅黑" w:eastAsia="微软雅黑" w:hAnsi="微软雅黑" w:cs="微软雅黑" w:hint="eastAsia"/>
          <w:color w:val="000000"/>
        </w:rPr>
        <w:t>蝙蝠是现存携带病毒较多的夜行性哺乳动物，这与其高体温（</w:t>
      </w:r>
      <w:r>
        <w:rPr>
          <w:rFonts w:ascii="微软雅黑" w:eastAsia="微软雅黑" w:hAnsi="微软雅黑" w:cs="微软雅黑" w:hint="eastAsia"/>
          <w:color w:val="000000"/>
        </w:rPr>
        <w:t>40</w:t>
      </w:r>
      <w:r>
        <w:rPr>
          <w:rFonts w:ascii="微软雅黑" w:eastAsia="微软雅黑" w:hAnsi="微软雅黑" w:cs="微软雅黑" w:hint="eastAsia"/>
          <w:color w:val="000000"/>
        </w:rPr>
        <w:t>℃）和强大的基因修复功能有关。关于蝙蝠与其携带的病毒，下列叙述</w:t>
      </w:r>
      <w:r>
        <w:rPr>
          <w:rFonts w:ascii="微软雅黑" w:eastAsia="微软雅黑" w:hAnsi="微软雅黑" w:cs="微软雅黑" w:hint="eastAsia"/>
          <w:color w:val="000000"/>
          <w:em w:val="dot"/>
        </w:rPr>
        <w:t>错误</w:t>
      </w:r>
      <w:r>
        <w:rPr>
          <w:rFonts w:ascii="微软雅黑" w:eastAsia="微软雅黑" w:hAnsi="微软雅黑" w:cs="微软雅黑" w:hint="eastAsia"/>
          <w:color w:val="000000"/>
        </w:rPr>
        <w:t>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高温利于提高病毒对蝙蝠的致病性</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病毒有潜在破坏蝙蝠基因的能力</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病毒与蝙蝠之间存在寄生关系</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病毒与蝙蝠协同进化</w:t>
      </w:r>
    </w:p>
    <w:p>
      <w:pPr>
        <w:spacing w:line="360" w:lineRule="auto"/>
        <w:textAlignment w:val="center"/>
        <w:rPr>
          <w:rFonts w:ascii="微软雅黑" w:eastAsia="微软雅黑" w:hAnsi="微软雅黑" w:cs="微软雅黑" w:hint="eastAsia"/>
          <w:color w:val="000000"/>
        </w:rPr>
        <w:sectPr>
          <w:headerReference w:type="even" r:id="rId27"/>
          <w:footerReference w:type="even" r:id="rId28"/>
          <w:headerReference w:type="first" r:id="rId29"/>
          <w:footerReference w:type="first" r:id="rId30"/>
          <w:type w:val="nextPage"/>
          <w:pgSz w:w="11906" w:h="16838"/>
          <w:pgMar w:top="910" w:right="1080" w:bottom="1440" w:left="1080" w:header="152" w:footer="0" w:gutter="0"/>
          <w:pgNumType w:start="5"/>
          <w:cols w:num="1" w:space="720"/>
          <w:titlePg w:val="0"/>
          <w:docGrid w:type="lines" w:linePitch="312" w:charSpace="0"/>
        </w:sect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【分析】病毒主要由核酸和蛋白质组成。协同进化是指不同物种之间，生物与无机环境之间在相互影响中不断进化和发展。</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【详解】A、病毒的主要成分是蛋白质和核酸，高温下蛋白质变性，故高温下病毒可能被杀死，不能对蝙蝠造成致病性，A错误；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B、病毒的核酸可以整合到染色体的基因上，故病毒有潜在破坏蝙蝠基因的能力，B正确；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C、病毒是寄生在活细胞内的，不能单独生存，蝙蝠体内的病毒寄生在蝙蝠的活细胞内，C正确；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D、病毒寄生在蝙蝠体内，若蝙蝠体内发生变化，病毒要想在其体内生存，就得适应蝙蝠的变化，同样蝙蝠要想存活下来，也会随着病毒的变化而变化，所以病毒与蝙蝠存在协同进化，D正确。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故选A。</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8. </w:t>
      </w:r>
      <w:r>
        <w:rPr>
          <w:rFonts w:ascii="微软雅黑" w:eastAsia="微软雅黑" w:hAnsi="微软雅黑" w:cs="微软雅黑" w:hint="eastAsia"/>
          <w:color w:val="000000"/>
        </w:rPr>
        <w:t>日常生活中有许多说法，下列说法有科学依据的是（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食用含有植物生长素的水果，植物生长素会促进儿童性腺过早发育</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酸奶胀袋是乳酸菌发酵产生</w:t>
      </w:r>
      <w:r>
        <w:rPr>
          <w:rFonts w:ascii="微软雅黑" w:eastAsia="微软雅黑" w:hAnsi="微软雅黑" w:cs="微软雅黑" w:hint="eastAsia"/>
          <w:color w:val="000000"/>
        </w:rPr>
        <w:t>CO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造成的</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食用没有甜味的面食，不会引起餐后血糖升高</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接种疫苗预防相应传染病，是以减毒或无毒</w:t>
      </w:r>
      <w:r>
        <w:rPr>
          <w:rFonts w:ascii="微软雅黑" w:eastAsia="微软雅黑" w:hAnsi="微软雅黑" w:cs="微软雅黑" w:hint="eastAsia"/>
          <w:color w:val="000000"/>
        </w:rPr>
        <w:drawing>
          <wp:inline distT="0" distB="0" distL="114300" distR="114300">
            <wp:extent cx="133350" cy="177800"/>
            <wp:effectExtent l="0" t="0" r="0" b="13335"/>
            <wp:docPr id="130502" name="图片 130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02" name="图片 130502"/>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Pr>
          <w:rFonts w:ascii="微软雅黑" w:eastAsia="微软雅黑" w:hAnsi="微软雅黑" w:cs="微软雅黑" w:hint="eastAsia"/>
          <w:color w:val="000000"/>
        </w:rPr>
        <w:t>病原体抗原激活特异性免疫</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【分析】注射疫苗，引起人体的免疫反应，在体内产生抗体和记忆细胞，进而获得了对该抗原的抵抗能力，因为记忆细胞能存活时间长，所以人可以保持较长时间的免疫力。</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【详解】A、激素与靶细胞表面的受体相结合，这种结合具有特异性，生长素是植物激素，在动物细胞表面没有相应的受体，因此不能促进儿童过早的发育，A错误；</w:t>
      </w:r>
    </w:p>
    <w:p>
      <w:pPr>
        <w:spacing w:line="360" w:lineRule="auto"/>
        <w:jc w:val="left"/>
        <w:textAlignment w:val="center"/>
        <w:rPr>
          <w:rFonts w:ascii="微软雅黑" w:eastAsia="微软雅黑" w:hAnsi="微软雅黑" w:cs="微软雅黑" w:hint="eastAsia"/>
          <w:color w:val="000000"/>
        </w:rPr>
        <w:sectPr>
          <w:headerReference w:type="even" r:id="rId31"/>
          <w:footerReference w:type="even" r:id="rId32"/>
          <w:headerReference w:type="first" r:id="rId33"/>
          <w:footerReference w:type="first" r:id="rId34"/>
          <w:type w:val="nextPage"/>
          <w:pgSz w:w="11906" w:h="16838"/>
          <w:pgMar w:top="910" w:right="1080" w:bottom="1440" w:left="1080" w:header="152" w:footer="0" w:gutter="0"/>
          <w:pgNumType w:start="6"/>
          <w:cols w:num="1" w:space="720"/>
          <w:titlePg w:val="0"/>
          <w:docGrid w:type="lines" w:linePitch="312" w:charSpace="0"/>
        </w:sectPr>
      </w:pPr>
      <w:r>
        <w:rPr>
          <w:rFonts w:ascii="微软雅黑" w:eastAsia="微软雅黑" w:hAnsi="微软雅黑" w:cs="微软雅黑" w:hint="eastAsia"/>
          <w:color w:val="000000"/>
        </w:rPr>
        <w:t>B、乳酸菌是严格的厌氧菌，无氧呼吸的产物是乳酸，不产生气体，因此酸奶胀袋不是乳酸菌发酵产生CO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造成的，B错误；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C、面食的成分只要是淀粉， 淀粉也是糖类，经过消化形成葡萄糖被人体吸收，因此食用没有甜味的面食，也会引起餐后血糖升高，C错误；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D、疫苗属于抗原，是以减毒或无毒的病原体抗原制成的，因此接种疫苗预防相应传染病，是以减毒或无毒的病原体抗原激活特异性免疫，D正确。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故选D。</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9. </w:t>
      </w:r>
      <w:r>
        <w:rPr>
          <w:rFonts w:ascii="微软雅黑" w:eastAsia="微软雅黑" w:hAnsi="微软雅黑" w:cs="微软雅黑" w:hint="eastAsia"/>
          <w:color w:val="000000"/>
        </w:rPr>
        <w:t>染色体架起了基因和性状之间的桥梁。有关叙述正确的是（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性状都是由染色体上的基因控制的</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相对性状分离是由同源染色体上的等位基因分离导致的</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不同性状自由组合是由同源染色体上的非等位基因自由组合导致的</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可遗传的性状改变都是由染色体上的基因突变导致的</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w:t>
      </w:r>
      <w:r>
        <w:rPr>
          <w:rFonts w:ascii="微软雅黑" w:eastAsia="微软雅黑" w:hAnsi="微软雅黑" w:cs="微软雅黑" w:hint="eastAsia"/>
          <w:color w:val="000000"/>
        </w:rPr>
        <w:t>自由组合定律的实质是进行有性生殖的生物在进行减数分裂产生配子的过程中，非同源染色体上的非等位基因的分离或组合是互不干扰的，位于同源染色体的等位基因随同源染色体分离而分离，分别进入不同的配子中，随配子独立遗传给后代，同时位于非同源染色体的非等位基因进行自由组合。</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【详解】A、细胞质基质中的基因也可以影响性状，性状不都是由染色体上的基因控制的，A错误；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B、等位基因控制相对性状，等位基因位于同源染色体上，同源染色体上等位基因的分离会导致相对性状的分离，B 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C、不同性状自由组合是由非同源染色体的非等位基因进行自由组合导致的，C错误；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D、可遗传的性状改变可能是由染色体上的基因突变导致的，也可能是基因重组或者染色体变异引起的，D错误。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故选B。</w:t>
      </w:r>
    </w:p>
    <w:p>
      <w:pPr>
        <w:spacing w:line="360" w:lineRule="auto"/>
        <w:jc w:val="left"/>
        <w:textAlignment w:val="center"/>
        <w:rPr>
          <w:rFonts w:ascii="微软雅黑" w:eastAsia="微软雅黑" w:hAnsi="微软雅黑" w:cs="微软雅黑" w:hint="eastAsia"/>
          <w:color w:val="000000"/>
        </w:rPr>
        <w:sectPr>
          <w:headerReference w:type="even" r:id="rId35"/>
          <w:footerReference w:type="even" r:id="rId36"/>
          <w:headerReference w:type="first" r:id="rId37"/>
          <w:footerReference w:type="first" r:id="rId38"/>
          <w:type w:val="nextPage"/>
          <w:pgSz w:w="11906" w:h="16838"/>
          <w:pgMar w:top="910" w:right="1080" w:bottom="1440" w:left="1080" w:header="152" w:footer="0" w:gutter="0"/>
          <w:pgNumType w:start="7"/>
          <w:cols w:num="1" w:space="720"/>
          <w:titlePg w:val="0"/>
          <w:docGrid w:type="lines" w:linePitch="312" w:charSpace="0"/>
        </w:sectPr>
      </w:pPr>
      <w:r>
        <w:rPr>
          <w:rFonts w:ascii="微软雅黑" w:eastAsia="微软雅黑" w:hAnsi="微软雅黑" w:cs="微软雅黑" w:hint="eastAsia"/>
          <w:color w:val="000000"/>
        </w:rPr>
        <w:t>阅读下列材料，完成下面小题。</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动脉血压是指血液对动脉管壁产生的压力。人体动脉血压有多种调节方式，如：当动脉血压升高时，会刺激血管壁内的压力感受器兴奋，神经冲动传入中枢神经系统后，通过交感神经和副交感神经调节心脏、血管活动及肾上腺髓质所分泌的激素水平，最终血压回降。</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动脉血压高于正常值即形成高血压。高血压病的发病机制复杂，可能包括：</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）水钠潴留</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水钠潴留指水和钠滞留于内环境。长期摄入过量的钠使机体对水钠平衡的调节作用减弱，可导致水钠潴留。慢性肾功能不全的患者水钠排出减少，重吸收增加，也会引起水钠潴留。</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r>
        <w:rPr>
          <w:rFonts w:ascii="微软雅黑" w:eastAsia="微软雅黑" w:hAnsi="微软雅黑" w:cs="微软雅黑" w:hint="eastAsia"/>
          <w:color w:val="000000"/>
        </w:rPr>
        <w:t>2</w:t>
      </w:r>
      <w:r>
        <w:rPr>
          <w:rFonts w:ascii="微软雅黑" w:eastAsia="微软雅黑" w:hAnsi="微软雅黑" w:cs="微软雅黑" w:hint="eastAsia"/>
          <w:color w:val="000000"/>
        </w:rPr>
        <w:t>）肾素</w:t>
      </w:r>
      <w:r>
        <w:rPr>
          <w:rFonts w:ascii="微软雅黑" w:eastAsia="微软雅黑" w:hAnsi="微软雅黑" w:cs="微软雅黑" w:hint="eastAsia"/>
          <w:color w:val="000000"/>
        </w:rPr>
        <w:t>—</w:t>
      </w:r>
      <w:r>
        <w:rPr>
          <w:rFonts w:ascii="微软雅黑" w:eastAsia="微软雅黑" w:hAnsi="微软雅黑" w:cs="微软雅黑" w:hint="eastAsia"/>
          <w:color w:val="000000"/>
        </w:rPr>
        <w:t>血管紧张素</w:t>
      </w:r>
      <w:r>
        <w:rPr>
          <w:rFonts w:ascii="微软雅黑" w:eastAsia="微软雅黑" w:hAnsi="微软雅黑" w:cs="微软雅黑" w:hint="eastAsia"/>
          <w:color w:val="000000"/>
        </w:rPr>
        <w:t>—</w:t>
      </w:r>
      <w:r>
        <w:rPr>
          <w:rFonts w:ascii="微软雅黑" w:eastAsia="微软雅黑" w:hAnsi="微软雅黑" w:cs="微软雅黑" w:hint="eastAsia"/>
          <w:color w:val="000000"/>
        </w:rPr>
        <w:t>醛固酮系统（</w:t>
      </w:r>
      <w:r>
        <w:rPr>
          <w:rFonts w:ascii="微软雅黑" w:eastAsia="微软雅黑" w:hAnsi="微软雅黑" w:cs="微软雅黑" w:hint="eastAsia"/>
          <w:color w:val="000000"/>
        </w:rPr>
        <w:t>RAAS</w:t>
      </w:r>
      <w:r>
        <w:rPr>
          <w:rFonts w:ascii="微软雅黑" w:eastAsia="微软雅黑" w:hAnsi="微软雅黑" w:cs="微软雅黑" w:hint="eastAsia"/>
          <w:color w:val="000000"/>
        </w:rPr>
        <w:t>）过度激活</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RAAS</w:t>
      </w:r>
      <w:r>
        <w:rPr>
          <w:rFonts w:ascii="微软雅黑" w:eastAsia="微软雅黑" w:hAnsi="微软雅黑" w:cs="微软雅黑" w:hint="eastAsia"/>
          <w:color w:val="000000"/>
        </w:rPr>
        <w:t>是人体重要的体液调节系统。肾素可催化血管紧张素原生成血管紧张素Ⅰ，血管紧张素Ⅰ在血管紧张素转换酶的作用下生成血管紧张素Ⅱ。血管紧张素Ⅱ具有多种生理效应，最主要的是使血管收缩导致血压升高，此外还可刺激醛固酮分泌。醛固酮可促进钠的重吸收。</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）交感神经系统活性增强</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肾交感神经活性增强既可促使肾素释放，激活</w:t>
      </w:r>
      <w:r>
        <w:rPr>
          <w:rFonts w:ascii="微软雅黑" w:eastAsia="微软雅黑" w:hAnsi="微软雅黑" w:cs="微软雅黑" w:hint="eastAsia"/>
          <w:color w:val="000000"/>
        </w:rPr>
        <w:t>RAAS</w:t>
      </w:r>
      <w:r>
        <w:rPr>
          <w:rFonts w:ascii="微软雅黑" w:eastAsia="微软雅黑" w:hAnsi="微软雅黑" w:cs="微软雅黑" w:hint="eastAsia"/>
          <w:color w:val="000000"/>
        </w:rPr>
        <w:t>，又可减弱肾排钠能力。此外，交感神经还可激活肾脏</w:t>
      </w:r>
      <w:r>
        <w:rPr>
          <w:rFonts w:ascii="微软雅黑" w:eastAsia="微软雅黑" w:hAnsi="微软雅黑" w:cs="微软雅黑" w:hint="eastAsia"/>
          <w:color w:val="000000"/>
        </w:rPr>
        <w:t>T</w:t>
      </w:r>
      <w:r>
        <w:rPr>
          <w:rFonts w:ascii="微软雅黑" w:eastAsia="微软雅黑" w:hAnsi="微软雅黑" w:cs="微软雅黑" w:hint="eastAsia"/>
          <w:color w:val="000000"/>
        </w:rPr>
        <w:t>细胞，导致肾脏损伤、肾功能不全。</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0. </w:t>
      </w:r>
      <w:r>
        <w:rPr>
          <w:rFonts w:ascii="微软雅黑" w:eastAsia="微软雅黑" w:hAnsi="微软雅黑" w:cs="微软雅黑" w:hint="eastAsia"/>
          <w:color w:val="000000"/>
        </w:rPr>
        <w:t>下列关于压力感受及动脉血压的说法，</w:t>
      </w:r>
      <w:r>
        <w:rPr>
          <w:rFonts w:ascii="微软雅黑" w:eastAsia="微软雅黑" w:hAnsi="微软雅黑" w:cs="微软雅黑" w:hint="eastAsia"/>
          <w:color w:val="000000"/>
          <w:em w:val="dot"/>
        </w:rPr>
        <w:t>错误</w:t>
      </w:r>
      <w:r>
        <w:rPr>
          <w:rFonts w:ascii="微软雅黑" w:eastAsia="微软雅黑" w:hAnsi="微软雅黑" w:cs="微软雅黑" w:hint="eastAsia"/>
          <w:color w:val="000000"/>
        </w:rPr>
        <w:t>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感受器可将压力信号转化为电信号</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传出神经属于自主神经系统</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调节过程不存在体液调节</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调节机制为负反馈调节</w:t>
      </w:r>
    </w:p>
    <w:p>
      <w:pPr>
        <w:spacing w:line="360" w:lineRule="auto"/>
        <w:jc w:val="left"/>
        <w:textAlignment w:val="center"/>
        <w:rPr>
          <w:rFonts w:ascii="微软雅黑" w:eastAsia="微软雅黑" w:hAnsi="微软雅黑" w:cs="微软雅黑" w:hint="eastAsia"/>
          <w:color w:val="000000"/>
        </w:rPr>
        <w:sectPr>
          <w:headerReference w:type="even" r:id="rId39"/>
          <w:footerReference w:type="even" r:id="rId40"/>
          <w:headerReference w:type="first" r:id="rId41"/>
          <w:footerReference w:type="first" r:id="rId42"/>
          <w:type w:val="nextPage"/>
          <w:pgSz w:w="11906" w:h="16838"/>
          <w:pgMar w:top="910" w:right="1080" w:bottom="1440" w:left="1080" w:header="152" w:footer="0" w:gutter="0"/>
          <w:pgNumType w:start="8"/>
          <w:cols w:num="1" w:space="720"/>
          <w:titlePg w:val="0"/>
          <w:docGrid w:type="lines" w:linePitch="312" w:charSpace="0"/>
        </w:sect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下列哪种因素</w:t>
      </w:r>
      <w:r>
        <w:rPr>
          <w:rFonts w:ascii="微软雅黑" w:eastAsia="微软雅黑" w:hAnsi="微软雅黑" w:cs="微软雅黑" w:hint="eastAsia"/>
          <w:color w:val="000000"/>
          <w:em w:val="dot"/>
        </w:rPr>
        <w:t>不会</w:t>
      </w:r>
      <w:r>
        <w:rPr>
          <w:rFonts w:ascii="微软雅黑" w:eastAsia="微软雅黑" w:hAnsi="微软雅黑" w:cs="微软雅黑" w:hint="eastAsia"/>
          <w:color w:val="000000"/>
        </w:rPr>
        <w:t>导致水钠潴留（</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长期摄入过量钠</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血管紧张素Ⅱ引起的血管收缩</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醛固酮过度分泌</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肾功能不全、排钠能力下降</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rPr>
        <w:t>下列哪项药物或疗法在高血压病的治疗中是</w:t>
      </w:r>
      <w:r>
        <w:rPr>
          <w:rFonts w:ascii="微软雅黑" w:eastAsia="微软雅黑" w:hAnsi="微软雅黑" w:cs="微软雅黑" w:hint="eastAsia"/>
          <w:color w:val="000000"/>
          <w:em w:val="dot"/>
        </w:rPr>
        <w:t>不合理</w:t>
      </w:r>
      <w:r>
        <w:rPr>
          <w:rFonts w:ascii="微软雅黑" w:eastAsia="微软雅黑" w:hAnsi="微软雅黑" w:cs="微软雅黑" w:hint="eastAsia"/>
          <w:color w:val="000000"/>
        </w:rPr>
        <w:t>的（</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抗利尿激素</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血管紧张素转换酶抑制剂</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醛固酮受体抑制剂</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降低肾交感神经兴奋性的疗法</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0. C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B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 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由题意可知，引起高血压的原因主要是由于长期摄入过量的钠使机体对水钠平衡的调节作用减弱和钠的过度吸收引起水钠潴留，肾素—血管紧张素—醛固酮系统（RAAS）过度激活以及交感神经系统活性增强，减弱肾排钠功能减弱引起的。</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A、感受器接受压力刺激后，可将压力信号转化为电信号，从而产生兴奋，A正确；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B、调节血压的神经为交感神经和副交感神经，均为自主神经，B正确；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C、由题意可知，如肾素—血管紧张素—醛固酮系统（RAAS）过度激活引起的血压上升属于激素调节，C错误；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D、血压能在某个特定值保持相对稳定，是负反馈调节的结果，D正确。</w:t>
      </w:r>
    </w:p>
    <w:p>
      <w:pPr>
        <w:spacing w:line="360" w:lineRule="auto"/>
        <w:jc w:val="left"/>
        <w:textAlignment w:val="center"/>
        <w:rPr>
          <w:rFonts w:ascii="微软雅黑" w:eastAsia="微软雅黑" w:hAnsi="微软雅黑" w:cs="微软雅黑" w:hint="eastAsia"/>
          <w:color w:val="000000"/>
        </w:rPr>
        <w:sectPr>
          <w:headerReference w:type="even" r:id="rId43"/>
          <w:footerReference w:type="even" r:id="rId44"/>
          <w:headerReference w:type="first" r:id="rId45"/>
          <w:footerReference w:type="first" r:id="rId46"/>
          <w:type w:val="nextPage"/>
          <w:pgSz w:w="11906" w:h="16838"/>
          <w:pgMar w:top="910" w:right="1080" w:bottom="1440" w:left="1080" w:header="152" w:footer="0" w:gutter="0"/>
          <w:pgNumType w:start="9"/>
          <w:cols w:num="1" w:space="720"/>
          <w:titlePg w:val="0"/>
          <w:docGrid w:type="lines" w:linePitch="312" w:charSpace="0"/>
        </w:sectPr>
      </w:pPr>
      <w:r>
        <w:rPr>
          <w:rFonts w:ascii="微软雅黑" w:eastAsia="微软雅黑" w:hAnsi="微软雅黑" w:cs="微软雅黑" w:hint="eastAsia"/>
          <w:color w:val="000000"/>
        </w:rPr>
        <w:t>故选C。</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A、长期摄入过量的钠使机体对水钠平衡的调节作用减弱，可导致水钠潴留，A错误；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B、肾素—血管紧张素—醛固酮系统（RAAS）过度激活，血管紧张素Ⅱ引起的血管收缩，引起血压升高，不会引起水钠潴留，B正确；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C、醛固酮可促进钠的重吸收，若分泌过度会导致钠重吸收增加，也会引起水钠潴留，C错误；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D、慢性肾功能不全的患者水钠排出减少，重吸收增加，会引起水钠潴留，D正确。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故选B。</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A、水钠潴留指水和钠滞留于内环境，从而引起高血压，抗利尿激素具有促进肾小管和集合管对水进行重吸收</w:t>
      </w:r>
      <w:r>
        <w:rPr>
          <w:rFonts w:ascii="微软雅黑" w:eastAsia="微软雅黑" w:hAnsi="微软雅黑" w:cs="微软雅黑" w:hint="eastAsia"/>
          <w:color w:val="000000"/>
        </w:rPr>
        <w:drawing>
          <wp:inline distT="0" distB="0" distL="114300" distR="114300">
            <wp:extent cx="133350" cy="177800"/>
            <wp:effectExtent l="0" t="0" r="0" b="13335"/>
            <wp:docPr id="130504" name="图片 130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04" name="图片 130504"/>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Pr>
          <w:rFonts w:ascii="微软雅黑" w:eastAsia="微软雅黑" w:hAnsi="微软雅黑" w:cs="微软雅黑" w:hint="eastAsia"/>
          <w:color w:val="000000"/>
        </w:rPr>
        <w:t>功能，从而加重了水钠潴留，A错误；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B、血管紧张素转换酶抑制剂可抑制血管紧张素的形成，从而抑制了肾素—血管紧张素—醛固酮系统（RAAS）过度激活，可对高血压进行治疗，B正确；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C、醛固酮受体抑制剂可抑制醛固酮发挥作用，对钠进行重新收，减缓水钠潴留，可对高血压进行治疗，C正确；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D、降低肾交感神经兴奋性可加强肾排钠能力，减轻肾脏T细胞对肾脏的损伤，可对高血压进行治疗，D正确。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故选A。</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为研究河流中石块上微生物群落的演替，将灭菌后的裸石置于河流中，统计裸石上不同时间新增物种数木（图</w:t>
      </w:r>
    </w:p>
    <w:p>
      <w:pPr>
        <w:spacing w:line="360" w:lineRule="auto"/>
        <w:jc w:val="left"/>
        <w:textAlignment w:val="center"/>
        <w:rPr>
          <w:rFonts w:ascii="微软雅黑" w:eastAsia="微软雅黑" w:hAnsi="微软雅黑" w:cs="微软雅黑" w:hint="eastAsia"/>
          <w:color w:val="000000"/>
        </w:rPr>
        <w:sectPr>
          <w:headerReference w:type="even" r:id="rId47"/>
          <w:footerReference w:type="even" r:id="rId48"/>
          <w:headerReference w:type="first" r:id="rId49"/>
          <w:footerReference w:type="first" r:id="rId50"/>
          <w:type w:val="nextPage"/>
          <w:pgSz w:w="11906" w:h="16838"/>
          <w:pgMar w:top="910" w:right="1080" w:bottom="1440" w:left="1080" w:header="152" w:footer="0" w:gutter="0"/>
          <w:pgNumType w:start="10"/>
          <w:cols w:num="1" w:space="720"/>
          <w:titlePg w:val="0"/>
          <w:docGrid w:type="lines" w:linePitch="312" w:charSpace="0"/>
        </w:sectPr>
      </w:pPr>
      <w:r>
        <w:rPr>
          <w:rFonts w:ascii="微软雅黑" w:eastAsia="微软雅黑" w:hAnsi="微软雅黑" w:cs="微软雅黑" w:hint="eastAsia"/>
          <w:color w:val="000000"/>
        </w:rPr>
        <w:t>）、自养类群和异养类群的个体数量（</w:t>
      </w:r>
      <w:r>
        <w:rPr>
          <w:rFonts w:ascii="微软雅黑" w:eastAsia="微软雅黑" w:hAnsi="微软雅黑" w:cs="微软雅黑" w:hint="eastAsia"/>
          <w:color w:val="000000"/>
        </w:rPr>
        <w:t>A</w:t>
      </w:r>
      <w:r>
        <w:rPr>
          <w:rFonts w:ascii="微软雅黑" w:eastAsia="微软雅黑" w:hAnsi="微软雅黑" w:cs="微软雅黑" w:hint="eastAsia"/>
          <w:color w:val="000000"/>
        </w:rPr>
        <w:t>和</w:t>
      </w:r>
      <w:r>
        <w:rPr>
          <w:rFonts w:ascii="微软雅黑" w:eastAsia="微软雅黑" w:hAnsi="微软雅黑" w:cs="微软雅黑" w:hint="eastAsia"/>
          <w:color w:val="000000"/>
        </w:rPr>
        <w:t>H</w:t>
      </w:r>
      <w:r>
        <w:rPr>
          <w:rFonts w:ascii="微软雅黑" w:eastAsia="微软雅黑" w:hAnsi="微软雅黑" w:cs="微软雅黑" w:hint="eastAsia"/>
          <w:color w:val="000000"/>
        </w:rPr>
        <w:t>分别代表自养和异养类群的优势种）（图</w:t>
      </w:r>
      <w:r>
        <w:rPr>
          <w:rFonts w:ascii="微软雅黑" w:eastAsia="微软雅黑" w:hAnsi="微软雅黑" w:cs="微软雅黑" w:hint="eastAsia"/>
          <w:color w:val="000000"/>
        </w:rPr>
        <w:t>2</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5238750" cy="1776730"/>
            <wp:effectExtent l="0" t="0" r="0" b="1397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51"/>
                    <a:stretch>
                      <a:fillRect/>
                    </a:stretch>
                  </pic:blipFill>
                  <pic:spPr>
                    <a:xfrm>
                      <a:off x="0" y="0"/>
                      <a:ext cx="5238750" cy="1777305"/>
                    </a:xfrm>
                    <a:prstGeom prst="rect">
                      <a:avLst/>
                    </a:prstGeom>
                  </pic:spPr>
                </pic:pic>
              </a:graphicData>
            </a:graphic>
          </wp:inline>
        </w:drawing>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r>
        <w:rPr>
          <w:rFonts w:ascii="微软雅黑" w:eastAsia="微软雅黑" w:hAnsi="微软雅黑" w:cs="微软雅黑" w:hint="eastAsia"/>
          <w:color w:val="000000"/>
        </w:rPr>
        <w:t>裸石上发生的群落演替类型为</w:t>
      </w:r>
      <w:r>
        <w:rPr>
          <w:rFonts w:ascii="微软雅黑" w:eastAsia="微软雅黑" w:hAnsi="微软雅黑" w:cs="微软雅黑" w:hint="eastAsia"/>
          <w:color w:val="000000"/>
        </w:rPr>
        <w:t>____________________</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w:t>
      </w:r>
      <w:r>
        <w:rPr>
          <w:rFonts w:ascii="微软雅黑" w:eastAsia="微软雅黑" w:hAnsi="微软雅黑" w:cs="微软雅黑" w:hint="eastAsia"/>
          <w:color w:val="000000"/>
        </w:rPr>
        <w:t>由图</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可知，演替的前</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20</w:t>
      </w:r>
      <w:r>
        <w:rPr>
          <w:rFonts w:ascii="微软雅黑" w:eastAsia="微软雅黑" w:hAnsi="微软雅黑" w:cs="微软雅黑" w:hint="eastAsia"/>
          <w:color w:val="000000"/>
        </w:rPr>
        <w:t>天，生长在裸石上的物种总数</w:t>
      </w:r>
      <w:r>
        <w:rPr>
          <w:rFonts w:ascii="微软雅黑" w:eastAsia="微软雅黑" w:hAnsi="微软雅黑" w:cs="微软雅黑" w:hint="eastAsia"/>
          <w:color w:val="000000"/>
        </w:rPr>
        <w:t>__________</w:t>
      </w:r>
      <w:r>
        <w:rPr>
          <w:rFonts w:ascii="微软雅黑" w:eastAsia="微软雅黑" w:hAnsi="微软雅黑" w:cs="微软雅黑" w:hint="eastAsia"/>
          <w:color w:val="000000"/>
        </w:rPr>
        <w:t>（增加</w:t>
      </w:r>
      <w:r>
        <w:rPr>
          <w:rFonts w:ascii="微软雅黑" w:eastAsia="微软雅黑" w:hAnsi="微软雅黑" w:cs="微软雅黑" w:hint="eastAsia"/>
          <w:color w:val="000000"/>
        </w:rPr>
        <w:t>∕</w:t>
      </w:r>
      <w:r>
        <w:rPr>
          <w:rFonts w:ascii="微软雅黑" w:eastAsia="微软雅黑" w:hAnsi="微软雅黑" w:cs="微软雅黑" w:hint="eastAsia"/>
          <w:color w:val="000000"/>
        </w:rPr>
        <w:t>减少），之后，演替趋于稳定。</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r>
        <w:rPr>
          <w:rFonts w:ascii="微软雅黑" w:eastAsia="微软雅黑" w:hAnsi="微软雅黑" w:cs="微软雅黑" w:hint="eastAsia"/>
          <w:color w:val="000000"/>
        </w:rPr>
        <w:t>由图</w:t>
      </w:r>
      <w:r>
        <w:rPr>
          <w:rFonts w:ascii="微软雅黑" w:eastAsia="微软雅黑" w:hAnsi="微软雅黑" w:cs="微软雅黑" w:hint="eastAsia"/>
          <w:color w:val="000000"/>
        </w:rPr>
        <w:t>2</w:t>
      </w:r>
      <w:r>
        <w:rPr>
          <w:rFonts w:ascii="微软雅黑" w:eastAsia="微软雅黑" w:hAnsi="微软雅黑" w:cs="微软雅黑" w:hint="eastAsia"/>
          <w:color w:val="000000"/>
        </w:rPr>
        <w:t>可知，演替稳定后，优势种</w:t>
      </w:r>
      <w:r>
        <w:rPr>
          <w:rFonts w:ascii="微软雅黑" w:eastAsia="微软雅黑" w:hAnsi="微软雅黑" w:cs="微软雅黑" w:hint="eastAsia"/>
          <w:color w:val="000000"/>
        </w:rPr>
        <w:t>A</w:t>
      </w:r>
      <w:r>
        <w:rPr>
          <w:rFonts w:ascii="微软雅黑" w:eastAsia="微软雅黑" w:hAnsi="微软雅黑" w:cs="微软雅黑" w:hint="eastAsia"/>
          <w:color w:val="000000"/>
        </w:rPr>
        <w:t>的环境容纳量与演替初期相比</w:t>
      </w:r>
      <w:r>
        <w:rPr>
          <w:rFonts w:ascii="微软雅黑" w:eastAsia="微软雅黑" w:hAnsi="微软雅黑" w:cs="微软雅黑" w:hint="eastAsia"/>
          <w:color w:val="000000"/>
        </w:rPr>
        <w:t>__________</w:t>
      </w:r>
      <w:r>
        <w:rPr>
          <w:rFonts w:ascii="微软雅黑" w:eastAsia="微软雅黑" w:hAnsi="微软雅黑" w:cs="微软雅黑" w:hint="eastAsia"/>
          <w:color w:val="000000"/>
        </w:rPr>
        <w:t>（变大</w:t>
      </w:r>
      <w:r>
        <w:rPr>
          <w:rFonts w:ascii="微软雅黑" w:eastAsia="微软雅黑" w:hAnsi="微软雅黑" w:cs="微软雅黑" w:hint="eastAsia"/>
          <w:color w:val="000000"/>
        </w:rPr>
        <w:t>∕</w:t>
      </w:r>
      <w:r>
        <w:rPr>
          <w:rFonts w:ascii="微软雅黑" w:eastAsia="微软雅黑" w:hAnsi="微软雅黑" w:cs="微软雅黑" w:hint="eastAsia"/>
          <w:color w:val="000000"/>
        </w:rPr>
        <w:t>变小）。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（4）</w:t>
      </w:r>
      <w:r>
        <w:rPr>
          <w:rFonts w:ascii="微软雅黑" w:eastAsia="微软雅黑" w:hAnsi="微软雅黑" w:cs="微软雅黑" w:hint="eastAsia"/>
          <w:color w:val="000000"/>
        </w:rPr>
        <w:t>已知自养类群为异养类群提供有机碳，演替达到稳定后，两者的数量金字塔是</w:t>
      </w:r>
      <w:r>
        <w:rPr>
          <w:rFonts w:ascii="微软雅黑" w:eastAsia="微软雅黑" w:hAnsi="微软雅黑" w:cs="微软雅黑" w:hint="eastAsia"/>
          <w:color w:val="000000"/>
        </w:rPr>
        <w:t>_____</w:t>
      </w:r>
      <w:r>
        <w:rPr>
          <w:rFonts w:ascii="微软雅黑" w:eastAsia="微软雅黑" w:hAnsi="微软雅黑" w:cs="微软雅黑" w:hint="eastAsia"/>
          <w:color w:val="000000"/>
        </w:rPr>
        <w:t>（正</w:t>
      </w:r>
      <w:r>
        <w:rPr>
          <w:rFonts w:ascii="微软雅黑" w:eastAsia="微软雅黑" w:hAnsi="微软雅黑" w:cs="微软雅黑" w:hint="eastAsia"/>
          <w:color w:val="000000"/>
        </w:rPr>
        <w:t>∕</w:t>
      </w:r>
      <w:r>
        <w:rPr>
          <w:rFonts w:ascii="微软雅黑" w:eastAsia="微软雅黑" w:hAnsi="微软雅黑" w:cs="微软雅黑" w:hint="eastAsia"/>
          <w:color w:val="000000"/>
        </w:rPr>
        <w:t>倒）金字塔形，能量金字塔是</w:t>
      </w:r>
      <w:r>
        <w:rPr>
          <w:rFonts w:ascii="微软雅黑" w:eastAsia="微软雅黑" w:hAnsi="微软雅黑" w:cs="微软雅黑" w:hint="eastAsia"/>
          <w:color w:val="000000"/>
        </w:rPr>
        <w:t>_____</w:t>
      </w:r>
      <w:r>
        <w:rPr>
          <w:rFonts w:ascii="微软雅黑" w:eastAsia="微软雅黑" w:hAnsi="微软雅黑" w:cs="微软雅黑" w:hint="eastAsia"/>
          <w:color w:val="000000"/>
        </w:rPr>
        <w:t>（正</w:t>
      </w:r>
      <w:r>
        <w:rPr>
          <w:rFonts w:ascii="微软雅黑" w:eastAsia="微软雅黑" w:hAnsi="微软雅黑" w:cs="微软雅黑" w:hint="eastAsia"/>
          <w:color w:val="000000"/>
        </w:rPr>
        <w:t>∕</w:t>
      </w:r>
      <w:r>
        <w:rPr>
          <w:rFonts w:ascii="微软雅黑" w:eastAsia="微软雅黑" w:hAnsi="微软雅黑" w:cs="微软雅黑" w:hint="eastAsia"/>
          <w:color w:val="000000"/>
        </w:rPr>
        <w:t>倒）金字塔形。</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（5）</w:t>
      </w:r>
      <w:r>
        <w:rPr>
          <w:rFonts w:ascii="微软雅黑" w:eastAsia="微软雅黑" w:hAnsi="微软雅黑" w:cs="微软雅黑" w:hint="eastAsia"/>
          <w:color w:val="000000"/>
        </w:rPr>
        <w:t>当试验裸石上的演替稳定后，其群落结构应与周围类似石块上已稳定存在的群落结构相似，原因是两者所处的</w:t>
      </w:r>
      <w:r>
        <w:rPr>
          <w:rFonts w:ascii="微软雅黑" w:eastAsia="微软雅黑" w:hAnsi="微软雅黑" w:cs="微软雅黑" w:hint="eastAsia"/>
          <w:color w:val="000000"/>
        </w:rPr>
        <w:t>_______________</w:t>
      </w:r>
      <w:r>
        <w:rPr>
          <w:rFonts w:ascii="微软雅黑" w:eastAsia="微软雅黑" w:hAnsi="微软雅黑" w:cs="微软雅黑" w:hint="eastAsia"/>
          <w:color w:val="000000"/>
        </w:rPr>
        <w:t>相似。</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r>
        <w:rPr>
          <w:rFonts w:ascii="微软雅黑" w:eastAsia="微软雅黑" w:hAnsi="微软雅黑" w:cs="微软雅黑" w:hint="eastAsia"/>
          <w:color w:val="000000"/>
        </w:rPr>
        <w:t>初生演替</w:t>
      </w:r>
      <w:r>
        <w:rPr>
          <w:rFonts w:ascii="微软雅黑" w:eastAsia="微软雅黑" w:hAnsi="微软雅黑" w:cs="微软雅黑" w:hint="eastAsia"/>
          <w:color w:val="000000"/>
        </w:rPr>
        <w:t xml:space="preserve">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w:t>
      </w:r>
      <w:r>
        <w:rPr>
          <w:rFonts w:ascii="微软雅黑" w:eastAsia="微软雅黑" w:hAnsi="微软雅黑" w:cs="微软雅黑" w:hint="eastAsia"/>
          <w:color w:val="000000"/>
        </w:rPr>
        <w:t>增加</w:t>
      </w:r>
      <w:r>
        <w:rPr>
          <w:rFonts w:ascii="微软雅黑" w:eastAsia="微软雅黑" w:hAnsi="微软雅黑" w:cs="微软雅黑" w:hint="eastAsia"/>
          <w:color w:val="000000"/>
        </w:rPr>
        <w:t xml:space="preserve">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r>
        <w:rPr>
          <w:rFonts w:ascii="微软雅黑" w:eastAsia="微软雅黑" w:hAnsi="微软雅黑" w:cs="微软雅黑" w:hint="eastAsia"/>
          <w:color w:val="000000"/>
        </w:rPr>
        <w:t>变小</w:t>
      </w:r>
      <w:r>
        <w:rPr>
          <w:rFonts w:ascii="微软雅黑" w:eastAsia="微软雅黑" w:hAnsi="微软雅黑" w:cs="微软雅黑" w:hint="eastAsia"/>
          <w:color w:val="000000"/>
        </w:rPr>
        <w:t xml:space="preserve">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（4）    ①. </w:t>
      </w:r>
      <w:r>
        <w:rPr>
          <w:rFonts w:ascii="微软雅黑" w:eastAsia="微软雅黑" w:hAnsi="微软雅黑" w:cs="微软雅黑" w:hint="eastAsia"/>
          <w:color w:val="000000"/>
        </w:rPr>
        <w:t>倒</w:t>
      </w:r>
      <w:r>
        <w:rPr>
          <w:rFonts w:ascii="微软雅黑" w:eastAsia="微软雅黑" w:hAnsi="微软雅黑" w:cs="微软雅黑" w:hint="eastAsia"/>
          <w:color w:val="000000"/>
        </w:rPr>
        <w:t xml:space="preserve">    ②. </w:t>
      </w:r>
      <w:r>
        <w:rPr>
          <w:rFonts w:ascii="微软雅黑" w:eastAsia="微软雅黑" w:hAnsi="微软雅黑" w:cs="微软雅黑" w:hint="eastAsia"/>
          <w:color w:val="000000"/>
        </w:rPr>
        <w:t>正</w:t>
      </w:r>
      <w:r>
        <w:rPr>
          <w:rFonts w:ascii="微软雅黑" w:eastAsia="微软雅黑" w:hAnsi="微软雅黑" w:cs="微软雅黑" w:hint="eastAsia"/>
          <w:color w:val="000000"/>
        </w:rPr>
        <w:t xml:space="preserve">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（5）</w:t>
      </w:r>
      <w:r>
        <w:rPr>
          <w:rFonts w:ascii="微软雅黑" w:eastAsia="微软雅黑" w:hAnsi="微软雅黑" w:cs="微软雅黑" w:hint="eastAsia"/>
          <w:color w:val="000000"/>
        </w:rPr>
        <w:t>环境条件</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r>
        <w:rPr>
          <w:rFonts w:ascii="微软雅黑" w:eastAsia="微软雅黑" w:hAnsi="微软雅黑" w:cs="微软雅黑" w:hint="eastAsia"/>
          <w:color w:val="000000"/>
        </w:rPr>
        <w:br/>
      </w:r>
      <w:r>
        <w:rPr>
          <w:rFonts w:ascii="微软雅黑" w:eastAsia="微软雅黑" w:hAnsi="微软雅黑" w:cs="微软雅黑" w:hint="eastAsia"/>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https://d.book118.com/346043055111010054</w:t>
        </w:r>
      </w:hyperlink>
    </w:p>
    <w:p>
      <w:pPr>
        <w:spacing w:line="360" w:lineRule="auto"/>
        <w:textAlignment w:val="center"/>
        <w:rPr>
          <w:rFonts w:ascii="微软雅黑" w:eastAsia="微软雅黑" w:hAnsi="微软雅黑" w:cs="微软雅黑" w:hint="eastAsia"/>
          <w:color w:val="000000"/>
        </w:rPr>
      </w:pPr>
    </w:p>
    <w:sectPr>
      <w:headerReference w:type="even" r:id="rId53"/>
      <w:footerReference w:type="even" r:id="rId54"/>
      <w:headerReference w:type="first" r:id="rId55"/>
      <w:footerReference w:type="first" r:id="rId56"/>
      <w:type w:val="nextPage"/>
      <w:pgSz w:w="11906" w:h="16838"/>
      <w:pgMar w:top="910" w:right="1080" w:bottom="1440" w:left="1080" w:header="152" w:footer="0" w:gutter="0"/>
      <w:pgNumType w:start="11"/>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15A5A"/>
    <w:rsid w:val="00C321EB"/>
    <w:rsid w:val="00CA4A07"/>
    <w:rsid w:val="00D51257"/>
    <w:rsid w:val="00D634C2"/>
    <w:rsid w:val="00D756B6"/>
    <w:rsid w:val="00D77F6E"/>
    <w:rsid w:val="00DA0796"/>
    <w:rsid w:val="00DA5448"/>
    <w:rsid w:val="00DF071B"/>
    <w:rsid w:val="00E63075"/>
    <w:rsid w:val="00E8643B"/>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D71028"/>
    <w:rsid w:val="0BED26DF"/>
    <w:rsid w:val="38274566"/>
    <w:rsid w:val="50771C8C"/>
  </w:rsids>
  <w:docVars>
    <w:docVar w:name="commondata" w:val="eyJoZGlkIjoiOGJiMGQ3NmNiNDBlZjk3NmQzODViMjhiY2E3MTYwZG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link w:val="a"/>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autoRedefine/>
    <w:uiPriority w:val="99"/>
    <w:unhideWhenUsed/>
    <w:qFormat/>
    <w:rPr>
      <w:color w:val="0000FF"/>
      <w:u w:val="single"/>
    </w:rPr>
  </w:style>
  <w:style w:type="character" w:customStyle="1" w:styleId="a">
    <w:name w:val="页眉 字符"/>
    <w:basedOn w:val="DefaultParagraphFont"/>
    <w:link w:val="Header"/>
    <w:autoRedefine/>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footer" Target="footer4.xml" /><Relationship Id="rId16" Type="http://schemas.openxmlformats.org/officeDocument/2006/relationships/image" Target="media/image4.wmf" /><Relationship Id="rId17" Type="http://schemas.openxmlformats.org/officeDocument/2006/relationships/header" Target="header5.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header" Target="header7.xml" /><Relationship Id="rId22" Type="http://schemas.openxmlformats.org/officeDocument/2006/relationships/footer" Target="footer7.xml" /><Relationship Id="rId23" Type="http://schemas.openxmlformats.org/officeDocument/2006/relationships/header" Target="header8.xml" /><Relationship Id="rId24" Type="http://schemas.openxmlformats.org/officeDocument/2006/relationships/footer" Target="footer8.xml" /><Relationship Id="rId25" Type="http://schemas.openxmlformats.org/officeDocument/2006/relationships/image" Target="media/image5.png" /><Relationship Id="rId26" Type="http://schemas.openxmlformats.org/officeDocument/2006/relationships/image" Target="media/image6.wmf" /><Relationship Id="rId27" Type="http://schemas.openxmlformats.org/officeDocument/2006/relationships/header" Target="header9.xml" /><Relationship Id="rId28" Type="http://schemas.openxmlformats.org/officeDocument/2006/relationships/footer" Target="footer9.xml"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header" Target="header11.xml" /><Relationship Id="rId32" Type="http://schemas.openxmlformats.org/officeDocument/2006/relationships/footer" Target="footer11.xml" /><Relationship Id="rId33" Type="http://schemas.openxmlformats.org/officeDocument/2006/relationships/header" Target="header12.xml" /><Relationship Id="rId34" Type="http://schemas.openxmlformats.org/officeDocument/2006/relationships/footer" Target="footer12.xml" /><Relationship Id="rId35" Type="http://schemas.openxmlformats.org/officeDocument/2006/relationships/header" Target="header13.xml" /><Relationship Id="rId36" Type="http://schemas.openxmlformats.org/officeDocument/2006/relationships/footer" Target="footer13.xml" /><Relationship Id="rId37" Type="http://schemas.openxmlformats.org/officeDocument/2006/relationships/header" Target="header14.xml" /><Relationship Id="rId38" Type="http://schemas.openxmlformats.org/officeDocument/2006/relationships/footer" Target="footer14.xml" /><Relationship Id="rId39" Type="http://schemas.openxmlformats.org/officeDocument/2006/relationships/header" Target="header15.xml" /><Relationship Id="rId4" Type="http://schemas.openxmlformats.org/officeDocument/2006/relationships/customXml" Target="../customXml/item1.xml" /><Relationship Id="rId40" Type="http://schemas.openxmlformats.org/officeDocument/2006/relationships/footer" Target="footer15.xml" /><Relationship Id="rId41" Type="http://schemas.openxmlformats.org/officeDocument/2006/relationships/header" Target="header16.xml" /><Relationship Id="rId42" Type="http://schemas.openxmlformats.org/officeDocument/2006/relationships/footer" Target="footer16.xml" /><Relationship Id="rId43" Type="http://schemas.openxmlformats.org/officeDocument/2006/relationships/header" Target="header17.xml" /><Relationship Id="rId44" Type="http://schemas.openxmlformats.org/officeDocument/2006/relationships/footer" Target="footer17.xml" /><Relationship Id="rId45" Type="http://schemas.openxmlformats.org/officeDocument/2006/relationships/header" Target="header18.xml" /><Relationship Id="rId46" Type="http://schemas.openxmlformats.org/officeDocument/2006/relationships/footer" Target="footer18.xml" /><Relationship Id="rId47" Type="http://schemas.openxmlformats.org/officeDocument/2006/relationships/header" Target="header19.xml" /><Relationship Id="rId48" Type="http://schemas.openxmlformats.org/officeDocument/2006/relationships/footer" Target="footer19.xml" /><Relationship Id="rId49" Type="http://schemas.openxmlformats.org/officeDocument/2006/relationships/header" Target="header20.xml" /><Relationship Id="rId5" Type="http://schemas.openxmlformats.org/officeDocument/2006/relationships/image" Target="media/image1.png" /><Relationship Id="rId50" Type="http://schemas.openxmlformats.org/officeDocument/2006/relationships/footer" Target="footer20.xml" /><Relationship Id="rId51" Type="http://schemas.openxmlformats.org/officeDocument/2006/relationships/image" Target="media/image7.png" /><Relationship Id="rId52" Type="http://schemas.openxmlformats.org/officeDocument/2006/relationships/hyperlink" Target="https://d.book118.com/346043055111010054" TargetMode="External" /><Relationship Id="rId53" Type="http://schemas.openxmlformats.org/officeDocument/2006/relationships/header" Target="header21.xml" /><Relationship Id="rId54" Type="http://schemas.openxmlformats.org/officeDocument/2006/relationships/footer" Target="footer21.xml" /><Relationship Id="rId55" Type="http://schemas.openxmlformats.org/officeDocument/2006/relationships/header" Target="header22.xml" /><Relationship Id="rId56" Type="http://schemas.openxmlformats.org/officeDocument/2006/relationships/footer" Target="footer22.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1813</Words>
  <Characters>10337</Characters>
  <Application>Microsoft Office Word</Application>
  <DocSecurity>0</DocSecurity>
  <Lines>86</Lines>
  <Paragraphs>24</Paragraphs>
  <ScaleCrop>false</ScaleCrop>
  <Company>学科网 www.zxxk.com</Company>
  <LinksUpToDate>false</LinksUpToDate>
  <CharactersWithSpaces>12126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3164635578925056</dc:description>
  <cp:lastModifiedBy>马兵兵</cp:lastModifiedBy>
  <cp:revision>8</cp:revision>
  <dcterms:created xsi:type="dcterms:W3CDTF">2023-02-01T14:14:00Z</dcterms:created>
  <dcterms:modified xsi:type="dcterms:W3CDTF">2024-03-04T14:32:55Z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1D8CB6BFCBA34C42A9ED9AB0BFC3BE3E_13</vt:lpwstr>
  </property>
  <property fmtid="{D5CDD505-2E9C-101B-9397-08002B2CF9AE}" pid="7" name="KSOProductBuildVer">
    <vt:lpwstr>2052-12.1.0.16399</vt:lpwstr>
  </property>
</Properties>
</file>