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1" w:history="1">
        <w:r>
          <w:rPr>
            <w:rFonts w:ascii="仿宋" w:eastAsia="仿宋" w:hAnsi="仿宋" w:cs="仿宋" w:hint="eastAsia"/>
            <w:lang w:eastAsia="zh-CN"/>
          </w:rPr>
          <w:t>序言</w:t>
        </w:r>
        <w:r>
          <w:tab/>
        </w:r>
        <w:r>
          <w:fldChar w:fldCharType="begin"/>
        </w:r>
        <w:r>
          <w:instrText xml:space="preserve"> PAGEREF _Toc23351 \h </w:instrText>
        </w:r>
        <w:r>
          <w:fldChar w:fldCharType="separate"/>
        </w:r>
        <w:r>
          <w:t>3</w:t>
        </w:r>
        <w:r>
          <w:fldChar w:fldCharType="end"/>
        </w:r>
      </w:hyperlink>
    </w:p>
    <w:p>
      <w:pPr>
        <w:pStyle w:val="TOC1"/>
        <w:tabs>
          <w:tab w:val="right" w:leader="dot" w:pos="8306"/>
        </w:tabs>
      </w:pPr>
      <w:hyperlink w:anchor="_Toc14479" w:history="1">
        <w:r>
          <w:rPr>
            <w:rFonts w:ascii="仿宋" w:eastAsia="仿宋" w:hAnsi="仿宋" w:cs="仿宋" w:hint="eastAsia"/>
            <w:lang w:eastAsia="zh-CN"/>
          </w:rPr>
          <w:t>一、分子诊断试剂项目建设单位说明</w:t>
        </w:r>
        <w:r>
          <w:tab/>
        </w:r>
        <w:r>
          <w:fldChar w:fldCharType="begin"/>
        </w:r>
        <w:r>
          <w:instrText xml:space="preserve"> PAGEREF _Toc14479 \h </w:instrText>
        </w:r>
        <w:r>
          <w:fldChar w:fldCharType="separate"/>
        </w:r>
        <w:r>
          <w:t>3</w:t>
        </w:r>
        <w:r>
          <w:fldChar w:fldCharType="end"/>
        </w:r>
      </w:hyperlink>
    </w:p>
    <w:p>
      <w:pPr>
        <w:pStyle w:val="TOC2"/>
        <w:tabs>
          <w:tab w:val="right" w:leader="dot" w:pos="8306"/>
        </w:tabs>
      </w:pPr>
      <w:hyperlink w:anchor="_Toc21534" w:history="1">
        <w:r>
          <w:rPr>
            <w:rFonts w:ascii="仿宋" w:eastAsia="仿宋" w:hAnsi="仿宋" w:cs="仿宋" w:hint="eastAsia"/>
            <w:lang w:eastAsia="zh-CN"/>
          </w:rPr>
          <w:t>(一)、分子诊断试剂项目承办单位基本情况</w:t>
        </w:r>
        <w:r>
          <w:tab/>
        </w:r>
        <w:r>
          <w:fldChar w:fldCharType="begin"/>
        </w:r>
        <w:r>
          <w:instrText xml:space="preserve"> PAGEREF _Toc21534 \h </w:instrText>
        </w:r>
        <w:r>
          <w:fldChar w:fldCharType="separate"/>
        </w:r>
        <w:r>
          <w:t>3</w:t>
        </w:r>
        <w:r>
          <w:fldChar w:fldCharType="end"/>
        </w:r>
      </w:hyperlink>
    </w:p>
    <w:p>
      <w:pPr>
        <w:pStyle w:val="TOC2"/>
        <w:tabs>
          <w:tab w:val="right" w:leader="dot" w:pos="8306"/>
        </w:tabs>
      </w:pPr>
      <w:hyperlink w:anchor="_Toc23390" w:history="1">
        <w:r>
          <w:rPr>
            <w:rFonts w:ascii="仿宋" w:eastAsia="仿宋" w:hAnsi="仿宋" w:cs="仿宋" w:hint="eastAsia"/>
            <w:lang w:eastAsia="zh-CN"/>
          </w:rPr>
          <w:t>(二)、公司经济效益分析</w:t>
        </w:r>
        <w:r>
          <w:tab/>
        </w:r>
        <w:r>
          <w:fldChar w:fldCharType="begin"/>
        </w:r>
        <w:r>
          <w:instrText xml:space="preserve"> PAGEREF _Toc23390 \h </w:instrText>
        </w:r>
        <w:r>
          <w:fldChar w:fldCharType="separate"/>
        </w:r>
        <w:r>
          <w:t>4</w:t>
        </w:r>
        <w:r>
          <w:fldChar w:fldCharType="end"/>
        </w:r>
      </w:hyperlink>
    </w:p>
    <w:p>
      <w:pPr>
        <w:pStyle w:val="TOC1"/>
        <w:tabs>
          <w:tab w:val="right" w:leader="dot" w:pos="8306"/>
        </w:tabs>
      </w:pPr>
      <w:hyperlink w:anchor="_Toc6591" w:history="1">
        <w:r>
          <w:rPr>
            <w:rFonts w:ascii="仿宋" w:eastAsia="仿宋" w:hAnsi="仿宋" w:cs="仿宋" w:hint="eastAsia"/>
            <w:lang w:eastAsia="zh-CN"/>
          </w:rPr>
          <w:t>二、分子诊断试剂项目文档管理</w:t>
        </w:r>
        <w:r>
          <w:tab/>
        </w:r>
        <w:r>
          <w:fldChar w:fldCharType="begin"/>
        </w:r>
        <w:r>
          <w:instrText xml:space="preserve"> PAGEREF _Toc6591 \h </w:instrText>
        </w:r>
        <w:r>
          <w:fldChar w:fldCharType="separate"/>
        </w:r>
        <w:r>
          <w:t>5</w:t>
        </w:r>
        <w:r>
          <w:fldChar w:fldCharType="end"/>
        </w:r>
      </w:hyperlink>
    </w:p>
    <w:p>
      <w:pPr>
        <w:pStyle w:val="TOC2"/>
        <w:tabs>
          <w:tab w:val="right" w:leader="dot" w:pos="8306"/>
        </w:tabs>
      </w:pPr>
      <w:hyperlink w:anchor="_Toc31851" w:history="1">
        <w:r>
          <w:rPr>
            <w:rFonts w:ascii="仿宋" w:eastAsia="仿宋" w:hAnsi="仿宋" w:cs="仿宋" w:hint="eastAsia"/>
            <w:lang w:eastAsia="zh-CN"/>
          </w:rPr>
          <w:t>(一)、文档编制与审查</w:t>
        </w:r>
        <w:r>
          <w:tab/>
        </w:r>
        <w:r>
          <w:fldChar w:fldCharType="begin"/>
        </w:r>
        <w:r>
          <w:instrText xml:space="preserve"> PAGEREF _Toc31851 \h </w:instrText>
        </w:r>
        <w:r>
          <w:fldChar w:fldCharType="separate"/>
        </w:r>
        <w:r>
          <w:t>5</w:t>
        </w:r>
        <w:r>
          <w:fldChar w:fldCharType="end"/>
        </w:r>
      </w:hyperlink>
    </w:p>
    <w:p>
      <w:pPr>
        <w:pStyle w:val="TOC2"/>
        <w:tabs>
          <w:tab w:val="right" w:leader="dot" w:pos="8306"/>
        </w:tabs>
      </w:pPr>
      <w:hyperlink w:anchor="_Toc27758" w:history="1">
        <w:r>
          <w:rPr>
            <w:rFonts w:ascii="仿宋" w:eastAsia="仿宋" w:hAnsi="仿宋" w:cs="仿宋" w:hint="eastAsia"/>
            <w:lang w:eastAsia="zh-CN"/>
          </w:rPr>
          <w:t>(二)、文档发布与分发</w:t>
        </w:r>
        <w:r>
          <w:tab/>
        </w:r>
        <w:r>
          <w:fldChar w:fldCharType="begin"/>
        </w:r>
        <w:r>
          <w:instrText xml:space="preserve"> PAGEREF _Toc27758 \h </w:instrText>
        </w:r>
        <w:r>
          <w:fldChar w:fldCharType="separate"/>
        </w:r>
        <w:r>
          <w:t>6</w:t>
        </w:r>
        <w:r>
          <w:fldChar w:fldCharType="end"/>
        </w:r>
      </w:hyperlink>
    </w:p>
    <w:p>
      <w:pPr>
        <w:pStyle w:val="TOC2"/>
        <w:tabs>
          <w:tab w:val="right" w:leader="dot" w:pos="8306"/>
        </w:tabs>
      </w:pPr>
      <w:hyperlink w:anchor="_Toc16384" w:history="1">
        <w:r>
          <w:rPr>
            <w:rFonts w:ascii="仿宋" w:eastAsia="仿宋" w:hAnsi="仿宋" w:cs="仿宋" w:hint="eastAsia"/>
            <w:lang w:eastAsia="zh-CN"/>
          </w:rPr>
          <w:t>(三)、文档存档与归档</w:t>
        </w:r>
        <w:r>
          <w:tab/>
        </w:r>
        <w:r>
          <w:fldChar w:fldCharType="begin"/>
        </w:r>
        <w:r>
          <w:instrText xml:space="preserve"> PAGEREF _Toc16384 \h </w:instrText>
        </w:r>
        <w:r>
          <w:fldChar w:fldCharType="separate"/>
        </w:r>
        <w:r>
          <w:t>7</w:t>
        </w:r>
        <w:r>
          <w:fldChar w:fldCharType="end"/>
        </w:r>
      </w:hyperlink>
    </w:p>
    <w:p>
      <w:pPr>
        <w:pStyle w:val="TOC1"/>
        <w:tabs>
          <w:tab w:val="right" w:leader="dot" w:pos="8306"/>
        </w:tabs>
      </w:pPr>
      <w:hyperlink w:anchor="_Toc22378" w:history="1">
        <w:r>
          <w:rPr>
            <w:rFonts w:ascii="仿宋" w:eastAsia="仿宋" w:hAnsi="仿宋" w:cs="仿宋" w:hint="eastAsia"/>
            <w:lang w:eastAsia="zh-CN"/>
          </w:rPr>
          <w:t>三、工艺说明</w:t>
        </w:r>
        <w:r>
          <w:tab/>
        </w:r>
        <w:r>
          <w:fldChar w:fldCharType="begin"/>
        </w:r>
        <w:r>
          <w:instrText xml:space="preserve"> PAGEREF _Toc22378 \h </w:instrText>
        </w:r>
        <w:r>
          <w:fldChar w:fldCharType="separate"/>
        </w:r>
        <w:r>
          <w:t>8</w:t>
        </w:r>
        <w:r>
          <w:fldChar w:fldCharType="end"/>
        </w:r>
      </w:hyperlink>
    </w:p>
    <w:p>
      <w:pPr>
        <w:pStyle w:val="TOC2"/>
        <w:tabs>
          <w:tab w:val="right" w:leader="dot" w:pos="8306"/>
        </w:tabs>
      </w:pPr>
      <w:hyperlink w:anchor="_Toc9210" w:history="1">
        <w:r>
          <w:rPr>
            <w:rFonts w:ascii="仿宋" w:eastAsia="仿宋" w:hAnsi="仿宋" w:cs="仿宋" w:hint="eastAsia"/>
            <w:lang w:eastAsia="zh-CN"/>
          </w:rPr>
          <w:t>(一)、技术管理特点</w:t>
        </w:r>
        <w:r>
          <w:tab/>
        </w:r>
        <w:r>
          <w:fldChar w:fldCharType="begin"/>
        </w:r>
        <w:r>
          <w:instrText xml:space="preserve"> PAGEREF _Toc9210 \h </w:instrText>
        </w:r>
        <w:r>
          <w:fldChar w:fldCharType="separate"/>
        </w:r>
        <w:r>
          <w:t>8</w:t>
        </w:r>
        <w:r>
          <w:fldChar w:fldCharType="end"/>
        </w:r>
      </w:hyperlink>
    </w:p>
    <w:p>
      <w:pPr>
        <w:pStyle w:val="TOC2"/>
        <w:tabs>
          <w:tab w:val="right" w:leader="dot" w:pos="8306"/>
        </w:tabs>
      </w:pPr>
      <w:hyperlink w:anchor="_Toc27216" w:history="1">
        <w:r>
          <w:rPr>
            <w:rFonts w:ascii="仿宋" w:eastAsia="仿宋" w:hAnsi="仿宋" w:cs="仿宋" w:hint="eastAsia"/>
            <w:lang w:eastAsia="zh-CN"/>
          </w:rPr>
          <w:t>(二)、分子诊断试剂项目工艺技术设计方案</w:t>
        </w:r>
        <w:r>
          <w:tab/>
        </w:r>
        <w:r>
          <w:fldChar w:fldCharType="begin"/>
        </w:r>
        <w:r>
          <w:instrText xml:space="preserve"> PAGEREF _Toc27216 \h </w:instrText>
        </w:r>
        <w:r>
          <w:fldChar w:fldCharType="separate"/>
        </w:r>
        <w:r>
          <w:t>9</w:t>
        </w:r>
        <w:r>
          <w:fldChar w:fldCharType="end"/>
        </w:r>
      </w:hyperlink>
    </w:p>
    <w:p>
      <w:pPr>
        <w:pStyle w:val="TOC2"/>
        <w:tabs>
          <w:tab w:val="right" w:leader="dot" w:pos="8306"/>
        </w:tabs>
      </w:pPr>
      <w:hyperlink w:anchor="_Toc9710" w:history="1">
        <w:r>
          <w:rPr>
            <w:rFonts w:ascii="仿宋" w:eastAsia="仿宋" w:hAnsi="仿宋" w:cs="仿宋" w:hint="eastAsia"/>
            <w:lang w:eastAsia="zh-CN"/>
          </w:rPr>
          <w:t>(三)、设备选型方案</w:t>
        </w:r>
        <w:r>
          <w:tab/>
        </w:r>
        <w:r>
          <w:fldChar w:fldCharType="begin"/>
        </w:r>
        <w:r>
          <w:instrText xml:space="preserve"> PAGEREF _Toc9710 \h </w:instrText>
        </w:r>
        <w:r>
          <w:fldChar w:fldCharType="separate"/>
        </w:r>
        <w:r>
          <w:t>11</w:t>
        </w:r>
        <w:r>
          <w:fldChar w:fldCharType="end"/>
        </w:r>
      </w:hyperlink>
    </w:p>
    <w:p>
      <w:pPr>
        <w:pStyle w:val="TOC1"/>
        <w:tabs>
          <w:tab w:val="right" w:leader="dot" w:pos="8306"/>
        </w:tabs>
      </w:pPr>
      <w:hyperlink w:anchor="_Toc20256" w:history="1">
        <w:r>
          <w:rPr>
            <w:rFonts w:ascii="仿宋" w:eastAsia="仿宋" w:hAnsi="仿宋" w:cs="仿宋" w:hint="eastAsia"/>
            <w:lang w:eastAsia="zh-CN"/>
          </w:rPr>
          <w:t>四、市场分析、调研</w:t>
        </w:r>
        <w:r>
          <w:tab/>
        </w:r>
        <w:r>
          <w:fldChar w:fldCharType="begin"/>
        </w:r>
        <w:r>
          <w:instrText xml:space="preserve"> PAGEREF _Toc20256 \h </w:instrText>
        </w:r>
        <w:r>
          <w:fldChar w:fldCharType="separate"/>
        </w:r>
        <w:r>
          <w:t>12</w:t>
        </w:r>
        <w:r>
          <w:fldChar w:fldCharType="end"/>
        </w:r>
      </w:hyperlink>
    </w:p>
    <w:p>
      <w:pPr>
        <w:pStyle w:val="TOC2"/>
        <w:tabs>
          <w:tab w:val="right" w:leader="dot" w:pos="8306"/>
        </w:tabs>
      </w:pPr>
      <w:hyperlink w:anchor="_Toc26518" w:history="1">
        <w:r>
          <w:rPr>
            <w:rFonts w:ascii="仿宋" w:eastAsia="仿宋" w:hAnsi="仿宋" w:cs="仿宋" w:hint="eastAsia"/>
            <w:lang w:eastAsia="zh-CN"/>
          </w:rPr>
          <w:t>(一)、分子诊断试剂行业分析</w:t>
        </w:r>
        <w:r>
          <w:tab/>
        </w:r>
        <w:r>
          <w:fldChar w:fldCharType="begin"/>
        </w:r>
        <w:r>
          <w:instrText xml:space="preserve"> PAGEREF _Toc26518 \h </w:instrText>
        </w:r>
        <w:r>
          <w:fldChar w:fldCharType="separate"/>
        </w:r>
        <w:r>
          <w:t>12</w:t>
        </w:r>
        <w:r>
          <w:fldChar w:fldCharType="end"/>
        </w:r>
      </w:hyperlink>
    </w:p>
    <w:p>
      <w:pPr>
        <w:pStyle w:val="TOC2"/>
        <w:tabs>
          <w:tab w:val="right" w:leader="dot" w:pos="8306"/>
        </w:tabs>
      </w:pPr>
      <w:hyperlink w:anchor="_Toc10628" w:history="1">
        <w:r>
          <w:rPr>
            <w:rFonts w:ascii="仿宋" w:eastAsia="仿宋" w:hAnsi="仿宋" w:cs="仿宋" w:hint="eastAsia"/>
            <w:lang w:eastAsia="zh-CN"/>
          </w:rPr>
          <w:t>(二)、分子诊断试剂市场分析预测</w:t>
        </w:r>
        <w:r>
          <w:tab/>
        </w:r>
        <w:r>
          <w:fldChar w:fldCharType="begin"/>
        </w:r>
        <w:r>
          <w:instrText xml:space="preserve"> PAGEREF _Toc10628 \h </w:instrText>
        </w:r>
        <w:r>
          <w:fldChar w:fldCharType="separate"/>
        </w:r>
        <w:r>
          <w:t>13</w:t>
        </w:r>
        <w:r>
          <w:fldChar w:fldCharType="end"/>
        </w:r>
      </w:hyperlink>
    </w:p>
    <w:p>
      <w:pPr>
        <w:pStyle w:val="TOC1"/>
        <w:tabs>
          <w:tab w:val="right" w:leader="dot" w:pos="8306"/>
        </w:tabs>
      </w:pPr>
      <w:hyperlink w:anchor="_Toc11132" w:history="1">
        <w:r>
          <w:rPr>
            <w:rFonts w:ascii="仿宋" w:eastAsia="仿宋" w:hAnsi="仿宋" w:cs="仿宋" w:hint="eastAsia"/>
            <w:lang w:eastAsia="zh-CN"/>
          </w:rPr>
          <w:t>五、分子诊断试剂项目土建工程</w:t>
        </w:r>
        <w:r>
          <w:tab/>
        </w:r>
        <w:r>
          <w:fldChar w:fldCharType="begin"/>
        </w:r>
        <w:r>
          <w:instrText xml:space="preserve"> PAGEREF _Toc11132 \h </w:instrText>
        </w:r>
        <w:r>
          <w:fldChar w:fldCharType="separate"/>
        </w:r>
        <w:r>
          <w:t>14</w:t>
        </w:r>
        <w:r>
          <w:fldChar w:fldCharType="end"/>
        </w:r>
      </w:hyperlink>
    </w:p>
    <w:p>
      <w:pPr>
        <w:pStyle w:val="TOC2"/>
        <w:tabs>
          <w:tab w:val="right" w:leader="dot" w:pos="8306"/>
        </w:tabs>
      </w:pPr>
      <w:hyperlink w:anchor="_Toc20793" w:history="1">
        <w:r>
          <w:rPr>
            <w:rFonts w:ascii="仿宋" w:eastAsia="仿宋" w:hAnsi="仿宋" w:cs="仿宋" w:hint="eastAsia"/>
            <w:lang w:eastAsia="zh-CN"/>
          </w:rPr>
          <w:t>(一)、建筑工程设计原则</w:t>
        </w:r>
        <w:r>
          <w:tab/>
        </w:r>
        <w:r>
          <w:fldChar w:fldCharType="begin"/>
        </w:r>
        <w:r>
          <w:instrText xml:space="preserve"> PAGEREF _Toc20793 \h </w:instrText>
        </w:r>
        <w:r>
          <w:fldChar w:fldCharType="separate"/>
        </w:r>
        <w:r>
          <w:t>14</w:t>
        </w:r>
        <w:r>
          <w:fldChar w:fldCharType="end"/>
        </w:r>
      </w:hyperlink>
    </w:p>
    <w:p>
      <w:pPr>
        <w:pStyle w:val="TOC2"/>
        <w:tabs>
          <w:tab w:val="right" w:leader="dot" w:pos="8306"/>
        </w:tabs>
      </w:pPr>
      <w:hyperlink w:anchor="_Toc5189" w:history="1">
        <w:r>
          <w:rPr>
            <w:rFonts w:ascii="仿宋" w:eastAsia="仿宋" w:hAnsi="仿宋" w:cs="仿宋" w:hint="eastAsia"/>
            <w:lang w:eastAsia="zh-CN"/>
          </w:rPr>
          <w:t>(二)、土建工程设计年限及安全等级</w:t>
        </w:r>
        <w:r>
          <w:tab/>
        </w:r>
        <w:r>
          <w:fldChar w:fldCharType="begin"/>
        </w:r>
        <w:r>
          <w:instrText xml:space="preserve"> PAGEREF _Toc5189 \h </w:instrText>
        </w:r>
        <w:r>
          <w:fldChar w:fldCharType="separate"/>
        </w:r>
        <w:r>
          <w:t>15</w:t>
        </w:r>
        <w:r>
          <w:fldChar w:fldCharType="end"/>
        </w:r>
      </w:hyperlink>
    </w:p>
    <w:p>
      <w:pPr>
        <w:pStyle w:val="TOC2"/>
        <w:tabs>
          <w:tab w:val="right" w:leader="dot" w:pos="8306"/>
        </w:tabs>
      </w:pPr>
      <w:hyperlink w:anchor="_Toc18629" w:history="1">
        <w:r>
          <w:rPr>
            <w:rFonts w:ascii="仿宋" w:eastAsia="仿宋" w:hAnsi="仿宋" w:cs="仿宋" w:hint="eastAsia"/>
            <w:lang w:eastAsia="zh-CN"/>
          </w:rPr>
          <w:t>(三)、建筑工程设计总体要求</w:t>
        </w:r>
        <w:r>
          <w:tab/>
        </w:r>
        <w:r>
          <w:fldChar w:fldCharType="begin"/>
        </w:r>
        <w:r>
          <w:instrText xml:space="preserve"> PAGEREF _Toc18629 \h </w:instrText>
        </w:r>
        <w:r>
          <w:fldChar w:fldCharType="separate"/>
        </w:r>
        <w:r>
          <w:t>16</w:t>
        </w:r>
        <w:r>
          <w:fldChar w:fldCharType="end"/>
        </w:r>
      </w:hyperlink>
    </w:p>
    <w:p>
      <w:pPr>
        <w:pStyle w:val="TOC2"/>
        <w:tabs>
          <w:tab w:val="right" w:leader="dot" w:pos="8306"/>
        </w:tabs>
      </w:pPr>
      <w:hyperlink w:anchor="_Toc8970" w:history="1">
        <w:r>
          <w:rPr>
            <w:rFonts w:ascii="仿宋" w:eastAsia="仿宋" w:hAnsi="仿宋" w:cs="仿宋" w:hint="eastAsia"/>
            <w:lang w:eastAsia="zh-CN"/>
          </w:rPr>
          <w:t>(四)、土建工程建设指标</w:t>
        </w:r>
        <w:r>
          <w:tab/>
        </w:r>
        <w:r>
          <w:fldChar w:fldCharType="begin"/>
        </w:r>
        <w:r>
          <w:instrText xml:space="preserve"> PAGEREF _Toc8970 \h </w:instrText>
        </w:r>
        <w:r>
          <w:fldChar w:fldCharType="separate"/>
        </w:r>
        <w:r>
          <w:t>17</w:t>
        </w:r>
        <w:r>
          <w:fldChar w:fldCharType="end"/>
        </w:r>
      </w:hyperlink>
    </w:p>
    <w:p>
      <w:pPr>
        <w:pStyle w:val="TOC1"/>
        <w:tabs>
          <w:tab w:val="right" w:leader="dot" w:pos="8306"/>
        </w:tabs>
      </w:pPr>
      <w:hyperlink w:anchor="_Toc6882" w:history="1">
        <w:r>
          <w:rPr>
            <w:rFonts w:ascii="仿宋" w:eastAsia="仿宋" w:hAnsi="仿宋" w:cs="仿宋" w:hint="eastAsia"/>
            <w:lang w:eastAsia="zh-CN"/>
          </w:rPr>
          <w:t>六、分子诊断试剂项目建设背景及必要性分析</w:t>
        </w:r>
        <w:r>
          <w:tab/>
        </w:r>
        <w:r>
          <w:fldChar w:fldCharType="begin"/>
        </w:r>
        <w:r>
          <w:instrText xml:space="preserve"> PAGEREF _Toc6882 \h </w:instrText>
        </w:r>
        <w:r>
          <w:fldChar w:fldCharType="separate"/>
        </w:r>
        <w:r>
          <w:t>17</w:t>
        </w:r>
        <w:r>
          <w:fldChar w:fldCharType="end"/>
        </w:r>
      </w:hyperlink>
    </w:p>
    <w:p>
      <w:pPr>
        <w:pStyle w:val="TOC2"/>
        <w:tabs>
          <w:tab w:val="right" w:leader="dot" w:pos="8306"/>
        </w:tabs>
      </w:pPr>
      <w:hyperlink w:anchor="_Toc5521" w:history="1">
        <w:r>
          <w:rPr>
            <w:rFonts w:ascii="仿宋" w:eastAsia="仿宋" w:hAnsi="仿宋" w:cs="仿宋" w:hint="eastAsia"/>
            <w:lang w:eastAsia="zh-CN"/>
          </w:rPr>
          <w:t>(一)、分子诊断试剂项目背景分析</w:t>
        </w:r>
        <w:r>
          <w:tab/>
        </w:r>
        <w:r>
          <w:fldChar w:fldCharType="begin"/>
        </w:r>
        <w:r>
          <w:instrText xml:space="preserve"> PAGEREF _Toc5521 \h </w:instrText>
        </w:r>
        <w:r>
          <w:fldChar w:fldCharType="separate"/>
        </w:r>
        <w:r>
          <w:t>17</w:t>
        </w:r>
        <w:r>
          <w:fldChar w:fldCharType="end"/>
        </w:r>
      </w:hyperlink>
    </w:p>
    <w:p>
      <w:pPr>
        <w:pStyle w:val="TOC2"/>
        <w:tabs>
          <w:tab w:val="right" w:leader="dot" w:pos="8306"/>
        </w:tabs>
      </w:pPr>
      <w:hyperlink w:anchor="_Toc23627" w:history="1">
        <w:r>
          <w:rPr>
            <w:rFonts w:ascii="仿宋" w:eastAsia="仿宋" w:hAnsi="仿宋" w:cs="仿宋" w:hint="eastAsia"/>
            <w:lang w:eastAsia="zh-CN"/>
          </w:rPr>
          <w:t>(二)、分子诊断试剂项目建设必要性分析</w:t>
        </w:r>
        <w:r>
          <w:tab/>
        </w:r>
        <w:r>
          <w:fldChar w:fldCharType="begin"/>
        </w:r>
        <w:r>
          <w:instrText xml:space="preserve"> PAGEREF _Toc23627 \h </w:instrText>
        </w:r>
        <w:r>
          <w:fldChar w:fldCharType="separate"/>
        </w:r>
        <w:r>
          <w:t>19</w:t>
        </w:r>
        <w:r>
          <w:fldChar w:fldCharType="end"/>
        </w:r>
      </w:hyperlink>
    </w:p>
    <w:p>
      <w:pPr>
        <w:pStyle w:val="TOC1"/>
        <w:tabs>
          <w:tab w:val="right" w:leader="dot" w:pos="8306"/>
        </w:tabs>
      </w:pPr>
      <w:hyperlink w:anchor="_Toc2939" w:history="1">
        <w:r>
          <w:rPr>
            <w:rFonts w:ascii="仿宋" w:eastAsia="仿宋" w:hAnsi="仿宋" w:cs="仿宋" w:hint="eastAsia"/>
            <w:lang w:eastAsia="zh-CN"/>
          </w:rPr>
          <w:t>七、分子诊断试剂项目人力资源管理</w:t>
        </w:r>
        <w:r>
          <w:tab/>
        </w:r>
        <w:r>
          <w:fldChar w:fldCharType="begin"/>
        </w:r>
        <w:r>
          <w:instrText xml:space="preserve"> PAGEREF _Toc2939 \h </w:instrText>
        </w:r>
        <w:r>
          <w:fldChar w:fldCharType="separate"/>
        </w:r>
        <w:r>
          <w:t>20</w:t>
        </w:r>
        <w:r>
          <w:fldChar w:fldCharType="end"/>
        </w:r>
      </w:hyperlink>
    </w:p>
    <w:p>
      <w:pPr>
        <w:pStyle w:val="TOC2"/>
        <w:tabs>
          <w:tab w:val="right" w:leader="dot" w:pos="8306"/>
        </w:tabs>
      </w:pPr>
      <w:hyperlink w:anchor="_Toc15555" w:history="1">
        <w:r>
          <w:rPr>
            <w:rFonts w:ascii="仿宋" w:eastAsia="仿宋" w:hAnsi="仿宋" w:cs="仿宋" w:hint="eastAsia"/>
            <w:lang w:eastAsia="zh-CN"/>
          </w:rPr>
          <w:t>(一)、建立健全的预算管理制度</w:t>
        </w:r>
        <w:r>
          <w:tab/>
        </w:r>
        <w:r>
          <w:fldChar w:fldCharType="begin"/>
        </w:r>
        <w:r>
          <w:instrText xml:space="preserve"> PAGEREF _Toc15555 \h </w:instrText>
        </w:r>
        <w:r>
          <w:fldChar w:fldCharType="separate"/>
        </w:r>
        <w:r>
          <w:t>20</w:t>
        </w:r>
        <w:r>
          <w:fldChar w:fldCharType="end"/>
        </w:r>
      </w:hyperlink>
    </w:p>
    <w:p>
      <w:pPr>
        <w:pStyle w:val="TOC2"/>
        <w:tabs>
          <w:tab w:val="right" w:leader="dot" w:pos="8306"/>
        </w:tabs>
      </w:pPr>
      <w:hyperlink w:anchor="_Toc20884" w:history="1">
        <w:r>
          <w:rPr>
            <w:rFonts w:ascii="仿宋" w:eastAsia="仿宋" w:hAnsi="仿宋" w:cs="仿宋" w:hint="eastAsia"/>
            <w:lang w:eastAsia="zh-CN"/>
          </w:rPr>
          <w:t>(二)、加强资金流动监控</w:t>
        </w:r>
        <w:r>
          <w:tab/>
        </w:r>
        <w:r>
          <w:fldChar w:fldCharType="begin"/>
        </w:r>
        <w:r>
          <w:instrText xml:space="preserve"> PAGEREF _Toc20884 \h </w:instrText>
        </w:r>
        <w:r>
          <w:fldChar w:fldCharType="separate"/>
        </w:r>
        <w:r>
          <w:t>22</w:t>
        </w:r>
        <w:r>
          <w:fldChar w:fldCharType="end"/>
        </w:r>
      </w:hyperlink>
    </w:p>
    <w:p>
      <w:pPr>
        <w:pStyle w:val="TOC2"/>
        <w:tabs>
          <w:tab w:val="right" w:leader="dot" w:pos="8306"/>
        </w:tabs>
      </w:pPr>
      <w:hyperlink w:anchor="_Toc10644" w:history="1">
        <w:r>
          <w:rPr>
            <w:rFonts w:ascii="仿宋" w:eastAsia="仿宋" w:hAnsi="仿宋" w:cs="仿宋" w:hint="eastAsia"/>
            <w:lang w:eastAsia="zh-CN"/>
          </w:rPr>
          <w:t>(三)、制定完善的风险控制机制</w:t>
        </w:r>
        <w:r>
          <w:tab/>
        </w:r>
        <w:r>
          <w:fldChar w:fldCharType="begin"/>
        </w:r>
        <w:r>
          <w:instrText xml:space="preserve"> PAGEREF _Toc10644 \h </w:instrText>
        </w:r>
        <w:r>
          <w:fldChar w:fldCharType="separate"/>
        </w:r>
        <w:r>
          <w:t>23</w:t>
        </w:r>
        <w:r>
          <w:fldChar w:fldCharType="end"/>
        </w:r>
      </w:hyperlink>
    </w:p>
    <w:p>
      <w:pPr>
        <w:pStyle w:val="TOC2"/>
        <w:tabs>
          <w:tab w:val="right" w:leader="dot" w:pos="8306"/>
        </w:tabs>
      </w:pPr>
      <w:hyperlink w:anchor="_Toc27881" w:history="1">
        <w:r>
          <w:rPr>
            <w:rFonts w:ascii="仿宋" w:eastAsia="仿宋" w:hAnsi="仿宋" w:cs="仿宋" w:hint="eastAsia"/>
            <w:lang w:eastAsia="zh-CN"/>
          </w:rPr>
          <w:t>(四)、优化成本管理</w:t>
        </w:r>
        <w:r>
          <w:tab/>
        </w:r>
        <w:r>
          <w:fldChar w:fldCharType="begin"/>
        </w:r>
        <w:r>
          <w:instrText xml:space="preserve"> PAGEREF _Toc27881 \h </w:instrText>
        </w:r>
        <w:r>
          <w:fldChar w:fldCharType="separate"/>
        </w:r>
        <w:r>
          <w:t>24</w:t>
        </w:r>
        <w:r>
          <w:fldChar w:fldCharType="end"/>
        </w:r>
      </w:hyperlink>
    </w:p>
    <w:p>
      <w:pPr>
        <w:pStyle w:val="TOC1"/>
        <w:tabs>
          <w:tab w:val="right" w:leader="dot" w:pos="8306"/>
        </w:tabs>
      </w:pPr>
      <w:hyperlink w:anchor="_Toc21727" w:history="1">
        <w:r>
          <w:rPr>
            <w:rFonts w:ascii="仿宋" w:eastAsia="仿宋" w:hAnsi="仿宋" w:cs="仿宋" w:hint="eastAsia"/>
            <w:lang w:eastAsia="zh-CN"/>
          </w:rPr>
          <w:t>八、生产安全保护</w:t>
        </w:r>
        <w:r>
          <w:tab/>
        </w:r>
        <w:r>
          <w:fldChar w:fldCharType="begin"/>
        </w:r>
        <w:r>
          <w:instrText xml:space="preserve"> PAGEREF _Toc21727 \h </w:instrText>
        </w:r>
        <w:r>
          <w:fldChar w:fldCharType="separate"/>
        </w:r>
        <w:r>
          <w:t>26</w:t>
        </w:r>
        <w:r>
          <w:fldChar w:fldCharType="end"/>
        </w:r>
      </w:hyperlink>
    </w:p>
    <w:p>
      <w:pPr>
        <w:pStyle w:val="TOC2"/>
        <w:tabs>
          <w:tab w:val="right" w:leader="dot" w:pos="8306"/>
        </w:tabs>
      </w:pPr>
      <w:hyperlink w:anchor="_Toc2899" w:history="1">
        <w:r>
          <w:rPr>
            <w:rFonts w:ascii="仿宋" w:eastAsia="仿宋" w:hAnsi="仿宋" w:cs="仿宋" w:hint="eastAsia"/>
            <w:lang w:eastAsia="zh-CN"/>
          </w:rPr>
          <w:t>(一)、消防安全</w:t>
        </w:r>
        <w:r>
          <w:tab/>
        </w:r>
        <w:r>
          <w:fldChar w:fldCharType="begin"/>
        </w:r>
        <w:r>
          <w:instrText xml:space="preserve"> PAGEREF _Toc2899 \h </w:instrText>
        </w:r>
        <w:r>
          <w:fldChar w:fldCharType="separate"/>
        </w:r>
        <w:r>
          <w:t>26</w:t>
        </w:r>
        <w:r>
          <w:fldChar w:fldCharType="end"/>
        </w:r>
      </w:hyperlink>
    </w:p>
    <w:p>
      <w:pPr>
        <w:pStyle w:val="TOC2"/>
        <w:tabs>
          <w:tab w:val="right" w:leader="dot" w:pos="8306"/>
        </w:tabs>
      </w:pPr>
      <w:hyperlink w:anchor="_Toc20580" w:history="1">
        <w:r>
          <w:rPr>
            <w:rFonts w:ascii="仿宋" w:eastAsia="仿宋" w:hAnsi="仿宋" w:cs="仿宋" w:hint="eastAsia"/>
            <w:lang w:eastAsia="zh-CN"/>
          </w:rPr>
          <w:t>(二)、防火防爆总图布置措施</w:t>
        </w:r>
        <w:r>
          <w:tab/>
        </w:r>
        <w:r>
          <w:fldChar w:fldCharType="begin"/>
        </w:r>
        <w:r>
          <w:instrText xml:space="preserve"> PAGEREF _Toc20580 \h </w:instrText>
        </w:r>
        <w:r>
          <w:fldChar w:fldCharType="separate"/>
        </w:r>
        <w:r>
          <w:t>27</w:t>
        </w:r>
        <w:r>
          <w:fldChar w:fldCharType="end"/>
        </w:r>
      </w:hyperlink>
    </w:p>
    <w:p>
      <w:pPr>
        <w:pStyle w:val="TOC2"/>
        <w:tabs>
          <w:tab w:val="right" w:leader="dot" w:pos="8306"/>
        </w:tabs>
      </w:pPr>
      <w:hyperlink w:anchor="_Toc28054" w:history="1">
        <w:r>
          <w:rPr>
            <w:rFonts w:ascii="仿宋" w:eastAsia="仿宋" w:hAnsi="仿宋" w:cs="仿宋" w:hint="eastAsia"/>
            <w:lang w:eastAsia="zh-CN"/>
          </w:rPr>
          <w:t>(三)、自然灾害防范措施</w:t>
        </w:r>
        <w:r>
          <w:tab/>
        </w:r>
        <w:r>
          <w:fldChar w:fldCharType="begin"/>
        </w:r>
        <w:r>
          <w:instrText xml:space="preserve"> PAGEREF _Toc28054 \h </w:instrText>
        </w:r>
        <w:r>
          <w:fldChar w:fldCharType="separate"/>
        </w:r>
        <w:r>
          <w:t>28</w:t>
        </w:r>
        <w:r>
          <w:fldChar w:fldCharType="end"/>
        </w:r>
      </w:hyperlink>
    </w:p>
    <w:p>
      <w:pPr>
        <w:pStyle w:val="TOC2"/>
        <w:tabs>
          <w:tab w:val="right" w:leader="dot" w:pos="8306"/>
        </w:tabs>
      </w:pPr>
      <w:hyperlink w:anchor="_Toc8123" w:history="1">
        <w:r>
          <w:rPr>
            <w:rFonts w:ascii="仿宋" w:eastAsia="仿宋" w:hAnsi="仿宋" w:cs="仿宋" w:hint="eastAsia"/>
            <w:lang w:eastAsia="zh-CN"/>
          </w:rPr>
          <w:t>(四)、安全色及安全标志使用要求</w:t>
        </w:r>
        <w:r>
          <w:tab/>
        </w:r>
        <w:r>
          <w:fldChar w:fldCharType="begin"/>
        </w:r>
        <w:r>
          <w:instrText xml:space="preserve"> PAGEREF _Toc8123 \h </w:instrText>
        </w:r>
        <w:r>
          <w:fldChar w:fldCharType="separate"/>
        </w:r>
        <w:r>
          <w:t>29</w:t>
        </w:r>
        <w:r>
          <w:fldChar w:fldCharType="end"/>
        </w:r>
      </w:hyperlink>
    </w:p>
    <w:p>
      <w:pPr>
        <w:pStyle w:val="TOC2"/>
        <w:tabs>
          <w:tab w:val="right" w:leader="dot" w:pos="8306"/>
        </w:tabs>
      </w:pPr>
      <w:hyperlink w:anchor="_Toc16205" w:history="1">
        <w:r>
          <w:rPr>
            <w:rFonts w:ascii="仿宋" w:eastAsia="仿宋" w:hAnsi="仿宋" w:cs="仿宋" w:hint="eastAsia"/>
            <w:lang w:eastAsia="zh-CN"/>
          </w:rPr>
          <w:t>(五)、防尘防毒措施</w:t>
        </w:r>
        <w:r>
          <w:tab/>
        </w:r>
        <w:r>
          <w:fldChar w:fldCharType="begin"/>
        </w:r>
        <w:r>
          <w:instrText xml:space="preserve"> PAGEREF _Toc16205 \h </w:instrText>
        </w:r>
        <w:r>
          <w:fldChar w:fldCharType="separate"/>
        </w:r>
        <w:r>
          <w:t>30</w:t>
        </w:r>
        <w:r>
          <w:fldChar w:fldCharType="end"/>
        </w:r>
      </w:hyperlink>
    </w:p>
    <w:p>
      <w:pPr>
        <w:pStyle w:val="TOC2"/>
        <w:tabs>
          <w:tab w:val="right" w:leader="dot" w:pos="8306"/>
        </w:tabs>
      </w:pPr>
      <w:hyperlink w:anchor="_Toc1291" w:history="1">
        <w:r>
          <w:rPr>
            <w:rFonts w:ascii="仿宋" w:eastAsia="仿宋" w:hAnsi="仿宋" w:cs="仿宋" w:hint="eastAsia"/>
            <w:lang w:eastAsia="zh-CN"/>
          </w:rPr>
          <w:t>(六)、防静电、触电防护及防雷措施</w:t>
        </w:r>
        <w:r>
          <w:tab/>
        </w:r>
        <w:r>
          <w:fldChar w:fldCharType="begin"/>
        </w:r>
        <w:r>
          <w:instrText xml:space="preserve"> PAGEREF _Toc1291 \h </w:instrText>
        </w:r>
        <w:r>
          <w:fldChar w:fldCharType="separate"/>
        </w:r>
        <w:r>
          <w:t>31</w:t>
        </w:r>
        <w:r>
          <w:fldChar w:fldCharType="end"/>
        </w:r>
      </w:hyperlink>
    </w:p>
    <w:p>
      <w:pPr>
        <w:pStyle w:val="TOC2"/>
        <w:tabs>
          <w:tab w:val="right" w:leader="dot" w:pos="8306"/>
        </w:tabs>
      </w:pPr>
      <w:hyperlink w:anchor="_Toc13094" w:history="1">
        <w:r>
          <w:rPr>
            <w:rFonts w:ascii="仿宋" w:eastAsia="仿宋" w:hAnsi="仿宋" w:cs="仿宋" w:hint="eastAsia"/>
            <w:lang w:eastAsia="zh-CN"/>
          </w:rPr>
          <w:t>(七)、机械设备安全保障措施</w:t>
        </w:r>
        <w:r>
          <w:tab/>
        </w:r>
        <w:r>
          <w:fldChar w:fldCharType="begin"/>
        </w:r>
        <w:r>
          <w:instrText xml:space="preserve"> PAGEREF _Toc13094 \h </w:instrText>
        </w:r>
        <w:r>
          <w:fldChar w:fldCharType="separate"/>
        </w:r>
        <w:r>
          <w:t>32</w:t>
        </w:r>
        <w:r>
          <w:fldChar w:fldCharType="end"/>
        </w:r>
      </w:hyperlink>
    </w:p>
    <w:p>
      <w:pPr>
        <w:pStyle w:val="TOC1"/>
        <w:tabs>
          <w:tab w:val="right" w:leader="dot" w:pos="8306"/>
        </w:tabs>
      </w:pPr>
      <w:hyperlink w:anchor="_Toc9410" w:history="1">
        <w:r>
          <w:rPr>
            <w:rFonts w:ascii="仿宋" w:eastAsia="仿宋" w:hAnsi="仿宋" w:cs="仿宋" w:hint="eastAsia"/>
            <w:lang w:eastAsia="zh-CN"/>
          </w:rPr>
          <w:t>九、分子诊断试剂项目投资规划</w:t>
        </w:r>
        <w:r>
          <w:tab/>
        </w:r>
        <w:r>
          <w:fldChar w:fldCharType="begin"/>
        </w:r>
        <w:r>
          <w:instrText xml:space="preserve"> PAGEREF _Toc9410 \h </w:instrText>
        </w:r>
        <w:r>
          <w:fldChar w:fldCharType="separate"/>
        </w:r>
        <w:r>
          <w:t>34</w:t>
        </w:r>
        <w:r>
          <w:fldChar w:fldCharType="end"/>
        </w:r>
      </w:hyperlink>
    </w:p>
    <w:p>
      <w:pPr>
        <w:pStyle w:val="TOC2"/>
        <w:tabs>
          <w:tab w:val="right" w:leader="dot" w:pos="8306"/>
        </w:tabs>
      </w:pPr>
      <w:hyperlink w:anchor="_Toc11859" w:history="1">
        <w:r>
          <w:rPr>
            <w:rFonts w:ascii="仿宋" w:eastAsia="仿宋" w:hAnsi="仿宋" w:cs="仿宋" w:hint="eastAsia"/>
            <w:lang w:eastAsia="zh-CN"/>
          </w:rPr>
          <w:t>(一)、分子诊断试剂项目总投资估算</w:t>
        </w:r>
        <w:r>
          <w:tab/>
        </w:r>
        <w:r>
          <w:fldChar w:fldCharType="begin"/>
        </w:r>
        <w:r>
          <w:instrText xml:space="preserve"> PAGEREF _Toc11859 \h </w:instrText>
        </w:r>
        <w:r>
          <w:fldChar w:fldCharType="separate"/>
        </w:r>
        <w:r>
          <w:t>34</w:t>
        </w:r>
        <w:r>
          <w:fldChar w:fldCharType="end"/>
        </w:r>
      </w:hyperlink>
    </w:p>
    <w:p>
      <w:pPr>
        <w:pStyle w:val="TOC2"/>
        <w:tabs>
          <w:tab w:val="right" w:leader="dot" w:pos="8306"/>
        </w:tabs>
      </w:pPr>
      <w:hyperlink w:anchor="_Toc16358" w:history="1">
        <w:r>
          <w:rPr>
            <w:rFonts w:ascii="仿宋" w:eastAsia="仿宋" w:hAnsi="仿宋" w:cs="仿宋" w:hint="eastAsia"/>
            <w:lang w:eastAsia="zh-CN"/>
          </w:rPr>
          <w:t>(二)、资金筹措</w:t>
        </w:r>
        <w:r>
          <w:tab/>
        </w:r>
        <w:r>
          <w:fldChar w:fldCharType="begin"/>
        </w:r>
        <w:r>
          <w:instrText xml:space="preserve"> PAGEREF _Toc16358 \h </w:instrText>
        </w:r>
        <w:r>
          <w:fldChar w:fldCharType="separate"/>
        </w:r>
        <w:r>
          <w:t>35</w:t>
        </w:r>
        <w:r>
          <w:fldChar w:fldCharType="end"/>
        </w:r>
      </w:hyperlink>
    </w:p>
    <w:p>
      <w:pPr>
        <w:pStyle w:val="TOC1"/>
        <w:tabs>
          <w:tab w:val="right" w:leader="dot" w:pos="8306"/>
        </w:tabs>
      </w:pPr>
      <w:hyperlink w:anchor="_Toc25612" w:history="1">
        <w:r>
          <w:rPr>
            <w:rFonts w:ascii="仿宋" w:eastAsia="仿宋" w:hAnsi="仿宋" w:cs="仿宋" w:hint="eastAsia"/>
            <w:lang w:eastAsia="zh-CN"/>
          </w:rPr>
          <w:t>十、分子诊断试剂项目计划安排</w:t>
        </w:r>
        <w:r>
          <w:tab/>
        </w:r>
        <w:r>
          <w:fldChar w:fldCharType="begin"/>
        </w:r>
        <w:r>
          <w:instrText xml:space="preserve"> PAGEREF _Toc25612 \h </w:instrText>
        </w:r>
        <w:r>
          <w:fldChar w:fldCharType="separate"/>
        </w:r>
        <w:r>
          <w:t>36</w:t>
        </w:r>
        <w:r>
          <w:fldChar w:fldCharType="end"/>
        </w:r>
      </w:hyperlink>
    </w:p>
    <w:p>
      <w:pPr>
        <w:pStyle w:val="TOC2"/>
        <w:tabs>
          <w:tab w:val="right" w:leader="dot" w:pos="8306"/>
        </w:tabs>
      </w:pPr>
      <w:hyperlink w:anchor="_Toc488" w:history="1">
        <w:r>
          <w:rPr>
            <w:rFonts w:ascii="仿宋" w:eastAsia="仿宋" w:hAnsi="仿宋" w:cs="仿宋" w:hint="eastAsia"/>
            <w:lang w:eastAsia="zh-CN"/>
          </w:rPr>
          <w:t>(一)、建设周期</w:t>
        </w:r>
        <w:r>
          <w:tab/>
        </w:r>
        <w:r>
          <w:fldChar w:fldCharType="begin"/>
        </w:r>
        <w:r>
          <w:instrText xml:space="preserve"> PAGEREF _Toc488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 w:history="1">
        <w:r>
          <w:rPr>
            <w:rFonts w:ascii="仿宋" w:eastAsia="仿宋" w:hAnsi="仿宋" w:cs="仿宋" w:hint="eastAsia"/>
            <w:lang w:eastAsia="zh-CN"/>
          </w:rPr>
          <w:t>(二)、建设进度</w:t>
        </w:r>
        <w:r>
          <w:tab/>
        </w:r>
        <w:r>
          <w:fldChar w:fldCharType="begin"/>
        </w:r>
        <w:r>
          <w:instrText xml:space="preserve"> PAGEREF _Toc2713 \h </w:instrText>
        </w:r>
        <w:r>
          <w:fldChar w:fldCharType="separate"/>
        </w:r>
        <w:r>
          <w:t>37</w:t>
        </w:r>
        <w:r>
          <w:fldChar w:fldCharType="end"/>
        </w:r>
      </w:hyperlink>
    </w:p>
    <w:p>
      <w:pPr>
        <w:pStyle w:val="TOC2"/>
        <w:tabs>
          <w:tab w:val="right" w:leader="dot" w:pos="8306"/>
        </w:tabs>
      </w:pPr>
      <w:hyperlink w:anchor="_Toc1576" w:history="1">
        <w:r>
          <w:rPr>
            <w:rFonts w:ascii="仿宋" w:eastAsia="仿宋" w:hAnsi="仿宋" w:cs="仿宋" w:hint="eastAsia"/>
            <w:lang w:eastAsia="zh-CN"/>
          </w:rPr>
          <w:t>(三)、进度安排注意事项</w:t>
        </w:r>
        <w:r>
          <w:tab/>
        </w:r>
        <w:r>
          <w:fldChar w:fldCharType="begin"/>
        </w:r>
        <w:r>
          <w:instrText xml:space="preserve"> PAGEREF _Toc1576 \h </w:instrText>
        </w:r>
        <w:r>
          <w:fldChar w:fldCharType="separate"/>
        </w:r>
        <w:r>
          <w:t>38</w:t>
        </w:r>
        <w:r>
          <w:fldChar w:fldCharType="end"/>
        </w:r>
      </w:hyperlink>
    </w:p>
    <w:p>
      <w:pPr>
        <w:pStyle w:val="TOC2"/>
        <w:tabs>
          <w:tab w:val="right" w:leader="dot" w:pos="8306"/>
        </w:tabs>
      </w:pPr>
      <w:hyperlink w:anchor="_Toc23875" w:history="1">
        <w:r>
          <w:rPr>
            <w:rFonts w:ascii="仿宋" w:eastAsia="仿宋" w:hAnsi="仿宋" w:cs="仿宋" w:hint="eastAsia"/>
            <w:lang w:eastAsia="zh-CN"/>
          </w:rPr>
          <w:t>(四)、人力资源配置</w:t>
        </w:r>
        <w:r>
          <w:tab/>
        </w:r>
        <w:r>
          <w:fldChar w:fldCharType="begin"/>
        </w:r>
        <w:r>
          <w:instrText xml:space="preserve"> PAGEREF _Toc23875 \h </w:instrText>
        </w:r>
        <w:r>
          <w:fldChar w:fldCharType="separate"/>
        </w:r>
        <w:r>
          <w:t>39</w:t>
        </w:r>
        <w:r>
          <w:fldChar w:fldCharType="end"/>
        </w:r>
      </w:hyperlink>
    </w:p>
    <w:p>
      <w:pPr>
        <w:pStyle w:val="TOC1"/>
        <w:tabs>
          <w:tab w:val="right" w:leader="dot" w:pos="8306"/>
        </w:tabs>
      </w:pPr>
      <w:hyperlink w:anchor="_Toc6798" w:history="1">
        <w:r>
          <w:rPr>
            <w:rFonts w:ascii="仿宋" w:eastAsia="仿宋" w:hAnsi="仿宋" w:cs="仿宋" w:hint="eastAsia"/>
            <w:lang w:eastAsia="zh-CN"/>
          </w:rPr>
          <w:t>十一、分子诊断试剂项目人力资源培养与发展</w:t>
        </w:r>
        <w:r>
          <w:tab/>
        </w:r>
        <w:r>
          <w:fldChar w:fldCharType="begin"/>
        </w:r>
        <w:r>
          <w:instrText xml:space="preserve"> PAGEREF _Toc6798 \h </w:instrText>
        </w:r>
        <w:r>
          <w:fldChar w:fldCharType="separate"/>
        </w:r>
        <w:r>
          <w:t>40</w:t>
        </w:r>
        <w:r>
          <w:fldChar w:fldCharType="end"/>
        </w:r>
      </w:hyperlink>
    </w:p>
    <w:p>
      <w:pPr>
        <w:pStyle w:val="TOC2"/>
        <w:tabs>
          <w:tab w:val="right" w:leader="dot" w:pos="8306"/>
        </w:tabs>
      </w:pPr>
      <w:hyperlink w:anchor="_Toc31502" w:history="1">
        <w:r>
          <w:rPr>
            <w:rFonts w:ascii="仿宋" w:eastAsia="仿宋" w:hAnsi="仿宋" w:cs="仿宋" w:hint="eastAsia"/>
            <w:lang w:eastAsia="zh-CN"/>
          </w:rPr>
          <w:t>(一)、人才需求与规划</w:t>
        </w:r>
        <w:r>
          <w:tab/>
        </w:r>
        <w:r>
          <w:fldChar w:fldCharType="begin"/>
        </w:r>
        <w:r>
          <w:instrText xml:space="preserve"> PAGEREF _Toc31502 \h </w:instrText>
        </w:r>
        <w:r>
          <w:fldChar w:fldCharType="separate"/>
        </w:r>
        <w:r>
          <w:t>40</w:t>
        </w:r>
        <w:r>
          <w:fldChar w:fldCharType="end"/>
        </w:r>
      </w:hyperlink>
    </w:p>
    <w:p>
      <w:pPr>
        <w:pStyle w:val="TOC2"/>
        <w:tabs>
          <w:tab w:val="right" w:leader="dot" w:pos="8306"/>
        </w:tabs>
      </w:pPr>
      <w:hyperlink w:anchor="_Toc12250" w:history="1">
        <w:r>
          <w:rPr>
            <w:rFonts w:ascii="仿宋" w:eastAsia="仿宋" w:hAnsi="仿宋" w:cs="仿宋" w:hint="eastAsia"/>
            <w:lang w:eastAsia="zh-CN"/>
          </w:rPr>
          <w:t>(二)、培训与发展计划</w:t>
        </w:r>
        <w:r>
          <w:tab/>
        </w:r>
        <w:r>
          <w:fldChar w:fldCharType="begin"/>
        </w:r>
        <w:r>
          <w:instrText xml:space="preserve"> PAGEREF _Toc12250 \h </w:instrText>
        </w:r>
        <w:r>
          <w:fldChar w:fldCharType="separate"/>
        </w:r>
        <w:r>
          <w:t>40</w:t>
        </w:r>
        <w:r>
          <w:fldChar w:fldCharType="end"/>
        </w:r>
      </w:hyperlink>
    </w:p>
    <w:p>
      <w:pPr>
        <w:pStyle w:val="TOC1"/>
        <w:tabs>
          <w:tab w:val="right" w:leader="dot" w:pos="8306"/>
        </w:tabs>
      </w:pPr>
      <w:hyperlink w:anchor="_Toc28734" w:history="1">
        <w:r>
          <w:rPr>
            <w:rFonts w:ascii="仿宋" w:eastAsia="仿宋" w:hAnsi="仿宋" w:cs="仿宋" w:hint="eastAsia"/>
            <w:lang w:eastAsia="zh-CN"/>
          </w:rPr>
          <w:t>十二、分子诊断试剂项目经营效益</w:t>
        </w:r>
        <w:r>
          <w:tab/>
        </w:r>
        <w:r>
          <w:fldChar w:fldCharType="begin"/>
        </w:r>
        <w:r>
          <w:instrText xml:space="preserve"> PAGEREF _Toc28734 \h </w:instrText>
        </w:r>
        <w:r>
          <w:fldChar w:fldCharType="separate"/>
        </w:r>
        <w:r>
          <w:t>41</w:t>
        </w:r>
        <w:r>
          <w:fldChar w:fldCharType="end"/>
        </w:r>
      </w:hyperlink>
    </w:p>
    <w:p>
      <w:pPr>
        <w:pStyle w:val="TOC2"/>
        <w:tabs>
          <w:tab w:val="right" w:leader="dot" w:pos="8306"/>
        </w:tabs>
      </w:pPr>
      <w:hyperlink w:anchor="_Toc11685" w:history="1">
        <w:r>
          <w:rPr>
            <w:rFonts w:ascii="仿宋" w:eastAsia="仿宋" w:hAnsi="仿宋" w:cs="仿宋" w:hint="eastAsia"/>
            <w:lang w:eastAsia="zh-CN"/>
          </w:rPr>
          <w:t>(一)、经济评价财务测算</w:t>
        </w:r>
        <w:r>
          <w:tab/>
        </w:r>
        <w:r>
          <w:fldChar w:fldCharType="begin"/>
        </w:r>
        <w:r>
          <w:instrText xml:space="preserve"> PAGEREF _Toc11685 \h </w:instrText>
        </w:r>
        <w:r>
          <w:fldChar w:fldCharType="separate"/>
        </w:r>
        <w:r>
          <w:t>41</w:t>
        </w:r>
        <w:r>
          <w:fldChar w:fldCharType="end"/>
        </w:r>
      </w:hyperlink>
    </w:p>
    <w:p>
      <w:pPr>
        <w:pStyle w:val="TOC2"/>
        <w:tabs>
          <w:tab w:val="right" w:leader="dot" w:pos="8306"/>
        </w:tabs>
      </w:pPr>
      <w:hyperlink w:anchor="_Toc26857" w:history="1">
        <w:r>
          <w:rPr>
            <w:rFonts w:ascii="仿宋" w:eastAsia="仿宋" w:hAnsi="仿宋" w:cs="仿宋" w:hint="eastAsia"/>
            <w:lang w:eastAsia="zh-CN"/>
          </w:rPr>
          <w:t>(二)、分子诊断试剂项目盈利能力分析</w:t>
        </w:r>
        <w:r>
          <w:tab/>
        </w:r>
        <w:r>
          <w:fldChar w:fldCharType="begin"/>
        </w:r>
        <w:r>
          <w:instrText xml:space="preserve"> PAGEREF _Toc26857 \h </w:instrText>
        </w:r>
        <w:r>
          <w:fldChar w:fldCharType="separate"/>
        </w:r>
        <w:r>
          <w:t>42</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十三、风险识别与分类</w:t>
        </w:r>
        <w:r>
          <w:tab/>
        </w:r>
        <w:r>
          <w:fldChar w:fldCharType="begin"/>
        </w:r>
        <w:r>
          <w:instrText xml:space="preserve"> PAGEREF _Toc20257 \h </w:instrText>
        </w:r>
        <w:r>
          <w:fldChar w:fldCharType="separate"/>
        </w:r>
        <w:r>
          <w:t>43</w:t>
        </w:r>
        <w:r>
          <w:fldChar w:fldCharType="end"/>
        </w:r>
      </w:hyperlink>
    </w:p>
    <w:p>
      <w:pPr>
        <w:pStyle w:val="TOC2"/>
        <w:tabs>
          <w:tab w:val="right" w:leader="dot" w:pos="8306"/>
        </w:tabs>
      </w:pPr>
      <w:hyperlink w:anchor="_Toc15649" w:history="1">
        <w:r>
          <w:rPr>
            <w:rFonts w:ascii="仿宋" w:eastAsia="仿宋" w:hAnsi="仿宋" w:cs="仿宋" w:hint="eastAsia"/>
            <w:lang w:eastAsia="zh-CN"/>
          </w:rPr>
          <w:t>(一)、风险识别</w:t>
        </w:r>
        <w:r>
          <w:tab/>
        </w:r>
        <w:r>
          <w:fldChar w:fldCharType="begin"/>
        </w:r>
        <w:r>
          <w:instrText xml:space="preserve"> PAGEREF _Toc15649 \h </w:instrText>
        </w:r>
        <w:r>
          <w:fldChar w:fldCharType="separate"/>
        </w:r>
        <w:r>
          <w:t>43</w:t>
        </w:r>
        <w:r>
          <w:fldChar w:fldCharType="end"/>
        </w:r>
      </w:hyperlink>
    </w:p>
    <w:p>
      <w:pPr>
        <w:pStyle w:val="TOC2"/>
        <w:tabs>
          <w:tab w:val="right" w:leader="dot" w:pos="8306"/>
        </w:tabs>
      </w:pPr>
      <w:hyperlink w:anchor="_Toc5911" w:history="1">
        <w:r>
          <w:rPr>
            <w:rFonts w:ascii="仿宋" w:eastAsia="仿宋" w:hAnsi="仿宋" w:cs="仿宋" w:hint="eastAsia"/>
            <w:lang w:eastAsia="zh-CN"/>
          </w:rPr>
          <w:t>(二)、风险分类</w:t>
        </w:r>
        <w:r>
          <w:tab/>
        </w:r>
        <w:r>
          <w:fldChar w:fldCharType="begin"/>
        </w:r>
        <w:r>
          <w:instrText xml:space="preserve"> PAGEREF _Toc5911 \h </w:instrText>
        </w:r>
        <w:r>
          <w:fldChar w:fldCharType="separate"/>
        </w:r>
        <w:r>
          <w:t>44</w:t>
        </w:r>
        <w:r>
          <w:fldChar w:fldCharType="end"/>
        </w:r>
      </w:hyperlink>
    </w:p>
    <w:p>
      <w:pPr>
        <w:pStyle w:val="TOC1"/>
        <w:tabs>
          <w:tab w:val="right" w:leader="dot" w:pos="8306"/>
        </w:tabs>
      </w:pPr>
      <w:hyperlink w:anchor="_Toc19332" w:history="1">
        <w:r>
          <w:rPr>
            <w:rFonts w:ascii="仿宋" w:eastAsia="仿宋" w:hAnsi="仿宋" w:cs="仿宋" w:hint="eastAsia"/>
            <w:lang w:eastAsia="zh-CN"/>
          </w:rPr>
          <w:t>十四、分子诊断试剂项目实施保障措施</w:t>
        </w:r>
        <w:r>
          <w:tab/>
        </w:r>
        <w:r>
          <w:fldChar w:fldCharType="begin"/>
        </w:r>
        <w:r>
          <w:instrText xml:space="preserve"> PAGEREF _Toc19332 \h </w:instrText>
        </w:r>
        <w:r>
          <w:fldChar w:fldCharType="separate"/>
        </w:r>
        <w:r>
          <w:t>46</w:t>
        </w:r>
        <w:r>
          <w:fldChar w:fldCharType="end"/>
        </w:r>
      </w:hyperlink>
    </w:p>
    <w:p>
      <w:pPr>
        <w:pStyle w:val="TOC2"/>
        <w:tabs>
          <w:tab w:val="right" w:leader="dot" w:pos="8306"/>
        </w:tabs>
      </w:pPr>
      <w:hyperlink w:anchor="_Toc7360" w:history="1">
        <w:r>
          <w:rPr>
            <w:rFonts w:ascii="仿宋" w:eastAsia="仿宋" w:hAnsi="仿宋" w:cs="仿宋" w:hint="eastAsia"/>
            <w:lang w:eastAsia="zh-CN"/>
          </w:rPr>
          <w:t>(一)、分子诊断试剂项目实施保障机制</w:t>
        </w:r>
        <w:r>
          <w:tab/>
        </w:r>
        <w:r>
          <w:fldChar w:fldCharType="begin"/>
        </w:r>
        <w:r>
          <w:instrText xml:space="preserve"> PAGEREF _Toc7360 \h </w:instrText>
        </w:r>
        <w:r>
          <w:fldChar w:fldCharType="separate"/>
        </w:r>
        <w:r>
          <w:t>46</w:t>
        </w:r>
        <w:r>
          <w:fldChar w:fldCharType="end"/>
        </w:r>
      </w:hyperlink>
    </w:p>
    <w:p>
      <w:pPr>
        <w:pStyle w:val="TOC2"/>
        <w:tabs>
          <w:tab w:val="right" w:leader="dot" w:pos="8306"/>
        </w:tabs>
      </w:pPr>
      <w:hyperlink w:anchor="_Toc32049" w:history="1">
        <w:r>
          <w:rPr>
            <w:rFonts w:ascii="仿宋" w:eastAsia="仿宋" w:hAnsi="仿宋" w:cs="仿宋" w:hint="eastAsia"/>
            <w:lang w:eastAsia="zh-CN"/>
          </w:rPr>
          <w:t>(二)、分子诊断试剂项目法律合规要求</w:t>
        </w:r>
        <w:r>
          <w:tab/>
        </w:r>
        <w:r>
          <w:fldChar w:fldCharType="begin"/>
        </w:r>
        <w:r>
          <w:instrText xml:space="preserve"> PAGEREF _Toc32049 \h </w:instrText>
        </w:r>
        <w:r>
          <w:fldChar w:fldCharType="separate"/>
        </w:r>
        <w:r>
          <w:t>50</w:t>
        </w:r>
        <w:r>
          <w:fldChar w:fldCharType="end"/>
        </w:r>
      </w:hyperlink>
    </w:p>
    <w:p>
      <w:pPr>
        <w:pStyle w:val="TOC2"/>
        <w:tabs>
          <w:tab w:val="right" w:leader="dot" w:pos="8306"/>
        </w:tabs>
      </w:pPr>
      <w:hyperlink w:anchor="_Toc16482" w:history="1">
        <w:r>
          <w:rPr>
            <w:rFonts w:ascii="仿宋" w:eastAsia="仿宋" w:hAnsi="仿宋" w:cs="仿宋" w:hint="eastAsia"/>
            <w:lang w:eastAsia="zh-CN"/>
          </w:rPr>
          <w:t>(三)、分子诊断试剂项目合同管理与法律事务</w:t>
        </w:r>
        <w:r>
          <w:tab/>
        </w:r>
        <w:r>
          <w:fldChar w:fldCharType="begin"/>
        </w:r>
        <w:r>
          <w:instrText xml:space="preserve"> PAGEREF _Toc16482 \h </w:instrText>
        </w:r>
        <w:r>
          <w:fldChar w:fldCharType="separate"/>
        </w:r>
        <w:r>
          <w:t>54</w:t>
        </w:r>
        <w:r>
          <w:fldChar w:fldCharType="end"/>
        </w:r>
      </w:hyperlink>
    </w:p>
    <w:p>
      <w:pPr>
        <w:pStyle w:val="TOC2"/>
        <w:tabs>
          <w:tab w:val="right" w:leader="dot" w:pos="8306"/>
        </w:tabs>
      </w:pPr>
      <w:hyperlink w:anchor="_Toc26222" w:history="1">
        <w:r>
          <w:rPr>
            <w:rFonts w:ascii="仿宋" w:eastAsia="仿宋" w:hAnsi="仿宋" w:cs="仿宋" w:hint="eastAsia"/>
            <w:lang w:eastAsia="zh-CN"/>
          </w:rPr>
          <w:t>(四)、分子诊断试剂项目知识产权保护策略</w:t>
        </w:r>
        <w:r>
          <w:tab/>
        </w:r>
        <w:r>
          <w:fldChar w:fldCharType="begin"/>
        </w:r>
        <w:r>
          <w:instrText xml:space="preserve"> PAGEREF _Toc26222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79"/>
      <w:r>
        <w:rPr>
          <w:rFonts w:ascii="仿宋" w:eastAsia="仿宋" w:hAnsi="仿宋" w:cs="仿宋" w:hint="eastAsia"/>
          <w:sz w:val="28"/>
          <w:lang w:eastAsia="zh-CN"/>
        </w:rPr>
        <w:t>一、分子诊断试剂项目建设单位说明</w:t>
      </w:r>
      <w:bookmarkEnd w:id="2"/>
    </w:p>
    <w:p>
      <w:pPr>
        <w:pStyle w:val="Heading2"/>
        <w:rPr>
          <w:rFonts w:ascii="仿宋" w:eastAsia="仿宋" w:hAnsi="仿宋" w:cs="仿宋" w:hint="eastAsia"/>
          <w:lang w:eastAsia="zh-CN"/>
        </w:rPr>
      </w:pPr>
      <w:bookmarkStart w:id="3" w:name="_Toc21534"/>
      <w:r>
        <w:rPr>
          <w:rFonts w:ascii="仿宋" w:eastAsia="仿宋" w:hAnsi="仿宋" w:cs="仿宋" w:hint="eastAsia"/>
          <w:lang w:eastAsia="zh-CN"/>
        </w:rPr>
        <w:t>(一)、分子诊断试剂项目承办单位基本情况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3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子诊断试剂项目承办单位的XXXX，我们着眼于实现可持续的经济效益。通过技术创新和解决方案的提供，公司预计在分子诊断试剂项目执行期间将获得可观的收入增长。这一收入来源主要包括分子诊断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同时，我们注重成本控制和效率提升，以确保分子诊断试剂项目的可持续盈利。透过精细的管理和资源优化，公司期望实现分子诊断试剂项目利润最大化。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子诊断试剂项目实施进行全面的投资评估，包括分子诊断试剂项目启动阶段的资金投入和后续运营成本。通过对分子诊断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分子诊断试剂项目实施过程中具备足够的资金流动性，公司将进行详尽的现金流分析。这包括资金需求的合理预测、分子诊断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91"/>
      <w:r>
        <w:rPr>
          <w:rFonts w:ascii="仿宋" w:eastAsia="仿宋" w:hAnsi="仿宋" w:cs="仿宋" w:hint="eastAsia"/>
          <w:sz w:val="28"/>
          <w:lang w:eastAsia="zh-CN"/>
        </w:rPr>
        <w:t>二、分子诊断试剂项目文档管理</w:t>
      </w:r>
      <w:bookmarkEnd w:id="5"/>
    </w:p>
    <w:p>
      <w:pPr>
        <w:pStyle w:val="Heading2"/>
        <w:rPr>
          <w:rFonts w:ascii="仿宋" w:eastAsia="仿宋" w:hAnsi="仿宋" w:cs="仿宋" w:hint="eastAsia"/>
          <w:lang w:eastAsia="zh-CN"/>
        </w:rPr>
      </w:pPr>
      <w:bookmarkStart w:id="6" w:name="_Toc3185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分子诊断试剂项目高度重视文档的质量和准确性，以支持分子诊断试剂项目的各项活动和决策。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文档的编制始于分子诊断试剂项目计划的初期，我们制定了详细的文档编制计划，明确了每个文档的内容、格式和编写责任人。在分子诊断试剂项目启动阶段，我们首先编制了分子诊断试剂项目章程，明确定义了分子诊断试剂项目的目标、范围、风险等关键要素。随后，分子诊断试剂项目团队根据计划陆续编制了需求文档、设计文档、测试文档等各类文档，确保分子诊断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子诊断试剂项目管理中的重要环节，旨在确保分子诊断试剂项目文档符合质量标准和分子诊断试剂项目需求。在分子诊断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子诊断试剂项目相关利益方和专业领域的专家对文档进行独立审查。这有助于获取更全面、客观的反馈，确保分子诊断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分子诊断试剂项目在文档编制与审查方面建立了严格的管理机制，通过规范的流程和多维度的审查，确保分子诊断试剂项目文档的质量、准确性和可靠性，为分子诊断试剂项目的顺利推进提供了有力支持。</w:t>
      </w:r>
    </w:p>
    <w:p>
      <w:pPr>
        <w:pStyle w:val="Heading2"/>
        <w:ind w:firstLine="560" w:firstLineChars="200"/>
        <w:rPr>
          <w:rFonts w:ascii="仿宋" w:eastAsia="仿宋" w:hAnsi="仿宋" w:cs="仿宋" w:hint="eastAsia"/>
          <w:sz w:val="28"/>
          <w:lang w:eastAsia="zh-CN"/>
        </w:rPr>
      </w:pPr>
      <w:bookmarkStart w:id="7" w:name="_Toc277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我们通过多渠道发布文档，包括电子邮件、分子诊断试剂项目管理平台、内部网站等，以满足不同团队成员的偏好和需求。多渠道发布确保了信息的全面覆盖。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我们采用了精细的权限控制，确保只有授权人员可以访问敏感信息。这种安全措施保护了分子诊断试剂项目文档的机密性，防止了未经授权的信息泄露。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38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子诊断试剂项目生命周期中一个至关重要的环节，直接关系到分子诊断试剂项目信息的长期保存和历史记录的完整性。在分子诊断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37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210"/>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技术管理特点体现在其创新导向。通过引入最先进的技术趋势和解决方案，分子诊断试剂项目致力于提升科技含量、提高质量和效率水平。这意味着我们将采用最新的工具和方法，确保分子诊断试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子诊断试剂项目技术管理的显著特征。通过整合不同领域的技术资源，我们实现了跨学科的协同工作。这有助于优化技术架构，提高整体效能。此外，整合性策略还促进了不同技术团队之间的紧密沟通和高效合作，确保分子诊断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子诊断试剂项目所采用的技术。通过不断优化技术方案，分子诊断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子诊断试剂项目团队将在分子诊断试剂项目初期识别可能的技术风险，并采取相应的预防和应对措施。通过建立健全的风险评估机制，分子诊断试剂项目能够在实施过程中及时发现并解决潜在的技术问题，保障分子诊断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子诊断试剂项目中，技术将成为分子诊断试剂项目成功的有力支持。这一深度剖析揭示了技术管理在分子诊断试剂项目实施中的关键作用，为分子诊断试剂项目的技术基础奠定了坚实的基础。</w:t>
      </w:r>
    </w:p>
    <w:p>
      <w:pPr>
        <w:pStyle w:val="Heading2"/>
        <w:ind w:firstLine="560" w:firstLineChars="200"/>
        <w:rPr>
          <w:rFonts w:ascii="仿宋" w:eastAsia="仿宋" w:hAnsi="仿宋" w:cs="仿宋" w:hint="eastAsia"/>
          <w:sz w:val="28"/>
          <w:lang w:eastAsia="zh-CN"/>
        </w:rPr>
      </w:pPr>
      <w:bookmarkStart w:id="11" w:name="_Toc27216"/>
      <w:r>
        <w:rPr>
          <w:rFonts w:ascii="仿宋" w:eastAsia="仿宋" w:hAnsi="仿宋" w:cs="仿宋" w:hint="eastAsia"/>
          <w:sz w:val="28"/>
          <w:lang w:eastAsia="zh-CN"/>
        </w:rPr>
        <w:t>(二)、分子诊断试剂项目工艺技术设计方案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子诊断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子诊断试剂项目将严格按照相关行业规范要求进行组织。通过有效控制产品质量，分子诊断试剂项目将致力于为顾客提供优质的分子诊断试剂项目产品和良好的服务。这体现了分子诊断试剂项目对于生产活动合规性和质量标准的高度重视，为分子诊断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子诊断试剂项目注重生态效益和清洁生产原则。分子诊断试剂项目建设将紧密结合地方特色经济发展，与社会经济发展规划和区域环境保护规划方案相协调一致。通过与当地区域自然生态系统的结合，分子诊断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子诊断试剂项目产品具有多样化的客户需求和个性化的特点。因此，分子诊断试剂项目产品规格品种多样，且单批生产数量较小。为满足这一特点，分子诊断试剂项目承办单位将建设先进的柔性制造生产线。通过广泛应用柔性制造技术，分子诊断试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分子诊断试剂项目采用的技术具有较高的技术含量和自动化水平，处于国内先进水平。这一技术选用不仅体现了对生产效率、质量和环境友好性的高标准要求，同时为分子诊断试剂项目的可持续发展奠定了坚实的基础。</w:t>
      </w:r>
    </w:p>
    <w:p>
      <w:pPr>
        <w:pStyle w:val="Heading2"/>
        <w:ind w:firstLine="560" w:firstLineChars="200"/>
        <w:rPr>
          <w:rFonts w:ascii="仿宋" w:eastAsia="仿宋" w:hAnsi="仿宋" w:cs="仿宋" w:hint="eastAsia"/>
          <w:sz w:val="28"/>
          <w:lang w:eastAsia="zh-CN"/>
        </w:rPr>
      </w:pPr>
      <w:bookmarkStart w:id="12" w:name="_Toc971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为确保分子诊断试剂项目的高效生产和技术实施，我们制定了一套精心设计的设备选型方案，以满足分子诊断试剂项目生产、质量和环保的要求。该方案的主要特点如下：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子诊断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针对分子诊断试剂项目产品的多样性和小批量生产的特点，我们将建设柔性制造生产线。通过在设备选型中考虑柔性制造技术，可以灵活应对不同产品规格和生产需求，实现生产线的高度灵活性和适应性。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25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518"/>
      <w:r>
        <w:rPr>
          <w:rFonts w:ascii="仿宋" w:eastAsia="仿宋" w:hAnsi="仿宋" w:cs="仿宋" w:hint="eastAsia"/>
          <w:lang w:eastAsia="zh-CN"/>
        </w:rPr>
        <w:t>(一)、分子诊断试剂行业分析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行业一直以来都是市场的关注焦点。行业内的发展趋势、竞争态势以及潜在机会都对分子诊断试剂项目的推进产生深远的影响。通过深入研究行业的整体概貌，我们将更好地理解行业的核心特征，为分子诊断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行业，技术一直是推动创新和发展的关键因素。我们将对当前技术趋势进行详尽分析，包括但不限于人工智能、大数据应用、先进制造技术等。这有助于分子诊断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子诊断试剂项目成功的基础。我们将对主要竞争对手进行深入研究，包括其市场份额、产品特点、市场定位等。通过全面了解竞争对手的优势和劣势，分子诊断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628"/>
      <w:r>
        <w:rPr>
          <w:rFonts w:ascii="仿宋" w:eastAsia="仿宋" w:hAnsi="仿宋" w:cs="仿宋" w:hint="eastAsia"/>
          <w:sz w:val="28"/>
          <w:lang w:eastAsia="zh-CN"/>
        </w:rPr>
        <w:t>(二)、分子诊断试剂市场分析预测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子诊断试剂市场未来的增长趋势。这包括市场的整体规模、各细分领域的发展趋势等。分子诊断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子诊断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分子诊断试剂项目实施过程中需要充分考虑的因素。我们将对市场风险进行全面评估，包括但不限于政策法规风险、市场竞争风险、技术变革风险等。通过对潜在风险的深入分析，分子诊断试剂项目可以制定相应的风险缓解策略，降低不确定性对分子诊断试剂项目的影响。</w:t>
      </w:r>
    </w:p>
    <w:p>
      <w:pPr>
        <w:pStyle w:val="Heading1"/>
        <w:ind w:firstLine="560" w:firstLineChars="200"/>
        <w:rPr>
          <w:rFonts w:ascii="仿宋" w:eastAsia="仿宋" w:hAnsi="仿宋" w:cs="仿宋" w:hint="eastAsia"/>
          <w:sz w:val="28"/>
          <w:lang w:eastAsia="zh-CN"/>
        </w:rPr>
      </w:pPr>
      <w:bookmarkStart w:id="16" w:name="_Toc11132"/>
      <w:r>
        <w:rPr>
          <w:rFonts w:ascii="仿宋" w:eastAsia="仿宋" w:hAnsi="仿宋" w:cs="仿宋" w:hint="eastAsia"/>
          <w:sz w:val="28"/>
          <w:lang w:eastAsia="zh-CN"/>
        </w:rPr>
        <w:t>五、分子诊断试剂项目土建工程</w:t>
      </w:r>
      <w:bookmarkEnd w:id="16"/>
    </w:p>
    <w:p>
      <w:pPr>
        <w:pStyle w:val="Heading2"/>
        <w:rPr>
          <w:rFonts w:ascii="仿宋" w:eastAsia="仿宋" w:hAnsi="仿宋" w:cs="仿宋" w:hint="eastAsia"/>
          <w:lang w:eastAsia="zh-CN"/>
        </w:rPr>
      </w:pPr>
      <w:bookmarkStart w:id="17" w:name="_Toc2079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在分子诊断试剂项目的建筑工程设计中，我们将秉承一系列重要的设计原则，以确保分子诊断试剂项目建筑在功能、美观、可持续性等方面达到最佳效果。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首要原则是确保建筑的功能性得到最大化的发挥。我们将充分理解分子诊断试剂项目的实际需求，合理布局各个功能区域，保证建筑在满足业务需求的同时，提供高效的工作环境。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在建筑设计中，我们将综合考虑建设和运营成本。通过精细的经济效益分析，确保设计方案在高效利用资源的同时，对分子诊断试剂项目的长期盈利能力有积极的贡献。</w:t>
      </w:r>
    </w:p>
    <w:p>
      <w:pPr>
        <w:pStyle w:val="Heading2"/>
        <w:ind w:firstLine="560" w:firstLineChars="200"/>
        <w:rPr>
          <w:rFonts w:ascii="仿宋" w:eastAsia="仿宋" w:hAnsi="仿宋" w:cs="仿宋" w:hint="eastAsia"/>
          <w:sz w:val="28"/>
          <w:lang w:eastAsia="zh-CN"/>
        </w:rPr>
      </w:pPr>
      <w:bookmarkStart w:id="18" w:name="_Toc518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的土建工程设计中，我们将精准设定设计年限，结合分子诊断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子诊断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862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分子诊断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子诊断试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https://d.book118.com/346103214154010030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94B13"/>
    <w:rsid w:val="56394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0321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2023-12-31T22:39:00Z</dcterms:created>
  <dcterms:modified xsi:type="dcterms:W3CDTF">2023-12-31T22:39:25Z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27DB31C26BFE46A8BE01ACCC4CB1D4F6_11</vt:lpwstr>
  </property>
  <property fmtid="{D5CDD505-2E9C-101B-9397-08002B2CF9AE}" pid="3" name="KSOProductBuildVer">
    <vt:lpwstr>2052-12.1.0.16120</vt:lpwstr>
  </property>
</Properties>
</file>