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spacing w:line="1700" w:lineRule="exact"/>
        <w:ind w:left="38"/>
      </w:pPr>
      <w:r>
        <w:t>某企业</w:t>
      </w:r>
    </w:p>
    <w:p>
      <w:pPr>
        <w:pStyle w:val="Title"/>
        <w:spacing w:before="100"/>
        <w:ind w:right="43"/>
      </w:pPr>
      <w:r>
        <w:t>全面预算管理体系</w:t>
      </w:r>
    </w:p>
    <w:p>
      <w:pPr>
        <w:pStyle w:val="Heading1"/>
        <w:spacing w:before="718"/>
        <w:ind w:left="38" w:right="43"/>
        <w:jc w:val="center"/>
        <w:rPr>
          <w:rFonts w:ascii="华文仿宋" w:eastAsia="华文仿宋" w:hint="eastAsia"/>
        </w:rPr>
      </w:pPr>
      <w:r>
        <w:rPr>
          <w:rFonts w:ascii="华文仿宋" w:eastAsia="华文仿宋" w:hint="eastAsia"/>
        </w:rPr>
        <w:t>（草案）</w:t>
      </w:r>
    </w:p>
    <w:p>
      <w:pPr>
        <w:spacing w:before="255"/>
        <w:ind w:left="38" w:right="32" w:firstLine="0"/>
        <w:jc w:val="center"/>
        <w:rPr>
          <w:rFonts w:ascii="华文仿宋" w:eastAsia="华文仿宋" w:hint="eastAsia"/>
          <w:b/>
          <w:sz w:val="42"/>
        </w:rPr>
      </w:pPr>
      <w:r>
        <w:rPr>
          <w:rFonts w:ascii="华文仿宋" w:eastAsia="华文仿宋" w:hint="eastAsia"/>
          <w:b/>
          <w:sz w:val="42"/>
        </w:rPr>
        <w:t>2008 年</w:t>
      </w:r>
    </w:p>
    <w:p>
      <w:pPr>
        <w:spacing w:before="248"/>
        <w:ind w:left="38" w:right="32" w:firstLine="0"/>
        <w:jc w:val="center"/>
        <w:rPr>
          <w:rFonts w:ascii="华文仿宋" w:eastAsia="华文仿宋" w:hint="eastAsia"/>
          <w:b/>
          <w:sz w:val="42"/>
        </w:rPr>
      </w:pPr>
      <w:r>
        <w:rPr>
          <w:rFonts w:ascii="华文仿宋" w:eastAsia="华文仿宋" w:hint="eastAsia"/>
          <w:b/>
          <w:sz w:val="42"/>
        </w:rPr>
        <w:t>某企业总厂财务资产部</w:t>
      </w:r>
    </w:p>
    <w:p>
      <w:pPr>
        <w:tabs>
          <w:tab w:val="left" w:pos="1471"/>
        </w:tabs>
        <w:spacing w:before="130"/>
        <w:ind w:left="38" w:right="0" w:firstLine="0"/>
        <w:jc w:val="center"/>
        <w:rPr>
          <w:b/>
          <w:sz w:val="48"/>
        </w:rPr>
      </w:pPr>
      <w:r>
        <w:rPr>
          <w:b/>
          <w:color w:val="00007F"/>
          <w:sz w:val="48"/>
        </w:rPr>
        <w:t>目</w:t>
        <w:tab/>
        <w:t>录</w:t>
      </w:r>
    </w:p>
    <w:p>
      <w:pPr>
        <w:tabs>
          <w:tab w:val="left" w:leader="dot" w:pos="7147"/>
        </w:tabs>
        <w:spacing w:before="378"/>
        <w:ind w:left="0" w:right="43" w:firstLine="0"/>
        <w:jc w:val="center"/>
        <w:rPr>
          <w:b/>
          <w:sz w:val="48"/>
        </w:rPr>
      </w:pPr>
      <w:r>
        <w:rPr>
          <w:b/>
          <w:sz w:val="48"/>
        </w:rPr>
        <w:t>一、</w:t>
        <w:tab/>
        <w:t>全面预算管理提出的背景</w:t>
      </w:r>
    </w:p>
    <w:p>
      <w:pPr>
        <w:pStyle w:val="BodyText"/>
        <w:ind w:left="1607"/>
        <w:rPr>
          <w:rFonts w:ascii="宋体" w:eastAsia="宋体" w:hint="eastAsia"/>
        </w:rPr>
      </w:pPr>
      <w:r>
        <w:rPr>
          <w:rFonts w:ascii="宋体" w:eastAsia="宋体" w:hint="eastAsia"/>
        </w:rPr>
        <w:t>错误</w:t>
      </w:r>
      <w:r>
        <w:rPr>
          <w:rFonts w:ascii="Arial" w:eastAsia="Arial"/>
        </w:rPr>
        <w:t>!</w:t>
      </w:r>
      <w:r>
        <w:rPr>
          <w:rFonts w:ascii="宋体" w:eastAsia="宋体" w:hint="eastAsia"/>
        </w:rPr>
        <w:t>未指定书签。</w:t>
      </w:r>
    </w:p>
    <w:p>
      <w:pPr>
        <w:pStyle w:val="BodyText"/>
        <w:spacing w:before="2"/>
        <w:ind w:left="0"/>
        <w:rPr>
          <w:rFonts w:ascii="宋体"/>
          <w:sz w:val="39"/>
        </w:rPr>
      </w:pPr>
    </w:p>
    <w:p>
      <w:pPr>
        <w:pStyle w:val="BodyText"/>
        <w:tabs>
          <w:tab w:val="left" w:leader="dot" w:pos="6867"/>
        </w:tabs>
        <w:spacing w:before="0"/>
        <w:ind w:left="977"/>
      </w:pPr>
      <w:r>
        <w:t>(</w:t>
      </w:r>
      <w:r>
        <w:rPr>
          <w:spacing w:val="3"/>
        </w:rPr>
        <w:t>一</w:t>
      </w:r>
      <w:r>
        <w:t>)</w:t>
        <w:tab/>
        <w:t>企业实施全面计划管理的现状</w:t>
      </w:r>
    </w:p>
    <w:p>
      <w:pPr>
        <w:pStyle w:val="Heading1"/>
        <w:rPr>
          <w:rFonts w:ascii="宋体" w:eastAsia="宋体" w:hint="eastAsia"/>
        </w:rPr>
      </w:pPr>
      <w:r>
        <w:rPr>
          <w:rFonts w:ascii="宋体" w:eastAsia="宋体" w:hint="eastAsia"/>
        </w:rPr>
        <w:t>错误</w:t>
      </w:r>
      <w:r>
        <w:rPr>
          <w:rFonts w:ascii="Times New Roman" w:eastAsia="Times New Roman"/>
        </w:rPr>
        <w:t>!</w:t>
      </w:r>
      <w:r>
        <w:rPr>
          <w:rFonts w:ascii="宋体" w:eastAsia="宋体" w:hint="eastAsia"/>
        </w:rPr>
        <w:t>未定义书签。</w:t>
      </w:r>
    </w:p>
    <w:p>
      <w:pPr>
        <w:pStyle w:val="BodyText"/>
        <w:tabs>
          <w:tab w:val="left" w:leader="dot" w:pos="7346"/>
        </w:tabs>
        <w:ind w:left="977"/>
      </w:pPr>
      <w:r>
        <w:t>(</w:t>
      </w:r>
      <w:r>
        <w:rPr>
          <w:spacing w:val="3"/>
        </w:rPr>
        <w:t>二</w:t>
      </w:r>
      <w:r>
        <w:t>)</w:t>
        <w:tab/>
        <w:t>实施规范化预算管理的意义</w:t>
      </w:r>
    </w:p>
    <w:p>
      <w:pPr>
        <w:pStyle w:val="Heading1"/>
        <w:rPr>
          <w:rFonts w:ascii="宋体" w:eastAsia="宋体" w:hint="eastAsia"/>
        </w:rPr>
      </w:pPr>
      <w:r>
        <w:rPr>
          <w:rFonts w:ascii="宋体" w:eastAsia="宋体" w:hint="eastAsia"/>
        </w:rPr>
        <w:t>错误</w:t>
      </w:r>
      <w:r>
        <w:rPr>
          <w:rFonts w:ascii="Times New Roman" w:eastAsia="Times New Roman"/>
        </w:rPr>
        <w:t>!</w:t>
      </w:r>
      <w:r>
        <w:rPr>
          <w:rFonts w:ascii="宋体" w:eastAsia="宋体" w:hint="eastAsia"/>
        </w:rPr>
        <w:t>未指定书签。</w:t>
      </w:r>
    </w:p>
    <w:p>
      <w:pPr>
        <w:pStyle w:val="BodyText"/>
        <w:spacing w:before="2"/>
        <w:ind w:left="0"/>
        <w:rPr>
          <w:rFonts w:ascii="宋体"/>
          <w:b/>
          <w:sz w:val="39"/>
        </w:rPr>
      </w:pPr>
    </w:p>
    <w:p>
      <w:pPr>
        <w:tabs>
          <w:tab w:val="left" w:leader="dot" w:pos="7147"/>
        </w:tabs>
        <w:spacing w:before="0"/>
        <w:ind w:left="0" w:right="43" w:firstLine="0"/>
        <w:jc w:val="center"/>
        <w:rPr>
          <w:b/>
          <w:sz w:val="48"/>
        </w:rPr>
      </w:pPr>
      <w:r>
        <w:rPr>
          <w:b/>
          <w:sz w:val="48"/>
        </w:rPr>
        <w:t>二、</w:t>
        <w:tab/>
        <w:t>全面预算所要达到的目标</w:t>
      </w:r>
    </w:p>
    <w:p>
      <w:pPr>
        <w:pStyle w:val="BodyText"/>
        <w:ind w:left="1607"/>
        <w:rPr>
          <w:rFonts w:ascii="宋体" w:eastAsia="宋体" w:hint="eastAsia"/>
        </w:rPr>
      </w:pPr>
      <w:r>
        <w:rPr>
          <w:rFonts w:ascii="宋体" w:eastAsia="宋体" w:hint="eastAsia"/>
        </w:rPr>
        <w:t>错误</w:t>
      </w:r>
      <w:r>
        <w:rPr>
          <w:rFonts w:ascii="Arial" w:eastAsia="Arial"/>
        </w:rPr>
        <w:t>!</w:t>
      </w:r>
      <w:r>
        <w:rPr>
          <w:rFonts w:ascii="宋体" w:eastAsia="宋体" w:hint="eastAsia"/>
        </w:rPr>
        <w:t>未指定书签。</w:t>
      </w:r>
    </w:p>
    <w:p>
      <w:pPr>
        <w:pStyle w:val="BodyText"/>
        <w:spacing w:before="1"/>
        <w:ind w:left="0"/>
        <w:rPr>
          <w:rFonts w:ascii="宋体"/>
          <w:sz w:val="39"/>
        </w:rPr>
      </w:pPr>
    </w:p>
    <w:p>
      <w:pPr>
        <w:pStyle w:val="BodyText"/>
        <w:tabs>
          <w:tab w:val="left" w:leader="dot" w:pos="6867"/>
        </w:tabs>
        <w:spacing w:before="0"/>
        <w:ind w:left="977"/>
      </w:pPr>
      <w:r>
        <w:t>(</w:t>
      </w:r>
      <w:r>
        <w:rPr>
          <w:spacing w:val="3"/>
        </w:rPr>
        <w:t>一</w:t>
      </w:r>
      <w:r>
        <w:t>)</w:t>
        <w:tab/>
        <w:t>企业全面预算管理的总体目标</w:t>
      </w:r>
    </w:p>
    <w:p>
      <w:pPr>
        <w:pStyle w:val="Heading1"/>
        <w:spacing w:before="322"/>
        <w:rPr>
          <w:rFonts w:ascii="宋体" w:eastAsia="宋体" w:hint="eastAsia"/>
        </w:rPr>
      </w:pPr>
      <w:r>
        <w:rPr>
          <w:rFonts w:ascii="宋体" w:eastAsia="宋体" w:hint="eastAsia"/>
        </w:rPr>
        <w:t>错误</w:t>
      </w:r>
      <w:r>
        <w:rPr>
          <w:rFonts w:ascii="Times New Roman" w:eastAsia="Times New Roman"/>
        </w:rPr>
        <w:t>!</w:t>
      </w:r>
      <w:r>
        <w:rPr>
          <w:rFonts w:ascii="宋体" w:eastAsia="宋体" w:hint="eastAsia"/>
        </w:rPr>
        <w:t>未指定书签。</w:t>
      </w:r>
    </w:p>
    <w:p>
      <w:pPr>
        <w:pStyle w:val="BodyText"/>
        <w:tabs>
          <w:tab w:val="left" w:leader="dot" w:pos="8308"/>
        </w:tabs>
        <w:ind w:left="977"/>
      </w:pPr>
      <w:r>
        <w:t>(</w:t>
      </w:r>
      <w:r>
        <w:rPr>
          <w:spacing w:val="3"/>
        </w:rPr>
        <w:t>二</w:t>
      </w:r>
      <w:r>
        <w:t>)</w:t>
        <w:tab/>
        <w:t>全面预算责任目标体系</w:t>
      </w:r>
    </w:p>
    <w:p>
      <w:pPr>
        <w:pStyle w:val="Heading1"/>
        <w:rPr>
          <w:rFonts w:ascii="宋体" w:eastAsia="宋体" w:hint="eastAsia"/>
        </w:rPr>
      </w:pPr>
      <w:r>
        <w:rPr>
          <w:rFonts w:ascii="宋体" w:eastAsia="宋体" w:hint="eastAsia"/>
        </w:rPr>
        <w:t>错误</w:t>
      </w:r>
      <w:r>
        <w:rPr>
          <w:rFonts w:ascii="Times New Roman" w:eastAsia="Times New Roman"/>
        </w:rPr>
        <w:t>!</w:t>
      </w:r>
      <w:r>
        <w:rPr>
          <w:rFonts w:ascii="宋体" w:eastAsia="宋体" w:hint="eastAsia"/>
        </w:rPr>
        <w:t>未指定书签。</w:t>
      </w:r>
    </w:p>
    <w:p>
      <w:pPr>
        <w:pStyle w:val="BodyText"/>
        <w:tabs>
          <w:tab w:val="left" w:leader="dot" w:pos="7829"/>
        </w:tabs>
        <w:ind w:left="977"/>
      </w:pPr>
      <w:r>
        <w:t>(</w:t>
      </w:r>
      <w:r>
        <w:rPr>
          <w:spacing w:val="3"/>
        </w:rPr>
        <w:t>三</w:t>
      </w:r>
      <w:r>
        <w:t>)</w:t>
        <w:tab/>
        <w:t>全面预算管理的组织体系</w:t>
      </w:r>
    </w:p>
    <w:p>
      <w:pPr>
        <w:pStyle w:val="Heading1"/>
        <w:rPr>
          <w:rFonts w:ascii="宋体" w:eastAsia="宋体" w:hint="eastAsia"/>
        </w:rPr>
      </w:pPr>
      <w:r>
        <w:rPr>
          <w:rFonts w:ascii="宋体" w:eastAsia="宋体" w:hint="eastAsia"/>
        </w:rPr>
        <w:t>错误</w:t>
      </w:r>
      <w:r>
        <w:rPr>
          <w:rFonts w:ascii="Times New Roman" w:eastAsia="Times New Roman"/>
        </w:rPr>
        <w:t>!</w:t>
      </w:r>
      <w:r>
        <w:rPr>
          <w:rFonts w:ascii="宋体" w:eastAsia="宋体" w:hint="eastAsia"/>
        </w:rPr>
        <w:t>未指定书签。</w:t>
      </w:r>
    </w:p>
    <w:p>
      <w:pPr>
        <w:spacing w:after="0"/>
        <w:rPr>
          <w:rFonts w:ascii="宋体" w:eastAsia="宋体" w:hint="eastAsia"/>
        </w:rPr>
        <w:sectPr>
          <w:type w:val="continuous"/>
          <w:pgSz w:w="17860" w:h="25260"/>
          <w:pgMar w:top="1200" w:right="2040" w:bottom="280" w:left="2040" w:header="708" w:footer="708"/>
          <w:cols w:space="708"/>
        </w:sectPr>
      </w:pPr>
    </w:p>
    <w:p>
      <w:pPr>
        <w:tabs>
          <w:tab w:val="left" w:leader="dot" w:pos="9251"/>
        </w:tabs>
        <w:spacing w:before="12"/>
        <w:ind w:left="660" w:right="0" w:firstLine="0"/>
        <w:jc w:val="left"/>
        <w:rPr>
          <w:b/>
          <w:sz w:val="48"/>
        </w:rPr>
      </w:pPr>
      <w:r>
        <w:rPr>
          <w:b/>
          <w:sz w:val="48"/>
        </w:rPr>
        <w:t>三、</w:t>
        <w:tab/>
        <w:t>全面预算管理内容</w:t>
      </w:r>
    </w:p>
    <w:p>
      <w:pPr>
        <w:pStyle w:val="BodyText"/>
        <w:ind w:left="1607"/>
        <w:rPr>
          <w:rFonts w:ascii="宋体" w:eastAsia="宋体" w:hint="eastAsia"/>
        </w:rPr>
      </w:pPr>
      <w:r>
        <w:rPr>
          <w:rFonts w:ascii="宋体" w:eastAsia="宋体" w:hint="eastAsia"/>
        </w:rPr>
        <w:t>错误</w:t>
      </w:r>
      <w:r>
        <w:rPr>
          <w:rFonts w:ascii="Arial" w:eastAsia="Arial"/>
        </w:rPr>
        <w:t>!</w:t>
      </w:r>
      <w:r>
        <w:rPr>
          <w:rFonts w:ascii="宋体" w:eastAsia="宋体" w:hint="eastAsia"/>
        </w:rPr>
        <w:t>未指定书签。</w:t>
      </w:r>
    </w:p>
    <w:p>
      <w:pPr>
        <w:pStyle w:val="BodyText"/>
        <w:spacing w:before="1"/>
        <w:ind w:left="0"/>
        <w:rPr>
          <w:rFonts w:ascii="宋体"/>
          <w:sz w:val="39"/>
        </w:rPr>
      </w:pPr>
    </w:p>
    <w:p>
      <w:pPr>
        <w:pStyle w:val="Heading1"/>
        <w:tabs>
          <w:tab w:val="left" w:leader="dot" w:pos="8769"/>
        </w:tabs>
        <w:spacing w:before="1"/>
        <w:ind w:left="660"/>
      </w:pPr>
      <w:r>
        <w:t>四、</w:t>
        <w:tab/>
        <w:t>预算编制程序与方法</w:t>
      </w:r>
    </w:p>
    <w:p>
      <w:pPr>
        <w:pStyle w:val="BodyText"/>
        <w:ind w:left="1607"/>
        <w:rPr>
          <w:rFonts w:ascii="宋体" w:eastAsia="宋体" w:hint="eastAsia"/>
        </w:rPr>
      </w:pPr>
      <w:r>
        <w:rPr>
          <w:rFonts w:ascii="宋体" w:eastAsia="宋体" w:hint="eastAsia"/>
        </w:rPr>
        <w:t>错误</w:t>
      </w:r>
      <w:r>
        <w:rPr>
          <w:rFonts w:ascii="Arial" w:eastAsia="Arial"/>
        </w:rPr>
        <w:t>!</w:t>
      </w:r>
      <w:r>
        <w:rPr>
          <w:rFonts w:ascii="宋体" w:eastAsia="宋体" w:hint="eastAsia"/>
        </w:rPr>
        <w:t>未指定书签。</w:t>
      </w:r>
    </w:p>
    <w:p>
      <w:pPr>
        <w:pStyle w:val="BodyText"/>
        <w:spacing w:before="1"/>
        <w:ind w:left="0"/>
        <w:rPr>
          <w:rFonts w:ascii="宋体"/>
          <w:sz w:val="39"/>
        </w:rPr>
      </w:pPr>
    </w:p>
    <w:p>
      <w:pPr>
        <w:pStyle w:val="Heading1"/>
        <w:tabs>
          <w:tab w:val="left" w:leader="dot" w:pos="8769"/>
        </w:tabs>
        <w:spacing w:before="0"/>
        <w:ind w:left="660"/>
      </w:pPr>
      <w:r>
        <w:t>五、</w:t>
        <w:tab/>
        <w:t>预算执行与监督控制</w:t>
      </w:r>
    </w:p>
    <w:p>
      <w:pPr>
        <w:pStyle w:val="BodyText"/>
        <w:ind w:left="1607"/>
        <w:rPr>
          <w:rFonts w:ascii="宋体" w:eastAsia="宋体" w:hint="eastAsia"/>
        </w:rPr>
      </w:pPr>
      <w:r>
        <w:rPr>
          <w:rFonts w:ascii="宋体" w:eastAsia="宋体" w:hint="eastAsia"/>
        </w:rPr>
        <w:t>错误</w:t>
      </w:r>
      <w:r>
        <w:rPr>
          <w:rFonts w:ascii="Arial" w:eastAsia="Arial"/>
        </w:rPr>
        <w:t>!</w:t>
      </w:r>
      <w:r>
        <w:rPr>
          <w:rFonts w:ascii="宋体" w:eastAsia="宋体" w:hint="eastAsia"/>
        </w:rPr>
        <w:t>未指定书签。</w:t>
      </w:r>
    </w:p>
    <w:p>
      <w:pPr>
        <w:pStyle w:val="BodyText"/>
        <w:spacing w:before="2"/>
        <w:ind w:left="0"/>
        <w:rPr>
          <w:rFonts w:ascii="宋体"/>
          <w:sz w:val="39"/>
        </w:rPr>
      </w:pPr>
    </w:p>
    <w:p>
      <w:pPr>
        <w:pStyle w:val="BodyText"/>
        <w:tabs>
          <w:tab w:val="left" w:leader="dot" w:pos="10227"/>
        </w:tabs>
        <w:spacing w:before="0"/>
        <w:ind w:left="977"/>
      </w:pPr>
      <w:r>
        <w:t>(</w:t>
      </w:r>
      <w:r>
        <w:rPr>
          <w:spacing w:val="3"/>
        </w:rPr>
        <w:t>一</w:t>
      </w:r>
      <w:r>
        <w:t>)</w:t>
        <w:tab/>
        <w:t>全面预算执行</w:t>
      </w:r>
    </w:p>
    <w:p>
      <w:pPr>
        <w:pStyle w:val="Heading1"/>
        <w:rPr>
          <w:rFonts w:ascii="宋体" w:eastAsia="宋体" w:hint="eastAsia"/>
        </w:rPr>
      </w:pPr>
      <w:r>
        <w:rPr>
          <w:rFonts w:ascii="宋体" w:eastAsia="宋体" w:hint="eastAsia"/>
        </w:rPr>
        <w:t>错误</w:t>
      </w:r>
      <w:r>
        <w:rPr>
          <w:rFonts w:ascii="Times New Roman" w:eastAsia="Times New Roman"/>
        </w:rPr>
        <w:t>!</w:t>
      </w:r>
      <w:r>
        <w:rPr>
          <w:rFonts w:ascii="宋体" w:eastAsia="宋体" w:hint="eastAsia"/>
        </w:rPr>
        <w:t>未指定书签。</w:t>
      </w:r>
    </w:p>
    <w:p>
      <w:pPr>
        <w:pStyle w:val="BodyText"/>
        <w:tabs>
          <w:tab w:val="left" w:leader="dot" w:pos="9748"/>
        </w:tabs>
        <w:ind w:left="977"/>
      </w:pPr>
      <w:r>
        <w:drawing>
          <wp:anchor distT="0" distB="0" distL="0" distR="0" simplePos="0" relativeHeight="251658240" behindDoc="0" locked="0" layoutInCell="1" allowOverlap="1">
            <wp:simplePos x="0" y="0"/>
            <wp:positionH relativeFrom="page">
              <wp:posOffset>1905000</wp:posOffset>
            </wp:positionH>
            <wp:positionV relativeFrom="paragraph">
              <wp:posOffset>610869</wp:posOffset>
            </wp:positionV>
            <wp:extent cx="633412" cy="3800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633412" cy="38004"/>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7480300</wp:posOffset>
            </wp:positionH>
            <wp:positionV relativeFrom="paragraph">
              <wp:posOffset>610869</wp:posOffset>
            </wp:positionV>
            <wp:extent cx="2153602" cy="38004"/>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2153602" cy="38004"/>
                    </a:xfrm>
                    <a:prstGeom prst="rect">
                      <a:avLst/>
                    </a:prstGeom>
                  </pic:spPr>
                </pic:pic>
              </a:graphicData>
            </a:graphic>
          </wp:anchor>
        </w:drawing>
      </w:r>
      <w:r>
        <w:rPr>
          <w:color w:val="0000FF"/>
        </w:rPr>
        <w:t>(</w:t>
      </w:r>
      <w:r>
        <w:rPr>
          <w:color w:val="0000FF"/>
          <w:spacing w:val="3"/>
        </w:rPr>
        <w:t>二</w:t>
      </w:r>
      <w:r>
        <w:rPr>
          <w:color w:val="0000FF"/>
        </w:rPr>
        <w:t>)</w:t>
        <w:tab/>
        <w:t>系统业务流程图</w:t>
      </w:r>
    </w:p>
    <w:p>
      <w:pPr>
        <w:pStyle w:val="Heading1"/>
        <w:spacing w:before="206"/>
        <w:rPr>
          <w:rFonts w:ascii="宋体" w:eastAsia="宋体" w:hint="eastAsia"/>
        </w:rPr>
      </w:pPr>
      <w:r>
        <w:rPr>
          <w:rFonts w:ascii="宋体" w:eastAsia="宋体" w:hint="eastAsia"/>
        </w:rPr>
        <w:t>错误</w:t>
      </w:r>
      <w:r>
        <w:rPr>
          <w:rFonts w:ascii="Times New Roman" w:eastAsia="Times New Roman"/>
        </w:rPr>
        <w:t>!</w:t>
      </w:r>
      <w:r>
        <w:rPr>
          <w:rFonts w:ascii="宋体" w:eastAsia="宋体" w:hint="eastAsia"/>
        </w:rPr>
        <w:t>未指定书签。</w:t>
      </w:r>
    </w:p>
    <w:p>
      <w:pPr>
        <w:pStyle w:val="BodyText"/>
        <w:tabs>
          <w:tab w:val="left" w:leader="dot" w:pos="9269"/>
        </w:tabs>
        <w:ind w:left="977"/>
      </w:pPr>
      <w:r>
        <w:t>(</w:t>
      </w:r>
      <w:r>
        <w:rPr>
          <w:spacing w:val="3"/>
        </w:rPr>
        <w:t>三</w:t>
      </w:r>
      <w:r>
        <w:t>)</w:t>
        <w:tab/>
        <w:t>全面预算控制反馈</w:t>
      </w:r>
    </w:p>
    <w:p>
      <w:pPr>
        <w:pStyle w:val="Heading1"/>
        <w:rPr>
          <w:rFonts w:ascii="宋体" w:eastAsia="宋体" w:hint="eastAsia"/>
        </w:rPr>
      </w:pPr>
      <w:r>
        <w:rPr>
          <w:rFonts w:ascii="宋体" w:eastAsia="宋体" w:hint="eastAsia"/>
        </w:rPr>
        <w:t>错误</w:t>
      </w:r>
      <w:r>
        <w:rPr>
          <w:rFonts w:ascii="Times New Roman" w:eastAsia="Times New Roman"/>
        </w:rPr>
        <w:t>!</w:t>
      </w:r>
      <w:r>
        <w:rPr>
          <w:rFonts w:ascii="宋体" w:eastAsia="宋体" w:hint="eastAsia"/>
        </w:rPr>
        <w:t>未指定书签。</w:t>
      </w:r>
    </w:p>
    <w:p>
      <w:pPr>
        <w:pStyle w:val="BodyText"/>
        <w:spacing w:before="2"/>
        <w:ind w:left="0"/>
        <w:rPr>
          <w:rFonts w:ascii="宋体"/>
          <w:b/>
          <w:sz w:val="39"/>
        </w:rPr>
      </w:pPr>
    </w:p>
    <w:p>
      <w:pPr>
        <w:tabs>
          <w:tab w:val="left" w:leader="dot" w:pos="8769"/>
        </w:tabs>
        <w:spacing w:before="0"/>
        <w:ind w:left="660" w:right="0" w:firstLine="0"/>
        <w:jc w:val="left"/>
        <w:rPr>
          <w:b/>
          <w:sz w:val="48"/>
        </w:rPr>
      </w:pPr>
      <w:r>
        <w:rPr>
          <w:b/>
          <w:sz w:val="48"/>
        </w:rPr>
        <w:t>六、</w:t>
        <w:tab/>
        <w:t>预算差异分析与调整</w:t>
      </w:r>
    </w:p>
    <w:p>
      <w:pPr>
        <w:pStyle w:val="BodyText"/>
        <w:ind w:left="1607"/>
        <w:rPr>
          <w:rFonts w:ascii="宋体" w:eastAsia="宋体" w:hint="eastAsia"/>
        </w:rPr>
      </w:pPr>
      <w:r>
        <w:rPr>
          <w:rFonts w:ascii="宋体" w:eastAsia="宋体" w:hint="eastAsia"/>
        </w:rPr>
        <w:t>错误</w:t>
      </w:r>
      <w:r>
        <w:rPr>
          <w:rFonts w:ascii="Arial" w:eastAsia="Arial"/>
        </w:rPr>
        <w:t>!</w:t>
      </w:r>
      <w:r>
        <w:rPr>
          <w:rFonts w:ascii="宋体" w:eastAsia="宋体" w:hint="eastAsia"/>
        </w:rPr>
        <w:t>未指定书签。</w:t>
      </w:r>
    </w:p>
    <w:p>
      <w:pPr>
        <w:pStyle w:val="BodyText"/>
        <w:spacing w:before="1"/>
        <w:ind w:left="0"/>
        <w:rPr>
          <w:rFonts w:ascii="宋体"/>
          <w:sz w:val="39"/>
        </w:rPr>
      </w:pPr>
    </w:p>
    <w:p>
      <w:pPr>
        <w:pStyle w:val="BodyText"/>
        <w:tabs>
          <w:tab w:val="left" w:leader="dot" w:pos="8787"/>
        </w:tabs>
        <w:spacing w:before="0"/>
        <w:ind w:left="977"/>
      </w:pPr>
      <w:r>
        <w:t>(</w:t>
      </w:r>
      <w:r>
        <w:rPr>
          <w:spacing w:val="3"/>
        </w:rPr>
        <w:t>一</w:t>
      </w:r>
      <w:r>
        <w:t>)</w:t>
        <w:tab/>
        <w:t>预算执行情况分析：</w:t>
      </w:r>
    </w:p>
    <w:p>
      <w:pPr>
        <w:pStyle w:val="Heading1"/>
        <w:rPr>
          <w:rFonts w:ascii="宋体" w:eastAsia="宋体" w:hint="eastAsia"/>
        </w:rPr>
      </w:pPr>
      <w:r>
        <w:rPr>
          <w:rFonts w:ascii="宋体" w:eastAsia="宋体" w:hint="eastAsia"/>
        </w:rPr>
        <w:t>错误</w:t>
      </w:r>
      <w:r>
        <w:rPr>
          <w:rFonts w:ascii="Times New Roman" w:eastAsia="Times New Roman"/>
        </w:rPr>
        <w:t>!</w:t>
      </w:r>
      <w:r>
        <w:rPr>
          <w:rFonts w:ascii="宋体" w:eastAsia="宋体" w:hint="eastAsia"/>
        </w:rPr>
        <w:t>未指定书签。</w:t>
      </w:r>
    </w:p>
    <w:p>
      <w:pPr>
        <w:pStyle w:val="BodyText"/>
        <w:tabs>
          <w:tab w:val="left" w:leader="dot" w:pos="11189"/>
        </w:tabs>
        <w:ind w:left="977"/>
      </w:pPr>
      <w:r>
        <w:t>(</w:t>
      </w:r>
      <w:r>
        <w:rPr>
          <w:spacing w:val="3"/>
        </w:rPr>
        <w:t>二</w:t>
      </w:r>
      <w:r>
        <w:t>)</w:t>
        <w:tab/>
        <w:t>预算调整</w:t>
      </w:r>
    </w:p>
    <w:p>
      <w:pPr>
        <w:pStyle w:val="Heading1"/>
        <w:spacing w:before="322"/>
        <w:rPr>
          <w:rFonts w:ascii="宋体" w:eastAsia="宋体" w:hint="eastAsia"/>
        </w:rPr>
      </w:pPr>
      <w:r>
        <w:rPr>
          <w:rFonts w:ascii="宋体" w:eastAsia="宋体" w:hint="eastAsia"/>
        </w:rPr>
        <w:t>错误</w:t>
      </w:r>
      <w:r>
        <w:rPr>
          <w:rFonts w:ascii="Times New Roman" w:eastAsia="Times New Roman"/>
        </w:rPr>
        <w:t>!</w:t>
      </w:r>
      <w:r>
        <w:rPr>
          <w:rFonts w:ascii="宋体" w:eastAsia="宋体" w:hint="eastAsia"/>
        </w:rPr>
        <w:t>未指定书签。</w:t>
      </w:r>
    </w:p>
    <w:p>
      <w:pPr>
        <w:pStyle w:val="BodyText"/>
        <w:spacing w:before="1"/>
        <w:ind w:left="0"/>
        <w:rPr>
          <w:rFonts w:ascii="宋体"/>
          <w:b/>
          <w:sz w:val="39"/>
        </w:rPr>
      </w:pPr>
    </w:p>
    <w:p>
      <w:pPr>
        <w:tabs>
          <w:tab w:val="left" w:leader="dot" w:pos="11181"/>
        </w:tabs>
        <w:spacing w:before="0"/>
        <w:ind w:left="660" w:right="0" w:firstLine="0"/>
        <w:jc w:val="left"/>
        <w:rPr>
          <w:b/>
          <w:sz w:val="48"/>
        </w:rPr>
      </w:pPr>
      <w:r>
        <w:rPr>
          <w:b/>
          <w:sz w:val="48"/>
        </w:rPr>
        <w:t>七、</w:t>
        <w:tab/>
        <w:t>考核评价</w:t>
      </w:r>
    </w:p>
    <w:p>
      <w:pPr>
        <w:pStyle w:val="BodyText"/>
        <w:ind w:left="1607"/>
        <w:rPr>
          <w:rFonts w:ascii="宋体" w:eastAsia="宋体" w:hint="eastAsia"/>
        </w:rPr>
      </w:pPr>
      <w:r>
        <w:rPr>
          <w:rFonts w:ascii="宋体" w:eastAsia="宋体" w:hint="eastAsia"/>
        </w:rPr>
        <w:t>错误</w:t>
      </w:r>
      <w:r>
        <w:rPr>
          <w:rFonts w:ascii="Arial" w:eastAsia="Arial"/>
        </w:rPr>
        <w:t>!</w:t>
      </w:r>
      <w:r>
        <w:rPr>
          <w:rFonts w:ascii="宋体" w:eastAsia="宋体" w:hint="eastAsia"/>
        </w:rPr>
        <w:t>未指定书签。</w:t>
      </w:r>
    </w:p>
    <w:p>
      <w:pPr>
        <w:pStyle w:val="BodyText"/>
        <w:spacing w:before="1"/>
        <w:ind w:left="0"/>
        <w:rPr>
          <w:rFonts w:ascii="宋体"/>
          <w:sz w:val="39"/>
        </w:rPr>
      </w:pPr>
    </w:p>
    <w:p>
      <w:pPr>
        <w:pStyle w:val="Heading1"/>
        <w:tabs>
          <w:tab w:val="left" w:leader="dot" w:pos="8769"/>
        </w:tabs>
        <w:spacing w:before="1"/>
        <w:ind w:left="660"/>
      </w:pPr>
      <w:r>
        <w:t>八、</w:t>
        <w:tab/>
        <w:t>预算管理的内部审计</w:t>
      </w:r>
    </w:p>
    <w:p>
      <w:pPr>
        <w:spacing w:after="0"/>
        <w:sectPr>
          <w:pgSz w:w="17860" w:h="25260"/>
          <w:pgMar w:top="1880" w:right="2040" w:bottom="280" w:left="2040" w:header="708" w:footer="708"/>
          <w:pgNumType w:start="2"/>
          <w:cols w:space="708"/>
        </w:sectPr>
      </w:pPr>
    </w:p>
    <w:p>
      <w:pPr>
        <w:spacing w:before="12"/>
        <w:ind w:left="1607" w:right="0" w:firstLine="0"/>
        <w:jc w:val="left"/>
        <w:rPr>
          <w:b/>
          <w:sz w:val="48"/>
        </w:rPr>
      </w:pPr>
      <w:r>
        <w:rPr>
          <w:b/>
          <w:sz w:val="48"/>
        </w:rPr>
        <w:t>18</w:t>
      </w:r>
    </w:p>
    <w:p>
      <w:pPr>
        <w:pStyle w:val="BodyText"/>
        <w:spacing w:before="1"/>
        <w:ind w:left="0"/>
        <w:rPr>
          <w:b/>
          <w:sz w:val="39"/>
        </w:rPr>
      </w:pPr>
    </w:p>
    <w:p>
      <w:pPr>
        <w:pStyle w:val="Heading1"/>
        <w:tabs>
          <w:tab w:val="left" w:leader="dot" w:pos="7325"/>
        </w:tabs>
        <w:spacing w:before="1"/>
        <w:ind w:left="660"/>
      </w:pPr>
      <w:r>
        <w:t>九、</w:t>
        <w:tab/>
        <w:t>企业预算向集团预算的升级</w:t>
      </w:r>
    </w:p>
    <w:p>
      <w:pPr>
        <w:pStyle w:val="BodyText"/>
        <w:ind w:left="1607"/>
        <w:rPr>
          <w:rFonts w:ascii="宋体" w:eastAsia="宋体" w:hint="eastAsia"/>
        </w:rPr>
      </w:pPr>
      <w:r>
        <w:rPr>
          <w:rFonts w:ascii="宋体" w:eastAsia="宋体" w:hint="eastAsia"/>
        </w:rPr>
        <w:t>错误</w:t>
      </w:r>
      <w:r>
        <w:rPr>
          <w:rFonts w:ascii="Arial" w:eastAsia="Arial"/>
        </w:rPr>
        <w:t>!</w:t>
      </w:r>
      <w:r>
        <w:rPr>
          <w:rFonts w:ascii="宋体" w:eastAsia="宋体" w:hint="eastAsia"/>
        </w:rPr>
        <w:t>未指定书签。</w:t>
      </w:r>
    </w:p>
    <w:p>
      <w:pPr>
        <w:pStyle w:val="BodyText"/>
        <w:spacing w:before="1"/>
        <w:ind w:left="0"/>
        <w:rPr>
          <w:rFonts w:ascii="宋体"/>
          <w:sz w:val="39"/>
        </w:rPr>
      </w:pPr>
    </w:p>
    <w:p>
      <w:pPr>
        <w:pStyle w:val="BodyText"/>
        <w:tabs>
          <w:tab w:val="left" w:leader="dot" w:pos="8787"/>
        </w:tabs>
        <w:spacing w:before="0"/>
        <w:ind w:left="977"/>
      </w:pPr>
      <w:r>
        <w:t>(</w:t>
      </w:r>
      <w:r>
        <w:rPr>
          <w:spacing w:val="3"/>
        </w:rPr>
        <w:t>一</w:t>
      </w:r>
      <w:r>
        <w:t>)</w:t>
        <w:tab/>
        <w:t>集团预算政策的制定</w:t>
      </w:r>
    </w:p>
    <w:p>
      <w:pPr>
        <w:pStyle w:val="Heading1"/>
        <w:rPr>
          <w:rFonts w:ascii="宋体" w:eastAsia="宋体" w:hint="eastAsia"/>
        </w:rPr>
      </w:pPr>
      <w:r>
        <w:rPr>
          <w:rFonts w:ascii="宋体" w:eastAsia="宋体" w:hint="eastAsia"/>
        </w:rPr>
        <w:t>错误</w:t>
      </w:r>
      <w:r>
        <w:rPr>
          <w:rFonts w:ascii="Arial" w:eastAsia="Arial"/>
        </w:rPr>
        <w:t>!</w:t>
      </w:r>
      <w:r>
        <w:rPr>
          <w:rFonts w:ascii="宋体" w:eastAsia="宋体" w:hint="eastAsia"/>
        </w:rPr>
        <w:t>未指定书签。</w:t>
      </w:r>
    </w:p>
    <w:p>
      <w:pPr>
        <w:pStyle w:val="BodyText"/>
        <w:tabs>
          <w:tab w:val="left" w:leader="dot" w:pos="8787"/>
        </w:tabs>
        <w:ind w:left="977"/>
      </w:pPr>
      <w:r>
        <w:t>(</w:t>
      </w:r>
      <w:r>
        <w:rPr>
          <w:spacing w:val="3"/>
        </w:rPr>
        <w:t>二</w:t>
      </w:r>
      <w:r>
        <w:t>)</w:t>
        <w:tab/>
        <w:t>集团预算政策的下发</w:t>
      </w:r>
    </w:p>
    <w:p>
      <w:pPr>
        <w:pStyle w:val="Heading1"/>
        <w:spacing w:before="322"/>
        <w:rPr>
          <w:rFonts w:ascii="宋体" w:eastAsia="宋体" w:hint="eastAsia"/>
        </w:rPr>
      </w:pPr>
      <w:r>
        <w:rPr>
          <w:rFonts w:ascii="宋体" w:eastAsia="宋体" w:hint="eastAsia"/>
        </w:rPr>
        <w:t>错误</w:t>
      </w:r>
      <w:r>
        <w:rPr>
          <w:rFonts w:ascii="Arial" w:eastAsia="Arial"/>
        </w:rPr>
        <w:t>!</w:t>
      </w:r>
      <w:r>
        <w:rPr>
          <w:rFonts w:ascii="宋体" w:eastAsia="宋体" w:hint="eastAsia"/>
        </w:rPr>
        <w:t>未指定书签。</w:t>
      </w:r>
    </w:p>
    <w:p>
      <w:pPr>
        <w:pStyle w:val="BodyText"/>
        <w:tabs>
          <w:tab w:val="left" w:leader="dot" w:pos="7346"/>
        </w:tabs>
        <w:ind w:left="977"/>
      </w:pPr>
      <w:r>
        <w:t>(</w:t>
      </w:r>
      <w:r>
        <w:rPr>
          <w:spacing w:val="3"/>
        </w:rPr>
        <w:t>三</w:t>
      </w:r>
      <w:r>
        <w:t>)</w:t>
        <w:tab/>
        <w:t>下属企业预算的编制和审批</w:t>
      </w:r>
    </w:p>
    <w:p>
      <w:pPr>
        <w:pStyle w:val="Heading1"/>
        <w:rPr>
          <w:rFonts w:ascii="宋体" w:eastAsia="宋体" w:hint="eastAsia"/>
        </w:rPr>
      </w:pPr>
      <w:r>
        <w:rPr>
          <w:rFonts w:ascii="宋体" w:eastAsia="宋体" w:hint="eastAsia"/>
        </w:rPr>
        <w:t>错误</w:t>
      </w:r>
      <w:r>
        <w:rPr>
          <w:rFonts w:ascii="Arial" w:eastAsia="Arial"/>
        </w:rPr>
        <w:t>!</w:t>
      </w:r>
      <w:r>
        <w:rPr>
          <w:rFonts w:ascii="宋体" w:eastAsia="宋体" w:hint="eastAsia"/>
        </w:rPr>
        <w:t>未指定书签。</w:t>
      </w:r>
    </w:p>
    <w:p>
      <w:pPr>
        <w:pStyle w:val="BodyText"/>
        <w:tabs>
          <w:tab w:val="left" w:leader="dot" w:pos="7346"/>
        </w:tabs>
        <w:ind w:left="977"/>
      </w:pPr>
      <w:r>
        <w:t>(</w:t>
      </w:r>
      <w:r>
        <w:rPr>
          <w:spacing w:val="3"/>
        </w:rPr>
        <w:t>四</w:t>
      </w:r>
      <w:r>
        <w:t>)</w:t>
        <w:tab/>
        <w:t>集团接收下属企业预算数据</w:t>
      </w:r>
    </w:p>
    <w:p>
      <w:pPr>
        <w:pStyle w:val="Heading1"/>
        <w:rPr>
          <w:rFonts w:ascii="宋体" w:eastAsia="宋体" w:hint="eastAsia"/>
        </w:rPr>
      </w:pPr>
      <w:r>
        <w:rPr>
          <w:rFonts w:ascii="宋体" w:eastAsia="宋体" w:hint="eastAsia"/>
        </w:rPr>
        <w:t>错误</w:t>
      </w:r>
      <w:r>
        <w:rPr>
          <w:rFonts w:ascii="Arial" w:eastAsia="Arial"/>
        </w:rPr>
        <w:t>!</w:t>
      </w:r>
      <w:r>
        <w:rPr>
          <w:rFonts w:ascii="宋体" w:eastAsia="宋体" w:hint="eastAsia"/>
        </w:rPr>
        <w:t>未指定书签。</w:t>
      </w:r>
    </w:p>
    <w:p>
      <w:pPr>
        <w:pStyle w:val="BodyText"/>
        <w:tabs>
          <w:tab w:val="left" w:leader="dot" w:pos="3987"/>
        </w:tabs>
        <w:ind w:left="977"/>
      </w:pPr>
      <w:r>
        <w:t>(</w:t>
      </w:r>
      <w:r>
        <w:rPr>
          <w:spacing w:val="3"/>
        </w:rPr>
        <w:t>五</w:t>
      </w:r>
      <w:r>
        <w:t>)</w:t>
        <w:tab/>
        <w:t>集团审批下属企业预算数据并下发审批信息</w:t>
      </w:r>
    </w:p>
    <w:p>
      <w:pPr>
        <w:pStyle w:val="Heading1"/>
        <w:rPr>
          <w:rFonts w:ascii="宋体" w:eastAsia="宋体" w:hint="eastAsia"/>
        </w:rPr>
      </w:pPr>
      <w:r>
        <w:rPr>
          <w:rFonts w:ascii="宋体" w:eastAsia="宋体" w:hint="eastAsia"/>
        </w:rPr>
        <w:t>错误</w:t>
      </w:r>
      <w:r>
        <w:rPr>
          <w:rFonts w:ascii="Arial" w:eastAsia="Arial"/>
        </w:rPr>
        <w:t>!</w:t>
      </w:r>
      <w:r>
        <w:rPr>
          <w:rFonts w:ascii="宋体" w:eastAsia="宋体" w:hint="eastAsia"/>
        </w:rPr>
        <w:t>未指定书签。</w:t>
      </w:r>
    </w:p>
    <w:p>
      <w:pPr>
        <w:pStyle w:val="BodyText"/>
        <w:spacing w:before="1"/>
        <w:ind w:left="0"/>
        <w:rPr>
          <w:rFonts w:ascii="宋体"/>
          <w:b/>
          <w:sz w:val="39"/>
        </w:rPr>
      </w:pPr>
    </w:p>
    <w:p>
      <w:pPr>
        <w:spacing w:before="1"/>
        <w:ind w:left="660" w:right="0" w:firstLine="0"/>
        <w:jc w:val="left"/>
        <w:rPr>
          <w:b/>
          <w:sz w:val="48"/>
        </w:rPr>
      </w:pPr>
      <w:r>
        <w:rPr>
          <w:b/>
          <w:sz w:val="48"/>
        </w:rPr>
        <w:t>一、 全面预算管理提出的背景</w:t>
      </w:r>
    </w:p>
    <w:p>
      <w:pPr>
        <w:pStyle w:val="BodyText"/>
        <w:spacing w:before="1"/>
        <w:ind w:left="0"/>
        <w:rPr>
          <w:b/>
          <w:sz w:val="39"/>
        </w:rPr>
      </w:pPr>
    </w:p>
    <w:p>
      <w:pPr>
        <w:pStyle w:val="BodyText"/>
        <w:spacing w:before="0"/>
        <w:ind w:left="930"/>
      </w:pPr>
      <w:r>
        <w:t>(一)企业实施全面计划管理的现状</w:t>
      </w:r>
    </w:p>
    <w:p>
      <w:pPr>
        <w:pStyle w:val="BodyText"/>
        <w:spacing w:line="364" w:lineRule="auto"/>
        <w:ind w:right="656" w:firstLine="961"/>
        <w:jc w:val="both"/>
      </w:pPr>
      <w:r>
        <w:rPr>
          <w:spacing w:val="-17"/>
        </w:rPr>
        <w:t xml:space="preserve">某企业是建厂 </w:t>
      </w:r>
      <w:r>
        <w:t>62</w:t>
      </w:r>
      <w:r>
        <w:rPr>
          <w:spacing w:val="-20"/>
        </w:rPr>
        <w:t xml:space="preserve"> 年的老国企，管理基础深厚，从 </w:t>
      </w:r>
      <w:r>
        <w:t>90</w:t>
      </w:r>
      <w:r>
        <w:rPr>
          <w:spacing w:val="-71"/>
        </w:rPr>
        <w:t xml:space="preserve"> 年</w:t>
      </w:r>
      <w:r>
        <w:rPr>
          <w:w w:val="95"/>
        </w:rPr>
        <w:t xml:space="preserve">代初起就已经开始探索全面预算管理。管理水平不断提高， 并取得了积极的进步，但是从计划管理——预算管理——全 面预算管理的转化过程相对缓慢，已经不能满足现代化企业 </w:t>
      </w:r>
      <w:r>
        <w:t>管理的需要，在执行的过程中暴露出一些问题：</w:t>
      </w:r>
    </w:p>
    <w:p>
      <w:pPr>
        <w:pStyle w:val="BodyText"/>
        <w:spacing w:before="7"/>
        <w:ind w:left="1200"/>
      </w:pPr>
      <w:r>
        <w:t>1、 预算制度不健全：目前某企业在预算制度方面仅有 97</w:t>
      </w:r>
    </w:p>
    <w:p>
      <w:pPr>
        <w:spacing w:after="0"/>
        <w:sectPr>
          <w:pgSz w:w="17860" w:h="25260"/>
          <w:pgMar w:top="1880" w:right="2040" w:bottom="280" w:left="2040" w:header="708" w:footer="708"/>
          <w:pgNumType w:start="3"/>
          <w:cols w:space="708"/>
        </w:sectPr>
      </w:pPr>
    </w:p>
    <w:p>
      <w:pPr>
        <w:pStyle w:val="BodyText"/>
        <w:spacing w:before="12" w:line="364" w:lineRule="auto"/>
        <w:ind w:left="1290" w:right="682"/>
      </w:pPr>
      <w:r>
        <w:rPr>
          <w:spacing w:val="-10"/>
          <w:w w:val="95"/>
        </w:rPr>
        <w:t xml:space="preserve">年制订的《某企业总厂资金预算管理办法》，其他预算制 </w:t>
      </w:r>
      <w:r>
        <w:t>度尚属空白，内控环节薄弱。</w:t>
      </w:r>
    </w:p>
    <w:p>
      <w:pPr>
        <w:pStyle w:val="BodyText"/>
        <w:spacing w:before="3" w:line="364" w:lineRule="auto"/>
        <w:ind w:left="1290" w:right="518" w:hanging="90"/>
      </w:pPr>
      <w:r>
        <w:t>2</w:t>
      </w:r>
      <w:r>
        <w:rPr>
          <w:spacing w:val="-14"/>
        </w:rPr>
        <w:t>、 预算管理组织机构不健全：企业没有设立专门的预算</w:t>
      </w:r>
      <w:r>
        <w:rPr>
          <w:spacing w:val="-15"/>
          <w:w w:val="95"/>
        </w:rPr>
        <w:t xml:space="preserve">管理机构，存在“多头管理”现象。没有形成一个完整的 </w:t>
      </w:r>
      <w:r>
        <w:rPr>
          <w:spacing w:val="-12"/>
        </w:rPr>
        <w:t>网络体系，对于预算管理工作没有组织保障。一些预算管</w:t>
      </w:r>
      <w:r>
        <w:rPr>
          <w:spacing w:val="-17"/>
        </w:rPr>
        <w:t>理中出现的矛盾和冲突，没有具体机构来解决，从而造成预算管理出现断层和漏洞，预算管理作用得不到真正发挥。</w:t>
      </w:r>
    </w:p>
    <w:p>
      <w:pPr>
        <w:pStyle w:val="BodyText"/>
        <w:spacing w:before="8" w:line="364" w:lineRule="auto"/>
        <w:ind w:left="1200" w:right="658"/>
      </w:pPr>
      <w:r>
        <w:t>3</w:t>
      </w:r>
      <w:r>
        <w:rPr>
          <w:spacing w:val="-14"/>
        </w:rPr>
        <w:t>、 预算的编制不规范：全面预算不是依据实际报表进行</w:t>
      </w:r>
      <w:r>
        <w:rPr>
          <w:spacing w:val="-17"/>
        </w:rPr>
        <w:t>简单的数字调整，也不应该是凭空想象的数字罗列，而应</w:t>
      </w:r>
      <w:r>
        <w:rPr>
          <w:spacing w:val="-22"/>
        </w:rPr>
        <w:t>是以科学的预测和切合实际的业务计划为基础，多次上下往返讨论而决定的。由于企业目前目标测算方法不够科学，存在预算失准现象，影响了企业总体目标的实现。 4</w:t>
      </w:r>
      <w:r>
        <w:rPr>
          <w:spacing w:val="-15"/>
        </w:rPr>
        <w:t>、 预算编制技术和编制程序不合理：调研过程中发现，</w:t>
      </w:r>
    </w:p>
    <w:p>
      <w:pPr>
        <w:pStyle w:val="BodyText"/>
        <w:spacing w:before="7" w:line="364" w:lineRule="auto"/>
        <w:ind w:left="1290" w:right="422"/>
      </w:pPr>
      <w:r>
        <w:rPr>
          <w:spacing w:val="-15"/>
          <w:w w:val="95"/>
        </w:rPr>
        <w:t>一些行之有效的预算编制方法</w:t>
      </w:r>
      <w:r>
        <w:rPr>
          <w:w w:val="95"/>
        </w:rPr>
        <w:t>（</w:t>
      </w:r>
      <w:r>
        <w:rPr>
          <w:spacing w:val="-20"/>
          <w:w w:val="95"/>
        </w:rPr>
        <w:t>如弹性预算、零基预算等</w:t>
      </w:r>
      <w:r>
        <w:rPr>
          <w:spacing w:val="-17"/>
          <w:w w:val="95"/>
        </w:rPr>
        <w:t xml:space="preserve">） </w:t>
      </w:r>
      <w:r>
        <w:rPr>
          <w:spacing w:val="-8"/>
        </w:rPr>
        <w:t>在某企业没有得到有效的应用。在预算编制程序方面，企</w:t>
      </w:r>
      <w:r>
        <w:rPr>
          <w:spacing w:val="-16"/>
        </w:rPr>
        <w:t>业还是采取从下到上、从上到下的方式，其间存在严重的</w:t>
      </w:r>
      <w:r>
        <w:rPr>
          <w:spacing w:val="-15"/>
        </w:rPr>
        <w:t>脱节，导致预算虽然比较适应企业总体发展的需要，但是</w:t>
      </w:r>
      <w:r>
        <w:rPr>
          <w:spacing w:val="-31"/>
        </w:rPr>
        <w:t>因为缺乏有效沟通，难免出现“头戴三尺帽”、“一刀切” 等现象。</w:t>
      </w:r>
    </w:p>
    <w:p>
      <w:pPr>
        <w:pStyle w:val="BodyText"/>
        <w:spacing w:before="9" w:line="364" w:lineRule="auto"/>
        <w:ind w:left="1290" w:right="664" w:hanging="90"/>
      </w:pPr>
      <w:r>
        <w:t>5</w:t>
      </w:r>
      <w:r>
        <w:rPr>
          <w:spacing w:val="-14"/>
        </w:rPr>
        <w:t>、 管理缺乏过程控制：当前企业预算缺乏有效的过程控</w:t>
      </w:r>
      <w:r>
        <w:rPr>
          <w:spacing w:val="-15"/>
          <w:w w:val="95"/>
        </w:rPr>
        <w:t>制，各单位虽然在预算编制中发挥了作用，但是因为没有</w:t>
      </w:r>
    </w:p>
    <w:p>
      <w:pPr>
        <w:spacing w:after="0" w:line="364" w:lineRule="auto"/>
        <w:sectPr>
          <w:pgSz w:w="17860" w:h="25260"/>
          <w:pgMar w:top="1880" w:right="2040" w:bottom="280" w:left="2040" w:header="708" w:footer="708"/>
          <w:pgNumType w:start="4"/>
          <w:cols w:space="708"/>
        </w:sectPr>
      </w:pPr>
    </w:p>
    <w:p>
      <w:pPr>
        <w:pStyle w:val="BodyText"/>
        <w:spacing w:before="12" w:line="364" w:lineRule="auto"/>
        <w:ind w:left="1200" w:right="663" w:firstLine="90"/>
      </w:pPr>
      <w:r>
        <w:rPr>
          <w:spacing w:val="-14"/>
          <w:w w:val="95"/>
        </w:rPr>
        <w:t xml:space="preserve">相应的作业指导，职责划分不够明确。在预算的执行差异 </w:t>
      </w:r>
      <w:r>
        <w:rPr>
          <w:spacing w:val="-7"/>
        </w:rPr>
        <w:t>分析及控制往往也只是对预算执行结果进行分析，对预算</w:t>
      </w:r>
      <w:r>
        <w:rPr>
          <w:spacing w:val="-16"/>
        </w:rPr>
        <w:t>执行过程中出现的问题则很少顾及。很多单位差异分析周</w:t>
      </w:r>
      <w:r>
        <w:rPr>
          <w:spacing w:val="-15"/>
        </w:rPr>
        <w:t>期较长，这种分析最多只能起到事后评价的作用，事中控制作用较差，预算执行的实时控制成为各单位的软肋。 6</w:t>
      </w:r>
      <w:r>
        <w:rPr>
          <w:spacing w:val="-14"/>
        </w:rPr>
        <w:t>、 缺乏预算调整机制：企业例外审批过多，每年临时性项目资金申请报告多达数百份。</w:t>
      </w:r>
    </w:p>
    <w:p>
      <w:pPr>
        <w:pStyle w:val="BodyText"/>
        <w:spacing w:before="10" w:line="364" w:lineRule="auto"/>
        <w:ind w:left="1290" w:right="662" w:hanging="90"/>
        <w:jc w:val="both"/>
      </w:pPr>
      <w:r>
        <w:t>7</w:t>
      </w:r>
      <w:r>
        <w:rPr>
          <w:spacing w:val="-14"/>
        </w:rPr>
        <w:t>、 缺乏有效的考核激励配套措施：某企业虽然成立了经</w:t>
      </w:r>
      <w:r>
        <w:rPr>
          <w:spacing w:val="-17"/>
          <w:w w:val="95"/>
        </w:rPr>
        <w:t xml:space="preserve">济责任制考核小组，建立了一系列的经济责任制，但这些 </w:t>
      </w:r>
      <w:r>
        <w:rPr>
          <w:spacing w:val="-9"/>
          <w:w w:val="95"/>
        </w:rPr>
        <w:t xml:space="preserve">经济责任制的内容侧重于静态的考核，缺乏全面动态的考 </w:t>
      </w:r>
      <w:r>
        <w:rPr>
          <w:spacing w:val="-17"/>
          <w:w w:val="95"/>
        </w:rPr>
        <w:t xml:space="preserve">核标准和有效的激励措施。尤其是各单位内部未将预算相 </w:t>
      </w:r>
      <w:r>
        <w:rPr>
          <w:spacing w:val="-20"/>
          <w:w w:val="95"/>
        </w:rPr>
        <w:t xml:space="preserve">关工作完全纳入考核体系，没有真正追溯预算的合理性及 </w:t>
      </w:r>
      <w:r>
        <w:rPr>
          <w:spacing w:val="-20"/>
        </w:rPr>
        <w:t>必要性。</w:t>
      </w:r>
    </w:p>
    <w:p>
      <w:pPr>
        <w:pStyle w:val="BodyText"/>
        <w:spacing w:before="7" w:line="364" w:lineRule="auto"/>
        <w:ind w:left="1290" w:right="433" w:hanging="90"/>
      </w:pPr>
      <w:r>
        <w:t>8</w:t>
      </w:r>
      <w:r>
        <w:rPr>
          <w:spacing w:val="-20"/>
        </w:rPr>
        <w:t xml:space="preserve">、 缺乏有效的信息沟通：某企业尽管实现了计算机联网， </w:t>
      </w:r>
      <w:r>
        <w:rPr>
          <w:spacing w:val="-10"/>
        </w:rPr>
        <w:t xml:space="preserve">并在主要部门应用了金蝶 </w:t>
      </w:r>
      <w:r>
        <w:t>ERP</w:t>
      </w:r>
      <w:r>
        <w:rPr>
          <w:spacing w:val="-25"/>
        </w:rPr>
        <w:t xml:space="preserve"> 系统，但因系统覆盖面不够</w:t>
      </w:r>
      <w:r>
        <w:rPr>
          <w:spacing w:val="-16"/>
        </w:rPr>
        <w:t>理想，尚未成为内部交流的有效平台。作为企业信息化重</w:t>
      </w:r>
      <w:r>
        <w:rPr>
          <w:spacing w:val="-31"/>
        </w:rPr>
        <w:t xml:space="preserve">要举措的金蝶 </w:t>
      </w:r>
      <w:r>
        <w:t>ERP</w:t>
      </w:r>
      <w:r>
        <w:rPr>
          <w:spacing w:val="-20"/>
        </w:rPr>
        <w:t xml:space="preserve"> 系统目前仅仅发挥了基础系统功能，未能充分发挥其潜力。</w:t>
      </w:r>
    </w:p>
    <w:p>
      <w:pPr>
        <w:pStyle w:val="BodyText"/>
        <w:spacing w:before="7" w:line="364" w:lineRule="auto"/>
        <w:ind w:left="1290" w:right="424" w:hanging="90"/>
      </w:pPr>
      <w:r>
        <w:t>9</w:t>
      </w:r>
      <w:r>
        <w:rPr>
          <w:spacing w:val="-20"/>
        </w:rPr>
        <w:t xml:space="preserve">、 缺乏内部审计机制：在预算制定、执行、考核过程中， </w:t>
      </w:r>
      <w:r>
        <w:t>缺乏有效的审计监督，更谈不上预算的公开与透明。</w:t>
      </w:r>
    </w:p>
    <w:p>
      <w:pPr>
        <w:pStyle w:val="BodyText"/>
        <w:spacing w:before="3" w:line="364" w:lineRule="auto"/>
        <w:ind w:left="1740" w:right="661" w:hanging="810"/>
      </w:pPr>
      <w:r>
        <w:t>1</w:t>
      </w:r>
      <w:r>
        <w:rPr>
          <w:spacing w:val="-19"/>
        </w:rPr>
        <w:t>、 集团管控处于空白状态：目前集团所属企业只是进行单</w:t>
      </w:r>
      <w:r>
        <w:rPr>
          <w:spacing w:val="-17"/>
          <w:w w:val="95"/>
        </w:rPr>
        <w:t>体预算编制，集团对企业只是进行平行汇总，未能达到</w:t>
      </w:r>
    </w:p>
    <w:p>
      <w:pPr>
        <w:spacing w:after="0" w:line="364" w:lineRule="auto"/>
        <w:sectPr>
          <w:pgSz w:w="17860" w:h="25260"/>
          <w:pgMar w:top="1880" w:right="2040" w:bottom="280" w:left="2040" w:header="708" w:footer="708"/>
          <w:pgNumType w:start="5"/>
          <w:cols w:space="708"/>
        </w:sectPr>
      </w:pPr>
    </w:p>
    <w:p>
      <w:pPr>
        <w:pStyle w:val="BodyText"/>
        <w:spacing w:before="12"/>
        <w:ind w:left="1740"/>
      </w:pPr>
      <w:r>
        <w:t>集团层面有效的资金及经营管控。</w:t>
      </w:r>
    </w:p>
    <w:p>
      <w:pPr>
        <w:pStyle w:val="Heading1"/>
        <w:spacing w:before="6" w:line="1110" w:lineRule="atLeast"/>
        <w:ind w:left="930" w:right="3642" w:firstLine="2678"/>
      </w:pPr>
      <w:r>
        <w:t>二、 全面预算所要达到的目标(一)企业全面预算管理的总体目标</w:t>
      </w:r>
    </w:p>
    <w:p>
      <w:pPr>
        <w:pStyle w:val="BodyText"/>
        <w:spacing w:before="327" w:line="364" w:lineRule="auto"/>
        <w:ind w:right="656" w:firstLine="961"/>
      </w:pPr>
      <w:r>
        <w:rPr>
          <w:w w:val="95"/>
        </w:rPr>
        <w:t xml:space="preserve">根据集团十一五“通过资源有效配置、搬迁改造重组， 打造业务平台，培育大产品群和’三大责任’，最终实现百 </w:t>
      </w:r>
      <w:r>
        <w:rPr>
          <w:spacing w:val="-1"/>
        </w:rPr>
        <w:t xml:space="preserve">亿集团。发展定位及战略目标为年平均增长速度大于 </w:t>
      </w:r>
      <w:r>
        <w:rPr>
          <w:spacing w:val="-4"/>
        </w:rPr>
        <w:t xml:space="preserve">23%， </w:t>
      </w:r>
      <w:r>
        <w:rPr>
          <w:spacing w:val="-44"/>
        </w:rPr>
        <w:t xml:space="preserve">到 </w:t>
      </w:r>
      <w:r>
        <w:t>2010</w:t>
      </w:r>
      <w:r>
        <w:rPr>
          <w:spacing w:val="-21"/>
        </w:rPr>
        <w:t xml:space="preserve"> 年实现销售收入 </w:t>
      </w:r>
      <w:r>
        <w:t>130</w:t>
      </w:r>
      <w:r>
        <w:rPr>
          <w:spacing w:val="-16"/>
        </w:rPr>
        <w:t xml:space="preserve"> 亿元，工业总产值实现 </w:t>
      </w:r>
      <w:r>
        <w:t>100</w:t>
      </w:r>
      <w:r>
        <w:rPr>
          <w:spacing w:val="-50"/>
        </w:rPr>
        <w:t xml:space="preserve"> 亿</w:t>
      </w:r>
      <w:r>
        <w:rPr>
          <w:w w:val="95"/>
        </w:rPr>
        <w:t xml:space="preserve">元，进入行业前五位”的战略规划，为达到“完成以全面预 </w:t>
      </w:r>
      <w:r>
        <w:rPr>
          <w:spacing w:val="-2"/>
        </w:rPr>
        <w:t xml:space="preserve">算管理为主线和金蝶 </w:t>
      </w:r>
      <w:r>
        <w:t>K/3ERP</w:t>
      </w:r>
      <w:r>
        <w:rPr>
          <w:spacing w:val="-5"/>
        </w:rPr>
        <w:t xml:space="preserve"> 系统的全面集成，实现财务管</w:t>
      </w:r>
      <w:r>
        <w:rPr>
          <w:spacing w:val="-5"/>
          <w:w w:val="95"/>
        </w:rPr>
        <w:t xml:space="preserve">理从简单核算到预算、预测、控制和评价的全面预算管理的 </w:t>
      </w:r>
      <w:r>
        <w:t>转变”的目标,我们提出了全面预算的总体目标体系：即以</w:t>
      </w:r>
      <w:r>
        <w:rPr>
          <w:spacing w:val="-1"/>
        </w:rPr>
        <w:t xml:space="preserve">全面预算管理流程再造为政策导向；以金蝶 </w:t>
      </w:r>
      <w:r>
        <w:t>K/3ERP</w:t>
      </w:r>
      <w:r>
        <w:rPr>
          <w:spacing w:val="-9"/>
        </w:rPr>
        <w:t xml:space="preserve"> 系统管</w:t>
      </w:r>
      <w:r>
        <w:rPr>
          <w:w w:val="95"/>
        </w:rPr>
        <w:t xml:space="preserve">理为技术平台；以销售为龙头，以成本费用控制为重点，以 </w:t>
      </w:r>
      <w:r>
        <w:t>资金平衡为准绳；最终实现六个整合：</w:t>
      </w:r>
    </w:p>
    <w:p>
      <w:pPr>
        <w:pStyle w:val="BodyText"/>
        <w:spacing w:before="15"/>
        <w:ind w:left="1621"/>
      </w:pPr>
      <w:r>
        <w:t>1、战略规划、业务计划、财务预算和业绩评价的整合；</w:t>
      </w:r>
    </w:p>
    <w:p>
      <w:pPr>
        <w:pStyle w:val="BodyText"/>
        <w:spacing w:line="364" w:lineRule="auto"/>
        <w:ind w:right="896" w:firstLine="961"/>
      </w:pPr>
      <w:r>
        <w:rPr>
          <w:spacing w:val="9"/>
          <w:w w:val="95"/>
        </w:rPr>
        <w:t>2</w:t>
      </w:r>
      <w:r>
        <w:rPr>
          <w:spacing w:val="-1"/>
          <w:w w:val="95"/>
        </w:rPr>
        <w:t xml:space="preserve">、战略层、经营层、作业层三层组织机构协调流程的 </w:t>
      </w:r>
      <w:r>
        <w:t>整合；</w:t>
      </w:r>
    </w:p>
    <w:p>
      <w:pPr>
        <w:pStyle w:val="BodyText"/>
        <w:spacing w:before="3"/>
        <w:ind w:left="1621"/>
      </w:pPr>
      <w:r>
        <w:t>3、财务活动和业务活动互为支持的整合；</w:t>
      </w:r>
    </w:p>
    <w:p>
      <w:pPr>
        <w:pStyle w:val="BodyText"/>
        <w:spacing w:line="364" w:lineRule="auto"/>
        <w:ind w:right="896" w:firstLine="961"/>
      </w:pPr>
      <w:r>
        <w:rPr>
          <w:spacing w:val="9"/>
          <w:w w:val="95"/>
        </w:rPr>
        <w:t>4</w:t>
      </w:r>
      <w:r>
        <w:rPr>
          <w:spacing w:val="-1"/>
          <w:w w:val="95"/>
        </w:rPr>
        <w:t xml:space="preserve">、计划体系、目标体系、指标体系、报表体系和绩效 </w:t>
      </w:r>
      <w:r>
        <w:rPr>
          <w:spacing w:val="-25"/>
        </w:rPr>
        <w:t>考核体系从“出题”、“解题”到“评分”的整合；</w:t>
      </w:r>
    </w:p>
    <w:p>
      <w:pPr>
        <w:pStyle w:val="BodyText"/>
        <w:spacing w:before="3"/>
        <w:ind w:left="1621"/>
      </w:pPr>
      <w:r>
        <w:rPr>
          <w:w w:val="95"/>
        </w:rPr>
        <w:t>5、预算从制定、调整到考核评价周而复始的整合；</w:t>
      </w:r>
    </w:p>
    <w:p>
      <w:pPr>
        <w:pStyle w:val="BodyText"/>
        <w:spacing w:before="320"/>
        <w:ind w:left="1621"/>
      </w:pPr>
      <w:r>
        <w:rPr>
          <w:w w:val="95"/>
        </w:rPr>
        <w:t>6、业务流、资金流、信息流和人力资源流的整合。</w:t>
      </w:r>
    </w:p>
    <w:p>
      <w:pPr>
        <w:spacing w:after="0"/>
        <w:sectPr>
          <w:pgSz w:w="17860" w:h="25260"/>
          <w:pgMar w:top="1880" w:right="2040" w:bottom="280" w:left="2040" w:header="708" w:footer="708"/>
          <w:pgNumType w:start="6"/>
          <w:cols w:space="708"/>
        </w:sectPr>
      </w:pPr>
    </w:p>
    <w:p>
      <w:pPr>
        <w:pStyle w:val="Heading1"/>
        <w:spacing w:before="12"/>
        <w:ind w:left="930"/>
      </w:pPr>
      <w:r>
        <w:t>(二)全面预算责任目标体系</w:t>
      </w:r>
    </w:p>
    <w:p>
      <w:pPr>
        <w:pStyle w:val="BodyText"/>
        <w:spacing w:line="364" w:lineRule="auto"/>
        <w:ind w:right="669" w:firstLine="961"/>
      </w:pPr>
      <w:r>
        <w:t>主要以财务预算指标作为主要控制标准，与经济责任</w:t>
      </w:r>
      <w:r>
        <w:rPr>
          <w:spacing w:val="-1"/>
          <w:w w:val="95"/>
        </w:rPr>
        <w:t xml:space="preserve">制、资产经营责任制、资金集中管理等日常管理有机结合， 划分不同的预算控制主体，确定不同的管理手段。同时，还 </w:t>
      </w:r>
      <w:r>
        <w:t>根据不同预算执行主体的特点选择不同的财务指标作为核心预算指标的分解及控制的具体形式。</w:t>
      </w:r>
    </w:p>
    <w:p>
      <w:pPr>
        <w:pStyle w:val="BodyText"/>
        <w:tabs>
          <w:tab w:val="left" w:pos="12640"/>
        </w:tabs>
        <w:spacing w:before="7" w:line="364" w:lineRule="auto"/>
        <w:ind w:right="653" w:firstLine="961"/>
      </w:pPr>
      <w:r>
        <w:drawing>
          <wp:anchor distT="0" distB="0" distL="0" distR="0" simplePos="0" relativeHeight="251660288" behindDoc="1" locked="0" layoutInCell="1" allowOverlap="1">
            <wp:simplePos x="0" y="0"/>
            <wp:positionH relativeFrom="page">
              <wp:posOffset>6858000</wp:posOffset>
            </wp:positionH>
            <wp:positionV relativeFrom="paragraph">
              <wp:posOffset>1244600</wp:posOffset>
            </wp:positionV>
            <wp:extent cx="657225" cy="429768"/>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6" cstate="print"/>
                    <a:stretch>
                      <a:fillRect/>
                    </a:stretch>
                  </pic:blipFill>
                  <pic:spPr>
                    <a:xfrm>
                      <a:off x="0" y="0"/>
                      <a:ext cx="657225" cy="429768"/>
                    </a:xfrm>
                    <a:prstGeom prst="rect">
                      <a:avLst/>
                    </a:prstGeom>
                  </pic:spPr>
                </pic:pic>
              </a:graphicData>
            </a:graphic>
          </wp:anchor>
        </w:drawing>
      </w:r>
      <w:r>
        <w:drawing>
          <wp:anchor distT="0" distB="0" distL="0" distR="0" simplePos="0" relativeHeight="251661312" behindDoc="1" locked="0" layoutInCell="1" allowOverlap="1">
            <wp:simplePos x="0" y="0"/>
            <wp:positionH relativeFrom="page">
              <wp:posOffset>7785100</wp:posOffset>
            </wp:positionH>
            <wp:positionV relativeFrom="paragraph">
              <wp:posOffset>1244600</wp:posOffset>
            </wp:positionV>
            <wp:extent cx="1866900" cy="4318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7" cstate="print"/>
                    <a:stretch>
                      <a:fillRect/>
                    </a:stretch>
                  </pic:blipFill>
                  <pic:spPr>
                    <a:xfrm>
                      <a:off x="0" y="0"/>
                      <a:ext cx="1866900" cy="431800"/>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1704975</wp:posOffset>
            </wp:positionH>
            <wp:positionV relativeFrom="paragraph">
              <wp:posOffset>1841500</wp:posOffset>
            </wp:positionV>
            <wp:extent cx="2473325" cy="418592"/>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8" cstate="print"/>
                    <a:stretch>
                      <a:fillRect/>
                    </a:stretch>
                  </pic:blipFill>
                  <pic:spPr>
                    <a:xfrm>
                      <a:off x="0" y="0"/>
                      <a:ext cx="2473325" cy="418592"/>
                    </a:xfrm>
                    <a:prstGeom prst="rect">
                      <a:avLst/>
                    </a:prstGeom>
                  </pic:spPr>
                </pic:pic>
              </a:graphicData>
            </a:graphic>
          </wp:anchor>
        </w:drawing>
      </w:r>
      <w:r>
        <w:drawing>
          <wp:anchor distT="0" distB="0" distL="0" distR="0" simplePos="0" relativeHeight="251663360" behindDoc="1" locked="0" layoutInCell="1" allowOverlap="1">
            <wp:simplePos x="0" y="0"/>
            <wp:positionH relativeFrom="page">
              <wp:posOffset>4448175</wp:posOffset>
            </wp:positionH>
            <wp:positionV relativeFrom="paragraph">
              <wp:posOffset>1841500</wp:posOffset>
            </wp:positionV>
            <wp:extent cx="657225" cy="417068"/>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xmlns:r="http://schemas.openxmlformats.org/officeDocument/2006/relationships" r:embed="rId9" cstate="print"/>
                    <a:stretch>
                      <a:fillRect/>
                    </a:stretch>
                  </pic:blipFill>
                  <pic:spPr>
                    <a:xfrm>
                      <a:off x="0" y="0"/>
                      <a:ext cx="657225" cy="417068"/>
                    </a:xfrm>
                    <a:prstGeom prst="rect">
                      <a:avLst/>
                    </a:prstGeom>
                  </pic:spPr>
                </pic:pic>
              </a:graphicData>
            </a:graphic>
          </wp:anchor>
        </w:drawing>
      </w:r>
      <w:r>
        <w:t xml:space="preserve">按照全面预算指标的分解体系和企业经济责任制的分 </w:t>
      </w:r>
      <w:r>
        <w:rPr>
          <w:w w:val="95"/>
        </w:rPr>
        <w:t xml:space="preserve">解体系保持一致的原则，将全面预算指标按利润驱动因素和 权责转化为各部门的预算指标，形成“总厂→管理处室、经 营部门、生产单位→班组”的指标分解体系，使全面预算指 </w:t>
      </w:r>
      <w:r>
        <w:t>标分解落实到生产经营全过程的各个部门、环节、岗位</w:t>
        <w:tab/>
      </w:r>
      <w:r>
        <w:rPr>
          <w:spacing w:val="-13"/>
        </w:rPr>
        <w:t xml:space="preserve">， </w:t>
      </w:r>
      <w:r>
        <w:t>并逐级建立起各负其责、环环相扣的责任控制体系。</w:t>
      </w:r>
    </w:p>
    <w:p>
      <w:pPr>
        <w:pStyle w:val="Heading1"/>
        <w:spacing w:before="8"/>
        <w:ind w:left="930"/>
      </w:pPr>
      <w:r>
        <w:t>(三)全面预算管理的组织体系</w:t>
      </w:r>
    </w:p>
    <w:p>
      <w:pPr>
        <w:pStyle w:val="BodyText"/>
        <w:spacing w:line="364" w:lineRule="auto"/>
        <w:ind w:right="664" w:firstLine="961"/>
        <w:jc w:val="both"/>
      </w:pPr>
      <w:r>
        <w:rPr>
          <w:spacing w:val="-1"/>
          <w:w w:val="95"/>
        </w:rPr>
        <w:t xml:space="preserve">就企业目前情况来看，企业全面预算管理的各项审批职 能可主要集中在全面预算管理委员会。如果企业下一步准备 实施公司制体制改革，则全面预算管理的最终审批职能由公 </w:t>
      </w:r>
      <w:r>
        <w:t>司董事会履行。</w:t>
      </w:r>
    </w:p>
    <w:p>
      <w:pPr>
        <w:pStyle w:val="BodyText"/>
        <w:spacing w:before="6" w:line="364" w:lineRule="auto"/>
        <w:ind w:right="669" w:firstLine="961"/>
      </w:pPr>
      <w:r>
        <w:t>在全面预算管理实施前期建议抽调相关部门业务骨干</w:t>
      </w:r>
      <w:r>
        <w:rPr>
          <w:spacing w:val="-1"/>
          <w:w w:val="95"/>
        </w:rPr>
        <w:t>组建项目小组，研究企业预算管理实施方案，以确保预算管 理工作的顺利开展。待系统正式上线运行后，组建预算管理 办公室，负责传达预算的编制方针；指导预算编制；对预算 草案进行初步审查、协调、平衡和汇总；监督、控制预算执</w:t>
      </w:r>
    </w:p>
    <w:p>
      <w:pPr>
        <w:spacing w:after="0" w:line="364" w:lineRule="auto"/>
        <w:sectPr>
          <w:pgSz w:w="17860" w:h="25260"/>
          <w:pgMar w:top="1880" w:right="2040" w:bottom="280" w:left="2040" w:header="708" w:footer="708"/>
          <w:pgNumType w:start="7"/>
          <w:cols w:space="708"/>
        </w:sectPr>
      </w:pPr>
    </w:p>
    <w:p>
      <w:pPr>
        <w:pStyle w:val="BodyText"/>
        <w:spacing w:before="12" w:line="364" w:lineRule="auto"/>
        <w:ind w:right="669"/>
      </w:pPr>
      <w:r>
        <w:rPr>
          <w:spacing w:val="-1"/>
          <w:w w:val="95"/>
        </w:rPr>
        <w:t xml:space="preserve">行情况；形成预算执行报告和预算差异分析报告，向全面预 </w:t>
      </w:r>
      <w:r>
        <w:t>算管理委员会提出预算修正建议。</w:t>
      </w:r>
    </w:p>
    <w:p>
      <w:pPr>
        <w:pStyle w:val="Heading1"/>
        <w:spacing w:before="183"/>
        <w:ind w:left="4333"/>
      </w:pPr>
      <w:r>
        <w:t>三、 全面预算管理内容</w:t>
      </w:r>
    </w:p>
    <w:p>
      <w:pPr>
        <w:pStyle w:val="BodyText"/>
        <w:spacing w:before="1"/>
        <w:ind w:left="0"/>
        <w:rPr>
          <w:b/>
          <w:sz w:val="39"/>
        </w:rPr>
      </w:pPr>
    </w:p>
    <w:p>
      <w:pPr>
        <w:pStyle w:val="BodyText"/>
        <w:spacing w:before="0" w:line="364" w:lineRule="auto"/>
        <w:ind w:right="664" w:firstLine="961"/>
        <w:jc w:val="both"/>
      </w:pPr>
      <w:r>
        <w:rPr>
          <w:spacing w:val="-1"/>
          <w:w w:val="95"/>
        </w:rPr>
        <w:t xml:space="preserve">全面预算是按照先销售预算、经营预算，后报表预算的 流程进行，并按照企业各部门承担经济业务的类型及其责任 </w:t>
      </w:r>
      <w:r>
        <w:rPr>
          <w:spacing w:val="-6"/>
        </w:rPr>
        <w:t>权限，编制不同形式的财务预算。</w:t>
      </w:r>
      <w:r>
        <w:t>（附财务预算内容及其之间的关系图）</w:t>
      </w:r>
    </w:p>
    <w:p>
      <w:pPr>
        <w:pStyle w:val="Heading1"/>
        <w:spacing w:before="186"/>
        <w:ind w:left="4092"/>
        <w:jc w:val="both"/>
      </w:pPr>
      <w:r>
        <w:t>四、 预算编制程序与方法</w:t>
      </w:r>
    </w:p>
    <w:p>
      <w:pPr>
        <w:pStyle w:val="BodyText"/>
        <w:spacing w:before="1"/>
        <w:ind w:left="0"/>
        <w:rPr>
          <w:b/>
          <w:sz w:val="39"/>
        </w:rPr>
      </w:pPr>
    </w:p>
    <w:p>
      <w:pPr>
        <w:pStyle w:val="BodyText"/>
        <w:spacing w:before="0" w:line="364" w:lineRule="auto"/>
        <w:ind w:right="433" w:firstLine="849"/>
      </w:pPr>
      <w:r>
        <w:rPr>
          <w:spacing w:val="-14"/>
          <w:w w:val="95"/>
        </w:rPr>
        <w:t xml:space="preserve">预算编制程序：企业编制预算，一般应按照“上下结合、 </w:t>
      </w:r>
      <w:r>
        <w:t>分级编制、逐级汇总”的程序进行。?</w:t>
      </w:r>
    </w:p>
    <w:p>
      <w:pPr>
        <w:pStyle w:val="BodyText"/>
        <w:spacing w:before="2" w:line="364" w:lineRule="auto"/>
        <w:ind w:right="669" w:firstLine="270"/>
      </w:pPr>
      <w:r>
        <w:rPr>
          <w:b/>
        </w:rPr>
        <w:t>1</w:t>
      </w:r>
      <w:r>
        <w:rPr>
          <w:b/>
          <w:spacing w:val="6"/>
        </w:rPr>
        <w:t xml:space="preserve">、 </w:t>
      </w:r>
      <w:r>
        <w:t>下达目标:厂长办公会根据企业发展战略和预算期经</w:t>
      </w:r>
      <w:r>
        <w:rPr>
          <w:spacing w:val="-1"/>
          <w:w w:val="95"/>
        </w:rPr>
        <w:t xml:space="preserve">济形势的初步预测，在决策的基础上提出下一年度企业财务 预算目标，包括销售目标、成本费用目标、利润目标和现金 流量目标，并确定财务预算编制的政策，由预算管理层下达 </w:t>
      </w:r>
      <w:r>
        <w:t>各部门。</w:t>
      </w:r>
    </w:p>
    <w:p>
      <w:pPr>
        <w:pStyle w:val="BodyText"/>
        <w:spacing w:before="7" w:line="364" w:lineRule="auto"/>
        <w:ind w:right="669" w:firstLine="270"/>
      </w:pPr>
      <w:r>
        <w:rPr>
          <w:b/>
        </w:rPr>
        <w:t>2</w:t>
      </w:r>
      <w:r>
        <w:rPr>
          <w:b/>
          <w:spacing w:val="4"/>
        </w:rPr>
        <w:t xml:space="preserve">、 </w:t>
      </w:r>
      <w:r>
        <w:t>编制上报：各部门按照预算管理层下达的财务预算目</w:t>
      </w:r>
      <w:r>
        <w:rPr>
          <w:spacing w:val="-1"/>
          <w:w w:val="95"/>
        </w:rPr>
        <w:t xml:space="preserve">标和政策，结合自身特点以及预测的执行条件，提出详细的 </w:t>
      </w:r>
      <w:r>
        <w:t>本部门财务预算方案上报预算管理委员会。?</w:t>
      </w:r>
    </w:p>
    <w:p>
      <w:pPr>
        <w:pStyle w:val="BodyText"/>
        <w:spacing w:before="5" w:line="364" w:lineRule="auto"/>
        <w:ind w:right="669" w:firstLine="270"/>
      </w:pPr>
      <w:r>
        <w:rPr>
          <w:b/>
        </w:rPr>
        <w:t>3</w:t>
      </w:r>
      <w:r>
        <w:rPr>
          <w:b/>
          <w:spacing w:val="4"/>
        </w:rPr>
        <w:t xml:space="preserve">、 </w:t>
      </w:r>
      <w:r>
        <w:t>审查平衡：预算管理委员会对各部门上报的财务预算</w:t>
      </w:r>
      <w:r>
        <w:rPr>
          <w:spacing w:val="-1"/>
          <w:w w:val="95"/>
        </w:rPr>
        <w:t>方案进行审查、汇总，提出综合平衡的建议。在审查、平衡 过程中，预算管理层应当进行充分协调，对发现的问题提出</w:t>
      </w:r>
    </w:p>
    <w:p>
      <w:pPr>
        <w:spacing w:after="0" w:line="364" w:lineRule="auto"/>
        <w:sectPr>
          <w:pgSz w:w="17860" w:h="25260"/>
          <w:pgMar w:top="1880" w:right="2040" w:bottom="280" w:left="2040" w:header="708" w:footer="708"/>
          <w:pgNumType w:start="8"/>
          <w:cols w:space="708"/>
        </w:sectPr>
      </w:pPr>
    </w:p>
    <w:p>
      <w:pPr>
        <w:pStyle w:val="BodyText"/>
        <w:spacing w:before="12"/>
      </w:pPr>
      <w:r>
        <w:t>初步调整的意见，并反馈给各有关部门予以修正。?</w:t>
      </w:r>
    </w:p>
    <w:p>
      <w:pPr>
        <w:pStyle w:val="BodyText"/>
        <w:spacing w:line="364" w:lineRule="auto"/>
        <w:ind w:right="669" w:firstLine="270"/>
      </w:pPr>
      <w:r>
        <w:rPr>
          <w:b/>
        </w:rPr>
        <w:t>4</w:t>
      </w:r>
      <w:r>
        <w:rPr>
          <w:b/>
          <w:spacing w:val="4"/>
        </w:rPr>
        <w:t xml:space="preserve">、 </w:t>
      </w:r>
      <w:r>
        <w:t>审议批准：预算管理委员会在各部门修正调整的基础</w:t>
      </w:r>
      <w:r>
        <w:rPr>
          <w:spacing w:val="-1"/>
          <w:w w:val="95"/>
        </w:rPr>
        <w:t xml:space="preserve">上，编制出企业财务预算方案，报预算管理层讨论。对于不 符合企业发展战略或者财务预算目标的事项，企业预算管理 层应当责成有关部门进一步修订、调整。在讨论、调整的基 础上，预算管理委员会正式编制企业年度财务预算草案，提 </w:t>
      </w:r>
      <w:r>
        <w:t>交董事会或总经办审议批准。?</w:t>
      </w:r>
    </w:p>
    <w:p>
      <w:pPr>
        <w:pStyle w:val="BodyText"/>
        <w:tabs>
          <w:tab w:val="left" w:pos="1920"/>
        </w:tabs>
        <w:spacing w:before="8" w:line="364" w:lineRule="auto"/>
        <w:ind w:right="669"/>
      </w:pPr>
      <w:r>
        <w:t>5、</w:t>
        <w:tab/>
        <w:t>下达执行：预算管理委员会对董事会或总经办审议批</w:t>
      </w:r>
      <w:r>
        <w:rPr>
          <w:w w:val="95"/>
        </w:rPr>
        <w:t>准的年度总预算，分解成一系列的指标体系，由财务预算</w:t>
      </w:r>
      <w:r>
        <w:rPr>
          <w:spacing w:val="-19"/>
          <w:w w:val="95"/>
        </w:rPr>
        <w:t xml:space="preserve">管 </w:t>
      </w:r>
      <w:r>
        <w:t>理层逐级下达各部门执行。</w:t>
      </w:r>
    </w:p>
    <w:p>
      <w:pPr>
        <w:pStyle w:val="BodyText"/>
        <w:tabs>
          <w:tab w:val="left" w:pos="2881"/>
        </w:tabs>
        <w:spacing w:before="4" w:line="364" w:lineRule="auto"/>
        <w:ind w:right="669"/>
      </w:pPr>
      <w:r>
        <w:rPr>
          <w:b/>
        </w:rPr>
        <w:t>6、</w:t>
        <w:tab/>
      </w:r>
      <w:r>
        <w:t>对于预算的编制，我们建议采取经营、非经营预</w:t>
      </w:r>
      <w:r>
        <w:rPr>
          <w:w w:val="95"/>
        </w:rPr>
        <w:t>算与资金收支预算有机结合的方式。通过对经营与非经营</w:t>
      </w:r>
      <w:r>
        <w:rPr>
          <w:spacing w:val="-19"/>
          <w:w w:val="95"/>
        </w:rPr>
        <w:t xml:space="preserve">预 </w:t>
      </w:r>
      <w:r>
        <w:rPr>
          <w:w w:val="95"/>
        </w:rPr>
        <w:t>算涉现与否的判断，可实现在经营预算编制的同时生成资</w:t>
      </w:r>
      <w:r>
        <w:rPr>
          <w:spacing w:val="-19"/>
          <w:w w:val="95"/>
        </w:rPr>
        <w:t xml:space="preserve">金 </w:t>
      </w:r>
      <w:r>
        <w:rPr>
          <w:w w:val="95"/>
        </w:rPr>
        <w:t>收支预算，并最终达到损益预算、资产负债预算、现金流</w:t>
      </w:r>
      <w:r>
        <w:rPr>
          <w:spacing w:val="-19"/>
          <w:w w:val="95"/>
        </w:rPr>
        <w:t xml:space="preserve">量 </w:t>
      </w:r>
      <w:r>
        <w:t>预算的相互关联、相互钩稽、相互依存。</w:t>
      </w:r>
    </w:p>
    <w:p>
      <w:pPr>
        <w:pStyle w:val="BodyText"/>
        <w:spacing w:before="7" w:line="364" w:lineRule="auto"/>
        <w:ind w:right="664" w:firstLine="961"/>
      </w:pPr>
      <w:r>
        <w:rPr>
          <w:spacing w:val="-1"/>
          <w:w w:val="95"/>
        </w:rPr>
        <w:t xml:space="preserve">根据金蝶方对已经实施预算客户的介绍，我们了解到目 前国内能够实施上述管控手段的企业尚未出现。所以实现这 </w:t>
      </w:r>
      <w:r>
        <w:t>样的目标无论对某企业方还是金蝶方都将是一个前所未有的挑战。</w:t>
      </w:r>
    </w:p>
    <w:p>
      <w:pPr>
        <w:pStyle w:val="BodyText"/>
        <w:spacing w:before="5"/>
        <w:ind w:left="930"/>
      </w:pPr>
      <w:r>
        <w:t>（附企业财务预算及计划流程图）</w:t>
      </w:r>
    </w:p>
    <w:p>
      <w:pPr>
        <w:spacing w:after="0"/>
        <w:sectPr>
          <w:pgSz w:w="17860" w:h="25260"/>
          <w:pgMar w:top="1880" w:right="2040" w:bottom="280" w:left="2040" w:header="708" w:footer="708"/>
          <w:pgNumType w:start="9"/>
          <w:cols w:space="708"/>
        </w:sectPr>
      </w:pPr>
    </w:p>
    <w:p>
      <w:pPr>
        <w:pStyle w:val="BodyText"/>
        <w:spacing w:before="0"/>
        <w:ind w:left="960"/>
        <w:rPr>
          <w:sz w:val="20"/>
        </w:rPr>
      </w:pPr>
      <w:r>
        <w:rPr>
          <w:sz w:val="20"/>
        </w:rPr>
        <w:pict>
          <v:group id="_x0000_i1025" style="width:620pt;height:885pt;mso-position-horizontal-relative:char;mso-position-vertical-relative:line" coordorigin="0,0" coordsize="12400,17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400;height:17700;position:absolute" stroked="f">
              <v:imagedata r:id="rId10" o:title=""/>
            </v:shape>
            <v:shapetype id="_x0000_t202" coordsize="21600,21600" o:spt="202" path="m,l,21600r21600,l21600,xe">
              <v:stroke joinstyle="miter"/>
              <v:path gradientshapeok="t" o:connecttype="rect"/>
            </v:shapetype>
            <v:shape id="_x0000_s1027" type="#_x0000_t202" style="width:1208;height:238;left:90;position:absolute;top:405" filled="f" stroked="f">
              <v:textbox inset="0,0,0,0">
                <w:txbxContent>
                  <w:p>
                    <w:pPr>
                      <w:spacing w:before="0" w:line="238" w:lineRule="exact"/>
                      <w:ind w:left="0" w:right="0" w:firstLine="0"/>
                      <w:jc w:val="left"/>
                      <w:rPr>
                        <w:rFonts w:ascii="宋体" w:eastAsia="宋体" w:hint="eastAsia"/>
                        <w:sz w:val="23"/>
                      </w:rPr>
                    </w:pPr>
                    <w:r>
                      <w:rPr>
                        <w:rFonts w:ascii="宋体" w:eastAsia="宋体" w:hint="eastAsia"/>
                        <w:sz w:val="23"/>
                      </w:rPr>
                      <w:t>预算流程图</w:t>
                    </w:r>
                  </w:p>
                </w:txbxContent>
              </v:textbox>
            </v:shape>
            <v:shape id="_x0000_s1028" type="#_x0000_t202" style="width:2396;height:238;left:2233;position:absolute;top:1033" filled="f" stroked="f">
              <v:textbox inset="0,0,0,0">
                <w:txbxContent>
                  <w:p>
                    <w:pPr>
                      <w:spacing w:before="0" w:line="238" w:lineRule="exact"/>
                      <w:ind w:left="0" w:right="0" w:firstLine="0"/>
                      <w:jc w:val="left"/>
                      <w:rPr>
                        <w:rFonts w:ascii="宋体" w:eastAsia="宋体" w:hint="eastAsia"/>
                        <w:sz w:val="23"/>
                      </w:rPr>
                    </w:pPr>
                    <w:r>
                      <w:rPr>
                        <w:rFonts w:ascii="宋体" w:eastAsia="宋体" w:hint="eastAsia"/>
                        <w:sz w:val="23"/>
                      </w:rPr>
                      <w:t>经营预算与非经营预算</w:t>
                    </w:r>
                  </w:p>
                </w:txbxContent>
              </v:textbox>
            </v:shape>
            <v:shape id="_x0000_s1029" type="#_x0000_t202" style="width:1446;height:238;left:8559;position:absolute;top:1033" filled="f" stroked="f">
              <v:textbox inset="0,0,0,0">
                <w:txbxContent>
                  <w:p>
                    <w:pPr>
                      <w:spacing w:before="0" w:line="238" w:lineRule="exact"/>
                      <w:ind w:left="0" w:right="0" w:firstLine="0"/>
                      <w:jc w:val="left"/>
                      <w:rPr>
                        <w:rFonts w:ascii="宋体" w:eastAsia="宋体" w:hint="eastAsia"/>
                        <w:sz w:val="23"/>
                      </w:rPr>
                    </w:pPr>
                    <w:r>
                      <w:rPr>
                        <w:rFonts w:ascii="宋体" w:eastAsia="宋体" w:hint="eastAsia"/>
                        <w:sz w:val="23"/>
                      </w:rPr>
                      <w:t>资金收支预算</w:t>
                    </w:r>
                  </w:p>
                </w:txbxContent>
              </v:textbox>
            </v:shape>
            <v:shape id="_x0000_s1030" type="#_x0000_t202" style="width:876;height:143;left:1647;position:absolute;top:2385"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销售收入预算</w:t>
                    </w:r>
                  </w:p>
                </w:txbxContent>
              </v:textbox>
            </v:shape>
            <v:shape id="_x0000_s1031" type="#_x0000_t202" style="width:805;height:537;left:4376;position:absolute;top:2179" filled="f" stroked="f">
              <v:textbox inset="0,0,0,0">
                <w:txbxContent>
                  <w:p>
                    <w:pPr>
                      <w:spacing w:before="0"/>
                      <w:ind w:left="0" w:right="0" w:firstLine="0"/>
                      <w:jc w:val="left"/>
                      <w:rPr>
                        <w:rFonts w:ascii="宋体" w:eastAsia="宋体" w:hint="eastAsia"/>
                        <w:sz w:val="14"/>
                      </w:rPr>
                    </w:pPr>
                    <w:r>
                      <w:rPr>
                        <w:rFonts w:ascii="Gill Sans MT" w:eastAsia="Gill Sans MT"/>
                        <w:spacing w:val="-1"/>
                        <w:sz w:val="14"/>
                      </w:rPr>
                      <w:t>1</w:t>
                    </w:r>
                    <w:r>
                      <w:rPr>
                        <w:rFonts w:ascii="宋体" w:eastAsia="宋体" w:hint="eastAsia"/>
                        <w:sz w:val="14"/>
                      </w:rPr>
                      <w:t>、是否当期</w:t>
                    </w:r>
                  </w:p>
                  <w:p>
                    <w:pPr>
                      <w:spacing w:before="9"/>
                      <w:ind w:left="0" w:right="0" w:firstLine="0"/>
                      <w:jc w:val="left"/>
                      <w:rPr>
                        <w:rFonts w:ascii="宋体" w:eastAsia="宋体" w:hint="eastAsia"/>
                        <w:sz w:val="14"/>
                      </w:rPr>
                    </w:pPr>
                    <w:r>
                      <w:rPr>
                        <w:rFonts w:ascii="Gill Sans MT" w:eastAsia="Gill Sans MT"/>
                        <w:spacing w:val="-1"/>
                        <w:sz w:val="14"/>
                      </w:rPr>
                      <w:t>2</w:t>
                    </w:r>
                    <w:r>
                      <w:rPr>
                        <w:rFonts w:ascii="宋体" w:eastAsia="宋体" w:hint="eastAsia"/>
                        <w:sz w:val="14"/>
                      </w:rPr>
                      <w:t>、考虑帐期</w:t>
                    </w:r>
                  </w:p>
                  <w:p>
                    <w:pPr>
                      <w:spacing w:before="8" w:line="160" w:lineRule="exact"/>
                      <w:ind w:left="0" w:right="0" w:firstLine="0"/>
                      <w:jc w:val="left"/>
                      <w:rPr>
                        <w:rFonts w:ascii="宋体" w:eastAsia="宋体" w:hint="eastAsia"/>
                        <w:sz w:val="14"/>
                      </w:rPr>
                    </w:pPr>
                    <w:r>
                      <w:rPr>
                        <w:rFonts w:ascii="Gill Sans MT" w:eastAsia="Gill Sans MT"/>
                        <w:spacing w:val="-1"/>
                        <w:sz w:val="14"/>
                      </w:rPr>
                      <w:t>3</w:t>
                    </w:r>
                    <w:r>
                      <w:rPr>
                        <w:rFonts w:ascii="宋体" w:eastAsia="宋体" w:hint="eastAsia"/>
                        <w:sz w:val="14"/>
                      </w:rPr>
                      <w:t>、结算方式</w:t>
                    </w:r>
                  </w:p>
                </w:txbxContent>
              </v:textbox>
            </v:shape>
            <v:shape id="_x0000_s1032" type="#_x0000_t202" style="width:1161;height:143;left:6891;position:absolute;top:2385"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销售资金回笼预算</w:t>
                    </w:r>
                  </w:p>
                </w:txbxContent>
              </v:textbox>
            </v:shape>
            <v:shape id="_x0000_s1033" type="#_x0000_t202" style="width:1446;height:502;left:1362;position:absolute;top:3467" filled="f" stroked="f">
              <v:textbox inset="0,0,0,0">
                <w:txbxContent>
                  <w:p>
                    <w:pPr>
                      <w:spacing w:before="0" w:line="160" w:lineRule="exact"/>
                      <w:ind w:left="0" w:right="18" w:firstLine="0"/>
                      <w:jc w:val="center"/>
                      <w:rPr>
                        <w:rFonts w:ascii="宋体" w:eastAsia="宋体" w:hint="eastAsia"/>
                        <w:sz w:val="14"/>
                      </w:rPr>
                    </w:pPr>
                    <w:r>
                      <w:rPr>
                        <w:rFonts w:ascii="宋体" w:eastAsia="宋体" w:hint="eastAsia"/>
                        <w:sz w:val="14"/>
                      </w:rPr>
                      <w:t>非经营收入预算</w:t>
                    </w:r>
                  </w:p>
                  <w:p>
                    <w:pPr>
                      <w:spacing w:before="0" w:line="244" w:lineRule="auto"/>
                      <w:ind w:left="0" w:right="18" w:firstLine="0"/>
                      <w:jc w:val="center"/>
                      <w:rPr>
                        <w:rFonts w:ascii="宋体" w:eastAsia="宋体" w:hint="eastAsia"/>
                        <w:sz w:val="14"/>
                      </w:rPr>
                    </w:pPr>
                    <w:r>
                      <w:rPr>
                        <w:rFonts w:ascii="宋体" w:eastAsia="宋体" w:hint="eastAsia"/>
                        <w:spacing w:val="-1"/>
                        <w:sz w:val="14"/>
                      </w:rPr>
                      <w:t>（调剂收入、营业外收入、投资收益）</w:t>
                    </w:r>
                  </w:p>
                </w:txbxContent>
              </v:textbox>
            </v:shape>
            <v:shape id="_x0000_s1034" type="#_x0000_t202" style="width:805;height:349;left:4376;position:absolute;top:3535" filled="f" stroked="f">
              <v:textbox inset="0,0,0,0">
                <w:txbxContent>
                  <w:p>
                    <w:pPr>
                      <w:spacing w:before="0"/>
                      <w:ind w:left="0" w:right="0" w:firstLine="0"/>
                      <w:jc w:val="left"/>
                      <w:rPr>
                        <w:rFonts w:ascii="宋体" w:eastAsia="宋体" w:hint="eastAsia"/>
                        <w:sz w:val="14"/>
                      </w:rPr>
                    </w:pPr>
                    <w:r>
                      <w:rPr>
                        <w:rFonts w:ascii="Gill Sans MT" w:eastAsia="Gill Sans MT"/>
                        <w:spacing w:val="-1"/>
                        <w:sz w:val="14"/>
                      </w:rPr>
                      <w:t>1</w:t>
                    </w:r>
                    <w:r>
                      <w:rPr>
                        <w:rFonts w:ascii="宋体" w:eastAsia="宋体" w:hint="eastAsia"/>
                        <w:sz w:val="14"/>
                      </w:rPr>
                      <w:t>、是否当期</w:t>
                    </w:r>
                  </w:p>
                  <w:p>
                    <w:pPr>
                      <w:spacing w:before="8" w:line="160" w:lineRule="exact"/>
                      <w:ind w:left="0" w:right="0" w:firstLine="0"/>
                      <w:jc w:val="left"/>
                      <w:rPr>
                        <w:rFonts w:ascii="宋体" w:eastAsia="宋体" w:hint="eastAsia"/>
                        <w:sz w:val="14"/>
                      </w:rPr>
                    </w:pPr>
                    <w:r>
                      <w:rPr>
                        <w:rFonts w:ascii="Gill Sans MT" w:eastAsia="Gill Sans MT"/>
                        <w:spacing w:val="-1"/>
                        <w:sz w:val="14"/>
                      </w:rPr>
                      <w:t>2</w:t>
                    </w:r>
                    <w:r>
                      <w:rPr>
                        <w:rFonts w:ascii="宋体" w:eastAsia="宋体" w:hint="eastAsia"/>
                        <w:sz w:val="14"/>
                      </w:rPr>
                      <w:t>、结算方式</w:t>
                    </w:r>
                  </w:p>
                </w:txbxContent>
              </v:textbox>
            </v:shape>
            <v:shape id="_x0000_s1035" type="#_x0000_t202" style="width:1304;height:143;left:6820;position:absolute;top:3647"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非经营资金回笼预算</w:t>
                    </w:r>
                  </w:p>
                </w:txbxContent>
              </v:textbox>
            </v:shape>
            <v:shape id="_x0000_s1036" type="#_x0000_t202" style="width:1589;height:331;left:1290;position:absolute;top:4758" filled="f" stroked="f">
              <v:textbox inset="0,0,0,0">
                <w:txbxContent>
                  <w:p>
                    <w:pPr>
                      <w:spacing w:before="0" w:line="162" w:lineRule="exact"/>
                      <w:ind w:left="0" w:right="18" w:firstLine="0"/>
                      <w:jc w:val="center"/>
                      <w:rPr>
                        <w:rFonts w:ascii="宋体" w:eastAsia="宋体" w:hint="eastAsia"/>
                        <w:sz w:val="14"/>
                      </w:rPr>
                    </w:pPr>
                    <w:r>
                      <w:rPr>
                        <w:rFonts w:ascii="宋体" w:eastAsia="宋体" w:hint="eastAsia"/>
                        <w:sz w:val="14"/>
                      </w:rPr>
                      <w:t>采购预算</w:t>
                    </w:r>
                  </w:p>
                  <w:p>
                    <w:pPr>
                      <w:spacing w:before="8" w:line="160" w:lineRule="exact"/>
                      <w:ind w:left="0" w:right="19" w:firstLine="0"/>
                      <w:jc w:val="center"/>
                      <w:rPr>
                        <w:rFonts w:ascii="宋体" w:eastAsia="宋体" w:hint="eastAsia"/>
                        <w:sz w:val="14"/>
                      </w:rPr>
                    </w:pPr>
                    <w:r>
                      <w:rPr>
                        <w:rFonts w:ascii="宋体" w:eastAsia="宋体" w:hint="eastAsia"/>
                        <w:sz w:val="14"/>
                      </w:rPr>
                      <w:t>（含原、材料、动力等</w:t>
                    </w:r>
                    <w:r>
                      <w:rPr>
                        <w:rFonts w:ascii="宋体" w:eastAsia="宋体" w:hint="eastAsia"/>
                        <w:spacing w:val="-17"/>
                        <w:sz w:val="14"/>
                      </w:rPr>
                      <w:t>）</w:t>
                    </w:r>
                  </w:p>
                </w:txbxContent>
              </v:textbox>
            </v:shape>
            <v:shape id="_x0000_s1037" type="#_x0000_t202" style="width:805;height:349;left:4376;position:absolute;top:4740" filled="f" stroked="f">
              <v:textbox inset="0,0,0,0">
                <w:txbxContent>
                  <w:p>
                    <w:pPr>
                      <w:spacing w:before="0"/>
                      <w:ind w:left="0" w:right="0" w:firstLine="0"/>
                      <w:jc w:val="left"/>
                      <w:rPr>
                        <w:rFonts w:ascii="宋体" w:eastAsia="宋体" w:hint="eastAsia"/>
                        <w:sz w:val="14"/>
                      </w:rPr>
                    </w:pPr>
                    <w:r>
                      <w:rPr>
                        <w:rFonts w:ascii="Gill Sans MT" w:eastAsia="Gill Sans MT"/>
                        <w:spacing w:val="-1"/>
                        <w:sz w:val="14"/>
                      </w:rPr>
                      <w:t>1</w:t>
                    </w:r>
                    <w:r>
                      <w:rPr>
                        <w:rFonts w:ascii="宋体" w:eastAsia="宋体" w:hint="eastAsia"/>
                        <w:sz w:val="14"/>
                      </w:rPr>
                      <w:t>、是否当期</w:t>
                    </w:r>
                  </w:p>
                  <w:p>
                    <w:pPr>
                      <w:spacing w:before="8" w:line="160" w:lineRule="exact"/>
                      <w:ind w:left="0" w:right="0" w:firstLine="0"/>
                      <w:jc w:val="left"/>
                      <w:rPr>
                        <w:rFonts w:ascii="宋体" w:eastAsia="宋体" w:hint="eastAsia"/>
                        <w:sz w:val="14"/>
                      </w:rPr>
                    </w:pPr>
                    <w:r>
                      <w:rPr>
                        <w:rFonts w:ascii="Gill Sans MT" w:eastAsia="Gill Sans MT"/>
                        <w:spacing w:val="-1"/>
                        <w:sz w:val="14"/>
                      </w:rPr>
                      <w:t>2</w:t>
                    </w:r>
                    <w:r>
                      <w:rPr>
                        <w:rFonts w:ascii="宋体" w:eastAsia="宋体" w:hint="eastAsia"/>
                        <w:sz w:val="14"/>
                      </w:rPr>
                      <w:t>、结算方式</w:t>
                    </w:r>
                  </w:p>
                </w:txbxContent>
              </v:textbox>
            </v:shape>
            <v:shape id="_x0000_s1038" type="#_x0000_t202" style="width:1161;height:143;left:9416;position:absolute;top:4852"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采购资金支出预算</w:t>
                    </w:r>
                  </w:p>
                </w:txbxContent>
              </v:textbox>
            </v:shape>
            <v:shape id="_x0000_s1039" type="#_x0000_t202" style="width:876;height:143;left:1647;position:absolute;top:6057"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职工薪酬预算</w:t>
                    </w:r>
                  </w:p>
                </w:txbxContent>
              </v:textbox>
            </v:shape>
            <v:shape id="_x0000_s1040" type="#_x0000_t202" style="width:591;height:143;left:4483;position:absolute;top:6057"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是否当期</w:t>
                    </w:r>
                  </w:p>
                </w:txbxContent>
              </v:textbox>
            </v:shape>
            <v:shape id="_x0000_s1041" type="#_x0000_t202" style="width:876;height:143;left:9559;position:absolute;top:6057"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薪酬支出预算</w:t>
                    </w:r>
                  </w:p>
                </w:txbxContent>
              </v:textbox>
            </v:shape>
            <v:shape id="_x0000_s1042" type="#_x0000_t202" style="width:876;height:143;left:1647;position:absolute;top:7262"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制造费用预算</w:t>
                    </w:r>
                  </w:p>
                </w:txbxContent>
              </v:textbox>
            </v:shape>
            <v:shape id="_x0000_s1043" type="#_x0000_t202" style="width:876;height:143;left:4340;position:absolute;top:7262"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是否涉及现金</w:t>
                    </w:r>
                  </w:p>
                </w:txbxContent>
              </v:textbox>
            </v:shape>
            <v:shape id="_x0000_s1044" type="#_x0000_t202" style="width:1161;height:143;left:9416;position:absolute;top:7262"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制造费用支出预算</w:t>
                    </w:r>
                  </w:p>
                </w:txbxContent>
              </v:textbox>
            </v:shape>
            <v:shape id="_x0000_s1045" type="#_x0000_t202" style="width:876;height:143;left:1647;position:absolute;top:8467"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销售费用预算</w:t>
                    </w:r>
                  </w:p>
                </w:txbxContent>
              </v:textbox>
            </v:shape>
            <v:shape id="_x0000_s1046" type="#_x0000_t202" style="width:876;height:331;left:4340;position:absolute;top:8373" filled="f" stroked="f">
              <v:textbox inset="0,0,0,0">
                <w:txbxContent>
                  <w:p>
                    <w:pPr>
                      <w:spacing w:before="0" w:line="162" w:lineRule="exact"/>
                      <w:ind w:left="0" w:right="18" w:firstLine="0"/>
                      <w:jc w:val="center"/>
                      <w:rPr>
                        <w:rFonts w:ascii="宋体" w:eastAsia="宋体" w:hint="eastAsia"/>
                        <w:sz w:val="14"/>
                      </w:rPr>
                    </w:pPr>
                    <w:r>
                      <w:rPr>
                        <w:rFonts w:ascii="宋体" w:eastAsia="宋体" w:hint="eastAsia"/>
                        <w:sz w:val="14"/>
                      </w:rPr>
                      <w:t>是否当期</w:t>
                    </w:r>
                  </w:p>
                  <w:p>
                    <w:pPr>
                      <w:spacing w:before="8" w:line="160" w:lineRule="exact"/>
                      <w:ind w:left="0" w:right="18" w:firstLine="0"/>
                      <w:jc w:val="center"/>
                      <w:rPr>
                        <w:rFonts w:ascii="宋体" w:eastAsia="宋体" w:hint="eastAsia"/>
                        <w:sz w:val="14"/>
                      </w:rPr>
                    </w:pPr>
                    <w:r>
                      <w:rPr>
                        <w:rFonts w:ascii="宋体" w:eastAsia="宋体" w:hint="eastAsia"/>
                        <w:sz w:val="14"/>
                      </w:rPr>
                      <w:t>是否涉及现金</w:t>
                    </w:r>
                  </w:p>
                </w:txbxContent>
              </v:textbox>
            </v:shape>
            <v:shape id="_x0000_s1047" type="#_x0000_t202" style="width:1161;height:143;left:9416;position:absolute;top:8467"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销售费用支出预算</w:t>
                    </w:r>
                  </w:p>
                </w:txbxContent>
              </v:textbox>
            </v:shape>
            <v:shape id="_x0000_s1048" type="#_x0000_t202" style="width:876;height:143;left:1647;position:absolute;top:9672"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财务费用预算</w:t>
                    </w:r>
                  </w:p>
                </w:txbxContent>
              </v:textbox>
            </v:shape>
            <v:shape id="_x0000_s1049" type="#_x0000_t202" style="width:876;height:331;left:4340;position:absolute;top:9578" filled="f" stroked="f">
              <v:textbox inset="0,0,0,0">
                <w:txbxContent>
                  <w:p>
                    <w:pPr>
                      <w:spacing w:before="0" w:line="162" w:lineRule="exact"/>
                      <w:ind w:left="0" w:right="18" w:firstLine="0"/>
                      <w:jc w:val="center"/>
                      <w:rPr>
                        <w:rFonts w:ascii="宋体" w:eastAsia="宋体" w:hint="eastAsia"/>
                        <w:sz w:val="14"/>
                      </w:rPr>
                    </w:pPr>
                    <w:r>
                      <w:rPr>
                        <w:rFonts w:ascii="宋体" w:eastAsia="宋体" w:hint="eastAsia"/>
                        <w:sz w:val="14"/>
                      </w:rPr>
                      <w:t>是否当期</w:t>
                    </w:r>
                  </w:p>
                  <w:p>
                    <w:pPr>
                      <w:spacing w:before="8" w:line="160" w:lineRule="exact"/>
                      <w:ind w:left="0" w:right="18" w:firstLine="0"/>
                      <w:jc w:val="center"/>
                      <w:rPr>
                        <w:rFonts w:ascii="宋体" w:eastAsia="宋体" w:hint="eastAsia"/>
                        <w:sz w:val="14"/>
                      </w:rPr>
                    </w:pPr>
                    <w:r>
                      <w:rPr>
                        <w:rFonts w:ascii="宋体" w:eastAsia="宋体" w:hint="eastAsia"/>
                        <w:sz w:val="14"/>
                      </w:rPr>
                      <w:t>是否涉及现金</w:t>
                    </w:r>
                  </w:p>
                </w:txbxContent>
              </v:textbox>
            </v:shape>
            <v:shape id="_x0000_s1050" type="#_x0000_t202" style="width:1161;height:143;left:9416;position:absolute;top:9672"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财务费用支出预算</w:t>
                    </w:r>
                  </w:p>
                </w:txbxContent>
              </v:textbox>
            </v:shape>
            <v:shape id="_x0000_s1051" type="#_x0000_t202" style="width:876;height:143;left:1647;position:absolute;top:10877"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管理费用预算</w:t>
                    </w:r>
                  </w:p>
                </w:txbxContent>
              </v:textbox>
            </v:shape>
            <v:shape id="_x0000_s1052" type="#_x0000_t202" style="width:876;height:331;left:4340;position:absolute;top:10783" filled="f" stroked="f">
              <v:textbox inset="0,0,0,0">
                <w:txbxContent>
                  <w:p>
                    <w:pPr>
                      <w:spacing w:before="0" w:line="162" w:lineRule="exact"/>
                      <w:ind w:left="0" w:right="18" w:firstLine="0"/>
                      <w:jc w:val="center"/>
                      <w:rPr>
                        <w:rFonts w:ascii="宋体" w:eastAsia="宋体" w:hint="eastAsia"/>
                        <w:sz w:val="14"/>
                      </w:rPr>
                    </w:pPr>
                    <w:r>
                      <w:rPr>
                        <w:rFonts w:ascii="宋体" w:eastAsia="宋体" w:hint="eastAsia"/>
                        <w:sz w:val="14"/>
                      </w:rPr>
                      <w:t>是否涉及现金</w:t>
                    </w:r>
                  </w:p>
                  <w:p>
                    <w:pPr>
                      <w:spacing w:before="8" w:line="160" w:lineRule="exact"/>
                      <w:ind w:left="0" w:right="18" w:firstLine="0"/>
                      <w:jc w:val="center"/>
                      <w:rPr>
                        <w:rFonts w:ascii="宋体" w:eastAsia="宋体" w:hint="eastAsia"/>
                        <w:sz w:val="14"/>
                      </w:rPr>
                    </w:pPr>
                    <w:r>
                      <w:rPr>
                        <w:rFonts w:ascii="宋体" w:eastAsia="宋体" w:hint="eastAsia"/>
                        <w:sz w:val="14"/>
                      </w:rPr>
                      <w:t>是否当期</w:t>
                    </w:r>
                  </w:p>
                </w:txbxContent>
              </v:textbox>
            </v:shape>
            <v:shape id="_x0000_s1053" type="#_x0000_t202" style="width:1161;height:143;left:9416;position:absolute;top:10877"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管理费用支出预算</w:t>
                    </w:r>
                  </w:p>
                </w:txbxContent>
              </v:textbox>
            </v:shape>
            <v:shape id="_x0000_s1054" type="#_x0000_t202" style="width:1589;height:327;left:1290;position:absolute;top:11984" filled="f" stroked="f">
              <v:textbox inset="0,0,0,0">
                <w:txbxContent>
                  <w:p>
                    <w:pPr>
                      <w:spacing w:before="0" w:line="162" w:lineRule="exact"/>
                      <w:ind w:left="0" w:right="19" w:firstLine="0"/>
                      <w:jc w:val="center"/>
                      <w:rPr>
                        <w:rFonts w:ascii="宋体" w:eastAsia="宋体" w:hint="eastAsia"/>
                        <w:sz w:val="14"/>
                      </w:rPr>
                    </w:pPr>
                    <w:r>
                      <w:rPr>
                        <w:rFonts w:ascii="宋体" w:eastAsia="宋体" w:hint="eastAsia"/>
                        <w:spacing w:val="-1"/>
                        <w:sz w:val="14"/>
                      </w:rPr>
                      <w:t>产品销售税金及所得税预</w:t>
                    </w:r>
                  </w:p>
                  <w:p>
                    <w:pPr>
                      <w:spacing w:before="4" w:line="160" w:lineRule="exact"/>
                      <w:ind w:left="0" w:right="18" w:firstLine="0"/>
                      <w:jc w:val="center"/>
                      <w:rPr>
                        <w:rFonts w:ascii="宋体" w:eastAsia="宋体" w:hint="eastAsia"/>
                        <w:sz w:val="14"/>
                      </w:rPr>
                    </w:pPr>
                    <w:r>
                      <w:rPr>
                        <w:rFonts w:ascii="宋体" w:eastAsia="宋体" w:hint="eastAsia"/>
                        <w:w w:val="101"/>
                        <w:sz w:val="14"/>
                      </w:rPr>
                      <w:t>算</w:t>
                    </w:r>
                  </w:p>
                </w:txbxContent>
              </v:textbox>
            </v:shape>
            <v:shape id="_x0000_s1055" type="#_x0000_t202" style="width:876;height:331;left:4340;position:absolute;top:11988" filled="f" stroked="f">
              <v:textbox inset="0,0,0,0">
                <w:txbxContent>
                  <w:p>
                    <w:pPr>
                      <w:spacing w:before="0" w:line="162" w:lineRule="exact"/>
                      <w:ind w:left="0" w:right="18" w:firstLine="0"/>
                      <w:jc w:val="center"/>
                      <w:rPr>
                        <w:rFonts w:ascii="宋体" w:eastAsia="宋体" w:hint="eastAsia"/>
                        <w:sz w:val="14"/>
                      </w:rPr>
                    </w:pPr>
                    <w:r>
                      <w:rPr>
                        <w:rFonts w:ascii="宋体" w:eastAsia="宋体" w:hint="eastAsia"/>
                        <w:sz w:val="14"/>
                      </w:rPr>
                      <w:t>是否当期</w:t>
                    </w:r>
                  </w:p>
                  <w:p>
                    <w:pPr>
                      <w:spacing w:before="8" w:line="160" w:lineRule="exact"/>
                      <w:ind w:left="0" w:right="18" w:firstLine="0"/>
                      <w:jc w:val="center"/>
                      <w:rPr>
                        <w:rFonts w:ascii="宋体" w:eastAsia="宋体" w:hint="eastAsia"/>
                        <w:sz w:val="14"/>
                      </w:rPr>
                    </w:pPr>
                    <w:r>
                      <w:rPr>
                        <w:rFonts w:ascii="宋体" w:eastAsia="宋体" w:hint="eastAsia"/>
                        <w:sz w:val="14"/>
                      </w:rPr>
                      <w:t>是否涉及现金</w:t>
                    </w:r>
                  </w:p>
                </w:txbxContent>
              </v:textbox>
            </v:shape>
            <v:shape id="_x0000_s1056" type="#_x0000_t202" style="width:876;height:143;left:9559;position:absolute;top:12082"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税金支出预算</w:t>
                    </w:r>
                  </w:p>
                </w:txbxContent>
              </v:textbox>
            </v:shape>
            <v:shape id="_x0000_s1057" type="#_x0000_t202" style="width:876;height:143;left:1647;position:absolute;top:13287"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利润分配预算</w:t>
                    </w:r>
                  </w:p>
                </w:txbxContent>
              </v:textbox>
            </v:shape>
            <v:shape id="_x0000_s1058" type="#_x0000_t202" style="width:876;height:143;left:4340;position:absolute;top:13287"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是否涉及现金</w:t>
                    </w:r>
                  </w:p>
                </w:txbxContent>
              </v:textbox>
            </v:shape>
            <v:shape id="_x0000_s1059" type="#_x0000_t202" style="width:876;height:143;left:9559;position:absolute;top:13287"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股利支出预算</w:t>
                    </w:r>
                  </w:p>
                </w:txbxContent>
              </v:textbox>
            </v:shape>
            <v:shape id="_x0000_s1060" type="#_x0000_t202" style="width:1019;height:143;left:1575;position:absolute;top:14492"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资本性支出预算</w:t>
                    </w:r>
                  </w:p>
                </w:txbxContent>
              </v:textbox>
            </v:shape>
            <v:shape id="_x0000_s1061" type="#_x0000_t202" style="width:591;height:143;left:4483;position:absolute;top:14492"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是否当期</w:t>
                    </w:r>
                  </w:p>
                </w:txbxContent>
              </v:textbox>
            </v:shape>
            <v:shape id="_x0000_s1062" type="#_x0000_t202" style="width:876;height:143;left:9559;position:absolute;top:14492"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资本支出预算</w:t>
                    </w:r>
                  </w:p>
                </w:txbxContent>
              </v:textbox>
            </v:shape>
            <v:shape id="_x0000_s1063" type="#_x0000_t202" style="width:876;height:143;left:7033;position:absolute;top:15697"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筹、投资预算</w:t>
                    </w:r>
                  </w:p>
                </w:txbxContent>
              </v:textbox>
            </v:shape>
            <v:shape id="_x0000_s1064" type="#_x0000_t202" style="width:876;height:143;left:9559;position:absolute;top:15697"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归还到期贷款</w:t>
                    </w:r>
                  </w:p>
                </w:txbxContent>
              </v:textbox>
            </v:shape>
            <v:shape id="_x0000_s1065" type="#_x0000_t202" style="width:591;height:143;left:7176;position:absolute;top:17022"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是否盈余</w:t>
                    </w:r>
                  </w:p>
                </w:txbxContent>
              </v:textbox>
            </v:shape>
            <v:shape id="_x0000_s1066" type="#_x0000_t202" style="width:591;height:143;left:11048;position:absolute;top:17022" filled="f" stroked="f">
              <v:textbox inset="0,0,0,0">
                <w:txbxContent>
                  <w:p>
                    <w:pPr>
                      <w:spacing w:before="0" w:line="143" w:lineRule="exact"/>
                      <w:ind w:left="0" w:right="0" w:firstLine="0"/>
                      <w:jc w:val="left"/>
                      <w:rPr>
                        <w:rFonts w:ascii="宋体" w:eastAsia="宋体" w:hint="eastAsia"/>
                        <w:sz w:val="14"/>
                      </w:rPr>
                    </w:pPr>
                    <w:r>
                      <w:rPr>
                        <w:rFonts w:ascii="宋体" w:eastAsia="宋体" w:hint="eastAsia"/>
                        <w:sz w:val="14"/>
                      </w:rPr>
                      <w:t>资金余额</w:t>
                    </w:r>
                  </w:p>
                </w:txbxContent>
              </v:textbox>
            </v:shape>
            <w10:wrap type="none"/>
          </v:group>
        </w:pic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8"/>
        <w:ind w:left="0"/>
        <w:rPr>
          <w:sz w:val="20"/>
        </w:rPr>
      </w:pPr>
    </w:p>
    <w:p>
      <w:pPr>
        <w:pStyle w:val="BodyText"/>
        <w:spacing w:before="32"/>
      </w:pPr>
      <w:r>
        <w:t>企业各部门财务预算编制程序图：</w:t>
      </w:r>
    </w:p>
    <w:p>
      <w:pPr>
        <w:pStyle w:val="BodyText"/>
        <w:spacing w:before="320"/>
      </w:pPr>
      <w:r>
        <w:t>（附例采购基准价格、销售基准价格制定流程图）</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1" w:history="1">
        <w:r>
          <w:rPr>
            <w:rFonts w:ascii="SimSun" w:eastAsia="SimSun" w:hAnsi="SimSun" w:cs="SimSun"/>
            <w:b/>
            <w:bCs/>
            <w:color w:val="0000EE"/>
            <w:sz w:val="30"/>
            <w:szCs w:val="30"/>
            <w:u w:val="single" w:color="0000EE"/>
          </w:rPr>
          <w:t>https://d.book118.com/346121210220010100</w:t>
        </w:r>
      </w:hyperlink>
    </w:p>
    <w:p>
      <w:pPr>
        <w:spacing w:after="0"/>
      </w:pPr>
    </w:p>
    <w:sectPr>
      <w:pgSz w:w="17860" w:h="25260"/>
      <w:pgMar w:top="1840" w:right="2040" w:bottom="280" w:left="2040" w:header="708" w:footer="708"/>
      <w:pgNumType w:start="10"/>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新宋体">
    <w:altName w:val="新宋体"/>
    <w:charset w:val="86"/>
    <w:family w:val="modern"/>
    <w:pitch w:val="fixed"/>
    <w:sig w:usb0="00000000" w:usb1="00000000" w:usb2="00000000" w:usb3="00000000" w:csb0="00040000" w:csb1="00000000"/>
  </w:font>
  <w:font w:name="华文仿宋">
    <w:altName w:val="华文仿宋"/>
    <w:charset w:val="86"/>
    <w:family w:val="auto"/>
    <w:pitch w:val="variable"/>
    <w:sig w:usb0="00000000" w:usb1="00000000" w:usb2="00000000" w:usb3="00000000" w:csb0="00040000" w:csb1="00000000"/>
  </w:font>
  <w:font w:name="Gill Sans MT">
    <w:altName w:val="Gill Sans MT"/>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新宋体" w:eastAsia="新宋体" w:hAnsi="新宋体" w:cs="新宋体"/>
    </w:rPr>
  </w:style>
  <w:style w:type="paragraph" w:styleId="Heading1">
    <w:name w:val="heading 1"/>
    <w:basedOn w:val="Normal"/>
    <w:uiPriority w:val="1"/>
    <w:qFormat/>
    <w:pPr>
      <w:spacing w:before="321"/>
      <w:ind w:left="1920"/>
      <w:outlineLvl w:val="0"/>
    </w:pPr>
    <w:rPr>
      <w:rFonts w:ascii="新宋体" w:eastAsia="新宋体" w:hAnsi="新宋体" w:cs="新宋体"/>
      <w:b/>
      <w:bCs/>
      <w:sz w:val="48"/>
      <w:szCs w:val="48"/>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321"/>
      <w:ind w:left="660"/>
    </w:pPr>
    <w:rPr>
      <w:rFonts w:ascii="新宋体" w:eastAsia="新宋体" w:hAnsi="新宋体" w:cs="新宋体"/>
      <w:sz w:val="48"/>
      <w:szCs w:val="48"/>
    </w:rPr>
  </w:style>
  <w:style w:type="paragraph" w:styleId="Title">
    <w:name w:val="Title"/>
    <w:basedOn w:val="Normal"/>
    <w:uiPriority w:val="1"/>
    <w:qFormat/>
    <w:pPr>
      <w:ind w:left="36" w:right="38"/>
      <w:jc w:val="center"/>
    </w:pPr>
    <w:rPr>
      <w:rFonts w:ascii="华文仿宋" w:eastAsia="华文仿宋" w:hAnsi="华文仿宋" w:cs="华文仿宋"/>
      <w:b/>
      <w:bCs/>
      <w:sz w:val="108"/>
      <w:szCs w:val="10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60"/>
      <w:ind w:left="50"/>
    </w:pPr>
    <w:rPr>
      <w:rFonts w:ascii="新宋体" w:eastAsia="新宋体" w:hAnsi="新宋体" w:cs="新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hyperlink" Target="https://d.book118.com/346121210220010100" TargetMode="Externa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2024-02-29T21:46:53Z</dcterms:created>
  <dcterms:modified xsi:type="dcterms:W3CDTF">2024-02-29T21:46:53Z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2022-12-14T00:00:00Z</vt:filetime>
  </property>
  <property fmtid="{D5CDD505-2E9C-101B-9397-08002B2CF9AE}" pid="3" name="LastSaved">
    <vt:filetime>2024-02-29T00:00:00Z</vt:filetime>
  </property>
</Properties>
</file>