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53" w:line="188" w:lineRule="auto"/>
        <w:ind w:left="7685"/>
        <w:outlineLvl w:val="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HJ</w:t>
      </w:r>
      <w:r>
        <w:rPr>
          <w:rFonts w:ascii="Times New Roman" w:eastAsia="Times New Roman" w:hAnsi="Times New Roman" w:cs="Times New Roman"/>
          <w:b/>
          <w:bCs/>
          <w:spacing w:val="26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1334</w:t>
      </w:r>
      <w:r>
        <w:rPr>
          <w:spacing w:val="-3"/>
          <w:sz w:val="24"/>
          <w:szCs w:val="24"/>
        </w:rPr>
        <w:t>—</w:t>
      </w:r>
      <w:r>
        <w:rPr>
          <w:rFonts w:ascii="Arial" w:eastAsia="Arial" w:hAnsi="Arial" w:cs="Arial"/>
          <w:spacing w:val="-3"/>
          <w:sz w:val="24"/>
          <w:szCs w:val="24"/>
        </w:rPr>
        <w:t>2023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271" w:lineRule="auto"/>
        <w:ind w:left="1886" w:right="738" w:hanging="1197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9"/>
          <w:sz w:val="31"/>
          <w:szCs w:val="31"/>
        </w:rPr>
        <w:t>土壤和沉积物</w:t>
      </w:r>
      <w:r>
        <w:rPr>
          <w:rFonts w:ascii="SimHei" w:eastAsia="SimHei" w:hAnsi="SimHei" w:cs="SimHei"/>
          <w:spacing w:val="9"/>
          <w:sz w:val="31"/>
          <w:szCs w:val="31"/>
        </w:rPr>
        <w:t xml:space="preserve">  </w:t>
      </w:r>
      <w:r>
        <w:rPr>
          <w:rFonts w:ascii="SimHei" w:eastAsia="SimHei" w:hAnsi="SimHei" w:cs="SimHei"/>
          <w:spacing w:val="9"/>
          <w:sz w:val="31"/>
          <w:szCs w:val="31"/>
        </w:rPr>
        <w:t>全氟辛基磺酸和全氟辛酸及其盐类的测定</w:t>
      </w:r>
      <w:r>
        <w:rPr>
          <w:rFonts w:ascii="SimHei" w:eastAsia="SimHei" w:hAnsi="SimHei" w:cs="SimHei"/>
          <w:spacing w:val="1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7"/>
          <w:sz w:val="31"/>
          <w:szCs w:val="31"/>
        </w:rPr>
        <w:t>同位素稀释</w:t>
      </w:r>
      <w:r>
        <w:rPr>
          <w:rFonts w:ascii="Arial" w:eastAsia="Arial" w:hAnsi="Arial" w:cs="Arial"/>
          <w:spacing w:val="7"/>
          <w:sz w:val="31"/>
          <w:szCs w:val="31"/>
        </w:rPr>
        <w:t>/</w:t>
      </w:r>
      <w:r>
        <w:rPr>
          <w:rFonts w:ascii="SimHei" w:eastAsia="SimHei" w:hAnsi="SimHei" w:cs="SimHei"/>
          <w:spacing w:val="7"/>
          <w:sz w:val="31"/>
          <w:szCs w:val="31"/>
        </w:rPr>
        <w:t>液相色谱</w:t>
      </w:r>
      <w:r>
        <w:rPr>
          <w:rFonts w:ascii="Arial" w:eastAsia="Arial" w:hAnsi="Arial" w:cs="Arial"/>
          <w:spacing w:val="7"/>
          <w:sz w:val="31"/>
          <w:szCs w:val="31"/>
        </w:rPr>
        <w:t>-</w:t>
      </w:r>
      <w:r>
        <w:rPr>
          <w:rFonts w:ascii="SimHei" w:eastAsia="SimHei" w:hAnsi="SimHei" w:cs="SimHei"/>
          <w:spacing w:val="7"/>
          <w:sz w:val="31"/>
          <w:szCs w:val="31"/>
        </w:rPr>
        <w:t>三重四极杆质谱法</w:t>
      </w:r>
    </w:p>
    <w:p>
      <w:pPr>
        <w:spacing w:line="380" w:lineRule="auto"/>
        <w:rPr>
          <w:rFonts w:ascii="Arial"/>
          <w:sz w:val="21"/>
        </w:rPr>
      </w:pPr>
    </w:p>
    <w:p>
      <w:pPr>
        <w:spacing w:before="65" w:line="255" w:lineRule="auto"/>
        <w:ind w:left="6" w:right="61" w:firstLine="420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警告：实验中使用的试剂和标准溶液为有毒有害物质，</w:t>
      </w:r>
      <w:r>
        <w:rPr>
          <w:rFonts w:ascii="SimHei" w:eastAsia="SimHei" w:hAnsi="SimHei" w:cs="SimHei"/>
          <w:spacing w:val="7"/>
          <w:sz w:val="20"/>
          <w:szCs w:val="20"/>
        </w:rPr>
        <w:t>溶液配制和样品前处理过程应在通风橱内操</w:t>
      </w:r>
      <w:r>
        <w:rPr>
          <w:rFonts w:ascii="SimHei" w:eastAsia="SimHei" w:hAnsi="SimHei" w:cs="SimHei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9"/>
          <w:sz w:val="20"/>
          <w:szCs w:val="20"/>
        </w:rPr>
        <w:t>作，按要求佩戴防护器具，避免吸入呼吸道或接触皮肤和衣物。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65" w:line="231" w:lineRule="auto"/>
        <w:ind w:left="19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1</w:t>
      </w:r>
      <w:r>
        <w:rPr>
          <w:rFonts w:ascii="SimHei" w:eastAsia="SimHei" w:hAnsi="SimHei" w:cs="SimHei"/>
          <w:spacing w:val="11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2"/>
          <w:sz w:val="20"/>
          <w:szCs w:val="20"/>
        </w:rPr>
        <w:t>适用范围</w:t>
      </w: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65" w:line="258" w:lineRule="auto"/>
        <w:ind w:left="11" w:right="61" w:firstLine="418"/>
      </w:pPr>
      <w:r>
        <w:rPr>
          <w:spacing w:val="11"/>
        </w:rPr>
        <w:t>本标准规定了测定土壤和沉积物中全氟辛基磺酸及其盐类、全氟辛酸及其盐类的同位</w:t>
      </w:r>
      <w:r>
        <w:rPr>
          <w:spacing w:val="10"/>
        </w:rPr>
        <w:t>素稀释</w:t>
      </w:r>
      <w:r>
        <w:rPr>
          <w:rFonts w:ascii="Times New Roman" w:eastAsia="Times New Roman" w:hAnsi="Times New Roman" w:cs="Times New Roman"/>
          <w:spacing w:val="10"/>
        </w:rPr>
        <w:t>/</w:t>
      </w:r>
      <w:r>
        <w:rPr>
          <w:spacing w:val="10"/>
        </w:rPr>
        <w:t>液相</w:t>
      </w:r>
      <w:r>
        <w:t xml:space="preserve"> </w:t>
      </w:r>
      <w:r>
        <w:rPr>
          <w:spacing w:val="7"/>
        </w:rPr>
        <w:t>色谱</w:t>
      </w:r>
      <w:r>
        <w:rPr>
          <w:rFonts w:ascii="Times New Roman" w:eastAsia="Times New Roman" w:hAnsi="Times New Roman" w:cs="Times New Roman"/>
          <w:spacing w:val="7"/>
        </w:rPr>
        <w:t>-</w:t>
      </w:r>
      <w:r>
        <w:rPr>
          <w:spacing w:val="7"/>
        </w:rPr>
        <w:t>三重四极杆质谱法。</w:t>
      </w:r>
    </w:p>
    <w:p>
      <w:pPr>
        <w:pStyle w:val="BodyText"/>
        <w:spacing w:before="65" w:line="268" w:lineRule="auto"/>
        <w:ind w:right="9" w:firstLine="429"/>
      </w:pPr>
      <w:r>
        <w:rPr>
          <w:spacing w:val="37"/>
        </w:rPr>
        <w:t>本标准适用于土壤和沉积物</w:t>
      </w:r>
      <w:r>
        <w:rPr>
          <w:spacing w:val="-43"/>
        </w:rPr>
        <w:t xml:space="preserve"> </w:t>
      </w:r>
      <w:r>
        <w:rPr>
          <w:spacing w:val="37"/>
        </w:rPr>
        <w:t>中直链全氟辛基磺酸及其盐类（</w:t>
      </w:r>
      <w:r>
        <w:rPr>
          <w:rFonts w:ascii="Times New Roman" w:eastAsia="Times New Roman" w:hAnsi="Times New Roman" w:cs="Times New Roman"/>
        </w:rPr>
        <w:t>perfluorooctanesulfonic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rFonts w:ascii="Times New Roman" w:eastAsia="Times New Roman" w:hAnsi="Times New Roman" w:cs="Times New Roman"/>
        </w:rPr>
        <w:t>acid</w:t>
      </w:r>
      <w:r>
        <w:rPr>
          <w:rFonts w:ascii="Times New Roman" w:eastAsia="Times New Roman" w:hAnsi="Times New Roman" w:cs="Times New Roman"/>
          <w:spacing w:val="32"/>
          <w:w w:val="101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and  </w:t>
      </w:r>
      <w:r>
        <w:rPr>
          <w:rFonts w:ascii="Times New Roman" w:eastAsia="Times New Roman" w:hAnsi="Times New Roman" w:cs="Times New Roman"/>
        </w:rPr>
        <w:t>perfluorooctanesulfonate</w:t>
      </w:r>
      <w:r>
        <w:rPr>
          <w:spacing w:val="12"/>
        </w:rPr>
        <w:t>，</w:t>
      </w:r>
      <w:r>
        <w:rPr>
          <w:rFonts w:ascii="Times New Roman" w:eastAsia="Times New Roman" w:hAnsi="Times New Roman" w:cs="Times New Roman"/>
        </w:rPr>
        <w:t>PFOS</w:t>
      </w:r>
      <w:r>
        <w:rPr>
          <w:spacing w:val="12"/>
        </w:rPr>
        <w:t>）、直链全氟辛酸及其盐类（</w:t>
      </w:r>
      <w:r>
        <w:rPr>
          <w:rFonts w:ascii="Times New Roman" w:eastAsia="Times New Roman" w:hAnsi="Times New Roman" w:cs="Times New Roman"/>
        </w:rPr>
        <w:t>perfluorooctanoic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</w:rPr>
        <w:t>acid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</w:rPr>
        <w:t>perfluorooctanoate</w:t>
      </w:r>
      <w:r>
        <w:rPr>
          <w:spacing w:val="12"/>
        </w:rPr>
        <w:t>，</w:t>
      </w:r>
      <w:r>
        <w:rPr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>PFOA</w:t>
      </w:r>
      <w:r>
        <w:rPr>
          <w:spacing w:val="12"/>
        </w:rPr>
        <w:t>）的测定。</w:t>
      </w:r>
    </w:p>
    <w:p>
      <w:pPr>
        <w:pStyle w:val="BodyText"/>
        <w:spacing w:before="63" w:line="266" w:lineRule="auto"/>
        <w:ind w:left="8" w:right="63" w:firstLine="422"/>
      </w:pPr>
      <w:r>
        <w:rPr>
          <w:spacing w:val="6"/>
        </w:rPr>
        <w:t>取样量为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2 g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6"/>
        </w:rPr>
        <w:t>，试样定容体积为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1.0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6"/>
        </w:rPr>
        <w:t>，进样体积为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5.0 μl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</w:t>
      </w:r>
      <w:r>
        <w:rPr>
          <w:spacing w:val="6"/>
        </w:rPr>
        <w:t>时，</w:t>
      </w:r>
      <w:r>
        <w:rPr>
          <w:rFonts w:ascii="Times New Roman" w:eastAsia="Times New Roman" w:hAnsi="Times New Roman" w:cs="Times New Roman"/>
        </w:rPr>
        <w:t>PFOS</w:t>
      </w:r>
      <w:r>
        <w:rPr>
          <w:spacing w:val="6"/>
        </w:rPr>
        <w:t>（以对应酸的浓度计）的方法</w:t>
      </w:r>
      <w:r>
        <w:t xml:space="preserve"> </w:t>
      </w:r>
      <w:r>
        <w:rPr>
          <w:spacing w:val="5"/>
        </w:rPr>
        <w:t>检出限为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0.4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μg/</w:t>
      </w:r>
      <w:r>
        <w:rPr>
          <w:rFonts w:ascii="Times New Roman" w:eastAsia="Times New Roman" w:hAnsi="Times New Roman" w:cs="Times New Roman"/>
        </w:rPr>
        <w:t>kg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5"/>
        </w:rPr>
        <w:t>，测定下限为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1.6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μg/</w:t>
      </w:r>
      <w:r>
        <w:rPr>
          <w:rFonts w:ascii="Times New Roman" w:eastAsia="Times New Roman" w:hAnsi="Times New Roman" w:cs="Times New Roman"/>
        </w:rPr>
        <w:t>kg</w:t>
      </w:r>
      <w:r>
        <w:rPr>
          <w:spacing w:val="5"/>
        </w:rPr>
        <w:t>；</w:t>
      </w:r>
      <w:r>
        <w:rPr>
          <w:rFonts w:ascii="Times New Roman" w:eastAsia="Times New Roman" w:hAnsi="Times New Roman" w:cs="Times New Roman"/>
        </w:rPr>
        <w:t>PFOA</w:t>
      </w:r>
      <w:r>
        <w:rPr>
          <w:spacing w:val="5"/>
        </w:rPr>
        <w:t>（以对应酸的浓度计）的方法检出限为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0.5 μg/</w:t>
      </w:r>
      <w:r>
        <w:rPr>
          <w:rFonts w:ascii="Times New Roman" w:eastAsia="Times New Roman" w:hAnsi="Times New Roman" w:cs="Times New Roman"/>
        </w:rPr>
        <w:t>kg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5"/>
        </w:rPr>
        <w:t>，测</w:t>
      </w:r>
      <w:r>
        <w:t xml:space="preserve"> </w:t>
      </w:r>
      <w:r>
        <w:rPr>
          <w:spacing w:val="4"/>
        </w:rPr>
        <w:t>定下限为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2.0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μg/</w:t>
      </w:r>
      <w:r>
        <w:rPr>
          <w:rFonts w:ascii="Times New Roman" w:eastAsia="Times New Roman" w:hAnsi="Times New Roman" w:cs="Times New Roman"/>
        </w:rPr>
        <w:t>kg</w:t>
      </w:r>
      <w:r>
        <w:rPr>
          <w:spacing w:val="4"/>
        </w:rPr>
        <w:t>。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66" w:line="230" w:lineRule="auto"/>
        <w:ind w:left="6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2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规范性引用文件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66" w:line="257" w:lineRule="auto"/>
        <w:ind w:left="12" w:firstLine="416"/>
      </w:pPr>
      <w:r>
        <w:rPr>
          <w:spacing w:val="9"/>
        </w:rPr>
        <w:t>本标准引用了下列文件或其中的条款。凡是注明日期的引用文件，仅注日期的版本适用于本</w:t>
      </w:r>
      <w:r>
        <w:rPr>
          <w:spacing w:val="8"/>
        </w:rPr>
        <w:t>标准。</w:t>
      </w:r>
      <w:r>
        <w:t xml:space="preserve"> </w:t>
      </w:r>
      <w:r>
        <w:rPr>
          <w:spacing w:val="9"/>
        </w:rPr>
        <w:t>凡是未注日期的引用文件，其最新版本（包括所有的修改单）适用于本标准。</w:t>
      </w:r>
    </w:p>
    <w:p>
      <w:pPr>
        <w:pStyle w:val="BodyText"/>
        <w:spacing w:before="222" w:line="227" w:lineRule="auto"/>
        <w:ind w:left="451"/>
      </w:pP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17378.3         </w:t>
      </w:r>
      <w:r>
        <w:rPr>
          <w:spacing w:val="6"/>
        </w:rPr>
        <w:t>海洋监测规范  第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3 </w:t>
      </w:r>
      <w:r>
        <w:rPr>
          <w:spacing w:val="6"/>
        </w:rPr>
        <w:t>部分：样品采集、贮存与</w:t>
      </w:r>
      <w:r>
        <w:rPr>
          <w:spacing w:val="5"/>
        </w:rPr>
        <w:t>运输</w:t>
      </w:r>
    </w:p>
    <w:p>
      <w:pPr>
        <w:pStyle w:val="BodyText"/>
        <w:spacing w:before="66" w:line="228" w:lineRule="auto"/>
        <w:ind w:left="451"/>
      </w:pP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37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17378.5         </w:t>
      </w:r>
      <w:r>
        <w:rPr>
          <w:spacing w:val="5"/>
        </w:rPr>
        <w:t>海洋监测规范  第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5 </w:t>
      </w:r>
      <w:r>
        <w:rPr>
          <w:spacing w:val="5"/>
        </w:rPr>
        <w:t>部分：沉积物分析</w:t>
      </w:r>
    </w:p>
    <w:p>
      <w:pPr>
        <w:pStyle w:val="BodyText"/>
        <w:spacing w:before="65" w:line="228" w:lineRule="auto"/>
        <w:ind w:left="447"/>
      </w:pPr>
      <w:r>
        <w:rPr>
          <w:rFonts w:ascii="Times New Roman" w:eastAsia="Times New Roman" w:hAnsi="Times New Roman" w:cs="Times New Roman"/>
        </w:rPr>
        <w:t>HJ</w:t>
      </w:r>
      <w:r>
        <w:rPr>
          <w:rFonts w:ascii="Times New Roman" w:eastAsia="Times New Roman" w:hAnsi="Times New Roman" w:cs="Times New Roman"/>
          <w:spacing w:val="8"/>
        </w:rPr>
        <w:t>/T 91</w:t>
      </w:r>
      <w:r>
        <w:rPr>
          <w:rFonts w:ascii="Times New Roman" w:eastAsia="Times New Roman" w:hAnsi="Times New Roman" w:cs="Times New Roman"/>
          <w:spacing w:val="1"/>
        </w:rPr>
        <w:t xml:space="preserve">                </w:t>
      </w:r>
      <w:r>
        <w:rPr>
          <w:spacing w:val="8"/>
        </w:rPr>
        <w:t>地表水和污水监测技术规范</w:t>
      </w:r>
    </w:p>
    <w:p>
      <w:pPr>
        <w:pStyle w:val="BodyText"/>
        <w:spacing w:before="65" w:line="228" w:lineRule="auto"/>
        <w:ind w:left="447"/>
      </w:pPr>
      <w:r>
        <w:rPr>
          <w:rFonts w:ascii="Times New Roman" w:eastAsia="Times New Roman" w:hAnsi="Times New Roman" w:cs="Times New Roman"/>
        </w:rPr>
        <w:t>HJ</w:t>
      </w:r>
      <w:r>
        <w:rPr>
          <w:rFonts w:ascii="Times New Roman" w:eastAsia="Times New Roman" w:hAnsi="Times New Roman" w:cs="Times New Roman"/>
          <w:spacing w:val="6"/>
        </w:rPr>
        <w:t>/T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166</w:t>
      </w:r>
      <w:r>
        <w:rPr>
          <w:rFonts w:ascii="Times New Roman" w:eastAsia="Times New Roman" w:hAnsi="Times New Roman" w:cs="Times New Roman"/>
          <w:spacing w:val="1"/>
        </w:rPr>
        <w:t xml:space="preserve">              </w:t>
      </w:r>
      <w:r>
        <w:rPr>
          <w:spacing w:val="6"/>
        </w:rPr>
        <w:t>土壤环境监测技术规范</w:t>
      </w:r>
    </w:p>
    <w:p>
      <w:pPr>
        <w:pStyle w:val="BodyText"/>
        <w:spacing w:before="65" w:line="228" w:lineRule="auto"/>
        <w:ind w:left="447"/>
      </w:pPr>
      <w:r>
        <w:rPr>
          <w:rFonts w:ascii="Times New Roman" w:eastAsia="Times New Roman" w:hAnsi="Times New Roman" w:cs="Times New Roman"/>
        </w:rPr>
        <w:t>HJ</w:t>
      </w:r>
      <w:r>
        <w:rPr>
          <w:rFonts w:ascii="Times New Roman" w:eastAsia="Times New Roman" w:hAnsi="Times New Roman" w:cs="Times New Roman"/>
          <w:spacing w:val="7"/>
        </w:rPr>
        <w:t xml:space="preserve"> 442.4              </w:t>
      </w:r>
      <w:r>
        <w:rPr>
          <w:spacing w:val="7"/>
        </w:rPr>
        <w:t>近岸海域环境监测技术规范  第四部分  近岸海</w:t>
      </w:r>
      <w:r>
        <w:rPr>
          <w:spacing w:val="6"/>
        </w:rPr>
        <w:t>域沉积物监测</w:t>
      </w:r>
    </w:p>
    <w:p>
      <w:pPr>
        <w:pStyle w:val="BodyText"/>
        <w:spacing w:before="65" w:line="227" w:lineRule="auto"/>
        <w:ind w:left="447"/>
      </w:pPr>
      <w:r>
        <w:rPr>
          <w:rFonts w:ascii="Times New Roman" w:eastAsia="Times New Roman" w:hAnsi="Times New Roman" w:cs="Times New Roman"/>
        </w:rPr>
        <w:t>HJ</w:t>
      </w:r>
      <w:r>
        <w:rPr>
          <w:rFonts w:ascii="Times New Roman" w:eastAsia="Times New Roman" w:hAnsi="Times New Roman" w:cs="Times New Roman"/>
          <w:spacing w:val="5"/>
        </w:rPr>
        <w:t xml:space="preserve"> 613                 </w:t>
      </w:r>
      <w:r>
        <w:rPr>
          <w:spacing w:val="5"/>
        </w:rPr>
        <w:t>土壤</w:t>
      </w:r>
      <w:r>
        <w:rPr>
          <w:spacing w:val="15"/>
        </w:rPr>
        <w:t xml:space="preserve">  </w:t>
      </w:r>
      <w:r>
        <w:rPr>
          <w:spacing w:val="5"/>
        </w:rPr>
        <w:t>干物质和水分的测定</w:t>
      </w:r>
      <w:r>
        <w:rPr>
          <w:spacing w:val="10"/>
        </w:rPr>
        <w:t xml:space="preserve">  </w:t>
      </w:r>
      <w:r>
        <w:rPr>
          <w:spacing w:val="5"/>
        </w:rPr>
        <w:t>重量法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66" w:line="229" w:lineRule="auto"/>
        <w:ind w:left="8"/>
        <w:outlineLvl w:val="0"/>
        <w:rPr>
          <w:rFonts w:ascii="SimHei" w:eastAsia="SimHei" w:hAnsi="SimHei" w:cs="SimHei"/>
          <w:sz w:val="20"/>
          <w:szCs w:val="20"/>
        </w:rPr>
        <w:sectPr>
          <w:footerReference w:type="default" r:id="rId4"/>
          <w:pgSz w:w="11906" w:h="16839"/>
          <w:pgMar w:top="1431" w:right="1215" w:bottom="1320" w:left="1276" w:header="0" w:footer="1141" w:gutter="0"/>
          <w:cols w:space="708"/>
        </w:sectPr>
      </w:pPr>
      <w:r>
        <w:rPr>
          <w:rFonts w:ascii="SimHei" w:eastAsia="SimHei" w:hAnsi="SimHei" w:cs="SimHei"/>
          <w:spacing w:val="4"/>
          <w:sz w:val="20"/>
          <w:szCs w:val="20"/>
        </w:rPr>
        <w:t>3</w:t>
      </w:r>
      <w:r>
        <w:rPr>
          <w:rFonts w:ascii="SimHei" w:eastAsia="SimHei" w:hAnsi="SimHei" w:cs="SimHei"/>
          <w:spacing w:val="11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4"/>
          <w:sz w:val="20"/>
          <w:szCs w:val="20"/>
        </w:rPr>
        <w:t>方法原理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65" w:line="258" w:lineRule="auto"/>
        <w:ind w:left="8" w:right="61" w:firstLine="420"/>
      </w:pPr>
      <w:r>
        <w:rPr>
          <w:spacing w:val="8"/>
        </w:rPr>
        <w:t>土壤和沉积物中的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</w:rPr>
        <w:t>PFOS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8"/>
        </w:rPr>
        <w:t>和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</w:rPr>
        <w:t>PFOA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spacing w:val="8"/>
        </w:rPr>
        <w:t>经甲醇水溶液提取、弱阴离子交换固相萃取柱净化，用液相色谱</w:t>
      </w:r>
      <w:r>
        <w:t xml:space="preserve"> </w:t>
      </w:r>
      <w:r>
        <w:rPr>
          <w:rFonts w:ascii="Times New Roman" w:eastAsia="Times New Roman" w:hAnsi="Times New Roman" w:cs="Times New Roman"/>
          <w:spacing w:val="9"/>
        </w:rPr>
        <w:t>-</w:t>
      </w:r>
      <w:r>
        <w:rPr>
          <w:spacing w:val="9"/>
        </w:rPr>
        <w:t>三重四极杆质谱测定，根据保留时间、特征离子丰度比定性，同位素稀释法定量。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65" w:line="230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4</w:t>
      </w:r>
      <w:r>
        <w:rPr>
          <w:rFonts w:ascii="SimHei" w:eastAsia="SimHei" w:hAnsi="SimHei" w:cs="SimHei"/>
          <w:spacing w:val="11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干扰和消除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66" w:line="257" w:lineRule="auto"/>
        <w:ind w:left="7" w:right="63" w:hanging="5"/>
      </w:pPr>
      <w:r>
        <w:rPr>
          <w:rFonts w:ascii="SimHei" w:eastAsia="SimHei" w:hAnsi="SimHei" w:cs="SimHei"/>
          <w:spacing w:val="10"/>
        </w:rPr>
        <w:t>4.1</w:t>
      </w:r>
      <w:r>
        <w:rPr>
          <w:rFonts w:ascii="SimHei" w:eastAsia="SimHei" w:hAnsi="SimHei" w:cs="SimHei"/>
          <w:spacing w:val="10"/>
        </w:rPr>
        <w:t xml:space="preserve">  </w:t>
      </w:r>
      <w:r>
        <w:rPr>
          <w:spacing w:val="10"/>
        </w:rPr>
        <w:t>分析过程中含氟聚合物（如聚四氟乙烯）</w:t>
      </w:r>
      <w:r>
        <w:rPr>
          <w:spacing w:val="9"/>
        </w:rPr>
        <w:t>的使用可能对测定产生干扰，样品采集和前处理过程中</w:t>
      </w:r>
      <w:r>
        <w:t xml:space="preserve"> </w:t>
      </w:r>
      <w:r>
        <w:rPr>
          <w:spacing w:val="8"/>
        </w:rPr>
        <w:t>应避免使用含氟聚合物材质的器皿。</w:t>
      </w:r>
    </w:p>
    <w:p>
      <w:pPr>
        <w:pStyle w:val="BodyText"/>
        <w:spacing w:before="66" w:line="227" w:lineRule="auto"/>
        <w:ind w:left="2"/>
      </w:pPr>
      <w:r>
        <w:rPr>
          <w:rFonts w:ascii="SimHei" w:eastAsia="SimHei" w:hAnsi="SimHei" w:cs="SimHei"/>
          <w:spacing w:val="10"/>
        </w:rPr>
        <w:t>4.2</w:t>
      </w:r>
      <w:r>
        <w:rPr>
          <w:rFonts w:ascii="SimHei" w:eastAsia="SimHei" w:hAnsi="SimHei" w:cs="SimHei"/>
          <w:spacing w:val="10"/>
        </w:rPr>
        <w:t xml:space="preserve">  </w:t>
      </w:r>
      <w:r>
        <w:rPr>
          <w:spacing w:val="10"/>
        </w:rPr>
        <w:t>支链异构体可能对测定产生干扰，应优化色谱条件，使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</w:rPr>
        <w:t>PFOS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10"/>
        </w:rPr>
        <w:t>和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</w:rPr>
        <w:t>PFOA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10"/>
        </w:rPr>
        <w:t>直链与支链异构体有效分</w:t>
      </w:r>
    </w:p>
    <w:p>
      <w:pPr>
        <w:spacing w:line="227" w:lineRule="auto"/>
        <w:sectPr>
          <w:footerReference w:type="default" r:id="rId5"/>
          <w:type w:val="nextPage"/>
          <w:pgSz w:w="11906" w:h="16839"/>
          <w:pgMar w:top="1431" w:right="1215" w:bottom="1320" w:left="1276" w:header="0" w:footer="1141" w:gutter="0"/>
          <w:pgNumType w:start="2"/>
          <w:cols w:space="708"/>
          <w:titlePg w:val="0"/>
        </w:sectPr>
      </w:pPr>
    </w:p>
    <w:p>
      <w:pPr>
        <w:pStyle w:val="BodyText"/>
        <w:spacing w:before="53" w:line="188" w:lineRule="auto"/>
        <w:ind w:left="92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HJ</w:t>
      </w:r>
      <w:r>
        <w:rPr>
          <w:rFonts w:ascii="Times New Roman" w:eastAsia="Times New Roman" w:hAnsi="Times New Roman" w:cs="Times New Roman"/>
          <w:b/>
          <w:bCs/>
          <w:spacing w:val="26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1334</w:t>
      </w:r>
      <w:r>
        <w:rPr>
          <w:spacing w:val="-3"/>
          <w:sz w:val="24"/>
          <w:szCs w:val="24"/>
        </w:rPr>
        <w:t>—</w:t>
      </w:r>
      <w:r>
        <w:rPr>
          <w:rFonts w:ascii="Arial" w:eastAsia="Arial" w:hAnsi="Arial" w:cs="Arial"/>
          <w:spacing w:val="-3"/>
          <w:sz w:val="24"/>
          <w:szCs w:val="24"/>
        </w:rPr>
        <w:t>2023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98"/>
      </w:pPr>
      <w:r>
        <w:rPr>
          <w:spacing w:val="10"/>
        </w:rPr>
        <w:t>离。</w:t>
      </w:r>
      <w:r>
        <w:rPr>
          <w:rFonts w:ascii="Times New Roman" w:eastAsia="Times New Roman" w:hAnsi="Times New Roman" w:cs="Times New Roman"/>
        </w:rPr>
        <w:t>PFOS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10"/>
        </w:rPr>
        <w:t>和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</w:rPr>
        <w:t>PFOA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10"/>
        </w:rPr>
        <w:t>直链与支链异构体色谱图参见附</w:t>
      </w:r>
      <w:r>
        <w:rPr>
          <w:spacing w:val="9"/>
        </w:rPr>
        <w:t>录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A</w:t>
      </w:r>
      <w:r>
        <w:rPr>
          <w:spacing w:val="9"/>
        </w:rPr>
        <w:t>。</w:t>
      </w:r>
    </w:p>
    <w:p>
      <w:pPr>
        <w:pStyle w:val="BodyText"/>
        <w:spacing w:before="64" w:line="268" w:lineRule="auto"/>
        <w:ind w:left="97" w:hanging="8"/>
        <w:jc w:val="both"/>
      </w:pPr>
      <w:r>
        <w:rPr>
          <w:rFonts w:ascii="SimHei" w:eastAsia="SimHei" w:hAnsi="SimHei" w:cs="SimHei"/>
          <w:spacing w:val="10"/>
        </w:rPr>
        <w:t>4.3</w:t>
      </w:r>
      <w:r>
        <w:rPr>
          <w:rFonts w:ascii="SimHei" w:eastAsia="SimHei" w:hAnsi="SimHei" w:cs="SimHei"/>
          <w:spacing w:val="10"/>
        </w:rPr>
        <w:t xml:space="preserve">  </w:t>
      </w:r>
      <w:r>
        <w:rPr>
          <w:spacing w:val="10"/>
        </w:rPr>
        <w:t>液相色谱系统可能含有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</w:rPr>
        <w:t>PFOA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10"/>
        </w:rPr>
        <w:t>，可通过使用捕集柱分离样品中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</w:rPr>
        <w:t>PFOA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10"/>
        </w:rPr>
        <w:t>与仪器背景干扰，液相色谱</w:t>
      </w:r>
      <w:r>
        <w:t xml:space="preserve"> </w:t>
      </w:r>
      <w:r>
        <w:rPr>
          <w:spacing w:val="8"/>
        </w:rPr>
        <w:t>系统捕集柱安装位置示意图参见附录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B</w:t>
      </w:r>
      <w:r>
        <w:rPr>
          <w:spacing w:val="8"/>
        </w:rPr>
        <w:t>；也可将液相色谱系统中聚四氟乙烯材质</w:t>
      </w:r>
      <w:r>
        <w:rPr>
          <w:spacing w:val="7"/>
        </w:rPr>
        <w:t>配件更换为聚醚醚酮或</w:t>
      </w:r>
      <w:r>
        <w:t xml:space="preserve"> </w:t>
      </w:r>
      <w:r>
        <w:rPr>
          <w:spacing w:val="6"/>
        </w:rPr>
        <w:t>不锈钢材质。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65" w:line="229" w:lineRule="auto"/>
        <w:ind w:left="90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5</w:t>
      </w:r>
      <w:r>
        <w:rPr>
          <w:rFonts w:ascii="SimHei" w:eastAsia="SimHei" w:hAnsi="SimHei" w:cs="SimHei"/>
          <w:spacing w:val="11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试剂和材料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527"/>
      </w:pPr>
      <w:r>
        <w:rPr>
          <w:spacing w:val="9"/>
        </w:rPr>
        <w:t>除非另有说明，分析时均使用符合国家标准的分析纯试剂，实验用水为不含目标化合物的纯水。</w:t>
      </w:r>
    </w:p>
    <w:p>
      <w:pPr>
        <w:pStyle w:val="BodyText"/>
        <w:spacing w:before="67" w:line="228" w:lineRule="auto"/>
        <w:ind w:left="90"/>
      </w:pPr>
      <w:r>
        <w:rPr>
          <w:rFonts w:ascii="SimHei" w:eastAsia="SimHei" w:hAnsi="SimHei" w:cs="SimHei"/>
          <w:spacing w:val="4"/>
        </w:rPr>
        <w:t>5.1</w:t>
      </w:r>
      <w:r>
        <w:rPr>
          <w:rFonts w:ascii="SimHei" w:eastAsia="SimHei" w:hAnsi="SimHei" w:cs="SimHei"/>
          <w:spacing w:val="21"/>
        </w:rPr>
        <w:t xml:space="preserve">  </w:t>
      </w:r>
      <w:r>
        <w:rPr>
          <w:spacing w:val="4"/>
        </w:rPr>
        <w:t>甲醇（</w:t>
      </w:r>
      <w:r>
        <w:rPr>
          <w:rFonts w:ascii="Times New Roman" w:eastAsia="Times New Roman" w:hAnsi="Times New Roman" w:cs="Times New Roman"/>
        </w:rPr>
        <w:t>CH</w:t>
      </w:r>
      <w:r>
        <w:rPr>
          <w:rFonts w:ascii="Times New Roman" w:eastAsia="Times New Roman" w:hAnsi="Times New Roman" w:cs="Times New Roman"/>
          <w:spacing w:val="4"/>
          <w:position w:val="-1"/>
          <w:sz w:val="13"/>
          <w:szCs w:val="13"/>
        </w:rPr>
        <w:t>3</w:t>
      </w:r>
      <w:r>
        <w:rPr>
          <w:rFonts w:ascii="Times New Roman" w:eastAsia="Times New Roman" w:hAnsi="Times New Roman" w:cs="Times New Roman"/>
        </w:rPr>
        <w:t>OH</w:t>
      </w:r>
      <w:r>
        <w:rPr>
          <w:spacing w:val="21"/>
        </w:rPr>
        <w:t>）：</w:t>
      </w:r>
      <w:r>
        <w:rPr>
          <w:spacing w:val="4"/>
        </w:rPr>
        <w:t>色谱纯。</w:t>
      </w:r>
    </w:p>
    <w:p>
      <w:pPr>
        <w:pStyle w:val="BodyText"/>
        <w:spacing w:before="64" w:line="229" w:lineRule="auto"/>
        <w:ind w:left="90"/>
      </w:pPr>
      <w:r>
        <w:rPr>
          <w:rFonts w:ascii="SimHei" w:eastAsia="SimHei" w:hAnsi="SimHei" w:cs="SimHei"/>
          <w:spacing w:val="6"/>
        </w:rPr>
        <w:t>5.2</w:t>
      </w:r>
      <w:r>
        <w:rPr>
          <w:rFonts w:ascii="SimHei" w:eastAsia="SimHei" w:hAnsi="SimHei" w:cs="SimHei"/>
          <w:spacing w:val="18"/>
        </w:rPr>
        <w:t xml:space="preserve">  </w:t>
      </w:r>
      <w:r>
        <w:rPr>
          <w:spacing w:val="6"/>
        </w:rPr>
        <w:t>乙酸（</w:t>
      </w:r>
      <w:r>
        <w:rPr>
          <w:rFonts w:ascii="Times New Roman" w:eastAsia="Times New Roman" w:hAnsi="Times New Roman" w:cs="Times New Roman"/>
        </w:rPr>
        <w:t>CH</w:t>
      </w:r>
      <w:r>
        <w:rPr>
          <w:rFonts w:ascii="Times New Roman" w:eastAsia="Times New Roman" w:hAnsi="Times New Roman" w:cs="Times New Roman"/>
          <w:spacing w:val="6"/>
          <w:position w:val="-1"/>
          <w:sz w:val="13"/>
          <w:szCs w:val="13"/>
        </w:rPr>
        <w:t>3</w:t>
      </w:r>
      <w:r>
        <w:rPr>
          <w:rFonts w:ascii="Times New Roman" w:eastAsia="Times New Roman" w:hAnsi="Times New Roman" w:cs="Times New Roman"/>
        </w:rPr>
        <w:t>COOH</w:t>
      </w:r>
      <w:r>
        <w:rPr>
          <w:spacing w:val="20"/>
        </w:rPr>
        <w:t>）：</w:t>
      </w:r>
      <w:r>
        <w:rPr>
          <w:spacing w:val="6"/>
        </w:rPr>
        <w:t>色谱纯。</w:t>
      </w:r>
    </w:p>
    <w:p>
      <w:pPr>
        <w:pStyle w:val="BodyText"/>
        <w:spacing w:before="64" w:line="221" w:lineRule="auto"/>
        <w:ind w:left="90"/>
      </w:pPr>
      <w:r>
        <w:rPr>
          <w:rFonts w:ascii="SimHei" w:eastAsia="SimHei" w:hAnsi="SimHei" w:cs="SimHei"/>
          <w:spacing w:val="1"/>
        </w:rPr>
        <w:t>5.3</w:t>
      </w:r>
      <w:r>
        <w:rPr>
          <w:rFonts w:ascii="SimHei" w:eastAsia="SimHei" w:hAnsi="SimHei" w:cs="SimHei"/>
          <w:spacing w:val="1"/>
        </w:rPr>
        <w:t xml:space="preserve">  </w:t>
      </w:r>
      <w:r>
        <w:rPr>
          <w:spacing w:val="1"/>
        </w:rPr>
        <w:t>氨水（</w:t>
      </w:r>
      <w:r>
        <w:rPr>
          <w:rFonts w:ascii="Times New Roman" w:eastAsia="Times New Roman" w:hAnsi="Times New Roman" w:cs="Times New Roman"/>
        </w:rPr>
        <w:t>NH</w:t>
      </w:r>
      <w:r>
        <w:rPr>
          <w:rFonts w:ascii="Times New Roman" w:eastAsia="Times New Roman" w:hAnsi="Times New Roman" w:cs="Times New Roman"/>
          <w:spacing w:val="1"/>
          <w:position w:val="-1"/>
          <w:sz w:val="13"/>
          <w:szCs w:val="13"/>
        </w:rPr>
        <w:t xml:space="preserve">3  </w:t>
      </w:r>
      <w:r>
        <w:rPr>
          <w:spacing w:val="1"/>
        </w:rPr>
        <w:t>·</w:t>
      </w:r>
      <w:r>
        <w:rPr>
          <w:rFonts w:ascii="Times New Roman" w:eastAsia="Times New Roman" w:hAnsi="Times New Roman" w:cs="Times New Roman"/>
          <w:spacing w:val="1"/>
        </w:rPr>
        <w:t>H</w:t>
      </w:r>
      <w:r>
        <w:rPr>
          <w:rFonts w:ascii="Times New Roman" w:eastAsia="Times New Roman" w:hAnsi="Times New Roman" w:cs="Times New Roman"/>
          <w:spacing w:val="1"/>
          <w:position w:val="-1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1"/>
        </w:rPr>
        <w:t>O</w:t>
      </w:r>
      <w:r>
        <w:rPr>
          <w:spacing w:val="18"/>
        </w:rPr>
        <w:t>）：</w:t>
      </w:r>
      <w:r>
        <w:rPr>
          <w:rFonts w:ascii="Times New Roman" w:eastAsia="Times New Roman" w:hAnsi="Times New Roman" w:cs="Times New Roman"/>
          <w:i/>
          <w:iCs/>
          <w:spacing w:val="1"/>
        </w:rPr>
        <w:t>w</w:t>
      </w:r>
      <w:r>
        <w:rPr>
          <w:rFonts w:ascii="Times New Roman" w:eastAsia="Times New Roman" w:hAnsi="Times New Roman" w:cs="Times New Roman"/>
          <w:i/>
          <w:iCs/>
          <w:spacing w:val="-10"/>
        </w:rPr>
        <w:t xml:space="preserve"> </w:t>
      </w:r>
      <w:r>
        <w:rPr>
          <w:spacing w:val="1"/>
        </w:rPr>
        <w:t>∈</w:t>
      </w:r>
      <w:r>
        <w:rPr>
          <w:rFonts w:ascii="Times New Roman" w:eastAsia="Times New Roman" w:hAnsi="Times New Roman" w:cs="Times New Roman"/>
          <w:spacing w:val="1"/>
        </w:rPr>
        <w:t>[25%,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28%]</w:t>
      </w:r>
      <w:r>
        <w:rPr>
          <w:spacing w:val="1"/>
        </w:rPr>
        <w:t>。</w:t>
      </w:r>
    </w:p>
    <w:p>
      <w:pPr>
        <w:pStyle w:val="BodyText"/>
        <w:spacing w:before="72" w:line="228" w:lineRule="auto"/>
        <w:ind w:left="90"/>
      </w:pPr>
      <w:r>
        <w:rPr>
          <w:rFonts w:ascii="SimHei" w:eastAsia="SimHei" w:hAnsi="SimHei" w:cs="SimHei"/>
          <w:spacing w:val="7"/>
        </w:rPr>
        <w:t>5.4</w:t>
      </w:r>
      <w:r>
        <w:rPr>
          <w:rFonts w:ascii="SimHei" w:eastAsia="SimHei" w:hAnsi="SimHei" w:cs="SimHei"/>
          <w:spacing w:val="18"/>
        </w:rPr>
        <w:t xml:space="preserve">  </w:t>
      </w:r>
      <w:r>
        <w:rPr>
          <w:spacing w:val="7"/>
        </w:rPr>
        <w:t>乙酸铵（</w:t>
      </w:r>
      <w:r>
        <w:rPr>
          <w:rFonts w:ascii="Times New Roman" w:eastAsia="Times New Roman" w:hAnsi="Times New Roman" w:cs="Times New Roman"/>
        </w:rPr>
        <w:t>CH</w:t>
      </w:r>
      <w:r>
        <w:rPr>
          <w:rFonts w:ascii="Times New Roman" w:eastAsia="Times New Roman" w:hAnsi="Times New Roman" w:cs="Times New Roman"/>
          <w:spacing w:val="7"/>
          <w:position w:val="-1"/>
          <w:sz w:val="13"/>
          <w:szCs w:val="13"/>
        </w:rPr>
        <w:t>3</w:t>
      </w:r>
      <w:r>
        <w:rPr>
          <w:rFonts w:ascii="Times New Roman" w:eastAsia="Times New Roman" w:hAnsi="Times New Roman" w:cs="Times New Roman"/>
        </w:rPr>
        <w:t>COONH</w:t>
      </w:r>
      <w:r>
        <w:rPr>
          <w:rFonts w:ascii="Times New Roman" w:eastAsia="Times New Roman" w:hAnsi="Times New Roman" w:cs="Times New Roman"/>
          <w:spacing w:val="7"/>
          <w:position w:val="-1"/>
          <w:sz w:val="13"/>
          <w:szCs w:val="13"/>
        </w:rPr>
        <w:t xml:space="preserve">4 </w:t>
      </w:r>
      <w:r>
        <w:rPr>
          <w:spacing w:val="-1"/>
        </w:rPr>
        <w:t>）：</w:t>
      </w:r>
      <w:r>
        <w:rPr>
          <w:spacing w:val="7"/>
        </w:rPr>
        <w:t>优级纯。</w:t>
      </w:r>
    </w:p>
    <w:p>
      <w:pPr>
        <w:pStyle w:val="BodyText"/>
        <w:spacing w:before="65" w:line="228" w:lineRule="auto"/>
        <w:ind w:left="90"/>
      </w:pPr>
      <w:r>
        <w:rPr>
          <w:rFonts w:ascii="SimHei" w:eastAsia="SimHei" w:hAnsi="SimHei" w:cs="SimHei"/>
          <w:spacing w:val="4"/>
        </w:rPr>
        <w:t>5.5</w:t>
      </w:r>
      <w:r>
        <w:rPr>
          <w:rFonts w:ascii="SimHei" w:eastAsia="SimHei" w:hAnsi="SimHei" w:cs="SimHei"/>
          <w:spacing w:val="21"/>
        </w:rPr>
        <w:t xml:space="preserve">  </w:t>
      </w:r>
      <w:r>
        <w:rPr>
          <w:spacing w:val="4"/>
        </w:rPr>
        <w:t>甲醇</w:t>
      </w:r>
      <w:r>
        <w:rPr>
          <w:rFonts w:ascii="Times New Roman" w:eastAsia="Times New Roman" w:hAnsi="Times New Roman" w:cs="Times New Roman"/>
          <w:spacing w:val="4"/>
        </w:rPr>
        <w:t>-</w:t>
      </w:r>
      <w:r>
        <w:rPr>
          <w:spacing w:val="4"/>
        </w:rPr>
        <w:t>水混合溶液。</w:t>
      </w:r>
    </w:p>
    <w:p>
      <w:pPr>
        <w:pStyle w:val="BodyText"/>
        <w:spacing w:before="65" w:line="228" w:lineRule="auto"/>
        <w:ind w:left="517"/>
      </w:pPr>
      <w:r>
        <w:rPr>
          <w:spacing w:val="5"/>
        </w:rPr>
        <w:t>用甲醇（</w:t>
      </w:r>
      <w:r>
        <w:rPr>
          <w:rFonts w:ascii="Times New Roman" w:eastAsia="Times New Roman" w:hAnsi="Times New Roman" w:cs="Times New Roman"/>
          <w:spacing w:val="5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</w:t>
      </w:r>
      <w:r>
        <w:rPr>
          <w:spacing w:val="5"/>
        </w:rPr>
        <w:t>）和水按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</w:t>
      </w:r>
      <w:r>
        <w:rPr>
          <w:spacing w:val="5"/>
        </w:rPr>
        <w:t>:</w:t>
      </w:r>
      <w:r>
        <w:rPr>
          <w:rFonts w:ascii="Times New Roman" w:eastAsia="Times New Roman" w:hAnsi="Times New Roman" w:cs="Times New Roman"/>
          <w:spacing w:val="5"/>
        </w:rPr>
        <w:t>1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</w:t>
      </w:r>
      <w:r>
        <w:rPr>
          <w:spacing w:val="5"/>
        </w:rPr>
        <w:t>的体积比混合，临</w:t>
      </w:r>
      <w:r>
        <w:rPr>
          <w:spacing w:val="4"/>
        </w:rPr>
        <w:t>用现配。</w:t>
      </w:r>
    </w:p>
    <w:p>
      <w:pPr>
        <w:pStyle w:val="BodyText"/>
        <w:spacing w:before="65" w:line="228" w:lineRule="auto"/>
        <w:ind w:left="90"/>
        <w:outlineLvl w:val="1"/>
      </w:pPr>
      <w:r>
        <w:rPr>
          <w:rFonts w:ascii="SimHei" w:eastAsia="SimHei" w:hAnsi="SimHei" w:cs="SimHei"/>
          <w:spacing w:val="4"/>
        </w:rPr>
        <w:t>5.6</w:t>
      </w:r>
      <w:r>
        <w:rPr>
          <w:rFonts w:ascii="SimHei" w:eastAsia="SimHei" w:hAnsi="SimHei" w:cs="SimHei"/>
          <w:spacing w:val="4"/>
        </w:rPr>
        <w:t xml:space="preserve">  </w:t>
      </w:r>
      <w:r>
        <w:rPr>
          <w:spacing w:val="4"/>
        </w:rPr>
        <w:t>氨水</w:t>
      </w:r>
      <w:r>
        <w:rPr>
          <w:rFonts w:ascii="Times New Roman" w:eastAsia="Times New Roman" w:hAnsi="Times New Roman" w:cs="Times New Roman"/>
          <w:spacing w:val="4"/>
        </w:rPr>
        <w:t>-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spacing w:val="4"/>
        </w:rPr>
        <w:t>甲醇混合溶液。</w:t>
      </w:r>
    </w:p>
    <w:p>
      <w:pPr>
        <w:pStyle w:val="BodyText"/>
        <w:spacing w:before="66" w:line="312" w:lineRule="exact"/>
        <w:ind w:left="517"/>
      </w:pPr>
      <w:r>
        <w:rPr>
          <w:spacing w:val="6"/>
          <w:position w:val="7"/>
        </w:rPr>
        <w:t>用氨水（</w:t>
      </w:r>
      <w:r>
        <w:rPr>
          <w:rFonts w:ascii="Times New Roman" w:eastAsia="Times New Roman" w:hAnsi="Times New Roman" w:cs="Times New Roman"/>
          <w:spacing w:val="6"/>
          <w:position w:val="7"/>
        </w:rPr>
        <w:t>5.3</w:t>
      </w:r>
      <w:r>
        <w:rPr>
          <w:spacing w:val="6"/>
          <w:position w:val="7"/>
        </w:rPr>
        <w:t>）和甲醇（</w:t>
      </w:r>
      <w:r>
        <w:rPr>
          <w:rFonts w:ascii="Times New Roman" w:eastAsia="Times New Roman" w:hAnsi="Times New Roman" w:cs="Times New Roman"/>
          <w:spacing w:val="6"/>
          <w:position w:val="7"/>
        </w:rPr>
        <w:t>5.</w:t>
      </w:r>
      <w:r>
        <w:rPr>
          <w:rFonts w:ascii="Times New Roman" w:eastAsia="Times New Roman" w:hAnsi="Times New Roman" w:cs="Times New Roman"/>
          <w:spacing w:val="-25"/>
          <w:position w:val="7"/>
        </w:rPr>
        <w:t xml:space="preserve"> </w:t>
      </w:r>
      <w:r>
        <w:rPr>
          <w:rFonts w:ascii="Times New Roman" w:eastAsia="Times New Roman" w:hAnsi="Times New Roman" w:cs="Times New Roman"/>
          <w:spacing w:val="6"/>
          <w:position w:val="7"/>
        </w:rPr>
        <w:t>1</w:t>
      </w:r>
      <w:r>
        <w:rPr>
          <w:spacing w:val="6"/>
          <w:position w:val="7"/>
        </w:rPr>
        <w:t>）按</w:t>
      </w:r>
      <w:r>
        <w:rPr>
          <w:spacing w:val="-41"/>
          <w:position w:val="7"/>
        </w:rPr>
        <w:t xml:space="preserve"> </w:t>
      </w:r>
      <w:r>
        <w:rPr>
          <w:rFonts w:ascii="Times New Roman" w:eastAsia="Times New Roman" w:hAnsi="Times New Roman" w:cs="Times New Roman"/>
          <w:spacing w:val="6"/>
          <w:position w:val="7"/>
        </w:rPr>
        <w:t>2</w:t>
      </w:r>
      <w:r>
        <w:rPr>
          <w:spacing w:val="6"/>
          <w:position w:val="7"/>
        </w:rPr>
        <w:t>:</w:t>
      </w:r>
      <w:r>
        <w:rPr>
          <w:rFonts w:ascii="Times New Roman" w:eastAsia="Times New Roman" w:hAnsi="Times New Roman" w:cs="Times New Roman"/>
          <w:spacing w:val="6"/>
          <w:position w:val="7"/>
        </w:rPr>
        <w:t>98</w:t>
      </w:r>
      <w:r>
        <w:rPr>
          <w:rFonts w:ascii="Times New Roman" w:eastAsia="Times New Roman" w:hAnsi="Times New Roman" w:cs="Times New Roman"/>
          <w:spacing w:val="30"/>
          <w:position w:val="7"/>
        </w:rPr>
        <w:t xml:space="preserve"> </w:t>
      </w:r>
      <w:r>
        <w:rPr>
          <w:spacing w:val="6"/>
          <w:position w:val="7"/>
        </w:rPr>
        <w:t>的体积比混合，临</w:t>
      </w:r>
      <w:r>
        <w:rPr>
          <w:spacing w:val="5"/>
          <w:position w:val="7"/>
        </w:rPr>
        <w:t>用现配。</w:t>
      </w:r>
    </w:p>
    <w:p>
      <w:pPr>
        <w:pStyle w:val="BodyText"/>
        <w:spacing w:before="1" w:line="220" w:lineRule="auto"/>
        <w:ind w:left="90"/>
      </w:pPr>
      <w:r>
        <w:rPr>
          <w:rFonts w:ascii="SimHei" w:eastAsia="SimHei" w:hAnsi="SimHei" w:cs="SimHei"/>
          <w:spacing w:val="7"/>
        </w:rPr>
        <w:t>5.7</w:t>
      </w:r>
      <w:r>
        <w:rPr>
          <w:rFonts w:ascii="SimHei" w:eastAsia="SimHei" w:hAnsi="SimHei" w:cs="SimHei"/>
          <w:spacing w:val="7"/>
        </w:rPr>
        <w:t xml:space="preserve">  </w:t>
      </w:r>
      <w:r>
        <w:rPr>
          <w:spacing w:val="7"/>
        </w:rPr>
        <w:t>乙酸铵水溶液：</w:t>
      </w:r>
      <w:r>
        <w:rPr>
          <w:rFonts w:ascii="Times New Roman" w:eastAsia="Times New Roman" w:hAnsi="Times New Roman" w:cs="Times New Roman"/>
          <w:i/>
          <w:iCs/>
          <w:spacing w:val="7"/>
        </w:rPr>
        <w:t>c</w:t>
      </w:r>
      <w:r>
        <w:rPr>
          <w:rFonts w:ascii="Times New Roman" w:eastAsia="Times New Roman" w:hAnsi="Times New Roman" w:cs="Times New Roman"/>
          <w:spacing w:val="7"/>
        </w:rPr>
        <w:t>(</w:t>
      </w:r>
      <w:r>
        <w:rPr>
          <w:rFonts w:ascii="Times New Roman" w:eastAsia="Times New Roman" w:hAnsi="Times New Roman" w:cs="Times New Roman"/>
        </w:rPr>
        <w:t>CH</w:t>
      </w:r>
      <w:r>
        <w:rPr>
          <w:rFonts w:ascii="Times New Roman" w:eastAsia="Times New Roman" w:hAnsi="Times New Roman" w:cs="Times New Roman"/>
          <w:spacing w:val="7"/>
          <w:position w:val="-1"/>
          <w:sz w:val="13"/>
          <w:szCs w:val="13"/>
        </w:rPr>
        <w:t>3</w:t>
      </w:r>
      <w:r>
        <w:rPr>
          <w:rFonts w:ascii="Times New Roman" w:eastAsia="Times New Roman" w:hAnsi="Times New Roman" w:cs="Times New Roman"/>
        </w:rPr>
        <w:t>COONH</w:t>
      </w:r>
      <w:r>
        <w:rPr>
          <w:rFonts w:ascii="Times New Roman" w:eastAsia="Times New Roman" w:hAnsi="Times New Roman" w:cs="Times New Roman"/>
          <w:spacing w:val="7"/>
          <w:position w:val="-1"/>
          <w:sz w:val="13"/>
          <w:szCs w:val="13"/>
        </w:rPr>
        <w:t>4</w:t>
      </w:r>
      <w:r>
        <w:rPr>
          <w:rFonts w:ascii="Times New Roman" w:eastAsia="Times New Roman" w:hAnsi="Times New Roman" w:cs="Times New Roman"/>
          <w:spacing w:val="7"/>
        </w:rPr>
        <w:t>)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spacing w:val="7"/>
        </w:rPr>
        <w:t>＝</w:t>
      </w:r>
      <w:r>
        <w:rPr>
          <w:rFonts w:ascii="Times New Roman" w:eastAsia="Times New Roman" w:hAnsi="Times New Roman" w:cs="Times New Roman"/>
          <w:spacing w:val="7"/>
        </w:rPr>
        <w:t xml:space="preserve">2 </w:t>
      </w:r>
      <w:r>
        <w:rPr>
          <w:rFonts w:ascii="Times New Roman" w:eastAsia="Times New Roman" w:hAnsi="Times New Roman" w:cs="Times New Roman"/>
        </w:rPr>
        <w:t>mmol</w:t>
      </w:r>
      <w:r>
        <w:rPr>
          <w:rFonts w:ascii="Times New Roman" w:eastAsia="Times New Roman" w:hAnsi="Times New Roman" w:cs="Times New Roman"/>
          <w:spacing w:val="7"/>
        </w:rPr>
        <w:t>/L</w:t>
      </w:r>
      <w:r>
        <w:rPr>
          <w:spacing w:val="7"/>
        </w:rPr>
        <w:t>。</w:t>
      </w:r>
    </w:p>
    <w:p>
      <w:pPr>
        <w:pStyle w:val="BodyText"/>
        <w:spacing w:before="72" w:line="221" w:lineRule="auto"/>
        <w:ind w:left="514"/>
      </w:pPr>
      <w:r>
        <w:rPr>
          <w:spacing w:val="5"/>
        </w:rPr>
        <w:t>称取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154 </w:t>
      </w:r>
      <w:r>
        <w:rPr>
          <w:rFonts w:ascii="Times New Roman" w:eastAsia="Times New Roman" w:hAnsi="Times New Roman" w:cs="Times New Roman"/>
        </w:rPr>
        <w:t>mg</w:t>
      </w:r>
      <w:r>
        <w:rPr>
          <w:rFonts w:ascii="Times New Roman" w:eastAsia="Times New Roman" w:hAnsi="Times New Roman" w:cs="Times New Roman"/>
          <w:spacing w:val="32"/>
          <w:w w:val="101"/>
        </w:rPr>
        <w:t xml:space="preserve"> </w:t>
      </w:r>
      <w:r>
        <w:rPr>
          <w:spacing w:val="5"/>
        </w:rPr>
        <w:t>乙酸铵（</w:t>
      </w:r>
      <w:r>
        <w:rPr>
          <w:rFonts w:ascii="Times New Roman" w:eastAsia="Times New Roman" w:hAnsi="Times New Roman" w:cs="Times New Roman"/>
          <w:spacing w:val="5"/>
        </w:rPr>
        <w:t>5.4</w:t>
      </w:r>
      <w:r>
        <w:rPr>
          <w:spacing w:val="14"/>
        </w:rPr>
        <w:t>），</w:t>
      </w:r>
      <w:r>
        <w:rPr>
          <w:spacing w:val="5"/>
        </w:rPr>
        <w:t>加入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1000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spacing w:val="5"/>
        </w:rPr>
        <w:t>水，混</w:t>
      </w:r>
      <w:r>
        <w:rPr>
          <w:spacing w:val="4"/>
        </w:rPr>
        <w:t>匀，临用现配。</w:t>
      </w:r>
    </w:p>
    <w:p>
      <w:pPr>
        <w:pStyle w:val="BodyText"/>
        <w:spacing w:before="73" w:line="221" w:lineRule="auto"/>
        <w:ind w:left="90"/>
        <w:outlineLvl w:val="1"/>
      </w:pPr>
      <w:r>
        <w:rPr>
          <w:rFonts w:ascii="SimHei" w:eastAsia="SimHei" w:hAnsi="SimHei" w:cs="SimHei"/>
          <w:spacing w:val="6"/>
        </w:rPr>
        <w:t>5.8</w:t>
      </w:r>
      <w:r>
        <w:rPr>
          <w:rFonts w:ascii="SimHei" w:eastAsia="SimHei" w:hAnsi="SimHei" w:cs="SimHei"/>
          <w:spacing w:val="18"/>
        </w:rPr>
        <w:t xml:space="preserve">  </w:t>
      </w:r>
      <w:r>
        <w:rPr>
          <w:spacing w:val="6"/>
        </w:rPr>
        <w:t>乙酸铵缓冲液：</w:t>
      </w:r>
      <w:r>
        <w:rPr>
          <w:rFonts w:ascii="Times New Roman" w:eastAsia="Times New Roman" w:hAnsi="Times New Roman" w:cs="Times New Roman"/>
        </w:rPr>
        <w:t>pH</w:t>
      </w:r>
      <w:r>
        <w:rPr>
          <w:spacing w:val="6"/>
        </w:rPr>
        <w:t>≈</w:t>
      </w:r>
      <w:r>
        <w:rPr>
          <w:rFonts w:ascii="Times New Roman" w:eastAsia="Times New Roman" w:hAnsi="Times New Roman" w:cs="Times New Roman"/>
          <w:spacing w:val="6"/>
        </w:rPr>
        <w:t>4</w:t>
      </w:r>
      <w:r>
        <w:rPr>
          <w:spacing w:val="6"/>
        </w:rPr>
        <w:t>。</w:t>
      </w:r>
    </w:p>
    <w:p>
      <w:pPr>
        <w:pStyle w:val="BodyText"/>
        <w:spacing w:before="73" w:line="221" w:lineRule="auto"/>
        <w:ind w:left="514"/>
      </w:pPr>
      <w:r>
        <w:rPr>
          <w:spacing w:val="4"/>
        </w:rPr>
        <w:t>称取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387 </w:t>
      </w:r>
      <w:r>
        <w:rPr>
          <w:rFonts w:ascii="Times New Roman" w:eastAsia="Times New Roman" w:hAnsi="Times New Roman" w:cs="Times New Roman"/>
        </w:rPr>
        <w:t>mg</w:t>
      </w:r>
      <w:r>
        <w:rPr>
          <w:rFonts w:ascii="Times New Roman" w:eastAsia="Times New Roman" w:hAnsi="Times New Roman" w:cs="Times New Roman"/>
          <w:spacing w:val="33"/>
        </w:rPr>
        <w:t xml:space="preserve"> </w:t>
      </w:r>
      <w:r>
        <w:rPr>
          <w:spacing w:val="4"/>
        </w:rPr>
        <w:t>乙酸铵（</w:t>
      </w:r>
      <w:r>
        <w:rPr>
          <w:rFonts w:ascii="Times New Roman" w:eastAsia="Times New Roman" w:hAnsi="Times New Roman" w:cs="Times New Roman"/>
          <w:spacing w:val="4"/>
        </w:rPr>
        <w:t>5.4</w:t>
      </w:r>
      <w:r>
        <w:rPr>
          <w:spacing w:val="14"/>
        </w:rPr>
        <w:t>），</w:t>
      </w:r>
      <w:r>
        <w:rPr>
          <w:spacing w:val="4"/>
        </w:rPr>
        <w:t>加入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1.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143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33"/>
          <w:w w:val="101"/>
        </w:rPr>
        <w:t xml:space="preserve"> </w:t>
      </w:r>
      <w:r>
        <w:rPr>
          <w:spacing w:val="4"/>
        </w:rPr>
        <w:t>乙酸（</w:t>
      </w:r>
      <w:r>
        <w:rPr>
          <w:rFonts w:ascii="Times New Roman" w:eastAsia="Times New Roman" w:hAnsi="Times New Roman" w:cs="Times New Roman"/>
          <w:spacing w:val="4"/>
        </w:rPr>
        <w:t>5.2</w:t>
      </w:r>
      <w:r>
        <w:rPr>
          <w:spacing w:val="4"/>
        </w:rPr>
        <w:t>）、</w:t>
      </w:r>
      <w:r>
        <w:rPr>
          <w:rFonts w:ascii="Times New Roman" w:eastAsia="Times New Roman" w:hAnsi="Times New Roman" w:cs="Times New Roman"/>
          <w:spacing w:val="4"/>
        </w:rPr>
        <w:t xml:space="preserve">1000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spacing w:val="3"/>
        </w:rPr>
        <w:t>水，混匀。</w:t>
      </w:r>
    </w:p>
    <w:p>
      <w:pPr>
        <w:pStyle w:val="BodyText"/>
        <w:spacing w:before="72" w:line="221" w:lineRule="auto"/>
        <w:ind w:left="90"/>
        <w:outlineLvl w:val="1"/>
      </w:pPr>
      <w:r>
        <w:rPr>
          <w:rFonts w:ascii="SimHei" w:eastAsia="SimHei" w:hAnsi="SimHei" w:cs="SimHei"/>
          <w:spacing w:val="8"/>
        </w:rPr>
        <w:t>5.9</w:t>
      </w:r>
      <w:r>
        <w:rPr>
          <w:rFonts w:ascii="SimHei" w:eastAsia="SimHei" w:hAnsi="SimHei" w:cs="SimHei"/>
          <w:spacing w:val="8"/>
        </w:rPr>
        <w:t xml:space="preserve">  </w:t>
      </w:r>
      <w:r>
        <w:rPr>
          <w:rFonts w:ascii="Times New Roman" w:eastAsia="Times New Roman" w:hAnsi="Times New Roman" w:cs="Times New Roman"/>
        </w:rPr>
        <w:t>PFOS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spacing w:val="8"/>
        </w:rPr>
        <w:t>标准贮备液：</w:t>
      </w:r>
      <w:r>
        <w:rPr>
          <w:rFonts w:ascii="Times New Roman" w:eastAsia="Times New Roman" w:hAnsi="Times New Roman" w:cs="Times New Roman"/>
          <w:i/>
          <w:iCs/>
          <w:spacing w:val="8"/>
        </w:rPr>
        <w:t>ρ</w:t>
      </w:r>
      <w:r>
        <w:rPr>
          <w:rFonts w:ascii="Times New Roman" w:eastAsia="Times New Roman" w:hAnsi="Times New Roman" w:cs="Times New Roman"/>
          <w:i/>
          <w:iCs/>
          <w:spacing w:val="-14"/>
        </w:rPr>
        <w:t xml:space="preserve"> </w:t>
      </w:r>
      <w:r>
        <w:rPr>
          <w:spacing w:val="8"/>
        </w:rPr>
        <w:t>=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50.0 μg/</w:t>
      </w:r>
      <w:r>
        <w:rPr>
          <w:rFonts w:ascii="Times New Roman" w:eastAsia="Times New Roman" w:hAnsi="Times New Roman" w:cs="Times New Roman"/>
        </w:rPr>
        <w:t>ml</w:t>
      </w:r>
      <w:r>
        <w:rPr>
          <w:spacing w:val="8"/>
        </w:rPr>
        <w:t>。</w:t>
      </w:r>
    </w:p>
    <w:p>
      <w:pPr>
        <w:pStyle w:val="BodyText"/>
        <w:spacing w:before="73" w:line="227" w:lineRule="auto"/>
        <w:ind w:left="521"/>
      </w:pPr>
      <w:r>
        <w:rPr>
          <w:spacing w:val="9"/>
        </w:rPr>
        <w:t>市售有证标准溶液，按照标准溶液证书要求保存，使用前应恢复至室温并摇匀。</w:t>
      </w:r>
    </w:p>
    <w:p>
      <w:pPr>
        <w:pStyle w:val="BodyText"/>
        <w:spacing w:before="66" w:line="221" w:lineRule="auto"/>
        <w:ind w:left="90"/>
        <w:outlineLvl w:val="1"/>
      </w:pPr>
      <w:r>
        <w:rPr>
          <w:rFonts w:ascii="SimHei" w:eastAsia="SimHei" w:hAnsi="SimHei" w:cs="SimHei"/>
          <w:spacing w:val="7"/>
        </w:rPr>
        <w:t>5.10</w:t>
      </w:r>
      <w:r>
        <w:rPr>
          <w:rFonts w:ascii="SimHei" w:eastAsia="SimHei" w:hAnsi="SimHei" w:cs="SimHei"/>
          <w:spacing w:val="7"/>
        </w:rPr>
        <w:t xml:space="preserve">  </w:t>
      </w:r>
      <w:r>
        <w:rPr>
          <w:rFonts w:ascii="Times New Roman" w:eastAsia="Times New Roman" w:hAnsi="Times New Roman" w:cs="Times New Roman"/>
        </w:rPr>
        <w:t>PFOS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标准使用液：</w:t>
      </w:r>
      <w:r>
        <w:rPr>
          <w:rFonts w:ascii="Times New Roman" w:eastAsia="Times New Roman" w:hAnsi="Times New Roman" w:cs="Times New Roman"/>
          <w:i/>
          <w:iCs/>
          <w:spacing w:val="7"/>
        </w:rPr>
        <w:t>ρ</w:t>
      </w:r>
      <w:r>
        <w:rPr>
          <w:rFonts w:ascii="Times New Roman" w:eastAsia="Times New Roman" w:hAnsi="Times New Roman" w:cs="Times New Roman"/>
          <w:i/>
          <w:iCs/>
          <w:spacing w:val="-15"/>
        </w:rPr>
        <w:t xml:space="preserve"> </w:t>
      </w:r>
      <w:r>
        <w:rPr>
          <w:spacing w:val="7"/>
        </w:rPr>
        <w:t>=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1.00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μg/</w:t>
      </w:r>
      <w:r>
        <w:rPr>
          <w:rFonts w:ascii="Times New Roman" w:eastAsia="Times New Roman" w:hAnsi="Times New Roman" w:cs="Times New Roman"/>
        </w:rPr>
        <w:t>ml</w:t>
      </w:r>
      <w:r>
        <w:rPr>
          <w:spacing w:val="7"/>
        </w:rPr>
        <w:t>。</w:t>
      </w:r>
    </w:p>
    <w:p>
      <w:pPr>
        <w:pStyle w:val="BodyText"/>
        <w:spacing w:before="72" w:line="258" w:lineRule="auto"/>
        <w:ind w:left="97" w:right="2" w:firstLine="419"/>
      </w:pPr>
      <w:r>
        <w:rPr>
          <w:spacing w:val="6"/>
        </w:rPr>
        <w:t>移取适量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</w:rPr>
        <w:t>PFOS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6"/>
        </w:rPr>
        <w:t>标准贮备液（</w:t>
      </w:r>
      <w:r>
        <w:rPr>
          <w:rFonts w:ascii="Times New Roman" w:eastAsia="Times New Roman" w:hAnsi="Times New Roman" w:cs="Times New Roman"/>
          <w:spacing w:val="6"/>
        </w:rPr>
        <w:t>5.9</w:t>
      </w:r>
      <w:r>
        <w:rPr>
          <w:spacing w:val="2"/>
        </w:rPr>
        <w:t>），</w:t>
      </w:r>
      <w:r>
        <w:rPr>
          <w:spacing w:val="6"/>
        </w:rPr>
        <w:t>用甲醇（</w:t>
      </w:r>
      <w:r>
        <w:rPr>
          <w:rFonts w:ascii="Times New Roman" w:eastAsia="Times New Roman" w:hAnsi="Times New Roman" w:cs="Times New Roman"/>
          <w:spacing w:val="6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</w:t>
      </w:r>
      <w:r>
        <w:rPr>
          <w:spacing w:val="6"/>
        </w:rPr>
        <w:t>）稀释，</w:t>
      </w:r>
      <w:r>
        <w:rPr>
          <w:rFonts w:ascii="Times New Roman" w:eastAsia="Times New Roman" w:hAnsi="Times New Roman" w:cs="Times New Roman"/>
        </w:rPr>
        <w:t>PFOS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spacing w:val="6"/>
        </w:rPr>
        <w:t>标准使用液密封</w:t>
      </w:r>
      <w:r>
        <w:rPr>
          <w:spacing w:val="5"/>
        </w:rPr>
        <w:t>、避光，</w:t>
      </w:r>
      <w:r>
        <w:rPr>
          <w:rFonts w:ascii="Times New Roman" w:eastAsia="Times New Roman" w:hAnsi="Times New Roman" w:cs="Times New Roman"/>
          <w:spacing w:val="5"/>
        </w:rPr>
        <w:t>4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spacing w:val="5"/>
        </w:rPr>
        <w:t>℃以下</w:t>
      </w:r>
      <w:r>
        <w:t xml:space="preserve"> </w:t>
      </w:r>
      <w:r>
        <w:rPr>
          <w:spacing w:val="4"/>
        </w:rPr>
        <w:t>冷藏可保存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60 d</w:t>
      </w:r>
      <w:r>
        <w:rPr>
          <w:spacing w:val="4"/>
        </w:rPr>
        <w:t>。</w:t>
      </w:r>
    </w:p>
    <w:p>
      <w:pPr>
        <w:pStyle w:val="BodyText"/>
        <w:spacing w:before="65" w:line="221" w:lineRule="auto"/>
        <w:ind w:left="90"/>
        <w:outlineLvl w:val="1"/>
      </w:pPr>
      <w:r>
        <w:rPr>
          <w:rFonts w:ascii="SimHei" w:eastAsia="SimHei" w:hAnsi="SimHei" w:cs="SimHei"/>
          <w:spacing w:val="10"/>
        </w:rPr>
        <w:t>5.11</w:t>
      </w:r>
      <w:r>
        <w:rPr>
          <w:rFonts w:ascii="SimHei" w:eastAsia="SimHei" w:hAnsi="SimHei" w:cs="SimHei"/>
          <w:spacing w:val="10"/>
        </w:rPr>
        <w:t xml:space="preserve">  </w:t>
      </w:r>
      <w:r>
        <w:rPr>
          <w:rFonts w:ascii="Times New Roman" w:eastAsia="Times New Roman" w:hAnsi="Times New Roman" w:cs="Times New Roman"/>
        </w:rPr>
        <w:t>PFOA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10"/>
        </w:rPr>
        <w:t>标准贮备液：</w:t>
      </w:r>
      <w:r>
        <w:rPr>
          <w:rFonts w:ascii="Times New Roman" w:eastAsia="Times New Roman" w:hAnsi="Times New Roman" w:cs="Times New Roman"/>
          <w:i/>
          <w:iCs/>
          <w:spacing w:val="10"/>
        </w:rPr>
        <w:t>ρ</w:t>
      </w:r>
      <w:r>
        <w:rPr>
          <w:rFonts w:ascii="Times New Roman" w:eastAsia="Times New Roman" w:hAnsi="Times New Roman" w:cs="Times New Roman"/>
          <w:i/>
          <w:iCs/>
          <w:spacing w:val="-21"/>
        </w:rPr>
        <w:t xml:space="preserve"> </w:t>
      </w:r>
      <w:r>
        <w:rPr>
          <w:spacing w:val="10"/>
        </w:rPr>
        <w:t>=</w:t>
      </w:r>
      <w:r>
        <w:rPr>
          <w:rFonts w:ascii="Times New Roman" w:eastAsia="Times New Roman" w:hAnsi="Times New Roman" w:cs="Times New Roman"/>
          <w:spacing w:val="10"/>
        </w:rPr>
        <w:t>50.0 μg</w:t>
      </w:r>
      <w:r>
        <w:rPr>
          <w:rFonts w:ascii="Times New Roman" w:eastAsia="Times New Roman" w:hAnsi="Times New Roman" w:cs="Times New Roman"/>
          <w:spacing w:val="9"/>
        </w:rPr>
        <w:t>/</w:t>
      </w:r>
      <w:r>
        <w:rPr>
          <w:rFonts w:ascii="Times New Roman" w:eastAsia="Times New Roman" w:hAnsi="Times New Roman" w:cs="Times New Roman"/>
        </w:rPr>
        <w:t>ml</w:t>
      </w:r>
      <w:r>
        <w:rPr>
          <w:spacing w:val="9"/>
        </w:rPr>
        <w:t>。</w:t>
      </w:r>
    </w:p>
    <w:p>
      <w:pPr>
        <w:pStyle w:val="BodyText"/>
        <w:spacing w:before="73" w:line="227" w:lineRule="auto"/>
        <w:ind w:left="521"/>
      </w:pPr>
      <w:r>
        <w:rPr>
          <w:spacing w:val="9"/>
        </w:rPr>
        <w:t>市售有证标准溶液，按照标准溶液证书要求保存，使用前应恢复至室温并摇匀。</w:t>
      </w:r>
    </w:p>
    <w:p>
      <w:pPr>
        <w:pStyle w:val="BodyText"/>
        <w:spacing w:before="66" w:line="221" w:lineRule="auto"/>
        <w:ind w:left="90"/>
        <w:outlineLvl w:val="1"/>
      </w:pPr>
      <w:r>
        <w:rPr>
          <w:rFonts w:ascii="SimHei" w:eastAsia="SimHei" w:hAnsi="SimHei" w:cs="SimHei"/>
          <w:spacing w:val="7"/>
        </w:rPr>
        <w:t>5.12</w:t>
      </w:r>
      <w:r>
        <w:rPr>
          <w:rFonts w:ascii="SimHei" w:eastAsia="SimHei" w:hAnsi="SimHei" w:cs="SimHei"/>
          <w:spacing w:val="7"/>
        </w:rPr>
        <w:t xml:space="preserve">  </w:t>
      </w:r>
      <w:r>
        <w:rPr>
          <w:rFonts w:ascii="Times New Roman" w:eastAsia="Times New Roman" w:hAnsi="Times New Roman" w:cs="Times New Roman"/>
        </w:rPr>
        <w:t>PFOA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标准使用液：</w:t>
      </w:r>
      <w:r>
        <w:rPr>
          <w:rFonts w:ascii="Times New Roman" w:eastAsia="Times New Roman" w:hAnsi="Times New Roman" w:cs="Times New Roman"/>
          <w:i/>
          <w:iCs/>
          <w:spacing w:val="7"/>
        </w:rPr>
        <w:t>ρ</w:t>
      </w:r>
      <w:r>
        <w:rPr>
          <w:rFonts w:ascii="Times New Roman" w:eastAsia="Times New Roman" w:hAnsi="Times New Roman" w:cs="Times New Roman"/>
          <w:i/>
          <w:iCs/>
          <w:spacing w:val="-4"/>
        </w:rPr>
        <w:t xml:space="preserve"> </w:t>
      </w:r>
      <w:r>
        <w:rPr>
          <w:spacing w:val="7"/>
        </w:rPr>
        <w:t>=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1.00 μg/</w:t>
      </w:r>
      <w:r>
        <w:rPr>
          <w:rFonts w:ascii="Times New Roman" w:eastAsia="Times New Roman" w:hAnsi="Times New Roman" w:cs="Times New Roman"/>
        </w:rPr>
        <w:t>ml</w:t>
      </w:r>
      <w:r>
        <w:rPr>
          <w:spacing w:val="7"/>
        </w:rPr>
        <w:t>。</w:t>
      </w:r>
    </w:p>
    <w:p>
      <w:pPr>
        <w:pStyle w:val="BodyText"/>
        <w:spacing w:before="72" w:line="258" w:lineRule="auto"/>
        <w:ind w:left="101" w:firstLine="414"/>
      </w:pPr>
      <w:r>
        <w:rPr>
          <w:spacing w:val="6"/>
        </w:rPr>
        <w:t>移取适量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</w:rPr>
        <w:t>PFOA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6"/>
        </w:rPr>
        <w:t>标准贮备液（</w:t>
      </w:r>
      <w:r>
        <w:rPr>
          <w:rFonts w:ascii="Times New Roman" w:eastAsia="Times New Roman" w:hAnsi="Times New Roman" w:cs="Times New Roman"/>
          <w:spacing w:val="6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11</w:t>
      </w:r>
      <w:r>
        <w:rPr>
          <w:spacing w:val="13"/>
        </w:rPr>
        <w:t>），</w:t>
      </w:r>
      <w:r>
        <w:rPr>
          <w:spacing w:val="6"/>
        </w:rPr>
        <w:t>用甲醇（</w:t>
      </w:r>
      <w:r>
        <w:rPr>
          <w:rFonts w:ascii="Times New Roman" w:eastAsia="Times New Roman" w:hAnsi="Times New Roman" w:cs="Times New Roman"/>
          <w:spacing w:val="6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</w:t>
      </w:r>
      <w:r>
        <w:rPr>
          <w:spacing w:val="6"/>
        </w:rPr>
        <w:t>）稀释，</w:t>
      </w:r>
      <w:r>
        <w:rPr>
          <w:rFonts w:ascii="Times New Roman" w:eastAsia="Times New Roman" w:hAnsi="Times New Roman" w:cs="Times New Roman"/>
        </w:rPr>
        <w:t>PFOA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spacing w:val="6"/>
        </w:rPr>
        <w:t>标准使用液密封、避光，</w:t>
      </w:r>
      <w:r>
        <w:rPr>
          <w:rFonts w:ascii="Times New Roman" w:eastAsia="Times New Roman" w:hAnsi="Times New Roman" w:cs="Times New Roman"/>
          <w:spacing w:val="6"/>
        </w:rPr>
        <w:t xml:space="preserve">4  </w:t>
      </w:r>
      <w:r>
        <w:rPr>
          <w:spacing w:val="6"/>
        </w:rPr>
        <w:t>℃以</w:t>
      </w:r>
      <w:r>
        <w:t xml:space="preserve"> </w:t>
      </w:r>
      <w:r>
        <w:rPr>
          <w:spacing w:val="4"/>
        </w:rPr>
        <w:t>下冷藏可保存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60 d</w:t>
      </w:r>
      <w:r>
        <w:rPr>
          <w:spacing w:val="4"/>
        </w:rPr>
        <w:t>。</w:t>
      </w:r>
    </w:p>
    <w:p>
      <w:pPr>
        <w:pStyle w:val="BodyText"/>
        <w:spacing w:before="66" w:line="221" w:lineRule="auto"/>
        <w:ind w:left="90"/>
        <w:outlineLvl w:val="1"/>
        <w:sectPr>
          <w:footerReference w:type="default" r:id="rId6"/>
          <w:pgSz w:w="11906" w:h="16839"/>
          <w:pgMar w:top="1431" w:right="1276" w:bottom="1320" w:left="1189" w:header="0" w:footer="1141" w:gutter="0"/>
          <w:pgNumType w:start="3"/>
          <w:cols w:space="708"/>
        </w:sectPr>
      </w:pPr>
      <w:r>
        <w:rPr>
          <w:rFonts w:ascii="SimHei" w:eastAsia="SimHei" w:hAnsi="SimHei" w:cs="SimHei"/>
          <w:spacing w:val="9"/>
        </w:rPr>
        <w:t>5.13</w:t>
      </w:r>
      <w:r>
        <w:rPr>
          <w:rFonts w:ascii="SimHei" w:eastAsia="SimHei" w:hAnsi="SimHei" w:cs="SimHei"/>
          <w:spacing w:val="9"/>
        </w:rPr>
        <w:t xml:space="preserve">  </w:t>
      </w:r>
      <w:r>
        <w:rPr>
          <w:spacing w:val="9"/>
        </w:rPr>
        <w:t>提取内标混合贮备液：</w:t>
      </w:r>
      <w:r>
        <w:rPr>
          <w:rFonts w:ascii="Times New Roman" w:eastAsia="Times New Roman" w:hAnsi="Times New Roman" w:cs="Times New Roman"/>
          <w:i/>
          <w:iCs/>
          <w:spacing w:val="9"/>
        </w:rPr>
        <w:t>ρ</w:t>
      </w:r>
      <w:r>
        <w:rPr>
          <w:rFonts w:ascii="Times New Roman" w:eastAsia="Times New Roman" w:hAnsi="Times New Roman" w:cs="Times New Roman"/>
          <w:i/>
          <w:iCs/>
          <w:spacing w:val="-12"/>
        </w:rPr>
        <w:t xml:space="preserve"> </w:t>
      </w:r>
      <w:r>
        <w:rPr>
          <w:spacing w:val="9"/>
        </w:rPr>
        <w:t>=</w:t>
      </w:r>
      <w:r>
        <w:rPr>
          <w:rFonts w:ascii="Times New Roman" w:eastAsia="Times New Roman" w:hAnsi="Times New Roman" w:cs="Times New Roman"/>
          <w:spacing w:val="9"/>
        </w:rPr>
        <w:t>2.00 μg/</w:t>
      </w:r>
      <w:r>
        <w:rPr>
          <w:rFonts w:ascii="Times New Roman" w:eastAsia="Times New Roman" w:hAnsi="Times New Roman" w:cs="Times New Roman"/>
        </w:rPr>
        <w:t>ml</w:t>
      </w:r>
      <w:r>
        <w:rPr>
          <w:spacing w:val="9"/>
        </w:rPr>
        <w:t>。</w:t>
      </w:r>
    </w:p>
    <w:p>
      <w:pPr>
        <w:pStyle w:val="BodyText"/>
        <w:spacing w:before="72" w:line="269" w:lineRule="auto"/>
        <w:ind w:firstLine="516"/>
        <w:jc w:val="both"/>
      </w:pPr>
      <w:r>
        <w:rPr>
          <w:spacing w:val="23"/>
        </w:rPr>
        <w:t>使用碳同位素标记全氟辛基磺酸或其盐类（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23"/>
          <w:position w:val="6"/>
          <w:sz w:val="13"/>
          <w:szCs w:val="13"/>
        </w:rPr>
        <w:t>13</w:t>
      </w:r>
      <w:r>
        <w:rPr>
          <w:rFonts w:ascii="Times New Roman" w:eastAsia="Times New Roman" w:hAnsi="Times New Roman" w:cs="Times New Roman"/>
          <w:spacing w:val="23"/>
        </w:rPr>
        <w:t>C</w:t>
      </w:r>
      <w:r>
        <w:rPr>
          <w:rFonts w:ascii="Times New Roman" w:eastAsia="Times New Roman" w:hAnsi="Times New Roman" w:cs="Times New Roman"/>
          <w:spacing w:val="23"/>
          <w:position w:val="-1"/>
          <w:sz w:val="13"/>
          <w:szCs w:val="13"/>
        </w:rPr>
        <w:t>4</w:t>
      </w:r>
      <w:r>
        <w:rPr>
          <w:rFonts w:ascii="Times New Roman" w:eastAsia="Times New Roman" w:hAnsi="Times New Roman" w:cs="Times New Roman"/>
          <w:spacing w:val="23"/>
        </w:rPr>
        <w:t>-</w:t>
      </w:r>
      <w:r>
        <w:rPr>
          <w:rFonts w:ascii="Times New Roman" w:eastAsia="Times New Roman" w:hAnsi="Times New Roman" w:cs="Times New Roman"/>
        </w:rPr>
        <w:t>PFOS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23"/>
        </w:rPr>
        <w:t>）和碳同位素标</w:t>
      </w:r>
      <w:r>
        <w:rPr>
          <w:spacing w:val="22"/>
        </w:rPr>
        <w:t>记全氟辛酸或其盐类</w:t>
      </w:r>
      <w:r>
        <w:t xml:space="preserve"> </w:t>
      </w:r>
      <w:r>
        <w:rPr>
          <w:spacing w:val="7"/>
        </w:rPr>
        <w:t>（</w:t>
      </w:r>
      <w:r>
        <w:rPr>
          <w:rFonts w:ascii="Times New Roman" w:eastAsia="Times New Roman" w:hAnsi="Times New Roman" w:cs="Times New Roman"/>
          <w:spacing w:val="7"/>
          <w:position w:val="6"/>
          <w:sz w:val="13"/>
          <w:szCs w:val="13"/>
        </w:rPr>
        <w:t>13</w:t>
      </w:r>
      <w:r>
        <w:rPr>
          <w:rFonts w:ascii="Times New Roman" w:eastAsia="Times New Roman" w:hAnsi="Times New Roman" w:cs="Times New Roman"/>
          <w:spacing w:val="7"/>
        </w:rPr>
        <w:t>C</w:t>
      </w:r>
      <w:r>
        <w:rPr>
          <w:rFonts w:ascii="Times New Roman" w:eastAsia="Times New Roman" w:hAnsi="Times New Roman" w:cs="Times New Roman"/>
          <w:spacing w:val="7"/>
          <w:position w:val="-1"/>
          <w:sz w:val="13"/>
          <w:szCs w:val="13"/>
        </w:rPr>
        <w:t>4</w:t>
      </w:r>
      <w:r>
        <w:rPr>
          <w:rFonts w:ascii="Times New Roman" w:eastAsia="Times New Roman" w:hAnsi="Times New Roman" w:cs="Times New Roman"/>
          <w:spacing w:val="7"/>
        </w:rPr>
        <w:t>-</w:t>
      </w:r>
      <w:r>
        <w:rPr>
          <w:rFonts w:ascii="Times New Roman" w:eastAsia="Times New Roman" w:hAnsi="Times New Roman" w:cs="Times New Roman"/>
        </w:rPr>
        <w:t>PFOA</w:t>
      </w:r>
      <w:r>
        <w:rPr>
          <w:spacing w:val="7"/>
        </w:rPr>
        <w:t>）作为提取内标，市售有证标准溶液，按照标准溶液证书要求保存，使用前应恢复至室温并</w:t>
      </w:r>
      <w:r>
        <w:rPr>
          <w:spacing w:val="8"/>
        </w:rPr>
        <w:t xml:space="preserve"> </w:t>
      </w:r>
      <w:r>
        <w:rPr>
          <w:spacing w:val="35"/>
        </w:rPr>
        <w:t>摇匀。</w:t>
      </w:r>
    </w:p>
    <w:p>
      <w:pPr>
        <w:pStyle w:val="BodyText"/>
        <w:spacing w:before="62" w:line="221" w:lineRule="auto"/>
        <w:ind w:left="90"/>
        <w:outlineLvl w:val="1"/>
      </w:pPr>
      <w:r>
        <w:rPr>
          <w:rFonts w:ascii="SimHei" w:eastAsia="SimHei" w:hAnsi="SimHei" w:cs="SimHei"/>
          <w:spacing w:val="9"/>
        </w:rPr>
        <w:t>5.14</w:t>
      </w:r>
      <w:r>
        <w:rPr>
          <w:rFonts w:ascii="SimHei" w:eastAsia="SimHei" w:hAnsi="SimHei" w:cs="SimHei"/>
          <w:spacing w:val="9"/>
        </w:rPr>
        <w:t xml:space="preserve">  </w:t>
      </w:r>
      <w:r>
        <w:rPr>
          <w:spacing w:val="9"/>
        </w:rPr>
        <w:t>提取内标使用液：</w:t>
      </w:r>
      <w:r>
        <w:rPr>
          <w:rFonts w:ascii="Times New Roman" w:eastAsia="Times New Roman" w:hAnsi="Times New Roman" w:cs="Times New Roman"/>
          <w:i/>
          <w:iCs/>
          <w:spacing w:val="9"/>
        </w:rPr>
        <w:t>ρ</w:t>
      </w:r>
      <w:r>
        <w:rPr>
          <w:rFonts w:ascii="Times New Roman" w:eastAsia="Times New Roman" w:hAnsi="Times New Roman" w:cs="Times New Roman"/>
          <w:i/>
          <w:iCs/>
          <w:spacing w:val="-18"/>
        </w:rPr>
        <w:t xml:space="preserve"> </w:t>
      </w:r>
      <w:r>
        <w:rPr>
          <w:spacing w:val="9"/>
        </w:rPr>
        <w:t>=</w:t>
      </w:r>
      <w:r>
        <w:rPr>
          <w:rFonts w:ascii="Times New Roman" w:eastAsia="Times New Roman" w:hAnsi="Times New Roman" w:cs="Times New Roman"/>
          <w:spacing w:val="9"/>
        </w:rPr>
        <w:t>0.200 μg/</w:t>
      </w:r>
      <w:r>
        <w:rPr>
          <w:rFonts w:ascii="Times New Roman" w:eastAsia="Times New Roman" w:hAnsi="Times New Roman" w:cs="Times New Roman"/>
        </w:rPr>
        <w:t>ml</w:t>
      </w:r>
      <w:r>
        <w:rPr>
          <w:spacing w:val="9"/>
        </w:rPr>
        <w:t>。</w:t>
      </w:r>
    </w:p>
    <w:p>
      <w:pPr>
        <w:pStyle w:val="BodyText"/>
        <w:spacing w:before="72" w:line="258" w:lineRule="auto"/>
        <w:ind w:left="119" w:firstLine="397"/>
      </w:pPr>
      <w:r>
        <w:rPr>
          <w:spacing w:val="2"/>
        </w:rPr>
        <w:t>移取适量提取内标混合标准贮备液（</w:t>
      </w:r>
      <w:r>
        <w:rPr>
          <w:rFonts w:ascii="Times New Roman" w:eastAsia="Times New Roman" w:hAnsi="Times New Roman" w:cs="Times New Roman"/>
          <w:spacing w:val="2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13</w:t>
      </w:r>
      <w:r>
        <w:rPr>
          <w:spacing w:val="-23"/>
        </w:rPr>
        <w:t>），</w:t>
      </w:r>
      <w:r>
        <w:rPr>
          <w:spacing w:val="2"/>
        </w:rPr>
        <w:t>用甲醇（</w:t>
      </w:r>
      <w:r>
        <w:rPr>
          <w:rFonts w:ascii="Times New Roman" w:eastAsia="Times New Roman" w:hAnsi="Times New Roman" w:cs="Times New Roman"/>
          <w:spacing w:val="2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1</w:t>
      </w:r>
      <w:r>
        <w:rPr>
          <w:spacing w:val="2"/>
        </w:rPr>
        <w:t>）稀释，提取内标使用液密封、避</w:t>
      </w:r>
      <w:r>
        <w:rPr>
          <w:spacing w:val="1"/>
        </w:rPr>
        <w:t>光，</w:t>
      </w:r>
      <w:r>
        <w:rPr>
          <w:rFonts w:ascii="Times New Roman" w:eastAsia="Times New Roman" w:hAnsi="Times New Roman" w:cs="Times New Roman"/>
          <w:spacing w:val="1"/>
        </w:rPr>
        <w:t>4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 </w:t>
      </w:r>
      <w:r>
        <w:rPr>
          <w:spacing w:val="1"/>
        </w:rPr>
        <w:t>℃</w:t>
      </w:r>
      <w:r>
        <w:t xml:space="preserve"> </w:t>
      </w:r>
      <w:r>
        <w:rPr>
          <w:spacing w:val="3"/>
        </w:rPr>
        <w:t>以下冷藏可保存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60 d</w:t>
      </w:r>
      <w:r>
        <w:rPr>
          <w:spacing w:val="3"/>
        </w:rPr>
        <w:t>。</w:t>
      </w:r>
    </w:p>
    <w:p>
      <w:pPr>
        <w:pStyle w:val="BodyText"/>
        <w:spacing w:before="66" w:line="221" w:lineRule="auto"/>
        <w:ind w:left="90"/>
        <w:outlineLvl w:val="1"/>
      </w:pPr>
      <w:r>
        <w:rPr>
          <w:rFonts w:ascii="SimHei" w:eastAsia="SimHei" w:hAnsi="SimHei" w:cs="SimHei"/>
          <w:spacing w:val="9"/>
        </w:rPr>
        <w:t>5.15</w:t>
      </w:r>
      <w:r>
        <w:rPr>
          <w:rFonts w:ascii="SimHei" w:eastAsia="SimHei" w:hAnsi="SimHei" w:cs="SimHei"/>
          <w:spacing w:val="9"/>
        </w:rPr>
        <w:t xml:space="preserve">  </w:t>
      </w:r>
      <w:r>
        <w:rPr>
          <w:spacing w:val="9"/>
        </w:rPr>
        <w:t>进样内标贮备液：</w:t>
      </w:r>
      <w:r>
        <w:rPr>
          <w:rFonts w:ascii="Times New Roman" w:eastAsia="Times New Roman" w:hAnsi="Times New Roman" w:cs="Times New Roman"/>
          <w:i/>
          <w:iCs/>
          <w:spacing w:val="9"/>
        </w:rPr>
        <w:t>ρ</w:t>
      </w:r>
      <w:r>
        <w:rPr>
          <w:rFonts w:ascii="Times New Roman" w:eastAsia="Times New Roman" w:hAnsi="Times New Roman" w:cs="Times New Roman"/>
          <w:i/>
          <w:iCs/>
          <w:spacing w:val="-14"/>
        </w:rPr>
        <w:t xml:space="preserve"> </w:t>
      </w:r>
      <w:r>
        <w:rPr>
          <w:spacing w:val="9"/>
        </w:rPr>
        <w:t>=</w:t>
      </w:r>
      <w:r>
        <w:rPr>
          <w:rFonts w:ascii="Times New Roman" w:eastAsia="Times New Roman" w:hAnsi="Times New Roman" w:cs="Times New Roman"/>
          <w:spacing w:val="9"/>
        </w:rPr>
        <w:t>50.0 μg/</w:t>
      </w:r>
      <w:r>
        <w:rPr>
          <w:rFonts w:ascii="Times New Roman" w:eastAsia="Times New Roman" w:hAnsi="Times New Roman" w:cs="Times New Roman"/>
        </w:rPr>
        <w:t>ml</w:t>
      </w:r>
      <w:r>
        <w:rPr>
          <w:spacing w:val="9"/>
        </w:rPr>
        <w:t>。</w:t>
      </w:r>
    </w:p>
    <w:p>
      <w:pPr>
        <w:pStyle w:val="BodyText"/>
        <w:spacing w:before="73" w:line="257" w:lineRule="auto"/>
        <w:ind w:left="97" w:firstLine="418"/>
      </w:pPr>
      <w:r>
        <w:rPr>
          <w:spacing w:val="9"/>
        </w:rPr>
        <w:t>使用碳同位素标记全氟辛酸或其盐类（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6"/>
          <w:sz w:val="13"/>
          <w:szCs w:val="13"/>
        </w:rPr>
        <w:t>13</w:t>
      </w:r>
      <w:r>
        <w:rPr>
          <w:rFonts w:ascii="Times New Roman" w:eastAsia="Times New Roman" w:hAnsi="Times New Roman" w:cs="Times New Roman"/>
          <w:spacing w:val="9"/>
        </w:rPr>
        <w:t>C</w:t>
      </w:r>
      <w:r>
        <w:rPr>
          <w:rFonts w:ascii="Times New Roman" w:eastAsia="Times New Roman" w:hAnsi="Times New Roman" w:cs="Times New Roman"/>
          <w:spacing w:val="9"/>
          <w:position w:val="-1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9"/>
        </w:rPr>
        <w:t>-</w:t>
      </w:r>
      <w:r>
        <w:rPr>
          <w:rFonts w:ascii="Times New Roman" w:eastAsia="Times New Roman" w:hAnsi="Times New Roman" w:cs="Times New Roman"/>
        </w:rPr>
        <w:t>PFOA</w:t>
      </w:r>
      <w:r>
        <w:rPr>
          <w:spacing w:val="9"/>
        </w:rPr>
        <w:t>）作为进</w:t>
      </w:r>
      <w:r>
        <w:rPr>
          <w:spacing w:val="8"/>
        </w:rPr>
        <w:t>样内标，市售有证标准溶液，按照标准</w:t>
      </w:r>
      <w:r>
        <w:t xml:space="preserve"> </w:t>
      </w:r>
      <w:r>
        <w:rPr>
          <w:spacing w:val="9"/>
        </w:rPr>
        <w:t>溶液证书要求保存，使用时应恢复至室温并摇匀。</w:t>
      </w:r>
    </w:p>
    <w:p>
      <w:pPr>
        <w:pStyle w:val="BodyText"/>
        <w:spacing w:before="66" w:line="221" w:lineRule="auto"/>
        <w:ind w:left="90"/>
        <w:outlineLvl w:val="1"/>
      </w:pPr>
      <w:r>
        <w:rPr>
          <w:rFonts w:ascii="SimHei" w:eastAsia="SimHei" w:hAnsi="SimHei" w:cs="SimHei"/>
          <w:spacing w:val="9"/>
        </w:rPr>
        <w:t>5.16</w:t>
      </w:r>
      <w:r>
        <w:rPr>
          <w:rFonts w:ascii="SimHei" w:eastAsia="SimHei" w:hAnsi="SimHei" w:cs="SimHei"/>
          <w:spacing w:val="9"/>
        </w:rPr>
        <w:t xml:space="preserve">  </w:t>
      </w:r>
      <w:r>
        <w:rPr>
          <w:spacing w:val="9"/>
        </w:rPr>
        <w:t>进样内标使用液：</w:t>
      </w:r>
      <w:r>
        <w:rPr>
          <w:rFonts w:ascii="Times New Roman" w:eastAsia="Times New Roman" w:hAnsi="Times New Roman" w:cs="Times New Roman"/>
          <w:i/>
          <w:iCs/>
          <w:spacing w:val="9"/>
        </w:rPr>
        <w:t>ρ</w:t>
      </w:r>
      <w:r>
        <w:rPr>
          <w:rFonts w:ascii="Times New Roman" w:eastAsia="Times New Roman" w:hAnsi="Times New Roman" w:cs="Times New Roman"/>
          <w:i/>
          <w:iCs/>
          <w:spacing w:val="-18"/>
        </w:rPr>
        <w:t xml:space="preserve"> </w:t>
      </w:r>
      <w:r>
        <w:rPr>
          <w:spacing w:val="9"/>
        </w:rPr>
        <w:t>=</w:t>
      </w:r>
      <w:r>
        <w:rPr>
          <w:rFonts w:ascii="Times New Roman" w:eastAsia="Times New Roman" w:hAnsi="Times New Roman" w:cs="Times New Roman"/>
          <w:spacing w:val="9"/>
        </w:rPr>
        <w:t>0.200 μg/</w:t>
      </w:r>
      <w:r>
        <w:rPr>
          <w:rFonts w:ascii="Times New Roman" w:eastAsia="Times New Roman" w:hAnsi="Times New Roman" w:cs="Times New Roman"/>
        </w:rPr>
        <w:t>ml</w:t>
      </w:r>
      <w:r>
        <w:rPr>
          <w:spacing w:val="9"/>
        </w:rPr>
        <w:t>。</w:t>
      </w:r>
    </w:p>
    <w:p>
      <w:pPr>
        <w:pStyle w:val="BodyText"/>
        <w:spacing w:before="73" w:line="258" w:lineRule="auto"/>
        <w:ind w:left="97" w:right="2" w:firstLine="420"/>
      </w:pPr>
      <w:r>
        <w:rPr>
          <w:spacing w:val="5"/>
        </w:rPr>
        <w:t>取适量进样内标贮备液（</w:t>
      </w:r>
      <w:r>
        <w:rPr>
          <w:rFonts w:ascii="Times New Roman" w:eastAsia="Times New Roman" w:hAnsi="Times New Roman" w:cs="Times New Roman"/>
          <w:spacing w:val="5"/>
        </w:rPr>
        <w:t>5.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15</w:t>
      </w:r>
      <w:r>
        <w:rPr>
          <w:spacing w:val="6"/>
        </w:rPr>
        <w:t>），</w:t>
      </w:r>
      <w:r>
        <w:rPr>
          <w:spacing w:val="5"/>
        </w:rPr>
        <w:t>用甲醇（</w:t>
      </w:r>
      <w:r>
        <w:rPr>
          <w:rFonts w:ascii="Times New Roman" w:eastAsia="Times New Roman" w:hAnsi="Times New Roman" w:cs="Times New Roman"/>
          <w:spacing w:val="5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</w:t>
      </w:r>
      <w:r>
        <w:rPr>
          <w:spacing w:val="5"/>
        </w:rPr>
        <w:t>）稀释，进样内标使用液密封、避光，</w:t>
      </w:r>
      <w:r>
        <w:rPr>
          <w:rFonts w:ascii="Times New Roman" w:eastAsia="Times New Roman" w:hAnsi="Times New Roman" w:cs="Times New Roman"/>
          <w:spacing w:val="5"/>
        </w:rPr>
        <w:t>4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spacing w:val="5"/>
        </w:rPr>
        <w:t>℃以下冷藏</w:t>
      </w:r>
      <w:r>
        <w:t xml:space="preserve"> </w:t>
      </w:r>
      <w:r>
        <w:rPr>
          <w:spacing w:val="3"/>
        </w:rPr>
        <w:t>可保存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60 d</w:t>
      </w:r>
      <w:r>
        <w:rPr>
          <w:spacing w:val="3"/>
        </w:rPr>
        <w:t>。</w:t>
      </w:r>
    </w:p>
    <w:p>
      <w:pPr>
        <w:spacing w:line="258" w:lineRule="auto"/>
        <w:sectPr>
          <w:footerReference w:type="default" r:id="rId7"/>
          <w:type w:val="nextPage"/>
          <w:pgSz w:w="11906" w:h="16839"/>
          <w:pgMar w:top="1431" w:right="1276" w:bottom="1320" w:left="1189" w:header="0" w:footer="1141" w:gutter="0"/>
          <w:pgNumType w:start="4"/>
          <w:cols w:space="708"/>
          <w:titlePg w:val="0"/>
        </w:sectPr>
      </w:pPr>
    </w:p>
    <w:p>
      <w:pPr>
        <w:pStyle w:val="BodyText"/>
        <w:spacing w:before="53" w:line="188" w:lineRule="auto"/>
        <w:ind w:left="7681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HJ</w:t>
      </w:r>
      <w:r>
        <w:rPr>
          <w:rFonts w:ascii="Times New Roman" w:eastAsia="Times New Roman" w:hAnsi="Times New Roman" w:cs="Times New Roman"/>
          <w:b/>
          <w:bCs/>
          <w:spacing w:val="26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1334</w:t>
      </w:r>
      <w:r>
        <w:rPr>
          <w:spacing w:val="-3"/>
          <w:sz w:val="24"/>
          <w:szCs w:val="24"/>
        </w:rPr>
        <w:t>—</w:t>
      </w:r>
      <w:r>
        <w:rPr>
          <w:rFonts w:ascii="Arial" w:eastAsia="Arial" w:hAnsi="Arial" w:cs="Arial"/>
          <w:spacing w:val="-3"/>
          <w:sz w:val="24"/>
          <w:szCs w:val="24"/>
        </w:rPr>
        <w:t>2023</w:t>
      </w:r>
    </w:p>
    <w:p>
      <w:pPr>
        <w:rPr>
          <w:rFonts w:ascii="Arial"/>
          <w:sz w:val="21"/>
        </w:rPr>
      </w:pPr>
    </w:p>
    <w:p>
      <w:pPr>
        <w:pStyle w:val="BodyText"/>
        <w:spacing w:before="65" w:line="255" w:lineRule="auto"/>
        <w:ind w:left="20" w:right="136" w:hanging="21"/>
      </w:pPr>
      <w:r>
        <w:rPr>
          <w:rFonts w:ascii="SimHei" w:eastAsia="SimHei" w:hAnsi="SimHei" w:cs="SimHei"/>
          <w:spacing w:val="18"/>
        </w:rPr>
        <w:t>5.17</w:t>
      </w:r>
      <w:r>
        <w:rPr>
          <w:rFonts w:ascii="SimHei" w:eastAsia="SimHei" w:hAnsi="SimHei" w:cs="SimHei"/>
          <w:spacing w:val="18"/>
        </w:rPr>
        <w:t xml:space="preserve">  </w:t>
      </w:r>
      <w:r>
        <w:rPr>
          <w:spacing w:val="18"/>
        </w:rPr>
        <w:t>弱阴离子交换固相萃取柱Ⅰ：</w:t>
      </w:r>
      <w:r>
        <w:rPr>
          <w:spacing w:val="-30"/>
        </w:rPr>
        <w:t xml:space="preserve"> </w:t>
      </w:r>
      <w:r>
        <w:rPr>
          <w:spacing w:val="18"/>
        </w:rPr>
        <w:t>填料为键合哌嗪的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8"/>
        </w:rPr>
        <w:t>N</w:t>
      </w:r>
      <w:r>
        <w:rPr>
          <w:rFonts w:ascii="Times New Roman" w:eastAsia="Times New Roman" w:hAnsi="Times New Roman" w:cs="Times New Roman"/>
          <w:spacing w:val="18"/>
        </w:rPr>
        <w:t>-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spacing w:val="18"/>
        </w:rPr>
        <w:t>乙烯基吡咯烷酮</w:t>
      </w:r>
      <w:r>
        <w:rPr>
          <w:rFonts w:ascii="Times New Roman" w:eastAsia="Times New Roman" w:hAnsi="Times New Roman" w:cs="Times New Roman"/>
          <w:spacing w:val="18"/>
        </w:rPr>
        <w:t>-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18"/>
        </w:rPr>
        <w:t>二乙烯基苯共聚物，</w:t>
      </w:r>
      <w: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150 </w:t>
      </w:r>
      <w:r>
        <w:rPr>
          <w:rFonts w:ascii="Times New Roman" w:eastAsia="Times New Roman" w:hAnsi="Times New Roman" w:cs="Times New Roman"/>
        </w:rPr>
        <w:t>mg</w:t>
      </w:r>
      <w:r>
        <w:rPr>
          <w:rFonts w:ascii="Times New Roman" w:eastAsia="Times New Roman" w:hAnsi="Times New Roman" w:cs="Times New Roman"/>
          <w:spacing w:val="5"/>
        </w:rPr>
        <w:t xml:space="preserve">/6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spacing w:val="5"/>
        </w:rPr>
        <w:t>，或其他等效固相萃取柱。</w:t>
      </w:r>
    </w:p>
    <w:p>
      <w:pPr>
        <w:pStyle w:val="BodyText"/>
        <w:spacing w:before="71" w:line="255" w:lineRule="auto"/>
        <w:ind w:left="6" w:right="136" w:hanging="6"/>
      </w:pPr>
      <w:r>
        <w:rPr>
          <w:rFonts w:ascii="SimHei" w:eastAsia="SimHei" w:hAnsi="SimHei" w:cs="SimHei"/>
          <w:spacing w:val="18"/>
        </w:rPr>
        <w:t>5.18</w:t>
      </w:r>
      <w:r>
        <w:rPr>
          <w:rFonts w:ascii="SimHei" w:eastAsia="SimHei" w:hAnsi="SimHei" w:cs="SimHei"/>
          <w:spacing w:val="18"/>
        </w:rPr>
        <w:t xml:space="preserve">  </w:t>
      </w:r>
      <w:r>
        <w:rPr>
          <w:spacing w:val="18"/>
        </w:rPr>
        <w:t>弱阴离子交换固相萃取柱Ⅱ：</w:t>
      </w:r>
      <w:r>
        <w:rPr>
          <w:spacing w:val="-30"/>
        </w:rPr>
        <w:t xml:space="preserve"> </w:t>
      </w:r>
      <w:r>
        <w:rPr>
          <w:spacing w:val="18"/>
        </w:rPr>
        <w:t>填料为键合哌嗪的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8"/>
        </w:rPr>
        <w:t>N</w:t>
      </w:r>
      <w:r>
        <w:rPr>
          <w:rFonts w:ascii="Times New Roman" w:eastAsia="Times New Roman" w:hAnsi="Times New Roman" w:cs="Times New Roman"/>
          <w:spacing w:val="18"/>
        </w:rPr>
        <w:t>-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spacing w:val="18"/>
        </w:rPr>
        <w:t>乙烯基吡咯烷酮</w:t>
      </w:r>
      <w:r>
        <w:rPr>
          <w:rFonts w:ascii="Times New Roman" w:eastAsia="Times New Roman" w:hAnsi="Times New Roman" w:cs="Times New Roman"/>
          <w:spacing w:val="18"/>
        </w:rPr>
        <w:t>-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18"/>
        </w:rPr>
        <w:t>二乙烯基苯共聚物，</w:t>
      </w:r>
      <w: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500 </w:t>
      </w:r>
      <w:r>
        <w:rPr>
          <w:rFonts w:ascii="Times New Roman" w:eastAsia="Times New Roman" w:hAnsi="Times New Roman" w:cs="Times New Roman"/>
        </w:rPr>
        <w:t>mg</w:t>
      </w:r>
      <w:r>
        <w:rPr>
          <w:rFonts w:ascii="Times New Roman" w:eastAsia="Times New Roman" w:hAnsi="Times New Roman" w:cs="Times New Roman"/>
          <w:spacing w:val="6"/>
        </w:rPr>
        <w:t xml:space="preserve">/6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6"/>
        </w:rPr>
        <w:t>，或其他等效固相萃取柱。</w:t>
      </w:r>
    </w:p>
    <w:p>
      <w:pPr>
        <w:pStyle w:val="BodyText"/>
        <w:spacing w:before="72" w:line="221" w:lineRule="auto"/>
      </w:pPr>
      <w:r>
        <w:rPr>
          <w:rFonts w:ascii="SimHei" w:eastAsia="SimHei" w:hAnsi="SimHei" w:cs="SimHei"/>
          <w:spacing w:val="2"/>
        </w:rPr>
        <w:t>5.19</w:t>
      </w:r>
      <w:r>
        <w:rPr>
          <w:rFonts w:ascii="SimHei" w:eastAsia="SimHei" w:hAnsi="SimHei" w:cs="SimHei"/>
          <w:spacing w:val="2"/>
        </w:rPr>
        <w:t xml:space="preserve">  </w:t>
      </w:r>
      <w:r>
        <w:rPr>
          <w:spacing w:val="2"/>
        </w:rPr>
        <w:t>石英砂：粒径</w:t>
      </w:r>
      <w:r>
        <w:rPr>
          <w:spacing w:val="-19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150 μm</w:t>
      </w:r>
      <w:r>
        <w:rPr>
          <w:spacing w:val="2"/>
        </w:rPr>
        <w:t>～</w:t>
      </w:r>
      <w:r>
        <w:rPr>
          <w:rFonts w:ascii="Times New Roman" w:eastAsia="Times New Roman" w:hAnsi="Times New Roman" w:cs="Times New Roman"/>
          <w:spacing w:val="2"/>
        </w:rPr>
        <w:t>250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µm</w:t>
      </w:r>
      <w:r>
        <w:rPr>
          <w:spacing w:val="2"/>
        </w:rPr>
        <w:t>（</w:t>
      </w:r>
      <w:r>
        <w:rPr>
          <w:rFonts w:ascii="Times New Roman" w:eastAsia="Times New Roman" w:hAnsi="Times New Roman" w:cs="Times New Roman"/>
          <w:spacing w:val="2"/>
        </w:rPr>
        <w:t xml:space="preserve">100  </w:t>
      </w:r>
      <w:r>
        <w:rPr>
          <w:spacing w:val="2"/>
        </w:rPr>
        <w:t>目～</w:t>
      </w:r>
      <w:r>
        <w:rPr>
          <w:rFonts w:ascii="Times New Roman" w:eastAsia="Times New Roman" w:hAnsi="Times New Roman" w:cs="Times New Roman"/>
          <w:spacing w:val="2"/>
        </w:rPr>
        <w:t xml:space="preserve">60  </w:t>
      </w:r>
      <w:r>
        <w:rPr>
          <w:spacing w:val="2"/>
        </w:rPr>
        <w:t>目）。</w:t>
      </w:r>
    </w:p>
    <w:p>
      <w:pPr>
        <w:pStyle w:val="BodyText"/>
        <w:spacing w:before="72" w:line="227" w:lineRule="auto"/>
        <w:ind w:left="431"/>
      </w:pPr>
      <w:r>
        <w:rPr>
          <w:spacing w:val="6"/>
        </w:rPr>
        <w:t>马弗炉中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450  </w:t>
      </w:r>
      <w:r>
        <w:rPr>
          <w:spacing w:val="6"/>
        </w:rPr>
        <w:t>℃灼烧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4 h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6"/>
        </w:rPr>
        <w:t>，稍冷却后置于洁净干燥器中备用。</w:t>
      </w:r>
    </w:p>
    <w:p>
      <w:pPr>
        <w:pStyle w:val="BodyText"/>
        <w:spacing w:before="66" w:line="221" w:lineRule="auto"/>
      </w:pPr>
      <w:r>
        <w:rPr>
          <w:rFonts w:ascii="SimHei" w:eastAsia="SimHei" w:hAnsi="SimHei" w:cs="SimHei"/>
          <w:spacing w:val="5"/>
        </w:rPr>
        <w:t>5.20</w:t>
      </w:r>
      <w:r>
        <w:rPr>
          <w:rFonts w:ascii="SimHei" w:eastAsia="SimHei" w:hAnsi="SimHei" w:cs="SimHei"/>
          <w:spacing w:val="5"/>
        </w:rPr>
        <w:t xml:space="preserve">  </w:t>
      </w:r>
      <w:r>
        <w:rPr>
          <w:spacing w:val="5"/>
        </w:rPr>
        <w:t>针头式过滤器：聚丙烯或尼龙材质，</w:t>
      </w:r>
      <w:r>
        <w:rPr>
          <w:rFonts w:ascii="Times New Roman" w:eastAsia="Times New Roman" w:hAnsi="Times New Roman" w:cs="Times New Roman"/>
          <w:spacing w:val="5"/>
        </w:rPr>
        <w:t>0.22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µm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5"/>
        </w:rPr>
        <w:t>、</w:t>
      </w:r>
      <w:r>
        <w:rPr>
          <w:rFonts w:ascii="Times New Roman" w:eastAsia="Times New Roman" w:hAnsi="Times New Roman" w:cs="Times New Roman"/>
          <w:spacing w:val="5"/>
        </w:rPr>
        <w:t>0.45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µm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5"/>
        </w:rPr>
        <w:t>、</w:t>
      </w:r>
      <w:r>
        <w:rPr>
          <w:rFonts w:ascii="Times New Roman" w:eastAsia="Times New Roman" w:hAnsi="Times New Roman" w:cs="Times New Roman"/>
          <w:spacing w:val="5"/>
        </w:rPr>
        <w:t>0</w:t>
      </w:r>
      <w:r>
        <w:rPr>
          <w:rFonts w:ascii="Times New Roman" w:eastAsia="Times New Roman" w:hAnsi="Times New Roman" w:cs="Times New Roman"/>
          <w:spacing w:val="4"/>
        </w:rPr>
        <w:t>.8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µm</w:t>
      </w:r>
      <w:r>
        <w:rPr>
          <w:spacing w:val="4"/>
        </w:rPr>
        <w:t>。</w:t>
      </w:r>
    </w:p>
    <w:p>
      <w:pPr>
        <w:pStyle w:val="BodyText"/>
        <w:spacing w:before="72" w:line="227" w:lineRule="auto"/>
        <w:outlineLvl w:val="1"/>
      </w:pPr>
      <w:r>
        <w:rPr>
          <w:rFonts w:ascii="SimHei" w:eastAsia="SimHei" w:hAnsi="SimHei" w:cs="SimHei"/>
          <w:spacing w:val="6"/>
        </w:rPr>
        <w:t>5.21</w:t>
      </w:r>
      <w:r>
        <w:rPr>
          <w:rFonts w:ascii="SimHei" w:eastAsia="SimHei" w:hAnsi="SimHei" w:cs="SimHei"/>
          <w:spacing w:val="6"/>
        </w:rPr>
        <w:t xml:space="preserve">  </w:t>
      </w:r>
      <w:r>
        <w:rPr>
          <w:spacing w:val="6"/>
        </w:rPr>
        <w:t>氮气：纯度≥</w:t>
      </w:r>
      <w:r>
        <w:rPr>
          <w:rFonts w:ascii="Times New Roman" w:eastAsia="Times New Roman" w:hAnsi="Times New Roman" w:cs="Times New Roman"/>
          <w:spacing w:val="6"/>
        </w:rPr>
        <w:t>99.99%</w:t>
      </w:r>
      <w:r>
        <w:rPr>
          <w:spacing w:val="6"/>
        </w:rPr>
        <w:t>。</w:t>
      </w:r>
    </w:p>
    <w:p>
      <w:pPr>
        <w:pStyle w:val="BodyText"/>
        <w:spacing w:before="66" w:line="221" w:lineRule="auto"/>
      </w:pPr>
      <w:r>
        <w:rPr>
          <w:rFonts w:ascii="SimHei" w:eastAsia="SimHei" w:hAnsi="SimHei" w:cs="SimHei"/>
          <w:spacing w:val="2"/>
        </w:rPr>
        <w:t>5.22</w:t>
      </w:r>
      <w:r>
        <w:rPr>
          <w:rFonts w:ascii="SimHei" w:eastAsia="SimHei" w:hAnsi="SimHei" w:cs="SimHei"/>
          <w:spacing w:val="2"/>
        </w:rPr>
        <w:t xml:space="preserve">  </w:t>
      </w:r>
      <w:r>
        <w:rPr>
          <w:spacing w:val="2"/>
        </w:rPr>
        <w:t>砂纸：</w:t>
      </w:r>
      <w:r>
        <w:rPr>
          <w:rFonts w:ascii="Times New Roman" w:eastAsia="Times New Roman" w:hAnsi="Times New Roman" w:cs="Times New Roman"/>
          <w:spacing w:val="2"/>
        </w:rPr>
        <w:t>25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µm</w:t>
      </w:r>
      <w:r>
        <w:rPr>
          <w:spacing w:val="2"/>
        </w:rPr>
        <w:t>～</w:t>
      </w:r>
      <w:r>
        <w:rPr>
          <w:rFonts w:ascii="Times New Roman" w:eastAsia="Times New Roman" w:hAnsi="Times New Roman" w:cs="Times New Roman"/>
          <w:spacing w:val="2"/>
        </w:rPr>
        <w:t>75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µm</w:t>
      </w:r>
      <w:r>
        <w:rPr>
          <w:spacing w:val="2"/>
        </w:rPr>
        <w:t>（</w:t>
      </w:r>
      <w:r>
        <w:rPr>
          <w:rFonts w:ascii="Times New Roman" w:eastAsia="Times New Roman" w:hAnsi="Times New Roman" w:cs="Times New Roman"/>
          <w:spacing w:val="2"/>
        </w:rPr>
        <w:t xml:space="preserve">500  </w:t>
      </w:r>
      <w:r>
        <w:rPr>
          <w:spacing w:val="2"/>
        </w:rPr>
        <w:t>目</w:t>
      </w:r>
      <w:r>
        <w:rPr>
          <w:spacing w:val="1"/>
        </w:rPr>
        <w:t>～</w:t>
      </w:r>
      <w:r>
        <w:rPr>
          <w:rFonts w:ascii="Times New Roman" w:eastAsia="Times New Roman" w:hAnsi="Times New Roman" w:cs="Times New Roman"/>
          <w:spacing w:val="1"/>
        </w:rPr>
        <w:t xml:space="preserve">200  </w:t>
      </w:r>
      <w:r>
        <w:rPr>
          <w:spacing w:val="1"/>
        </w:rPr>
        <w:t>目）。</w:t>
      </w:r>
    </w:p>
    <w:p>
      <w:pPr>
        <w:pStyle w:val="BodyText"/>
        <w:spacing w:before="73" w:line="228" w:lineRule="auto"/>
        <w:outlineLvl w:val="1"/>
      </w:pPr>
      <w:r>
        <w:rPr>
          <w:rFonts w:ascii="SimHei" w:eastAsia="SimHei" w:hAnsi="SimHei" w:cs="SimHei"/>
          <w:spacing w:val="6"/>
        </w:rPr>
        <w:t>5.23</w:t>
      </w:r>
      <w:r>
        <w:rPr>
          <w:rFonts w:ascii="SimHei" w:eastAsia="SimHei" w:hAnsi="SimHei" w:cs="SimHei"/>
          <w:spacing w:val="6"/>
        </w:rPr>
        <w:t xml:space="preserve">  </w:t>
      </w:r>
      <w:r>
        <w:rPr>
          <w:spacing w:val="6"/>
        </w:rPr>
        <w:t>铜丝：纯度≥</w:t>
      </w:r>
      <w:r>
        <w:rPr>
          <w:rFonts w:ascii="Times New Roman" w:eastAsia="Times New Roman" w:hAnsi="Times New Roman" w:cs="Times New Roman"/>
          <w:spacing w:val="6"/>
        </w:rPr>
        <w:t>99.5%</w:t>
      </w:r>
      <w:r>
        <w:rPr>
          <w:spacing w:val="6"/>
        </w:rPr>
        <w:t>。</w:t>
      </w:r>
    </w:p>
    <w:p>
      <w:pPr>
        <w:pStyle w:val="BodyText"/>
        <w:spacing w:before="66" w:line="257" w:lineRule="auto"/>
        <w:ind w:left="3" w:firstLine="421"/>
      </w:pPr>
      <w:r>
        <w:rPr>
          <w:spacing w:val="5"/>
        </w:rPr>
        <w:t>使用前用砂纸（</w:t>
      </w:r>
      <w:r>
        <w:rPr>
          <w:rFonts w:ascii="Times New Roman" w:eastAsia="Times New Roman" w:hAnsi="Times New Roman" w:cs="Times New Roman"/>
          <w:spacing w:val="5"/>
        </w:rPr>
        <w:t>5.22</w:t>
      </w:r>
      <w:r>
        <w:rPr>
          <w:spacing w:val="5"/>
        </w:rPr>
        <w:t>）打磨，去除表层氧化物。再依次使用水、甲醇</w:t>
      </w:r>
      <w:r>
        <w:rPr>
          <w:spacing w:val="4"/>
        </w:rPr>
        <w:t>（</w:t>
      </w:r>
      <w:r>
        <w:rPr>
          <w:rFonts w:ascii="Times New Roman" w:eastAsia="Times New Roman" w:hAnsi="Times New Roman" w:cs="Times New Roman"/>
          <w:spacing w:val="4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1</w:t>
      </w:r>
      <w:r>
        <w:rPr>
          <w:spacing w:val="4"/>
        </w:rPr>
        <w:t>）清洗，使用氮气（</w:t>
      </w:r>
      <w:r>
        <w:rPr>
          <w:rFonts w:ascii="Times New Roman" w:eastAsia="Times New Roman" w:hAnsi="Times New Roman" w:cs="Times New Roman"/>
          <w:spacing w:val="4"/>
        </w:rPr>
        <w:t>5.21</w:t>
      </w:r>
      <w:r>
        <w:rPr>
          <w:spacing w:val="4"/>
        </w:rPr>
        <w:t>）</w:t>
      </w:r>
      <w:r>
        <w:t xml:space="preserve"> </w:t>
      </w:r>
      <w:r>
        <w:rPr>
          <w:spacing w:val="9"/>
        </w:rPr>
        <w:t>干燥，使铜丝具有光亮的表面，每次临用前处理。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65" w:line="230" w:lineRule="auto"/>
        <w:ind w:left="3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6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仪器和设备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66" w:line="227" w:lineRule="auto"/>
        <w:ind w:left="3"/>
        <w:outlineLvl w:val="1"/>
      </w:pPr>
      <w:r>
        <w:rPr>
          <w:rFonts w:ascii="SimHei" w:eastAsia="SimHei" w:hAnsi="SimHei" w:cs="SimHei"/>
          <w:spacing w:val="7"/>
        </w:rPr>
        <w:t>6.1</w:t>
      </w:r>
      <w:r>
        <w:rPr>
          <w:rFonts w:ascii="SimHei" w:eastAsia="SimHei" w:hAnsi="SimHei" w:cs="SimHei"/>
          <w:spacing w:val="7"/>
        </w:rPr>
        <w:t xml:space="preserve">  </w:t>
      </w:r>
      <w:r>
        <w:rPr>
          <w:spacing w:val="7"/>
        </w:rPr>
        <w:t>采样容器：不含氟聚合物材质容器。</w:t>
      </w:r>
    </w:p>
    <w:p>
      <w:pPr>
        <w:pStyle w:val="BodyText"/>
        <w:spacing w:before="65" w:line="259" w:lineRule="auto"/>
        <w:ind w:left="3" w:right="85"/>
      </w:pPr>
      <w:r>
        <w:rPr>
          <w:rFonts w:ascii="SimHei" w:eastAsia="SimHei" w:hAnsi="SimHei" w:cs="SimHei"/>
          <w:spacing w:val="8"/>
        </w:rPr>
        <w:t>6.2</w:t>
      </w:r>
      <w:r>
        <w:rPr>
          <w:rFonts w:ascii="SimHei" w:eastAsia="SimHei" w:hAnsi="SimHei" w:cs="SimHei"/>
          <w:spacing w:val="8"/>
        </w:rPr>
        <w:t xml:space="preserve">  </w:t>
      </w:r>
      <w:r>
        <w:rPr>
          <w:spacing w:val="8"/>
        </w:rPr>
        <w:t>液相色谱</w:t>
      </w:r>
      <w:r>
        <w:rPr>
          <w:rFonts w:ascii="Times New Roman" w:eastAsia="Times New Roman" w:hAnsi="Times New Roman" w:cs="Times New Roman"/>
          <w:spacing w:val="8"/>
        </w:rPr>
        <w:t>-</w:t>
      </w:r>
      <w:r>
        <w:rPr>
          <w:spacing w:val="8"/>
        </w:rPr>
        <w:t>三重四极杆质谱仪：液相色谱仪具备梯度洗脱功能，三重四极杆质谱仪</w:t>
      </w:r>
      <w:r>
        <w:rPr>
          <w:spacing w:val="7"/>
        </w:rPr>
        <w:t>配有电喷雾离子</w:t>
      </w:r>
      <w:r>
        <w:t xml:space="preserve"> </w:t>
      </w:r>
      <w:r>
        <w:rPr>
          <w:spacing w:val="8"/>
        </w:rPr>
        <w:t>源，具备多反应监测功能。</w:t>
      </w:r>
    </w:p>
    <w:p>
      <w:pPr>
        <w:pStyle w:val="BodyText"/>
        <w:spacing w:before="64" w:line="258" w:lineRule="auto"/>
        <w:ind w:left="6" w:right="122" w:hanging="3"/>
      </w:pPr>
      <w:r>
        <w:rPr>
          <w:rFonts w:ascii="SimHei" w:eastAsia="SimHei" w:hAnsi="SimHei" w:cs="SimHei"/>
          <w:spacing w:val="4"/>
        </w:rPr>
        <w:t>6.3</w:t>
      </w:r>
      <w:r>
        <w:rPr>
          <w:rFonts w:ascii="SimHei" w:eastAsia="SimHei" w:hAnsi="SimHei" w:cs="SimHei"/>
          <w:spacing w:val="4"/>
        </w:rPr>
        <w:t xml:space="preserve">  </w:t>
      </w:r>
      <w:r>
        <w:rPr>
          <w:spacing w:val="4"/>
        </w:rPr>
        <w:t>色谱柱：填料为十八烷基硅烷键合硅胶，填料粒径为</w:t>
      </w:r>
      <w:r>
        <w:rPr>
          <w:spacing w:val="-12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1.8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µm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4"/>
        </w:rPr>
        <w:t>，柱长为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100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4"/>
        </w:rPr>
        <w:t>，</w:t>
      </w:r>
      <w:r>
        <w:rPr>
          <w:spacing w:val="-58"/>
        </w:rPr>
        <w:t xml:space="preserve"> </w:t>
      </w:r>
      <w:r>
        <w:rPr>
          <w:spacing w:val="4"/>
        </w:rPr>
        <w:t>内径为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2.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1 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4"/>
        </w:rPr>
        <w:t>。</w:t>
      </w:r>
      <w:r>
        <w:t xml:space="preserve"> </w:t>
      </w:r>
      <w:r>
        <w:rPr>
          <w:spacing w:val="7"/>
        </w:rPr>
        <w:t>或其他性能相近的色谱柱。</w:t>
      </w:r>
    </w:p>
    <w:p>
      <w:pPr>
        <w:pStyle w:val="BodyText"/>
        <w:spacing w:before="65" w:line="258" w:lineRule="auto"/>
        <w:ind w:left="6" w:right="16" w:hanging="3"/>
      </w:pPr>
      <w:r>
        <w:rPr>
          <w:rFonts w:ascii="SimHei" w:eastAsia="SimHei" w:hAnsi="SimHei" w:cs="SimHei"/>
          <w:spacing w:val="-2"/>
        </w:rPr>
        <w:t>6.4</w:t>
      </w:r>
      <w:r>
        <w:rPr>
          <w:rFonts w:ascii="SimHei" w:eastAsia="SimHei" w:hAnsi="SimHei" w:cs="SimHei"/>
          <w:spacing w:val="-2"/>
        </w:rPr>
        <w:t xml:space="preserve">  </w:t>
      </w:r>
      <w:r>
        <w:rPr>
          <w:spacing w:val="-2"/>
        </w:rPr>
        <w:t>捕集柱：填料为十八烷基硅烷键合硅胶，填料粒径为</w:t>
      </w:r>
      <w:r>
        <w:rPr>
          <w:spacing w:val="-1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1.8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µm</w:t>
      </w:r>
      <w:r>
        <w:rPr>
          <w:spacing w:val="-2"/>
        </w:rPr>
        <w:t>～</w:t>
      </w:r>
      <w:r>
        <w:rPr>
          <w:rFonts w:ascii="Times New Roman" w:eastAsia="Times New Roman" w:hAnsi="Times New Roman" w:cs="Times New Roman"/>
          <w:spacing w:val="-2"/>
        </w:rPr>
        <w:t>5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µm</w:t>
      </w:r>
      <w:r>
        <w:rPr>
          <w:spacing w:val="-2"/>
        </w:rPr>
        <w:t>，柱长为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50 mm</w:t>
      </w:r>
      <w:r>
        <w:rPr>
          <w:spacing w:val="-2"/>
        </w:rPr>
        <w:t>，内径为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 mm</w:t>
      </w:r>
      <w:r>
        <w:rPr>
          <w:spacing w:val="-2"/>
        </w:rPr>
        <w:t>。</w:t>
      </w:r>
      <w:r>
        <w:t xml:space="preserve"> </w:t>
      </w:r>
      <w:r>
        <w:rPr>
          <w:spacing w:val="7"/>
        </w:rPr>
        <w:t>或其他性能相近的色谱柱。</w:t>
      </w:r>
    </w:p>
    <w:p>
      <w:pPr>
        <w:pStyle w:val="BodyText"/>
        <w:spacing w:before="65" w:line="227" w:lineRule="auto"/>
        <w:ind w:left="3"/>
      </w:pPr>
      <w:r>
        <w:rPr>
          <w:rFonts w:ascii="SimHei" w:eastAsia="SimHei" w:hAnsi="SimHei" w:cs="SimHei"/>
          <w:spacing w:val="5"/>
        </w:rPr>
        <w:t>6.5</w:t>
      </w:r>
      <w:r>
        <w:rPr>
          <w:rFonts w:ascii="SimHei" w:eastAsia="SimHei" w:hAnsi="SimHei" w:cs="SimHei"/>
          <w:spacing w:val="5"/>
        </w:rPr>
        <w:t xml:space="preserve">  </w:t>
      </w:r>
      <w:r>
        <w:rPr>
          <w:spacing w:val="5"/>
        </w:rPr>
        <w:t>冷冻干燥仪。</w:t>
      </w:r>
    </w:p>
    <w:p>
      <w:pPr>
        <w:pStyle w:val="BodyText"/>
        <w:spacing w:before="66" w:line="227" w:lineRule="auto"/>
        <w:ind w:left="3"/>
      </w:pPr>
      <w:r>
        <w:rPr>
          <w:rFonts w:ascii="SimHei" w:eastAsia="SimHei" w:hAnsi="SimHei" w:cs="SimHei"/>
          <w:spacing w:val="8"/>
        </w:rPr>
        <w:t>6.6</w:t>
      </w:r>
      <w:r>
        <w:rPr>
          <w:rFonts w:ascii="SimHei" w:eastAsia="SimHei" w:hAnsi="SimHei" w:cs="SimHei"/>
          <w:spacing w:val="8"/>
        </w:rPr>
        <w:t xml:space="preserve">  </w:t>
      </w:r>
      <w:r>
        <w:rPr>
          <w:spacing w:val="8"/>
        </w:rPr>
        <w:t>提取装置：水平振荡仪或其他性能相当的设备。</w:t>
      </w:r>
    </w:p>
    <w:p>
      <w:pPr>
        <w:pStyle w:val="BodyText"/>
        <w:spacing w:before="66" w:line="227" w:lineRule="auto"/>
        <w:ind w:left="3"/>
      </w:pPr>
      <w:r>
        <w:rPr>
          <w:rFonts w:ascii="SimHei" w:eastAsia="SimHei" w:hAnsi="SimHei" w:cs="SimHei"/>
          <w:spacing w:val="8"/>
        </w:rPr>
        <w:t>6.7</w:t>
      </w:r>
      <w:r>
        <w:rPr>
          <w:rFonts w:ascii="SimHei" w:eastAsia="SimHei" w:hAnsi="SimHei" w:cs="SimHei"/>
          <w:spacing w:val="8"/>
        </w:rPr>
        <w:t xml:space="preserve">  </w:t>
      </w:r>
      <w:r>
        <w:rPr>
          <w:spacing w:val="8"/>
        </w:rPr>
        <w:t>浓缩装置：氮吹浓缩仪或其他性能相当的设备。</w:t>
      </w:r>
    </w:p>
    <w:p>
      <w:pPr>
        <w:pStyle w:val="BodyText"/>
        <w:spacing w:before="66" w:line="221" w:lineRule="auto"/>
        <w:ind w:left="3"/>
      </w:pPr>
      <w:r>
        <w:rPr>
          <w:rFonts w:ascii="SimHei" w:eastAsia="SimHei" w:hAnsi="SimHei" w:cs="SimHei"/>
          <w:spacing w:val="6"/>
        </w:rPr>
        <w:t>6.8</w:t>
      </w:r>
      <w:r>
        <w:rPr>
          <w:rFonts w:ascii="SimHei" w:eastAsia="SimHei" w:hAnsi="SimHei" w:cs="SimHei"/>
          <w:spacing w:val="6"/>
        </w:rPr>
        <w:t xml:space="preserve">  </w:t>
      </w:r>
      <w:r>
        <w:rPr>
          <w:spacing w:val="6"/>
        </w:rPr>
        <w:t>分析天平：实际分度值为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0.01 g</w:t>
      </w:r>
      <w:r>
        <w:rPr>
          <w:spacing w:val="6"/>
        </w:rPr>
        <w:t>。</w:t>
      </w:r>
    </w:p>
    <w:p>
      <w:pPr>
        <w:pStyle w:val="BodyText"/>
        <w:spacing w:before="73" w:line="221" w:lineRule="auto"/>
        <w:ind w:left="3"/>
      </w:pPr>
      <w:r>
        <w:rPr>
          <w:rFonts w:ascii="SimHei" w:eastAsia="SimHei" w:hAnsi="SimHei" w:cs="SimHei"/>
          <w:spacing w:val="6"/>
        </w:rPr>
        <w:t>6.9</w:t>
      </w:r>
      <w:r>
        <w:rPr>
          <w:rFonts w:ascii="SimHei" w:eastAsia="SimHei" w:hAnsi="SimHei" w:cs="SimHei"/>
          <w:spacing w:val="6"/>
        </w:rPr>
        <w:t xml:space="preserve">  </w:t>
      </w:r>
      <w:r>
        <w:rPr>
          <w:spacing w:val="6"/>
        </w:rPr>
        <w:t>离心机：最小离心力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2000</w:t>
      </w:r>
      <w:r>
        <w:rPr>
          <w:spacing w:val="6"/>
        </w:rPr>
        <w:t>×</w:t>
      </w:r>
      <w:r>
        <w:rPr>
          <w:rFonts w:ascii="Times New Roman" w:eastAsia="Times New Roman" w:hAnsi="Times New Roman" w:cs="Times New Roman"/>
          <w:spacing w:val="6"/>
        </w:rPr>
        <w:t>g</w:t>
      </w:r>
      <w:r>
        <w:rPr>
          <w:spacing w:val="6"/>
        </w:rPr>
        <w:t>。</w:t>
      </w:r>
    </w:p>
    <w:p>
      <w:pPr>
        <w:pStyle w:val="BodyText"/>
        <w:spacing w:before="72" w:line="227" w:lineRule="auto"/>
        <w:ind w:left="3"/>
      </w:pPr>
      <w:r>
        <w:rPr>
          <w:rFonts w:ascii="SimHei" w:eastAsia="SimHei" w:hAnsi="SimHei" w:cs="SimHei"/>
          <w:spacing w:val="6"/>
        </w:rPr>
        <w:t>6.10</w:t>
      </w:r>
      <w:r>
        <w:rPr>
          <w:rFonts w:ascii="SimHei" w:eastAsia="SimHei" w:hAnsi="SimHei" w:cs="SimHei"/>
          <w:spacing w:val="6"/>
        </w:rPr>
        <w:t xml:space="preserve">  </w:t>
      </w:r>
      <w:r>
        <w:rPr>
          <w:spacing w:val="6"/>
        </w:rPr>
        <w:t>涡旋振荡混匀器。</w:t>
      </w:r>
    </w:p>
    <w:p>
      <w:pPr>
        <w:pStyle w:val="BodyText"/>
        <w:spacing w:before="66" w:line="227" w:lineRule="auto"/>
        <w:ind w:left="3"/>
      </w:pPr>
      <w:r>
        <w:rPr>
          <w:rFonts w:ascii="SimHei" w:eastAsia="SimHei" w:hAnsi="SimHei" w:cs="SimHei"/>
          <w:spacing w:val="8"/>
        </w:rPr>
        <w:t>6.11</w:t>
      </w:r>
      <w:r>
        <w:rPr>
          <w:rFonts w:ascii="SimHei" w:eastAsia="SimHei" w:hAnsi="SimHei" w:cs="SimHei"/>
          <w:spacing w:val="8"/>
        </w:rPr>
        <w:t xml:space="preserve">  </w:t>
      </w:r>
      <w:r>
        <w:rPr>
          <w:spacing w:val="8"/>
        </w:rPr>
        <w:t>固相萃取装置：富集管路和固相萃取柱适配器均为聚丙烯材质。</w:t>
      </w:r>
    </w:p>
    <w:p>
      <w:pPr>
        <w:pStyle w:val="BodyText"/>
        <w:spacing w:before="67" w:line="221" w:lineRule="auto"/>
        <w:ind w:left="3"/>
      </w:pPr>
      <w:r>
        <w:rPr>
          <w:rFonts w:ascii="SimHei" w:eastAsia="SimHei" w:hAnsi="SimHei" w:cs="SimHei"/>
          <w:spacing w:val="4"/>
        </w:rPr>
        <w:t>6.12</w:t>
      </w:r>
      <w:r>
        <w:rPr>
          <w:rFonts w:ascii="SimHei" w:eastAsia="SimHei" w:hAnsi="SimHei" w:cs="SimHei"/>
          <w:spacing w:val="4"/>
        </w:rPr>
        <w:t xml:space="preserve">  </w:t>
      </w:r>
      <w:r>
        <w:rPr>
          <w:spacing w:val="4"/>
        </w:rPr>
        <w:t>样品筛：不锈钢材质，孔径为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250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μm</w:t>
      </w:r>
      <w:r>
        <w:rPr>
          <w:spacing w:val="4"/>
        </w:rPr>
        <w:t>（</w:t>
      </w:r>
      <w:r>
        <w:rPr>
          <w:rFonts w:ascii="Times New Roman" w:eastAsia="Times New Roman" w:hAnsi="Times New Roman" w:cs="Times New Roman"/>
          <w:spacing w:val="4"/>
        </w:rPr>
        <w:t xml:space="preserve">60  </w:t>
      </w:r>
      <w:r>
        <w:rPr>
          <w:spacing w:val="4"/>
        </w:rPr>
        <w:t>目）。</w:t>
      </w:r>
    </w:p>
    <w:p>
      <w:pPr>
        <w:pStyle w:val="BodyText"/>
        <w:spacing w:before="72" w:line="227" w:lineRule="auto"/>
        <w:ind w:left="3"/>
      </w:pPr>
      <w:r>
        <w:rPr>
          <w:rFonts w:ascii="SimHei" w:eastAsia="SimHei" w:hAnsi="SimHei" w:cs="SimHei"/>
          <w:spacing w:val="6"/>
        </w:rPr>
        <w:t>6.13</w:t>
      </w:r>
      <w:r>
        <w:rPr>
          <w:rFonts w:ascii="SimHei" w:eastAsia="SimHei" w:hAnsi="SimHei" w:cs="SimHei"/>
          <w:spacing w:val="6"/>
        </w:rPr>
        <w:t xml:space="preserve">  </w:t>
      </w:r>
      <w:r>
        <w:rPr>
          <w:spacing w:val="6"/>
        </w:rPr>
        <w:t>烧杯：聚丙烯材质。</w:t>
      </w:r>
    </w:p>
    <w:p>
      <w:pPr>
        <w:pStyle w:val="BodyText"/>
        <w:spacing w:before="66" w:line="227" w:lineRule="auto"/>
        <w:ind w:left="3"/>
      </w:pPr>
      <w:r>
        <w:rPr>
          <w:rFonts w:ascii="SimHei" w:eastAsia="SimHei" w:hAnsi="SimHei" w:cs="SimHei"/>
          <w:spacing w:val="6"/>
        </w:rPr>
        <w:t>6.14</w:t>
      </w:r>
      <w:r>
        <w:rPr>
          <w:rFonts w:ascii="SimHei" w:eastAsia="SimHei" w:hAnsi="SimHei" w:cs="SimHei"/>
          <w:spacing w:val="6"/>
        </w:rPr>
        <w:t xml:space="preserve">  </w:t>
      </w:r>
      <w:r>
        <w:rPr>
          <w:spacing w:val="6"/>
        </w:rPr>
        <w:t>离心管：聚丙烯材质。</w:t>
      </w:r>
    </w:p>
    <w:p>
      <w:pPr>
        <w:pStyle w:val="BodyText"/>
        <w:spacing w:before="66" w:line="227" w:lineRule="auto"/>
        <w:ind w:left="3"/>
        <w:sectPr>
          <w:footerReference w:type="default" r:id="rId8"/>
          <w:pgSz w:w="11906" w:h="16839"/>
          <w:pgMar w:top="1431" w:right="1191" w:bottom="1320" w:left="1280" w:header="0" w:footer="1141" w:gutter="0"/>
          <w:pgNumType w:start="5"/>
          <w:cols w:space="708"/>
        </w:sectPr>
      </w:pPr>
      <w:r>
        <w:rPr>
          <w:rFonts w:ascii="SimHei" w:eastAsia="SimHei" w:hAnsi="SimHei" w:cs="SimHei"/>
          <w:spacing w:val="7"/>
        </w:rPr>
        <w:t>6.15</w:t>
      </w:r>
      <w:r>
        <w:rPr>
          <w:rFonts w:ascii="SimHei" w:eastAsia="SimHei" w:hAnsi="SimHei" w:cs="SimHei"/>
          <w:spacing w:val="7"/>
        </w:rPr>
        <w:t xml:space="preserve">  </w:t>
      </w:r>
      <w:r>
        <w:rPr>
          <w:spacing w:val="7"/>
        </w:rPr>
        <w:t>进样瓶：聚丙烯材质，</w:t>
      </w:r>
      <w:r>
        <w:rPr>
          <w:rFonts w:ascii="Times New Roman" w:eastAsia="Times New Roman" w:hAnsi="Times New Roman" w:cs="Times New Roman"/>
          <w:spacing w:val="7"/>
        </w:rPr>
        <w:t xml:space="preserve">2 </w:t>
      </w:r>
      <w:r>
        <w:rPr>
          <w:rFonts w:ascii="Times New Roman" w:eastAsia="Times New Roman" w:hAnsi="Times New Roman" w:cs="Times New Roman"/>
        </w:rPr>
        <w:t>ml</w:t>
      </w:r>
      <w:r>
        <w:rPr>
          <w:spacing w:val="7"/>
        </w:rPr>
        <w:t>。</w:t>
      </w:r>
    </w:p>
    <w:p>
      <w:pPr>
        <w:pStyle w:val="BodyText"/>
        <w:spacing w:before="66" w:line="227" w:lineRule="auto"/>
        <w:ind w:left="3"/>
      </w:pPr>
      <w:r>
        <w:rPr>
          <w:rFonts w:ascii="SimHei" w:eastAsia="SimHei" w:hAnsi="SimHei" w:cs="SimHei"/>
          <w:spacing w:val="6"/>
        </w:rPr>
        <w:t>6.16</w:t>
      </w:r>
      <w:r>
        <w:rPr>
          <w:rFonts w:ascii="SimHei" w:eastAsia="SimHei" w:hAnsi="SimHei" w:cs="SimHei"/>
          <w:spacing w:val="6"/>
        </w:rPr>
        <w:t xml:space="preserve">  </w:t>
      </w:r>
      <w:r>
        <w:rPr>
          <w:spacing w:val="6"/>
        </w:rPr>
        <w:t>容量瓶：聚丙烯材质。</w:t>
      </w:r>
    </w:p>
    <w:p>
      <w:pPr>
        <w:pStyle w:val="BodyText"/>
        <w:spacing w:before="66" w:line="228" w:lineRule="auto"/>
        <w:ind w:left="3"/>
      </w:pPr>
      <w:r>
        <w:rPr>
          <w:rFonts w:ascii="SimHei" w:eastAsia="SimHei" w:hAnsi="SimHei" w:cs="SimHei"/>
          <w:spacing w:val="7"/>
        </w:rPr>
        <w:t>6.17</w:t>
      </w:r>
      <w:r>
        <w:rPr>
          <w:rFonts w:ascii="SimHei" w:eastAsia="SimHei" w:hAnsi="SimHei" w:cs="SimHei"/>
          <w:spacing w:val="7"/>
        </w:rPr>
        <w:t xml:space="preserve">  </w:t>
      </w:r>
      <w:r>
        <w:rPr>
          <w:spacing w:val="7"/>
        </w:rPr>
        <w:t>一般实验室常用仪器和设备。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66" w:line="232" w:lineRule="auto"/>
        <w:ind w:left="5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"/>
          <w:sz w:val="20"/>
          <w:szCs w:val="20"/>
        </w:rPr>
        <w:t>7</w:t>
      </w:r>
      <w:r>
        <w:rPr>
          <w:rFonts w:ascii="SimHei" w:eastAsia="SimHei" w:hAnsi="SimHei" w:cs="SimHei"/>
          <w:spacing w:val="9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1"/>
          <w:sz w:val="20"/>
          <w:szCs w:val="20"/>
        </w:rPr>
        <w:t>样品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65" w:line="230" w:lineRule="auto"/>
        <w:ind w:left="5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7.1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样品采集和保存</w:t>
      </w:r>
    </w:p>
    <w:p>
      <w:pPr>
        <w:pStyle w:val="BodyText"/>
        <w:spacing w:before="220" w:line="268" w:lineRule="auto"/>
        <w:ind w:left="3" w:right="84" w:firstLine="423"/>
        <w:jc w:val="both"/>
      </w:pPr>
      <w:r>
        <w:rPr>
          <w:spacing w:val="4"/>
        </w:rPr>
        <w:t>分别按照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</w:rPr>
        <w:t>HJ</w:t>
      </w:r>
      <w:r>
        <w:rPr>
          <w:rFonts w:ascii="Times New Roman" w:eastAsia="Times New Roman" w:hAnsi="Times New Roman" w:cs="Times New Roman"/>
          <w:spacing w:val="4"/>
        </w:rPr>
        <w:t>/T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166</w:t>
      </w:r>
      <w:r>
        <w:rPr>
          <w:spacing w:val="4"/>
        </w:rPr>
        <w:t>、</w:t>
      </w:r>
      <w:r>
        <w:rPr>
          <w:rFonts w:ascii="Times New Roman" w:eastAsia="Times New Roman" w:hAnsi="Times New Roman" w:cs="Times New Roman"/>
        </w:rPr>
        <w:t>HJ</w:t>
      </w:r>
      <w:r>
        <w:rPr>
          <w:rFonts w:ascii="Times New Roman" w:eastAsia="Times New Roman" w:hAnsi="Times New Roman" w:cs="Times New Roman"/>
          <w:spacing w:val="4"/>
        </w:rPr>
        <w:t>/T 91</w:t>
      </w:r>
      <w:r>
        <w:rPr>
          <w:spacing w:val="4"/>
        </w:rPr>
        <w:t>、</w:t>
      </w:r>
      <w:r>
        <w:rPr>
          <w:rFonts w:ascii="Times New Roman" w:eastAsia="Times New Roman" w:hAnsi="Times New Roman" w:cs="Times New Roman"/>
        </w:rPr>
        <w:t>HJ</w:t>
      </w:r>
      <w:r>
        <w:rPr>
          <w:rFonts w:ascii="Times New Roman" w:eastAsia="Times New Roman" w:hAnsi="Times New Roman" w:cs="Times New Roman"/>
          <w:spacing w:val="4"/>
        </w:rPr>
        <w:t xml:space="preserve"> 442.4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4"/>
        </w:rPr>
        <w:t>、</w:t>
      </w: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17378.3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4"/>
        </w:rPr>
        <w:t>的相关要求采集和保存土壤和沉积物样品。采</w:t>
      </w:r>
      <w:r>
        <w:t xml:space="preserve"> </w:t>
      </w:r>
      <w:r>
        <w:rPr>
          <w:spacing w:val="5"/>
        </w:rPr>
        <w:t>样量不少于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250 g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5"/>
        </w:rPr>
        <w:t>。样品采集后，置于采样容器（</w:t>
      </w:r>
      <w:r>
        <w:rPr>
          <w:rFonts w:ascii="Times New Roman" w:eastAsia="Times New Roman" w:hAnsi="Times New Roman" w:cs="Times New Roman"/>
          <w:spacing w:val="5"/>
        </w:rPr>
        <w:t>6.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</w:t>
      </w:r>
      <w:r>
        <w:rPr>
          <w:spacing w:val="5"/>
        </w:rPr>
        <w:t>）中，密封、避光，</w:t>
      </w:r>
      <w:r>
        <w:rPr>
          <w:rFonts w:ascii="Times New Roman" w:eastAsia="Times New Roman" w:hAnsi="Times New Roman" w:cs="Times New Roman"/>
          <w:spacing w:val="5"/>
        </w:rPr>
        <w:t xml:space="preserve">4  </w:t>
      </w:r>
      <w:r>
        <w:rPr>
          <w:spacing w:val="5"/>
        </w:rPr>
        <w:t>℃以下冷藏保存，</w:t>
      </w:r>
      <w:r>
        <w:rPr>
          <w:rFonts w:ascii="Times New Roman" w:eastAsia="Times New Roman" w:hAnsi="Times New Roman" w:cs="Times New Roman"/>
          <w:spacing w:val="5"/>
        </w:rPr>
        <w:t xml:space="preserve">28 d  </w:t>
      </w:r>
      <w:r>
        <w:rPr>
          <w:spacing w:val="5"/>
        </w:rPr>
        <w:t>内完</w:t>
      </w:r>
      <w:r>
        <w:t xml:space="preserve"> </w:t>
      </w:r>
      <w:r>
        <w:rPr>
          <w:spacing w:val="5"/>
        </w:rPr>
        <w:t>成提取。</w:t>
      </w:r>
    </w:p>
    <w:p>
      <w:pPr>
        <w:spacing w:line="268" w:lineRule="auto"/>
        <w:sectPr>
          <w:footerReference w:type="default" r:id="rId9"/>
          <w:type w:val="nextPage"/>
          <w:pgSz w:w="11906" w:h="16839"/>
          <w:pgMar w:top="1431" w:right="1191" w:bottom="1320" w:left="1280" w:header="0" w:footer="1141" w:gutter="0"/>
          <w:pgNumType w:start="6"/>
          <w:cols w:space="708"/>
          <w:titlePg w:val="0"/>
        </w:sectPr>
      </w:pPr>
    </w:p>
    <w:p>
      <w:pPr>
        <w:pStyle w:val="BodyText"/>
        <w:spacing w:before="53" w:line="188" w:lineRule="auto"/>
        <w:ind w:left="92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HJ</w:t>
      </w:r>
      <w:r>
        <w:rPr>
          <w:rFonts w:ascii="Times New Roman" w:eastAsia="Times New Roman" w:hAnsi="Times New Roman" w:cs="Times New Roman"/>
          <w:b/>
          <w:bCs/>
          <w:spacing w:val="26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1334</w:t>
      </w:r>
      <w:r>
        <w:rPr>
          <w:spacing w:val="-3"/>
          <w:sz w:val="24"/>
          <w:szCs w:val="24"/>
        </w:rPr>
        <w:t>—</w:t>
      </w:r>
      <w:r>
        <w:rPr>
          <w:rFonts w:ascii="Arial" w:eastAsia="Arial" w:hAnsi="Arial" w:cs="Arial"/>
          <w:spacing w:val="-3"/>
          <w:sz w:val="24"/>
          <w:szCs w:val="24"/>
        </w:rPr>
        <w:t>2023</w:t>
      </w:r>
    </w:p>
    <w:p>
      <w:pPr>
        <w:spacing w:line="396" w:lineRule="auto"/>
        <w:rPr>
          <w:rFonts w:ascii="Arial"/>
          <w:sz w:val="21"/>
        </w:rPr>
      </w:pPr>
    </w:p>
    <w:p>
      <w:pPr>
        <w:spacing w:before="65" w:line="231" w:lineRule="auto"/>
        <w:ind w:left="96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7.2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样品的制备</w:t>
      </w:r>
    </w:p>
    <w:p>
      <w:pPr>
        <w:pStyle w:val="BodyText"/>
        <w:spacing w:before="217" w:line="227" w:lineRule="auto"/>
        <w:jc w:val="right"/>
      </w:pPr>
      <w:r>
        <w:rPr>
          <w:spacing w:val="-3"/>
        </w:rPr>
        <w:t>除去样品中的异物（枝棒、叶片、石子等</w:t>
      </w:r>
      <w:r>
        <w:rPr>
          <w:spacing w:val="-21"/>
        </w:rPr>
        <w:t>），</w:t>
      </w:r>
      <w:r>
        <w:rPr>
          <w:spacing w:val="-3"/>
        </w:rPr>
        <w:t>自然阴干或冷冻干燥后，</w:t>
      </w:r>
      <w:r>
        <w:rPr>
          <w:spacing w:val="-4"/>
        </w:rPr>
        <w:t>研磨、均质、过样品筛（</w:t>
      </w:r>
      <w:r>
        <w:rPr>
          <w:rFonts w:ascii="Times New Roman" w:eastAsia="Times New Roman" w:hAnsi="Times New Roman" w:cs="Times New Roman"/>
          <w:spacing w:val="-4"/>
        </w:rPr>
        <w:t>6.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12</w:t>
      </w:r>
      <w:r>
        <w:rPr>
          <w:spacing w:val="-4"/>
        </w:rPr>
        <w:t>）。</w:t>
      </w:r>
    </w:p>
    <w:p>
      <w:pPr>
        <w:spacing w:before="222" w:line="230" w:lineRule="auto"/>
        <w:ind w:left="96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7.3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水分的测定</w:t>
      </w:r>
    </w:p>
    <w:p>
      <w:pPr>
        <w:pStyle w:val="BodyText"/>
        <w:spacing w:before="218" w:line="227" w:lineRule="auto"/>
        <w:ind w:left="517"/>
      </w:pPr>
      <w:r>
        <w:rPr>
          <w:spacing w:val="7"/>
        </w:rPr>
        <w:t>按照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</w:rPr>
        <w:t>HJ</w:t>
      </w:r>
      <w:r>
        <w:rPr>
          <w:rFonts w:ascii="Times New Roman" w:eastAsia="Times New Roman" w:hAnsi="Times New Roman" w:cs="Times New Roman"/>
          <w:spacing w:val="7"/>
        </w:rPr>
        <w:t xml:space="preserve"> 613 </w:t>
      </w:r>
      <w:r>
        <w:rPr>
          <w:spacing w:val="7"/>
        </w:rPr>
        <w:t>测定土壤样品干物质含量，按照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17378.5 </w:t>
      </w:r>
      <w:r>
        <w:rPr>
          <w:spacing w:val="7"/>
        </w:rPr>
        <w:t>测定沉积物样品含水率。</w:t>
      </w:r>
    </w:p>
    <w:p>
      <w:pPr>
        <w:spacing w:before="222" w:line="229" w:lineRule="auto"/>
        <w:ind w:left="96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7.4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试样的制备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65" w:line="229" w:lineRule="auto"/>
        <w:ind w:left="96"/>
        <w:outlineLvl w:val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3"/>
          <w:sz w:val="20"/>
          <w:szCs w:val="20"/>
        </w:rPr>
        <w:t>7.4.1</w:t>
      </w:r>
      <w:r>
        <w:rPr>
          <w:rFonts w:ascii="SimHei" w:eastAsia="SimHei" w:hAnsi="SimHei" w:cs="SimHei"/>
          <w:spacing w:val="10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3"/>
          <w:sz w:val="20"/>
          <w:szCs w:val="20"/>
        </w:rPr>
        <w:t>提取</w:t>
      </w:r>
    </w:p>
    <w:p>
      <w:pPr>
        <w:pStyle w:val="BodyText"/>
        <w:spacing w:before="218" w:line="275" w:lineRule="auto"/>
        <w:ind w:left="97" w:right="84" w:firstLine="420"/>
        <w:jc w:val="both"/>
      </w:pPr>
      <w:r>
        <w:rPr>
          <w:spacing w:val="5"/>
        </w:rPr>
        <w:t>准确称取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2.0 g </w:t>
      </w:r>
      <w:r>
        <w:rPr>
          <w:spacing w:val="5"/>
        </w:rPr>
        <w:t>样品（</w:t>
      </w:r>
      <w:r>
        <w:rPr>
          <w:rFonts w:ascii="Times New Roman" w:eastAsia="Times New Roman" w:hAnsi="Times New Roman" w:cs="Times New Roman"/>
          <w:spacing w:val="5"/>
        </w:rPr>
        <w:t>7.2</w:t>
      </w:r>
      <w:r>
        <w:rPr>
          <w:spacing w:val="5"/>
        </w:rPr>
        <w:t>）转入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50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5"/>
        </w:rPr>
        <w:t>离心管（</w:t>
      </w:r>
      <w:r>
        <w:rPr>
          <w:rFonts w:ascii="Times New Roman" w:eastAsia="Times New Roman" w:hAnsi="Times New Roman" w:cs="Times New Roman"/>
          <w:spacing w:val="5"/>
        </w:rPr>
        <w:t>6.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14</w:t>
      </w:r>
      <w:r>
        <w:rPr>
          <w:spacing w:val="5"/>
        </w:rPr>
        <w:t>）中，加入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50.0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µl </w:t>
      </w:r>
      <w:r>
        <w:rPr>
          <w:spacing w:val="5"/>
        </w:rPr>
        <w:t>提取内标使用液（</w:t>
      </w:r>
      <w:r>
        <w:rPr>
          <w:rFonts w:ascii="Times New Roman" w:eastAsia="Times New Roman" w:hAnsi="Times New Roman" w:cs="Times New Roman"/>
          <w:spacing w:val="5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14</w:t>
      </w:r>
      <w:r>
        <w:rPr>
          <w:spacing w:val="5"/>
        </w:rPr>
        <w:t>）和</w:t>
      </w:r>
      <w: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10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spacing w:val="4"/>
        </w:rPr>
        <w:t>甲醇</w:t>
      </w:r>
      <w:r>
        <w:rPr>
          <w:rFonts w:ascii="Times New Roman" w:eastAsia="Times New Roman" w:hAnsi="Times New Roman" w:cs="Times New Roman"/>
          <w:spacing w:val="4"/>
        </w:rPr>
        <w:t>-</w:t>
      </w:r>
      <w:r>
        <w:rPr>
          <w:spacing w:val="4"/>
        </w:rPr>
        <w:t>水混合溶液（</w:t>
      </w:r>
      <w:r>
        <w:rPr>
          <w:rFonts w:ascii="Times New Roman" w:eastAsia="Times New Roman" w:hAnsi="Times New Roman" w:cs="Times New Roman"/>
          <w:spacing w:val="4"/>
        </w:rPr>
        <w:t>5.5</w:t>
      </w:r>
      <w:r>
        <w:rPr>
          <w:spacing w:val="14"/>
        </w:rPr>
        <w:t>），</w:t>
      </w:r>
      <w:r>
        <w:rPr>
          <w:spacing w:val="4"/>
        </w:rPr>
        <w:t>用涡旋振荡混匀器（</w:t>
      </w:r>
      <w:r>
        <w:rPr>
          <w:rFonts w:ascii="Times New Roman" w:eastAsia="Times New Roman" w:hAnsi="Times New Roman" w:cs="Times New Roman"/>
          <w:spacing w:val="4"/>
        </w:rPr>
        <w:t>6.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10</w:t>
      </w:r>
      <w:r>
        <w:rPr>
          <w:spacing w:val="4"/>
        </w:rPr>
        <w:t>）混合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1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4"/>
        </w:rPr>
        <w:t>。用提取装置（</w:t>
      </w:r>
      <w:r>
        <w:rPr>
          <w:rFonts w:ascii="Times New Roman" w:eastAsia="Times New Roman" w:hAnsi="Times New Roman" w:cs="Times New Roman"/>
          <w:spacing w:val="4"/>
        </w:rPr>
        <w:t>6.6</w:t>
      </w:r>
      <w:r>
        <w:rPr>
          <w:spacing w:val="4"/>
        </w:rPr>
        <w:t>）以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300 r/</w:t>
      </w:r>
      <w:r>
        <w:rPr>
          <w:rFonts w:ascii="Times New Roman" w:eastAsia="Times New Roman" w:hAnsi="Times New Roman" w:cs="Times New Roman"/>
        </w:rPr>
        <w:t xml:space="preserve">min </w:t>
      </w:r>
      <w:r>
        <w:rPr>
          <w:spacing w:val="6"/>
        </w:rPr>
        <w:t>常温振荡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2 h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6"/>
        </w:rPr>
        <w:t>，用离心机（</w:t>
      </w:r>
      <w:r>
        <w:rPr>
          <w:rFonts w:ascii="Times New Roman" w:eastAsia="Times New Roman" w:hAnsi="Times New Roman" w:cs="Times New Roman"/>
          <w:spacing w:val="6"/>
        </w:rPr>
        <w:t>6.9</w:t>
      </w:r>
      <w:r>
        <w:rPr>
          <w:spacing w:val="6"/>
        </w:rPr>
        <w:t>）离心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</w:t>
      </w:r>
      <w:r>
        <w:rPr>
          <w:rFonts w:ascii="Times New Roman" w:eastAsia="Times New Roman" w:hAnsi="Times New Roman" w:cs="Times New Roman"/>
          <w:spacing w:val="5"/>
        </w:rPr>
        <w:t xml:space="preserve">0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spacing w:val="5"/>
        </w:rPr>
        <w:t>。转移上清液于另一支离心管（</w:t>
      </w:r>
      <w:r>
        <w:rPr>
          <w:rFonts w:ascii="Times New Roman" w:eastAsia="Times New Roman" w:hAnsi="Times New Roman" w:cs="Times New Roman"/>
          <w:spacing w:val="5"/>
        </w:rPr>
        <w:t>6.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14</w:t>
      </w:r>
      <w:r>
        <w:rPr>
          <w:spacing w:val="5"/>
        </w:rPr>
        <w:t>）</w:t>
      </w:r>
      <w:r>
        <w:rPr>
          <w:spacing w:val="-60"/>
        </w:rPr>
        <w:t xml:space="preserve"> </w:t>
      </w:r>
      <w:r>
        <w:rPr>
          <w:spacing w:val="5"/>
        </w:rPr>
        <w:t>中。在保留样品的离</w:t>
      </w:r>
      <w:r>
        <w:t xml:space="preserve"> </w:t>
      </w:r>
      <w:r>
        <w:rPr>
          <w:spacing w:val="5"/>
        </w:rPr>
        <w:t>心管中加入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10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spacing w:val="5"/>
        </w:rPr>
        <w:t>甲醇</w:t>
      </w:r>
      <w:r>
        <w:rPr>
          <w:rFonts w:ascii="Times New Roman" w:eastAsia="Times New Roman" w:hAnsi="Times New Roman" w:cs="Times New Roman"/>
          <w:spacing w:val="5"/>
        </w:rPr>
        <w:t>-</w:t>
      </w:r>
      <w:r>
        <w:rPr>
          <w:spacing w:val="5"/>
        </w:rPr>
        <w:t>水混合溶液（</w:t>
      </w:r>
      <w:r>
        <w:rPr>
          <w:rFonts w:ascii="Times New Roman" w:eastAsia="Times New Roman" w:hAnsi="Times New Roman" w:cs="Times New Roman"/>
          <w:spacing w:val="5"/>
        </w:rPr>
        <w:t>5.5</w:t>
      </w:r>
      <w:r>
        <w:rPr>
          <w:spacing w:val="5"/>
        </w:rPr>
        <w:t>）重复提取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5"/>
        </w:rPr>
        <w:t>次，合并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2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spacing w:val="5"/>
        </w:rPr>
        <w:t>次提取液。提取液经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0</w:t>
      </w:r>
      <w:r>
        <w:rPr>
          <w:rFonts w:ascii="Times New Roman" w:eastAsia="Times New Roman" w:hAnsi="Times New Roman" w:cs="Times New Roman"/>
          <w:spacing w:val="4"/>
        </w:rPr>
        <w:t xml:space="preserve">.8 μm </w:t>
      </w:r>
      <w:r>
        <w:rPr>
          <w:spacing w:val="4"/>
        </w:rPr>
        <w:t>针头式过</w:t>
      </w:r>
      <w:r>
        <w:t xml:space="preserve"> </w:t>
      </w:r>
      <w:r>
        <w:rPr>
          <w:spacing w:val="7"/>
        </w:rPr>
        <w:t>滤器（</w:t>
      </w:r>
      <w:r>
        <w:rPr>
          <w:rFonts w:ascii="Times New Roman" w:eastAsia="Times New Roman" w:hAnsi="Times New Roman" w:cs="Times New Roman"/>
          <w:spacing w:val="7"/>
        </w:rPr>
        <w:t>5.20</w:t>
      </w:r>
      <w:r>
        <w:rPr>
          <w:spacing w:val="7"/>
        </w:rPr>
        <w:t>）过滤后加入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80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水，使用乙酸（</w:t>
      </w:r>
      <w:r>
        <w:rPr>
          <w:rFonts w:ascii="Times New Roman" w:eastAsia="Times New Roman" w:hAnsi="Times New Roman" w:cs="Times New Roman"/>
          <w:spacing w:val="7"/>
        </w:rPr>
        <w:t>5.2</w:t>
      </w:r>
      <w:r>
        <w:rPr>
          <w:spacing w:val="7"/>
        </w:rPr>
        <w:t>）或氨水（</w:t>
      </w:r>
      <w:r>
        <w:rPr>
          <w:rFonts w:ascii="Times New Roman" w:eastAsia="Times New Roman" w:hAnsi="Times New Roman" w:cs="Times New Roman"/>
          <w:spacing w:val="7"/>
        </w:rPr>
        <w:t>5.3</w:t>
      </w:r>
      <w:r>
        <w:rPr>
          <w:spacing w:val="7"/>
        </w:rPr>
        <w:t>）调节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</w:rPr>
        <w:t>pH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值</w:t>
      </w:r>
      <w:r>
        <w:rPr>
          <w:spacing w:val="6"/>
        </w:rPr>
        <w:t>至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6</w:t>
      </w:r>
      <w:r>
        <w:rPr>
          <w:spacing w:val="6"/>
        </w:rPr>
        <w:t>～</w:t>
      </w:r>
      <w:r>
        <w:rPr>
          <w:rFonts w:ascii="Times New Roman" w:eastAsia="Times New Roman" w:hAnsi="Times New Roman" w:cs="Times New Roman"/>
          <w:spacing w:val="6"/>
        </w:rPr>
        <w:t>8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6"/>
        </w:rPr>
        <w:t>，待净化。</w:t>
      </w:r>
    </w:p>
    <w:p>
      <w:pPr>
        <w:pStyle w:val="BodyText"/>
        <w:spacing w:before="87" w:line="222" w:lineRule="auto"/>
        <w:ind w:left="516"/>
        <w:rPr>
          <w:sz w:val="18"/>
          <w:szCs w:val="18"/>
        </w:rPr>
      </w:pPr>
      <w:r>
        <w:rPr>
          <w:rFonts w:ascii="SimHei" w:eastAsia="SimHei" w:hAnsi="SimHei" w:cs="SimHei"/>
          <w:sz w:val="18"/>
          <w:szCs w:val="18"/>
        </w:rPr>
        <w:t>注：</w:t>
      </w:r>
      <w:r>
        <w:rPr>
          <w:sz w:val="18"/>
          <w:szCs w:val="18"/>
        </w:rPr>
        <w:t>样品中含有硫时，提取液过滤前可使用铜丝（</w:t>
      </w:r>
      <w:r>
        <w:rPr>
          <w:rFonts w:ascii="Times New Roman" w:eastAsia="Times New Roman" w:hAnsi="Times New Roman" w:cs="Times New Roman"/>
          <w:sz w:val="18"/>
          <w:szCs w:val="18"/>
        </w:rPr>
        <w:t>5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.23</w:t>
      </w:r>
      <w:r>
        <w:rPr>
          <w:spacing w:val="-1"/>
          <w:sz w:val="18"/>
          <w:szCs w:val="18"/>
        </w:rPr>
        <w:t>）消除硫的干扰。</w:t>
      </w:r>
    </w:p>
    <w:p>
      <w:pPr>
        <w:spacing w:before="236" w:line="231" w:lineRule="auto"/>
        <w:ind w:left="96"/>
        <w:outlineLvl w:val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3"/>
          <w:sz w:val="20"/>
          <w:szCs w:val="20"/>
        </w:rPr>
        <w:t>7.4.2</w:t>
      </w:r>
      <w:r>
        <w:rPr>
          <w:rFonts w:ascii="SimHei" w:eastAsia="SimHei" w:hAnsi="SimHei" w:cs="SimHei"/>
          <w:spacing w:val="10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3"/>
          <w:sz w:val="20"/>
          <w:szCs w:val="20"/>
        </w:rPr>
        <w:t>净化</w:t>
      </w:r>
    </w:p>
    <w:p>
      <w:pPr>
        <w:pStyle w:val="BodyText"/>
        <w:spacing w:before="222" w:line="279" w:lineRule="auto"/>
        <w:ind w:left="95" w:firstLine="421"/>
        <w:jc w:val="both"/>
      </w:pPr>
      <w:r>
        <w:rPr>
          <w:spacing w:val="6"/>
        </w:rPr>
        <w:t>依次用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6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spacing w:val="6"/>
        </w:rPr>
        <w:t>氨水</w:t>
      </w:r>
      <w:r>
        <w:rPr>
          <w:rFonts w:ascii="Times New Roman" w:eastAsia="Times New Roman" w:hAnsi="Times New Roman" w:cs="Times New Roman"/>
          <w:spacing w:val="6"/>
        </w:rPr>
        <w:t>-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spacing w:val="6"/>
        </w:rPr>
        <w:t>甲醇混合溶液（</w:t>
      </w:r>
      <w:r>
        <w:rPr>
          <w:rFonts w:ascii="Times New Roman" w:eastAsia="Times New Roman" w:hAnsi="Times New Roman" w:cs="Times New Roman"/>
          <w:spacing w:val="6"/>
        </w:rPr>
        <w:t>5.6</w:t>
      </w:r>
      <w:r>
        <w:rPr>
          <w:spacing w:val="6"/>
        </w:rPr>
        <w:t>）、</w:t>
      </w:r>
      <w:r>
        <w:rPr>
          <w:rFonts w:ascii="Times New Roman" w:eastAsia="Times New Roman" w:hAnsi="Times New Roman" w:cs="Times New Roman"/>
          <w:spacing w:val="6"/>
        </w:rPr>
        <w:t xml:space="preserve">6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spacing w:val="6"/>
        </w:rPr>
        <w:t>甲醇（</w:t>
      </w:r>
      <w:r>
        <w:rPr>
          <w:rFonts w:ascii="Times New Roman" w:eastAsia="Times New Roman" w:hAnsi="Times New Roman" w:cs="Times New Roman"/>
          <w:spacing w:val="5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</w:t>
      </w:r>
      <w:r>
        <w:rPr>
          <w:spacing w:val="5"/>
        </w:rPr>
        <w:t>）和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6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5"/>
        </w:rPr>
        <w:t>水活化弱阴离子交换固相萃取柱</w:t>
      </w:r>
      <w:r>
        <w:t xml:space="preserve">  </w:t>
      </w:r>
      <w:r>
        <w:rPr>
          <w:spacing w:val="1"/>
        </w:rPr>
        <w:t>Ⅰ（</w:t>
      </w:r>
      <w:r>
        <w:rPr>
          <w:rFonts w:ascii="Times New Roman" w:eastAsia="Times New Roman" w:hAnsi="Times New Roman" w:cs="Times New Roman"/>
          <w:spacing w:val="1"/>
        </w:rPr>
        <w:t>5.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17</w:t>
      </w:r>
      <w:r>
        <w:rPr>
          <w:spacing w:val="-38"/>
          <w:w w:val="72"/>
        </w:rPr>
        <w:t>），</w:t>
      </w:r>
      <w:r>
        <w:rPr>
          <w:spacing w:val="1"/>
        </w:rPr>
        <w:t>在活化过程中应确保固相萃取柱填料不暴露于空气中。将经稀释的提取液（</w:t>
      </w:r>
      <w:r>
        <w:rPr>
          <w:rFonts w:ascii="Times New Roman" w:eastAsia="Times New Roman" w:hAnsi="Times New Roman" w:cs="Times New Roman"/>
          <w:spacing w:val="1"/>
        </w:rPr>
        <w:t>7.4</w:t>
      </w:r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</w:rPr>
        <w:t>1</w:t>
      </w:r>
      <w:r>
        <w:t>）以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</w:rPr>
        <w:t>3 ml/min</w:t>
      </w:r>
      <w:r>
        <w:t xml:space="preserve">~  </w:t>
      </w:r>
      <w:r>
        <w:rPr>
          <w:rFonts w:ascii="Times New Roman" w:eastAsia="Times New Roman" w:hAnsi="Times New Roman" w:cs="Times New Roman"/>
          <w:spacing w:val="6"/>
        </w:rPr>
        <w:t xml:space="preserve">5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6"/>
        </w:rPr>
        <w:t>/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45"/>
        </w:rPr>
        <w:t xml:space="preserve"> </w:t>
      </w:r>
      <w:r>
        <w:rPr>
          <w:spacing w:val="6"/>
        </w:rPr>
        <w:t>的流速通过固相萃取柱后，依次用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6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6"/>
        </w:rPr>
        <w:t>水和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8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6"/>
        </w:rPr>
        <w:t>乙酸铵缓冲液（</w:t>
      </w:r>
      <w:r>
        <w:rPr>
          <w:rFonts w:ascii="Times New Roman" w:eastAsia="Times New Roman" w:hAnsi="Times New Roman" w:cs="Times New Roman"/>
          <w:spacing w:val="6"/>
        </w:rPr>
        <w:t>5.8</w:t>
      </w:r>
      <w:r>
        <w:rPr>
          <w:spacing w:val="6"/>
        </w:rPr>
        <w:t>）淋洗固相萃取柱，弃去</w:t>
      </w:r>
      <w:r>
        <w:t xml:space="preserve">  </w:t>
      </w:r>
      <w:r>
        <w:rPr>
          <w:spacing w:val="7"/>
        </w:rPr>
        <w:t>淋洗液。用氮气（</w:t>
      </w:r>
      <w:r>
        <w:rPr>
          <w:rFonts w:ascii="Times New Roman" w:eastAsia="Times New Roman" w:hAnsi="Times New Roman" w:cs="Times New Roman"/>
          <w:spacing w:val="7"/>
        </w:rPr>
        <w:t>5.21</w:t>
      </w:r>
      <w:r>
        <w:rPr>
          <w:spacing w:val="7"/>
        </w:rPr>
        <w:t>）吹扫或固相萃取装置（</w:t>
      </w:r>
      <w:r>
        <w:rPr>
          <w:rFonts w:ascii="Times New Roman" w:eastAsia="Times New Roman" w:hAnsi="Times New Roman" w:cs="Times New Roman"/>
          <w:spacing w:val="7"/>
        </w:rPr>
        <w:t>6.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11</w:t>
      </w:r>
      <w:r>
        <w:rPr>
          <w:spacing w:val="7"/>
        </w:rPr>
        <w:t>）的真空泵抽气干燥固相萃取柱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10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7"/>
        </w:rPr>
        <w:t>，去除柱中</w:t>
      </w:r>
      <w:r>
        <w:t xml:space="preserve">  </w:t>
      </w:r>
      <w:r>
        <w:rPr>
          <w:spacing w:val="6"/>
        </w:rPr>
        <w:t>残留水分。用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8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spacing w:val="6"/>
        </w:rPr>
        <w:t>甲醇（</w:t>
      </w:r>
      <w:r>
        <w:rPr>
          <w:rFonts w:ascii="Times New Roman" w:eastAsia="Times New Roman" w:hAnsi="Times New Roman" w:cs="Times New Roman"/>
          <w:spacing w:val="6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</w:t>
      </w:r>
      <w:r>
        <w:rPr>
          <w:spacing w:val="6"/>
        </w:rPr>
        <w:t>）以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1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6"/>
        </w:rPr>
        <w:t>/</w:t>
      </w:r>
      <w:r>
        <w:rPr>
          <w:rFonts w:ascii="Times New Roman" w:eastAsia="Times New Roman" w:hAnsi="Times New Roman" w:cs="Times New Roman"/>
        </w:rPr>
        <w:t>min</w:t>
      </w:r>
      <w:r>
        <w:rPr>
          <w:spacing w:val="6"/>
        </w:rPr>
        <w:t>～</w:t>
      </w:r>
      <w:r>
        <w:rPr>
          <w:rFonts w:ascii="Times New Roman" w:eastAsia="Times New Roman" w:hAnsi="Times New Roman" w:cs="Times New Roman"/>
          <w:spacing w:val="6"/>
        </w:rPr>
        <w:t xml:space="preserve">3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6"/>
        </w:rPr>
        <w:t>/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6"/>
        </w:rPr>
        <w:t>的流速淋洗固相萃取柱，弃去淋</w:t>
      </w:r>
      <w:r>
        <w:rPr>
          <w:spacing w:val="5"/>
        </w:rPr>
        <w:t>洗液。再用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6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spacing w:val="6"/>
        </w:rPr>
        <w:t>氨水</w:t>
      </w:r>
      <w:r>
        <w:rPr>
          <w:rFonts w:ascii="Times New Roman" w:eastAsia="Times New Roman" w:hAnsi="Times New Roman" w:cs="Times New Roman"/>
          <w:spacing w:val="6"/>
        </w:rPr>
        <w:t>-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6"/>
        </w:rPr>
        <w:t>甲醇混合溶液（</w:t>
      </w:r>
      <w:r>
        <w:rPr>
          <w:rFonts w:ascii="Times New Roman" w:eastAsia="Times New Roman" w:hAnsi="Times New Roman" w:cs="Times New Roman"/>
          <w:spacing w:val="6"/>
        </w:rPr>
        <w:t>5.6</w:t>
      </w:r>
      <w:r>
        <w:rPr>
          <w:spacing w:val="6"/>
        </w:rPr>
        <w:t>）以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1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6"/>
        </w:rPr>
        <w:t>/</w:t>
      </w:r>
      <w:r>
        <w:rPr>
          <w:rFonts w:ascii="Times New Roman" w:eastAsia="Times New Roman" w:hAnsi="Times New Roman" w:cs="Times New Roman"/>
        </w:rPr>
        <w:t>min</w:t>
      </w:r>
      <w:r>
        <w:rPr>
          <w:spacing w:val="6"/>
        </w:rPr>
        <w:t>～</w:t>
      </w:r>
      <w:r>
        <w:rPr>
          <w:rFonts w:ascii="Times New Roman" w:eastAsia="Times New Roman" w:hAnsi="Times New Roman" w:cs="Times New Roman"/>
          <w:spacing w:val="6"/>
        </w:rPr>
        <w:t xml:space="preserve">3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6"/>
        </w:rPr>
        <w:t>/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6"/>
        </w:rPr>
        <w:t>的流速洗脱固相萃取柱，收集洗脱液于离心管（</w:t>
      </w:r>
      <w:r>
        <w:rPr>
          <w:rFonts w:ascii="Times New Roman" w:eastAsia="Times New Roman" w:hAnsi="Times New Roman" w:cs="Times New Roman"/>
          <w:spacing w:val="6"/>
        </w:rPr>
        <w:t>6.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14</w:t>
      </w:r>
      <w:r>
        <w:rPr>
          <w:spacing w:val="6"/>
        </w:rPr>
        <w:t>）</w:t>
      </w:r>
      <w:r>
        <w:t xml:space="preserve"> </w:t>
      </w:r>
      <w:r>
        <w:t>中。</w:t>
      </w:r>
    </w:p>
    <w:p>
      <w:pPr>
        <w:pStyle w:val="BodyText"/>
        <w:spacing w:before="80" w:line="312" w:lineRule="exact"/>
        <w:ind w:left="516"/>
        <w:rPr>
          <w:sz w:val="18"/>
          <w:szCs w:val="18"/>
        </w:rPr>
      </w:pPr>
      <w:r>
        <w:rPr>
          <w:rFonts w:ascii="SimHei" w:eastAsia="SimHei" w:hAnsi="SimHei" w:cs="SimHei"/>
          <w:spacing w:val="-1"/>
          <w:position w:val="9"/>
          <w:sz w:val="18"/>
          <w:szCs w:val="18"/>
        </w:rPr>
        <w:t>注</w:t>
      </w:r>
      <w:r>
        <w:rPr>
          <w:rFonts w:ascii="SimHei" w:eastAsia="SimHei" w:hAnsi="SimHei" w:cs="SimHei"/>
          <w:spacing w:val="-31"/>
          <w:position w:val="9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1"/>
          <w:position w:val="9"/>
          <w:sz w:val="18"/>
          <w:szCs w:val="18"/>
        </w:rPr>
        <w:t>1：</w:t>
      </w:r>
      <w:r>
        <w:rPr>
          <w:spacing w:val="-1"/>
          <w:position w:val="9"/>
          <w:sz w:val="18"/>
          <w:szCs w:val="18"/>
        </w:rPr>
        <w:t>污染场地内或周边样品可使用弱阴离子交换固相萃取柱Ⅱ（</w:t>
      </w:r>
      <w:r>
        <w:rPr>
          <w:rFonts w:ascii="Times New Roman" w:eastAsia="Times New Roman" w:hAnsi="Times New Roman" w:cs="Times New Roman"/>
          <w:spacing w:val="-1"/>
          <w:position w:val="9"/>
          <w:sz w:val="18"/>
          <w:szCs w:val="18"/>
        </w:rPr>
        <w:t>5.</w:t>
      </w:r>
      <w:r>
        <w:rPr>
          <w:rFonts w:ascii="Times New Roman" w:eastAsia="Times New Roman" w:hAnsi="Times New Roman" w:cs="Times New Roman"/>
          <w:spacing w:val="-23"/>
          <w:position w:val="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9"/>
          <w:sz w:val="18"/>
          <w:szCs w:val="18"/>
        </w:rPr>
        <w:t>18</w:t>
      </w:r>
      <w:r>
        <w:rPr>
          <w:spacing w:val="-1"/>
          <w:position w:val="9"/>
          <w:sz w:val="18"/>
          <w:szCs w:val="18"/>
        </w:rPr>
        <w:t>）以防</w:t>
      </w:r>
      <w:r>
        <w:rPr>
          <w:spacing w:val="-2"/>
          <w:position w:val="9"/>
          <w:sz w:val="18"/>
          <w:szCs w:val="18"/>
        </w:rPr>
        <w:t>止填料穿透。</w:t>
      </w:r>
    </w:p>
    <w:p>
      <w:pPr>
        <w:pStyle w:val="BodyText"/>
        <w:spacing w:before="1" w:line="221" w:lineRule="auto"/>
        <w:ind w:left="516"/>
        <w:rPr>
          <w:sz w:val="18"/>
          <w:szCs w:val="18"/>
        </w:rPr>
      </w:pPr>
      <w:r>
        <w:rPr>
          <w:rFonts w:ascii="SimHei" w:eastAsia="SimHei" w:hAnsi="SimHei" w:cs="SimHei"/>
          <w:spacing w:val="-1"/>
          <w:sz w:val="18"/>
          <w:szCs w:val="18"/>
        </w:rPr>
        <w:t>注</w:t>
      </w:r>
      <w:r>
        <w:rPr>
          <w:rFonts w:ascii="SimHei" w:eastAsia="SimHei" w:hAnsi="SimHei" w:cs="SimHei"/>
          <w:spacing w:val="-38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1"/>
          <w:sz w:val="18"/>
          <w:szCs w:val="18"/>
        </w:rPr>
        <w:t>2：</w:t>
      </w:r>
      <w:r>
        <w:rPr>
          <w:spacing w:val="-1"/>
          <w:sz w:val="18"/>
          <w:szCs w:val="18"/>
        </w:rPr>
        <w:t>样品提取和净化过程应连续完成。</w:t>
      </w:r>
    </w:p>
    <w:p>
      <w:pPr>
        <w:spacing w:before="237" w:line="229" w:lineRule="auto"/>
        <w:ind w:left="96"/>
        <w:outlineLvl w:val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3"/>
          <w:sz w:val="20"/>
          <w:szCs w:val="20"/>
        </w:rPr>
        <w:t>7.4.3</w:t>
      </w:r>
      <w:r>
        <w:rPr>
          <w:rFonts w:ascii="SimHei" w:eastAsia="SimHei" w:hAnsi="SimHei" w:cs="SimHei"/>
          <w:spacing w:val="10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3"/>
          <w:sz w:val="20"/>
          <w:szCs w:val="20"/>
        </w:rPr>
        <w:t>浓缩</w:t>
      </w:r>
    </w:p>
    <w:p>
      <w:pPr>
        <w:pStyle w:val="BodyText"/>
        <w:spacing w:before="219" w:line="268" w:lineRule="auto"/>
        <w:ind w:right="84" w:firstLine="517"/>
        <w:jc w:val="both"/>
      </w:pPr>
      <w:r>
        <w:rPr>
          <w:spacing w:val="7"/>
        </w:rPr>
        <w:t>用浓缩装置（</w:t>
      </w:r>
      <w:r>
        <w:rPr>
          <w:rFonts w:ascii="Times New Roman" w:eastAsia="Times New Roman" w:hAnsi="Times New Roman" w:cs="Times New Roman"/>
          <w:spacing w:val="7"/>
        </w:rPr>
        <w:t>6.7</w:t>
      </w:r>
      <w:r>
        <w:rPr>
          <w:spacing w:val="7"/>
        </w:rPr>
        <w:t>）将洗脱液（</w:t>
      </w:r>
      <w:r>
        <w:rPr>
          <w:rFonts w:ascii="Times New Roman" w:eastAsia="Times New Roman" w:hAnsi="Times New Roman" w:cs="Times New Roman"/>
          <w:spacing w:val="7"/>
        </w:rPr>
        <w:t>7.4.2</w:t>
      </w:r>
      <w:r>
        <w:rPr>
          <w:spacing w:val="7"/>
        </w:rPr>
        <w:t>）浓缩至近干，加入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50.0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µl </w:t>
      </w:r>
      <w:r>
        <w:rPr>
          <w:spacing w:val="7"/>
        </w:rPr>
        <w:t>进样内标使用液（</w:t>
      </w:r>
      <w:r>
        <w:rPr>
          <w:rFonts w:ascii="Times New Roman" w:eastAsia="Times New Roman" w:hAnsi="Times New Roman" w:cs="Times New Roman"/>
          <w:spacing w:val="7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16</w:t>
      </w:r>
      <w:r>
        <w:rPr>
          <w:spacing w:val="19"/>
        </w:rPr>
        <w:t>），</w:t>
      </w:r>
      <w:r>
        <w:rPr>
          <w:spacing w:val="7"/>
        </w:rPr>
        <w:t>用甲醇</w:t>
      </w:r>
      <w:r>
        <w:t xml:space="preserve"> </w:t>
      </w:r>
      <w:r>
        <w:rPr>
          <w:spacing w:val="5"/>
        </w:rPr>
        <w:t>（</w:t>
      </w:r>
      <w:r>
        <w:rPr>
          <w:rFonts w:ascii="Times New Roman" w:eastAsia="Times New Roman" w:hAnsi="Times New Roman" w:cs="Times New Roman"/>
          <w:spacing w:val="5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</w:t>
      </w:r>
      <w:r>
        <w:rPr>
          <w:spacing w:val="5"/>
        </w:rPr>
        <w:t>）定容至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1.0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5"/>
        </w:rPr>
        <w:t>，混匀后经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0.22 μm </w:t>
      </w:r>
      <w:r>
        <w:rPr>
          <w:spacing w:val="5"/>
        </w:rPr>
        <w:t>或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0.4</w:t>
      </w:r>
      <w:r>
        <w:rPr>
          <w:rFonts w:ascii="Times New Roman" w:eastAsia="Times New Roman" w:hAnsi="Times New Roman" w:cs="Times New Roman"/>
          <w:spacing w:val="4"/>
        </w:rPr>
        <w:t xml:space="preserve">5 μm </w:t>
      </w:r>
      <w:r>
        <w:rPr>
          <w:spacing w:val="4"/>
        </w:rPr>
        <w:t>针头式过滤器（</w:t>
      </w:r>
      <w:r>
        <w:rPr>
          <w:rFonts w:ascii="Times New Roman" w:eastAsia="Times New Roman" w:hAnsi="Times New Roman" w:cs="Times New Roman"/>
          <w:spacing w:val="4"/>
        </w:rPr>
        <w:t>5.20</w:t>
      </w:r>
      <w:r>
        <w:rPr>
          <w:spacing w:val="4"/>
        </w:rPr>
        <w:t>）过滤至进样瓶（</w:t>
      </w:r>
      <w:r>
        <w:rPr>
          <w:rFonts w:ascii="Times New Roman" w:eastAsia="Times New Roman" w:hAnsi="Times New Roman" w:cs="Times New Roman"/>
          <w:spacing w:val="4"/>
        </w:rPr>
        <w:t>6.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15</w:t>
      </w:r>
      <w:r>
        <w:rPr>
          <w:spacing w:val="4"/>
        </w:rPr>
        <w:t>）中，密</w:t>
      </w:r>
      <w:r>
        <w:t xml:space="preserve"> </w:t>
      </w:r>
      <w:r>
        <w:rPr>
          <w:spacing w:val="10"/>
        </w:rPr>
        <w:t>封、避光，</w:t>
      </w:r>
      <w:r>
        <w:rPr>
          <w:rFonts w:ascii="Times New Roman" w:eastAsia="Times New Roman" w:hAnsi="Times New Roman" w:cs="Times New Roman"/>
          <w:spacing w:val="10"/>
        </w:rPr>
        <w:t xml:space="preserve">4  </w:t>
      </w:r>
      <w:r>
        <w:rPr>
          <w:spacing w:val="10"/>
        </w:rPr>
        <w:t>℃以下冷藏保存，</w:t>
      </w:r>
      <w:r>
        <w:rPr>
          <w:rFonts w:ascii="Times New Roman" w:eastAsia="Times New Roman" w:hAnsi="Times New Roman" w:cs="Times New Roman"/>
          <w:spacing w:val="10"/>
        </w:rPr>
        <w:t>28 d</w:t>
      </w:r>
      <w:r>
        <w:rPr>
          <w:rFonts w:ascii="Times New Roman" w:eastAsia="Times New Roman" w:hAnsi="Times New Roman" w:cs="Times New Roman"/>
          <w:spacing w:val="37"/>
        </w:rPr>
        <w:t xml:space="preserve"> </w:t>
      </w:r>
      <w:r>
        <w:rPr>
          <w:spacing w:val="10"/>
        </w:rPr>
        <w:t>内完成分</w:t>
      </w:r>
      <w:r>
        <w:rPr>
          <w:spacing w:val="9"/>
        </w:rPr>
        <w:t>析。</w:t>
      </w:r>
    </w:p>
    <w:p>
      <w:pPr>
        <w:spacing w:before="221" w:line="229" w:lineRule="auto"/>
        <w:ind w:left="96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7.5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空白试样的制备</w:t>
      </w:r>
    </w:p>
    <w:p>
      <w:pPr>
        <w:pStyle w:val="BodyText"/>
        <w:spacing w:before="220" w:line="228" w:lineRule="auto"/>
        <w:ind w:left="517"/>
      </w:pPr>
      <w:r>
        <w:rPr>
          <w:spacing w:val="8"/>
        </w:rPr>
        <w:t>用石英砂（</w:t>
      </w:r>
      <w:r>
        <w:rPr>
          <w:rFonts w:ascii="Times New Roman" w:eastAsia="Times New Roman" w:hAnsi="Times New Roman" w:cs="Times New Roman"/>
          <w:spacing w:val="8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19</w:t>
      </w:r>
      <w:r>
        <w:rPr>
          <w:spacing w:val="8"/>
        </w:rPr>
        <w:t>）代替样品，按照与试样的制备（</w:t>
      </w:r>
      <w:r>
        <w:rPr>
          <w:rFonts w:ascii="Times New Roman" w:eastAsia="Times New Roman" w:hAnsi="Times New Roman" w:cs="Times New Roman"/>
          <w:spacing w:val="8"/>
        </w:rPr>
        <w:t>7.4</w:t>
      </w:r>
      <w:r>
        <w:rPr>
          <w:spacing w:val="8"/>
        </w:rPr>
        <w:t>）相同的步骤制备实验室空白</w:t>
      </w:r>
      <w:r>
        <w:rPr>
          <w:spacing w:val="7"/>
        </w:rPr>
        <w:t>试样。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65" w:line="229" w:lineRule="auto"/>
        <w:ind w:left="9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8</w:t>
      </w:r>
      <w:r>
        <w:rPr>
          <w:rFonts w:ascii="SimHei" w:eastAsia="SimHei" w:hAnsi="SimHei" w:cs="SimHei"/>
          <w:spacing w:val="12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4"/>
          <w:sz w:val="20"/>
          <w:szCs w:val="20"/>
        </w:rPr>
        <w:t>分析步骤</w:t>
      </w:r>
    </w:p>
    <w:p>
      <w:pPr>
        <w:spacing w:line="463" w:lineRule="auto"/>
        <w:rPr>
          <w:rFonts w:ascii="Arial"/>
          <w:sz w:val="21"/>
        </w:rPr>
        <w:sectPr>
          <w:footerReference w:type="default" r:id="rId10"/>
          <w:pgSz w:w="11906" w:h="16839"/>
          <w:pgMar w:top="1431" w:right="1191" w:bottom="1320" w:left="1189" w:header="0" w:footer="1141" w:gutter="0"/>
          <w:pgNumType w:start="7"/>
          <w:cols w:space="708"/>
        </w:sectPr>
      </w:pPr>
    </w:p>
    <w:p>
      <w:pPr>
        <w:spacing w:before="66" w:line="230" w:lineRule="auto"/>
        <w:ind w:left="92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8.1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仪器参考条件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5" w:line="229" w:lineRule="auto"/>
        <w:ind w:left="92"/>
        <w:outlineLvl w:val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8.1.1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液相色谱参考条件</w:t>
      </w:r>
    </w:p>
    <w:p>
      <w:pPr>
        <w:pStyle w:val="BodyText"/>
        <w:spacing w:before="220" w:line="221" w:lineRule="auto"/>
        <w:ind w:left="516"/>
      </w:pPr>
      <w:r>
        <w:rPr>
          <w:spacing w:val="4"/>
        </w:rPr>
        <w:t>流动相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A</w:t>
      </w:r>
      <w:r>
        <w:rPr>
          <w:spacing w:val="4"/>
        </w:rPr>
        <w:t>：</w:t>
      </w:r>
      <w:r>
        <w:rPr>
          <w:spacing w:val="-51"/>
        </w:rPr>
        <w:t xml:space="preserve"> </w:t>
      </w:r>
      <w:r>
        <w:rPr>
          <w:spacing w:val="4"/>
        </w:rPr>
        <w:t>甲醇（</w:t>
      </w:r>
      <w:r>
        <w:rPr>
          <w:rFonts w:ascii="Times New Roman" w:eastAsia="Times New Roman" w:hAnsi="Times New Roman" w:cs="Times New Roman"/>
          <w:spacing w:val="4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1</w:t>
      </w:r>
      <w:r>
        <w:rPr>
          <w:spacing w:val="10"/>
        </w:rPr>
        <w:t>）；</w:t>
      </w:r>
      <w:r>
        <w:rPr>
          <w:spacing w:val="4"/>
        </w:rPr>
        <w:t>流动相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B</w:t>
      </w:r>
      <w:r>
        <w:rPr>
          <w:spacing w:val="4"/>
        </w:rPr>
        <w:t>：</w:t>
      </w:r>
      <w:r>
        <w:rPr>
          <w:spacing w:val="-57"/>
        </w:rPr>
        <w:t xml:space="preserve"> </w:t>
      </w:r>
      <w:r>
        <w:rPr>
          <w:spacing w:val="4"/>
        </w:rPr>
        <w:t>乙酸铵水溶液（</w:t>
      </w:r>
      <w:r>
        <w:rPr>
          <w:rFonts w:ascii="Times New Roman" w:eastAsia="Times New Roman" w:hAnsi="Times New Roman" w:cs="Times New Roman"/>
          <w:spacing w:val="4"/>
        </w:rPr>
        <w:t>5.7</w:t>
      </w:r>
      <w:r>
        <w:rPr>
          <w:spacing w:val="10"/>
        </w:rPr>
        <w:t>）</w:t>
      </w:r>
      <w:r>
        <w:rPr>
          <w:spacing w:val="-59"/>
        </w:rPr>
        <w:t xml:space="preserve"> </w:t>
      </w:r>
      <w:r>
        <w:rPr>
          <w:spacing w:val="10"/>
        </w:rPr>
        <w:t>；</w:t>
      </w:r>
      <w:r>
        <w:rPr>
          <w:spacing w:val="4"/>
        </w:rPr>
        <w:t>柱温：</w:t>
      </w:r>
      <w:r>
        <w:rPr>
          <w:rFonts w:ascii="Times New Roman" w:eastAsia="Times New Roman" w:hAnsi="Times New Roman" w:cs="Times New Roman"/>
          <w:spacing w:val="4"/>
        </w:rPr>
        <w:t xml:space="preserve">35  </w:t>
      </w:r>
      <w:r>
        <w:rPr>
          <w:spacing w:val="4"/>
        </w:rPr>
        <w:t>℃;</w:t>
      </w:r>
      <w:r>
        <w:rPr>
          <w:spacing w:val="62"/>
        </w:rPr>
        <w:t xml:space="preserve"> </w:t>
      </w:r>
      <w:r>
        <w:rPr>
          <w:spacing w:val="4"/>
        </w:rPr>
        <w:t>进样体积：</w:t>
      </w:r>
      <w:r>
        <w:rPr>
          <w:rFonts w:ascii="Times New Roman" w:eastAsia="Times New Roman" w:hAnsi="Times New Roman" w:cs="Times New Roman"/>
          <w:spacing w:val="4"/>
        </w:rPr>
        <w:t>5.0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μl</w:t>
      </w:r>
      <w:r>
        <w:rPr>
          <w:spacing w:val="4"/>
        </w:rPr>
        <w:t>；流</w:t>
      </w:r>
    </w:p>
    <w:p>
      <w:pPr>
        <w:spacing w:line="221" w:lineRule="auto"/>
        <w:sectPr>
          <w:footerReference w:type="default" r:id="rId11"/>
          <w:type w:val="nextPage"/>
          <w:pgSz w:w="11906" w:h="16839"/>
          <w:pgMar w:top="1431" w:right="1191" w:bottom="1320" w:left="1189" w:header="0" w:footer="1141" w:gutter="0"/>
          <w:pgNumType w:start="8"/>
          <w:cols w:space="708"/>
          <w:titlePg w:val="0"/>
        </w:sectPr>
      </w:pPr>
    </w:p>
    <w:p>
      <w:pPr>
        <w:pStyle w:val="BodyText"/>
        <w:spacing w:before="53" w:line="188" w:lineRule="auto"/>
        <w:ind w:left="7803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HJ</w:t>
      </w:r>
      <w:r>
        <w:rPr>
          <w:rFonts w:ascii="Times New Roman" w:eastAsia="Times New Roman" w:hAnsi="Times New Roman" w:cs="Times New Roman"/>
          <w:b/>
          <w:bCs/>
          <w:spacing w:val="26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1334</w:t>
      </w:r>
      <w:r>
        <w:rPr>
          <w:spacing w:val="-3"/>
          <w:sz w:val="24"/>
          <w:szCs w:val="24"/>
        </w:rPr>
        <w:t>—</w:t>
      </w:r>
      <w:r>
        <w:rPr>
          <w:rFonts w:ascii="Arial" w:eastAsia="Arial" w:hAnsi="Arial" w:cs="Arial"/>
          <w:spacing w:val="-3"/>
          <w:sz w:val="24"/>
          <w:szCs w:val="24"/>
        </w:rPr>
        <w:t>2023</w:t>
      </w:r>
    </w:p>
    <w:p>
      <w:pPr>
        <w:rPr>
          <w:rFonts w:ascii="Arial"/>
          <w:sz w:val="21"/>
        </w:rPr>
      </w:pPr>
    </w:p>
    <w:p>
      <w:pPr>
        <w:pStyle w:val="BodyText"/>
        <w:spacing w:before="65" w:line="228" w:lineRule="auto"/>
        <w:ind w:left="125"/>
      </w:pPr>
      <w:r>
        <w:rPr>
          <w:spacing w:val="6"/>
        </w:rPr>
        <w:t>速：</w:t>
      </w:r>
      <w:r>
        <w:rPr>
          <w:rFonts w:ascii="Times New Roman" w:eastAsia="Times New Roman" w:hAnsi="Times New Roman" w:cs="Times New Roman"/>
          <w:spacing w:val="6"/>
        </w:rPr>
        <w:t xml:space="preserve">0.3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6"/>
        </w:rPr>
        <w:t>/</w:t>
      </w:r>
      <w:r>
        <w:rPr>
          <w:rFonts w:ascii="Times New Roman" w:eastAsia="Times New Roman" w:hAnsi="Times New Roman" w:cs="Times New Roman"/>
        </w:rPr>
        <w:t>min</w:t>
      </w:r>
      <w:r>
        <w:rPr>
          <w:spacing w:val="6"/>
        </w:rPr>
        <w:t>；梯度洗脱程序参见表</w:t>
      </w:r>
      <w:r>
        <w:rPr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</w:t>
      </w:r>
      <w:r>
        <w:rPr>
          <w:spacing w:val="6"/>
        </w:rPr>
        <w:t>。</w:t>
      </w:r>
    </w:p>
    <w:p>
      <w:pPr>
        <w:spacing w:before="221" w:line="229" w:lineRule="auto"/>
        <w:ind w:left="406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表1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梯度洗脱程序</w:t>
      </w:r>
    </w:p>
    <w:p>
      <w:pPr>
        <w:spacing w:line="167" w:lineRule="exact"/>
      </w:pPr>
    </w:p>
    <w:tbl>
      <w:tblPr>
        <w:tblStyle w:val="TableNormal0"/>
        <w:tblW w:w="9570" w:type="dxa"/>
        <w:tblInd w:w="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891"/>
        <w:gridCol w:w="3193"/>
        <w:gridCol w:w="3486"/>
      </w:tblGrid>
      <w:tr>
        <w:tblPrEx>
          <w:tblW w:w="9570" w:type="dxa"/>
          <w:tblInd w:w="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95"/>
        </w:trPr>
        <w:tc>
          <w:tcPr>
            <w:tcW w:w="2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57" w:line="224" w:lineRule="auto"/>
              <w:ind w:left="1163"/>
              <w:rPr>
                <w:rFonts w:ascii="SimHei" w:eastAsia="SimHei" w:hAnsi="SimHei" w:cs="SimHei"/>
              </w:rPr>
            </w:pPr>
            <w:r>
              <w:rPr>
                <w:rFonts w:ascii="SimSun" w:eastAsia="SimSun" w:hAnsi="SimSun" w:cs="SimSun"/>
                <w:spacing w:val="-3"/>
              </w:rPr>
              <w:t>时间</w:t>
            </w:r>
            <w:r>
              <w:rPr>
                <w:rFonts w:ascii="SimHei" w:eastAsia="SimHei" w:hAnsi="SimHei" w:cs="SimHei"/>
                <w:spacing w:val="-3"/>
              </w:rPr>
              <w:t>（</w:t>
            </w:r>
            <w:r>
              <w:rPr>
                <w:spacing w:val="-3"/>
              </w:rPr>
              <w:t>min</w:t>
            </w:r>
            <w:r>
              <w:rPr>
                <w:rFonts w:ascii="SimHei" w:eastAsia="SimHei" w:hAnsi="SimHei" w:cs="SimHei"/>
                <w:spacing w:val="-3"/>
              </w:rPr>
              <w:t>）</w:t>
            </w:r>
          </w:p>
        </w:tc>
        <w:tc>
          <w:tcPr>
            <w:tcW w:w="3193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56" w:line="220" w:lineRule="auto"/>
              <w:ind w:left="1221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流动相</w:t>
            </w:r>
            <w:r>
              <w:rPr>
                <w:spacing w:val="-2"/>
              </w:rPr>
              <w:t>A</w:t>
            </w:r>
            <w:r>
              <w:rPr>
                <w:rFonts w:ascii="SimSun" w:eastAsia="SimSun" w:hAnsi="SimSun" w:cs="SimSun"/>
                <w:spacing w:val="-2"/>
              </w:rPr>
              <w:t>（</w:t>
            </w:r>
            <w:r>
              <w:rPr>
                <w:spacing w:val="-2"/>
              </w:rPr>
              <w:t>%</w:t>
            </w:r>
            <w:r>
              <w:rPr>
                <w:rFonts w:ascii="SimSun" w:eastAsia="SimSun" w:hAnsi="SimSun" w:cs="SimSun"/>
                <w:spacing w:val="-2"/>
              </w:rPr>
              <w:t>）</w:t>
            </w:r>
          </w:p>
        </w:tc>
        <w:tc>
          <w:tcPr>
            <w:tcW w:w="348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56" w:line="220" w:lineRule="auto"/>
              <w:ind w:left="1374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流动相</w:t>
            </w:r>
            <w:r>
              <w:rPr>
                <w:spacing w:val="-2"/>
              </w:rPr>
              <w:t>B</w:t>
            </w:r>
            <w:r>
              <w:rPr>
                <w:rFonts w:ascii="SimSun" w:eastAsia="SimSun" w:hAnsi="SimSun" w:cs="SimSun"/>
                <w:spacing w:val="-2"/>
              </w:rPr>
              <w:t>（</w:t>
            </w:r>
            <w:r>
              <w:rPr>
                <w:spacing w:val="-2"/>
              </w:rPr>
              <w:t>%</w:t>
            </w:r>
            <w:r>
              <w:rPr>
                <w:rFonts w:ascii="SimSun" w:eastAsia="SimSun" w:hAnsi="SimSun" w:cs="SimSun"/>
                <w:spacing w:val="-2"/>
              </w:rPr>
              <w:t>）</w:t>
            </w:r>
          </w:p>
        </w:tc>
      </w:tr>
      <w:tr>
        <w:tblPrEx>
          <w:tblW w:w="9570" w:type="dxa"/>
          <w:tblInd w:w="9" w:type="dxa"/>
          <w:tblLayout w:type="fixed"/>
        </w:tblPrEx>
        <w:trPr>
          <w:trHeight w:val="281"/>
        </w:trPr>
        <w:tc>
          <w:tcPr>
            <w:tcW w:w="2891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80" w:line="188" w:lineRule="auto"/>
              <w:ind w:left="1399"/>
            </w:pPr>
            <w:r>
              <w:t>0</w:t>
            </w:r>
          </w:p>
        </w:tc>
        <w:tc>
          <w:tcPr>
            <w:tcW w:w="319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80" w:line="188" w:lineRule="auto"/>
              <w:ind w:left="1511"/>
            </w:pPr>
            <w:r>
              <w:rPr>
                <w:spacing w:val="-4"/>
              </w:rPr>
              <w:t>30</w:t>
            </w:r>
          </w:p>
        </w:tc>
        <w:tc>
          <w:tcPr>
            <w:tcW w:w="3486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80" w:line="188" w:lineRule="auto"/>
              <w:ind w:left="1656"/>
            </w:pPr>
            <w:r>
              <w:rPr>
                <w:spacing w:val="-3"/>
              </w:rPr>
              <w:t>70</w:t>
            </w:r>
          </w:p>
        </w:tc>
      </w:tr>
      <w:tr>
        <w:tblPrEx>
          <w:tblW w:w="9570" w:type="dxa"/>
          <w:tblInd w:w="9" w:type="dxa"/>
          <w:tblLayout w:type="fixed"/>
        </w:tblPrEx>
        <w:trPr>
          <w:trHeight w:val="286"/>
        </w:trPr>
        <w:tc>
          <w:tcPr>
            <w:tcW w:w="289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9" w:line="185" w:lineRule="auto"/>
              <w:ind w:left="1399"/>
            </w:pPr>
            <w:r>
              <w:t>7</w:t>
            </w:r>
          </w:p>
        </w:tc>
        <w:tc>
          <w:tcPr>
            <w:tcW w:w="3193" w:type="dxa"/>
            <w:vAlign w:val="top"/>
          </w:tcPr>
          <w:p>
            <w:pPr>
              <w:pStyle w:val="TableText"/>
              <w:spacing w:before="87" w:line="188" w:lineRule="auto"/>
              <w:ind w:left="1511"/>
            </w:pPr>
            <w:r>
              <w:rPr>
                <w:spacing w:val="-4"/>
              </w:rPr>
              <w:t>60</w:t>
            </w:r>
          </w:p>
        </w:tc>
        <w:tc>
          <w:tcPr>
            <w:tcW w:w="348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7" w:line="188" w:lineRule="auto"/>
              <w:ind w:left="1652"/>
            </w:pPr>
            <w:r>
              <w:rPr>
                <w:spacing w:val="-1"/>
              </w:rPr>
              <w:t>40</w:t>
            </w:r>
          </w:p>
        </w:tc>
      </w:tr>
      <w:tr>
        <w:tblPrEx>
          <w:tblW w:w="9570" w:type="dxa"/>
          <w:tblInd w:w="9" w:type="dxa"/>
          <w:tblLayout w:type="fixed"/>
        </w:tblPrEx>
        <w:trPr>
          <w:trHeight w:val="264"/>
        </w:trPr>
        <w:tc>
          <w:tcPr>
            <w:tcW w:w="289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79" w:line="188" w:lineRule="auto"/>
              <w:ind w:left="1368"/>
            </w:pPr>
            <w:r>
              <w:rPr>
                <w:spacing w:val="-10"/>
              </w:rPr>
              <w:t>13</w:t>
            </w:r>
          </w:p>
        </w:tc>
        <w:tc>
          <w:tcPr>
            <w:tcW w:w="3193" w:type="dxa"/>
            <w:vAlign w:val="top"/>
          </w:tcPr>
          <w:p>
            <w:pPr>
              <w:pStyle w:val="TableText"/>
              <w:spacing w:before="79" w:line="188" w:lineRule="auto"/>
              <w:ind w:left="1511"/>
            </w:pPr>
            <w:r>
              <w:rPr>
                <w:spacing w:val="-4"/>
              </w:rPr>
              <w:t>95</w:t>
            </w:r>
          </w:p>
        </w:tc>
        <w:tc>
          <w:tcPr>
            <w:tcW w:w="348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2" w:line="185" w:lineRule="auto"/>
              <w:ind w:left="1703"/>
            </w:pPr>
            <w:r>
              <w:t>5</w:t>
            </w:r>
          </w:p>
        </w:tc>
      </w:tr>
      <w:tr>
        <w:tblPrEx>
          <w:tblW w:w="9570" w:type="dxa"/>
          <w:tblInd w:w="9" w:type="dxa"/>
          <w:tblLayout w:type="fixed"/>
        </w:tblPrEx>
        <w:trPr>
          <w:trHeight w:val="286"/>
        </w:trPr>
        <w:tc>
          <w:tcPr>
            <w:tcW w:w="289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1" w:line="188" w:lineRule="auto"/>
              <w:ind w:left="1368"/>
            </w:pPr>
            <w:r>
              <w:rPr>
                <w:spacing w:val="-10"/>
              </w:rPr>
              <w:t>16</w:t>
            </w:r>
          </w:p>
        </w:tc>
        <w:tc>
          <w:tcPr>
            <w:tcW w:w="3193" w:type="dxa"/>
            <w:vAlign w:val="top"/>
          </w:tcPr>
          <w:p>
            <w:pPr>
              <w:pStyle w:val="TableText"/>
              <w:spacing w:before="91" w:line="188" w:lineRule="auto"/>
              <w:ind w:left="1511"/>
            </w:pPr>
            <w:r>
              <w:rPr>
                <w:spacing w:val="-4"/>
              </w:rPr>
              <w:t>95</w:t>
            </w:r>
          </w:p>
        </w:tc>
        <w:tc>
          <w:tcPr>
            <w:tcW w:w="348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3" w:line="185" w:lineRule="auto"/>
              <w:ind w:left="1703"/>
            </w:pPr>
            <w:r>
              <w:t>5</w:t>
            </w:r>
          </w:p>
        </w:tc>
      </w:tr>
      <w:tr>
        <w:tblPrEx>
          <w:tblW w:w="9570" w:type="dxa"/>
          <w:tblInd w:w="9" w:type="dxa"/>
          <w:tblLayout w:type="fixed"/>
        </w:tblPrEx>
        <w:trPr>
          <w:trHeight w:val="286"/>
        </w:trPr>
        <w:tc>
          <w:tcPr>
            <w:tcW w:w="289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3" w:line="188" w:lineRule="auto"/>
              <w:ind w:left="1300"/>
            </w:pPr>
            <w:r>
              <w:rPr>
                <w:spacing w:val="-6"/>
              </w:rPr>
              <w:t>16.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1</w:t>
            </w:r>
          </w:p>
        </w:tc>
        <w:tc>
          <w:tcPr>
            <w:tcW w:w="3193" w:type="dxa"/>
            <w:vAlign w:val="top"/>
          </w:tcPr>
          <w:p>
            <w:pPr>
              <w:pStyle w:val="TableText"/>
              <w:spacing w:before="93" w:line="188" w:lineRule="auto"/>
              <w:ind w:left="1511"/>
            </w:pPr>
            <w:r>
              <w:rPr>
                <w:spacing w:val="-4"/>
              </w:rPr>
              <w:t>30</w:t>
            </w:r>
          </w:p>
        </w:tc>
        <w:tc>
          <w:tcPr>
            <w:tcW w:w="348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3" w:line="188" w:lineRule="auto"/>
              <w:ind w:left="1656"/>
            </w:pPr>
            <w:r>
              <w:rPr>
                <w:spacing w:val="-3"/>
              </w:rPr>
              <w:t>70</w:t>
            </w:r>
          </w:p>
        </w:tc>
      </w:tr>
      <w:tr>
        <w:tblPrEx>
          <w:tblW w:w="9570" w:type="dxa"/>
          <w:tblInd w:w="9" w:type="dxa"/>
          <w:tblLayout w:type="fixed"/>
        </w:tblPrEx>
        <w:trPr>
          <w:trHeight w:val="300"/>
        </w:trPr>
        <w:tc>
          <w:tcPr>
            <w:tcW w:w="2891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4" w:line="188" w:lineRule="auto"/>
              <w:ind w:left="1350"/>
            </w:pPr>
            <w:r>
              <w:rPr>
                <w:spacing w:val="-2"/>
              </w:rPr>
              <w:t>20</w:t>
            </w:r>
          </w:p>
        </w:tc>
        <w:tc>
          <w:tcPr>
            <w:tcW w:w="3193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4" w:line="188" w:lineRule="auto"/>
              <w:ind w:left="1511"/>
            </w:pPr>
            <w:r>
              <w:rPr>
                <w:spacing w:val="-4"/>
              </w:rPr>
              <w:t>30</w:t>
            </w:r>
          </w:p>
        </w:tc>
        <w:tc>
          <w:tcPr>
            <w:tcW w:w="3486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94" w:line="188" w:lineRule="auto"/>
              <w:ind w:left="1656"/>
            </w:pPr>
            <w:r>
              <w:rPr>
                <w:spacing w:val="-3"/>
              </w:rPr>
              <w:t>70</w:t>
            </w:r>
          </w:p>
        </w:tc>
      </w:tr>
    </w:tbl>
    <w:p>
      <w:pPr>
        <w:spacing w:line="452" w:lineRule="auto"/>
        <w:rPr>
          <w:rFonts w:ascii="Arial"/>
          <w:sz w:val="21"/>
        </w:rPr>
      </w:pPr>
    </w:p>
    <w:p>
      <w:pPr>
        <w:spacing w:before="66" w:line="229" w:lineRule="auto"/>
        <w:ind w:left="124"/>
        <w:outlineLvl w:val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8.1.2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质谱参考条件</w:t>
      </w:r>
    </w:p>
    <w:p>
      <w:pPr>
        <w:pStyle w:val="BodyText"/>
        <w:spacing w:before="219" w:line="268" w:lineRule="auto"/>
        <w:ind w:left="124" w:right="174" w:firstLine="446"/>
        <w:jc w:val="both"/>
      </w:pPr>
      <w:r>
        <w:rPr>
          <w:spacing w:val="-1"/>
        </w:rPr>
        <w:t>电喷雾离子源，负离子模式；监测方式：多反应监测；</w:t>
      </w:r>
      <w:r>
        <w:rPr>
          <w:spacing w:val="-2"/>
        </w:rPr>
        <w:t>毛细管电压：</w:t>
      </w:r>
      <w:r>
        <w:rPr>
          <w:rFonts w:ascii="Times New Roman" w:eastAsia="Times New Roman" w:hAnsi="Times New Roman" w:cs="Times New Roman"/>
          <w:spacing w:val="-2"/>
        </w:rPr>
        <w:t>2500 V</w:t>
      </w:r>
      <w:r>
        <w:rPr>
          <w:spacing w:val="-2"/>
        </w:rPr>
        <w:t>；真空接口温度：</w:t>
      </w:r>
      <w:r>
        <w:rPr>
          <w:rFonts w:ascii="Times New Roman" w:eastAsia="Times New Roman" w:hAnsi="Times New Roman" w:cs="Times New Roman"/>
          <w:spacing w:val="-2"/>
        </w:rPr>
        <w:t>200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spacing w:val="-2"/>
        </w:rPr>
        <w:t>℃;</w:t>
      </w:r>
      <w:r>
        <w:t xml:space="preserve"> </w:t>
      </w:r>
      <w:r>
        <w:rPr>
          <w:spacing w:val="6"/>
        </w:rPr>
        <w:t>去溶剂气温度：</w:t>
      </w:r>
      <w:r>
        <w:rPr>
          <w:rFonts w:ascii="Times New Roman" w:eastAsia="Times New Roman" w:hAnsi="Times New Roman" w:cs="Times New Roman"/>
          <w:spacing w:val="6"/>
        </w:rPr>
        <w:t xml:space="preserve">350  </w:t>
      </w:r>
      <w:r>
        <w:rPr>
          <w:spacing w:val="6"/>
        </w:rPr>
        <w:t>℃;</w:t>
      </w:r>
      <w:r>
        <w:rPr>
          <w:spacing w:val="64"/>
        </w:rPr>
        <w:t xml:space="preserve"> </w:t>
      </w:r>
      <w:r>
        <w:rPr>
          <w:spacing w:val="6"/>
        </w:rPr>
        <w:t>雾化气流量：</w:t>
      </w:r>
      <w:r>
        <w:rPr>
          <w:rFonts w:ascii="Times New Roman" w:eastAsia="Times New Roman" w:hAnsi="Times New Roman" w:cs="Times New Roman"/>
          <w:spacing w:val="6"/>
        </w:rPr>
        <w:t>1.0 L/</w:t>
      </w:r>
      <w:r>
        <w:rPr>
          <w:rFonts w:ascii="Times New Roman" w:eastAsia="Times New Roman" w:hAnsi="Times New Roman" w:cs="Times New Roman"/>
        </w:rPr>
        <w:t>min</w:t>
      </w:r>
      <w:r>
        <w:rPr>
          <w:spacing w:val="6"/>
        </w:rPr>
        <w:t>；去溶剂气流量：</w:t>
      </w:r>
      <w:r>
        <w:rPr>
          <w:rFonts w:ascii="Times New Roman" w:eastAsia="Times New Roman" w:hAnsi="Times New Roman" w:cs="Times New Roman"/>
          <w:spacing w:val="6"/>
        </w:rPr>
        <w:t>15 L/</w:t>
      </w:r>
      <w:r>
        <w:rPr>
          <w:rFonts w:ascii="Times New Roman" w:eastAsia="Times New Roman" w:hAnsi="Times New Roman" w:cs="Times New Roman"/>
        </w:rPr>
        <w:t>min</w:t>
      </w:r>
      <w:r>
        <w:rPr>
          <w:spacing w:val="6"/>
        </w:rPr>
        <w:t>；反吹气流量：</w:t>
      </w:r>
      <w:r>
        <w:rPr>
          <w:rFonts w:ascii="Times New Roman" w:eastAsia="Times New Roman" w:hAnsi="Times New Roman" w:cs="Times New Roman"/>
          <w:spacing w:val="6"/>
        </w:rPr>
        <w:t>1.5 L/</w:t>
      </w:r>
      <w:r>
        <w:rPr>
          <w:rFonts w:ascii="Times New Roman" w:eastAsia="Times New Roman" w:hAnsi="Times New Roman" w:cs="Times New Roman"/>
        </w:rPr>
        <w:t>min</w:t>
      </w:r>
      <w:r>
        <w:rPr>
          <w:spacing w:val="6"/>
        </w:rPr>
        <w:t>；</w:t>
      </w:r>
      <w:r>
        <w:t xml:space="preserve"> </w:t>
      </w:r>
      <w:r>
        <w:rPr>
          <w:spacing w:val="7"/>
        </w:rPr>
        <w:t>碰撞气流量：</w:t>
      </w:r>
      <w:r>
        <w:rPr>
          <w:rFonts w:ascii="Times New Roman" w:eastAsia="Times New Roman" w:hAnsi="Times New Roman" w:cs="Times New Roman"/>
          <w:spacing w:val="7"/>
        </w:rPr>
        <w:t xml:space="preserve">0.25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7"/>
        </w:rPr>
        <w:t>/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7"/>
        </w:rPr>
        <w:t>。多反应监测条件参见表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2</w:t>
      </w:r>
      <w:r>
        <w:rPr>
          <w:spacing w:val="7"/>
        </w:rPr>
        <w:t>。</w:t>
      </w:r>
    </w:p>
    <w:p>
      <w:pPr>
        <w:spacing w:before="222" w:line="229" w:lineRule="auto"/>
        <w:ind w:left="375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表2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质谱多反应监测条件</w:t>
      </w:r>
    </w:p>
    <w:p>
      <w:pPr>
        <w:spacing w:line="168" w:lineRule="exact"/>
      </w:pPr>
    </w:p>
    <w:tbl>
      <w:tblPr>
        <w:tblStyle w:val="TableNormal0"/>
        <w:tblW w:w="958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2"/>
        <w:gridCol w:w="1800"/>
        <w:gridCol w:w="1720"/>
        <w:gridCol w:w="1672"/>
        <w:gridCol w:w="1797"/>
        <w:gridCol w:w="1723"/>
      </w:tblGrid>
      <w:tr>
        <w:tblPrEx>
          <w:tblW w:w="958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53"/>
        </w:trPr>
        <w:tc>
          <w:tcPr>
            <w:tcW w:w="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before="42" w:line="206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编号</w:t>
            </w:r>
          </w:p>
        </w:tc>
        <w:tc>
          <w:tcPr>
            <w:tcW w:w="1800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before="42" w:line="206" w:lineRule="auto"/>
              <w:ind w:left="6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化合物</w:t>
            </w:r>
          </w:p>
        </w:tc>
        <w:tc>
          <w:tcPr>
            <w:tcW w:w="1720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2" w:line="206" w:lineRule="auto"/>
              <w:ind w:left="287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"/>
              </w:rPr>
              <w:t>母离子（</w:t>
            </w:r>
            <w:r>
              <w:rPr>
                <w:i/>
                <w:iCs/>
                <w:spacing w:val="-1"/>
              </w:rPr>
              <w:t>m</w:t>
            </w:r>
            <w:r>
              <w:rPr>
                <w:spacing w:val="-1"/>
              </w:rPr>
              <w:t>/</w:t>
            </w:r>
            <w:r>
              <w:rPr>
                <w:i/>
                <w:iCs/>
                <w:spacing w:val="-1"/>
              </w:rPr>
              <w:t>z</w:t>
            </w:r>
            <w:r>
              <w:rPr>
                <w:rFonts w:ascii="SimSun" w:eastAsia="SimSun" w:hAnsi="SimSun" w:cs="SimSun"/>
                <w:spacing w:val="-1"/>
              </w:rPr>
              <w:t>）</w:t>
            </w:r>
          </w:p>
        </w:tc>
        <w:tc>
          <w:tcPr>
            <w:tcW w:w="1672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2" w:line="206" w:lineRule="auto"/>
              <w:ind w:left="267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"/>
              </w:rPr>
              <w:t>子离子（</w:t>
            </w:r>
            <w:r>
              <w:rPr>
                <w:i/>
                <w:iCs/>
                <w:spacing w:val="-1"/>
              </w:rPr>
              <w:t>m</w:t>
            </w:r>
            <w:r>
              <w:rPr>
                <w:spacing w:val="-1"/>
              </w:rPr>
              <w:t>/</w:t>
            </w:r>
            <w:r>
              <w:rPr>
                <w:i/>
                <w:iCs/>
                <w:spacing w:val="-1"/>
              </w:rPr>
              <w:t>z</w:t>
            </w:r>
            <w:r>
              <w:rPr>
                <w:rFonts w:ascii="SimSun" w:eastAsia="SimSun" w:hAnsi="SimSun" w:cs="SimSun"/>
                <w:spacing w:val="-1"/>
              </w:rPr>
              <w:t>）</w:t>
            </w:r>
          </w:p>
        </w:tc>
        <w:tc>
          <w:tcPr>
            <w:tcW w:w="1797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2" w:line="206" w:lineRule="auto"/>
              <w:ind w:left="300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"/>
              </w:rPr>
              <w:t>锥孔电压（</w:t>
            </w:r>
            <w:r>
              <w:rPr>
                <w:spacing w:val="-1"/>
              </w:rPr>
              <w:t>V</w:t>
            </w:r>
            <w:r>
              <w:rPr>
                <w:rFonts w:ascii="SimSun" w:eastAsia="SimSun" w:hAnsi="SimSun" w:cs="SimSun"/>
                <w:spacing w:val="-1"/>
              </w:rPr>
              <w:t>）</w:t>
            </w:r>
          </w:p>
        </w:tc>
        <w:tc>
          <w:tcPr>
            <w:tcW w:w="172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2" w:line="206" w:lineRule="auto"/>
              <w:ind w:left="261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"/>
              </w:rPr>
              <w:t>碰撞能量（</w:t>
            </w:r>
            <w:r>
              <w:rPr>
                <w:spacing w:val="-1"/>
              </w:rPr>
              <w:t>V</w:t>
            </w:r>
            <w:r>
              <w:rPr>
                <w:rFonts w:ascii="SimSun" w:eastAsia="SimSun" w:hAnsi="SimSun" w:cs="SimSun"/>
                <w:spacing w:val="-1"/>
              </w:rPr>
              <w:t>）</w:t>
            </w:r>
          </w:p>
        </w:tc>
      </w:tr>
      <w:tr>
        <w:tblPrEx>
          <w:tblW w:w="9584" w:type="dxa"/>
          <w:tblInd w:w="7" w:type="dxa"/>
          <w:tblLayout w:type="fixed"/>
        </w:tblPrEx>
        <w:trPr>
          <w:trHeight w:val="282"/>
        </w:trPr>
        <w:tc>
          <w:tcPr>
            <w:tcW w:w="872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232" w:line="188" w:lineRule="auto"/>
              <w:ind w:left="402"/>
            </w:pPr>
            <w:r>
              <w:t>1</w:t>
            </w:r>
          </w:p>
        </w:tc>
        <w:tc>
          <w:tcPr>
            <w:tcW w:w="1800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232" w:line="188" w:lineRule="auto"/>
              <w:ind w:left="665"/>
            </w:pPr>
            <w:r>
              <w:rPr>
                <w:spacing w:val="-1"/>
              </w:rPr>
              <w:t>PFOA</w:t>
            </w:r>
          </w:p>
        </w:tc>
        <w:tc>
          <w:tcPr>
            <w:tcW w:w="1720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86" w:line="188" w:lineRule="auto"/>
              <w:ind w:left="722"/>
            </w:pPr>
            <w:r>
              <w:rPr>
                <w:spacing w:val="-1"/>
              </w:rPr>
              <w:t>413</w:t>
            </w:r>
          </w:p>
        </w:tc>
        <w:tc>
          <w:tcPr>
            <w:tcW w:w="1672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69" w:line="208" w:lineRule="auto"/>
              <w:ind w:left="677"/>
              <w:rPr>
                <w:sz w:val="11"/>
                <w:szCs w:val="11"/>
              </w:rPr>
            </w:pPr>
            <w:r>
              <w:rPr>
                <w:spacing w:val="-1"/>
              </w:rPr>
              <w:t>369</w:t>
            </w:r>
            <w:r>
              <w:rPr>
                <w:spacing w:val="-1"/>
                <w:position w:val="5"/>
                <w:sz w:val="11"/>
                <w:szCs w:val="11"/>
              </w:rPr>
              <w:t>*</w:t>
            </w:r>
          </w:p>
        </w:tc>
        <w:tc>
          <w:tcPr>
            <w:tcW w:w="1797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9" w:line="188" w:lineRule="auto"/>
              <w:ind w:left="831"/>
            </w:pPr>
            <w:r>
              <w:rPr>
                <w:spacing w:val="-10"/>
              </w:rPr>
              <w:t>15</w:t>
            </w:r>
          </w:p>
        </w:tc>
        <w:tc>
          <w:tcPr>
            <w:tcW w:w="1723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9" w:line="188" w:lineRule="auto"/>
              <w:ind w:left="790"/>
            </w:pPr>
            <w:r>
              <w:rPr>
                <w:spacing w:val="-10"/>
              </w:rPr>
              <w:t>13</w:t>
            </w:r>
          </w:p>
        </w:tc>
      </w:tr>
      <w:tr>
        <w:tblPrEx>
          <w:tblW w:w="9584" w:type="dxa"/>
          <w:tblInd w:w="7" w:type="dxa"/>
          <w:tblLayout w:type="fixed"/>
        </w:tblPrEx>
        <w:trPr>
          <w:trHeight w:val="286"/>
        </w:trPr>
        <w:tc>
          <w:tcPr>
            <w:tcW w:w="87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0" w:type="dxa"/>
            <w:vAlign w:val="top"/>
          </w:tcPr>
          <w:p>
            <w:pPr>
              <w:pStyle w:val="TableText"/>
              <w:spacing w:before="92" w:line="188" w:lineRule="auto"/>
              <w:ind w:left="722"/>
            </w:pPr>
            <w:r>
              <w:rPr>
                <w:spacing w:val="-1"/>
              </w:rPr>
              <w:t>413</w:t>
            </w:r>
          </w:p>
        </w:tc>
        <w:tc>
          <w:tcPr>
            <w:tcW w:w="1672" w:type="dxa"/>
            <w:vAlign w:val="top"/>
          </w:tcPr>
          <w:p>
            <w:pPr>
              <w:pStyle w:val="TableText"/>
              <w:spacing w:before="76" w:line="206" w:lineRule="auto"/>
              <w:ind w:left="691"/>
              <w:rPr>
                <w:sz w:val="11"/>
                <w:szCs w:val="11"/>
              </w:rPr>
            </w:pPr>
            <w:r>
              <w:rPr>
                <w:spacing w:val="-7"/>
              </w:rPr>
              <w:t>169</w:t>
            </w:r>
            <w:r>
              <w:rPr>
                <w:spacing w:val="2"/>
                <w:position w:val="5"/>
                <w:sz w:val="11"/>
                <w:szCs w:val="11"/>
              </w:rPr>
              <w:t>#</w:t>
            </w:r>
          </w:p>
        </w:tc>
        <w:tc>
          <w:tcPr>
            <w:tcW w:w="1797" w:type="dxa"/>
            <w:vAlign w:val="top"/>
          </w:tcPr>
          <w:p>
            <w:pPr>
              <w:pStyle w:val="TableText"/>
              <w:spacing w:before="84" w:line="188" w:lineRule="auto"/>
              <w:ind w:left="831"/>
            </w:pPr>
            <w:r>
              <w:rPr>
                <w:spacing w:val="-10"/>
              </w:rPr>
              <w:t>15</w:t>
            </w:r>
          </w:p>
        </w:tc>
        <w:tc>
          <w:tcPr>
            <w:tcW w:w="172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4" w:line="188" w:lineRule="auto"/>
              <w:ind w:left="773"/>
            </w:pPr>
            <w:r>
              <w:rPr>
                <w:spacing w:val="-2"/>
              </w:rPr>
              <w:t>24</w:t>
            </w:r>
          </w:p>
        </w:tc>
      </w:tr>
      <w:tr>
        <w:tblPrEx>
          <w:tblW w:w="9584" w:type="dxa"/>
          <w:tblInd w:w="7" w:type="dxa"/>
          <w:tblLayout w:type="fixed"/>
        </w:tblPrEx>
        <w:trPr>
          <w:trHeight w:val="287"/>
        </w:trPr>
        <w:tc>
          <w:tcPr>
            <w:tcW w:w="87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242" w:line="188" w:lineRule="auto"/>
              <w:ind w:left="385"/>
            </w:pPr>
            <w:r>
              <w:t>2</w:t>
            </w:r>
          </w:p>
        </w:tc>
        <w:tc>
          <w:tcPr>
            <w:tcW w:w="180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17" w:line="200" w:lineRule="auto"/>
              <w:ind w:left="497"/>
            </w:pPr>
            <w:r>
              <w:rPr>
                <w:spacing w:val="-1"/>
                <w:position w:val="5"/>
                <w:sz w:val="11"/>
                <w:szCs w:val="11"/>
              </w:rPr>
              <w:t>13</w:t>
            </w:r>
            <w:r>
              <w:rPr>
                <w:spacing w:val="-1"/>
              </w:rPr>
              <w:t>C</w:t>
            </w:r>
            <w:r>
              <w:rPr>
                <w:spacing w:val="-1"/>
                <w:position w:val="-2"/>
                <w:sz w:val="11"/>
                <w:szCs w:val="11"/>
              </w:rPr>
              <w:t>2</w:t>
            </w:r>
            <w:r>
              <w:rPr>
                <w:spacing w:val="-1"/>
              </w:rPr>
              <w:t>-PFOA</w:t>
            </w:r>
          </w:p>
        </w:tc>
        <w:tc>
          <w:tcPr>
            <w:tcW w:w="1720" w:type="dxa"/>
            <w:vAlign w:val="top"/>
          </w:tcPr>
          <w:p>
            <w:pPr>
              <w:pStyle w:val="TableText"/>
              <w:spacing w:before="93" w:line="188" w:lineRule="auto"/>
              <w:ind w:left="722"/>
            </w:pPr>
            <w:r>
              <w:rPr>
                <w:spacing w:val="-1"/>
              </w:rPr>
              <w:t>415</w:t>
            </w:r>
          </w:p>
        </w:tc>
        <w:tc>
          <w:tcPr>
            <w:tcW w:w="1672" w:type="dxa"/>
            <w:vAlign w:val="top"/>
          </w:tcPr>
          <w:p>
            <w:pPr>
              <w:pStyle w:val="TableText"/>
              <w:spacing w:before="76" w:line="208" w:lineRule="auto"/>
              <w:ind w:left="677"/>
              <w:rPr>
                <w:sz w:val="11"/>
                <w:szCs w:val="11"/>
              </w:rPr>
            </w:pPr>
            <w:r>
              <w:rPr>
                <w:spacing w:val="-1"/>
              </w:rPr>
              <w:t>370</w:t>
            </w:r>
            <w:r>
              <w:rPr>
                <w:spacing w:val="-1"/>
                <w:position w:val="5"/>
                <w:sz w:val="11"/>
                <w:szCs w:val="11"/>
              </w:rPr>
              <w:t>*</w:t>
            </w:r>
          </w:p>
        </w:tc>
        <w:tc>
          <w:tcPr>
            <w:tcW w:w="1797" w:type="dxa"/>
            <w:vAlign w:val="top"/>
          </w:tcPr>
          <w:p>
            <w:pPr>
              <w:pStyle w:val="TableText"/>
              <w:spacing w:before="86" w:line="188" w:lineRule="auto"/>
              <w:ind w:left="831"/>
            </w:pPr>
            <w:r>
              <w:rPr>
                <w:spacing w:val="-10"/>
              </w:rPr>
              <w:t>15</w:t>
            </w:r>
          </w:p>
        </w:tc>
        <w:tc>
          <w:tcPr>
            <w:tcW w:w="172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6" w:line="188" w:lineRule="auto"/>
              <w:ind w:left="790"/>
            </w:pPr>
            <w:r>
              <w:rPr>
                <w:spacing w:val="-10"/>
              </w:rPr>
              <w:t>13</w:t>
            </w:r>
          </w:p>
        </w:tc>
      </w:tr>
      <w:tr>
        <w:tblPrEx>
          <w:tblW w:w="9584" w:type="dxa"/>
          <w:tblInd w:w="7" w:type="dxa"/>
          <w:tblLayout w:type="fixed"/>
        </w:tblPrEx>
        <w:trPr>
          <w:trHeight w:val="287"/>
        </w:trPr>
        <w:tc>
          <w:tcPr>
            <w:tcW w:w="87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0" w:type="dxa"/>
            <w:vAlign w:val="top"/>
          </w:tcPr>
          <w:p>
            <w:pPr>
              <w:pStyle w:val="TableText"/>
              <w:spacing w:before="94" w:line="188" w:lineRule="auto"/>
              <w:ind w:left="722"/>
            </w:pPr>
            <w:r>
              <w:rPr>
                <w:spacing w:val="-1"/>
              </w:rPr>
              <w:t>415</w:t>
            </w:r>
          </w:p>
        </w:tc>
        <w:tc>
          <w:tcPr>
            <w:tcW w:w="1672" w:type="dxa"/>
            <w:vAlign w:val="top"/>
          </w:tcPr>
          <w:p>
            <w:pPr>
              <w:pStyle w:val="TableText"/>
              <w:spacing w:before="79" w:line="206" w:lineRule="auto"/>
              <w:ind w:left="691"/>
              <w:rPr>
                <w:sz w:val="11"/>
                <w:szCs w:val="11"/>
              </w:rPr>
            </w:pPr>
            <w:r>
              <w:rPr>
                <w:spacing w:val="-8"/>
              </w:rPr>
              <w:t>169</w:t>
            </w:r>
            <w:r>
              <w:rPr>
                <w:spacing w:val="5"/>
                <w:position w:val="5"/>
                <w:sz w:val="11"/>
                <w:szCs w:val="11"/>
              </w:rPr>
              <w:t>#</w:t>
            </w:r>
          </w:p>
        </w:tc>
        <w:tc>
          <w:tcPr>
            <w:tcW w:w="1797" w:type="dxa"/>
            <w:vAlign w:val="top"/>
          </w:tcPr>
          <w:p>
            <w:pPr>
              <w:pStyle w:val="TableText"/>
              <w:spacing w:before="87" w:line="188" w:lineRule="auto"/>
              <w:ind w:left="831"/>
            </w:pPr>
            <w:r>
              <w:rPr>
                <w:spacing w:val="-10"/>
              </w:rPr>
              <w:t>15</w:t>
            </w:r>
          </w:p>
        </w:tc>
        <w:tc>
          <w:tcPr>
            <w:tcW w:w="172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7" w:line="188" w:lineRule="auto"/>
              <w:ind w:left="773"/>
            </w:pPr>
            <w:r>
              <w:rPr>
                <w:spacing w:val="-2"/>
              </w:rPr>
              <w:t>24</w:t>
            </w:r>
          </w:p>
        </w:tc>
      </w:tr>
      <w:tr>
        <w:tblPrEx>
          <w:tblW w:w="9584" w:type="dxa"/>
          <w:tblInd w:w="7" w:type="dxa"/>
          <w:tblLayout w:type="fixed"/>
        </w:tblPrEx>
        <w:trPr>
          <w:trHeight w:val="287"/>
        </w:trPr>
        <w:tc>
          <w:tcPr>
            <w:tcW w:w="87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244" w:line="188" w:lineRule="auto"/>
              <w:ind w:left="389"/>
            </w:pPr>
            <w:r>
              <w:t>3</w:t>
            </w:r>
          </w:p>
        </w:tc>
        <w:tc>
          <w:tcPr>
            <w:tcW w:w="180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18" w:line="200" w:lineRule="auto"/>
              <w:ind w:left="497"/>
            </w:pPr>
            <w:r>
              <w:rPr>
                <w:spacing w:val="-1"/>
                <w:position w:val="5"/>
                <w:sz w:val="11"/>
                <w:szCs w:val="11"/>
              </w:rPr>
              <w:t>13</w:t>
            </w:r>
            <w:r>
              <w:rPr>
                <w:spacing w:val="-1"/>
              </w:rPr>
              <w:t>C</w:t>
            </w:r>
            <w:r>
              <w:rPr>
                <w:spacing w:val="-1"/>
                <w:position w:val="-2"/>
                <w:sz w:val="11"/>
                <w:szCs w:val="11"/>
              </w:rPr>
              <w:t>4</w:t>
            </w:r>
            <w:r>
              <w:rPr>
                <w:spacing w:val="-1"/>
              </w:rPr>
              <w:t>-PFOA</w:t>
            </w:r>
          </w:p>
        </w:tc>
        <w:tc>
          <w:tcPr>
            <w:tcW w:w="1720" w:type="dxa"/>
            <w:vAlign w:val="top"/>
          </w:tcPr>
          <w:p>
            <w:pPr>
              <w:pStyle w:val="TableText"/>
              <w:spacing w:before="95" w:line="188" w:lineRule="auto"/>
              <w:ind w:left="722"/>
            </w:pPr>
            <w:r>
              <w:rPr>
                <w:spacing w:val="-1"/>
              </w:rPr>
              <w:t>417</w:t>
            </w:r>
          </w:p>
        </w:tc>
        <w:tc>
          <w:tcPr>
            <w:tcW w:w="1672" w:type="dxa"/>
            <w:vAlign w:val="top"/>
          </w:tcPr>
          <w:p>
            <w:pPr>
              <w:pStyle w:val="TableText"/>
              <w:spacing w:before="78" w:line="208" w:lineRule="auto"/>
              <w:ind w:left="677"/>
              <w:rPr>
                <w:sz w:val="11"/>
                <w:szCs w:val="11"/>
              </w:rPr>
            </w:pPr>
            <w:r>
              <w:rPr>
                <w:spacing w:val="-1"/>
              </w:rPr>
              <w:t>372</w:t>
            </w:r>
            <w:r>
              <w:rPr>
                <w:spacing w:val="-1"/>
                <w:position w:val="5"/>
                <w:sz w:val="11"/>
                <w:szCs w:val="11"/>
              </w:rPr>
              <w:t>*</w:t>
            </w:r>
          </w:p>
        </w:tc>
        <w:tc>
          <w:tcPr>
            <w:tcW w:w="1797" w:type="dxa"/>
            <w:vAlign w:val="top"/>
          </w:tcPr>
          <w:p>
            <w:pPr>
              <w:pStyle w:val="TableText"/>
              <w:spacing w:before="90" w:line="188" w:lineRule="auto"/>
              <w:ind w:left="831"/>
            </w:pPr>
            <w:r>
              <w:rPr>
                <w:spacing w:val="-10"/>
              </w:rPr>
              <w:t>15</w:t>
            </w:r>
          </w:p>
        </w:tc>
        <w:tc>
          <w:tcPr>
            <w:tcW w:w="172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0" w:line="188" w:lineRule="auto"/>
              <w:ind w:left="790"/>
            </w:pPr>
            <w:r>
              <w:rPr>
                <w:spacing w:val="-10"/>
              </w:rPr>
              <w:t>13</w:t>
            </w:r>
          </w:p>
        </w:tc>
      </w:tr>
      <w:tr>
        <w:tblPrEx>
          <w:tblW w:w="9584" w:type="dxa"/>
          <w:tblInd w:w="7" w:type="dxa"/>
          <w:tblLayout w:type="fixed"/>
        </w:tblPrEx>
        <w:trPr>
          <w:trHeight w:val="287"/>
        </w:trPr>
        <w:tc>
          <w:tcPr>
            <w:tcW w:w="87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0" w:type="dxa"/>
            <w:vAlign w:val="top"/>
          </w:tcPr>
          <w:p>
            <w:pPr>
              <w:pStyle w:val="TableText"/>
              <w:spacing w:before="98" w:line="188" w:lineRule="auto"/>
              <w:ind w:left="722"/>
            </w:pPr>
            <w:r>
              <w:rPr>
                <w:spacing w:val="-1"/>
              </w:rPr>
              <w:t>417</w:t>
            </w:r>
          </w:p>
        </w:tc>
        <w:tc>
          <w:tcPr>
            <w:tcW w:w="1672" w:type="dxa"/>
            <w:vAlign w:val="top"/>
          </w:tcPr>
          <w:p>
            <w:pPr>
              <w:pStyle w:val="TableText"/>
              <w:spacing w:before="83" w:line="206" w:lineRule="auto"/>
              <w:ind w:left="691"/>
              <w:rPr>
                <w:sz w:val="11"/>
                <w:szCs w:val="11"/>
              </w:rPr>
            </w:pPr>
            <w:r>
              <w:rPr>
                <w:spacing w:val="-8"/>
              </w:rPr>
              <w:t>172</w:t>
            </w:r>
            <w:r>
              <w:rPr>
                <w:spacing w:val="5"/>
                <w:position w:val="5"/>
                <w:sz w:val="11"/>
                <w:szCs w:val="11"/>
              </w:rPr>
              <w:t>#</w:t>
            </w:r>
          </w:p>
        </w:tc>
        <w:tc>
          <w:tcPr>
            <w:tcW w:w="1797" w:type="dxa"/>
            <w:vAlign w:val="top"/>
          </w:tcPr>
          <w:p>
            <w:pPr>
              <w:pStyle w:val="TableText"/>
              <w:spacing w:before="91" w:line="188" w:lineRule="auto"/>
              <w:ind w:left="831"/>
            </w:pPr>
            <w:r>
              <w:rPr>
                <w:spacing w:val="-10"/>
              </w:rPr>
              <w:t>15</w:t>
            </w:r>
          </w:p>
        </w:tc>
        <w:tc>
          <w:tcPr>
            <w:tcW w:w="172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1" w:line="188" w:lineRule="auto"/>
              <w:ind w:left="773"/>
            </w:pPr>
            <w:r>
              <w:rPr>
                <w:spacing w:val="-2"/>
              </w:rPr>
              <w:t>24</w:t>
            </w:r>
          </w:p>
        </w:tc>
      </w:tr>
      <w:tr>
        <w:tblPrEx>
          <w:tblW w:w="9584" w:type="dxa"/>
          <w:tblInd w:w="7" w:type="dxa"/>
          <w:tblLayout w:type="fixed"/>
        </w:tblPrEx>
        <w:trPr>
          <w:trHeight w:val="287"/>
        </w:trPr>
        <w:tc>
          <w:tcPr>
            <w:tcW w:w="87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245" w:line="188" w:lineRule="auto"/>
              <w:ind w:left="384"/>
            </w:pPr>
            <w:r>
              <w:t>4</w:t>
            </w:r>
          </w:p>
        </w:tc>
        <w:tc>
          <w:tcPr>
            <w:tcW w:w="180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5" w:line="188" w:lineRule="auto"/>
              <w:ind w:left="679"/>
            </w:pPr>
            <w:r>
              <w:rPr>
                <w:spacing w:val="-1"/>
              </w:rPr>
              <w:t>PFOS</w:t>
            </w:r>
          </w:p>
        </w:tc>
        <w:tc>
          <w:tcPr>
            <w:tcW w:w="1720" w:type="dxa"/>
            <w:vAlign w:val="top"/>
          </w:tcPr>
          <w:p>
            <w:pPr>
              <w:pStyle w:val="TableText"/>
              <w:spacing w:before="99" w:line="188" w:lineRule="auto"/>
              <w:ind w:left="722"/>
            </w:pPr>
            <w:r>
              <w:rPr>
                <w:spacing w:val="-1"/>
              </w:rPr>
              <w:t>499</w:t>
            </w:r>
          </w:p>
        </w:tc>
        <w:tc>
          <w:tcPr>
            <w:tcW w:w="1672" w:type="dxa"/>
            <w:vAlign w:val="top"/>
          </w:tcPr>
          <w:p>
            <w:pPr>
              <w:pStyle w:val="TableText"/>
              <w:spacing w:before="82" w:line="208" w:lineRule="auto"/>
              <w:ind w:left="726"/>
              <w:rPr>
                <w:sz w:val="11"/>
                <w:szCs w:val="11"/>
              </w:rPr>
            </w:pPr>
            <w:r>
              <w:rPr>
                <w:spacing w:val="-3"/>
              </w:rPr>
              <w:t>80</w:t>
            </w:r>
            <w:r>
              <w:rPr>
                <w:spacing w:val="-3"/>
                <w:position w:val="5"/>
                <w:sz w:val="11"/>
                <w:szCs w:val="11"/>
              </w:rPr>
              <w:t>*</w:t>
            </w:r>
          </w:p>
        </w:tc>
        <w:tc>
          <w:tcPr>
            <w:tcW w:w="1797" w:type="dxa"/>
            <w:vAlign w:val="top"/>
          </w:tcPr>
          <w:p>
            <w:pPr>
              <w:pStyle w:val="TableText"/>
              <w:spacing w:before="92" w:line="188" w:lineRule="auto"/>
              <w:ind w:left="817"/>
            </w:pPr>
            <w:r>
              <w:rPr>
                <w:spacing w:val="-4"/>
              </w:rPr>
              <w:t>62</w:t>
            </w:r>
          </w:p>
        </w:tc>
        <w:tc>
          <w:tcPr>
            <w:tcW w:w="172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2" w:line="188" w:lineRule="auto"/>
              <w:ind w:left="777"/>
            </w:pPr>
            <w:r>
              <w:rPr>
                <w:spacing w:val="-4"/>
              </w:rPr>
              <w:t>60</w:t>
            </w:r>
          </w:p>
        </w:tc>
      </w:tr>
      <w:tr>
        <w:tblPrEx>
          <w:tblW w:w="9584" w:type="dxa"/>
          <w:tblInd w:w="7" w:type="dxa"/>
          <w:tblLayout w:type="fixed"/>
        </w:tblPrEx>
        <w:trPr>
          <w:trHeight w:val="287"/>
        </w:trPr>
        <w:tc>
          <w:tcPr>
            <w:tcW w:w="87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0" w:type="dxa"/>
            <w:vAlign w:val="top"/>
          </w:tcPr>
          <w:p>
            <w:pPr>
              <w:pStyle w:val="TableText"/>
              <w:spacing w:before="100" w:line="188" w:lineRule="auto"/>
              <w:ind w:left="722"/>
            </w:pPr>
            <w:r>
              <w:rPr>
                <w:spacing w:val="-1"/>
              </w:rPr>
              <w:t>499</w:t>
            </w:r>
          </w:p>
        </w:tc>
        <w:tc>
          <w:tcPr>
            <w:tcW w:w="1672" w:type="dxa"/>
            <w:vAlign w:val="top"/>
          </w:tcPr>
          <w:p>
            <w:pPr>
              <w:pStyle w:val="TableText"/>
              <w:spacing w:before="84" w:line="206" w:lineRule="auto"/>
              <w:ind w:left="722"/>
              <w:rPr>
                <w:sz w:val="11"/>
                <w:szCs w:val="11"/>
              </w:rPr>
            </w:pPr>
            <w:r>
              <w:rPr>
                <w:spacing w:val="-2"/>
                <w:position w:val="-1"/>
              </w:rPr>
              <w:t>99</w:t>
            </w:r>
            <w:r>
              <w:rPr>
                <w:spacing w:val="-2"/>
                <w:position w:val="4"/>
                <w:sz w:val="11"/>
                <w:szCs w:val="11"/>
              </w:rPr>
              <w:t>#</w:t>
            </w:r>
          </w:p>
        </w:tc>
        <w:tc>
          <w:tcPr>
            <w:tcW w:w="1797" w:type="dxa"/>
            <w:vAlign w:val="top"/>
          </w:tcPr>
          <w:p>
            <w:pPr>
              <w:pStyle w:val="TableText"/>
              <w:spacing w:before="93" w:line="188" w:lineRule="auto"/>
              <w:ind w:left="817"/>
            </w:pPr>
            <w:r>
              <w:rPr>
                <w:spacing w:val="-4"/>
              </w:rPr>
              <w:t>62</w:t>
            </w:r>
          </w:p>
        </w:tc>
        <w:tc>
          <w:tcPr>
            <w:tcW w:w="172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5" w:line="185" w:lineRule="auto"/>
              <w:ind w:left="778"/>
            </w:pPr>
            <w:r>
              <w:rPr>
                <w:spacing w:val="-4"/>
              </w:rPr>
              <w:t>55</w:t>
            </w:r>
          </w:p>
        </w:tc>
      </w:tr>
      <w:tr>
        <w:tblPrEx>
          <w:tblW w:w="9584" w:type="dxa"/>
          <w:tblInd w:w="7" w:type="dxa"/>
          <w:tblLayout w:type="fixed"/>
        </w:tblPrEx>
        <w:trPr>
          <w:trHeight w:val="287"/>
        </w:trPr>
        <w:tc>
          <w:tcPr>
            <w:tcW w:w="87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250" w:line="185" w:lineRule="auto"/>
              <w:ind w:left="390"/>
            </w:pPr>
            <w:r>
              <w:t>5</w:t>
            </w:r>
          </w:p>
        </w:tc>
        <w:tc>
          <w:tcPr>
            <w:tcW w:w="180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24" w:line="200" w:lineRule="auto"/>
              <w:ind w:left="514"/>
            </w:pPr>
            <w:r>
              <w:rPr>
                <w:spacing w:val="-1"/>
                <w:position w:val="5"/>
                <w:sz w:val="11"/>
                <w:szCs w:val="11"/>
              </w:rPr>
              <w:t>13</w:t>
            </w:r>
            <w:r>
              <w:rPr>
                <w:spacing w:val="-1"/>
              </w:rPr>
              <w:t>C</w:t>
            </w:r>
            <w:r>
              <w:rPr>
                <w:spacing w:val="-1"/>
                <w:position w:val="-2"/>
                <w:sz w:val="11"/>
                <w:szCs w:val="11"/>
              </w:rPr>
              <w:t>4</w:t>
            </w:r>
            <w:r>
              <w:rPr>
                <w:spacing w:val="-1"/>
              </w:rPr>
              <w:t>-PFOS</w:t>
            </w:r>
          </w:p>
        </w:tc>
        <w:tc>
          <w:tcPr>
            <w:tcW w:w="1720" w:type="dxa"/>
            <w:vAlign w:val="top"/>
          </w:tcPr>
          <w:p>
            <w:pPr>
              <w:pStyle w:val="TableText"/>
              <w:spacing w:before="101" w:line="188" w:lineRule="auto"/>
              <w:ind w:left="728"/>
            </w:pPr>
            <w:r>
              <w:rPr>
                <w:spacing w:val="-3"/>
              </w:rPr>
              <w:t>503</w:t>
            </w:r>
          </w:p>
        </w:tc>
        <w:tc>
          <w:tcPr>
            <w:tcW w:w="1672" w:type="dxa"/>
            <w:vAlign w:val="top"/>
          </w:tcPr>
          <w:p>
            <w:pPr>
              <w:pStyle w:val="TableText"/>
              <w:spacing w:before="83" w:line="208" w:lineRule="auto"/>
              <w:ind w:left="726"/>
              <w:rPr>
                <w:sz w:val="11"/>
                <w:szCs w:val="11"/>
              </w:rPr>
            </w:pPr>
            <w:r>
              <w:rPr>
                <w:spacing w:val="-3"/>
              </w:rPr>
              <w:t>80</w:t>
            </w:r>
            <w:r>
              <w:rPr>
                <w:spacing w:val="-3"/>
                <w:position w:val="5"/>
                <w:sz w:val="11"/>
                <w:szCs w:val="11"/>
              </w:rPr>
              <w:t>*</w:t>
            </w:r>
          </w:p>
        </w:tc>
        <w:tc>
          <w:tcPr>
            <w:tcW w:w="1797" w:type="dxa"/>
            <w:vAlign w:val="top"/>
          </w:tcPr>
          <w:p>
            <w:pPr>
              <w:pStyle w:val="TableText"/>
              <w:spacing w:before="93" w:line="188" w:lineRule="auto"/>
              <w:ind w:left="817"/>
            </w:pPr>
            <w:r>
              <w:rPr>
                <w:spacing w:val="-4"/>
              </w:rPr>
              <w:t>62</w:t>
            </w:r>
          </w:p>
        </w:tc>
        <w:tc>
          <w:tcPr>
            <w:tcW w:w="172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3" w:line="188" w:lineRule="auto"/>
              <w:ind w:left="777"/>
            </w:pPr>
            <w:r>
              <w:rPr>
                <w:spacing w:val="-4"/>
              </w:rPr>
              <w:t>60</w:t>
            </w:r>
          </w:p>
        </w:tc>
      </w:tr>
      <w:tr>
        <w:tblPrEx>
          <w:tblW w:w="9584" w:type="dxa"/>
          <w:tblInd w:w="7" w:type="dxa"/>
          <w:tblLayout w:type="fixed"/>
        </w:tblPrEx>
        <w:trPr>
          <w:trHeight w:val="291"/>
        </w:trPr>
        <w:tc>
          <w:tcPr>
            <w:tcW w:w="872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0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0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01" w:line="188" w:lineRule="auto"/>
              <w:ind w:left="728"/>
            </w:pPr>
            <w:r>
              <w:rPr>
                <w:spacing w:val="-3"/>
              </w:rPr>
              <w:t>503</w:t>
            </w:r>
          </w:p>
        </w:tc>
        <w:tc>
          <w:tcPr>
            <w:tcW w:w="1672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6" w:line="206" w:lineRule="auto"/>
              <w:ind w:left="722"/>
              <w:rPr>
                <w:sz w:val="11"/>
                <w:szCs w:val="11"/>
              </w:rPr>
            </w:pPr>
            <w:r>
              <w:rPr>
                <w:spacing w:val="-2"/>
                <w:position w:val="-1"/>
              </w:rPr>
              <w:t>99</w:t>
            </w:r>
            <w:r>
              <w:rPr>
                <w:spacing w:val="-2"/>
                <w:position w:val="4"/>
                <w:sz w:val="11"/>
                <w:szCs w:val="11"/>
              </w:rPr>
              <w:t>#</w:t>
            </w:r>
          </w:p>
        </w:tc>
        <w:tc>
          <w:tcPr>
            <w:tcW w:w="1797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4" w:line="188" w:lineRule="auto"/>
              <w:ind w:left="817"/>
            </w:pPr>
            <w:r>
              <w:rPr>
                <w:spacing w:val="-4"/>
              </w:rPr>
              <w:t>62</w:t>
            </w:r>
          </w:p>
        </w:tc>
        <w:tc>
          <w:tcPr>
            <w:tcW w:w="1723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97" w:line="185" w:lineRule="auto"/>
              <w:ind w:left="778"/>
            </w:pPr>
            <w:r>
              <w:rPr>
                <w:spacing w:val="-4"/>
              </w:rPr>
              <w:t>55</w:t>
            </w:r>
          </w:p>
        </w:tc>
      </w:tr>
      <w:tr>
        <w:tblPrEx>
          <w:tblW w:w="9584" w:type="dxa"/>
          <w:tblInd w:w="7" w:type="dxa"/>
          <w:tblLayout w:type="fixed"/>
        </w:tblPrEx>
        <w:trPr>
          <w:trHeight w:val="296"/>
        </w:trPr>
        <w:tc>
          <w:tcPr>
            <w:tcW w:w="95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69" w:line="220" w:lineRule="auto"/>
              <w:ind w:left="470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"/>
              </w:rPr>
              <w:t>注：</w:t>
            </w:r>
            <w:r>
              <w:rPr>
                <w:spacing w:val="-1"/>
                <w:position w:val="6"/>
                <w:sz w:val="11"/>
                <w:szCs w:val="11"/>
              </w:rPr>
              <w:t>*</w:t>
            </w:r>
            <w:r>
              <w:rPr>
                <w:rFonts w:ascii="SimSun" w:eastAsia="SimSun" w:hAnsi="SimSun" w:cs="SimSun"/>
                <w:spacing w:val="-1"/>
              </w:rPr>
              <w:t>为定量离子，</w:t>
            </w:r>
            <w:r>
              <w:rPr>
                <w:spacing w:val="-1"/>
                <w:position w:val="6"/>
                <w:sz w:val="11"/>
                <w:szCs w:val="11"/>
              </w:rPr>
              <w:t>#</w:t>
            </w:r>
            <w:r>
              <w:rPr>
                <w:rFonts w:ascii="SimSun" w:eastAsia="SimSun" w:hAnsi="SimSun" w:cs="SimSun"/>
                <w:spacing w:val="-1"/>
              </w:rPr>
              <w:t>为定性离子。</w:t>
            </w:r>
          </w:p>
        </w:tc>
      </w:tr>
    </w:tbl>
    <w:p>
      <w:pPr>
        <w:spacing w:line="452" w:lineRule="auto"/>
        <w:rPr>
          <w:rFonts w:ascii="Arial"/>
          <w:sz w:val="21"/>
        </w:rPr>
      </w:pPr>
    </w:p>
    <w:p>
      <w:pPr>
        <w:spacing w:before="66" w:line="229" w:lineRule="auto"/>
        <w:ind w:left="124"/>
        <w:outlineLvl w:val="2"/>
        <w:rPr>
          <w:rFonts w:ascii="SimHei" w:eastAsia="SimHei" w:hAnsi="SimHei" w:cs="SimHei"/>
          <w:sz w:val="20"/>
          <w:szCs w:val="20"/>
        </w:rPr>
        <w:sectPr>
          <w:footerReference w:type="default" r:id="rId12"/>
          <w:pgSz w:w="11906" w:h="16839"/>
          <w:pgMar w:top="1431" w:right="1148" w:bottom="1318" w:left="1158" w:header="0" w:footer="1141" w:gutter="0"/>
          <w:pgNumType w:start="9"/>
          <w:cols w:space="708"/>
        </w:sectPr>
      </w:pPr>
      <w:r>
        <w:rPr>
          <w:rFonts w:ascii="SimHei" w:eastAsia="SimHei" w:hAnsi="SimHei" w:cs="SimHei"/>
          <w:spacing w:val="6"/>
          <w:sz w:val="20"/>
          <w:szCs w:val="20"/>
        </w:rPr>
        <w:t>8.1.3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质谱仪的调谐</w:t>
      </w:r>
    </w:p>
    <w:p>
      <w:pPr>
        <w:pStyle w:val="BodyText"/>
        <w:spacing w:before="220" w:line="227" w:lineRule="auto"/>
        <w:ind w:left="548"/>
      </w:pPr>
      <w:r>
        <w:rPr>
          <w:spacing w:val="9"/>
        </w:rPr>
        <w:t>按照仪器说明书调谐仪器并确认仪器性能，仪器性能正常后测定样品。</w:t>
      </w:r>
    </w:p>
    <w:p>
      <w:pPr>
        <w:spacing w:before="222" w:line="231" w:lineRule="auto"/>
        <w:ind w:left="124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8.2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校准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5" w:line="230" w:lineRule="auto"/>
        <w:ind w:left="124"/>
        <w:outlineLvl w:val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8.2.1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标准系列的配制与测定</w:t>
      </w:r>
    </w:p>
    <w:p>
      <w:pPr>
        <w:pStyle w:val="BodyText"/>
        <w:spacing w:before="218" w:line="276" w:lineRule="auto"/>
        <w:ind w:left="122" w:right="130" w:firstLine="424"/>
        <w:jc w:val="both"/>
      </w:pPr>
      <w:r>
        <w:rPr>
          <w:spacing w:val="6"/>
        </w:rPr>
        <w:t>移取适量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</w:rPr>
        <w:t>PFOS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6"/>
        </w:rPr>
        <w:t>标准使用液（</w:t>
      </w:r>
      <w:r>
        <w:rPr>
          <w:rFonts w:ascii="Times New Roman" w:eastAsia="Times New Roman" w:hAnsi="Times New Roman" w:cs="Times New Roman"/>
          <w:spacing w:val="6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10</w:t>
      </w:r>
      <w:r>
        <w:rPr>
          <w:spacing w:val="6"/>
        </w:rPr>
        <w:t>）和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</w:rPr>
        <w:t>PFOA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spacing w:val="6"/>
        </w:rPr>
        <w:t>标准使用液（</w:t>
      </w:r>
      <w:r>
        <w:rPr>
          <w:rFonts w:ascii="Times New Roman" w:eastAsia="Times New Roman" w:hAnsi="Times New Roman" w:cs="Times New Roman"/>
          <w:spacing w:val="6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12</w:t>
      </w:r>
      <w:r>
        <w:rPr>
          <w:spacing w:val="6"/>
        </w:rPr>
        <w:t>）于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5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6"/>
        </w:rPr>
        <w:t>容量瓶（</w:t>
      </w:r>
      <w:r>
        <w:rPr>
          <w:rFonts w:ascii="Times New Roman" w:eastAsia="Times New Roman" w:hAnsi="Times New Roman" w:cs="Times New Roman"/>
          <w:spacing w:val="6"/>
        </w:rPr>
        <w:t>6.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16</w:t>
      </w:r>
      <w:r>
        <w:rPr>
          <w:spacing w:val="6"/>
        </w:rPr>
        <w:t>）中，加入</w:t>
      </w:r>
      <w:r>
        <w:t xml:space="preserve"> </w:t>
      </w:r>
      <w:r>
        <w:rPr>
          <w:rFonts w:ascii="Times New Roman" w:eastAsia="Times New Roman" w:hAnsi="Times New Roman" w:cs="Times New Roman"/>
          <w:spacing w:val="5"/>
        </w:rPr>
        <w:t>250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µl </w:t>
      </w:r>
      <w:r>
        <w:rPr>
          <w:spacing w:val="5"/>
        </w:rPr>
        <w:t>提取内标使用液（</w:t>
      </w:r>
      <w:r>
        <w:rPr>
          <w:rFonts w:ascii="Times New Roman" w:eastAsia="Times New Roman" w:hAnsi="Times New Roman" w:cs="Times New Roman"/>
          <w:spacing w:val="5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14</w:t>
      </w:r>
      <w:r>
        <w:rPr>
          <w:spacing w:val="5"/>
        </w:rPr>
        <w:t>）和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250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µl </w:t>
      </w:r>
      <w:r>
        <w:rPr>
          <w:spacing w:val="5"/>
        </w:rPr>
        <w:t>进样内标使用液（</w:t>
      </w:r>
      <w:r>
        <w:rPr>
          <w:rFonts w:ascii="Times New Roman" w:eastAsia="Times New Roman" w:hAnsi="Times New Roman" w:cs="Times New Roman"/>
          <w:spacing w:val="5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16</w:t>
      </w:r>
      <w:r>
        <w:rPr>
          <w:spacing w:val="10"/>
        </w:rPr>
        <w:t>），</w:t>
      </w:r>
      <w:r>
        <w:rPr>
          <w:spacing w:val="5"/>
        </w:rPr>
        <w:t>用甲醇（</w:t>
      </w:r>
      <w:r>
        <w:rPr>
          <w:rFonts w:ascii="Times New Roman" w:eastAsia="Times New Roman" w:hAnsi="Times New Roman" w:cs="Times New Roman"/>
          <w:spacing w:val="5"/>
        </w:rPr>
        <w:t>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</w:t>
      </w:r>
      <w:r>
        <w:rPr>
          <w:spacing w:val="5"/>
        </w:rPr>
        <w:t>）定</w:t>
      </w:r>
      <w:r>
        <w:rPr>
          <w:spacing w:val="4"/>
        </w:rPr>
        <w:t>容，配制成浓度分</w:t>
      </w:r>
      <w:r>
        <w:t xml:space="preserve"> </w:t>
      </w:r>
      <w:r>
        <w:rPr>
          <w:spacing w:val="6"/>
        </w:rPr>
        <w:t>别为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2.00 </w:t>
      </w:r>
      <w:r>
        <w:rPr>
          <w:rFonts w:ascii="Times New Roman" w:eastAsia="Times New Roman" w:hAnsi="Times New Roman" w:cs="Times New Roman"/>
        </w:rPr>
        <w:t>ng</w:t>
      </w:r>
      <w:r>
        <w:rPr>
          <w:rFonts w:ascii="Times New Roman" w:eastAsia="Times New Roman" w:hAnsi="Times New Roman" w:cs="Times New Roman"/>
          <w:spacing w:val="6"/>
        </w:rPr>
        <w:t>/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6"/>
        </w:rPr>
        <w:t>、</w:t>
      </w:r>
      <w:r>
        <w:rPr>
          <w:rFonts w:ascii="Times New Roman" w:eastAsia="Times New Roman" w:hAnsi="Times New Roman" w:cs="Times New Roman"/>
          <w:spacing w:val="6"/>
        </w:rPr>
        <w:t xml:space="preserve">5.00 </w:t>
      </w:r>
      <w:r>
        <w:rPr>
          <w:rFonts w:ascii="Times New Roman" w:eastAsia="Times New Roman" w:hAnsi="Times New Roman" w:cs="Times New Roman"/>
        </w:rPr>
        <w:t>ng</w:t>
      </w:r>
      <w:r>
        <w:rPr>
          <w:rFonts w:ascii="Times New Roman" w:eastAsia="Times New Roman" w:hAnsi="Times New Roman" w:cs="Times New Roman"/>
          <w:spacing w:val="6"/>
        </w:rPr>
        <w:t>/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6"/>
        </w:rPr>
        <w:t>、</w:t>
      </w:r>
      <w:r>
        <w:rPr>
          <w:rFonts w:ascii="Times New Roman" w:eastAsia="Times New Roman" w:hAnsi="Times New Roman" w:cs="Times New Roman"/>
          <w:spacing w:val="6"/>
        </w:rPr>
        <w:t xml:space="preserve">10.0 </w:t>
      </w:r>
      <w:r>
        <w:rPr>
          <w:rFonts w:ascii="Times New Roman" w:eastAsia="Times New Roman" w:hAnsi="Times New Roman" w:cs="Times New Roman"/>
        </w:rPr>
        <w:t>ng</w:t>
      </w:r>
      <w:r>
        <w:rPr>
          <w:rFonts w:ascii="Times New Roman" w:eastAsia="Times New Roman" w:hAnsi="Times New Roman" w:cs="Times New Roman"/>
          <w:spacing w:val="6"/>
        </w:rPr>
        <w:t>/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6"/>
        </w:rPr>
        <w:t>、</w:t>
      </w:r>
      <w:r>
        <w:rPr>
          <w:rFonts w:ascii="Times New Roman" w:eastAsia="Times New Roman" w:hAnsi="Times New Roman" w:cs="Times New Roman"/>
          <w:spacing w:val="6"/>
        </w:rPr>
        <w:t xml:space="preserve">20.0 </w:t>
      </w:r>
      <w:r>
        <w:rPr>
          <w:rFonts w:ascii="Times New Roman" w:eastAsia="Times New Roman" w:hAnsi="Times New Roman" w:cs="Times New Roman"/>
        </w:rPr>
        <w:t>ng</w:t>
      </w:r>
      <w:r>
        <w:rPr>
          <w:rFonts w:ascii="Times New Roman" w:eastAsia="Times New Roman" w:hAnsi="Times New Roman" w:cs="Times New Roman"/>
          <w:spacing w:val="6"/>
        </w:rPr>
        <w:t>/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6"/>
        </w:rPr>
        <w:t>、</w:t>
      </w:r>
      <w:r>
        <w:rPr>
          <w:rFonts w:ascii="Times New Roman" w:eastAsia="Times New Roman" w:hAnsi="Times New Roman" w:cs="Times New Roman"/>
          <w:spacing w:val="6"/>
        </w:rPr>
        <w:t xml:space="preserve">50.0 </w:t>
      </w:r>
      <w:r>
        <w:rPr>
          <w:rFonts w:ascii="Times New Roman" w:eastAsia="Times New Roman" w:hAnsi="Times New Roman" w:cs="Times New Roman"/>
        </w:rPr>
        <w:t>ng</w:t>
      </w:r>
      <w:r>
        <w:rPr>
          <w:rFonts w:ascii="Times New Roman" w:eastAsia="Times New Roman" w:hAnsi="Times New Roman" w:cs="Times New Roman"/>
          <w:spacing w:val="6"/>
        </w:rPr>
        <w:t>/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6"/>
        </w:rPr>
        <w:t>、</w:t>
      </w:r>
      <w:r>
        <w:rPr>
          <w:rFonts w:ascii="Times New Roman" w:eastAsia="Times New Roman" w:hAnsi="Times New Roman" w:cs="Times New Roman"/>
          <w:spacing w:val="6"/>
        </w:rPr>
        <w:t xml:space="preserve">100 </w:t>
      </w:r>
      <w:r>
        <w:rPr>
          <w:rFonts w:ascii="Times New Roman" w:eastAsia="Times New Roman" w:hAnsi="Times New Roman" w:cs="Times New Roman"/>
        </w:rPr>
        <w:t>ng</w:t>
      </w:r>
      <w:r>
        <w:rPr>
          <w:rFonts w:ascii="Times New Roman" w:eastAsia="Times New Roman" w:hAnsi="Times New Roman" w:cs="Times New Roman"/>
          <w:spacing w:val="6"/>
        </w:rPr>
        <w:t>/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30"/>
          <w:w w:val="101"/>
        </w:rPr>
        <w:t xml:space="preserve"> </w:t>
      </w:r>
      <w:r>
        <w:rPr>
          <w:spacing w:val="6"/>
        </w:rPr>
        <w:t>的标准系列（此为参考浓</w:t>
      </w:r>
      <w:r>
        <w:t xml:space="preserve"> </w:t>
      </w:r>
      <w:r>
        <w:rPr>
          <w:spacing w:val="9"/>
        </w:rPr>
        <w:t>度）</w:t>
      </w:r>
      <w:r>
        <w:rPr>
          <w:spacing w:val="-58"/>
        </w:rPr>
        <w:t xml:space="preserve"> </w:t>
      </w:r>
      <w:r>
        <w:rPr>
          <w:spacing w:val="9"/>
        </w:rPr>
        <w:t>。按照仪器参考条件（</w:t>
      </w:r>
      <w:r>
        <w:rPr>
          <w:rFonts w:ascii="Times New Roman" w:eastAsia="Times New Roman" w:hAnsi="Times New Roman" w:cs="Times New Roman"/>
          <w:spacing w:val="9"/>
        </w:rPr>
        <w:t>8.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1</w:t>
      </w:r>
      <w:r>
        <w:rPr>
          <w:spacing w:val="6"/>
        </w:rPr>
        <w:t>），</w:t>
      </w:r>
      <w:r>
        <w:rPr>
          <w:spacing w:val="-57"/>
        </w:rPr>
        <w:t xml:space="preserve"> </w:t>
      </w:r>
      <w:r>
        <w:rPr>
          <w:spacing w:val="9"/>
        </w:rPr>
        <w:t>由低浓度到高</w:t>
      </w:r>
      <w:r>
        <w:rPr>
          <w:spacing w:val="8"/>
        </w:rPr>
        <w:t>浓度依次进样。记录各目标化合物、提取内标、进样</w:t>
      </w:r>
      <w:r>
        <w:t xml:space="preserve"> </w:t>
      </w:r>
      <w:r>
        <w:rPr>
          <w:spacing w:val="9"/>
        </w:rPr>
        <w:t>内标的保留时间和定量离子峰面积。</w:t>
      </w:r>
      <w:r>
        <w:rPr>
          <w:rFonts w:ascii="Times New Roman" w:eastAsia="Times New Roman" w:hAnsi="Times New Roman" w:cs="Times New Roman"/>
        </w:rPr>
        <w:t>PFOS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spacing w:val="9"/>
        </w:rPr>
        <w:t>和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</w:rPr>
        <w:t>PFOA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9"/>
        </w:rPr>
        <w:t>的</w:t>
      </w:r>
      <w:r>
        <w:rPr>
          <w:spacing w:val="8"/>
        </w:rPr>
        <w:t>总离子色谱图见图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1</w:t>
      </w:r>
      <w:r>
        <w:rPr>
          <w:spacing w:val="8"/>
        </w:rPr>
        <w:t>。</w:t>
      </w:r>
    </w:p>
    <w:p>
      <w:pPr>
        <w:spacing w:line="276" w:lineRule="auto"/>
        <w:sectPr>
          <w:footerReference w:type="default" r:id="rId13"/>
          <w:type w:val="nextPage"/>
          <w:pgSz w:w="11906" w:h="16839"/>
          <w:pgMar w:top="1431" w:right="1148" w:bottom="1318" w:left="1158" w:header="0" w:footer="1141" w:gutter="0"/>
          <w:pgNumType w:start="10"/>
          <w:cols w:space="708"/>
          <w:titlePg w:val="0"/>
        </w:sectPr>
      </w:pPr>
    </w:p>
    <w:p>
      <w:pPr>
        <w:pStyle w:val="BodyText"/>
        <w:spacing w:before="53" w:line="188" w:lineRule="auto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HJ</w:t>
      </w:r>
      <w:r>
        <w:rPr>
          <w:rFonts w:ascii="Times New Roman" w:eastAsia="Times New Roman" w:hAnsi="Times New Roman" w:cs="Times New Roman"/>
          <w:b/>
          <w:bCs/>
          <w:spacing w:val="26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1334</w:t>
      </w:r>
      <w:r>
        <w:rPr>
          <w:spacing w:val="-3"/>
          <w:sz w:val="24"/>
          <w:szCs w:val="24"/>
        </w:rPr>
        <w:t>—</w:t>
      </w:r>
      <w:r>
        <w:rPr>
          <w:rFonts w:ascii="Arial" w:eastAsia="Arial" w:hAnsi="Arial" w:cs="Arial"/>
          <w:spacing w:val="-3"/>
          <w:sz w:val="24"/>
          <w:szCs w:val="24"/>
        </w:rPr>
        <w:t>2023</w:t>
      </w:r>
    </w:p>
    <w:p>
      <w:pPr>
        <w:spacing w:line="361" w:lineRule="auto"/>
        <w:rPr>
          <w:rFonts w:ascii="Arial"/>
          <w:sz w:val="21"/>
        </w:rPr>
      </w:pPr>
    </w:p>
    <w:p>
      <w:pPr>
        <w:spacing w:line="3833" w:lineRule="exact"/>
        <w:ind w:firstLine="414"/>
      </w:pPr>
      <w:r>
        <w:rPr>
          <w:position w:val="-76"/>
        </w:rPr>
        <w:drawing>
          <wp:inline distT="0" distB="0" distL="0" distR="0">
            <wp:extent cx="4953000" cy="243382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433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2" w:line="219" w:lineRule="auto"/>
        <w:ind w:left="16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1——PFOA</w:t>
      </w:r>
      <w:r>
        <w:rPr>
          <w:spacing w:val="-2"/>
          <w:sz w:val="18"/>
          <w:szCs w:val="18"/>
        </w:rPr>
        <w:t>；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2——</w:t>
      </w:r>
      <w:r>
        <w:rPr>
          <w:rFonts w:ascii="Times New Roman" w:eastAsia="Times New Roman" w:hAnsi="Times New Roman" w:cs="Times New Roman"/>
          <w:spacing w:val="-2"/>
          <w:position w:val="5"/>
          <w:sz w:val="11"/>
          <w:szCs w:val="11"/>
        </w:rPr>
        <w:t>13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C</w:t>
      </w:r>
      <w:r>
        <w:rPr>
          <w:rFonts w:ascii="Times New Roman" w:eastAsia="Times New Roman" w:hAnsi="Times New Roman" w:cs="Times New Roman"/>
          <w:spacing w:val="-2"/>
          <w:position w:val="-1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-PFOA</w:t>
      </w:r>
      <w:r>
        <w:rPr>
          <w:spacing w:val="-2"/>
          <w:sz w:val="18"/>
          <w:szCs w:val="18"/>
        </w:rPr>
        <w:t>（进样内标</w:t>
      </w:r>
      <w:r>
        <w:rPr>
          <w:spacing w:val="-34"/>
          <w:sz w:val="18"/>
          <w:szCs w:val="18"/>
        </w:rPr>
        <w:t>）；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3——</w:t>
      </w:r>
      <w:r>
        <w:rPr>
          <w:rFonts w:ascii="Times New Roman" w:eastAsia="Times New Roman" w:hAnsi="Times New Roman" w:cs="Times New Roman"/>
          <w:spacing w:val="-2"/>
          <w:position w:val="5"/>
          <w:sz w:val="11"/>
          <w:szCs w:val="11"/>
        </w:rPr>
        <w:t>13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C</w:t>
      </w:r>
      <w:r>
        <w:rPr>
          <w:rFonts w:ascii="Times New Roman" w:eastAsia="Times New Roman" w:hAnsi="Times New Roman" w:cs="Times New Roman"/>
          <w:spacing w:val="-2"/>
          <w:position w:val="-1"/>
          <w:sz w:val="11"/>
          <w:szCs w:val="11"/>
        </w:rPr>
        <w:t>4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-PFOA</w:t>
      </w:r>
      <w:r>
        <w:rPr>
          <w:spacing w:val="-2"/>
          <w:sz w:val="18"/>
          <w:szCs w:val="18"/>
        </w:rPr>
        <w:t>（提取内标</w:t>
      </w:r>
      <w:r>
        <w:rPr>
          <w:spacing w:val="-34"/>
          <w:sz w:val="18"/>
          <w:szCs w:val="18"/>
        </w:rPr>
        <w:t>）；</w:t>
      </w: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4——</w:t>
      </w:r>
      <w:r>
        <w:rPr>
          <w:rFonts w:ascii="Times New Roman" w:eastAsia="Times New Roman" w:hAnsi="Times New Roman" w:cs="Times New Roman"/>
          <w:spacing w:val="-3"/>
          <w:position w:val="5"/>
          <w:sz w:val="11"/>
          <w:szCs w:val="11"/>
        </w:rPr>
        <w:t>13</w:t>
      </w: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C</w:t>
      </w:r>
      <w:r>
        <w:rPr>
          <w:rFonts w:ascii="Times New Roman" w:eastAsia="Times New Roman" w:hAnsi="Times New Roman" w:cs="Times New Roman"/>
          <w:spacing w:val="-3"/>
          <w:position w:val="-1"/>
          <w:sz w:val="11"/>
          <w:szCs w:val="11"/>
        </w:rPr>
        <w:t>4</w:t>
      </w: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-PFOS</w:t>
      </w:r>
      <w:r>
        <w:rPr>
          <w:spacing w:val="-3"/>
          <w:sz w:val="18"/>
          <w:szCs w:val="18"/>
        </w:rPr>
        <w:t>（提取内标</w:t>
      </w:r>
      <w:r>
        <w:rPr>
          <w:spacing w:val="-34"/>
          <w:sz w:val="18"/>
          <w:szCs w:val="18"/>
        </w:rPr>
        <w:t>）；</w:t>
      </w: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5——PFOS</w:t>
      </w:r>
      <w:r>
        <w:rPr>
          <w:spacing w:val="-3"/>
          <w:sz w:val="18"/>
          <w:szCs w:val="18"/>
        </w:rPr>
        <w:t>。</w:t>
      </w:r>
    </w:p>
    <w:p>
      <w:pPr>
        <w:spacing w:before="239" w:line="218" w:lineRule="auto"/>
        <w:ind w:left="211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3"/>
          <w:sz w:val="20"/>
          <w:szCs w:val="20"/>
        </w:rPr>
        <w:t>图</w:t>
      </w:r>
      <w:r>
        <w:rPr>
          <w:rFonts w:ascii="SimHei" w:eastAsia="SimHei" w:hAnsi="SimHei" w:cs="SimHei"/>
          <w:spacing w:val="-16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3"/>
          <w:sz w:val="20"/>
          <w:szCs w:val="20"/>
        </w:rPr>
        <w:t>1</w:t>
      </w:r>
      <w:r>
        <w:rPr>
          <w:rFonts w:ascii="SimHei" w:eastAsia="SimHei" w:hAnsi="SimHei" w:cs="SimHei"/>
          <w:spacing w:val="3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PFOS</w:t>
      </w:r>
      <w:r>
        <w:rPr>
          <w:rFonts w:ascii="SimHei" w:eastAsia="SimHei" w:hAnsi="SimHei" w:cs="SimHei"/>
          <w:spacing w:val="-3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3"/>
          <w:sz w:val="20"/>
          <w:szCs w:val="20"/>
        </w:rPr>
        <w:t>和</w:t>
      </w:r>
      <w:r>
        <w:rPr>
          <w:rFonts w:ascii="SimHei" w:eastAsia="SimHei" w:hAnsi="SimHei" w:cs="SimHei"/>
          <w:spacing w:val="-37"/>
          <w:sz w:val="20"/>
          <w:szCs w:val="20"/>
        </w:rPr>
        <w:t xml:space="preserve"> </w:t>
      </w:r>
      <w:r>
        <w:rPr>
          <w:rFonts w:ascii="SimHei" w:eastAsia="SimHei" w:hAnsi="SimHei" w:cs="SimHei"/>
          <w:sz w:val="20"/>
          <w:szCs w:val="20"/>
        </w:rPr>
        <w:t>PFOA</w:t>
      </w:r>
      <w:r>
        <w:rPr>
          <w:rFonts w:ascii="SimHei" w:eastAsia="SimHei" w:hAnsi="SimHei" w:cs="SimHei"/>
          <w:spacing w:val="-2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3"/>
          <w:sz w:val="20"/>
          <w:szCs w:val="20"/>
        </w:rPr>
        <w:t>的总离子色谱图</w:t>
      </w:r>
      <w:r>
        <w:rPr>
          <w:rFonts w:ascii="SimHei" w:eastAsia="SimHei" w:hAnsi="SimHei" w:cs="SimHei"/>
          <w:spacing w:val="2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3"/>
          <w:sz w:val="20"/>
          <w:szCs w:val="20"/>
        </w:rPr>
        <w:t>(</w:t>
      </w:r>
      <w:r>
        <w:rPr>
          <w:rFonts w:ascii="SimHei" w:eastAsia="SimHei" w:hAnsi="SimHei" w:cs="SimHei"/>
          <w:spacing w:val="-20"/>
          <w:sz w:val="20"/>
          <w:szCs w:val="20"/>
        </w:rPr>
        <w:t xml:space="preserve"> </w:t>
      </w:r>
      <w:r>
        <w:rPr>
          <w:rFonts w:ascii="SimHei" w:eastAsia="SimHei" w:hAnsi="SimHei" w:cs="SimHei"/>
          <w:i/>
          <w:iCs/>
          <w:spacing w:val="3"/>
          <w:sz w:val="21"/>
          <w:szCs w:val="21"/>
        </w:rPr>
        <w:t>ρ</w:t>
      </w:r>
      <w:r>
        <w:rPr>
          <w:rFonts w:ascii="SimHei" w:eastAsia="SimHei" w:hAnsi="SimHei" w:cs="SimHei"/>
          <w:spacing w:val="3"/>
          <w:sz w:val="20"/>
          <w:szCs w:val="20"/>
        </w:rPr>
        <w:t>=</w:t>
      </w:r>
      <w:r>
        <w:rPr>
          <w:rFonts w:ascii="SimHei" w:eastAsia="SimHei" w:hAnsi="SimHei" w:cs="SimHei"/>
          <w:spacing w:val="-52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3"/>
          <w:sz w:val="20"/>
          <w:szCs w:val="20"/>
        </w:rPr>
        <w:t>10.0</w:t>
      </w:r>
      <w:r>
        <w:rPr>
          <w:rFonts w:ascii="SimHei" w:eastAsia="SimHei" w:hAnsi="SimHei" w:cs="SimHei"/>
          <w:spacing w:val="3"/>
          <w:sz w:val="20"/>
          <w:szCs w:val="20"/>
        </w:rPr>
        <w:t xml:space="preserve"> </w:t>
      </w:r>
      <w:r>
        <w:rPr>
          <w:rFonts w:ascii="SimHei" w:eastAsia="SimHei" w:hAnsi="SimHei" w:cs="SimHei"/>
          <w:sz w:val="20"/>
          <w:szCs w:val="20"/>
        </w:rPr>
        <w:t>ng</w:t>
      </w:r>
      <w:r>
        <w:rPr>
          <w:rFonts w:ascii="SimHei" w:eastAsia="SimHei" w:hAnsi="SimHei" w:cs="SimHei"/>
          <w:spacing w:val="3"/>
          <w:sz w:val="20"/>
          <w:szCs w:val="20"/>
        </w:rPr>
        <w:t>/</w:t>
      </w:r>
      <w:r>
        <w:rPr>
          <w:rFonts w:ascii="SimHei" w:eastAsia="SimHei" w:hAnsi="SimHei" w:cs="SimHei"/>
          <w:sz w:val="20"/>
          <w:szCs w:val="20"/>
        </w:rPr>
        <w:t>ml</w:t>
      </w:r>
      <w:r>
        <w:rPr>
          <w:rFonts w:ascii="SimHei" w:eastAsia="SimHei" w:hAnsi="SimHei" w:cs="SimHei"/>
          <w:spacing w:val="3"/>
          <w:sz w:val="20"/>
          <w:szCs w:val="20"/>
        </w:rPr>
        <w:t>）</w:t>
      </w:r>
    </w:p>
    <w:p>
      <w:pPr>
        <w:spacing w:before="91"/>
      </w:pPr>
    </w:p>
    <w:p>
      <w:pPr>
        <w:sectPr>
          <w:footerReference w:type="default" r:id="rId15"/>
          <w:pgSz w:w="11906" w:h="16839"/>
          <w:pgMar w:top="1431" w:right="1294" w:bottom="1320" w:left="1281" w:header="0" w:footer="1141" w:gutter="0"/>
          <w:pgNumType w:start="11"/>
          <w:cols w:num="1" w:space="708" w:equalWidth="0">
            <w:col w:w="9330" w:space="0"/>
          </w:cols>
        </w:sectPr>
      </w:pPr>
    </w:p>
    <w:p>
      <w:pPr>
        <w:spacing w:before="42" w:line="230" w:lineRule="auto"/>
        <w:outlineLvl w:val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8.2.2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平均相对响应因子计算</w:t>
      </w:r>
    </w:p>
    <w:p>
      <w:pPr>
        <w:pStyle w:val="BodyText"/>
        <w:spacing w:before="219" w:line="474" w:lineRule="exact"/>
        <w:ind w:left="463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1.35pt;height:14.35pt;margin-top:9.94pt;margin-left:222.48pt;position:absolute;z-index:251660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8" w:lineRule="auto"/>
                    <w:jc w:val="right"/>
                  </w:pPr>
                  <w:r>
                    <w:rPr>
                      <w:spacing w:val="-5"/>
                    </w:rPr>
                    <w:t>计算。</w:t>
                  </w:r>
                </w:p>
              </w:txbxContent>
            </v:textbox>
          </v:shape>
        </w:pict>
      </w:r>
      <w:r>
        <w:pict>
          <v:shape id="_x0000_s1026" type="#_x0000_t202" style="width:46.2pt;height:26.3pt;margin-top:26.84pt;margin-left:224.32pt;position:absolute;z-index:251659264" filled="f" stroked="f">
            <o:lock v:ext="edit" aspectratio="f"/>
            <v:textbox inset="0,0,0,0">
              <w:txbxContent>
                <w:p>
                  <w:pPr>
                    <w:spacing w:before="20" w:line="485" w:lineRule="exact"/>
                    <w:ind w:left="20"/>
                  </w:pPr>
                  <w:r>
                    <w:ruby>
                      <w:rubyPr>
                        <w:rubyAlign w:val="left"/>
                        <w:hps w:val="20"/>
                        <w:hpsRaise w:val="14"/>
                        <w:hpsBaseText w:val="21"/>
                      </w:rubyPr>
                      <w:rt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w w:val="133"/>
                            <w:position w:val="7"/>
                            <w:sz w:val="20"/>
                            <w:szCs w:val="20"/>
                          </w:rPr>
                          <w:t>A</w:t>
                        </w:r>
                      </w:rt>
                      <w:rubyBase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w w:val="112"/>
                            <w:position w:val="-8"/>
                            <w:sz w:val="20"/>
                            <w:szCs w:val="20"/>
                          </w:rPr>
                          <w:t>A</w:t>
                        </w:r>
                      </w:rubyBase>
                    </w:ruby>
                  </w:r>
                  <w:r>
                    <w:ruby>
                      <w:rubyPr>
                        <w:rubyAlign w:val="left"/>
                        <w:hps w:val="12"/>
                        <w:hpsRaise w:val="14"/>
                        <w:hpsBaseText w:val="21"/>
                      </w:rubyPr>
                      <w:rt>
                        <w:r>
                          <w:rPr>
                            <w:rFonts w:ascii="Times New Roman" w:eastAsia="Times New Roman" w:hAnsi="Times New Roman" w:cs="Times New Roman"/>
                            <w:position w:val="7"/>
                            <w:sz w:val="12"/>
                            <w:szCs w:val="12"/>
                          </w:rPr>
                          <w:t>s,</w:t>
                        </w:r>
                      </w:rt>
                      <w:rubyBase>
                        <w:r>
                          <w:rPr>
                            <w:rFonts w:ascii="Times New Roman" w:eastAsia="Times New Roman" w:hAnsi="Times New Roman" w:cs="Times New Roman"/>
                            <w:w w:val="72"/>
                            <w:position w:val="-8"/>
                            <w:sz w:val="12"/>
                            <w:szCs w:val="12"/>
                          </w:rPr>
                          <w:t>es</w:t>
                        </w:r>
                      </w:rubyBase>
                    </w:ruby>
                  </w:r>
                  <w:r>
                    <w:ruby>
                      <w:rubyPr>
                        <w:rubyAlign w:val="left"/>
                        <w:hps w:val="12"/>
                        <w:hpsRaise w:val="14"/>
                        <w:hpsBaseText w:val="21"/>
                      </w:rubyPr>
                      <w:rt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7"/>
                            <w:sz w:val="12"/>
                            <w:szCs w:val="12"/>
                          </w:rPr>
                          <w:t>ij</w:t>
                        </w:r>
                      </w:rt>
                      <w:rubyBase>
                        <w:r>
                          <w:rPr>
                            <w:rFonts w:ascii="Times New Roman" w:eastAsia="Times New Roman" w:hAnsi="Times New Roman" w:cs="Times New Roman"/>
                            <w:w w:val="96"/>
                            <w:position w:val="-8"/>
                            <w:sz w:val="12"/>
                            <w:szCs w:val="12"/>
                          </w:rPr>
                          <w:t>,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w w:val="96"/>
                            <w:position w:val="-8"/>
                            <w:sz w:val="12"/>
                            <w:szCs w:val="12"/>
                          </w:rPr>
                          <w:t>ij</w:t>
                        </w:r>
                      </w:rubyBase>
                    </w:ruby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4"/>
                      <w:sz w:val="12"/>
                      <w:szCs w:val="12"/>
                    </w:rPr>
                    <w:t xml:space="preserve">  </w:t>
                  </w:r>
                  <w:r>
                    <w:rPr>
                      <w:position w:val="4"/>
                      <w:sz w:val="12"/>
                      <w:szCs w:val="12"/>
                    </w:rPr>
                    <w:drawing>
                      <wp:inline distT="0" distB="0" distL="0" distR="0">
                        <wp:extent cx="57014" cy="161914"/>
                        <wp:effectExtent l="0" t="0" r="0" b="0"/>
                        <wp:docPr id="4" name="IM 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IM 4"/>
                                <pic:cNvPicPr/>
                              </pic:nvPicPr>
                              <pic:blipFill>
                                <a:blip xmlns:r="http://schemas.openxmlformats.org/officeDocument/2006/relationships"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014" cy="161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5"/>
                      <w:position w:val="7"/>
                      <w:sz w:val="12"/>
                      <w:szCs w:val="12"/>
                      <w14:textFill>
                        <w14:noFill/>
                      </w14:textFill>
                    </w:rPr>
                    <w:t xml:space="preserve">  </w:t>
                  </w:r>
                  <w:r>
                    <w:ruby>
                      <w:rubyPr>
                        <w:rubyAlign w:val="left"/>
                        <w:hps w:val="12"/>
                        <w:hpsRaise w:val="14"/>
                        <w:hpsBaseText w:val="21"/>
                      </w:rubyPr>
                      <w:rt>
                        <w:r>
                          <w:rPr>
                            <w:rFonts w:ascii="Symbol" w:eastAsia="Symbol" w:hAnsi="Symbol" w:cs="Symbol"/>
                            <w:w w:val="107"/>
                            <w:position w:val="7"/>
                            <w:sz w:val="21"/>
                            <w:szCs w:val="21"/>
                          </w:rPr>
                          <w:t>p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107"/>
                            <w:position w:val="7"/>
                            <w:sz w:val="12"/>
                            <w:szCs w:val="12"/>
                          </w:rPr>
                          <w:t>es</w:t>
                        </w:r>
                      </w:rt>
                      <w:rubyBase>
                        <w:r>
                          <w:rPr>
                            <w:rFonts w:ascii="Symbol" w:eastAsia="Symbol" w:hAnsi="Symbol" w:cs="Symbol"/>
                            <w:w w:val="121"/>
                            <w:position w:val="-8"/>
                            <w:sz w:val="21"/>
                            <w:szCs w:val="21"/>
                          </w:rPr>
                          <w:t>p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121"/>
                            <w:position w:val="-8"/>
                            <w:sz w:val="12"/>
                            <w:szCs w:val="12"/>
                          </w:rPr>
                          <w:t>s,</w:t>
                        </w:r>
                      </w:rubyBase>
                    </w:ruby>
                  </w:r>
                  <w:r>
                    <w:ruby>
                      <w:rubyPr>
                        <w:rubyAlign w:val="left"/>
                        <w:hps w:val="12"/>
                        <w:hpsRaise w:val="14"/>
                        <w:hpsBaseText w:val="21"/>
                      </w:rubyPr>
                      <w:rt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position w:val="7"/>
                            <w:sz w:val="12"/>
                            <w:szCs w:val="12"/>
                          </w:rPr>
                          <w:t>,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w w:val="97"/>
                            <w:position w:val="7"/>
                            <w:sz w:val="12"/>
                            <w:szCs w:val="12"/>
                          </w:rPr>
                          <w:t>ij</w:t>
                        </w:r>
                      </w:rt>
                      <w:rubyBase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w w:val="101"/>
                            <w:position w:val="-8"/>
                            <w:sz w:val="12"/>
                            <w:szCs w:val="12"/>
                          </w:rPr>
                          <w:t>ij</w:t>
                        </w:r>
                      </w:rubyBase>
                    </w:ruby>
                  </w:r>
                </w:p>
              </w:txbxContent>
            </v:textbox>
          </v:shape>
        </w:pict>
      </w:r>
      <w:r>
        <w:rPr>
          <w:spacing w:val="4"/>
          <w:position w:val="20"/>
        </w:rPr>
        <w:t>目标化合物</w:t>
      </w:r>
      <w:r>
        <w:rPr>
          <w:spacing w:val="-26"/>
          <w:position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4"/>
          <w:position w:val="20"/>
        </w:rPr>
        <w:t>i</w:t>
      </w:r>
      <w:r>
        <w:rPr>
          <w:rFonts w:ascii="Times New Roman" w:eastAsia="Times New Roman" w:hAnsi="Times New Roman" w:cs="Times New Roman"/>
          <w:i/>
          <w:iCs/>
          <w:spacing w:val="27"/>
          <w:w w:val="101"/>
          <w:position w:val="20"/>
        </w:rPr>
        <w:t xml:space="preserve"> </w:t>
      </w:r>
      <w:r>
        <w:rPr>
          <w:spacing w:val="4"/>
          <w:position w:val="20"/>
        </w:rPr>
        <w:t>的相对响应因子按照公式（</w:t>
      </w:r>
      <w:r>
        <w:rPr>
          <w:rFonts w:ascii="Times New Roman" w:eastAsia="Times New Roman" w:hAnsi="Times New Roman" w:cs="Times New Roman"/>
          <w:spacing w:val="4"/>
          <w:position w:val="20"/>
        </w:rPr>
        <w:t>1</w:t>
      </w:r>
      <w:r>
        <w:rPr>
          <w:spacing w:val="4"/>
          <w:position w:val="20"/>
        </w:rPr>
        <w:t>）</w:t>
      </w:r>
    </w:p>
    <w:p>
      <w:pPr>
        <w:spacing w:line="180" w:lineRule="auto"/>
        <w:ind w:left="3726"/>
        <w:rPr>
          <w:rFonts w:ascii="Symbol" w:eastAsia="Symbol" w:hAnsi="Symbol" w:cs="Symbol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RRF</w:t>
      </w:r>
      <w:r>
        <w:rPr>
          <w:rFonts w:ascii="Times New Roman" w:eastAsia="Times New Roman" w:hAnsi="Times New Roman" w:cs="Times New Roman"/>
          <w:sz w:val="12"/>
          <w:szCs w:val="12"/>
        </w:rPr>
        <w:t>s</w:t>
      </w:r>
      <w:r>
        <w:rPr>
          <w:rFonts w:ascii="Times New Roman" w:eastAsia="Times New Roman" w:hAnsi="Times New Roman" w:cs="Times New Roman"/>
          <w:spacing w:val="7"/>
          <w:sz w:val="12"/>
          <w:szCs w:val="12"/>
        </w:rPr>
        <w:t>,</w:t>
      </w:r>
      <w:r>
        <w:rPr>
          <w:rFonts w:ascii="Times New Roman" w:eastAsia="Times New Roman" w:hAnsi="Times New Roman" w:cs="Times New Roman"/>
          <w:i/>
          <w:iCs/>
          <w:sz w:val="12"/>
          <w:szCs w:val="12"/>
        </w:rPr>
        <w:t xml:space="preserve">ij  </w:t>
      </w:r>
      <w:r>
        <w:rPr>
          <w:rFonts w:ascii="Symbol" w:eastAsia="Symbol" w:hAnsi="Symbol" w:cs="Symbol"/>
          <w:spacing w:val="7"/>
          <w:sz w:val="20"/>
          <w:szCs w:val="20"/>
        </w:rPr>
        <w:t>=</w:t>
      </w:r>
    </w:p>
    <w:p>
      <w:pPr>
        <w:pStyle w:val="BodyText"/>
        <w:spacing w:before="278" w:line="312" w:lineRule="exact"/>
        <w:ind w:left="7"/>
      </w:pPr>
      <w:r>
        <w:rPr>
          <w:spacing w:val="9"/>
          <w:position w:val="8"/>
        </w:rPr>
        <w:t>式中：</w:t>
      </w:r>
      <w:r>
        <w:rPr>
          <w:rFonts w:ascii="Times New Roman" w:eastAsia="Times New Roman" w:hAnsi="Times New Roman" w:cs="Times New Roman"/>
          <w:position w:val="8"/>
        </w:rPr>
        <w:t>RRF</w:t>
      </w:r>
      <w:r>
        <w:rPr>
          <w:rFonts w:ascii="Times New Roman" w:eastAsia="Times New Roman" w:hAnsi="Times New Roman" w:cs="Times New Roman"/>
          <w:position w:val="7"/>
          <w:sz w:val="13"/>
          <w:szCs w:val="13"/>
        </w:rPr>
        <w:t>s</w:t>
      </w:r>
      <w:r>
        <w:rPr>
          <w:rFonts w:ascii="Times New Roman" w:eastAsia="Times New Roman" w:hAnsi="Times New Roman" w:cs="Times New Roman"/>
          <w:spacing w:val="9"/>
          <w:position w:val="7"/>
          <w:sz w:val="13"/>
          <w:szCs w:val="13"/>
        </w:rPr>
        <w:t>,</w:t>
      </w:r>
      <w:r>
        <w:rPr>
          <w:rFonts w:ascii="Times New Roman" w:eastAsia="Times New Roman" w:hAnsi="Times New Roman" w:cs="Times New Roman"/>
          <w:i/>
          <w:iCs/>
          <w:position w:val="7"/>
          <w:sz w:val="13"/>
          <w:szCs w:val="13"/>
        </w:rPr>
        <w:t>ij</w:t>
      </w:r>
      <w:r>
        <w:rPr>
          <w:rFonts w:ascii="Times New Roman" w:eastAsia="Times New Roman" w:hAnsi="Times New Roman" w:cs="Times New Roman"/>
          <w:i/>
          <w:iCs/>
          <w:spacing w:val="9"/>
          <w:position w:val="7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8"/>
        </w:rPr>
        <w:t>——</w:t>
      </w:r>
      <w:r>
        <w:rPr>
          <w:spacing w:val="9"/>
          <w:position w:val="8"/>
        </w:rPr>
        <w:t>标准系列中第</w:t>
      </w:r>
      <w:r>
        <w:rPr>
          <w:rFonts w:ascii="Times New Roman" w:eastAsia="Times New Roman" w:hAnsi="Times New Roman" w:cs="Times New Roman"/>
          <w:i/>
          <w:iCs/>
          <w:spacing w:val="9"/>
          <w:position w:val="8"/>
        </w:rPr>
        <w:t>j</w:t>
      </w:r>
      <w:r>
        <w:rPr>
          <w:rFonts w:ascii="Times New Roman" w:eastAsia="Times New Roman" w:hAnsi="Times New Roman" w:cs="Times New Roman"/>
          <w:i/>
          <w:iCs/>
          <w:spacing w:val="21"/>
          <w:position w:val="8"/>
        </w:rPr>
        <w:t xml:space="preserve"> </w:t>
      </w:r>
      <w:r>
        <w:rPr>
          <w:spacing w:val="9"/>
          <w:position w:val="8"/>
        </w:rPr>
        <w:t>点目标化合物</w:t>
      </w:r>
      <w:r>
        <w:rPr>
          <w:spacing w:val="-39"/>
          <w:position w:val="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9"/>
          <w:position w:val="8"/>
        </w:rPr>
        <w:t>i</w:t>
      </w:r>
      <w:r>
        <w:rPr>
          <w:rFonts w:ascii="Times New Roman" w:eastAsia="Times New Roman" w:hAnsi="Times New Roman" w:cs="Times New Roman"/>
          <w:i/>
          <w:iCs/>
          <w:spacing w:val="28"/>
          <w:w w:val="101"/>
          <w:position w:val="8"/>
        </w:rPr>
        <w:t xml:space="preserve"> </w:t>
      </w:r>
      <w:r>
        <w:rPr>
          <w:spacing w:val="9"/>
          <w:position w:val="8"/>
        </w:rPr>
        <w:t>的相对</w:t>
      </w:r>
      <w:r>
        <w:rPr>
          <w:spacing w:val="8"/>
          <w:position w:val="8"/>
        </w:rPr>
        <w:t>响应因子；</w:t>
      </w:r>
    </w:p>
    <w:p>
      <w:pPr>
        <w:pStyle w:val="BodyText"/>
        <w:spacing w:before="1" w:line="222" w:lineRule="auto"/>
        <w:ind w:left="613"/>
      </w:pPr>
      <w:r>
        <w:rPr>
          <w:rFonts w:ascii="Times New Roman" w:eastAsia="Times New Roman" w:hAnsi="Times New Roman" w:cs="Times New Roman"/>
          <w:i/>
          <w:iCs/>
        </w:rPr>
        <w:t>A</w:t>
      </w:r>
      <w:r>
        <w:rPr>
          <w:rFonts w:ascii="Times New Roman" w:eastAsia="Times New Roman" w:hAnsi="Times New Roman" w:cs="Times New Roman"/>
          <w:position w:val="-1"/>
          <w:sz w:val="13"/>
          <w:szCs w:val="13"/>
        </w:rPr>
        <w:t>s</w:t>
      </w:r>
      <w:r>
        <w:rPr>
          <w:rFonts w:ascii="Times New Roman" w:eastAsia="Times New Roman" w:hAnsi="Times New Roman" w:cs="Times New Roman"/>
          <w:spacing w:val="10"/>
          <w:position w:val="-1"/>
          <w:sz w:val="13"/>
          <w:szCs w:val="13"/>
        </w:rPr>
        <w:t>,</w:t>
      </w:r>
      <w:r>
        <w:rPr>
          <w:rFonts w:ascii="Times New Roman" w:eastAsia="Times New Roman" w:hAnsi="Times New Roman" w:cs="Times New Roman"/>
          <w:i/>
          <w:iCs/>
          <w:position w:val="-1"/>
          <w:sz w:val="13"/>
          <w:szCs w:val="13"/>
        </w:rPr>
        <w:t>ij</w:t>
      </w:r>
      <w:r>
        <w:rPr>
          <w:rFonts w:ascii="Times New Roman" w:eastAsia="Times New Roman" w:hAnsi="Times New Roman" w:cs="Times New Roman"/>
          <w:i/>
          <w:iCs/>
          <w:spacing w:val="10"/>
          <w:position w:val="-1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0"/>
        </w:rPr>
        <w:t>——</w:t>
      </w:r>
      <w:r>
        <w:rPr>
          <w:spacing w:val="10"/>
        </w:rPr>
        <w:t>标准系列中第</w:t>
      </w:r>
      <w:r>
        <w:rPr>
          <w:rFonts w:ascii="Times New Roman" w:eastAsia="Times New Roman" w:hAnsi="Times New Roman" w:cs="Times New Roman"/>
          <w:i/>
          <w:iCs/>
          <w:spacing w:val="10"/>
        </w:rPr>
        <w:t>j</w:t>
      </w:r>
      <w:r>
        <w:rPr>
          <w:rFonts w:ascii="Times New Roman" w:eastAsia="Times New Roman" w:hAnsi="Times New Roman" w:cs="Times New Roman"/>
          <w:i/>
          <w:iCs/>
          <w:spacing w:val="21"/>
          <w:w w:val="101"/>
        </w:rPr>
        <w:t xml:space="preserve"> </w:t>
      </w:r>
      <w:r>
        <w:rPr>
          <w:spacing w:val="10"/>
        </w:rPr>
        <w:t>点目标化合物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0"/>
        </w:rPr>
        <w:t xml:space="preserve">i </w:t>
      </w:r>
      <w:r>
        <w:rPr>
          <w:spacing w:val="10"/>
        </w:rPr>
        <w:t>定量离子</w:t>
      </w:r>
      <w:r>
        <w:rPr>
          <w:spacing w:val="9"/>
        </w:rPr>
        <w:t>的峰面积；</w:t>
      </w:r>
    </w:p>
    <w:p>
      <w:pPr>
        <w:pStyle w:val="BodyText"/>
        <w:spacing w:before="71" w:line="255" w:lineRule="auto"/>
        <w:ind w:left="609" w:right="1096" w:firstLine="4"/>
      </w:pPr>
      <w:r>
        <w:rPr>
          <w:rFonts w:ascii="Times New Roman" w:eastAsia="Times New Roman" w:hAnsi="Times New Roman" w:cs="Times New Roman"/>
          <w:i/>
          <w:iCs/>
        </w:rPr>
        <w:t>A</w:t>
      </w:r>
      <w:r>
        <w:rPr>
          <w:rFonts w:ascii="Times New Roman" w:eastAsia="Times New Roman" w:hAnsi="Times New Roman" w:cs="Times New Roman"/>
          <w:position w:val="-1"/>
          <w:sz w:val="13"/>
          <w:szCs w:val="13"/>
        </w:rPr>
        <w:t>es</w:t>
      </w:r>
      <w:r>
        <w:rPr>
          <w:rFonts w:ascii="Times New Roman" w:eastAsia="Times New Roman" w:hAnsi="Times New Roman" w:cs="Times New Roman"/>
          <w:spacing w:val="10"/>
          <w:position w:val="-1"/>
          <w:sz w:val="13"/>
          <w:szCs w:val="13"/>
        </w:rPr>
        <w:t>,</w:t>
      </w:r>
      <w:r>
        <w:rPr>
          <w:rFonts w:ascii="Times New Roman" w:eastAsia="Times New Roman" w:hAnsi="Times New Roman" w:cs="Times New Roman"/>
          <w:i/>
          <w:iCs/>
          <w:position w:val="-1"/>
          <w:sz w:val="13"/>
          <w:szCs w:val="13"/>
        </w:rPr>
        <w:t>ij</w:t>
      </w:r>
      <w:r>
        <w:rPr>
          <w:rFonts w:ascii="Times New Roman" w:eastAsia="Times New Roman" w:hAnsi="Times New Roman" w:cs="Times New Roman"/>
          <w:i/>
          <w:iCs/>
          <w:spacing w:val="10"/>
          <w:position w:val="-1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0"/>
        </w:rPr>
        <w:t>——</w:t>
      </w:r>
      <w:r>
        <w:rPr>
          <w:spacing w:val="10"/>
        </w:rPr>
        <w:t>标准系列中第</w:t>
      </w:r>
      <w:r>
        <w:rPr>
          <w:rFonts w:ascii="Times New Roman" w:eastAsia="Times New Roman" w:hAnsi="Times New Roman" w:cs="Times New Roman"/>
          <w:i/>
          <w:iCs/>
          <w:spacing w:val="10"/>
        </w:rPr>
        <w:t>j</w:t>
      </w:r>
      <w:r>
        <w:rPr>
          <w:rFonts w:ascii="Times New Roman" w:eastAsia="Times New Roman" w:hAnsi="Times New Roman" w:cs="Times New Roman"/>
          <w:i/>
          <w:iCs/>
          <w:spacing w:val="21"/>
          <w:w w:val="101"/>
        </w:rPr>
        <w:t xml:space="preserve"> </w:t>
      </w:r>
      <w:r>
        <w:rPr>
          <w:spacing w:val="10"/>
        </w:rPr>
        <w:t>点目标化合物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0"/>
        </w:rPr>
        <w:t xml:space="preserve">i </w:t>
      </w:r>
      <w:r>
        <w:rPr>
          <w:spacing w:val="10"/>
        </w:rPr>
        <w:t>对应提取内标定量离子的</w:t>
      </w:r>
      <w:r>
        <w:rPr>
          <w:spacing w:val="9"/>
        </w:rPr>
        <w:t>峰面积；</w:t>
      </w:r>
      <w:r>
        <w:t xml:space="preserve"> </w:t>
      </w:r>
      <w:r>
        <w:rPr>
          <w:rFonts w:ascii="Times New Roman" w:eastAsia="Times New Roman" w:hAnsi="Times New Roman" w:cs="Times New Roman"/>
          <w:i/>
          <w:iCs/>
          <w:spacing w:val="9"/>
        </w:rPr>
        <w:t>ρ</w:t>
      </w:r>
      <w:r>
        <w:rPr>
          <w:rFonts w:ascii="Times New Roman" w:eastAsia="Times New Roman" w:hAnsi="Times New Roman" w:cs="Times New Roman"/>
          <w:position w:val="-1"/>
          <w:sz w:val="13"/>
          <w:szCs w:val="13"/>
        </w:rPr>
        <w:t>es</w:t>
      </w:r>
      <w:r>
        <w:rPr>
          <w:rFonts w:ascii="Times New Roman" w:eastAsia="Times New Roman" w:hAnsi="Times New Roman" w:cs="Times New Roman"/>
          <w:spacing w:val="9"/>
          <w:position w:val="-1"/>
          <w:sz w:val="13"/>
          <w:szCs w:val="13"/>
        </w:rPr>
        <w:t>,</w:t>
      </w:r>
      <w:r>
        <w:rPr>
          <w:rFonts w:ascii="Times New Roman" w:eastAsia="Times New Roman" w:hAnsi="Times New Roman" w:cs="Times New Roman"/>
          <w:i/>
          <w:iCs/>
          <w:position w:val="-1"/>
          <w:sz w:val="13"/>
          <w:szCs w:val="13"/>
        </w:rPr>
        <w:t>ij</w:t>
      </w:r>
      <w:r>
        <w:rPr>
          <w:rFonts w:ascii="Times New Roman" w:eastAsia="Times New Roman" w:hAnsi="Times New Roman" w:cs="Times New Roman"/>
          <w:i/>
          <w:iCs/>
          <w:spacing w:val="9"/>
          <w:position w:val="-1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——</w:t>
      </w:r>
      <w:r>
        <w:rPr>
          <w:spacing w:val="9"/>
        </w:rPr>
        <w:t>标准系列中第</w:t>
      </w:r>
      <w:r>
        <w:rPr>
          <w:rFonts w:ascii="Times New Roman" w:eastAsia="Times New Roman" w:hAnsi="Times New Roman" w:cs="Times New Roman"/>
          <w:i/>
          <w:iCs/>
          <w:spacing w:val="9"/>
        </w:rPr>
        <w:t>j</w:t>
      </w:r>
      <w:r>
        <w:rPr>
          <w:rFonts w:ascii="Times New Roman" w:eastAsia="Times New Roman" w:hAnsi="Times New Roman" w:cs="Times New Roman"/>
          <w:i/>
          <w:iCs/>
          <w:spacing w:val="21"/>
          <w:w w:val="101"/>
        </w:rPr>
        <w:t xml:space="preserve"> </w:t>
      </w:r>
      <w:r>
        <w:rPr>
          <w:spacing w:val="9"/>
        </w:rPr>
        <w:t>点目标化合物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9"/>
        </w:rPr>
        <w:t xml:space="preserve">i </w:t>
      </w:r>
      <w:r>
        <w:rPr>
          <w:spacing w:val="9"/>
        </w:rPr>
        <w:t>对应提取内标的质</w:t>
      </w:r>
      <w:r>
        <w:rPr>
          <w:spacing w:val="8"/>
        </w:rPr>
        <w:t>量浓度，</w:t>
      </w:r>
      <w:r>
        <w:rPr>
          <w:rFonts w:ascii="Times New Roman" w:eastAsia="Times New Roman" w:hAnsi="Times New Roman" w:cs="Times New Roman"/>
        </w:rPr>
        <w:t>ng</w:t>
      </w:r>
      <w:r>
        <w:rPr>
          <w:rFonts w:ascii="Times New Roman" w:eastAsia="Times New Roman" w:hAnsi="Times New Roman" w:cs="Times New Roman"/>
          <w:spacing w:val="8"/>
        </w:rPr>
        <w:t>/</w:t>
      </w:r>
      <w:r>
        <w:rPr>
          <w:rFonts w:ascii="Times New Roman" w:eastAsia="Times New Roman" w:hAnsi="Times New Roman" w:cs="Times New Roman"/>
        </w:rPr>
        <w:t>ml</w:t>
      </w:r>
      <w:r>
        <w:rPr>
          <w:spacing w:val="8"/>
        </w:rPr>
        <w:t>；</w:t>
      </w:r>
    </w:p>
    <w:p>
      <w:pPr>
        <w:pStyle w:val="BodyText"/>
        <w:spacing w:before="71" w:line="312" w:lineRule="exact"/>
        <w:ind w:left="609"/>
      </w:pPr>
      <w:r>
        <w:rPr>
          <w:rFonts w:ascii="Times New Roman" w:eastAsia="Times New Roman" w:hAnsi="Times New Roman" w:cs="Times New Roman"/>
          <w:i/>
          <w:iCs/>
          <w:spacing w:val="9"/>
          <w:position w:val="8"/>
        </w:rPr>
        <w:t>ρ</w:t>
      </w:r>
      <w:r>
        <w:rPr>
          <w:rFonts w:ascii="Times New Roman" w:eastAsia="Times New Roman" w:hAnsi="Times New Roman" w:cs="Times New Roman"/>
          <w:spacing w:val="9"/>
          <w:position w:val="7"/>
          <w:sz w:val="13"/>
          <w:szCs w:val="13"/>
        </w:rPr>
        <w:t>s,</w:t>
      </w:r>
      <w:r>
        <w:rPr>
          <w:rFonts w:ascii="Times New Roman" w:eastAsia="Times New Roman" w:hAnsi="Times New Roman" w:cs="Times New Roman"/>
          <w:i/>
          <w:iCs/>
          <w:position w:val="7"/>
          <w:sz w:val="13"/>
          <w:szCs w:val="13"/>
        </w:rPr>
        <w:t>ij</w:t>
      </w:r>
      <w:r>
        <w:rPr>
          <w:rFonts w:ascii="Times New Roman" w:eastAsia="Times New Roman" w:hAnsi="Times New Roman" w:cs="Times New Roman"/>
          <w:i/>
          <w:iCs/>
          <w:spacing w:val="9"/>
          <w:position w:val="7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8"/>
        </w:rPr>
        <w:t>——</w:t>
      </w:r>
      <w:r>
        <w:rPr>
          <w:spacing w:val="9"/>
          <w:position w:val="8"/>
        </w:rPr>
        <w:t>标准系列中第</w:t>
      </w:r>
      <w:r>
        <w:rPr>
          <w:rFonts w:ascii="Times New Roman" w:eastAsia="Times New Roman" w:hAnsi="Times New Roman" w:cs="Times New Roman"/>
          <w:i/>
          <w:iCs/>
          <w:spacing w:val="9"/>
          <w:position w:val="8"/>
        </w:rPr>
        <w:t>j</w:t>
      </w:r>
      <w:r>
        <w:rPr>
          <w:rFonts w:ascii="Times New Roman" w:eastAsia="Times New Roman" w:hAnsi="Times New Roman" w:cs="Times New Roman"/>
          <w:i/>
          <w:iCs/>
          <w:spacing w:val="21"/>
          <w:w w:val="101"/>
          <w:position w:val="8"/>
        </w:rPr>
        <w:t xml:space="preserve"> </w:t>
      </w:r>
      <w:r>
        <w:rPr>
          <w:spacing w:val="9"/>
          <w:position w:val="8"/>
        </w:rPr>
        <w:t>点目标化合物</w:t>
      </w:r>
      <w:r>
        <w:rPr>
          <w:spacing w:val="-36"/>
          <w:position w:val="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9"/>
          <w:position w:val="8"/>
        </w:rPr>
        <w:t>i</w:t>
      </w:r>
      <w:r>
        <w:rPr>
          <w:rFonts w:ascii="Times New Roman" w:eastAsia="Times New Roman" w:hAnsi="Times New Roman" w:cs="Times New Roman"/>
          <w:i/>
          <w:iCs/>
          <w:spacing w:val="27"/>
          <w:w w:val="101"/>
          <w:position w:val="8"/>
        </w:rPr>
        <w:t xml:space="preserve"> </w:t>
      </w:r>
      <w:r>
        <w:rPr>
          <w:spacing w:val="9"/>
          <w:position w:val="8"/>
        </w:rPr>
        <w:t>的质量浓度，</w:t>
      </w:r>
      <w:r>
        <w:rPr>
          <w:rFonts w:ascii="Times New Roman" w:eastAsia="Times New Roman" w:hAnsi="Times New Roman" w:cs="Times New Roman"/>
          <w:position w:val="8"/>
        </w:rPr>
        <w:t>ng</w:t>
      </w:r>
      <w:r>
        <w:rPr>
          <w:rFonts w:ascii="Times New Roman" w:eastAsia="Times New Roman" w:hAnsi="Times New Roman" w:cs="Times New Roman"/>
          <w:spacing w:val="8"/>
          <w:position w:val="8"/>
        </w:rPr>
        <w:t>/</w:t>
      </w:r>
      <w:r>
        <w:rPr>
          <w:rFonts w:ascii="Times New Roman" w:eastAsia="Times New Roman" w:hAnsi="Times New Roman" w:cs="Times New Roman"/>
          <w:position w:val="8"/>
        </w:rPr>
        <w:t>ml</w:t>
      </w:r>
      <w:r>
        <w:rPr>
          <w:spacing w:val="8"/>
          <w:position w:val="8"/>
        </w:rPr>
        <w:t>。</w:t>
      </w:r>
    </w:p>
    <w:p>
      <w:pPr>
        <w:pStyle w:val="BodyText"/>
        <w:spacing w:before="1" w:line="227" w:lineRule="auto"/>
        <w:ind w:left="463"/>
      </w:pPr>
      <w:r>
        <w:rPr>
          <w:spacing w:val="5"/>
        </w:rPr>
        <w:t>目标化合物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5"/>
        </w:rPr>
        <w:t>i</w:t>
      </w:r>
      <w:r>
        <w:rPr>
          <w:rFonts w:ascii="Times New Roman" w:eastAsia="Times New Roman" w:hAnsi="Times New Roman" w:cs="Times New Roman"/>
          <w:i/>
          <w:iCs/>
          <w:spacing w:val="27"/>
          <w:w w:val="101"/>
        </w:rPr>
        <w:t xml:space="preserve"> </w:t>
      </w:r>
      <w:r>
        <w:rPr>
          <w:spacing w:val="5"/>
        </w:rPr>
        <w:t>的平均相对响应因子按照公式（</w:t>
      </w:r>
      <w:r>
        <w:rPr>
          <w:rFonts w:ascii="Times New Roman" w:eastAsia="Times New Roman" w:hAnsi="Times New Roman" w:cs="Times New Roman"/>
          <w:spacing w:val="5"/>
        </w:rPr>
        <w:t>2</w:t>
      </w:r>
      <w:r>
        <w:rPr>
          <w:spacing w:val="5"/>
        </w:rPr>
        <w:t>）计算。</w:t>
      </w:r>
    </w:p>
    <w:p>
      <w:pPr>
        <w:tabs>
          <w:tab w:val="left" w:pos="4265"/>
        </w:tabs>
        <w:spacing w:before="129" w:line="278" w:lineRule="auto"/>
        <w:ind w:left="3870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  <w:u w:val="single" w:color="auto"/>
        </w:rPr>
        <w:tab/>
      </w:r>
      <w:r>
        <w:rPr>
          <w:rFonts w:ascii="Times New Roman" w:eastAsia="Times New Roman" w:hAnsi="Times New Roman" w:cs="Times New Roman"/>
          <w:spacing w:val="7"/>
          <w:position w:val="1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position w:val="-6"/>
          <w:sz w:val="20"/>
          <w:szCs w:val="20"/>
        </w:rPr>
        <w:drawing>
          <wp:inline distT="0" distB="0" distL="0" distR="0">
            <wp:extent cx="137111" cy="219382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7111" cy="219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7"/>
          <w:position w:val="1"/>
          <w:sz w:val="20"/>
          <w:szCs w:val="20"/>
        </w:rPr>
        <w:t>RRF</w:t>
      </w:r>
      <w:r>
        <w:rPr>
          <w:rFonts w:ascii="Times New Roman" w:eastAsia="Times New Roman" w:hAnsi="Times New Roman" w:cs="Times New Roman"/>
          <w:spacing w:val="7"/>
          <w:position w:val="1"/>
          <w:sz w:val="12"/>
          <w:szCs w:val="12"/>
        </w:rPr>
        <w:t>s,</w:t>
      </w:r>
      <w:r>
        <w:rPr>
          <w:rFonts w:ascii="Times New Roman" w:eastAsia="Times New Roman" w:hAnsi="Times New Roman" w:cs="Times New Roman"/>
          <w:i/>
          <w:iCs/>
          <w:spacing w:val="7"/>
          <w:position w:val="1"/>
          <w:sz w:val="12"/>
          <w:szCs w:val="12"/>
        </w:rPr>
        <w:t>ij</w:t>
      </w:r>
    </w:p>
    <w:p>
      <w:pPr>
        <w:spacing w:before="1" w:line="210" w:lineRule="auto"/>
        <w:ind w:left="3875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RRF</w:t>
      </w:r>
      <w:r>
        <w:rPr>
          <w:rFonts w:ascii="Times New Roman" w:eastAsia="Times New Roman" w:hAnsi="Times New Roman" w:cs="Times New Roman"/>
          <w:position w:val="-2"/>
          <w:sz w:val="12"/>
          <w:szCs w:val="12"/>
        </w:rPr>
        <w:t>s</w:t>
      </w:r>
      <w:r>
        <w:rPr>
          <w:rFonts w:ascii="Times New Roman" w:eastAsia="Times New Roman" w:hAnsi="Times New Roman" w:cs="Times New Roman"/>
          <w:spacing w:val="2"/>
          <w:position w:val="-2"/>
          <w:sz w:val="12"/>
          <w:szCs w:val="12"/>
        </w:rPr>
        <w:t>,</w:t>
      </w:r>
      <w:r>
        <w:rPr>
          <w:rFonts w:ascii="Times New Roman" w:eastAsia="Times New Roman" w:hAnsi="Times New Roman" w:cs="Times New Roman"/>
          <w:i/>
          <w:iCs/>
          <w:spacing w:val="2"/>
          <w:position w:val="-2"/>
          <w:sz w:val="12"/>
          <w:szCs w:val="12"/>
        </w:rPr>
        <w:t>i</w:t>
      </w:r>
      <w:r>
        <w:rPr>
          <w:rFonts w:ascii="Times New Roman" w:eastAsia="Times New Roman" w:hAnsi="Times New Roman" w:cs="Times New Roman"/>
          <w:i/>
          <w:iCs/>
          <w:spacing w:val="31"/>
          <w:w w:val="102"/>
          <w:position w:val="-2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2"/>
          <w:position w:val="-2"/>
          <w:sz w:val="20"/>
          <w:szCs w:val="20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spacing w:val="9"/>
          <w:w w:val="102"/>
          <w:position w:val="8"/>
          <w:sz w:val="12"/>
          <w:szCs w:val="1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"/>
          <w:position w:val="8"/>
          <w:sz w:val="12"/>
          <w:szCs w:val="12"/>
          <w:u w:val="single" w:color="auto"/>
        </w:rPr>
        <w:t>j</w:t>
      </w:r>
      <w:r>
        <w:rPr>
          <w:rFonts w:ascii="Times New Roman" w:eastAsia="Times New Roman" w:hAnsi="Times New Roman" w:cs="Times New Roman"/>
          <w:i/>
          <w:iCs/>
          <w:spacing w:val="-15"/>
          <w:position w:val="8"/>
          <w:sz w:val="12"/>
          <w:szCs w:val="12"/>
          <w:u w:val="single" w:color="auto"/>
        </w:rPr>
        <w:t xml:space="preserve"> </w:t>
      </w:r>
      <w:r>
        <w:rPr>
          <w:rFonts w:ascii="Symbol" w:eastAsia="Symbol" w:hAnsi="Symbol" w:cs="Symbol"/>
          <w:spacing w:val="2"/>
          <w:position w:val="8"/>
          <w:sz w:val="12"/>
          <w:szCs w:val="12"/>
          <w:u w:val="single" w:color="auto"/>
        </w:rPr>
        <w:t>=</w:t>
      </w:r>
      <w:r>
        <w:rPr>
          <w:rFonts w:ascii="Times New Roman" w:eastAsia="Times New Roman" w:hAnsi="Times New Roman" w:cs="Times New Roman"/>
          <w:spacing w:val="2"/>
          <w:position w:val="8"/>
          <w:sz w:val="12"/>
          <w:szCs w:val="12"/>
          <w:u w:val="single" w:color="auto"/>
        </w:rPr>
        <w:t>1</w:t>
      </w:r>
      <w:r>
        <w:rPr>
          <w:rFonts w:ascii="Times New Roman" w:eastAsia="Times New Roman" w:hAnsi="Times New Roman" w:cs="Times New Roman"/>
          <w:position w:val="8"/>
          <w:sz w:val="12"/>
          <w:szCs w:val="12"/>
          <w:u w:val="single" w:color="auto"/>
        </w:rPr>
        <w:t xml:space="preserve">                     </w:t>
      </w:r>
    </w:p>
    <w:p>
      <w:pPr>
        <w:spacing w:before="27" w:line="96" w:lineRule="exact"/>
        <w:ind w:left="4953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27" type="#_x0000_t202" style="width:246.2pt;height:25.15pt;margin-top:2.18pt;margin-left:-0.64pt;position:absolute;z-index:251658240" filled="f" stroked="f">
            <o:lock v:ext="edit" aspectratio="f"/>
            <v:textbox inset="0,0,0,0">
              <w:txbxContent>
                <w:p>
                  <w:pPr>
                    <w:tabs>
                      <w:tab w:val="left" w:pos="1080"/>
                    </w:tabs>
                    <w:spacing w:before="20" w:line="228" w:lineRule="exact"/>
                    <w:ind w:left="669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position w:val="-1"/>
                      <w:sz w:val="21"/>
                      <w:szCs w:val="21"/>
                      <w:u w:val="single" w:color="auto"/>
                    </w:rPr>
                    <w:tab/>
                  </w:r>
                </w:p>
                <w:p>
                  <w:pPr>
                    <w:pStyle w:val="BodyText"/>
                    <w:spacing w:line="213" w:lineRule="auto"/>
                    <w:jc w:val="right"/>
                  </w:pPr>
                  <w:r>
                    <w:rPr>
                      <w:spacing w:val="1"/>
                    </w:rPr>
                    <w:t>式中：</w:t>
                  </w:r>
                  <w:r>
                    <w:rPr>
                      <w:spacing w:val="-4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2"/>
                      <w:szCs w:val="22"/>
                    </w:rPr>
                    <w:t>RRF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s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1"/>
                      <w:sz w:val="12"/>
                      <w:szCs w:val="12"/>
                    </w:rPr>
                    <w:t xml:space="preserve">i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 xml:space="preserve">—— </w:t>
                  </w:r>
                  <w:r>
                    <w:rPr>
                      <w:spacing w:val="1"/>
                    </w:rPr>
                    <w:t>目标化合物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1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28"/>
                      <w:w w:val="101"/>
                    </w:rPr>
                    <w:t xml:space="preserve"> </w:t>
                  </w:r>
                  <w:r>
                    <w:rPr>
                      <w:spacing w:val="1"/>
                    </w:rPr>
                    <w:t>的平均相对响应因子；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-1"/>
          <w:sz w:val="20"/>
          <w:szCs w:val="20"/>
        </w:rPr>
        <w:t>n</w:t>
      </w:r>
    </w:p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66" w:line="319" w:lineRule="exact"/>
        <w:ind w:left="627"/>
      </w:pPr>
      <w:r>
        <w:rPr>
          <w:rFonts w:ascii="Times New Roman" w:eastAsia="Times New Roman" w:hAnsi="Times New Roman" w:cs="Times New Roman"/>
          <w:position w:val="8"/>
        </w:rPr>
        <w:t>RRF</w:t>
      </w:r>
      <w:r>
        <w:rPr>
          <w:rFonts w:ascii="Times New Roman" w:eastAsia="Times New Roman" w:hAnsi="Times New Roman" w:cs="Times New Roman"/>
          <w:position w:val="7"/>
          <w:sz w:val="13"/>
          <w:szCs w:val="13"/>
        </w:rPr>
        <w:t>s</w:t>
      </w:r>
      <w:r>
        <w:rPr>
          <w:rFonts w:ascii="Times New Roman" w:eastAsia="Times New Roman" w:hAnsi="Times New Roman" w:cs="Times New Roman"/>
          <w:spacing w:val="9"/>
          <w:position w:val="7"/>
          <w:sz w:val="13"/>
          <w:szCs w:val="13"/>
        </w:rPr>
        <w:t>,</w:t>
      </w:r>
      <w:r>
        <w:rPr>
          <w:rFonts w:ascii="Times New Roman" w:eastAsia="Times New Roman" w:hAnsi="Times New Roman" w:cs="Times New Roman"/>
          <w:i/>
          <w:iCs/>
          <w:position w:val="7"/>
          <w:sz w:val="13"/>
          <w:szCs w:val="13"/>
        </w:rPr>
        <w:t>ij</w:t>
      </w:r>
      <w:r>
        <w:rPr>
          <w:rFonts w:ascii="Times New Roman" w:eastAsia="Times New Roman" w:hAnsi="Times New Roman" w:cs="Times New Roman"/>
          <w:spacing w:val="9"/>
          <w:position w:val="8"/>
        </w:rPr>
        <w:t>——</w:t>
      </w:r>
      <w:r>
        <w:rPr>
          <w:spacing w:val="9"/>
          <w:position w:val="8"/>
        </w:rPr>
        <w:t>标准系列中第</w:t>
      </w:r>
      <w:r>
        <w:rPr>
          <w:rFonts w:ascii="Times New Roman" w:eastAsia="Times New Roman" w:hAnsi="Times New Roman" w:cs="Times New Roman"/>
          <w:i/>
          <w:iCs/>
          <w:spacing w:val="9"/>
          <w:position w:val="8"/>
        </w:rPr>
        <w:t>j</w:t>
      </w:r>
      <w:r>
        <w:rPr>
          <w:rFonts w:ascii="Times New Roman" w:eastAsia="Times New Roman" w:hAnsi="Times New Roman" w:cs="Times New Roman"/>
          <w:i/>
          <w:iCs/>
          <w:spacing w:val="28"/>
          <w:w w:val="101"/>
          <w:position w:val="8"/>
        </w:rPr>
        <w:t xml:space="preserve"> </w:t>
      </w:r>
      <w:r>
        <w:rPr>
          <w:spacing w:val="9"/>
          <w:position w:val="8"/>
        </w:rPr>
        <w:t>点目标化合物</w:t>
      </w:r>
      <w:r>
        <w:rPr>
          <w:spacing w:val="-36"/>
          <w:position w:val="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9"/>
          <w:position w:val="8"/>
        </w:rPr>
        <w:t>i</w:t>
      </w:r>
      <w:r>
        <w:rPr>
          <w:rFonts w:ascii="Times New Roman" w:eastAsia="Times New Roman" w:hAnsi="Times New Roman" w:cs="Times New Roman"/>
          <w:i/>
          <w:iCs/>
          <w:spacing w:val="27"/>
          <w:w w:val="101"/>
          <w:position w:val="8"/>
        </w:rPr>
        <w:t xml:space="preserve"> </w:t>
      </w:r>
      <w:r>
        <w:rPr>
          <w:spacing w:val="9"/>
          <w:position w:val="8"/>
        </w:rPr>
        <w:t>的相对响应因子；</w:t>
      </w:r>
    </w:p>
    <w:p>
      <w:pPr>
        <w:pStyle w:val="BodyText"/>
        <w:spacing w:before="1" w:line="227" w:lineRule="auto"/>
        <w:ind w:left="627"/>
      </w:pPr>
      <w:r>
        <w:rPr>
          <w:rFonts w:ascii="Times New Roman" w:eastAsia="Times New Roman" w:hAnsi="Times New Roman" w:cs="Times New Roman"/>
          <w:i/>
          <w:iCs/>
          <w:spacing w:val="7"/>
        </w:rPr>
        <w:t>n</w:t>
      </w:r>
      <w:r>
        <w:rPr>
          <w:rFonts w:ascii="Times New Roman" w:eastAsia="Times New Roman" w:hAnsi="Times New Roman" w:cs="Times New Roman"/>
          <w:spacing w:val="7"/>
        </w:rPr>
        <w:t>——</w:t>
      </w:r>
      <w:r>
        <w:rPr>
          <w:spacing w:val="7"/>
        </w:rPr>
        <w:t>标准系列点数。</w:t>
      </w:r>
    </w:p>
    <w:p>
      <w:pPr>
        <w:spacing w:line="48" w:lineRule="exact"/>
      </w:pPr>
    </w:p>
    <w:tbl>
      <w:tblPr>
        <w:tblStyle w:val="TableNormal1"/>
        <w:tblW w:w="5752" w:type="dxa"/>
        <w:tblInd w:w="46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774"/>
        <w:gridCol w:w="978"/>
      </w:tblGrid>
      <w:tr>
        <w:tblPrEx>
          <w:tblW w:w="5752" w:type="dxa"/>
          <w:tblInd w:w="46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22"/>
        </w:trPr>
        <w:tc>
          <w:tcPr>
            <w:tcW w:w="4774" w:type="dxa"/>
            <w:vAlign w:val="top"/>
          </w:tcPr>
          <w:p>
            <w:pPr>
              <w:pStyle w:val="TableText"/>
              <w:spacing w:line="227" w:lineRule="auto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目标化合物</w:t>
            </w:r>
            <w:r>
              <w:rPr>
                <w:rFonts w:ascii="SimSun" w:eastAsia="SimSun" w:hAnsi="SimSun" w:cs="SimSun"/>
                <w:spacing w:val="-38"/>
                <w:sz w:val="20"/>
                <w:szCs w:val="20"/>
              </w:rPr>
              <w:t xml:space="preserve"> </w:t>
            </w:r>
            <w:r>
              <w:rPr>
                <w:i/>
                <w:iCs/>
                <w:spacing w:val="7"/>
                <w:sz w:val="20"/>
                <w:szCs w:val="20"/>
              </w:rPr>
              <w:t xml:space="preserve">i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对应提取内标的相对响应因子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按照公式</w:t>
            </w:r>
          </w:p>
          <w:p>
            <w:pPr>
              <w:pStyle w:val="TableText"/>
              <w:spacing w:before="90"/>
              <w:ind w:right="2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RRF</w:t>
            </w:r>
            <w:r>
              <w:rPr>
                <w:sz w:val="12"/>
                <w:szCs w:val="12"/>
              </w:rPr>
              <w:t>es</w:t>
            </w:r>
            <w:r>
              <w:rPr>
                <w:spacing w:val="4"/>
                <w:sz w:val="12"/>
                <w:szCs w:val="12"/>
              </w:rPr>
              <w:t>,</w:t>
            </w:r>
            <w:r>
              <w:rPr>
                <w:i/>
                <w:iCs/>
                <w:sz w:val="12"/>
                <w:szCs w:val="12"/>
              </w:rPr>
              <w:t xml:space="preserve">ij  </w:t>
            </w:r>
            <w:r>
              <w:rPr>
                <w:rFonts w:ascii="Symbol" w:eastAsia="Symbol" w:hAnsi="Symbol" w:cs="Symbol"/>
                <w:spacing w:val="4"/>
                <w:sz w:val="20"/>
                <w:szCs w:val="20"/>
              </w:rPr>
              <w:t xml:space="preserve">= </w:t>
            </w:r>
            <w:r>
              <w:rPr>
                <w:position w:val="-18"/>
                <w:sz w:val="20"/>
                <w:szCs w:val="20"/>
              </w:rPr>
              <w:drawing>
                <wp:inline distT="0" distB="0" distL="0" distR="0">
                  <wp:extent cx="241172" cy="296606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172" cy="296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ymbol" w:eastAsia="Symbol" w:hAnsi="Symbol" w:cs="Symbol"/>
                <w:spacing w:val="-10"/>
                <w:sz w:val="20"/>
                <w:szCs w:val="20"/>
              </w:rPr>
              <w:t xml:space="preserve"> </w:t>
            </w:r>
            <w:r>
              <w:rPr>
                <w:position w:val="-4"/>
                <w:sz w:val="20"/>
                <w:szCs w:val="20"/>
              </w:rPr>
              <w:drawing>
                <wp:inline distT="0" distB="0" distL="0" distR="0">
                  <wp:extent cx="57014" cy="161914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14" cy="1619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spacing w:line="227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1"/>
                <w:sz w:val="20"/>
                <w:szCs w:val="20"/>
              </w:rPr>
              <w:t>（</w:t>
            </w:r>
            <w:r>
              <w:rPr>
                <w:spacing w:val="-21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-21"/>
                <w:sz w:val="20"/>
                <w:szCs w:val="20"/>
              </w:rPr>
              <w:t>）计算。</w:t>
            </w:r>
          </w:p>
          <w:p>
            <w:pPr>
              <w:pStyle w:val="TableText"/>
              <w:tabs>
                <w:tab w:val="left" w:pos="73"/>
              </w:tabs>
              <w:spacing w:before="136" w:line="271" w:lineRule="auto"/>
              <w:ind w:left="25"/>
              <w:rPr>
                <w:sz w:val="12"/>
                <w:szCs w:val="12"/>
              </w:rPr>
            </w:pPr>
            <w:r>
              <w:rPr>
                <w:rFonts w:ascii="Symbol" w:eastAsia="Symbol" w:hAnsi="Symbol" w:cs="Symbol"/>
                <w:sz w:val="21"/>
                <w:szCs w:val="21"/>
                <w:u w:val="single" w:color="auto"/>
              </w:rPr>
              <w:tab/>
            </w:r>
            <w:r>
              <w:rPr>
                <w:rFonts w:ascii="Symbol" w:eastAsia="Symbol" w:hAnsi="Symbol" w:cs="Symbol"/>
                <w:sz w:val="21"/>
                <w:szCs w:val="21"/>
                <w:u w:val="single" w:color="auto"/>
              </w:rPr>
              <w:t>p</w:t>
            </w:r>
            <w:r>
              <w:rPr>
                <w:sz w:val="12"/>
                <w:szCs w:val="12"/>
                <w:u w:val="single" w:color="auto"/>
              </w:rPr>
              <w:t>is</w:t>
            </w:r>
            <w:r>
              <w:rPr>
                <w:spacing w:val="7"/>
                <w:sz w:val="12"/>
                <w:szCs w:val="12"/>
                <w:u w:val="single" w:color="auto"/>
              </w:rPr>
              <w:t>,</w:t>
            </w:r>
            <w:r>
              <w:rPr>
                <w:i/>
                <w:iCs/>
                <w:spacing w:val="7"/>
                <w:sz w:val="12"/>
                <w:szCs w:val="12"/>
                <w:u w:val="single" w:color="auto"/>
              </w:rPr>
              <w:t>j</w:t>
            </w:r>
            <w:r>
              <w:rPr>
                <w:i/>
                <w:iCs/>
                <w:sz w:val="12"/>
                <w:szCs w:val="12"/>
                <w:u w:val="single" w:color="auto"/>
              </w:rPr>
              <w:t xml:space="preserve">  </w:t>
            </w:r>
          </w:p>
          <w:p>
            <w:pPr>
              <w:pStyle w:val="TableText"/>
              <w:spacing w:line="138" w:lineRule="exact"/>
              <w:ind w:left="46"/>
              <w:rPr>
                <w:sz w:val="12"/>
                <w:szCs w:val="12"/>
              </w:rPr>
            </w:pPr>
            <w:r>
              <w:rPr>
                <w:rFonts w:ascii="Symbol" w:eastAsia="Symbol" w:hAnsi="Symbol" w:cs="Symbol"/>
                <w:spacing w:val="2"/>
                <w:position w:val="1"/>
                <w:sz w:val="21"/>
                <w:szCs w:val="21"/>
              </w:rPr>
              <w:t>p</w:t>
            </w:r>
            <w:r>
              <w:rPr>
                <w:spacing w:val="2"/>
                <w:position w:val="1"/>
                <w:sz w:val="12"/>
                <w:szCs w:val="12"/>
              </w:rPr>
              <w:t>es,</w:t>
            </w:r>
            <w:r>
              <w:rPr>
                <w:i/>
                <w:iCs/>
                <w:spacing w:val="2"/>
                <w:position w:val="1"/>
                <w:sz w:val="12"/>
                <w:szCs w:val="12"/>
              </w:rPr>
              <w:t>ij</w:t>
            </w:r>
          </w:p>
        </w:tc>
      </w:tr>
    </w:tbl>
    <w:p>
      <w:pPr>
        <w:pStyle w:val="BodyText"/>
        <w:spacing w:before="114" w:line="255" w:lineRule="auto"/>
        <w:ind w:left="7" w:right="1115"/>
        <w:jc w:val="right"/>
      </w:pPr>
      <w:r>
        <w:rPr>
          <w:spacing w:val="9"/>
        </w:rPr>
        <w:t>式中：</w:t>
      </w:r>
      <w:r>
        <w:rPr>
          <w:rFonts w:ascii="Times New Roman" w:eastAsia="Times New Roman" w:hAnsi="Times New Roman" w:cs="Times New Roman"/>
        </w:rPr>
        <w:t>RRF</w:t>
      </w:r>
      <w:r>
        <w:rPr>
          <w:rFonts w:ascii="Times New Roman" w:eastAsia="Times New Roman" w:hAnsi="Times New Roman" w:cs="Times New Roman"/>
          <w:position w:val="-1"/>
          <w:sz w:val="13"/>
          <w:szCs w:val="13"/>
        </w:rPr>
        <w:t>es</w:t>
      </w:r>
      <w:r>
        <w:rPr>
          <w:rFonts w:ascii="Times New Roman" w:eastAsia="Times New Roman" w:hAnsi="Times New Roman" w:cs="Times New Roman"/>
          <w:spacing w:val="9"/>
          <w:position w:val="-1"/>
          <w:sz w:val="13"/>
          <w:szCs w:val="13"/>
        </w:rPr>
        <w:t>,</w:t>
      </w:r>
      <w:r>
        <w:rPr>
          <w:rFonts w:ascii="Times New Roman" w:eastAsia="Times New Roman" w:hAnsi="Times New Roman" w:cs="Times New Roman"/>
          <w:i/>
          <w:iCs/>
          <w:position w:val="-1"/>
          <w:sz w:val="13"/>
          <w:szCs w:val="13"/>
        </w:rPr>
        <w:t>ij</w:t>
      </w:r>
      <w:r>
        <w:rPr>
          <w:rFonts w:ascii="Times New Roman" w:eastAsia="Times New Roman" w:hAnsi="Times New Roman" w:cs="Times New Roman"/>
          <w:spacing w:val="9"/>
        </w:rPr>
        <w:t>——</w:t>
      </w:r>
      <w:r>
        <w:rPr>
          <w:spacing w:val="9"/>
        </w:rPr>
        <w:t>标准系列中第</w:t>
      </w:r>
      <w:r>
        <w:rPr>
          <w:rFonts w:ascii="Times New Roman" w:eastAsia="Times New Roman" w:hAnsi="Times New Roman" w:cs="Times New Roman"/>
          <w:i/>
          <w:iCs/>
          <w:spacing w:val="9"/>
        </w:rPr>
        <w:t>j</w:t>
      </w:r>
      <w:r>
        <w:rPr>
          <w:rFonts w:ascii="Times New Roman" w:eastAsia="Times New Roman" w:hAnsi="Times New Roman" w:cs="Times New Roman"/>
          <w:i/>
          <w:iCs/>
          <w:spacing w:val="21"/>
          <w:w w:val="101"/>
        </w:rPr>
        <w:t xml:space="preserve"> </w:t>
      </w:r>
      <w:r>
        <w:rPr>
          <w:spacing w:val="9"/>
        </w:rPr>
        <w:t>点目标化合物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https://d.book118.com/346132225135010052</w:t>
        </w:r>
      </w:hyperlink>
    </w:p>
    <w:p>
      <w:pPr>
        <w:pStyle w:val="BodyText"/>
        <w:spacing w:before="114" w:line="255" w:lineRule="auto"/>
        <w:ind w:left="7" w:right="1115"/>
        <w:jc w:val="right"/>
      </w:pPr>
    </w:p>
    <w:sectPr>
      <w:footerReference w:type="default" r:id="rId21"/>
      <w:type w:val="continuous"/>
      <w:pgSz w:w="11906" w:h="16839"/>
      <w:pgMar w:top="1431" w:right="1294" w:bottom="1320" w:left="1281" w:header="0" w:footer="1141" w:gutter="0"/>
      <w:pgNumType w:start="12"/>
      <w:cols w:num="2" w:space="708" w:equalWidth="0">
        <w:col w:w="8510" w:space="100"/>
        <w:col w:w="7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9056"/>
      <w:rPr>
        <w:sz w:val="18"/>
        <w:szCs w:val="18"/>
      </w:rPr>
    </w:pPr>
    <w:r>
      <w:rPr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9056"/>
      <w:rPr>
        <w:sz w:val="18"/>
        <w:szCs w:val="18"/>
      </w:rPr>
    </w:pPr>
    <w:r>
      <w:rPr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322"/>
      <w:rPr>
        <w:sz w:val="18"/>
        <w:szCs w:val="18"/>
      </w:rPr>
    </w:pPr>
    <w:r>
      <w:rPr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322"/>
      <w:rPr>
        <w:sz w:val="18"/>
        <w:szCs w:val="18"/>
      </w:rPr>
    </w:pPr>
    <w:r>
      <w:rPr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9043"/>
      <w:rPr>
        <w:sz w:val="18"/>
        <w:szCs w:val="18"/>
      </w:rPr>
    </w:pPr>
    <w:r>
      <w:rPr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9043"/>
      <w:rPr>
        <w:sz w:val="18"/>
        <w:szCs w:val="18"/>
      </w:rPr>
    </w:pPr>
    <w:r>
      <w:rPr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319"/>
      <w:rPr>
        <w:sz w:val="18"/>
        <w:szCs w:val="18"/>
      </w:rPr>
    </w:pPr>
    <w:r>
      <w:rPr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319"/>
      <w:rPr>
        <w:sz w:val="18"/>
        <w:szCs w:val="18"/>
      </w:rPr>
    </w:pPr>
    <w:r>
      <w:rPr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9165"/>
      <w:rPr>
        <w:sz w:val="18"/>
        <w:szCs w:val="18"/>
      </w:rPr>
    </w:pPr>
    <w:r>
      <w:rPr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9165"/>
      <w:rPr>
        <w:sz w:val="18"/>
        <w:szCs w:val="18"/>
      </w:rPr>
    </w:pPr>
    <w:r>
      <w:rPr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229"/>
      <w:rPr>
        <w:sz w:val="18"/>
        <w:szCs w:val="18"/>
      </w:rPr>
    </w:pPr>
    <w:r>
      <w:rPr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229"/>
      <w:rPr>
        <w:sz w:val="18"/>
        <w:szCs w:val="18"/>
      </w:rPr>
    </w:pPr>
    <w:r>
      <w:rPr>
        <w:sz w:val="18"/>
        <w:szCs w:val="18"/>
      </w:rPr>
      <w:t>6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image" Target="media/image1.jpeg" /><Relationship Id="rId15" Type="http://schemas.openxmlformats.org/officeDocument/2006/relationships/footer" Target="footer11.xml" /><Relationship Id="rId16" Type="http://schemas.openxmlformats.org/officeDocument/2006/relationships/image" Target="media/image2.png" /><Relationship Id="rId17" Type="http://schemas.openxmlformats.org/officeDocument/2006/relationships/image" Target="media/image3.png" /><Relationship Id="rId18" Type="http://schemas.openxmlformats.org/officeDocument/2006/relationships/image" Target="media/image4.png" /><Relationship Id="rId19" Type="http://schemas.openxmlformats.org/officeDocument/2006/relationships/image" Target="media/image5.pn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346132225135010052" TargetMode="External" /><Relationship Id="rId21" Type="http://schemas.openxmlformats.org/officeDocument/2006/relationships/footer" Target="footer12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2024-02-26T21:22:06Z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2024-02-26T21:42:52Z</vt:filetime>
  </property>
  <property fmtid="{D5CDD505-2E9C-101B-9397-08002B2CF9AE}" pid="3" name="CRO">
    <vt:lpwstr>wqlLaW5nc29mdCBQREYgdG8gV1BTIDkw</vt:lpwstr>
  </property>
</Properties>
</file>