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仿宋_GB2312" w:eastAsia="仿宋_GB2312" w:hAnsi="仿宋_GB2312" w:cs="仿宋_GB2312"/>
          <w:sz w:val="36"/>
          <w:szCs w:val="36"/>
        </w:rPr>
      </w:pPr>
    </w:p>
    <w:p>
      <w:pPr>
        <w:rPr>
          <w:rFonts w:ascii="仿宋_GB2312" w:eastAsia="仿宋_GB2312" w:hAnsi="仿宋_GB2312" w:cs="仿宋_GB2312"/>
          <w:sz w:val="36"/>
          <w:szCs w:val="36"/>
        </w:rPr>
      </w:pPr>
    </w:p>
    <w:p>
      <w:pPr>
        <w:rPr>
          <w:rFonts w:ascii="仿宋_GB2312" w:eastAsia="仿宋_GB2312" w:hAnsi="仿宋_GB2312" w:cs="仿宋_GB2312" w:hint="eastAsia"/>
          <w:sz w:val="36"/>
          <w:szCs w:val="36"/>
        </w:rPr>
      </w:pPr>
    </w:p>
    <w:p>
      <w:pPr>
        <w:adjustRightInd w:val="0"/>
        <w:snapToGrid w:val="0"/>
        <w:jc w:val="center"/>
        <w:outlineLvl w:val="0"/>
        <w:rPr>
          <w:rFonts w:ascii="方正小标宋_GBK" w:eastAsia="方正小标宋_GBK" w:hint="eastAsia"/>
          <w:bCs/>
          <w:sz w:val="72"/>
          <w:szCs w:val="72"/>
        </w:rPr>
      </w:pPr>
      <w:r>
        <w:rPr>
          <w:rFonts w:ascii="方正小标宋_GBK" w:eastAsia="方正小标宋_GBK" w:hint="eastAsia"/>
          <w:bCs/>
          <w:sz w:val="72"/>
          <w:szCs w:val="72"/>
        </w:rPr>
        <w:t>建设项目环境影响报告表</w:t>
      </w:r>
    </w:p>
    <w:p>
      <w:pPr>
        <w:adjustRightInd w:val="0"/>
        <w:snapToGrid w:val="0"/>
        <w:spacing w:before="192" w:beforeLines="80"/>
        <w:jc w:val="center"/>
        <w:rPr>
          <w:rFonts w:ascii="楷体_GB2312" w:eastAsia="楷体_GB2312" w:hint="eastAsia"/>
          <w:bCs/>
          <w:sz w:val="48"/>
          <w:szCs w:val="48"/>
        </w:rPr>
      </w:pPr>
      <w:r>
        <w:rPr>
          <w:rFonts w:ascii="楷体_GB2312" w:eastAsia="楷体_GB2312" w:hint="eastAsia"/>
          <w:bCs/>
          <w:sz w:val="48"/>
          <w:szCs w:val="48"/>
        </w:rPr>
        <w:t>（污染影响类）</w:t>
      </w:r>
    </w:p>
    <w:p>
      <w:pPr>
        <w:adjustRightInd w:val="0"/>
        <w:snapToGrid w:val="0"/>
        <w:spacing w:line="288" w:lineRule="auto"/>
        <w:jc w:val="center"/>
        <w:outlineLvl w:val="0"/>
        <w:rPr>
          <w:rFonts w:ascii="华文仿宋" w:eastAsia="华文仿宋" w:hAnsi="华文仿宋" w:cs="华文仿宋"/>
          <w:color w:val="000000"/>
          <w:kern w:val="44"/>
          <w:sz w:val="44"/>
          <w:szCs w:val="44"/>
        </w:rPr>
      </w:pPr>
    </w:p>
    <w:p>
      <w:pPr>
        <w:jc w:val="center"/>
        <w:rPr>
          <w:rFonts w:eastAsia="仿宋"/>
          <w:sz w:val="52"/>
          <w:szCs w:val="52"/>
        </w:rPr>
      </w:pPr>
    </w:p>
    <w:p>
      <w:pPr>
        <w:ind w:firstLine="1040"/>
        <w:rPr>
          <w:rFonts w:eastAsia="仿宋"/>
          <w:sz w:val="44"/>
          <w:szCs w:val="44"/>
        </w:rPr>
      </w:pPr>
    </w:p>
    <w:p>
      <w:pPr>
        <w:ind w:firstLine="1040"/>
        <w:rPr>
          <w:rFonts w:eastAsia="仿宋"/>
          <w:sz w:val="44"/>
          <w:szCs w:val="44"/>
        </w:rPr>
      </w:pPr>
    </w:p>
    <w:p>
      <w:pPr>
        <w:ind w:firstLine="1040"/>
        <w:rPr>
          <w:rFonts w:eastAsia="仿宋"/>
          <w:sz w:val="44"/>
          <w:szCs w:val="44"/>
        </w:rPr>
      </w:pPr>
    </w:p>
    <w:p>
      <w:pPr>
        <w:ind w:firstLine="1040"/>
        <w:rPr>
          <w:rFonts w:eastAsia="仿宋"/>
          <w:sz w:val="44"/>
          <w:szCs w:val="44"/>
        </w:rPr>
      </w:pPr>
    </w:p>
    <w:p>
      <w:pPr>
        <w:adjustRightInd w:val="0"/>
        <w:snapToGrid w:val="0"/>
        <w:spacing w:line="288" w:lineRule="auto"/>
        <w:rPr>
          <w:rFonts w:ascii="仿宋_GB2312" w:eastAsia="仿宋_GB2312" w:hint="eastAsia"/>
          <w:sz w:val="36"/>
          <w:szCs w:val="36"/>
          <w:u w:val="single"/>
        </w:rPr>
      </w:pPr>
      <w:r>
        <w:rPr>
          <w:rFonts w:ascii="仿宋_GB2312" w:eastAsia="仿宋_GB2312" w:hint="eastAsia"/>
          <w:sz w:val="36"/>
          <w:szCs w:val="36"/>
        </w:rPr>
        <w:t>项目名称：</w:t>
      </w:r>
      <w:r>
        <w:rPr>
          <w:rFonts w:ascii="仿宋_GB2312" w:eastAsia="仿宋_GB2312" w:hint="eastAsia"/>
          <w:sz w:val="36"/>
          <w:szCs w:val="36"/>
          <w:u w:val="single"/>
        </w:rPr>
        <w:t>蒲城</w:t>
      </w:r>
      <w:r>
        <w:rPr>
          <w:rFonts w:ascii="仿宋_GB2312" w:eastAsia="仿宋_GB2312" w:hint="eastAsia"/>
          <w:sz w:val="36"/>
          <w:szCs w:val="36"/>
          <w:u w:val="single"/>
          <w:lang w:val="en-US" w:eastAsia="zh-CN"/>
        </w:rPr>
        <w:t>腾旺年产20万吨机制砂生产线建设</w:t>
      </w:r>
      <w:r>
        <w:rPr>
          <w:rFonts w:ascii="仿宋_GB2312" w:eastAsia="仿宋_GB2312" w:hint="eastAsia"/>
          <w:sz w:val="36"/>
          <w:szCs w:val="36"/>
          <w:u w:val="single"/>
        </w:rPr>
        <w:t>项目</w:t>
      </w:r>
    </w:p>
    <w:p>
      <w:pPr>
        <w:adjustRightInd w:val="0"/>
        <w:snapToGrid w:val="0"/>
        <w:spacing w:line="288" w:lineRule="auto"/>
        <w:rPr>
          <w:rFonts w:ascii="仿宋_GB2312" w:eastAsia="仿宋_GB2312"/>
          <w:sz w:val="36"/>
          <w:szCs w:val="36"/>
          <w:u w:val="single"/>
        </w:rPr>
      </w:pPr>
      <w:r>
        <w:rPr>
          <w:rFonts w:ascii="仿宋_GB2312" w:eastAsia="仿宋_GB2312" w:hint="eastAsia"/>
          <w:sz w:val="36"/>
          <w:szCs w:val="36"/>
        </w:rPr>
        <w:t>建设单位（盖章）：</w:t>
      </w:r>
      <w:r>
        <w:rPr>
          <w:rFonts w:ascii="仿宋_GB2312" w:eastAsia="仿宋_GB2312"/>
          <w:sz w:val="36"/>
          <w:szCs w:val="36"/>
          <w:u w:val="single"/>
        </w:rPr>
        <w:t xml:space="preserve">    </w:t>
      </w:r>
      <w:r>
        <w:rPr>
          <w:rFonts w:ascii="仿宋_GB2312" w:eastAsia="仿宋_GB2312" w:hint="eastAsia"/>
          <w:sz w:val="36"/>
          <w:szCs w:val="36"/>
          <w:u w:val="single"/>
        </w:rPr>
        <w:t>蒲城县</w:t>
      </w:r>
      <w:r>
        <w:rPr>
          <w:rFonts w:ascii="仿宋_GB2312" w:eastAsia="仿宋_GB2312" w:hint="eastAsia"/>
          <w:sz w:val="36"/>
          <w:szCs w:val="36"/>
          <w:u w:val="single"/>
          <w:lang w:val="en-US" w:eastAsia="zh-CN"/>
        </w:rPr>
        <w:t>腾旺</w:t>
      </w:r>
      <w:r>
        <w:rPr>
          <w:rFonts w:ascii="仿宋_GB2312" w:eastAsia="仿宋_GB2312" w:hint="eastAsia"/>
          <w:sz w:val="36"/>
          <w:szCs w:val="36"/>
          <w:u w:val="single"/>
        </w:rPr>
        <w:t xml:space="preserve">新型建材有限公司              </w:t>
      </w:r>
    </w:p>
    <w:p>
      <w:pPr>
        <w:adjustRightInd w:val="0"/>
        <w:snapToGrid w:val="0"/>
        <w:spacing w:line="288" w:lineRule="auto"/>
        <w:rPr>
          <w:rFonts w:ascii="仿宋_GB2312" w:eastAsia="仿宋_GB2312" w:hint="eastAsia"/>
          <w:sz w:val="36"/>
          <w:szCs w:val="36"/>
          <w:u w:val="single"/>
        </w:rPr>
      </w:pPr>
      <w:r>
        <w:rPr>
          <w:rFonts w:ascii="仿宋_GB2312" w:eastAsia="仿宋_GB2312" w:hint="eastAsia"/>
          <w:sz w:val="36"/>
          <w:szCs w:val="36"/>
        </w:rPr>
        <w:t>编制日期：</w:t>
      </w:r>
      <w:r>
        <w:rPr>
          <w:rFonts w:ascii="仿宋_GB2312" w:eastAsia="仿宋_GB2312" w:hint="eastAsia"/>
          <w:sz w:val="36"/>
          <w:szCs w:val="36"/>
          <w:u w:val="single"/>
        </w:rPr>
        <w:t xml:space="preserve"> </w:t>
      </w:r>
      <w:r>
        <w:rPr>
          <w:rFonts w:ascii="仿宋_GB2312" w:eastAsia="仿宋_GB2312"/>
          <w:sz w:val="36"/>
          <w:szCs w:val="36"/>
          <w:u w:val="single"/>
        </w:rPr>
        <w:t xml:space="preserve">         2021</w:t>
      </w:r>
      <w:r>
        <w:rPr>
          <w:rFonts w:ascii="仿宋_GB2312" w:eastAsia="仿宋_GB2312" w:hint="eastAsia"/>
          <w:sz w:val="36"/>
          <w:szCs w:val="36"/>
          <w:u w:val="single"/>
        </w:rPr>
        <w:t>年</w:t>
      </w:r>
      <w:r>
        <w:rPr>
          <w:rFonts w:ascii="仿宋_GB2312" w:eastAsia="仿宋_GB2312" w:hint="eastAsia"/>
          <w:sz w:val="36"/>
          <w:szCs w:val="36"/>
          <w:u w:val="single"/>
          <w:lang w:val="en-US" w:eastAsia="zh-CN"/>
        </w:rPr>
        <w:t>11</w:t>
      </w:r>
      <w:r>
        <w:rPr>
          <w:rFonts w:ascii="仿宋_GB2312" w:eastAsia="仿宋_GB2312" w:hint="eastAsia"/>
          <w:sz w:val="36"/>
          <w:szCs w:val="36"/>
          <w:u w:val="single"/>
        </w:rPr>
        <w:t>月</w:t>
      </w:r>
      <w:r>
        <w:rPr>
          <w:rFonts w:ascii="仿宋_GB2312" w:eastAsia="仿宋_GB2312" w:hint="eastAsia"/>
          <w:sz w:val="36"/>
          <w:szCs w:val="36"/>
          <w:u w:val="single"/>
          <w:lang w:val="en-US" w:eastAsia="zh-CN"/>
        </w:rPr>
        <w:t>18</w:t>
      </w:r>
      <w:r>
        <w:rPr>
          <w:rFonts w:ascii="仿宋_GB2312" w:eastAsia="仿宋_GB2312" w:hint="eastAsia"/>
          <w:sz w:val="36"/>
          <w:szCs w:val="36"/>
          <w:u w:val="single"/>
        </w:rPr>
        <w:t>日</w:t>
      </w:r>
      <w:r>
        <w:rPr>
          <w:rFonts w:ascii="仿宋_GB2312" w:eastAsia="仿宋_GB2312"/>
          <w:sz w:val="36"/>
          <w:szCs w:val="36"/>
          <w:u w:val="single"/>
        </w:rPr>
        <w:t xml:space="preserve">                </w:t>
      </w:r>
      <w:r>
        <w:rPr>
          <w:rFonts w:ascii="仿宋_GB2312" w:eastAsia="仿宋_GB2312" w:hint="eastAsia"/>
          <w:sz w:val="36"/>
          <w:szCs w:val="36"/>
          <w:u w:val="single"/>
        </w:rPr>
        <w:t xml:space="preserve"> </w:t>
      </w:r>
    </w:p>
    <w:p>
      <w:pPr>
        <w:adjustRightInd w:val="0"/>
        <w:snapToGrid w:val="0"/>
        <w:spacing w:line="288" w:lineRule="auto"/>
        <w:ind w:firstLine="1040"/>
        <w:rPr>
          <w:rFonts w:ascii="仿宋_GB2312" w:eastAsia="仿宋_GB2312"/>
          <w:sz w:val="36"/>
          <w:szCs w:val="36"/>
          <w:u w:val="single"/>
        </w:rPr>
      </w:pPr>
      <w:bookmarkStart w:id="0" w:name="_Hlk57884087"/>
    </w:p>
    <w:p>
      <w:pPr>
        <w:adjustRightInd w:val="0"/>
        <w:snapToGrid w:val="0"/>
        <w:spacing w:line="288" w:lineRule="auto"/>
        <w:ind w:firstLine="1040"/>
        <w:rPr>
          <w:rFonts w:ascii="仿宋_GB2312" w:eastAsia="仿宋_GB2312"/>
          <w:sz w:val="36"/>
          <w:szCs w:val="36"/>
        </w:rPr>
      </w:pPr>
    </w:p>
    <w:p>
      <w:pPr>
        <w:adjustRightInd w:val="0"/>
        <w:snapToGrid w:val="0"/>
        <w:spacing w:line="288" w:lineRule="auto"/>
        <w:ind w:firstLine="1040"/>
        <w:rPr>
          <w:rFonts w:ascii="仿宋_GB2312" w:eastAsia="仿宋_GB2312"/>
          <w:sz w:val="36"/>
          <w:szCs w:val="36"/>
        </w:rPr>
      </w:pPr>
    </w:p>
    <w:p>
      <w:pPr>
        <w:adjustRightInd w:val="0"/>
        <w:snapToGrid w:val="0"/>
        <w:spacing w:line="288" w:lineRule="auto"/>
        <w:ind w:firstLine="1040"/>
        <w:rPr>
          <w:rFonts w:ascii="仿宋_GB2312" w:eastAsia="仿宋_GB2312" w:hint="eastAsia"/>
          <w:sz w:val="36"/>
          <w:szCs w:val="36"/>
        </w:rPr>
      </w:pPr>
    </w:p>
    <w:p>
      <w:pPr>
        <w:adjustRightInd w:val="0"/>
        <w:snapToGrid w:val="0"/>
        <w:spacing w:line="288" w:lineRule="auto"/>
        <w:ind w:firstLine="1040"/>
        <w:rPr>
          <w:rFonts w:ascii="仿宋_GB2312" w:eastAsia="仿宋_GB2312" w:hint="eastAsia"/>
          <w:sz w:val="36"/>
          <w:szCs w:val="36"/>
        </w:rPr>
      </w:pPr>
    </w:p>
    <w:p>
      <w:pPr>
        <w:adjustRightInd w:val="0"/>
        <w:snapToGrid w:val="0"/>
        <w:spacing w:line="288" w:lineRule="auto"/>
        <w:jc w:val="center"/>
        <w:rPr>
          <w:rFonts w:ascii="楷体_GB2312" w:eastAsia="楷体_GB2312" w:hint="eastAsia"/>
          <w:sz w:val="36"/>
          <w:szCs w:val="36"/>
        </w:rPr>
      </w:pPr>
      <w:bookmarkEnd w:id="0"/>
      <w:r>
        <w:rPr>
          <w:rFonts w:ascii="楷体_GB2312" w:eastAsia="楷体_GB2312" w:hint="eastAsia"/>
          <w:sz w:val="36"/>
          <w:szCs w:val="36"/>
        </w:rPr>
        <w:t>中华人民共和国生态环境部制</w:t>
      </w:r>
    </w:p>
    <w:p>
      <w:pPr>
        <w:adjustRightInd w:val="0"/>
        <w:snapToGrid w:val="0"/>
        <w:spacing w:line="288" w:lineRule="auto"/>
        <w:ind w:firstLine="1040"/>
        <w:rPr>
          <w:rFonts w:ascii="仿宋_GB2312" w:eastAsia="仿宋_GB2312"/>
          <w:sz w:val="36"/>
          <w:szCs w:val="36"/>
        </w:rPr>
        <w:sectPr>
          <w:footerReference w:type="even" r:id="rId4"/>
          <w:footerReference w:type="default" r:id="rId5"/>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3"/>
          <w:cols w:space="708"/>
          <w:docGrid w:linePitch="312"/>
        </w:sectPr>
      </w:pPr>
    </w:p>
    <w:p>
      <w:pPr>
        <w:pStyle w:val="NormalWeb"/>
        <w:jc w:val="center"/>
        <w:outlineLvl w:val="0"/>
        <w:rPr>
          <w:rFonts w:ascii="黑体" w:eastAsia="黑体" w:hAnsi="黑体" w:hint="eastAsia"/>
          <w:snapToGrid w:val="0"/>
          <w:sz w:val="30"/>
          <w:szCs w:val="30"/>
        </w:rPr>
      </w:pPr>
      <w:r>
        <w:rPr>
          <w:rFonts w:ascii="黑体" w:eastAsia="黑体" w:hAnsi="黑体" w:hint="eastAsia"/>
          <w:snapToGrid w:val="0"/>
          <w:sz w:val="30"/>
          <w:szCs w:val="30"/>
        </w:rPr>
        <w:t>一、建设项目基本情况</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1856"/>
        <w:gridCol w:w="2163"/>
        <w:gridCol w:w="2212"/>
        <w:gridCol w:w="2639"/>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497"/>
          <w:jc w:val="center"/>
        </w:trPr>
        <w:tc>
          <w:tcPr>
            <w:tcW w:w="1856" w:type="dxa"/>
            <w:tcMar>
              <w:top w:w="16" w:type="dxa"/>
              <w:left w:w="16" w:type="dxa"/>
              <w:right w:w="16" w:type="dxa"/>
            </w:tcMar>
            <w:vAlign w:val="center"/>
          </w:tcPr>
          <w:p>
            <w:pPr>
              <w:adjustRightInd w:val="0"/>
              <w:snapToGrid w:val="0"/>
              <w:jc w:val="center"/>
              <w:rPr>
                <w:rFonts w:ascii="宋体" w:hAnsi="宋体" w:cs="宋体"/>
                <w:sz w:val="24"/>
              </w:rPr>
            </w:pPr>
            <w:r>
              <w:rPr>
                <w:rFonts w:ascii="宋体" w:hAnsi="宋体" w:cs="宋体" w:hint="eastAsia"/>
                <w:sz w:val="24"/>
              </w:rPr>
              <w:t>建设项目名称</w:t>
            </w:r>
          </w:p>
        </w:tc>
        <w:tc>
          <w:tcPr>
            <w:tcW w:w="7014" w:type="dxa"/>
            <w:gridSpan w:val="3"/>
            <w:vAlign w:val="center"/>
          </w:tcPr>
          <w:p>
            <w:pPr>
              <w:adjustRightInd w:val="0"/>
              <w:snapToGrid w:val="0"/>
              <w:jc w:val="center"/>
              <w:rPr>
                <w:rFonts w:ascii="宋体" w:hAnsi="宋体" w:cs="宋体"/>
                <w:sz w:val="24"/>
              </w:rPr>
            </w:pPr>
            <w:r>
              <w:rPr>
                <w:rFonts w:ascii="Times New Roman" w:hAnsi="Times New Roman" w:cs="Times New Roman" w:hint="default"/>
                <w:sz w:val="24"/>
              </w:rPr>
              <w:t>蒲城</w:t>
            </w:r>
            <w:r>
              <w:rPr>
                <w:rFonts w:ascii="Times New Roman" w:hAnsi="Times New Roman" w:cs="Times New Roman" w:hint="default"/>
                <w:sz w:val="24"/>
                <w:lang w:val="en-US" w:eastAsia="zh-CN"/>
              </w:rPr>
              <w:t>腾旺年产20万吨机制砂生产线建设</w:t>
            </w:r>
            <w:r>
              <w:rPr>
                <w:rFonts w:ascii="Times New Roman" w:hAnsi="Times New Roman" w:cs="Times New Roman" w:hint="default"/>
                <w:sz w:val="24"/>
              </w:rPr>
              <w:t>项目</w:t>
            </w:r>
          </w:p>
        </w:tc>
      </w:tr>
      <w:tr>
        <w:tblPrEx>
          <w:tblW w:w="0" w:type="auto"/>
          <w:jc w:val="center"/>
          <w:tblLayout w:type="fixed"/>
          <w:tblCellMar>
            <w:top w:w="0" w:type="dxa"/>
            <w:left w:w="0" w:type="dxa"/>
            <w:bottom w:w="0" w:type="dxa"/>
            <w:right w:w="0" w:type="dxa"/>
          </w:tblCellMar>
          <w:tblLook w:val="0000"/>
        </w:tblPrEx>
        <w:trPr>
          <w:trHeight w:val="497"/>
          <w:jc w:val="center"/>
        </w:trPr>
        <w:tc>
          <w:tcPr>
            <w:tcW w:w="1856" w:type="dxa"/>
            <w:tcMar>
              <w:top w:w="16" w:type="dxa"/>
              <w:left w:w="16" w:type="dxa"/>
              <w:right w:w="16" w:type="dxa"/>
            </w:tcMar>
            <w:vAlign w:val="center"/>
          </w:tcPr>
          <w:p>
            <w:pPr>
              <w:adjustRightInd w:val="0"/>
              <w:snapToGrid w:val="0"/>
              <w:jc w:val="center"/>
              <w:rPr>
                <w:rFonts w:ascii="宋体" w:hAnsi="宋体" w:cs="宋体"/>
                <w:sz w:val="24"/>
              </w:rPr>
            </w:pPr>
            <w:r>
              <w:rPr>
                <w:rFonts w:ascii="宋体" w:hAnsi="宋体" w:cs="宋体" w:hint="eastAsia"/>
                <w:sz w:val="24"/>
              </w:rPr>
              <w:t>项目代码</w:t>
            </w:r>
          </w:p>
        </w:tc>
        <w:tc>
          <w:tcPr>
            <w:tcW w:w="7014" w:type="dxa"/>
            <w:gridSpan w:val="3"/>
            <w:vAlign w:val="center"/>
          </w:tcPr>
          <w:p>
            <w:pPr>
              <w:adjustRightInd w:val="0"/>
              <w:snapToGrid w:val="0"/>
              <w:jc w:val="center"/>
              <w:rPr>
                <w:rFonts w:ascii="宋体" w:hAnsi="宋体" w:cs="宋体"/>
                <w:sz w:val="24"/>
              </w:rPr>
            </w:pPr>
            <w:r>
              <w:rPr>
                <w:rFonts w:ascii="宋体" w:hAnsi="宋体" w:cs="宋体" w:hint="default"/>
                <w:sz w:val="24"/>
              </w:rPr>
              <w:t>蒲城</w:t>
            </w:r>
            <w:r>
              <w:rPr>
                <w:rFonts w:ascii="宋体" w:hAnsi="宋体" w:cs="宋体" w:hint="eastAsia"/>
                <w:sz w:val="24"/>
                <w:lang w:val="en-US" w:eastAsia="zh-CN"/>
              </w:rPr>
              <w:t>县</w:t>
            </w:r>
            <w:r>
              <w:rPr>
                <w:rFonts w:ascii="宋体" w:hAnsi="宋体" w:cs="宋体" w:hint="default"/>
                <w:sz w:val="24"/>
                <w:lang w:val="en-US" w:eastAsia="zh-CN"/>
              </w:rPr>
              <w:t>腾旺</w:t>
            </w:r>
            <w:r>
              <w:rPr>
                <w:rFonts w:ascii="宋体" w:hAnsi="宋体" w:cs="宋体" w:hint="eastAsia"/>
                <w:sz w:val="24"/>
                <w:lang w:val="en-US" w:eastAsia="zh-CN"/>
              </w:rPr>
              <w:t>新型建材</w:t>
            </w:r>
            <w:r>
              <w:rPr>
                <w:rFonts w:ascii="宋体" w:hAnsi="宋体" w:cs="宋体" w:hint="default"/>
                <w:sz w:val="24"/>
              </w:rPr>
              <w:t>有限公司</w:t>
            </w:r>
          </w:p>
        </w:tc>
      </w:tr>
      <w:tr>
        <w:tblPrEx>
          <w:tblW w:w="0" w:type="auto"/>
          <w:jc w:val="center"/>
          <w:tblLayout w:type="fixed"/>
          <w:tblCellMar>
            <w:top w:w="0" w:type="dxa"/>
            <w:left w:w="0" w:type="dxa"/>
            <w:bottom w:w="0" w:type="dxa"/>
            <w:right w:w="0" w:type="dxa"/>
          </w:tblCellMar>
          <w:tblLook w:val="0000"/>
        </w:tblPrEx>
        <w:trPr>
          <w:trHeight w:val="497"/>
          <w:jc w:val="center"/>
        </w:trPr>
        <w:tc>
          <w:tcPr>
            <w:tcW w:w="1856" w:type="dxa"/>
            <w:tcMar>
              <w:top w:w="16" w:type="dxa"/>
              <w:left w:w="16" w:type="dxa"/>
              <w:right w:w="16" w:type="dxa"/>
            </w:tcMar>
            <w:vAlign w:val="center"/>
          </w:tcPr>
          <w:p>
            <w:pPr>
              <w:adjustRightInd w:val="0"/>
              <w:snapToGrid w:val="0"/>
              <w:jc w:val="center"/>
              <w:rPr>
                <w:rFonts w:ascii="宋体" w:hAnsi="宋体" w:cs="宋体" w:hint="eastAsia"/>
                <w:sz w:val="24"/>
              </w:rPr>
            </w:pPr>
            <w:r>
              <w:rPr>
                <w:rFonts w:ascii="宋体" w:hAnsi="宋体" w:cs="宋体" w:hint="eastAsia"/>
                <w:sz w:val="24"/>
              </w:rPr>
              <w:t>建设单位联系人</w:t>
            </w:r>
          </w:p>
        </w:tc>
        <w:tc>
          <w:tcPr>
            <w:tcW w:w="2163" w:type="dxa"/>
            <w:vAlign w:val="center"/>
          </w:tcPr>
          <w:p>
            <w:pPr>
              <w:adjustRightInd w:val="0"/>
              <w:snapToGrid w:val="0"/>
              <w:jc w:val="center"/>
              <w:rPr>
                <w:rFonts w:ascii="宋体" w:hAnsi="宋体" w:cs="宋体"/>
                <w:sz w:val="24"/>
              </w:rPr>
            </w:pPr>
          </w:p>
        </w:tc>
        <w:tc>
          <w:tcPr>
            <w:tcW w:w="2212" w:type="dxa"/>
            <w:vAlign w:val="center"/>
          </w:tcPr>
          <w:p>
            <w:pPr>
              <w:adjustRightInd w:val="0"/>
              <w:snapToGrid w:val="0"/>
              <w:jc w:val="center"/>
              <w:rPr>
                <w:rFonts w:ascii="宋体" w:hAnsi="宋体" w:cs="宋体"/>
                <w:sz w:val="24"/>
              </w:rPr>
            </w:pPr>
            <w:r>
              <w:rPr>
                <w:rFonts w:ascii="宋体" w:hAnsi="宋体" w:cs="宋体" w:hint="eastAsia"/>
                <w:sz w:val="24"/>
              </w:rPr>
              <w:t>联系方式</w:t>
            </w:r>
          </w:p>
        </w:tc>
        <w:tc>
          <w:tcPr>
            <w:tcW w:w="2639" w:type="dxa"/>
            <w:vAlign w:val="center"/>
          </w:tcPr>
          <w:p>
            <w:pPr>
              <w:adjustRightInd w:val="0"/>
              <w:snapToGrid w:val="0"/>
              <w:jc w:val="center"/>
              <w:rPr>
                <w:sz w:val="24"/>
              </w:rPr>
            </w:pPr>
          </w:p>
        </w:tc>
      </w:tr>
      <w:tr>
        <w:tblPrEx>
          <w:tblW w:w="0" w:type="auto"/>
          <w:jc w:val="center"/>
          <w:tblLayout w:type="fixed"/>
          <w:tblCellMar>
            <w:top w:w="0" w:type="dxa"/>
            <w:left w:w="0" w:type="dxa"/>
            <w:bottom w:w="0" w:type="dxa"/>
            <w:right w:w="0" w:type="dxa"/>
          </w:tblCellMar>
          <w:tblLook w:val="0000"/>
        </w:tblPrEx>
        <w:trPr>
          <w:trHeight w:val="497"/>
          <w:jc w:val="center"/>
        </w:trPr>
        <w:tc>
          <w:tcPr>
            <w:tcW w:w="1856" w:type="dxa"/>
            <w:tcMar>
              <w:top w:w="16" w:type="dxa"/>
              <w:left w:w="16" w:type="dxa"/>
              <w:right w:w="16" w:type="dxa"/>
            </w:tcMar>
            <w:vAlign w:val="center"/>
          </w:tcPr>
          <w:p>
            <w:pPr>
              <w:adjustRightInd w:val="0"/>
              <w:snapToGrid w:val="0"/>
              <w:jc w:val="center"/>
              <w:rPr>
                <w:rFonts w:ascii="宋体" w:hAnsi="宋体" w:cs="宋体"/>
                <w:sz w:val="24"/>
              </w:rPr>
            </w:pPr>
            <w:r>
              <w:rPr>
                <w:rFonts w:ascii="宋体" w:hAnsi="宋体" w:cs="宋体" w:hint="eastAsia"/>
                <w:sz w:val="24"/>
              </w:rPr>
              <w:t>建设地点</w:t>
            </w:r>
          </w:p>
        </w:tc>
        <w:tc>
          <w:tcPr>
            <w:tcW w:w="7014" w:type="dxa"/>
            <w:gridSpan w:val="3"/>
            <w:vAlign w:val="center"/>
          </w:tcPr>
          <w:p>
            <w:pPr>
              <w:adjustRightInd w:val="0"/>
              <w:snapToGrid w:val="0"/>
              <w:jc w:val="center"/>
              <w:rPr>
                <w:rFonts w:ascii="宋体" w:hAnsi="宋体" w:cs="宋体"/>
                <w:sz w:val="24"/>
              </w:rPr>
            </w:pPr>
            <w:r>
              <w:rPr>
                <w:rFonts w:hint="eastAsia"/>
                <w:sz w:val="24"/>
                <w:u w:val="single"/>
              </w:rPr>
              <w:t>陕西</w:t>
            </w:r>
            <w:r>
              <w:rPr>
                <w:rFonts w:hint="eastAsia"/>
                <w:sz w:val="24"/>
              </w:rPr>
              <w:t>省</w:t>
            </w:r>
            <w:r>
              <w:rPr>
                <w:rFonts w:hint="eastAsia"/>
                <w:sz w:val="24"/>
                <w:u w:val="single"/>
              </w:rPr>
              <w:t>渭南</w:t>
            </w:r>
            <w:r>
              <w:rPr>
                <w:rFonts w:hint="eastAsia"/>
                <w:sz w:val="24"/>
              </w:rPr>
              <w:t>市</w:t>
            </w:r>
            <w:r>
              <w:rPr>
                <w:rFonts w:hint="eastAsia"/>
                <w:sz w:val="24"/>
                <w:u w:val="single"/>
              </w:rPr>
              <w:t>蒲城</w:t>
            </w:r>
            <w:r>
              <w:rPr>
                <w:rFonts w:hint="eastAsia"/>
                <w:sz w:val="24"/>
              </w:rPr>
              <w:t>县</w:t>
            </w:r>
            <w:r>
              <w:rPr>
                <w:rFonts w:hint="eastAsia"/>
                <w:sz w:val="24"/>
                <w:lang w:val="en-US" w:eastAsia="zh-CN"/>
              </w:rPr>
              <w:t>兴</w:t>
            </w:r>
            <w:r>
              <w:rPr>
                <w:rFonts w:hint="eastAsia"/>
                <w:sz w:val="24"/>
              </w:rPr>
              <w:t>镇</w:t>
            </w:r>
            <w:r>
              <w:rPr>
                <w:rFonts w:hint="eastAsia"/>
                <w:sz w:val="24"/>
                <w:lang w:val="en-US" w:eastAsia="zh-CN"/>
              </w:rPr>
              <w:t>兴北</w:t>
            </w:r>
            <w:r>
              <w:rPr>
                <w:rFonts w:hint="eastAsia"/>
                <w:sz w:val="24"/>
              </w:rPr>
              <w:t>村</w:t>
            </w:r>
          </w:p>
        </w:tc>
      </w:tr>
      <w:tr>
        <w:tblPrEx>
          <w:tblW w:w="0" w:type="auto"/>
          <w:jc w:val="center"/>
          <w:tblLayout w:type="fixed"/>
          <w:tblCellMar>
            <w:top w:w="0" w:type="dxa"/>
            <w:left w:w="0" w:type="dxa"/>
            <w:bottom w:w="0" w:type="dxa"/>
            <w:right w:w="0" w:type="dxa"/>
          </w:tblCellMar>
          <w:tblLook w:val="0000"/>
        </w:tblPrEx>
        <w:trPr>
          <w:trHeight w:val="497"/>
          <w:jc w:val="center"/>
        </w:trPr>
        <w:tc>
          <w:tcPr>
            <w:tcW w:w="1856" w:type="dxa"/>
            <w:tcMar>
              <w:top w:w="16" w:type="dxa"/>
              <w:left w:w="16" w:type="dxa"/>
              <w:right w:w="16" w:type="dxa"/>
            </w:tcMar>
            <w:vAlign w:val="center"/>
          </w:tcPr>
          <w:p>
            <w:pPr>
              <w:adjustRightInd w:val="0"/>
              <w:snapToGrid w:val="0"/>
              <w:jc w:val="center"/>
              <w:rPr>
                <w:rFonts w:ascii="宋体" w:hAnsi="宋体" w:cs="宋体"/>
                <w:sz w:val="24"/>
              </w:rPr>
            </w:pPr>
            <w:r>
              <w:rPr>
                <w:rFonts w:ascii="宋体" w:hAnsi="宋体" w:cs="宋体" w:hint="eastAsia"/>
                <w:sz w:val="24"/>
              </w:rPr>
              <w:t>地理坐标</w:t>
            </w:r>
          </w:p>
        </w:tc>
        <w:tc>
          <w:tcPr>
            <w:tcW w:w="7014" w:type="dxa"/>
            <w:gridSpan w:val="3"/>
            <w:vAlign w:val="center"/>
          </w:tcPr>
          <w:p>
            <w:pPr>
              <w:jc w:val="center"/>
              <w:rPr>
                <w:rFonts w:ascii="宋体" w:hAnsi="宋体" w:cs="宋体" w:hint="eastAsia"/>
                <w:sz w:val="24"/>
              </w:rPr>
            </w:pPr>
            <w:r>
              <w:rPr>
                <w:rFonts w:ascii="宋体" w:hAnsi="宋体" w:cs="宋体" w:hint="eastAsia"/>
                <w:sz w:val="24"/>
              </w:rPr>
              <w:t>（</w:t>
            </w:r>
            <w:r>
              <w:rPr>
                <w:rFonts w:hint="eastAsia"/>
                <w:sz w:val="24"/>
                <w:u w:val="single"/>
                <w:lang w:val="en-US" w:eastAsia="zh-CN"/>
              </w:rPr>
              <w:t>109</w:t>
            </w:r>
            <w:r>
              <w:rPr>
                <w:rFonts w:ascii="宋体" w:hAnsi="宋体" w:cs="宋体" w:hint="eastAsia"/>
                <w:sz w:val="24"/>
              </w:rPr>
              <w:t>度</w:t>
            </w:r>
            <w:r>
              <w:rPr>
                <w:rFonts w:hint="eastAsia"/>
                <w:sz w:val="24"/>
                <w:u w:val="single"/>
                <w:lang w:val="en-US" w:eastAsia="zh-CN"/>
              </w:rPr>
              <w:t>27</w:t>
            </w:r>
            <w:r>
              <w:rPr>
                <w:rFonts w:ascii="宋体" w:hAnsi="宋体" w:cs="宋体" w:hint="eastAsia"/>
                <w:sz w:val="24"/>
              </w:rPr>
              <w:t>分</w:t>
            </w:r>
            <w:r>
              <w:rPr>
                <w:rFonts w:hint="eastAsia"/>
                <w:sz w:val="24"/>
                <w:u w:val="single"/>
                <w:lang w:val="en-US" w:eastAsia="zh-CN"/>
              </w:rPr>
              <w:t>22.080</w:t>
            </w:r>
            <w:r>
              <w:rPr>
                <w:rFonts w:ascii="宋体" w:hAnsi="宋体" w:cs="宋体" w:hint="eastAsia"/>
                <w:sz w:val="24"/>
              </w:rPr>
              <w:t>秒，</w:t>
            </w:r>
            <w:r>
              <w:rPr>
                <w:sz w:val="24"/>
                <w:u w:val="single"/>
              </w:rPr>
              <w:t>34</w:t>
            </w:r>
            <w:r>
              <w:rPr>
                <w:rFonts w:ascii="宋体" w:hAnsi="宋体" w:cs="宋体" w:hint="eastAsia"/>
                <w:sz w:val="24"/>
              </w:rPr>
              <w:t>度</w:t>
            </w:r>
            <w:r>
              <w:rPr>
                <w:rFonts w:hint="eastAsia"/>
                <w:sz w:val="24"/>
                <w:u w:val="single"/>
                <w:lang w:val="en-US" w:eastAsia="zh-CN"/>
              </w:rPr>
              <w:t>56</w:t>
            </w:r>
            <w:r>
              <w:rPr>
                <w:rFonts w:ascii="宋体" w:hAnsi="宋体" w:cs="宋体" w:hint="eastAsia"/>
                <w:sz w:val="24"/>
              </w:rPr>
              <w:t>分</w:t>
            </w:r>
            <w:r>
              <w:rPr>
                <w:rFonts w:hint="eastAsia"/>
                <w:sz w:val="24"/>
                <w:u w:val="single"/>
                <w:lang w:val="en-US" w:eastAsia="zh-CN"/>
              </w:rPr>
              <w:t>27.240</w:t>
            </w:r>
            <w:r>
              <w:rPr>
                <w:rFonts w:ascii="宋体" w:hAnsi="宋体" w:cs="宋体" w:hint="eastAsia"/>
                <w:sz w:val="24"/>
              </w:rPr>
              <w:t>秒）</w:t>
            </w:r>
          </w:p>
        </w:tc>
      </w:tr>
      <w:tr>
        <w:tblPrEx>
          <w:tblW w:w="0" w:type="auto"/>
          <w:jc w:val="center"/>
          <w:tblLayout w:type="fixed"/>
          <w:tblCellMar>
            <w:top w:w="0" w:type="dxa"/>
            <w:left w:w="0" w:type="dxa"/>
            <w:bottom w:w="0" w:type="dxa"/>
            <w:right w:w="0" w:type="dxa"/>
          </w:tblCellMar>
          <w:tblLook w:val="0000"/>
        </w:tblPrEx>
        <w:trPr>
          <w:trHeight w:val="561"/>
          <w:jc w:val="center"/>
        </w:trPr>
        <w:tc>
          <w:tcPr>
            <w:tcW w:w="1856" w:type="dxa"/>
            <w:tcMar>
              <w:top w:w="16" w:type="dxa"/>
              <w:left w:w="16" w:type="dxa"/>
              <w:right w:w="16" w:type="dxa"/>
            </w:tcMar>
            <w:vAlign w:val="center"/>
          </w:tcPr>
          <w:p>
            <w:pPr>
              <w:adjustRightInd w:val="0"/>
              <w:snapToGrid w:val="0"/>
              <w:jc w:val="center"/>
              <w:rPr>
                <w:rFonts w:ascii="宋体" w:hAnsi="宋体" w:cs="宋体" w:hint="eastAsia"/>
                <w:sz w:val="24"/>
              </w:rPr>
            </w:pPr>
            <w:r>
              <w:rPr>
                <w:rFonts w:ascii="宋体" w:hAnsi="宋体" w:cs="宋体" w:hint="eastAsia"/>
                <w:sz w:val="24"/>
              </w:rPr>
              <w:t>国民经济</w:t>
            </w:r>
          </w:p>
          <w:p>
            <w:pPr>
              <w:adjustRightInd w:val="0"/>
              <w:snapToGrid w:val="0"/>
              <w:jc w:val="center"/>
              <w:rPr>
                <w:rFonts w:ascii="宋体" w:hAnsi="宋体" w:cs="宋体"/>
                <w:sz w:val="24"/>
              </w:rPr>
            </w:pPr>
            <w:r>
              <w:rPr>
                <w:rFonts w:ascii="宋体" w:hAnsi="宋体" w:cs="宋体" w:hint="eastAsia"/>
                <w:sz w:val="24"/>
              </w:rPr>
              <w:t>行业类别</w:t>
            </w:r>
          </w:p>
        </w:tc>
        <w:tc>
          <w:tcPr>
            <w:tcW w:w="2163" w:type="dxa"/>
            <w:vAlign w:val="center"/>
          </w:tcPr>
          <w:p>
            <w:pPr>
              <w:adjustRightInd w:val="0"/>
              <w:snapToGrid w:val="0"/>
              <w:jc w:val="center"/>
              <w:rPr>
                <w:rFonts w:ascii="宋体" w:hAnsi="宋体" w:cs="宋体"/>
                <w:sz w:val="24"/>
              </w:rPr>
            </w:pPr>
            <w:r>
              <w:rPr>
                <w:sz w:val="24"/>
              </w:rPr>
              <w:t>C3039</w:t>
            </w:r>
            <w:r>
              <w:rPr>
                <w:rFonts w:ascii="宋体" w:hAnsi="宋体" w:cs="宋体" w:hint="eastAsia"/>
                <w:sz w:val="24"/>
              </w:rPr>
              <w:t>其他建筑材料制造</w:t>
            </w:r>
          </w:p>
        </w:tc>
        <w:tc>
          <w:tcPr>
            <w:tcW w:w="2212" w:type="dxa"/>
            <w:vAlign w:val="center"/>
          </w:tcPr>
          <w:p>
            <w:pPr>
              <w:adjustRightInd w:val="0"/>
              <w:snapToGrid w:val="0"/>
              <w:jc w:val="center"/>
              <w:rPr>
                <w:rFonts w:ascii="宋体" w:hAnsi="宋体" w:cs="宋体"/>
                <w:sz w:val="24"/>
              </w:rPr>
            </w:pPr>
            <w:bookmarkStart w:id="1" w:name="_Hlk49843745"/>
            <w:r>
              <w:rPr>
                <w:rFonts w:ascii="宋体" w:hAnsi="宋体" w:cs="宋体" w:hint="eastAsia"/>
                <w:sz w:val="24"/>
              </w:rPr>
              <w:t>建设项目</w:t>
            </w:r>
          </w:p>
          <w:p>
            <w:pPr>
              <w:adjustRightInd w:val="0"/>
              <w:snapToGrid w:val="0"/>
              <w:jc w:val="center"/>
              <w:rPr>
                <w:rFonts w:ascii="宋体" w:hAnsi="宋体" w:cs="宋体"/>
                <w:sz w:val="24"/>
              </w:rPr>
            </w:pPr>
            <w:r>
              <w:rPr>
                <w:rFonts w:ascii="宋体" w:hAnsi="宋体" w:cs="宋体" w:hint="eastAsia"/>
                <w:sz w:val="24"/>
              </w:rPr>
              <w:t>行业类别</w:t>
            </w:r>
            <w:bookmarkEnd w:id="1"/>
          </w:p>
        </w:tc>
        <w:tc>
          <w:tcPr>
            <w:tcW w:w="2639" w:type="dxa"/>
            <w:vAlign w:val="center"/>
          </w:tcPr>
          <w:p>
            <w:pPr>
              <w:adjustRightInd w:val="0"/>
              <w:snapToGrid w:val="0"/>
              <w:jc w:val="center"/>
              <w:rPr>
                <w:rFonts w:ascii="宋体" w:hAnsi="宋体" w:cs="宋体"/>
                <w:sz w:val="24"/>
              </w:rPr>
            </w:pPr>
            <w:r>
              <w:rPr>
                <w:rFonts w:ascii="宋体" w:hAnsi="宋体" w:cs="宋体" w:hint="eastAsia"/>
                <w:sz w:val="24"/>
              </w:rPr>
              <w:t>二十</w:t>
            </w:r>
            <w:r>
              <w:rPr>
                <w:rFonts w:ascii="Times New Roman" w:hAnsi="Times New Roman" w:cs="Times New Roman" w:hint="default"/>
                <w:sz w:val="24"/>
              </w:rPr>
              <w:t>七、非金属矿物制品业30 砖瓦、石材等建筑材料制造303中粘土砖及建筑砌块制造；建筑用石加工；防水建筑材料制造；隔热、隔音材料制造；其他建筑材料制造（含干粉砂浆搅拌站）以上均不含利用石材板材切割、打磨、成型的</w:t>
            </w:r>
          </w:p>
        </w:tc>
      </w:tr>
      <w:tr>
        <w:tblPrEx>
          <w:tblW w:w="0" w:type="auto"/>
          <w:jc w:val="center"/>
          <w:tblLayout w:type="fixed"/>
          <w:tblCellMar>
            <w:top w:w="0" w:type="dxa"/>
            <w:left w:w="0" w:type="dxa"/>
            <w:bottom w:w="0" w:type="dxa"/>
            <w:right w:w="0" w:type="dxa"/>
          </w:tblCellMar>
          <w:tblLook w:val="0000"/>
        </w:tblPrEx>
        <w:trPr>
          <w:trHeight w:val="1219"/>
          <w:jc w:val="center"/>
        </w:trPr>
        <w:tc>
          <w:tcPr>
            <w:tcW w:w="1856" w:type="dxa"/>
            <w:tcMar>
              <w:top w:w="16" w:type="dxa"/>
              <w:left w:w="16" w:type="dxa"/>
              <w:right w:w="16" w:type="dxa"/>
            </w:tcMar>
            <w:vAlign w:val="center"/>
          </w:tcPr>
          <w:p>
            <w:pPr>
              <w:adjustRightInd w:val="0"/>
              <w:snapToGrid w:val="0"/>
              <w:jc w:val="center"/>
              <w:rPr>
                <w:rFonts w:ascii="宋体" w:hAnsi="宋体" w:cs="宋体"/>
                <w:sz w:val="24"/>
              </w:rPr>
            </w:pPr>
            <w:r>
              <w:rPr>
                <w:rFonts w:ascii="宋体" w:hAnsi="宋体" w:cs="宋体" w:hint="eastAsia"/>
                <w:sz w:val="24"/>
              </w:rPr>
              <w:t>建设性质</w:t>
            </w:r>
          </w:p>
        </w:tc>
        <w:tc>
          <w:tcPr>
            <w:tcW w:w="2163" w:type="dxa"/>
            <w:vAlign w:val="center"/>
          </w:tcPr>
          <w:p>
            <w:pPr>
              <w:jc w:val="left"/>
              <w:rPr>
                <w:rFonts w:ascii="宋体" w:hAnsi="宋体" w:cs="宋体"/>
                <w:sz w:val="24"/>
              </w:rPr>
            </w:pPr>
            <w:r>
              <w:rPr>
                <w:rFonts w:ascii="Wingdings 2" w:hAnsi="Wingdings 2"/>
                <w:bCs/>
                <w:sz w:val="24"/>
              </w:rPr>
              <w:sym w:font="Wingdings 2" w:char="F052"/>
            </w:r>
            <w:r>
              <w:rPr>
                <w:rFonts w:ascii="宋体" w:hAnsi="宋体" w:cs="宋体" w:hint="eastAsia"/>
                <w:sz w:val="24"/>
              </w:rPr>
              <w:t>新建（迁建）</w:t>
            </w:r>
          </w:p>
          <w:p>
            <w:pPr>
              <w:jc w:val="left"/>
              <w:rPr>
                <w:rFonts w:ascii="宋体" w:hAnsi="宋体" w:cs="宋体" w:hint="eastAsia"/>
                <w:sz w:val="24"/>
              </w:rPr>
            </w:pPr>
            <w:r>
              <w:rPr>
                <w:rFonts w:ascii="宋体" w:hAnsi="宋体" w:cs="宋体" w:hint="eastAsia"/>
                <w:sz w:val="24"/>
              </w:rPr>
              <w:t>□</w:t>
            </w:r>
            <w:r>
              <w:rPr>
                <w:rFonts w:ascii="宋体" w:hAnsi="宋体" w:cs="宋体" w:hint="eastAsia"/>
                <w:sz w:val="24"/>
              </w:rPr>
              <w:t>改建</w:t>
            </w:r>
          </w:p>
          <w:p>
            <w:pPr>
              <w:jc w:val="left"/>
              <w:rPr>
                <w:rFonts w:ascii="宋体" w:hAnsi="宋体" w:cs="宋体" w:hint="eastAsia"/>
                <w:sz w:val="24"/>
              </w:rPr>
            </w:pPr>
            <w:r>
              <w:rPr>
                <w:rFonts w:ascii="宋体" w:hAnsi="宋体" w:cs="宋体" w:hint="eastAsia"/>
                <w:sz w:val="24"/>
              </w:rPr>
              <w:t>□</w:t>
            </w:r>
            <w:r>
              <w:rPr>
                <w:rFonts w:ascii="宋体" w:hAnsi="宋体" w:cs="宋体" w:hint="eastAsia"/>
                <w:sz w:val="24"/>
              </w:rPr>
              <w:t>扩建</w:t>
            </w:r>
          </w:p>
          <w:p>
            <w:pPr>
              <w:jc w:val="left"/>
              <w:rPr>
                <w:rFonts w:ascii="宋体" w:hAnsi="宋体" w:cs="宋体"/>
                <w:sz w:val="24"/>
              </w:rPr>
            </w:pPr>
            <w:r>
              <w:rPr>
                <w:rFonts w:ascii="宋体" w:hAnsi="宋体" w:cs="宋体" w:hint="eastAsia"/>
                <w:sz w:val="24"/>
              </w:rPr>
              <w:t>□</w:t>
            </w:r>
            <w:r>
              <w:rPr>
                <w:rFonts w:ascii="宋体" w:hAnsi="宋体" w:cs="宋体" w:hint="eastAsia"/>
                <w:sz w:val="24"/>
              </w:rPr>
              <w:t>技术改造</w:t>
            </w:r>
          </w:p>
        </w:tc>
        <w:tc>
          <w:tcPr>
            <w:tcW w:w="2212" w:type="dxa"/>
            <w:vAlign w:val="center"/>
          </w:tcPr>
          <w:p>
            <w:pPr>
              <w:adjustRightInd w:val="0"/>
              <w:snapToGrid w:val="0"/>
              <w:jc w:val="center"/>
              <w:rPr>
                <w:rFonts w:ascii="宋体" w:hAnsi="宋体" w:cs="宋体" w:hint="eastAsia"/>
                <w:sz w:val="24"/>
              </w:rPr>
            </w:pPr>
            <w:r>
              <w:rPr>
                <w:rFonts w:ascii="宋体" w:hAnsi="宋体" w:cs="宋体" w:hint="eastAsia"/>
                <w:sz w:val="24"/>
              </w:rPr>
              <w:t>建设项目</w:t>
            </w:r>
          </w:p>
          <w:p>
            <w:pPr>
              <w:adjustRightInd w:val="0"/>
              <w:snapToGrid w:val="0"/>
              <w:jc w:val="center"/>
              <w:rPr>
                <w:rFonts w:ascii="宋体" w:hAnsi="宋体" w:cs="宋体"/>
                <w:sz w:val="24"/>
              </w:rPr>
            </w:pPr>
            <w:r>
              <w:rPr>
                <w:rFonts w:ascii="宋体" w:hAnsi="宋体" w:cs="宋体" w:hint="eastAsia"/>
                <w:sz w:val="24"/>
              </w:rPr>
              <w:t>申报情形</w:t>
            </w:r>
          </w:p>
        </w:tc>
        <w:tc>
          <w:tcPr>
            <w:tcW w:w="2639" w:type="dxa"/>
            <w:vAlign w:val="center"/>
          </w:tcPr>
          <w:p>
            <w:pPr>
              <w:jc w:val="left"/>
              <w:rPr>
                <w:rFonts w:ascii="宋体" w:hAnsi="宋体" w:cs="宋体"/>
                <w:sz w:val="24"/>
              </w:rPr>
            </w:pPr>
            <w:r>
              <w:rPr>
                <w:rFonts w:ascii="Wingdings 2" w:hAnsi="Wingdings 2"/>
                <w:bCs/>
                <w:sz w:val="24"/>
              </w:rPr>
              <w:sym w:font="Wingdings 2" w:char="F052"/>
            </w:r>
            <w:r>
              <w:rPr>
                <w:rFonts w:ascii="宋体" w:hAnsi="宋体" w:cs="宋体" w:hint="eastAsia"/>
                <w:sz w:val="24"/>
              </w:rPr>
              <w:t>首次申报项目</w:t>
            </w:r>
            <w:r>
              <w:rPr>
                <w:rFonts w:ascii="宋体" w:hAnsi="宋体" w:cs="宋体"/>
                <w:sz w:val="24"/>
              </w:rPr>
              <w:t xml:space="preserve">             </w:t>
            </w:r>
          </w:p>
          <w:p>
            <w:pPr>
              <w:jc w:val="left"/>
              <w:rPr>
                <w:rFonts w:ascii="宋体" w:hAnsi="宋体" w:cs="宋体"/>
                <w:sz w:val="24"/>
              </w:rPr>
            </w:pPr>
            <w:r>
              <w:rPr>
                <w:rFonts w:ascii="宋体" w:hAnsi="宋体" w:cs="宋体" w:hint="eastAsia"/>
                <w:sz w:val="24"/>
              </w:rPr>
              <w:t>□</w:t>
            </w:r>
            <w:r>
              <w:rPr>
                <w:rFonts w:ascii="宋体" w:hAnsi="宋体" w:cs="宋体" w:hint="eastAsia"/>
                <w:sz w:val="24"/>
              </w:rPr>
              <w:t>不予批准后再次申报项目</w:t>
            </w:r>
          </w:p>
          <w:p>
            <w:pPr>
              <w:jc w:val="left"/>
              <w:rPr>
                <w:rFonts w:ascii="宋体" w:hAnsi="宋体" w:cs="宋体"/>
                <w:sz w:val="24"/>
              </w:rPr>
            </w:pPr>
            <w:r>
              <w:rPr>
                <w:rFonts w:ascii="Wingdings 2" w:hAnsi="Wingdings 2" w:cs="宋体"/>
                <w:sz w:val="24"/>
              </w:rPr>
              <w:sym w:font="Wingdings 2" w:char="F0A3"/>
            </w:r>
            <w:r>
              <w:rPr>
                <w:rFonts w:ascii="宋体" w:hAnsi="宋体" w:cs="宋体" w:hint="eastAsia"/>
                <w:sz w:val="24"/>
              </w:rPr>
              <w:t>超五年重新审核项目</w:t>
            </w:r>
            <w:r>
              <w:rPr>
                <w:rFonts w:ascii="宋体" w:hAnsi="宋体" w:cs="宋体"/>
                <w:sz w:val="24"/>
              </w:rPr>
              <w:t xml:space="preserve">     </w:t>
            </w:r>
          </w:p>
          <w:p>
            <w:pPr>
              <w:jc w:val="left"/>
              <w:rPr>
                <w:rFonts w:ascii="宋体" w:hAnsi="宋体" w:cs="宋体"/>
                <w:sz w:val="24"/>
              </w:rPr>
            </w:pPr>
            <w:r>
              <w:rPr>
                <w:rFonts w:ascii="宋体" w:hAnsi="宋体" w:cs="宋体" w:hint="eastAsia"/>
                <w:sz w:val="24"/>
              </w:rPr>
              <w:t>□</w:t>
            </w:r>
            <w:r>
              <w:rPr>
                <w:rFonts w:ascii="宋体" w:hAnsi="宋体" w:cs="宋体" w:hint="eastAsia"/>
                <w:sz w:val="24"/>
              </w:rPr>
              <w:t>重大变动重新报批项目</w:t>
            </w:r>
          </w:p>
        </w:tc>
      </w:tr>
      <w:tr>
        <w:tblPrEx>
          <w:tblW w:w="0" w:type="auto"/>
          <w:jc w:val="center"/>
          <w:tblLayout w:type="fixed"/>
          <w:tblCellMar>
            <w:top w:w="0" w:type="dxa"/>
            <w:left w:w="0" w:type="dxa"/>
            <w:bottom w:w="0" w:type="dxa"/>
            <w:right w:w="0" w:type="dxa"/>
          </w:tblCellMar>
          <w:tblLook w:val="0000"/>
        </w:tblPrEx>
        <w:trPr>
          <w:trHeight w:val="851"/>
          <w:jc w:val="center"/>
        </w:trPr>
        <w:tc>
          <w:tcPr>
            <w:tcW w:w="1856" w:type="dxa"/>
            <w:tcMar>
              <w:top w:w="16" w:type="dxa"/>
              <w:left w:w="16" w:type="dxa"/>
              <w:right w:w="16" w:type="dxa"/>
            </w:tcMar>
            <w:vAlign w:val="center"/>
          </w:tcPr>
          <w:p>
            <w:pPr>
              <w:adjustRightInd w:val="0"/>
              <w:snapToGrid w:val="0"/>
              <w:jc w:val="center"/>
              <w:rPr>
                <w:rFonts w:ascii="宋体" w:hAnsi="宋体" w:cs="宋体" w:hint="eastAsia"/>
                <w:sz w:val="24"/>
              </w:rPr>
            </w:pPr>
            <w:r>
              <w:rPr>
                <w:rFonts w:ascii="宋体" w:hAnsi="宋体" w:cs="宋体" w:hint="eastAsia"/>
                <w:sz w:val="24"/>
              </w:rPr>
              <w:t>项目审批（核准</w:t>
            </w:r>
            <w:r>
              <w:rPr>
                <w:rFonts w:ascii="宋体" w:hAnsi="宋体" w:cs="宋体"/>
                <w:sz w:val="24"/>
              </w:rPr>
              <w:t>/</w:t>
            </w:r>
          </w:p>
          <w:p>
            <w:pPr>
              <w:adjustRightInd w:val="0"/>
              <w:snapToGrid w:val="0"/>
              <w:jc w:val="center"/>
              <w:rPr>
                <w:rFonts w:ascii="宋体" w:hAnsi="宋体" w:cs="宋体"/>
                <w:sz w:val="24"/>
              </w:rPr>
            </w:pPr>
            <w:r>
              <w:rPr>
                <w:rFonts w:ascii="宋体" w:hAnsi="宋体" w:cs="宋体" w:hint="eastAsia"/>
                <w:sz w:val="24"/>
              </w:rPr>
              <w:t>备案）部门（选填）</w:t>
            </w:r>
          </w:p>
        </w:tc>
        <w:tc>
          <w:tcPr>
            <w:tcW w:w="2163" w:type="dxa"/>
            <w:vAlign w:val="center"/>
          </w:tcPr>
          <w:p>
            <w:pPr>
              <w:adjustRightInd w:val="0"/>
              <w:snapToGrid w:val="0"/>
              <w:jc w:val="center"/>
              <w:rPr>
                <w:rFonts w:ascii="宋体" w:hAnsi="宋体" w:cs="宋体"/>
                <w:sz w:val="24"/>
              </w:rPr>
            </w:pPr>
            <w:r>
              <w:rPr>
                <w:rFonts w:ascii="宋体" w:hAnsi="宋体" w:cs="宋体" w:hint="eastAsia"/>
                <w:sz w:val="24"/>
              </w:rPr>
              <w:t>蒲城县</w:t>
            </w:r>
            <w:r>
              <w:rPr>
                <w:rFonts w:ascii="宋体" w:hAnsi="宋体" w:cs="宋体" w:hint="eastAsia"/>
                <w:sz w:val="24"/>
                <w:lang w:val="en-US" w:eastAsia="zh-CN"/>
              </w:rPr>
              <w:t>行政审批服务</w:t>
            </w:r>
            <w:r>
              <w:rPr>
                <w:rFonts w:ascii="宋体" w:hAnsi="宋体" w:cs="宋体" w:hint="eastAsia"/>
                <w:sz w:val="24"/>
              </w:rPr>
              <w:t>局</w:t>
            </w:r>
          </w:p>
        </w:tc>
        <w:tc>
          <w:tcPr>
            <w:tcW w:w="2212" w:type="dxa"/>
            <w:vAlign w:val="center"/>
          </w:tcPr>
          <w:p>
            <w:pPr>
              <w:adjustRightInd w:val="0"/>
              <w:snapToGrid w:val="0"/>
              <w:jc w:val="center"/>
              <w:rPr>
                <w:rFonts w:ascii="宋体" w:hAnsi="宋体" w:cs="宋体" w:hint="eastAsia"/>
                <w:sz w:val="24"/>
              </w:rPr>
            </w:pPr>
            <w:r>
              <w:rPr>
                <w:rFonts w:ascii="宋体" w:hAnsi="宋体" w:cs="宋体" w:hint="eastAsia"/>
                <w:sz w:val="24"/>
              </w:rPr>
              <w:t>项目审批（核准</w:t>
            </w:r>
            <w:r>
              <w:rPr>
                <w:rFonts w:ascii="宋体" w:hAnsi="宋体" w:cs="宋体"/>
                <w:sz w:val="24"/>
              </w:rPr>
              <w:t>/</w:t>
            </w:r>
          </w:p>
          <w:p>
            <w:pPr>
              <w:adjustRightInd w:val="0"/>
              <w:snapToGrid w:val="0"/>
              <w:jc w:val="center"/>
              <w:rPr>
                <w:rFonts w:ascii="宋体" w:hAnsi="宋体" w:cs="宋体" w:hint="eastAsia"/>
                <w:sz w:val="24"/>
              </w:rPr>
            </w:pPr>
            <w:r>
              <w:rPr>
                <w:rFonts w:ascii="宋体" w:hAnsi="宋体" w:cs="宋体" w:hint="eastAsia"/>
                <w:sz w:val="24"/>
              </w:rPr>
              <w:t>备案）文号（选填）</w:t>
            </w:r>
          </w:p>
        </w:tc>
        <w:tc>
          <w:tcPr>
            <w:tcW w:w="2639" w:type="dxa"/>
            <w:vAlign w:val="center"/>
          </w:tcPr>
          <w:p>
            <w:pPr>
              <w:adjustRightInd w:val="0"/>
              <w:snapToGrid w:val="0"/>
              <w:jc w:val="center"/>
              <w:rPr>
                <w:rFonts w:eastAsia="宋体" w:hint="default"/>
                <w:sz w:val="24"/>
              </w:rPr>
            </w:pPr>
            <w:r>
              <w:rPr>
                <w:rFonts w:hint="eastAsia"/>
                <w:sz w:val="24"/>
                <w:lang w:val="en-US" w:eastAsia="zh-CN"/>
              </w:rPr>
              <w:t>2012-610526-04-01-969283</w:t>
            </w:r>
          </w:p>
        </w:tc>
      </w:tr>
      <w:tr>
        <w:tblPrEx>
          <w:tblW w:w="0" w:type="auto"/>
          <w:jc w:val="center"/>
          <w:tblLayout w:type="fixed"/>
          <w:tblCellMar>
            <w:top w:w="0" w:type="dxa"/>
            <w:left w:w="0" w:type="dxa"/>
            <w:bottom w:w="0" w:type="dxa"/>
            <w:right w:w="0" w:type="dxa"/>
          </w:tblCellMar>
          <w:tblLook w:val="0000"/>
        </w:tblPrEx>
        <w:trPr>
          <w:trHeight w:val="497"/>
          <w:jc w:val="center"/>
        </w:trPr>
        <w:tc>
          <w:tcPr>
            <w:tcW w:w="1856" w:type="dxa"/>
            <w:tcMar>
              <w:top w:w="16" w:type="dxa"/>
              <w:left w:w="16" w:type="dxa"/>
              <w:right w:w="16" w:type="dxa"/>
            </w:tcMar>
            <w:vAlign w:val="center"/>
          </w:tcPr>
          <w:p>
            <w:pPr>
              <w:adjustRightInd w:val="0"/>
              <w:snapToGrid w:val="0"/>
              <w:jc w:val="center"/>
              <w:rPr>
                <w:rFonts w:ascii="宋体" w:hAnsi="宋体" w:cs="宋体"/>
                <w:sz w:val="24"/>
              </w:rPr>
            </w:pPr>
            <w:r>
              <w:rPr>
                <w:rFonts w:ascii="宋体" w:hAnsi="宋体" w:cs="宋体" w:hint="eastAsia"/>
                <w:sz w:val="24"/>
              </w:rPr>
              <w:t>总投资（万元）</w:t>
            </w:r>
          </w:p>
        </w:tc>
        <w:tc>
          <w:tcPr>
            <w:tcW w:w="2163" w:type="dxa"/>
            <w:vAlign w:val="center"/>
          </w:tcPr>
          <w:p>
            <w:pPr>
              <w:adjustRightInd w:val="0"/>
              <w:snapToGrid w:val="0"/>
              <w:jc w:val="center"/>
              <w:rPr>
                <w:rFonts w:eastAsia="宋体" w:hint="default"/>
                <w:sz w:val="24"/>
                <w:highlight w:val="none"/>
              </w:rPr>
            </w:pPr>
            <w:r>
              <w:rPr>
                <w:rFonts w:hint="eastAsia"/>
                <w:sz w:val="24"/>
                <w:highlight w:val="none"/>
                <w:lang w:val="en-US" w:eastAsia="zh-CN"/>
              </w:rPr>
              <w:t>500</w:t>
            </w:r>
          </w:p>
        </w:tc>
        <w:tc>
          <w:tcPr>
            <w:tcW w:w="2212" w:type="dxa"/>
            <w:tcMar>
              <w:top w:w="16" w:type="dxa"/>
              <w:left w:w="16" w:type="dxa"/>
              <w:right w:w="16" w:type="dxa"/>
            </w:tcMar>
            <w:vAlign w:val="center"/>
          </w:tcPr>
          <w:p>
            <w:pPr>
              <w:adjustRightInd w:val="0"/>
              <w:snapToGrid w:val="0"/>
              <w:jc w:val="center"/>
              <w:rPr>
                <w:rFonts w:ascii="宋体" w:hAnsi="宋体" w:cs="宋体"/>
                <w:sz w:val="24"/>
                <w:highlight w:val="none"/>
              </w:rPr>
            </w:pPr>
            <w:r>
              <w:rPr>
                <w:rFonts w:ascii="宋体" w:hAnsi="宋体" w:cs="宋体" w:hint="eastAsia"/>
                <w:sz w:val="24"/>
                <w:highlight w:val="none"/>
              </w:rPr>
              <w:t>环保投资（万元）</w:t>
            </w:r>
          </w:p>
        </w:tc>
        <w:tc>
          <w:tcPr>
            <w:tcW w:w="2639" w:type="dxa"/>
            <w:vAlign w:val="center"/>
          </w:tcPr>
          <w:p>
            <w:pPr>
              <w:adjustRightInd w:val="0"/>
              <w:snapToGrid w:val="0"/>
              <w:jc w:val="center"/>
              <w:rPr>
                <w:rFonts w:eastAsia="宋体" w:hint="default"/>
                <w:sz w:val="24"/>
                <w:highlight w:val="none"/>
              </w:rPr>
            </w:pPr>
            <w:r>
              <w:rPr>
                <w:rFonts w:hint="eastAsia"/>
                <w:sz w:val="24"/>
                <w:highlight w:val="none"/>
                <w:lang w:val="en-US" w:eastAsia="zh-CN"/>
              </w:rPr>
              <w:t>32</w:t>
            </w:r>
          </w:p>
        </w:tc>
      </w:tr>
      <w:tr>
        <w:tblPrEx>
          <w:tblW w:w="0" w:type="auto"/>
          <w:jc w:val="center"/>
          <w:tblLayout w:type="fixed"/>
          <w:tblCellMar>
            <w:top w:w="0" w:type="dxa"/>
            <w:left w:w="0" w:type="dxa"/>
            <w:bottom w:w="0" w:type="dxa"/>
            <w:right w:w="0" w:type="dxa"/>
          </w:tblCellMar>
          <w:tblLook w:val="0000"/>
        </w:tblPrEx>
        <w:trPr>
          <w:trHeight w:val="497"/>
          <w:jc w:val="center"/>
        </w:trPr>
        <w:tc>
          <w:tcPr>
            <w:tcW w:w="1856" w:type="dxa"/>
            <w:tcMar>
              <w:top w:w="16" w:type="dxa"/>
              <w:left w:w="16" w:type="dxa"/>
              <w:right w:w="16" w:type="dxa"/>
            </w:tcMar>
            <w:vAlign w:val="center"/>
          </w:tcPr>
          <w:p>
            <w:pPr>
              <w:adjustRightInd w:val="0"/>
              <w:snapToGrid w:val="0"/>
              <w:jc w:val="center"/>
              <w:rPr>
                <w:rFonts w:ascii="宋体" w:hAnsi="宋体" w:cs="宋体"/>
                <w:sz w:val="24"/>
              </w:rPr>
            </w:pPr>
            <w:r>
              <w:rPr>
                <w:rFonts w:ascii="宋体" w:hAnsi="宋体" w:cs="宋体" w:hint="eastAsia"/>
                <w:sz w:val="24"/>
              </w:rPr>
              <w:t>环保投资占比（</w:t>
            </w:r>
            <w:r>
              <w:rPr>
                <w:rFonts w:ascii="宋体" w:hAnsi="宋体" w:cs="宋体"/>
                <w:sz w:val="24"/>
              </w:rPr>
              <w:t>%</w:t>
            </w:r>
            <w:r>
              <w:rPr>
                <w:rFonts w:ascii="宋体" w:hAnsi="宋体" w:cs="宋体" w:hint="eastAsia"/>
                <w:sz w:val="24"/>
              </w:rPr>
              <w:t>）</w:t>
            </w:r>
          </w:p>
        </w:tc>
        <w:tc>
          <w:tcPr>
            <w:tcW w:w="2163" w:type="dxa"/>
            <w:vAlign w:val="center"/>
          </w:tcPr>
          <w:p>
            <w:pPr>
              <w:adjustRightInd w:val="0"/>
              <w:snapToGrid w:val="0"/>
              <w:jc w:val="center"/>
              <w:rPr>
                <w:rFonts w:eastAsia="宋体" w:hint="default"/>
                <w:sz w:val="24"/>
                <w:highlight w:val="none"/>
              </w:rPr>
            </w:pPr>
            <w:r>
              <w:rPr>
                <w:rFonts w:hint="eastAsia"/>
                <w:sz w:val="24"/>
                <w:highlight w:val="none"/>
                <w:lang w:val="en-US" w:eastAsia="zh-CN"/>
              </w:rPr>
              <w:t>6.4</w:t>
            </w:r>
          </w:p>
        </w:tc>
        <w:tc>
          <w:tcPr>
            <w:tcW w:w="2212" w:type="dxa"/>
            <w:tcMar>
              <w:top w:w="16" w:type="dxa"/>
              <w:left w:w="16" w:type="dxa"/>
              <w:right w:w="16" w:type="dxa"/>
            </w:tcMar>
            <w:vAlign w:val="center"/>
          </w:tcPr>
          <w:p>
            <w:pPr>
              <w:adjustRightInd w:val="0"/>
              <w:snapToGrid w:val="0"/>
              <w:jc w:val="center"/>
              <w:rPr>
                <w:rFonts w:ascii="宋体" w:hAnsi="宋体" w:cs="宋体"/>
                <w:sz w:val="24"/>
                <w:highlight w:val="none"/>
              </w:rPr>
            </w:pPr>
            <w:r>
              <w:rPr>
                <w:rFonts w:ascii="宋体" w:hAnsi="宋体" w:cs="宋体" w:hint="eastAsia"/>
                <w:sz w:val="24"/>
                <w:highlight w:val="none"/>
              </w:rPr>
              <w:t>施工工期</w:t>
            </w:r>
          </w:p>
        </w:tc>
        <w:tc>
          <w:tcPr>
            <w:tcW w:w="2639" w:type="dxa"/>
            <w:vAlign w:val="center"/>
          </w:tcPr>
          <w:p>
            <w:pPr>
              <w:adjustRightInd w:val="0"/>
              <w:snapToGrid w:val="0"/>
              <w:jc w:val="center"/>
              <w:rPr>
                <w:sz w:val="24"/>
                <w:highlight w:val="none"/>
              </w:rPr>
            </w:pPr>
            <w:r>
              <w:rPr>
                <w:rFonts w:hint="eastAsia"/>
                <w:sz w:val="24"/>
                <w:highlight w:val="none"/>
                <w:lang w:val="en-US" w:eastAsia="zh-CN"/>
              </w:rPr>
              <w:t>5</w:t>
            </w:r>
            <w:r>
              <w:rPr>
                <w:rFonts w:hint="eastAsia"/>
                <w:sz w:val="24"/>
                <w:highlight w:val="none"/>
              </w:rPr>
              <w:t>个月</w:t>
            </w:r>
          </w:p>
        </w:tc>
      </w:tr>
      <w:tr>
        <w:tblPrEx>
          <w:tblW w:w="0" w:type="auto"/>
          <w:jc w:val="center"/>
          <w:tblLayout w:type="fixed"/>
          <w:tblCellMar>
            <w:top w:w="0" w:type="dxa"/>
            <w:left w:w="0" w:type="dxa"/>
            <w:bottom w:w="0" w:type="dxa"/>
            <w:right w:w="0" w:type="dxa"/>
          </w:tblCellMar>
          <w:tblLook w:val="0000"/>
        </w:tblPrEx>
        <w:trPr>
          <w:trHeight w:val="497"/>
          <w:jc w:val="center"/>
        </w:trPr>
        <w:tc>
          <w:tcPr>
            <w:tcW w:w="1856" w:type="dxa"/>
            <w:tcMar>
              <w:top w:w="16" w:type="dxa"/>
              <w:left w:w="16" w:type="dxa"/>
              <w:right w:w="16" w:type="dxa"/>
            </w:tcMar>
            <w:vAlign w:val="center"/>
          </w:tcPr>
          <w:p>
            <w:pPr>
              <w:adjustRightInd w:val="0"/>
              <w:snapToGrid w:val="0"/>
              <w:jc w:val="center"/>
              <w:rPr>
                <w:rFonts w:ascii="宋体" w:hAnsi="宋体" w:cs="宋体" w:hint="eastAsia"/>
                <w:sz w:val="24"/>
              </w:rPr>
            </w:pPr>
            <w:r>
              <w:rPr>
                <w:rFonts w:ascii="宋体" w:hAnsi="宋体" w:cs="宋体" w:hint="eastAsia"/>
                <w:sz w:val="24"/>
              </w:rPr>
              <w:t>是否开工建设</w:t>
            </w:r>
          </w:p>
        </w:tc>
        <w:tc>
          <w:tcPr>
            <w:tcW w:w="2163" w:type="dxa"/>
            <w:vAlign w:val="center"/>
          </w:tcPr>
          <w:p>
            <w:pPr>
              <w:adjustRightInd w:val="0"/>
              <w:snapToGrid w:val="0"/>
              <w:rPr>
                <w:rFonts w:ascii="宋体" w:hAnsi="宋体" w:cs="宋体"/>
                <w:sz w:val="24"/>
              </w:rPr>
            </w:pPr>
            <w:r>
              <w:rPr>
                <w:rFonts w:ascii="Wingdings 2" w:hAnsi="Wingdings 2"/>
                <w:bCs/>
                <w:sz w:val="24"/>
              </w:rPr>
              <w:sym w:font="Wingdings 2" w:char="F052"/>
            </w:r>
            <w:r>
              <w:rPr>
                <w:rFonts w:ascii="宋体" w:hAnsi="宋体" w:cs="宋体" w:hint="eastAsia"/>
                <w:sz w:val="24"/>
              </w:rPr>
              <w:t>否</w:t>
            </w:r>
          </w:p>
          <w:p>
            <w:pPr>
              <w:adjustRightInd w:val="0"/>
              <w:snapToGrid w:val="0"/>
              <w:rPr>
                <w:rFonts w:ascii="宋体" w:hAnsi="宋体" w:cs="宋体"/>
                <w:sz w:val="24"/>
              </w:rPr>
            </w:pPr>
            <w:r>
              <w:rPr>
                <w:rFonts w:ascii="Wingdings 2" w:hAnsi="Wingdings 2" w:cs="宋体"/>
                <w:sz w:val="24"/>
              </w:rPr>
              <w:sym w:font="Wingdings 2" w:char="F0A3"/>
            </w:r>
            <w:r>
              <w:rPr>
                <w:rFonts w:ascii="宋体" w:hAnsi="宋体" w:cs="宋体" w:hint="eastAsia"/>
                <w:sz w:val="24"/>
              </w:rPr>
              <w:t>是：</w:t>
            </w:r>
            <w:r>
              <w:rPr>
                <w:rFonts w:ascii="宋体" w:hAnsi="宋体" w:cs="宋体" w:hint="eastAsia"/>
                <w:sz w:val="24"/>
                <w:u w:val="single"/>
              </w:rPr>
              <w:t xml:space="preserve">             </w:t>
            </w:r>
          </w:p>
        </w:tc>
        <w:tc>
          <w:tcPr>
            <w:tcW w:w="2212" w:type="dxa"/>
            <w:tcMar>
              <w:top w:w="16" w:type="dxa"/>
              <w:left w:w="16" w:type="dxa"/>
              <w:right w:w="16" w:type="dxa"/>
            </w:tcMar>
            <w:vAlign w:val="center"/>
          </w:tcPr>
          <w:p>
            <w:pPr>
              <w:adjustRightInd w:val="0"/>
              <w:snapToGrid w:val="0"/>
              <w:jc w:val="center"/>
              <w:rPr>
                <w:rFonts w:ascii="宋体" w:hAnsi="宋体" w:cs="宋体"/>
                <w:spacing w:val="-6"/>
                <w:sz w:val="24"/>
              </w:rPr>
            </w:pPr>
            <w:r>
              <w:rPr>
                <w:rFonts w:ascii="宋体" w:hAnsi="宋体" w:cs="宋体" w:hint="eastAsia"/>
                <w:spacing w:val="-6"/>
                <w:sz w:val="24"/>
              </w:rPr>
              <w:t>用地（用海）</w:t>
            </w:r>
          </w:p>
          <w:p>
            <w:pPr>
              <w:adjustRightInd w:val="0"/>
              <w:snapToGrid w:val="0"/>
              <w:jc w:val="center"/>
              <w:rPr>
                <w:rFonts w:ascii="宋体" w:hAnsi="宋体" w:cs="宋体" w:hint="eastAsia"/>
                <w:sz w:val="24"/>
              </w:rPr>
            </w:pPr>
            <w:r>
              <w:rPr>
                <w:rFonts w:ascii="宋体" w:hAnsi="宋体" w:cs="宋体" w:hint="eastAsia"/>
                <w:spacing w:val="-6"/>
                <w:sz w:val="24"/>
              </w:rPr>
              <w:t>面积（</w:t>
            </w:r>
            <w:r>
              <w:rPr>
                <w:rFonts w:ascii="宋体" w:hAnsi="宋体" w:cs="宋体"/>
                <w:spacing w:val="-6"/>
                <w:sz w:val="24"/>
              </w:rPr>
              <w:t>m</w:t>
            </w:r>
            <w:r>
              <w:rPr>
                <w:rFonts w:ascii="宋体" w:hAnsi="宋体" w:cs="宋体"/>
                <w:spacing w:val="-6"/>
                <w:sz w:val="24"/>
                <w:vertAlign w:val="superscript"/>
              </w:rPr>
              <w:t>2</w:t>
            </w:r>
            <w:r>
              <w:rPr>
                <w:rFonts w:ascii="宋体" w:hAnsi="宋体" w:cs="宋体" w:hint="eastAsia"/>
                <w:spacing w:val="-6"/>
                <w:sz w:val="24"/>
              </w:rPr>
              <w:t>）</w:t>
            </w:r>
          </w:p>
        </w:tc>
        <w:tc>
          <w:tcPr>
            <w:tcW w:w="2639" w:type="dxa"/>
            <w:vAlign w:val="center"/>
          </w:tcPr>
          <w:p>
            <w:pPr>
              <w:adjustRightInd w:val="0"/>
              <w:snapToGrid w:val="0"/>
              <w:jc w:val="center"/>
              <w:rPr>
                <w:rFonts w:eastAsia="宋体" w:hint="default"/>
                <w:sz w:val="24"/>
              </w:rPr>
            </w:pPr>
            <w:r>
              <w:rPr>
                <w:rFonts w:hint="eastAsia"/>
                <w:sz w:val="24"/>
                <w:lang w:val="en-US" w:eastAsia="zh-CN"/>
              </w:rPr>
              <w:t>20000</w:t>
            </w:r>
          </w:p>
        </w:tc>
      </w:tr>
      <w:tr>
        <w:tblPrEx>
          <w:tblW w:w="0" w:type="auto"/>
          <w:jc w:val="center"/>
          <w:tblLayout w:type="fixed"/>
          <w:tblCellMar>
            <w:top w:w="0" w:type="dxa"/>
            <w:left w:w="108" w:type="dxa"/>
            <w:bottom w:w="0" w:type="dxa"/>
            <w:right w:w="108" w:type="dxa"/>
          </w:tblCellMar>
          <w:tblLook w:val="0000"/>
        </w:tblPrEx>
        <w:trPr>
          <w:trHeight w:val="1021"/>
          <w:jc w:val="center"/>
        </w:trPr>
        <w:tc>
          <w:tcPr>
            <w:tcW w:w="1856" w:type="dxa"/>
            <w:vAlign w:val="center"/>
          </w:tcPr>
          <w:p>
            <w:pPr>
              <w:autoSpaceDE w:val="0"/>
              <w:autoSpaceDN w:val="0"/>
              <w:adjustRightInd w:val="0"/>
              <w:snapToGrid w:val="0"/>
              <w:jc w:val="center"/>
              <w:rPr>
                <w:rFonts w:ascii="宋体" w:hAnsi="宋体" w:cs="宋体"/>
                <w:kern w:val="0"/>
                <w:sz w:val="24"/>
              </w:rPr>
            </w:pPr>
            <w:r>
              <w:rPr>
                <w:rFonts w:ascii="宋体" w:hAnsi="宋体" w:cs="宋体" w:hint="eastAsia"/>
                <w:kern w:val="0"/>
                <w:sz w:val="24"/>
              </w:rPr>
              <w:t>专项评价设置情况</w:t>
            </w:r>
          </w:p>
        </w:tc>
        <w:tc>
          <w:tcPr>
            <w:tcW w:w="7014" w:type="dxa"/>
            <w:gridSpan w:val="3"/>
            <w:vAlign w:val="center"/>
          </w:tcPr>
          <w:p>
            <w:pPr>
              <w:autoSpaceDE w:val="0"/>
              <w:autoSpaceDN w:val="0"/>
              <w:adjustRightInd w:val="0"/>
              <w:snapToGrid w:val="0"/>
              <w:jc w:val="center"/>
              <w:rPr>
                <w:rFonts w:ascii="宋体" w:hAnsi="宋体" w:cs="宋体"/>
                <w:kern w:val="0"/>
                <w:sz w:val="24"/>
              </w:rPr>
            </w:pPr>
            <w:r>
              <w:rPr>
                <w:rFonts w:ascii="宋体" w:hAnsi="宋体" w:cs="宋体" w:hint="eastAsia"/>
                <w:kern w:val="0"/>
                <w:sz w:val="24"/>
              </w:rPr>
              <w:t>无</w:t>
            </w:r>
          </w:p>
        </w:tc>
      </w:tr>
      <w:tr>
        <w:tblPrEx>
          <w:tblW w:w="0" w:type="auto"/>
          <w:jc w:val="center"/>
          <w:tblLayout w:type="fixed"/>
          <w:tblCellMar>
            <w:top w:w="0" w:type="dxa"/>
            <w:left w:w="108" w:type="dxa"/>
            <w:bottom w:w="0" w:type="dxa"/>
            <w:right w:w="108" w:type="dxa"/>
          </w:tblCellMar>
          <w:tblLook w:val="0000"/>
        </w:tblPrEx>
        <w:trPr>
          <w:trHeight w:val="1021"/>
          <w:jc w:val="center"/>
        </w:trPr>
        <w:tc>
          <w:tcPr>
            <w:tcW w:w="1856" w:type="dxa"/>
            <w:vAlign w:val="center"/>
          </w:tcPr>
          <w:p>
            <w:pPr>
              <w:autoSpaceDE w:val="0"/>
              <w:autoSpaceDN w:val="0"/>
              <w:adjustRightInd w:val="0"/>
              <w:snapToGrid w:val="0"/>
              <w:jc w:val="center"/>
              <w:rPr>
                <w:rFonts w:ascii="宋体" w:hAnsi="宋体" w:cs="宋体" w:hint="eastAsia"/>
                <w:kern w:val="0"/>
                <w:sz w:val="24"/>
              </w:rPr>
            </w:pPr>
            <w:r>
              <w:rPr>
                <w:rFonts w:ascii="宋体" w:hAnsi="宋体" w:cs="宋体" w:hint="eastAsia"/>
                <w:sz w:val="24"/>
              </w:rPr>
              <w:t>规划情况</w:t>
            </w:r>
          </w:p>
        </w:tc>
        <w:tc>
          <w:tcPr>
            <w:tcW w:w="7014" w:type="dxa"/>
            <w:gridSpan w:val="3"/>
            <w:vAlign w:val="center"/>
          </w:tcPr>
          <w:p>
            <w:pPr>
              <w:autoSpaceDE w:val="0"/>
              <w:autoSpaceDN w:val="0"/>
              <w:adjustRightInd w:val="0"/>
              <w:snapToGrid w:val="0"/>
              <w:jc w:val="center"/>
              <w:rPr>
                <w:rFonts w:ascii="宋体" w:hAnsi="宋体" w:cs="宋体"/>
                <w:kern w:val="0"/>
                <w:sz w:val="24"/>
              </w:rPr>
            </w:pPr>
            <w:r>
              <w:rPr>
                <w:rFonts w:ascii="宋体" w:hAnsi="宋体" w:cs="宋体" w:hint="eastAsia"/>
                <w:kern w:val="0"/>
                <w:sz w:val="24"/>
              </w:rPr>
              <w:t>无</w:t>
            </w:r>
          </w:p>
        </w:tc>
      </w:tr>
    </w:tbl>
    <w:p>
      <w:pPr>
        <w:sectPr>
          <w:footerReference w:type="even" r:id="rId6"/>
          <w:footerReference w:type="default" r:id="rId7"/>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1"/>
          <w:cols w:space="708"/>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56"/>
        <w:gridCol w:w="7014"/>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21"/>
          <w:jc w:val="center"/>
        </w:trPr>
        <w:tc>
          <w:tcPr>
            <w:tcW w:w="1856" w:type="dxa"/>
            <w:vAlign w:val="center"/>
          </w:tcPr>
          <w:p>
            <w:pPr>
              <w:adjustRightInd w:val="0"/>
              <w:snapToGrid w:val="0"/>
              <w:jc w:val="center"/>
              <w:rPr>
                <w:rFonts w:ascii="宋体" w:hAnsi="宋体" w:cs="宋体"/>
                <w:sz w:val="24"/>
              </w:rPr>
            </w:pPr>
            <w:r>
              <w:rPr>
                <w:rFonts w:ascii="宋体" w:hAnsi="宋体" w:cs="宋体" w:hint="eastAsia"/>
                <w:sz w:val="24"/>
              </w:rPr>
              <w:t>规划环境影响</w:t>
            </w:r>
          </w:p>
          <w:p>
            <w:pPr>
              <w:adjustRightInd w:val="0"/>
              <w:snapToGrid w:val="0"/>
              <w:jc w:val="center"/>
              <w:rPr>
                <w:rFonts w:ascii="宋体" w:hAnsi="宋体" w:cs="宋体" w:hint="eastAsia"/>
                <w:kern w:val="0"/>
                <w:sz w:val="24"/>
              </w:rPr>
            </w:pPr>
            <w:r>
              <w:rPr>
                <w:rFonts w:ascii="宋体" w:hAnsi="宋体" w:cs="宋体" w:hint="eastAsia"/>
                <w:sz w:val="24"/>
              </w:rPr>
              <w:t>评价情况</w:t>
            </w:r>
          </w:p>
        </w:tc>
        <w:tc>
          <w:tcPr>
            <w:tcW w:w="7014" w:type="dxa"/>
            <w:vAlign w:val="center"/>
          </w:tcPr>
          <w:p>
            <w:pPr>
              <w:autoSpaceDE w:val="0"/>
              <w:autoSpaceDN w:val="0"/>
              <w:adjustRightInd w:val="0"/>
              <w:snapToGrid w:val="0"/>
              <w:jc w:val="center"/>
              <w:rPr>
                <w:rFonts w:ascii="宋体" w:hAnsi="宋体" w:cs="宋体"/>
                <w:kern w:val="0"/>
                <w:sz w:val="24"/>
              </w:rPr>
            </w:pPr>
            <w:r>
              <w:rPr>
                <w:rFonts w:ascii="宋体" w:hAnsi="宋体" w:cs="宋体" w:hint="eastAsia"/>
                <w:kern w:val="0"/>
                <w:sz w:val="24"/>
              </w:rPr>
              <w:t>无</w:t>
            </w:r>
          </w:p>
        </w:tc>
      </w:tr>
      <w:tr>
        <w:tblPrEx>
          <w:tblW w:w="0" w:type="auto"/>
          <w:jc w:val="center"/>
          <w:tblLayout w:type="fixed"/>
          <w:tblCellMar>
            <w:top w:w="0" w:type="dxa"/>
            <w:left w:w="108" w:type="dxa"/>
            <w:bottom w:w="0" w:type="dxa"/>
            <w:right w:w="108" w:type="dxa"/>
          </w:tblCellMar>
          <w:tblLook w:val="0000"/>
        </w:tblPrEx>
        <w:trPr>
          <w:trHeight w:val="1021"/>
          <w:jc w:val="center"/>
        </w:trPr>
        <w:tc>
          <w:tcPr>
            <w:tcW w:w="1856" w:type="dxa"/>
            <w:vAlign w:val="center"/>
          </w:tcPr>
          <w:p>
            <w:pPr>
              <w:autoSpaceDE w:val="0"/>
              <w:autoSpaceDN w:val="0"/>
              <w:adjustRightInd w:val="0"/>
              <w:snapToGrid w:val="0"/>
              <w:jc w:val="center"/>
              <w:rPr>
                <w:rFonts w:ascii="宋体" w:hAnsi="宋体" w:cs="宋体"/>
                <w:kern w:val="0"/>
                <w:sz w:val="24"/>
              </w:rPr>
            </w:pPr>
            <w:r>
              <w:rPr>
                <w:rFonts w:ascii="宋体" w:hAnsi="宋体" w:cs="宋体" w:hint="eastAsia"/>
                <w:kern w:val="0"/>
                <w:sz w:val="24"/>
              </w:rPr>
              <w:t>规划及规划环境影响评价符合性分析</w:t>
            </w:r>
          </w:p>
        </w:tc>
        <w:tc>
          <w:tcPr>
            <w:tcW w:w="7014" w:type="dxa"/>
            <w:vAlign w:val="center"/>
          </w:tcPr>
          <w:p>
            <w:pPr>
              <w:spacing w:line="360" w:lineRule="auto"/>
              <w:jc w:val="center"/>
              <w:rPr>
                <w:rFonts w:ascii="宋体" w:hAnsi="宋体" w:cs="宋体"/>
                <w:kern w:val="0"/>
                <w:sz w:val="24"/>
              </w:rPr>
            </w:pPr>
            <w:r>
              <w:rPr>
                <w:rFonts w:ascii="宋体" w:hAnsi="宋体" w:cs="宋体" w:hint="eastAsia"/>
                <w:kern w:val="0"/>
                <w:sz w:val="24"/>
              </w:rPr>
              <w:t>无</w:t>
            </w:r>
          </w:p>
        </w:tc>
      </w:tr>
      <w:tr>
        <w:tblPrEx>
          <w:tblW w:w="0" w:type="auto"/>
          <w:jc w:val="center"/>
          <w:tblLayout w:type="fixed"/>
          <w:tblCellMar>
            <w:top w:w="0" w:type="dxa"/>
            <w:left w:w="108" w:type="dxa"/>
            <w:bottom w:w="0" w:type="dxa"/>
            <w:right w:w="108" w:type="dxa"/>
          </w:tblCellMar>
          <w:tblLook w:val="0000"/>
        </w:tblPrEx>
        <w:trPr>
          <w:trHeight w:val="1021"/>
          <w:jc w:val="center"/>
        </w:trPr>
        <w:tc>
          <w:tcPr>
            <w:tcW w:w="1856" w:type="dxa"/>
            <w:vAlign w:val="center"/>
          </w:tcPr>
          <w:p>
            <w:pPr>
              <w:autoSpaceDE w:val="0"/>
              <w:autoSpaceDN w:val="0"/>
              <w:adjustRightInd w:val="0"/>
              <w:snapToGrid w:val="0"/>
              <w:jc w:val="center"/>
              <w:rPr>
                <w:rFonts w:ascii="宋体" w:hAnsi="宋体" w:cs="宋体" w:hint="eastAsia"/>
                <w:kern w:val="0"/>
                <w:sz w:val="24"/>
              </w:rPr>
            </w:pPr>
            <w:r>
              <w:rPr>
                <w:rFonts w:ascii="宋体" w:hAnsi="宋体" w:cs="宋体" w:hint="eastAsia"/>
                <w:kern w:val="0"/>
                <w:sz w:val="24"/>
              </w:rPr>
              <w:t>其他符合性分析</w:t>
            </w:r>
          </w:p>
        </w:tc>
        <w:tc>
          <w:tcPr>
            <w:tcW w:w="7014" w:type="dxa"/>
            <w:vAlign w:val="center"/>
          </w:tcPr>
          <w:p>
            <w:pPr>
              <w:spacing w:line="360" w:lineRule="auto"/>
              <w:ind w:firstLine="480" w:firstLineChars="200"/>
              <w:jc w:val="left"/>
              <w:rPr>
                <w:b/>
                <w:bCs/>
                <w:sz w:val="24"/>
              </w:rPr>
            </w:pPr>
            <w:r>
              <w:rPr>
                <w:rFonts w:hint="eastAsia"/>
                <w:b/>
                <w:bCs/>
                <w:sz w:val="24"/>
              </w:rPr>
              <w:t>1、</w:t>
            </w:r>
            <w:r>
              <w:rPr>
                <w:b/>
                <w:bCs/>
                <w:sz w:val="24"/>
              </w:rPr>
              <w:t>产业政策符合性</w:t>
            </w:r>
          </w:p>
          <w:p>
            <w:pPr>
              <w:wordWrap w:val="0"/>
              <w:adjustRightInd w:val="0"/>
              <w:spacing w:line="360" w:lineRule="auto"/>
              <w:ind w:firstLine="480" w:firstLineChars="200"/>
              <w:jc w:val="left"/>
              <w:rPr>
                <w:sz w:val="24"/>
              </w:rPr>
            </w:pPr>
            <w:r>
              <w:rPr>
                <w:sz w:val="24"/>
              </w:rPr>
              <w:t>根据《产业结构调整目录》（2019年本），本项目属于鼓励类：</w:t>
            </w:r>
            <w:r>
              <w:rPr>
                <w:rFonts w:ascii="宋体" w:hAnsi="宋体"/>
                <w:sz w:val="24"/>
              </w:rPr>
              <w:t>“</w:t>
            </w:r>
            <w:r>
              <w:rPr>
                <w:sz w:val="24"/>
              </w:rPr>
              <w:t>十二、建材，11、利用矿山尾矿、建筑废弃物、工业废弃物、江河湖（渠）海淤泥以及农林剩余物等二次资源生产建材及其工艺技术装备开发</w:t>
            </w:r>
            <w:r>
              <w:rPr>
                <w:rFonts w:ascii="宋体" w:hAnsi="宋体"/>
                <w:sz w:val="24"/>
              </w:rPr>
              <w:t>”</w:t>
            </w:r>
            <w:r>
              <w:rPr>
                <w:sz w:val="24"/>
              </w:rPr>
              <w:t>项目。项目建设符合国家及陕西省现行的有关产业政策。根据国家2000年修订的《当前国家重点鼓励发展的产业、产品和技术目录》第二十七条第四款：</w:t>
            </w:r>
            <w:r>
              <w:rPr>
                <w:rFonts w:ascii="宋体" w:hAnsi="宋体"/>
                <w:sz w:val="24"/>
              </w:rPr>
              <w:t>“废弃物综合利用”</w:t>
            </w:r>
            <w:r>
              <w:rPr>
                <w:sz w:val="24"/>
              </w:rPr>
              <w:t>的要求，本项目完全符合国家产业政策要求，属于列为国家重点鼓励发展的产业和产品。</w:t>
            </w:r>
          </w:p>
          <w:p>
            <w:pPr>
              <w:wordWrap w:val="0"/>
              <w:adjustRightInd w:val="0"/>
              <w:spacing w:line="360" w:lineRule="auto"/>
              <w:ind w:firstLine="480" w:firstLineChars="200"/>
              <w:jc w:val="left"/>
              <w:rPr>
                <w:sz w:val="24"/>
              </w:rPr>
            </w:pPr>
            <w:r>
              <w:rPr>
                <w:sz w:val="24"/>
              </w:rPr>
              <w:t>本项目不在《陕西省限制投资类指导目录》（陕发改产业[2007]97号）之列，且项目已取得蒲城县</w:t>
            </w:r>
            <w:r>
              <w:rPr>
                <w:rFonts w:hint="eastAsia"/>
                <w:sz w:val="24"/>
                <w:lang w:val="en-US" w:eastAsia="zh-CN"/>
              </w:rPr>
              <w:t>行政审批服务局</w:t>
            </w:r>
            <w:r>
              <w:rPr>
                <w:sz w:val="24"/>
              </w:rPr>
              <w:t>关于本项目的备案确认书，项目代码：</w:t>
            </w:r>
            <w:r>
              <w:rPr>
                <w:rFonts w:hint="eastAsia"/>
                <w:sz w:val="24"/>
                <w:lang w:val="en-US" w:eastAsia="zh-CN"/>
              </w:rPr>
              <w:t>2012-610526-04-01-969283</w:t>
            </w:r>
            <w:r>
              <w:rPr>
                <w:sz w:val="24"/>
              </w:rPr>
              <w:t>。见附件2。</w:t>
            </w:r>
          </w:p>
          <w:p>
            <w:pPr>
              <w:adjustRightInd w:val="0"/>
              <w:snapToGrid w:val="0"/>
              <w:spacing w:line="372" w:lineRule="auto"/>
              <w:ind w:firstLine="480" w:firstLineChars="200"/>
              <w:rPr>
                <w:sz w:val="24"/>
              </w:rPr>
            </w:pPr>
            <w:r>
              <w:rPr>
                <w:sz w:val="24"/>
              </w:rPr>
              <w:t>因此，项目建设符合国家及陕西省现行的有关产业政策。</w:t>
            </w:r>
          </w:p>
          <w:p>
            <w:pPr>
              <w:spacing w:line="360" w:lineRule="auto"/>
              <w:ind w:firstLine="480" w:firstLineChars="200"/>
              <w:rPr>
                <w:rFonts w:ascii="Times New Roman" w:hAnsi="Times New Roman" w:cs="Times New Roman" w:hint="default"/>
                <w:b/>
                <w:bCs/>
                <w:color w:val="auto"/>
                <w:sz w:val="24"/>
              </w:rPr>
            </w:pPr>
            <w:r>
              <w:rPr>
                <w:rFonts w:ascii="Times New Roman" w:hAnsi="Times New Roman" w:cs="Times New Roman" w:hint="eastAsia"/>
                <w:b/>
                <w:bCs/>
                <w:color w:val="auto"/>
                <w:sz w:val="24"/>
                <w:szCs w:val="24"/>
                <w:lang w:val="en-US" w:eastAsia="zh-CN"/>
              </w:rPr>
              <w:t>2、</w:t>
            </w:r>
            <w:r>
              <w:rPr>
                <w:rFonts w:ascii="Times New Roman" w:hAnsi="Times New Roman" w:cs="Times New Roman" w:hint="default"/>
                <w:b/>
                <w:bCs/>
                <w:color w:val="auto"/>
                <w:sz w:val="24"/>
                <w:szCs w:val="24"/>
              </w:rPr>
              <w:t>选址可行性分析</w:t>
            </w:r>
          </w:p>
          <w:p>
            <w:pPr>
              <w:spacing w:after="0" w:line="360" w:lineRule="auto"/>
              <w:ind w:firstLine="480" w:firstLineChars="200"/>
              <w:rPr>
                <w:rFonts w:ascii="Times New Roman" w:hAnsi="Times New Roman" w:cs="Times New Roman" w:hint="default"/>
                <w:color w:val="auto"/>
                <w:sz w:val="24"/>
              </w:rPr>
            </w:pPr>
            <w:r>
              <w:rPr>
                <w:rFonts w:ascii="Times New Roman" w:hAnsi="Times New Roman" w:cs="Times New Roman" w:hint="default"/>
                <w:color w:val="auto"/>
                <w:sz w:val="24"/>
                <w:szCs w:val="24"/>
                <w:u w:val="none"/>
              </w:rPr>
              <w:t>本项目位于</w:t>
            </w:r>
            <w:r>
              <w:rPr>
                <w:rFonts w:ascii="Times New Roman" w:hAnsi="Times New Roman" w:cs="Times New Roman" w:hint="default"/>
                <w:color w:val="auto"/>
                <w:sz w:val="24"/>
                <w:szCs w:val="24"/>
                <w:u w:val="none"/>
                <w:lang w:val="en-US" w:eastAsia="zh-CN"/>
              </w:rPr>
              <w:t>渭南市</w:t>
            </w:r>
            <w:r>
              <w:rPr>
                <w:rFonts w:ascii="Times New Roman" w:hAnsi="Times New Roman" w:cs="Times New Roman" w:hint="eastAsia"/>
                <w:color w:val="auto"/>
                <w:sz w:val="24"/>
                <w:szCs w:val="24"/>
                <w:u w:val="none"/>
                <w:lang w:val="en-US" w:eastAsia="zh-CN"/>
              </w:rPr>
              <w:t>蒲城县兴镇兴北村</w:t>
            </w:r>
            <w:r>
              <w:rPr>
                <w:rFonts w:ascii="Times New Roman" w:hAnsi="Times New Roman" w:cs="Times New Roman" w:hint="default"/>
                <w:color w:val="auto"/>
                <w:sz w:val="24"/>
                <w:szCs w:val="24"/>
                <w:u w:val="none"/>
              </w:rPr>
              <w:t>，</w:t>
            </w:r>
            <w:r>
              <w:rPr>
                <w:rFonts w:ascii="Times New Roman" w:hAnsi="Times New Roman" w:cs="Times New Roman" w:hint="eastAsia"/>
                <w:color w:val="auto"/>
                <w:sz w:val="24"/>
                <w:szCs w:val="24"/>
                <w:u w:val="none"/>
                <w:lang w:val="en-US" w:eastAsia="zh-CN"/>
              </w:rPr>
              <w:t>已签订土地租赁承包合同（附件3），同时</w:t>
            </w:r>
            <w:r>
              <w:rPr>
                <w:rFonts w:ascii="Times New Roman" w:hAnsi="Times New Roman" w:cs="Times New Roman" w:hint="default"/>
                <w:color w:val="auto"/>
                <w:sz w:val="24"/>
                <w:szCs w:val="24"/>
                <w:u w:val="none"/>
                <w:lang w:val="en-US" w:eastAsia="zh-CN"/>
              </w:rPr>
              <w:t>已取得</w:t>
            </w:r>
            <w:r>
              <w:rPr>
                <w:rFonts w:ascii="Times New Roman" w:hAnsi="Times New Roman" w:cs="Times New Roman" w:hint="eastAsia"/>
                <w:color w:val="auto"/>
                <w:sz w:val="24"/>
                <w:szCs w:val="24"/>
                <w:u w:val="none"/>
                <w:lang w:val="en-US" w:eastAsia="zh-CN"/>
              </w:rPr>
              <w:t>蒲城县自然资源局关于本项目用地的预审意见（附件4）</w:t>
            </w:r>
            <w:r>
              <w:rPr>
                <w:rFonts w:ascii="Times New Roman" w:hAnsi="Times New Roman" w:cs="Times New Roman" w:hint="default"/>
                <w:color w:val="auto"/>
                <w:sz w:val="24"/>
                <w:szCs w:val="24"/>
                <w:u w:val="none"/>
                <w:lang w:val="en-US" w:eastAsia="zh-CN"/>
              </w:rPr>
              <w:t>，</w:t>
            </w:r>
            <w:r>
              <w:rPr>
                <w:rFonts w:ascii="Times New Roman" w:hAnsi="Times New Roman" w:cs="Times New Roman" w:hint="eastAsia"/>
                <w:color w:val="auto"/>
                <w:sz w:val="24"/>
                <w:szCs w:val="24"/>
                <w:u w:val="none"/>
                <w:lang w:val="en-US" w:eastAsia="zh-CN"/>
              </w:rPr>
              <w:t>蒲自然资预审[2021]38</w:t>
            </w:r>
            <w:r>
              <w:rPr>
                <w:rFonts w:ascii="Times New Roman" w:hAnsi="Times New Roman" w:cs="Times New Roman" w:hint="default"/>
                <w:color w:val="auto"/>
                <w:sz w:val="24"/>
                <w:szCs w:val="24"/>
                <w:u w:val="none"/>
                <w:lang w:val="en-US" w:eastAsia="zh-CN"/>
              </w:rPr>
              <w:t>号</w:t>
            </w:r>
            <w:r>
              <w:rPr>
                <w:rFonts w:ascii="Times New Roman" w:hAnsi="Times New Roman" w:cs="Times New Roman" w:hint="eastAsia"/>
                <w:color w:val="auto"/>
                <w:sz w:val="24"/>
                <w:szCs w:val="24"/>
                <w:u w:val="none"/>
                <w:lang w:val="en-US" w:eastAsia="zh-CN"/>
              </w:rPr>
              <w:t>，以</w:t>
            </w:r>
            <w:r>
              <w:rPr>
                <w:rFonts w:hint="eastAsia"/>
                <w:color w:val="auto"/>
                <w:sz w:val="24"/>
              </w:rPr>
              <w:t>及蒲城县城乡规划服务中心关于项目的规划选址</w:t>
            </w:r>
            <w:r>
              <w:rPr>
                <w:rFonts w:hint="eastAsia"/>
                <w:color w:val="auto"/>
                <w:sz w:val="24"/>
                <w:lang w:val="en-US" w:eastAsia="zh-CN"/>
              </w:rPr>
              <w:t>的初审</w:t>
            </w:r>
            <w:r>
              <w:rPr>
                <w:rFonts w:hint="eastAsia"/>
                <w:color w:val="auto"/>
                <w:sz w:val="24"/>
              </w:rPr>
              <w:t>意见</w:t>
            </w:r>
            <w:r>
              <w:rPr>
                <w:rFonts w:ascii="Times New Roman" w:hAnsi="Times New Roman" w:cs="Times New Roman" w:hint="eastAsia"/>
                <w:color w:val="auto"/>
                <w:sz w:val="24"/>
                <w:szCs w:val="24"/>
                <w:u w:val="none"/>
                <w:lang w:val="en-US" w:eastAsia="zh-CN"/>
              </w:rPr>
              <w:t>（附件5）</w:t>
            </w:r>
            <w:r>
              <w:rPr>
                <w:rFonts w:hint="eastAsia"/>
                <w:color w:val="auto"/>
                <w:sz w:val="24"/>
              </w:rPr>
              <w:t>，（蒲规函</w:t>
            </w:r>
            <w:r>
              <w:rPr>
                <w:rFonts w:hint="eastAsia"/>
                <w:color w:val="auto"/>
                <w:sz w:val="24"/>
                <w:lang w:val="en-US" w:eastAsia="zh-CN"/>
              </w:rPr>
              <w:t>[</w:t>
            </w:r>
            <w:r>
              <w:rPr>
                <w:rFonts w:hint="eastAsia"/>
                <w:color w:val="auto"/>
                <w:sz w:val="24"/>
              </w:rPr>
              <w:t>2021</w:t>
            </w:r>
            <w:r>
              <w:rPr>
                <w:rFonts w:hint="eastAsia"/>
                <w:color w:val="auto"/>
                <w:sz w:val="24"/>
                <w:lang w:val="en-US" w:eastAsia="zh-CN"/>
              </w:rPr>
              <w:t>]124</w:t>
            </w:r>
            <w:r>
              <w:rPr>
                <w:rFonts w:hint="eastAsia"/>
                <w:color w:val="auto"/>
                <w:sz w:val="24"/>
              </w:rPr>
              <w:t>号），项目占地类型为建设用地</w:t>
            </w:r>
            <w:r>
              <w:rPr>
                <w:rFonts w:ascii="Times New Roman" w:hAnsi="Times New Roman" w:cs="Times New Roman" w:hint="default"/>
                <w:color w:val="auto"/>
                <w:sz w:val="24"/>
                <w:szCs w:val="24"/>
                <w:u w:val="none"/>
              </w:rPr>
              <w:t>。项目所在地的电力、给水、道路、通讯等基础设施完善，</w:t>
            </w:r>
            <w:r>
              <w:rPr>
                <w:rFonts w:ascii="Times New Roman" w:hAnsi="Times New Roman" w:cs="Times New Roman" w:hint="default"/>
                <w:color w:val="auto"/>
                <w:sz w:val="24"/>
                <w:szCs w:val="24"/>
              </w:rPr>
              <w:t>项目评价范围内无自然保护区、风景名胜区、世界文化和自然遗产地、饮用水水源保护区、基本农田保护区等依法设立的各级各类保护区域和对建设项目产生的环境影响特别敏感的区域，不在国家、地方规划的重点生态功能区的敏感区域内。在项目运营期间，运营期产生的废水</w:t>
            </w:r>
          </w:p>
        </w:tc>
      </w:tr>
    </w:tbl>
    <w:p>
      <w:pPr>
        <w:sectPr>
          <w:footerReference w:type="even" r:id="rId8"/>
          <w:footerReference w:type="default" r:id="rId9"/>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2"/>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56"/>
        <w:gridCol w:w="7014"/>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21"/>
          <w:jc w:val="center"/>
        </w:trPr>
        <w:tc>
          <w:tcPr>
            <w:tcW w:w="1856" w:type="dxa"/>
            <w:vAlign w:val="center"/>
          </w:tcPr>
          <w:p/>
        </w:tc>
        <w:tc>
          <w:tcPr>
            <w:tcW w:w="7014" w:type="dxa"/>
            <w:vAlign w:val="center"/>
          </w:tcPr>
          <w:p>
            <w:pPr>
              <w:spacing w:before="0" w:line="360" w:lineRule="auto"/>
              <w:ind w:firstLine="480" w:firstLineChars="200"/>
              <w:rPr>
                <w:rFonts w:ascii="Times New Roman" w:hAnsi="Times New Roman" w:cs="Times New Roman" w:hint="default"/>
                <w:color w:val="auto"/>
                <w:sz w:val="24"/>
              </w:rPr>
            </w:pPr>
            <w:r>
              <w:rPr>
                <w:rFonts w:ascii="Times New Roman" w:hAnsi="Times New Roman" w:cs="Times New Roman" w:hint="eastAsia"/>
                <w:color w:val="auto"/>
                <w:sz w:val="24"/>
                <w:szCs w:val="24"/>
                <w:lang w:val="en-US" w:eastAsia="zh-CN"/>
              </w:rPr>
              <w:t>不外排</w:t>
            </w:r>
            <w:r>
              <w:rPr>
                <w:rFonts w:ascii="Times New Roman" w:hAnsi="Times New Roman" w:cs="Times New Roman" w:hint="default"/>
                <w:color w:val="auto"/>
                <w:sz w:val="24"/>
                <w:szCs w:val="24"/>
                <w:lang w:val="en-US" w:eastAsia="zh-CN"/>
              </w:rPr>
              <w:t>，</w:t>
            </w:r>
            <w:r>
              <w:rPr>
                <w:rFonts w:ascii="Times New Roman" w:hAnsi="Times New Roman" w:cs="Times New Roman" w:hint="default"/>
                <w:color w:val="auto"/>
                <w:sz w:val="24"/>
                <w:szCs w:val="24"/>
              </w:rPr>
              <w:t>厂界噪声满足《工业企业厂界环境噪声排放标准》（GB12348</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rPr>
              <w:t>2008）中2类标准，废气满足相应标准，固体废物合理处置。项目产生的各污染物均可做到达标排放，对周围环境影响不大，各环境要素基本能够满足相应的功能区划要求。</w:t>
            </w:r>
          </w:p>
          <w:p>
            <w:pPr>
              <w:spacing w:line="360" w:lineRule="auto"/>
              <w:ind w:firstLine="480" w:firstLineChars="200"/>
              <w:rPr>
                <w:rFonts w:hint="default"/>
              </w:rPr>
            </w:pPr>
            <w:r>
              <w:rPr>
                <w:rFonts w:ascii="Times New Roman" w:hAnsi="Times New Roman" w:cs="Times New Roman" w:hint="default"/>
                <w:bCs/>
                <w:color w:val="auto"/>
                <w:sz w:val="24"/>
                <w:szCs w:val="24"/>
              </w:rPr>
              <w:t>综上所述，</w:t>
            </w:r>
            <w:r>
              <w:rPr>
                <w:rFonts w:ascii="Times New Roman" w:hAnsi="Times New Roman" w:cs="Times New Roman" w:hint="default"/>
                <w:color w:val="auto"/>
                <w:sz w:val="24"/>
                <w:szCs w:val="24"/>
              </w:rPr>
              <w:t>在严格落实本报告提出的环保措施后，项目的建设和运行不会对外环境产生较大影响，从环境保护角度分析，选址可行。</w:t>
            </w:r>
          </w:p>
          <w:p>
            <w:pPr>
              <w:numPr>
                <w:ilvl w:val="0"/>
                <w:numId w:val="1"/>
              </w:numPr>
              <w:autoSpaceDE w:val="0"/>
              <w:autoSpaceDN w:val="0"/>
              <w:spacing w:line="360" w:lineRule="auto"/>
              <w:ind w:firstLine="480" w:firstLineChars="200"/>
              <w:jc w:val="left"/>
              <w:rPr>
                <w:b/>
                <w:kern w:val="0"/>
                <w:sz w:val="24"/>
              </w:rPr>
            </w:pPr>
            <w:r>
              <w:rPr>
                <w:b/>
                <w:kern w:val="0"/>
                <w:sz w:val="24"/>
              </w:rPr>
              <w:t>与</w:t>
            </w:r>
            <w:r>
              <w:rPr>
                <w:rFonts w:hint="eastAsia"/>
                <w:b/>
                <w:kern w:val="0"/>
                <w:sz w:val="24"/>
                <w:lang w:eastAsia="zh-CN"/>
              </w:rPr>
              <w:t>“</w:t>
            </w:r>
            <w:r>
              <w:rPr>
                <w:rFonts w:hint="eastAsia"/>
                <w:b/>
                <w:kern w:val="0"/>
                <w:sz w:val="24"/>
                <w:lang w:val="en-US" w:eastAsia="zh-CN"/>
              </w:rPr>
              <w:t>三线一单</w:t>
            </w:r>
            <w:r>
              <w:rPr>
                <w:rFonts w:hint="eastAsia"/>
                <w:b/>
                <w:kern w:val="0"/>
                <w:sz w:val="24"/>
                <w:lang w:eastAsia="zh-CN"/>
              </w:rPr>
              <w:t>”</w:t>
            </w:r>
            <w:r>
              <w:rPr>
                <w:b/>
                <w:kern w:val="0"/>
                <w:sz w:val="24"/>
              </w:rPr>
              <w:t>符合性分析</w:t>
            </w:r>
          </w:p>
          <w:p>
            <w:pPr>
              <w:keepNext w:val="0"/>
              <w:keepLines w:val="0"/>
              <w:pageBreakBefore w:val="0"/>
              <w:widowControl w:val="0"/>
              <w:numPr>
                <w:ilvl w:val="0"/>
                <w:numId w:val="2"/>
              </w:numPr>
              <w:kinsoku/>
              <w:wordWrap/>
              <w:overflowPunct/>
              <w:topLinePunct w:val="0"/>
              <w:autoSpaceDE w:val="0"/>
              <w:autoSpaceDN w:val="0"/>
              <w:bidi w:val="0"/>
              <w:adjustRightInd/>
              <w:snapToGrid/>
              <w:spacing w:line="360" w:lineRule="auto"/>
              <w:ind w:firstLine="480" w:firstLineChars="200"/>
              <w:jc w:val="left"/>
              <w:textAlignment w:val="auto"/>
              <w:rPr>
                <w:rFonts w:ascii="Times New Roman" w:hAnsi="Times New Roman" w:cs="Times New Roman" w:hint="eastAsia"/>
                <w:color w:val="FF0000"/>
                <w:sz w:val="24"/>
                <w:u w:val="none"/>
              </w:rPr>
            </w:pPr>
            <w:r>
              <w:rPr>
                <w:rFonts w:hint="eastAsia"/>
                <w:b w:val="0"/>
                <w:bCs/>
                <w:color w:val="FF0000"/>
                <w:kern w:val="0"/>
                <w:sz w:val="24"/>
                <w:szCs w:val="24"/>
                <w:lang w:val="zh-CN" w:eastAsia="zh-CN"/>
              </w:rPr>
              <w:t>生态保护红线：</w:t>
            </w:r>
            <w:r>
              <w:rPr>
                <w:rFonts w:hint="eastAsia"/>
                <w:b w:val="0"/>
                <w:bCs/>
                <w:color w:val="FF0000"/>
                <w:kern w:val="0"/>
                <w:sz w:val="24"/>
                <w:szCs w:val="24"/>
                <w:lang w:val="en-US" w:eastAsia="zh-CN"/>
              </w:rPr>
              <w:t>根据</w:t>
            </w:r>
            <w:r>
              <w:rPr>
                <w:rFonts w:hint="eastAsia"/>
                <w:b w:val="0"/>
                <w:bCs/>
                <w:color w:val="FF0000"/>
                <w:kern w:val="0"/>
                <w:sz w:val="24"/>
                <w:szCs w:val="24"/>
                <w:lang w:val="zh-CN" w:eastAsia="zh-CN"/>
              </w:rPr>
              <w:t>《渭南市生态环境准入清单》、《渭南市区域空间生态环境评价</w:t>
            </w:r>
            <w:r>
              <w:rPr>
                <w:rFonts w:hint="eastAsia"/>
                <w:b w:val="0"/>
                <w:bCs/>
                <w:color w:val="FF0000"/>
                <w:kern w:val="0"/>
                <w:sz w:val="24"/>
                <w:szCs w:val="24"/>
                <w:lang w:val="zh-CN" w:eastAsia="zh-CN"/>
              </w:rPr>
              <w:t>“</w:t>
            </w:r>
            <w:r>
              <w:rPr>
                <w:rFonts w:hint="eastAsia"/>
                <w:b w:val="0"/>
                <w:bCs/>
                <w:color w:val="FF0000"/>
                <w:kern w:val="0"/>
                <w:sz w:val="24"/>
                <w:szCs w:val="24"/>
                <w:lang w:val="zh-CN" w:eastAsia="zh-CN"/>
              </w:rPr>
              <w:t>三线一单</w:t>
            </w:r>
            <w:r>
              <w:rPr>
                <w:rFonts w:hint="eastAsia"/>
                <w:b w:val="0"/>
                <w:bCs/>
                <w:color w:val="FF0000"/>
                <w:kern w:val="0"/>
                <w:sz w:val="24"/>
                <w:szCs w:val="24"/>
                <w:lang w:val="zh-CN" w:eastAsia="zh-CN"/>
              </w:rPr>
              <w:t>”</w:t>
            </w:r>
            <w:r>
              <w:rPr>
                <w:rFonts w:hint="eastAsia"/>
                <w:b w:val="0"/>
                <w:bCs/>
                <w:color w:val="FF0000"/>
                <w:kern w:val="0"/>
                <w:sz w:val="24"/>
                <w:szCs w:val="24"/>
                <w:lang w:val="zh-CN" w:eastAsia="zh-CN"/>
              </w:rPr>
              <w:t>生态空间及环境管控单元》：</w:t>
            </w:r>
            <w:r>
              <w:rPr>
                <w:rFonts w:hint="eastAsia"/>
                <w:b w:val="0"/>
                <w:bCs/>
                <w:color w:val="FF0000"/>
                <w:kern w:val="0"/>
                <w:sz w:val="24"/>
                <w:szCs w:val="24"/>
                <w:lang w:val="en-US" w:eastAsia="zh-CN"/>
              </w:rPr>
              <w:t>渭</w:t>
            </w:r>
            <w:r>
              <w:rPr>
                <w:rFonts w:hint="eastAsia"/>
                <w:b w:val="0"/>
                <w:bCs/>
                <w:color w:val="FF0000"/>
                <w:kern w:val="0"/>
                <w:sz w:val="24"/>
                <w:szCs w:val="24"/>
                <w:lang w:val="zh-CN" w:eastAsia="zh-CN"/>
              </w:rPr>
              <w:t>南市生态保护红线面积 1380.85 平方千米，占全市国土面积的 12.06%，主要分布于秦岭山区、黄河沿线、桥山和黄龙山一带，涉及水源涵养、水土保持、生物多样性维护区。</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left"/>
              <w:textAlignment w:val="auto"/>
              <w:rPr>
                <w:color w:val="FF0000"/>
              </w:rPr>
            </w:pPr>
            <w:r>
              <w:rPr>
                <w:rFonts w:ascii="Times New Roman" w:hAnsi="Times New Roman" w:cs="Times New Roman" w:hint="default"/>
                <w:color w:val="FF0000"/>
                <w:sz w:val="24"/>
                <w:szCs w:val="24"/>
                <w:u w:val="none"/>
              </w:rPr>
              <w:t>本项目位于</w:t>
            </w:r>
            <w:r>
              <w:rPr>
                <w:rFonts w:ascii="Times New Roman" w:hAnsi="Times New Roman" w:cs="Times New Roman" w:hint="default"/>
                <w:color w:val="FF0000"/>
                <w:sz w:val="24"/>
                <w:szCs w:val="24"/>
                <w:u w:val="none"/>
                <w:lang w:val="en-US" w:eastAsia="zh-CN"/>
              </w:rPr>
              <w:t>渭南市</w:t>
            </w:r>
            <w:r>
              <w:rPr>
                <w:rFonts w:ascii="Times New Roman" w:hAnsi="Times New Roman" w:cs="Times New Roman" w:hint="eastAsia"/>
                <w:color w:val="FF0000"/>
                <w:sz w:val="24"/>
                <w:szCs w:val="24"/>
                <w:u w:val="none"/>
                <w:lang w:val="en-US" w:eastAsia="zh-CN"/>
              </w:rPr>
              <w:t>蒲城县兴镇兴北村</w:t>
            </w:r>
            <w:r>
              <w:rPr>
                <w:rFonts w:ascii="Times New Roman" w:hAnsi="Times New Roman" w:cs="Times New Roman" w:hint="eastAsia"/>
                <w:color w:val="FF0000"/>
                <w:sz w:val="24"/>
                <w:szCs w:val="24"/>
                <w:u w:val="none"/>
                <w:lang w:val="en-US" w:eastAsia="zh-CN"/>
              </w:rPr>
              <w:t>，</w:t>
            </w:r>
            <w:r>
              <w:rPr>
                <w:rFonts w:ascii="Times New Roman" w:hAnsi="Times New Roman" w:cs="Times New Roman" w:hint="default"/>
                <w:color w:val="FF0000"/>
                <w:sz w:val="24"/>
                <w:szCs w:val="24"/>
                <w:u w:val="none"/>
                <w:lang w:val="en-US" w:eastAsia="zh-CN"/>
              </w:rPr>
              <w:t>已取得</w:t>
            </w:r>
            <w:r>
              <w:rPr>
                <w:rFonts w:ascii="Times New Roman" w:hAnsi="Times New Roman" w:cs="Times New Roman" w:hint="eastAsia"/>
                <w:color w:val="FF0000"/>
                <w:sz w:val="24"/>
                <w:szCs w:val="24"/>
                <w:u w:val="none"/>
                <w:lang w:val="en-US" w:eastAsia="zh-CN"/>
              </w:rPr>
              <w:t>蒲城县自然资源局关于本项目用地的预审意见（附件4）</w:t>
            </w:r>
            <w:r>
              <w:rPr>
                <w:rFonts w:ascii="Times New Roman" w:hAnsi="Times New Roman" w:cs="Times New Roman" w:hint="default"/>
                <w:color w:val="FF0000"/>
                <w:sz w:val="24"/>
                <w:szCs w:val="24"/>
                <w:u w:val="none"/>
                <w:lang w:val="en-US" w:eastAsia="zh-CN"/>
              </w:rPr>
              <w:t>，</w:t>
            </w:r>
            <w:r>
              <w:rPr>
                <w:rFonts w:ascii="Times New Roman" w:hAnsi="Times New Roman" w:cs="Times New Roman" w:hint="eastAsia"/>
                <w:color w:val="FF0000"/>
                <w:sz w:val="24"/>
                <w:szCs w:val="24"/>
                <w:u w:val="none"/>
                <w:lang w:val="en-US" w:eastAsia="zh-CN"/>
              </w:rPr>
              <w:t>蒲自然资预审[2021]38</w:t>
            </w:r>
            <w:r>
              <w:rPr>
                <w:rFonts w:ascii="Times New Roman" w:hAnsi="Times New Roman" w:cs="Times New Roman" w:hint="default"/>
                <w:color w:val="FF0000"/>
                <w:sz w:val="24"/>
                <w:szCs w:val="24"/>
                <w:u w:val="none"/>
                <w:lang w:val="en-US" w:eastAsia="zh-CN"/>
              </w:rPr>
              <w:t>号</w:t>
            </w:r>
            <w:r>
              <w:rPr>
                <w:rFonts w:ascii="Times New Roman" w:hAnsi="Times New Roman" w:cs="Times New Roman" w:hint="eastAsia"/>
                <w:color w:val="FF0000"/>
                <w:sz w:val="24"/>
                <w:szCs w:val="24"/>
                <w:u w:val="none"/>
                <w:lang w:val="en-US" w:eastAsia="zh-CN"/>
              </w:rPr>
              <w:t>，以</w:t>
            </w:r>
            <w:r>
              <w:rPr>
                <w:rFonts w:hint="eastAsia"/>
                <w:color w:val="FF0000"/>
                <w:sz w:val="24"/>
              </w:rPr>
              <w:t>及蒲城县城乡规划服务中心关于项目的规划选址</w:t>
            </w:r>
            <w:r>
              <w:rPr>
                <w:rFonts w:hint="eastAsia"/>
                <w:color w:val="FF0000"/>
                <w:sz w:val="24"/>
                <w:lang w:val="en-US" w:eastAsia="zh-CN"/>
              </w:rPr>
              <w:t>的初审</w:t>
            </w:r>
            <w:r>
              <w:rPr>
                <w:rFonts w:hint="eastAsia"/>
                <w:color w:val="FF0000"/>
                <w:sz w:val="24"/>
              </w:rPr>
              <w:t>意见（蒲规函</w:t>
            </w:r>
            <w:r>
              <w:rPr>
                <w:rFonts w:hint="eastAsia"/>
                <w:color w:val="FF0000"/>
                <w:sz w:val="24"/>
                <w:lang w:val="en-US" w:eastAsia="zh-CN"/>
              </w:rPr>
              <w:t>[</w:t>
            </w:r>
            <w:r>
              <w:rPr>
                <w:rFonts w:hint="eastAsia"/>
                <w:color w:val="FF0000"/>
                <w:sz w:val="24"/>
              </w:rPr>
              <w:t>2021</w:t>
            </w:r>
            <w:r>
              <w:rPr>
                <w:rFonts w:hint="eastAsia"/>
                <w:color w:val="FF0000"/>
                <w:sz w:val="24"/>
                <w:lang w:val="en-US" w:eastAsia="zh-CN"/>
              </w:rPr>
              <w:t>]124</w:t>
            </w:r>
            <w:r>
              <w:rPr>
                <w:rFonts w:hint="eastAsia"/>
                <w:color w:val="FF0000"/>
                <w:sz w:val="24"/>
              </w:rPr>
              <w:t>号）</w:t>
            </w:r>
            <w:r>
              <w:rPr>
                <w:rFonts w:hint="eastAsia"/>
                <w:color w:val="FF0000"/>
                <w:sz w:val="24"/>
                <w:lang w:eastAsia="zh-CN"/>
              </w:rPr>
              <w:t>，</w:t>
            </w:r>
            <w:r>
              <w:rPr>
                <w:rFonts w:ascii="Times New Roman" w:hAnsi="Times New Roman" w:cs="Times New Roman" w:hint="eastAsia"/>
                <w:color w:val="FF0000"/>
                <w:sz w:val="24"/>
                <w:szCs w:val="24"/>
                <w:u w:val="none"/>
                <w:lang w:val="en-US" w:eastAsia="zh-CN"/>
              </w:rPr>
              <w:t>本项目生活污水经化粪池处理清掏肥田不外排，生产废水循环利用，不外排，满足渭南市生态环境分区管控准入要求中的水环境城镇生活污染重点管控区、农用地优先保护区的管控要求。</w:t>
            </w:r>
          </w:p>
          <w:p>
            <w:pPr>
              <w:keepNext w:val="0"/>
              <w:keepLines w:val="0"/>
              <w:pageBreakBefore w:val="0"/>
              <w:widowControl w:val="0"/>
              <w:numPr>
                <w:ilvl w:val="0"/>
                <w:numId w:val="2"/>
              </w:numPr>
              <w:kinsoku/>
              <w:wordWrap/>
              <w:overflowPunct/>
              <w:topLinePunct w:val="0"/>
              <w:autoSpaceDE w:val="0"/>
              <w:autoSpaceDN w:val="0"/>
              <w:bidi w:val="0"/>
              <w:adjustRightInd/>
              <w:snapToGrid/>
              <w:spacing w:after="0" w:line="360" w:lineRule="auto"/>
              <w:ind w:left="0" w:firstLine="480" w:leftChars="0" w:firstLineChars="200"/>
              <w:jc w:val="left"/>
              <w:textAlignment w:val="auto"/>
              <w:rPr>
                <w:rFonts w:ascii="Times New Roman" w:hAnsi="Times New Roman" w:cs="Times New Roman" w:hint="eastAsia"/>
                <w:color w:val="auto"/>
                <w:sz w:val="24"/>
                <w:u w:val="none"/>
              </w:rPr>
            </w:pPr>
            <w:r>
              <w:rPr>
                <w:rFonts w:ascii="Times New Roman" w:hAnsi="Times New Roman" w:cs="Times New Roman" w:hint="eastAsia"/>
                <w:color w:val="000000"/>
                <w:sz w:val="24"/>
                <w:szCs w:val="24"/>
                <w:u w:val="none"/>
                <w:lang w:val="en-US" w:eastAsia="zh-CN"/>
              </w:rPr>
              <w:t>环境质量底线：推动有色金</w:t>
            </w:r>
            <w:r>
              <w:rPr>
                <w:rFonts w:ascii="Times New Roman" w:hAnsi="Times New Roman" w:cs="Times New Roman" w:hint="eastAsia"/>
                <w:color w:val="auto"/>
                <w:sz w:val="24"/>
                <w:szCs w:val="24"/>
                <w:u w:val="none"/>
                <w:lang w:val="en-US" w:eastAsia="zh-CN"/>
              </w:rPr>
              <w:t>属产业结构调整，淘汰落后产能，发展绿色矿山。大力推进节能减排，淘汰落后产能，建立严格的环境准入制度、重污染企业退出机制和工业增加值污染物产生量、排放量评价制度。区域环境要素功能规划为《环境空气质量标准》（GB</w:t>
            </w:r>
          </w:p>
        </w:tc>
      </w:tr>
    </w:tbl>
    <w:p>
      <w:pPr>
        <w:sectPr>
          <w:footerReference w:type="even" r:id="rId10"/>
          <w:footerReference w:type="default" r:id="rId11"/>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3"/>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56"/>
        <w:gridCol w:w="7014"/>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21"/>
          <w:jc w:val="center"/>
        </w:trPr>
        <w:tc>
          <w:tcPr>
            <w:tcW w:w="1856" w:type="dxa"/>
            <w:vAlign w:val="center"/>
          </w:tcPr>
          <w:p/>
        </w:tc>
        <w:tc>
          <w:tcPr>
            <w:tcW w:w="7014" w:type="dxa"/>
            <w:vAlign w:val="center"/>
          </w:tcPr>
          <w:p>
            <w:pPr>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firstLine="480" w:firstLineChars="200"/>
              <w:jc w:val="left"/>
              <w:textAlignment w:val="auto"/>
              <w:rPr>
                <w:rFonts w:ascii="Times New Roman" w:hAnsi="Times New Roman" w:cs="Times New Roman" w:hint="eastAsia"/>
                <w:color w:val="auto"/>
                <w:sz w:val="24"/>
                <w:u w:val="none"/>
              </w:rPr>
            </w:pPr>
            <w:r>
              <w:rPr>
                <w:rFonts w:ascii="Times New Roman" w:hAnsi="Times New Roman" w:cs="Times New Roman" w:hint="eastAsia"/>
                <w:color w:val="auto"/>
                <w:sz w:val="24"/>
                <w:szCs w:val="24"/>
                <w:u w:val="none"/>
                <w:lang w:val="en-US" w:eastAsia="zh-CN"/>
              </w:rPr>
              <w:t xml:space="preserve"> 3095-2012）二类功能区、《地表水环境质量标准》（GB3838-2002）II类水域标准、《地下水环境质量标准》（GB14848-2017）III类水质标准、《声环境质量标准》（GB3096-2008）2类声环境功能区、《土壤环境质量建设用地土壤污染风险管控标准》（GB36600-2018）二类用地的筛选值、《土壤环境质量农用地土壤污染风险管控标准》（GB15618-2018）中土壤污染风险筛选值确定环境质量底线指标。</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420" w:leftChars="200"/>
              <w:jc w:val="left"/>
              <w:textAlignment w:val="auto"/>
              <w:rPr>
                <w:rFonts w:ascii="Times New Roman" w:hAnsi="Times New Roman" w:cs="Times New Roman" w:hint="eastAsia"/>
                <w:color w:val="auto"/>
                <w:sz w:val="24"/>
                <w:u w:val="none"/>
              </w:rPr>
            </w:pPr>
            <w:r>
              <w:rPr>
                <w:rFonts w:ascii="Times New Roman" w:hAnsi="Times New Roman" w:cs="Times New Roman" w:hint="eastAsia"/>
                <w:color w:val="auto"/>
                <w:sz w:val="24"/>
                <w:szCs w:val="24"/>
                <w:u w:val="none"/>
                <w:lang w:val="en-US" w:eastAsia="zh-CN"/>
              </w:rPr>
              <w:t>根据本文</w:t>
            </w:r>
            <w:r>
              <w:rPr>
                <w:rFonts w:ascii="Times New Roman" w:hAnsi="Times New Roman" w:cs="Times New Roman" w:hint="eastAsia"/>
                <w:color w:val="auto"/>
                <w:sz w:val="24"/>
                <w:szCs w:val="24"/>
                <w:u w:val="none"/>
                <w:lang w:val="en-US" w:eastAsia="zh-CN"/>
              </w:rPr>
              <w:t>“</w:t>
            </w:r>
            <w:r>
              <w:rPr>
                <w:rFonts w:ascii="Times New Roman" w:hAnsi="Times New Roman" w:cs="Times New Roman" w:hint="eastAsia"/>
                <w:color w:val="auto"/>
                <w:sz w:val="24"/>
                <w:szCs w:val="24"/>
                <w:u w:val="none"/>
                <w:lang w:val="en-US" w:eastAsia="zh-CN"/>
              </w:rPr>
              <w:t>区域环境环境质量现状</w:t>
            </w:r>
            <w:r>
              <w:rPr>
                <w:rFonts w:ascii="Times New Roman" w:hAnsi="Times New Roman" w:cs="Times New Roman" w:hint="eastAsia"/>
                <w:color w:val="auto"/>
                <w:sz w:val="24"/>
                <w:szCs w:val="24"/>
                <w:u w:val="none"/>
                <w:lang w:val="en-US" w:eastAsia="zh-CN"/>
              </w:rPr>
              <w:t>”</w:t>
            </w:r>
            <w:r>
              <w:rPr>
                <w:rFonts w:ascii="Times New Roman" w:hAnsi="Times New Roman" w:cs="Times New Roman" w:hint="eastAsia"/>
                <w:color w:val="auto"/>
                <w:sz w:val="24"/>
                <w:szCs w:val="24"/>
                <w:u w:val="none"/>
                <w:lang w:val="en-US" w:eastAsia="zh-CN"/>
              </w:rPr>
              <w:t>，本项目所处区域各环</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left"/>
              <w:textAlignment w:val="auto"/>
              <w:rPr>
                <w:rFonts w:ascii="Times New Roman" w:hAnsi="Times New Roman" w:cs="Times New Roman" w:hint="eastAsia"/>
                <w:color w:val="auto"/>
                <w:sz w:val="24"/>
                <w:u w:val="none"/>
              </w:rPr>
            </w:pPr>
            <w:r>
              <w:rPr>
                <w:rFonts w:ascii="Times New Roman" w:hAnsi="Times New Roman" w:cs="Times New Roman" w:hint="eastAsia"/>
                <w:color w:val="auto"/>
                <w:sz w:val="24"/>
                <w:szCs w:val="24"/>
                <w:u w:val="none"/>
                <w:lang w:val="en-US" w:eastAsia="zh-CN"/>
              </w:rPr>
              <w:t>境要素均满足相关功能区划要求，本项目生产过程采取相关污染防治、风险防范等措施后，对区域环境影响较小，不会改变区域环境功能。</w:t>
            </w:r>
          </w:p>
          <w:p>
            <w:pPr>
              <w:keepNext w:val="0"/>
              <w:keepLines w:val="0"/>
              <w:pageBreakBefore w:val="0"/>
              <w:widowControl w:val="0"/>
              <w:numPr>
                <w:ilvl w:val="0"/>
                <w:numId w:val="4"/>
              </w:numPr>
              <w:kinsoku/>
              <w:wordWrap/>
              <w:overflowPunct/>
              <w:topLinePunct w:val="0"/>
              <w:autoSpaceDE w:val="0"/>
              <w:autoSpaceDN w:val="0"/>
              <w:bidi w:val="0"/>
              <w:adjustRightInd/>
              <w:snapToGrid/>
              <w:spacing w:line="360" w:lineRule="auto"/>
              <w:ind w:left="0" w:firstLine="480" w:leftChars="0" w:firstLineChars="200"/>
              <w:jc w:val="left"/>
              <w:textAlignment w:val="auto"/>
              <w:rPr>
                <w:rFonts w:ascii="Times New Roman" w:hAnsi="Times New Roman" w:cs="Times New Roman" w:hint="eastAsia"/>
                <w:color w:val="auto"/>
                <w:sz w:val="24"/>
                <w:u w:val="none"/>
              </w:rPr>
            </w:pPr>
            <w:r>
              <w:rPr>
                <w:rFonts w:ascii="Times New Roman" w:hAnsi="Times New Roman" w:cs="Times New Roman" w:hint="eastAsia"/>
                <w:color w:val="auto"/>
                <w:sz w:val="24"/>
                <w:szCs w:val="24"/>
                <w:u w:val="none"/>
                <w:lang w:val="en-US" w:eastAsia="zh-CN"/>
              </w:rPr>
              <w:t>资源利用上线：针对不同地区、不同类型重点管控区的特点，还要针对性的对各用水行业采取相应的措施，实现水资源承载能力支撑经济社会持续发展的目标。按照煤炭集中使用、清洁利用的原则，重点削减非电力用煤，提高电力用煤比例。</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left"/>
              <w:textAlignment w:val="auto"/>
              <w:rPr>
                <w:rFonts w:ascii="Times New Roman" w:hAnsi="Times New Roman" w:cs="Times New Roman" w:hint="eastAsia"/>
                <w:color w:val="auto"/>
                <w:sz w:val="24"/>
                <w:u w:val="none"/>
              </w:rPr>
            </w:pPr>
            <w:r>
              <w:rPr>
                <w:rFonts w:ascii="Times New Roman" w:hAnsi="Times New Roman" w:cs="Times New Roman" w:hint="eastAsia"/>
                <w:color w:val="auto"/>
                <w:sz w:val="24"/>
                <w:szCs w:val="24"/>
                <w:u w:val="none"/>
                <w:lang w:val="en-US" w:eastAsia="zh-CN"/>
              </w:rPr>
              <w:t>本项目主要利用矿山开采废石进行生产，可有限提高资源的利用效率，生产、生活不用煤、产生的各类废水均循环利用，区域水资源、土地资源可满足项目实施要求。</w:t>
            </w:r>
          </w:p>
          <w:p>
            <w:pPr>
              <w:keepNext w:val="0"/>
              <w:keepLines w:val="0"/>
              <w:pageBreakBefore w:val="0"/>
              <w:widowControl w:val="0"/>
              <w:numPr>
                <w:ilvl w:val="0"/>
                <w:numId w:val="4"/>
              </w:numPr>
              <w:kinsoku/>
              <w:wordWrap/>
              <w:overflowPunct/>
              <w:topLinePunct w:val="0"/>
              <w:autoSpaceDE w:val="0"/>
              <w:autoSpaceDN w:val="0"/>
              <w:bidi w:val="0"/>
              <w:adjustRightInd/>
              <w:snapToGrid/>
              <w:spacing w:line="360" w:lineRule="auto"/>
              <w:ind w:left="0" w:firstLine="480" w:leftChars="0" w:firstLineChars="200"/>
              <w:jc w:val="left"/>
              <w:textAlignment w:val="auto"/>
              <w:rPr>
                <w:rFonts w:ascii="Times New Roman" w:hAnsi="Times New Roman" w:cs="Times New Roman" w:hint="eastAsia"/>
                <w:color w:val="FF0000"/>
                <w:sz w:val="24"/>
                <w:highlight w:val="none"/>
                <w:u w:val="none"/>
              </w:rPr>
            </w:pPr>
            <w:r>
              <w:rPr>
                <w:rFonts w:ascii="Times New Roman" w:hAnsi="Times New Roman" w:cs="Times New Roman" w:hint="eastAsia"/>
                <w:color w:val="FF0000"/>
                <w:sz w:val="24"/>
                <w:szCs w:val="24"/>
                <w:highlight w:val="none"/>
                <w:u w:val="none"/>
                <w:lang w:val="en-US" w:eastAsia="zh-CN"/>
              </w:rPr>
              <w:t>产业准入负面清单：</w:t>
            </w:r>
            <w:r>
              <w:rPr>
                <w:rFonts w:ascii="Times New Roman" w:hAnsi="Times New Roman" w:cs="Times New Roman" w:hint="eastAsia"/>
                <w:color w:val="FF0000"/>
                <w:sz w:val="24"/>
                <w:szCs w:val="24"/>
                <w:highlight w:val="none"/>
                <w:u w:val="none"/>
                <w:lang w:val="en-US" w:eastAsia="zh-CN"/>
              </w:rPr>
              <w:t>《陕西省国家重点生态功能区产业准入负面清单（试行）》、《蒲城县生态环境准入清单》</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420" w:leftChars="200"/>
              <w:jc w:val="left"/>
              <w:textAlignment w:val="auto"/>
              <w:rPr>
                <w:rFonts w:ascii="Times New Roman" w:hAnsi="Times New Roman" w:cs="Times New Roman" w:hint="eastAsia"/>
                <w:color w:val="FF0000"/>
                <w:sz w:val="24"/>
                <w:highlight w:val="none"/>
                <w:u w:val="none"/>
              </w:rPr>
            </w:pPr>
            <w:r>
              <w:rPr>
                <w:rFonts w:ascii="Times New Roman" w:hAnsi="Times New Roman" w:cs="Times New Roman" w:hint="default"/>
                <w:color w:val="FF0000"/>
                <w:sz w:val="24"/>
                <w:szCs w:val="24"/>
                <w:highlight w:val="none"/>
                <w:u w:val="none"/>
              </w:rPr>
              <w:t>本项目位于</w:t>
            </w:r>
            <w:r>
              <w:rPr>
                <w:rFonts w:ascii="Times New Roman" w:hAnsi="Times New Roman" w:cs="Times New Roman" w:hint="default"/>
                <w:color w:val="FF0000"/>
                <w:sz w:val="24"/>
                <w:szCs w:val="24"/>
                <w:highlight w:val="none"/>
                <w:u w:val="none"/>
                <w:lang w:val="en-US" w:eastAsia="zh-CN"/>
              </w:rPr>
              <w:t>渭南市</w:t>
            </w:r>
            <w:r>
              <w:rPr>
                <w:rFonts w:ascii="Times New Roman" w:hAnsi="Times New Roman" w:cs="Times New Roman" w:hint="eastAsia"/>
                <w:color w:val="FF0000"/>
                <w:sz w:val="24"/>
                <w:szCs w:val="24"/>
                <w:highlight w:val="none"/>
                <w:u w:val="none"/>
                <w:lang w:val="en-US" w:eastAsia="zh-CN"/>
              </w:rPr>
              <w:t>蒲城县兴镇兴北村</w:t>
            </w:r>
            <w:r>
              <w:rPr>
                <w:rFonts w:ascii="Times New Roman" w:hAnsi="Times New Roman" w:cs="Times New Roman" w:hint="eastAsia"/>
                <w:color w:val="FF0000"/>
                <w:sz w:val="24"/>
                <w:szCs w:val="24"/>
                <w:highlight w:val="none"/>
                <w:u w:val="none"/>
                <w:lang w:val="en-US" w:eastAsia="zh-CN"/>
              </w:rPr>
              <w:t>，属于陕西省渭南市</w:t>
            </w:r>
            <w:r>
              <w:rPr>
                <w:rFonts w:ascii="Times New Roman" w:hAnsi="Times New Roman" w:cs="Times New Roman" w:hint="eastAsia"/>
                <w:color w:val="FF0000"/>
                <w:sz w:val="24"/>
                <w:szCs w:val="24"/>
                <w:highlight w:val="none"/>
                <w:u w:val="none"/>
                <w:lang w:val="en-US" w:eastAsia="zh-CN"/>
              </w:rPr>
              <w:t>蒲城</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left"/>
              <w:textAlignment w:val="auto"/>
              <w:rPr>
                <w:rFonts w:ascii="Times New Roman" w:hAnsi="Times New Roman" w:cs="Times New Roman" w:hint="eastAsia"/>
                <w:color w:val="FF0000"/>
                <w:sz w:val="24"/>
                <w:highlight w:val="none"/>
                <w:u w:val="none"/>
              </w:rPr>
            </w:pPr>
            <w:r>
              <w:rPr>
                <w:rFonts w:ascii="Times New Roman" w:hAnsi="Times New Roman" w:cs="Times New Roman" w:hint="eastAsia"/>
                <w:color w:val="FF0000"/>
                <w:sz w:val="24"/>
                <w:szCs w:val="24"/>
                <w:highlight w:val="none"/>
                <w:u w:val="none"/>
                <w:lang w:val="en-US" w:eastAsia="zh-CN"/>
              </w:rPr>
              <w:t>县重点管控单元（ZH61052620005）的</w:t>
            </w:r>
            <w:r>
              <w:rPr>
                <w:rFonts w:ascii="Times New Roman" w:hAnsi="Times New Roman" w:cs="Times New Roman" w:hint="eastAsia"/>
                <w:color w:val="FF0000"/>
                <w:sz w:val="24"/>
                <w:szCs w:val="24"/>
                <w:highlight w:val="none"/>
                <w:u w:val="none"/>
                <w:lang w:val="en-US" w:eastAsia="zh-CN"/>
              </w:rPr>
              <w:t>水环境城镇生活污染重点管控区、农用地优先保护区</w:t>
            </w:r>
            <w:r>
              <w:rPr>
                <w:rFonts w:ascii="Times New Roman" w:hAnsi="Times New Roman" w:cs="Times New Roman" w:hint="eastAsia"/>
                <w:color w:val="FF0000"/>
                <w:sz w:val="24"/>
                <w:szCs w:val="24"/>
                <w:highlight w:val="none"/>
                <w:u w:val="none"/>
                <w:lang w:val="en-US" w:eastAsia="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left"/>
              <w:textAlignment w:val="auto"/>
              <w:rPr>
                <w:rFonts w:ascii="Times New Roman" w:hAnsi="Times New Roman" w:cs="Times New Roman" w:hint="eastAsia"/>
                <w:color w:val="FF0000"/>
                <w:sz w:val="24"/>
                <w:highlight w:val="none"/>
                <w:u w:val="none"/>
              </w:rPr>
            </w:pPr>
            <w:r>
              <w:rPr>
                <w:rFonts w:ascii="Times New Roman" w:hAnsi="Times New Roman" w:cs="Times New Roman" w:hint="eastAsia"/>
                <w:color w:val="FF0000"/>
                <w:sz w:val="24"/>
                <w:szCs w:val="24"/>
                <w:highlight w:val="none"/>
                <w:u w:val="none"/>
                <w:lang w:val="en-US" w:eastAsia="zh-CN"/>
              </w:rPr>
              <w:t>水环境城镇生活污染重点管控区</w:t>
            </w:r>
            <w:r>
              <w:rPr>
                <w:rFonts w:ascii="Times New Roman" w:hAnsi="Times New Roman" w:cs="Times New Roman" w:hint="eastAsia"/>
                <w:color w:val="FF0000"/>
                <w:sz w:val="24"/>
                <w:szCs w:val="24"/>
                <w:highlight w:val="none"/>
                <w:u w:val="none"/>
                <w:lang w:val="en-US" w:eastAsia="zh-CN"/>
              </w:rPr>
              <w:t>重点管控单元中空间布局约束： 加快建设城中村、老旧城区、建制镇、城乡结合部等生活污水收集管网，填补污水收集管网空白区。新建居住社区应同步规划、建设污水收集管网，推动支线管网和出户管的连接建设。</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left"/>
              <w:textAlignment w:val="auto"/>
              <w:rPr>
                <w:rFonts w:ascii="Times New Roman" w:hAnsi="Times New Roman" w:cs="Times New Roman" w:hint="default"/>
                <w:color w:val="FF0000"/>
                <w:sz w:val="24"/>
                <w:highlight w:val="none"/>
                <w:u w:val="none"/>
              </w:rPr>
            </w:pPr>
            <w:r>
              <w:rPr>
                <w:rFonts w:ascii="Times New Roman" w:hAnsi="Times New Roman" w:cs="Times New Roman" w:hint="eastAsia"/>
                <w:color w:val="FF0000"/>
                <w:sz w:val="24"/>
                <w:szCs w:val="24"/>
                <w:highlight w:val="none"/>
                <w:u w:val="none"/>
                <w:lang w:val="en-US" w:eastAsia="zh-CN"/>
              </w:rPr>
              <w:t>水环境城镇生活污染重点管控区重点管控单元</w:t>
            </w:r>
            <w:r>
              <w:rPr>
                <w:rFonts w:ascii="Times New Roman" w:hAnsi="Times New Roman" w:cs="Times New Roman" w:hint="eastAsia"/>
                <w:color w:val="FF0000"/>
                <w:sz w:val="24"/>
                <w:szCs w:val="24"/>
                <w:highlight w:val="none"/>
                <w:u w:val="none"/>
                <w:lang w:val="en-US" w:eastAsia="zh-CN"/>
              </w:rPr>
              <w:t>污染排放管控：</w:t>
            </w:r>
            <w:r>
              <w:rPr>
                <w:rFonts w:ascii="Times New Roman" w:hAnsi="Times New Roman" w:cs="Times New Roman" w:hint="default"/>
                <w:color w:val="FF0000"/>
                <w:sz w:val="24"/>
                <w:szCs w:val="24"/>
                <w:highlight w:val="none"/>
                <w:u w:val="none"/>
                <w:lang w:val="en-US" w:eastAsia="zh-CN"/>
              </w:rPr>
              <w:t>①</w:t>
            </w:r>
            <w:r>
              <w:rPr>
                <w:rFonts w:ascii="Times New Roman" w:hAnsi="Times New Roman" w:cs="Times New Roman" w:hint="default"/>
                <w:color w:val="FF0000"/>
                <w:sz w:val="24"/>
                <w:szCs w:val="24"/>
                <w:highlight w:val="none"/>
                <w:u w:val="none"/>
                <w:lang w:val="en-US" w:eastAsia="zh-CN"/>
              </w:rPr>
              <w:t>城镇新区管网建设及老旧城区管网升级改造中实行雨污分流，推进初期雨水收集、处理和资源化利用</w:t>
            </w:r>
            <w:r>
              <w:rPr>
                <w:rFonts w:ascii="Times New Roman" w:hAnsi="Times New Roman" w:cs="Times New Roman" w:hint="eastAsia"/>
                <w:color w:val="FF0000"/>
                <w:sz w:val="24"/>
                <w:szCs w:val="24"/>
                <w:highlight w:val="none"/>
                <w:u w:val="none"/>
                <w:lang w:val="en-US" w:eastAsia="zh-CN"/>
              </w:rPr>
              <w:t>；</w:t>
            </w:r>
            <w:r>
              <w:rPr>
                <w:rFonts w:ascii="Times New Roman" w:hAnsi="Times New Roman" w:cs="Times New Roman" w:hint="default"/>
                <w:color w:val="FF0000"/>
                <w:sz w:val="24"/>
                <w:szCs w:val="24"/>
                <w:highlight w:val="none"/>
                <w:u w:val="none"/>
                <w:lang w:val="en-US" w:eastAsia="zh-CN"/>
              </w:rPr>
              <w:t>②</w:t>
            </w:r>
            <w:r>
              <w:rPr>
                <w:rFonts w:ascii="Times New Roman" w:hAnsi="Times New Roman" w:cs="Times New Roman" w:hint="default"/>
                <w:color w:val="FF0000"/>
                <w:sz w:val="24"/>
                <w:szCs w:val="24"/>
                <w:highlight w:val="none"/>
                <w:u w:val="none"/>
                <w:lang w:val="en-US" w:eastAsia="zh-CN"/>
              </w:rPr>
              <w:t xml:space="preserve">加强污水处理厂运维水平，保证出水水质稳定达到《黄河流域（陕西段）污水综合排放标准》（DB61/224-2018）的最新要求。 </w:t>
            </w:r>
            <w:r>
              <w:rPr>
                <w:rFonts w:ascii="Times New Roman" w:hAnsi="Times New Roman" w:cs="Times New Roman" w:hint="default"/>
                <w:color w:val="FF0000"/>
                <w:sz w:val="24"/>
                <w:szCs w:val="24"/>
                <w:highlight w:val="none"/>
                <w:u w:val="none"/>
                <w:lang w:val="en-US" w:eastAsia="zh-CN"/>
              </w:rPr>
              <w:t>③</w:t>
            </w:r>
            <w:r>
              <w:rPr>
                <w:rFonts w:ascii="Times New Roman" w:hAnsi="Times New Roman" w:cs="Times New Roman" w:hint="default"/>
                <w:color w:val="FF0000"/>
                <w:sz w:val="24"/>
                <w:szCs w:val="24"/>
                <w:highlight w:val="none"/>
                <w:u w:val="none"/>
                <w:lang w:val="en-US" w:eastAsia="zh-CN"/>
              </w:rPr>
              <w:t xml:space="preserve">加强排污口长效监管。 </w:t>
            </w:r>
          </w:p>
        </w:tc>
      </w:tr>
    </w:tbl>
    <w:p>
      <w:pPr>
        <w:sectPr>
          <w:footerReference w:type="even" r:id="rId12"/>
          <w:footerReference w:type="default" r:id="rId13"/>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4"/>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56"/>
        <w:gridCol w:w="7014"/>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21"/>
          <w:jc w:val="center"/>
        </w:trPr>
        <w:tc>
          <w:tcPr>
            <w:tcW w:w="1856" w:type="dxa"/>
            <w:vAlign w:val="center"/>
          </w:tcPr>
          <w:p/>
        </w:tc>
        <w:tc>
          <w:tcPr>
            <w:tcW w:w="7014" w:type="dxa"/>
            <w:vAlign w:val="center"/>
          </w:tcPr>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left"/>
              <w:textAlignment w:val="auto"/>
              <w:rPr>
                <w:rFonts w:ascii="Times New Roman" w:hAnsi="Times New Roman" w:cs="Times New Roman" w:hint="eastAsia"/>
                <w:color w:val="FF0000"/>
                <w:sz w:val="24"/>
                <w:highlight w:val="none"/>
                <w:u w:val="none"/>
              </w:rPr>
            </w:pPr>
            <w:r>
              <w:rPr>
                <w:rFonts w:ascii="Times New Roman" w:hAnsi="Times New Roman" w:cs="Times New Roman" w:hint="eastAsia"/>
                <w:color w:val="FF0000"/>
                <w:sz w:val="24"/>
                <w:szCs w:val="24"/>
                <w:highlight w:val="none"/>
                <w:u w:val="none"/>
                <w:lang w:val="en-US" w:eastAsia="zh-CN"/>
              </w:rPr>
              <w:t xml:space="preserve">农用地优先保护区重点管控单元中空间布局约束： </w:t>
            </w:r>
            <w:r>
              <w:rPr>
                <w:rFonts w:ascii="Times New Roman" w:hAnsi="Times New Roman" w:cs="Times New Roman" w:hint="default"/>
                <w:color w:val="FF0000"/>
                <w:sz w:val="24"/>
                <w:szCs w:val="24"/>
                <w:highlight w:val="none"/>
                <w:u w:val="none"/>
                <w:lang w:val="en-US" w:eastAsia="zh-CN"/>
              </w:rPr>
              <w:t>①</w:t>
            </w:r>
            <w:r>
              <w:rPr>
                <w:rFonts w:ascii="Times New Roman" w:hAnsi="Times New Roman" w:cs="Times New Roman" w:hint="eastAsia"/>
                <w:color w:val="FF0000"/>
                <w:sz w:val="24"/>
                <w:szCs w:val="24"/>
                <w:highlight w:val="none"/>
                <w:u w:val="none"/>
                <w:lang w:val="en-US" w:eastAsia="zh-CN"/>
              </w:rPr>
              <w:t xml:space="preserve">在农用地优先保护区内优先开展高标准农田建设，优先纳入粮食生产功能区和重要农产品生产保护区建设。 </w:t>
            </w:r>
            <w:r>
              <w:rPr>
                <w:rFonts w:ascii="Times New Roman" w:hAnsi="Times New Roman" w:cs="Times New Roman" w:hint="default"/>
                <w:color w:val="FF0000"/>
                <w:sz w:val="24"/>
                <w:szCs w:val="24"/>
                <w:highlight w:val="none"/>
                <w:u w:val="none"/>
                <w:lang w:val="en-US" w:eastAsia="zh-CN"/>
              </w:rPr>
              <w:t>②</w:t>
            </w:r>
            <w:r>
              <w:rPr>
                <w:rFonts w:ascii="Times New Roman" w:hAnsi="Times New Roman" w:cs="Times New Roman" w:hint="eastAsia"/>
                <w:color w:val="FF0000"/>
                <w:sz w:val="24"/>
                <w:szCs w:val="24"/>
                <w:highlight w:val="none"/>
                <w:u w:val="none"/>
                <w:lang w:val="en-US" w:eastAsia="zh-CN"/>
              </w:rPr>
              <w:t xml:space="preserve">严格控制在优先保护类耕地集中区域新建有色金属冶炼、石油加工、化工、焦化、电镀、制革等行业企业。 </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left"/>
              <w:textAlignment w:val="auto"/>
              <w:rPr>
                <w:rFonts w:ascii="Times New Roman" w:hAnsi="Times New Roman" w:cs="Times New Roman" w:hint="eastAsia"/>
                <w:color w:val="FF0000"/>
                <w:sz w:val="24"/>
                <w:highlight w:val="none"/>
                <w:u w:val="none"/>
              </w:rPr>
            </w:pPr>
            <w:r>
              <w:rPr>
                <w:rFonts w:ascii="Times New Roman" w:hAnsi="Times New Roman" w:cs="Times New Roman" w:hint="eastAsia"/>
                <w:color w:val="FF0000"/>
                <w:sz w:val="24"/>
                <w:szCs w:val="24"/>
                <w:highlight w:val="none"/>
                <w:u w:val="none"/>
                <w:lang w:val="en-US" w:eastAsia="zh-CN"/>
              </w:rPr>
              <w:t>农用地优先保护区重点管控单元中环境风险防控：禁止在农用地优先保护区内排放、倾倒、使用污泥、清淤底泥、尾矿（渣）等可能对土壤造成污染的固体废物。禁止向农用地优先保护区农田灌溉渠道排放工业废水或者医疗污水。</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left"/>
              <w:textAlignment w:val="auto"/>
              <w:rPr>
                <w:highlight w:val="none"/>
              </w:rPr>
            </w:pPr>
            <w:r>
              <w:rPr>
                <w:rFonts w:ascii="Times New Roman" w:hAnsi="Times New Roman" w:cs="Times New Roman" w:hint="default"/>
                <w:color w:val="FF0000"/>
                <w:sz w:val="24"/>
                <w:szCs w:val="24"/>
                <w:u w:val="none"/>
              </w:rPr>
              <w:t>本项目位于</w:t>
            </w:r>
            <w:r>
              <w:rPr>
                <w:rFonts w:ascii="Times New Roman" w:hAnsi="Times New Roman" w:cs="Times New Roman" w:hint="default"/>
                <w:color w:val="FF0000"/>
                <w:sz w:val="24"/>
                <w:szCs w:val="24"/>
                <w:u w:val="none"/>
                <w:lang w:val="en-US" w:eastAsia="zh-CN"/>
              </w:rPr>
              <w:t>渭南市</w:t>
            </w:r>
            <w:r>
              <w:rPr>
                <w:rFonts w:ascii="Times New Roman" w:hAnsi="Times New Roman" w:cs="Times New Roman" w:hint="eastAsia"/>
                <w:color w:val="FF0000"/>
                <w:sz w:val="24"/>
                <w:szCs w:val="24"/>
                <w:u w:val="none"/>
                <w:lang w:val="en-US" w:eastAsia="zh-CN"/>
              </w:rPr>
              <w:t>蒲城县兴镇兴北村，</w:t>
            </w:r>
            <w:r>
              <w:rPr>
                <w:rFonts w:ascii="Times New Roman" w:hAnsi="Times New Roman" w:cs="Times New Roman" w:hint="default"/>
                <w:color w:val="FF0000"/>
                <w:sz w:val="24"/>
                <w:szCs w:val="24"/>
                <w:u w:val="none"/>
                <w:lang w:val="en-US" w:eastAsia="zh-CN"/>
              </w:rPr>
              <w:t>已取得</w:t>
            </w:r>
            <w:r>
              <w:rPr>
                <w:rFonts w:ascii="Times New Roman" w:hAnsi="Times New Roman" w:cs="Times New Roman" w:hint="eastAsia"/>
                <w:color w:val="FF0000"/>
                <w:sz w:val="24"/>
                <w:szCs w:val="24"/>
                <w:u w:val="none"/>
                <w:lang w:val="en-US" w:eastAsia="zh-CN"/>
              </w:rPr>
              <w:t>蒲城县自然资源局关于本项目用地的预审意见</w:t>
            </w:r>
            <w:r>
              <w:rPr>
                <w:rFonts w:ascii="Times New Roman" w:hAnsi="Times New Roman" w:cs="Times New Roman" w:hint="default"/>
                <w:color w:val="FF0000"/>
                <w:sz w:val="24"/>
                <w:szCs w:val="24"/>
                <w:u w:val="none"/>
                <w:lang w:val="en-US" w:eastAsia="zh-CN"/>
              </w:rPr>
              <w:t>，</w:t>
            </w:r>
            <w:r>
              <w:rPr>
                <w:rFonts w:ascii="Times New Roman" w:hAnsi="Times New Roman" w:cs="Times New Roman" w:hint="eastAsia"/>
                <w:color w:val="FF0000"/>
                <w:sz w:val="24"/>
                <w:szCs w:val="24"/>
                <w:u w:val="none"/>
                <w:lang w:val="en-US" w:eastAsia="zh-CN"/>
              </w:rPr>
              <w:t>以</w:t>
            </w:r>
            <w:r>
              <w:rPr>
                <w:rFonts w:hint="eastAsia"/>
                <w:color w:val="FF0000"/>
                <w:sz w:val="24"/>
              </w:rPr>
              <w:t>及蒲城县城乡规划服务中心关于项目的规划选址</w:t>
            </w:r>
            <w:r>
              <w:rPr>
                <w:rFonts w:hint="eastAsia"/>
                <w:color w:val="FF0000"/>
                <w:sz w:val="24"/>
                <w:lang w:val="en-US" w:eastAsia="zh-CN"/>
              </w:rPr>
              <w:t>的初审</w:t>
            </w:r>
            <w:r>
              <w:rPr>
                <w:rFonts w:hint="eastAsia"/>
                <w:color w:val="FF0000"/>
                <w:sz w:val="24"/>
              </w:rPr>
              <w:t>意见</w:t>
            </w:r>
            <w:r>
              <w:rPr>
                <w:rFonts w:hint="eastAsia"/>
                <w:color w:val="FF0000"/>
                <w:sz w:val="24"/>
                <w:lang w:eastAsia="zh-CN"/>
              </w:rPr>
              <w:t>，</w:t>
            </w:r>
            <w:r>
              <w:rPr>
                <w:rFonts w:hint="eastAsia"/>
                <w:color w:val="FF0000"/>
                <w:sz w:val="24"/>
                <w:lang w:val="en-US" w:eastAsia="zh-CN"/>
              </w:rPr>
              <w:t>本项目属于建设用地。</w:t>
            </w:r>
            <w:r>
              <w:rPr>
                <w:rFonts w:ascii="Times New Roman" w:hAnsi="Times New Roman" w:cs="Times New Roman" w:hint="eastAsia"/>
                <w:color w:val="FF0000"/>
                <w:sz w:val="24"/>
                <w:szCs w:val="24"/>
                <w:highlight w:val="none"/>
                <w:u w:val="none"/>
                <w:lang w:val="en-US" w:eastAsia="zh-CN"/>
              </w:rPr>
              <w:t>生活污水经化粪池处理清掏肥田不外排，生产废水循环利用，不外排，满足渭南市生态环境分区管控准入要求中的重点管控单元管控要求。同时项目不在《陕西省国家重点生态功能区产业准入负面清单（试行）》之列</w:t>
            </w:r>
            <w:r>
              <w:rPr>
                <w:rFonts w:ascii="Times New Roman" w:hAnsi="Times New Roman" w:cs="Times New Roman" w:hint="eastAsia"/>
                <w:color w:val="auto"/>
                <w:sz w:val="24"/>
                <w:szCs w:val="24"/>
                <w:highlight w:val="none"/>
                <w:u w:val="none"/>
                <w:lang w:val="en-US" w:eastAsia="zh-CN"/>
              </w:rPr>
              <w:t>。</w:t>
            </w:r>
          </w:p>
          <w:p>
            <w:pPr>
              <w:numPr>
                <w:ilvl w:val="0"/>
                <w:numId w:val="5"/>
              </w:numPr>
              <w:autoSpaceDE w:val="0"/>
              <w:autoSpaceDN w:val="0"/>
              <w:spacing w:line="360" w:lineRule="auto"/>
              <w:ind w:firstLine="480" w:firstLineChars="200"/>
              <w:jc w:val="left"/>
              <w:rPr>
                <w:rFonts w:eastAsia="宋体" w:hint="eastAsia"/>
                <w:b/>
                <w:kern w:val="0"/>
                <w:sz w:val="24"/>
              </w:rPr>
            </w:pPr>
            <w:r>
              <w:rPr>
                <w:b/>
                <w:kern w:val="0"/>
                <w:sz w:val="24"/>
              </w:rPr>
              <w:t>与相关规划</w:t>
            </w:r>
            <w:r>
              <w:rPr>
                <w:rFonts w:hint="eastAsia"/>
                <w:b/>
                <w:kern w:val="0"/>
                <w:sz w:val="24"/>
              </w:rPr>
              <w:t>和环保政策</w:t>
            </w:r>
            <w:r>
              <w:rPr>
                <w:b/>
                <w:kern w:val="0"/>
                <w:sz w:val="24"/>
              </w:rPr>
              <w:t>符合性分析</w:t>
            </w:r>
          </w:p>
          <w:p>
            <w:pPr>
              <w:spacing w:line="360" w:lineRule="auto"/>
              <w:ind w:firstLine="480" w:firstLineChars="200"/>
              <w:jc w:val="left"/>
              <w:rPr>
                <w:sz w:val="24"/>
              </w:rPr>
            </w:pPr>
            <w:r>
              <w:rPr>
                <w:sz w:val="24"/>
              </w:rPr>
              <w:t>本项目与相关规划和环保政策相符性分析见表1。</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center"/>
              <w:textAlignment w:val="auto"/>
              <w:rPr>
                <w:rFonts w:ascii="黑体" w:eastAsia="黑体" w:hAnsi="黑体" w:cs="黑体" w:hint="eastAsia"/>
                <w:b w:val="0"/>
                <w:bCs w:val="0"/>
                <w:sz w:val="24"/>
              </w:rPr>
            </w:pPr>
            <w:r>
              <w:rPr>
                <w:rFonts w:ascii="黑体" w:eastAsia="黑体" w:hAnsi="黑体" w:cs="黑体" w:hint="eastAsia"/>
                <w:b w:val="0"/>
                <w:bCs w:val="0"/>
                <w:sz w:val="24"/>
                <w:szCs w:val="24"/>
                <w:lang w:val="en-US" w:eastAsia="zh-CN"/>
              </w:rPr>
              <w:t>表1   规划及政策符合性分析</w:t>
            </w:r>
          </w:p>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82"/>
              <w:gridCol w:w="2901"/>
              <w:gridCol w:w="1984"/>
              <w:gridCol w:w="621"/>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282" w:type="dxa"/>
                  <w:vAlign w:val="center"/>
                </w:tcPr>
                <w:p>
                  <w:pPr>
                    <w:pStyle w:val="a8"/>
                    <w:jc w:val="center"/>
                    <w:rPr>
                      <w:rFonts w:ascii="Times New Roman" w:eastAsia="宋体" w:hAnsi="Times New Roman" w:cs="Times New Roman" w:hint="default"/>
                      <w:b/>
                      <w:bCs/>
                      <w:color w:val="auto"/>
                      <w:sz w:val="21"/>
                      <w:szCs w:val="21"/>
                      <w:lang w:val="en-US" w:eastAsia="zh-CN"/>
                    </w:rPr>
                  </w:pPr>
                  <w:r>
                    <w:rPr>
                      <w:rFonts w:ascii="Times New Roman" w:eastAsia="宋体" w:hAnsi="Times New Roman" w:cs="Times New Roman" w:hint="default"/>
                      <w:b/>
                      <w:bCs/>
                      <w:color w:val="auto"/>
                      <w:sz w:val="21"/>
                      <w:szCs w:val="21"/>
                      <w:lang w:val="en-US" w:eastAsia="zh-CN"/>
                    </w:rPr>
                    <w:t>规划名称</w:t>
                  </w:r>
                </w:p>
              </w:tc>
              <w:tc>
                <w:tcPr>
                  <w:tcW w:w="2901" w:type="dxa"/>
                  <w:vAlign w:val="center"/>
                </w:tcPr>
                <w:p>
                  <w:pPr>
                    <w:pStyle w:val="a8"/>
                    <w:rPr>
                      <w:rFonts w:ascii="Times New Roman" w:eastAsia="宋体" w:hAnsi="Times New Roman" w:cs="Times New Roman" w:hint="default"/>
                      <w:b/>
                      <w:bCs/>
                      <w:color w:val="auto"/>
                      <w:sz w:val="21"/>
                      <w:szCs w:val="21"/>
                      <w:lang w:val="en-US" w:eastAsia="zh-CN"/>
                    </w:rPr>
                  </w:pPr>
                  <w:r>
                    <w:rPr>
                      <w:rFonts w:ascii="Times New Roman" w:eastAsia="宋体" w:hAnsi="Times New Roman" w:cs="Times New Roman" w:hint="default"/>
                      <w:b/>
                      <w:bCs/>
                      <w:color w:val="auto"/>
                      <w:sz w:val="21"/>
                      <w:szCs w:val="21"/>
                      <w:lang w:val="en-US" w:eastAsia="zh-CN"/>
                    </w:rPr>
                    <w:t>规划内容</w:t>
                  </w:r>
                </w:p>
              </w:tc>
              <w:tc>
                <w:tcPr>
                  <w:tcW w:w="1984" w:type="dxa"/>
                  <w:vAlign w:val="center"/>
                </w:tcPr>
                <w:p>
                  <w:pPr>
                    <w:pStyle w:val="a8"/>
                    <w:rPr>
                      <w:rFonts w:ascii="Times New Roman" w:eastAsia="宋体" w:hAnsi="Times New Roman" w:cs="Times New Roman" w:hint="default"/>
                      <w:b/>
                      <w:bCs/>
                      <w:color w:val="auto"/>
                      <w:sz w:val="21"/>
                      <w:szCs w:val="21"/>
                      <w:lang w:val="en-US" w:eastAsia="zh-CN"/>
                    </w:rPr>
                  </w:pPr>
                  <w:r>
                    <w:rPr>
                      <w:rFonts w:ascii="Times New Roman" w:eastAsia="宋体" w:hAnsi="Times New Roman" w:cs="Times New Roman" w:hint="default"/>
                      <w:b/>
                      <w:bCs/>
                      <w:color w:val="auto"/>
                      <w:sz w:val="21"/>
                      <w:szCs w:val="21"/>
                      <w:lang w:val="en-US" w:eastAsia="zh-CN"/>
                    </w:rPr>
                    <w:t>本项目与规划的关系</w:t>
                  </w:r>
                </w:p>
              </w:tc>
              <w:tc>
                <w:tcPr>
                  <w:tcW w:w="621" w:type="dxa"/>
                  <w:vAlign w:val="center"/>
                </w:tcPr>
                <w:p>
                  <w:pPr>
                    <w:pStyle w:val="a8"/>
                    <w:rPr>
                      <w:rFonts w:ascii="Times New Roman" w:eastAsia="宋体" w:hAnsi="Times New Roman" w:cs="Times New Roman" w:hint="default"/>
                      <w:b/>
                      <w:bCs/>
                      <w:color w:val="auto"/>
                      <w:sz w:val="21"/>
                      <w:szCs w:val="21"/>
                      <w:lang w:val="en-US" w:eastAsia="zh-CN"/>
                    </w:rPr>
                  </w:pPr>
                  <w:r>
                    <w:rPr>
                      <w:rFonts w:ascii="Times New Roman" w:eastAsia="宋体" w:hAnsi="Times New Roman" w:cs="Times New Roman" w:hint="default"/>
                      <w:b/>
                      <w:bCs/>
                      <w:color w:val="auto"/>
                      <w:sz w:val="21"/>
                      <w:szCs w:val="21"/>
                      <w:lang w:val="en-US" w:eastAsia="zh-CN"/>
                    </w:rPr>
                    <w:t>结论</w:t>
                  </w:r>
                </w:p>
              </w:tc>
            </w:tr>
            <w:tr>
              <w:tblPrEx>
                <w:tblW w:w="5000" w:type="pct"/>
                <w:jc w:val="center"/>
                <w:tblInd w:w="113" w:type="dxa"/>
                <w:tblLayout w:type="fixed"/>
                <w:tblCellMar>
                  <w:top w:w="0" w:type="dxa"/>
                  <w:left w:w="108" w:type="dxa"/>
                  <w:bottom w:w="0" w:type="dxa"/>
                  <w:right w:w="108" w:type="dxa"/>
                </w:tblCellMar>
                <w:tblLook w:val="0000"/>
              </w:tblPrEx>
              <w:trPr>
                <w:trHeight w:val="340"/>
                <w:jc w:val="center"/>
              </w:trPr>
              <w:tc>
                <w:tcPr>
                  <w:tcW w:w="1282" w:type="dxa"/>
                  <w:vAlign w:val="center"/>
                </w:tcPr>
                <w:p>
                  <w:pPr>
                    <w:pStyle w:val="a8"/>
                    <w:jc w:val="center"/>
                    <w:rPr>
                      <w:rFonts w:ascii="Times New Roman" w:eastAsia="宋体" w:hAnsi="Times New Roman" w:cs="Times New Roman" w:hint="default"/>
                      <w:b/>
                      <w:bCs/>
                      <w:color w:val="FF0000"/>
                      <w:sz w:val="21"/>
                      <w:szCs w:val="21"/>
                      <w:lang w:val="en-US" w:eastAsia="zh-CN"/>
                    </w:rPr>
                  </w:pPr>
                  <w:r>
                    <w:rPr>
                      <w:rFonts w:ascii="Times New Roman" w:eastAsia="宋体" w:hAnsi="Times New Roman" w:cs="Times New Roman" w:hint="default"/>
                      <w:b w:val="0"/>
                      <w:bCs w:val="0"/>
                      <w:color w:val="FF0000"/>
                      <w:sz w:val="21"/>
                      <w:szCs w:val="21"/>
                      <w:lang w:val="en-US" w:eastAsia="zh-CN"/>
                    </w:rPr>
                    <w:t>关于印发《关于促进砂石行业健康有序发展的指导意见》的通知发改价格[2020]473号</w:t>
                  </w:r>
                </w:p>
              </w:tc>
              <w:tc>
                <w:tcPr>
                  <w:tcW w:w="2901" w:type="dxa"/>
                  <w:vAlign w:val="center"/>
                </w:tcPr>
                <w:p>
                  <w:pPr>
                    <w:pStyle w:val="a8"/>
                    <w:rPr>
                      <w:rFonts w:ascii="Times New Roman" w:eastAsia="宋体" w:hAnsi="Times New Roman" w:cs="Times New Roman" w:hint="default"/>
                      <w:b/>
                      <w:bCs/>
                      <w:color w:val="FF0000"/>
                      <w:sz w:val="21"/>
                      <w:szCs w:val="21"/>
                      <w:lang w:val="en-US" w:eastAsia="zh-CN"/>
                    </w:rPr>
                  </w:pPr>
                  <w:r>
                    <w:rPr>
                      <w:rFonts w:ascii="Times New Roman" w:eastAsia="宋体" w:hAnsi="Times New Roman" w:cs="Times New Roman" w:hint="default"/>
                      <w:b w:val="0"/>
                      <w:bCs w:val="0"/>
                      <w:color w:val="FF0000"/>
                      <w:sz w:val="21"/>
                      <w:szCs w:val="21"/>
                      <w:lang w:val="en-US" w:eastAsia="zh-CN"/>
                    </w:rPr>
                    <w:t>鼓励利用固废资源制造再生砂石。鼓励利用建筑拆除垃圾等固废资源生产砂石替代材料，清理不合理的区域限制措施吗，增加再生砂石供给。</w:t>
                  </w:r>
                </w:p>
              </w:tc>
              <w:tc>
                <w:tcPr>
                  <w:tcW w:w="1984" w:type="dxa"/>
                  <w:vAlign w:val="center"/>
                </w:tcPr>
                <w:p>
                  <w:pPr>
                    <w:pStyle w:val="a8"/>
                    <w:rPr>
                      <w:rFonts w:ascii="Times New Roman" w:eastAsia="宋体" w:hAnsi="Times New Roman" w:cs="Times New Roman" w:hint="default"/>
                      <w:b/>
                      <w:bCs/>
                      <w:color w:val="FF0000"/>
                      <w:sz w:val="21"/>
                      <w:szCs w:val="21"/>
                      <w:lang w:val="en-US" w:eastAsia="zh-CN"/>
                    </w:rPr>
                  </w:pPr>
                  <w:r>
                    <w:rPr>
                      <w:rFonts w:ascii="Times New Roman" w:eastAsia="宋体" w:hAnsi="Times New Roman" w:cs="Times New Roman" w:hint="eastAsia"/>
                      <w:color w:val="FF0000"/>
                      <w:kern w:val="0"/>
                      <w:sz w:val="21"/>
                      <w:szCs w:val="21"/>
                      <w:lang w:val="en-US" w:eastAsia="zh-CN" w:bidi="ar"/>
                    </w:rPr>
                    <w:t>本项目机制砂生产项目，利用矿渣、废石生产机制砂，增加砂石供给。</w:t>
                  </w:r>
                </w:p>
              </w:tc>
              <w:tc>
                <w:tcPr>
                  <w:tcW w:w="621" w:type="dxa"/>
                  <w:vAlign w:val="center"/>
                </w:tcPr>
                <w:p>
                  <w:pPr>
                    <w:pStyle w:val="a8"/>
                    <w:jc w:val="center"/>
                    <w:rPr>
                      <w:rFonts w:ascii="Times New Roman" w:eastAsia="宋体" w:hAnsi="Times New Roman" w:cs="Times New Roman" w:hint="default"/>
                      <w:b/>
                      <w:bCs/>
                      <w:color w:val="FF0000"/>
                      <w:sz w:val="21"/>
                      <w:szCs w:val="21"/>
                      <w:lang w:val="en-US" w:eastAsia="zh-CN"/>
                    </w:rPr>
                  </w:pPr>
                  <w:r>
                    <w:rPr>
                      <w:rFonts w:ascii="Times New Roman" w:eastAsia="宋体" w:hAnsi="Times New Roman" w:cs="Times New Roman" w:hint="eastAsia"/>
                      <w:b w:val="0"/>
                      <w:bCs w:val="0"/>
                      <w:color w:val="FF0000"/>
                      <w:sz w:val="21"/>
                      <w:szCs w:val="21"/>
                      <w:lang w:val="en-US" w:eastAsia="zh-CN"/>
                    </w:rPr>
                    <w:t>符合</w:t>
                  </w:r>
                </w:p>
              </w:tc>
            </w:tr>
            <w:tr>
              <w:tblPrEx>
                <w:tblW w:w="5000" w:type="pct"/>
                <w:jc w:val="center"/>
                <w:tblInd w:w="113" w:type="dxa"/>
                <w:tblLayout w:type="fixed"/>
                <w:tblCellMar>
                  <w:top w:w="0" w:type="dxa"/>
                  <w:left w:w="108" w:type="dxa"/>
                  <w:bottom w:w="0" w:type="dxa"/>
                  <w:right w:w="108" w:type="dxa"/>
                </w:tblCellMar>
                <w:tblLook w:val="0000"/>
              </w:tblPrEx>
              <w:trPr>
                <w:trHeight w:val="340"/>
                <w:jc w:val="center"/>
              </w:trPr>
              <w:tc>
                <w:tcPr>
                  <w:tcW w:w="1282" w:type="dxa"/>
                  <w:vAlign w:val="center"/>
                </w:tcPr>
                <w:p>
                  <w:pPr>
                    <w:keepNext w:val="0"/>
                    <w:keepLines w:val="0"/>
                    <w:widowControl/>
                    <w:suppressLineNumbers w:val="0"/>
                    <w:spacing w:after="0"/>
                    <w:jc w:val="left"/>
                    <w:rPr>
                      <w:rFonts w:ascii="Times New Roman" w:hAnsi="Times New Roman" w:cs="Times New Roman" w:hint="default"/>
                      <w:color w:val="FF0000"/>
                      <w:szCs w:val="21"/>
                    </w:rPr>
                  </w:pPr>
                  <w:r>
                    <w:rPr>
                      <w:rFonts w:ascii="Times New Roman" w:eastAsia="宋体" w:hAnsi="Times New Roman" w:cs="Times New Roman" w:hint="default"/>
                      <w:b w:val="0"/>
                      <w:bCs/>
                      <w:color w:val="FF0000"/>
                      <w:kern w:val="0"/>
                      <w:sz w:val="21"/>
                      <w:szCs w:val="21"/>
                      <w:lang w:val="en-US" w:eastAsia="zh-CN" w:bidi="ar"/>
                    </w:rPr>
                    <w:t>《陕西省</w:t>
                  </w:r>
                  <w:r>
                    <w:rPr>
                      <w:rFonts w:ascii="Times New Roman" w:eastAsia="宋体" w:hAnsi="Times New Roman" w:cs="Times New Roman" w:hint="default"/>
                      <w:b w:val="0"/>
                      <w:bCs/>
                      <w:color w:val="FF0000"/>
                      <w:kern w:val="0"/>
                      <w:sz w:val="21"/>
                      <w:szCs w:val="21"/>
                      <w:lang w:val="en-US" w:eastAsia="zh-CN" w:bidi="ar"/>
                    </w:rPr>
                    <w:t>“</w:t>
                  </w:r>
                  <w:r>
                    <w:rPr>
                      <w:rFonts w:ascii="Times New Roman" w:eastAsia="宋体" w:hAnsi="Times New Roman" w:cs="Times New Roman" w:hint="default"/>
                      <w:b w:val="0"/>
                      <w:bCs/>
                      <w:color w:val="FF0000"/>
                      <w:kern w:val="0"/>
                      <w:sz w:val="21"/>
                      <w:szCs w:val="21"/>
                      <w:lang w:val="en-US" w:eastAsia="zh-CN" w:bidi="ar"/>
                    </w:rPr>
                    <w:t>十四五</w:t>
                  </w:r>
                  <w:r>
                    <w:rPr>
                      <w:rFonts w:ascii="Times New Roman" w:eastAsia="宋体" w:hAnsi="Times New Roman" w:cs="Times New Roman" w:hint="default"/>
                      <w:b w:val="0"/>
                      <w:bCs/>
                      <w:color w:val="FF0000"/>
                      <w:kern w:val="0"/>
                      <w:sz w:val="21"/>
                      <w:szCs w:val="21"/>
                      <w:lang w:val="en-US" w:eastAsia="zh-CN" w:bidi="ar"/>
                    </w:rPr>
                    <w:t>”</w:t>
                  </w:r>
                </w:p>
              </w:tc>
              <w:tc>
                <w:tcPr>
                  <w:tcW w:w="2901" w:type="dxa"/>
                  <w:vAlign w:val="center"/>
                </w:tcPr>
                <w:p>
                  <w:pPr>
                    <w:keepNext w:val="0"/>
                    <w:keepLines w:val="0"/>
                    <w:widowControl/>
                    <w:numPr>
                      <w:ilvl w:val="0"/>
                      <w:numId w:val="3"/>
                    </w:numPr>
                    <w:suppressLineNumbers w:val="0"/>
                    <w:jc w:val="left"/>
                    <w:rPr>
                      <w:rFonts w:ascii="Times New Roman" w:eastAsia="宋体" w:hAnsi="Times New Roman" w:cs="Times New Roman" w:hint="eastAsia"/>
                      <w:color w:val="FF0000"/>
                      <w:kern w:val="0"/>
                      <w:szCs w:val="21"/>
                      <w:lang w:bidi="ar"/>
                    </w:rPr>
                  </w:pPr>
                  <w:r>
                    <w:rPr>
                      <w:rFonts w:ascii="Times New Roman" w:eastAsia="宋体" w:hAnsi="Times New Roman" w:cs="Times New Roman" w:hint="eastAsia"/>
                      <w:color w:val="FF0000"/>
                      <w:kern w:val="0"/>
                      <w:sz w:val="21"/>
                      <w:szCs w:val="21"/>
                      <w:lang w:val="en-US" w:eastAsia="zh-CN" w:bidi="ar"/>
                    </w:rPr>
                    <w:t>大型煤炭、矿石、干散货堆场，全面完成抑尘设施建设和物料输送系统封闭改造。鼓励有条件的堆场实施全封闭改造；</w:t>
                  </w:r>
                </w:p>
              </w:tc>
              <w:tc>
                <w:tcPr>
                  <w:tcW w:w="1984" w:type="dxa"/>
                  <w:vAlign w:val="center"/>
                </w:tcPr>
                <w:p>
                  <w:pPr>
                    <w:keepNext w:val="0"/>
                    <w:keepLines w:val="0"/>
                    <w:widowControl/>
                    <w:suppressLineNumbers w:val="0"/>
                    <w:spacing w:after="0"/>
                    <w:jc w:val="left"/>
                    <w:rPr>
                      <w:rFonts w:ascii="Times New Roman" w:hAnsi="Times New Roman" w:cs="Times New Roman" w:hint="default"/>
                      <w:color w:val="FF0000"/>
                      <w:szCs w:val="21"/>
                    </w:rPr>
                  </w:pPr>
                  <w:r>
                    <w:rPr>
                      <w:rFonts w:ascii="Times New Roman" w:eastAsia="宋体" w:hAnsi="Times New Roman" w:cs="Times New Roman" w:hint="default"/>
                      <w:color w:val="FF0000"/>
                      <w:kern w:val="0"/>
                      <w:sz w:val="21"/>
                      <w:szCs w:val="21"/>
                      <w:lang w:val="en-US" w:eastAsia="zh-CN" w:bidi="ar"/>
                    </w:rPr>
                    <w:t>本项目采用封闭厂房，原料、成品库设置喷淋装置；破碎筛分工段设置布袋除尘器</w:t>
                  </w:r>
                  <w:r>
                    <w:rPr>
                      <w:rFonts w:ascii="Times New Roman" w:eastAsia="宋体" w:hAnsi="Times New Roman" w:cs="Times New Roman" w:hint="eastAsia"/>
                      <w:color w:val="FF0000"/>
                      <w:kern w:val="0"/>
                      <w:sz w:val="21"/>
                      <w:szCs w:val="21"/>
                      <w:lang w:val="en-US" w:eastAsia="zh-CN" w:bidi="ar"/>
                    </w:rPr>
                    <w:t>；</w:t>
                  </w:r>
                </w:p>
              </w:tc>
              <w:tc>
                <w:tcPr>
                  <w:tcW w:w="621" w:type="dxa"/>
                  <w:vAlign w:val="center"/>
                </w:tcPr>
                <w:p>
                  <w:pPr>
                    <w:adjustRightInd w:val="0"/>
                    <w:snapToGrid w:val="0"/>
                    <w:spacing w:line="240" w:lineRule="auto"/>
                    <w:jc w:val="center"/>
                    <w:rPr>
                      <w:rFonts w:ascii="Times New Roman" w:hAnsi="Times New Roman" w:cs="Times New Roman" w:hint="default"/>
                      <w:color w:val="FF0000"/>
                      <w:szCs w:val="21"/>
                    </w:rPr>
                  </w:pPr>
                  <w:r>
                    <w:rPr>
                      <w:rFonts w:ascii="Times New Roman" w:hAnsi="Times New Roman" w:cs="Times New Roman" w:hint="default"/>
                      <w:color w:val="FF0000"/>
                      <w:sz w:val="21"/>
                      <w:szCs w:val="21"/>
                      <w:lang w:val="en-US" w:eastAsia="zh-CN"/>
                    </w:rPr>
                    <w:t>符合</w:t>
                  </w:r>
                </w:p>
              </w:tc>
            </w:tr>
          </w:tbl>
          <w:p/>
        </w:tc>
      </w:tr>
    </w:tbl>
    <w:p>
      <w:pPr>
        <w:sectPr>
          <w:footerReference w:type="even" r:id="rId14"/>
          <w:footerReference w:type="default" r:id="rId15"/>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5"/>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56"/>
        <w:gridCol w:w="7014"/>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21"/>
          <w:jc w:val="center"/>
        </w:trPr>
        <w:tc>
          <w:tcPr>
            <w:tcW w:w="1856" w:type="dxa"/>
            <w:vAlign w:val="center"/>
          </w:tcPr>
          <w:p/>
        </w:tc>
        <w:tc>
          <w:tcPr>
            <w:tcW w:w="7014" w:type="dxa"/>
            <w:vAlign w:val="center"/>
          </w:tcPr>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82"/>
              <w:gridCol w:w="2901"/>
              <w:gridCol w:w="1984"/>
              <w:gridCol w:w="621"/>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282" w:type="dxa"/>
                  <w:vAlign w:val="center"/>
                </w:tcPr>
                <w:p>
                  <w:pPr>
                    <w:keepNext w:val="0"/>
                    <w:keepLines w:val="0"/>
                    <w:widowControl/>
                    <w:suppressLineNumbers w:val="0"/>
                    <w:spacing w:before="0"/>
                    <w:jc w:val="left"/>
                    <w:rPr>
                      <w:rFonts w:ascii="Times New Roman" w:hAnsi="Times New Roman" w:cs="Times New Roman" w:hint="default"/>
                      <w:color w:val="FF0000"/>
                      <w:szCs w:val="21"/>
                    </w:rPr>
                  </w:pPr>
                  <w:r>
                    <w:rPr>
                      <w:rFonts w:ascii="Times New Roman" w:eastAsia="宋体" w:hAnsi="Times New Roman" w:cs="Times New Roman" w:hint="default"/>
                      <w:b w:val="0"/>
                      <w:bCs/>
                      <w:color w:val="FF0000"/>
                      <w:kern w:val="0"/>
                      <w:sz w:val="21"/>
                      <w:szCs w:val="21"/>
                      <w:lang w:val="en-US" w:eastAsia="zh-CN" w:bidi="ar"/>
                    </w:rPr>
                    <w:t>生态环境保护规划》陕政办发〔2021〕25号</w:t>
                  </w:r>
                </w:p>
              </w:tc>
              <w:tc>
                <w:tcPr>
                  <w:tcW w:w="2901" w:type="dxa"/>
                  <w:vAlign w:val="center"/>
                </w:tcPr>
                <w:p>
                  <w:pPr>
                    <w:keepNext w:val="0"/>
                    <w:keepLines w:val="0"/>
                    <w:widowControl/>
                    <w:numPr>
                      <w:ilvl w:val="0"/>
                      <w:numId w:val="3"/>
                    </w:numPr>
                    <w:suppressLineNumbers w:val="0"/>
                    <w:jc w:val="left"/>
                    <w:rPr>
                      <w:rFonts w:ascii="Times New Roman" w:eastAsia="宋体" w:hAnsi="Times New Roman" w:cs="Times New Roman" w:hint="eastAsia"/>
                      <w:color w:val="FF0000"/>
                      <w:kern w:val="0"/>
                      <w:szCs w:val="21"/>
                      <w:lang w:bidi="ar"/>
                    </w:rPr>
                  </w:pPr>
                  <w:r>
                    <w:rPr>
                      <w:rFonts w:ascii="Times New Roman" w:eastAsia="宋体" w:hAnsi="Times New Roman" w:cs="Times New Roman" w:hint="eastAsia"/>
                      <w:color w:val="FF0000"/>
                      <w:kern w:val="0"/>
                      <w:sz w:val="21"/>
                      <w:szCs w:val="21"/>
                      <w:lang w:val="en-US" w:eastAsia="zh-CN" w:bidi="ar"/>
                    </w:rPr>
                    <w:t>加强建筑垃圾分类处理和回收利用。促进主要农业废弃</w:t>
                  </w:r>
                </w:p>
                <w:p>
                  <w:pPr>
                    <w:keepNext w:val="0"/>
                    <w:keepLines w:val="0"/>
                    <w:widowControl/>
                    <w:suppressLineNumbers w:val="0"/>
                    <w:jc w:val="left"/>
                    <w:rPr>
                      <w:rFonts w:ascii="Times New Roman" w:hAnsi="Times New Roman" w:cs="Times New Roman" w:hint="default"/>
                      <w:color w:val="FF0000"/>
                      <w:kern w:val="0"/>
                      <w:szCs w:val="21"/>
                      <w:lang w:bidi="ar"/>
                    </w:rPr>
                  </w:pPr>
                  <w:r>
                    <w:rPr>
                      <w:rFonts w:ascii="Times New Roman" w:eastAsia="宋体" w:hAnsi="Times New Roman" w:cs="Times New Roman" w:hint="eastAsia"/>
                      <w:color w:val="FF0000"/>
                      <w:kern w:val="0"/>
                      <w:sz w:val="21"/>
                      <w:szCs w:val="21"/>
                      <w:lang w:val="en-US" w:eastAsia="zh-CN" w:bidi="ar"/>
                    </w:rPr>
                    <w:t>物全量利用。开展非正规固体废物堆存场所排查整治。推进</w:t>
                  </w:r>
                  <w:r>
                    <w:rPr>
                      <w:rFonts w:ascii="Times New Roman" w:eastAsia="宋体" w:hAnsi="Times New Roman" w:cs="Times New Roman" w:hint="eastAsia"/>
                      <w:color w:val="FF0000"/>
                      <w:kern w:val="0"/>
                      <w:sz w:val="21"/>
                      <w:szCs w:val="21"/>
                      <w:lang w:val="en-US" w:eastAsia="zh-CN" w:bidi="ar"/>
                    </w:rPr>
                    <w:t>“</w:t>
                  </w:r>
                  <w:r>
                    <w:rPr>
                      <w:rFonts w:ascii="Times New Roman" w:eastAsia="宋体" w:hAnsi="Times New Roman" w:cs="Times New Roman" w:hint="eastAsia"/>
                      <w:color w:val="FF0000"/>
                      <w:kern w:val="0"/>
                      <w:sz w:val="21"/>
                      <w:szCs w:val="21"/>
                      <w:lang w:val="en-US" w:eastAsia="zh-CN" w:bidi="ar"/>
                    </w:rPr>
                    <w:t>无废城市</w:t>
                  </w:r>
                  <w:r>
                    <w:rPr>
                      <w:rFonts w:ascii="Times New Roman" w:eastAsia="宋体" w:hAnsi="Times New Roman" w:cs="Times New Roman" w:hint="eastAsia"/>
                      <w:color w:val="FF0000"/>
                      <w:kern w:val="0"/>
                      <w:sz w:val="21"/>
                      <w:szCs w:val="21"/>
                      <w:lang w:val="en-US" w:eastAsia="zh-CN" w:bidi="ar"/>
                    </w:rPr>
                    <w:t>”</w:t>
                  </w:r>
                  <w:r>
                    <w:rPr>
                      <w:rFonts w:ascii="Times New Roman" w:eastAsia="宋体" w:hAnsi="Times New Roman" w:cs="Times New Roman" w:hint="eastAsia"/>
                      <w:color w:val="FF0000"/>
                      <w:kern w:val="0"/>
                      <w:sz w:val="21"/>
                      <w:szCs w:val="21"/>
                      <w:lang w:val="en-US" w:eastAsia="zh-CN" w:bidi="ar"/>
                    </w:rPr>
                    <w:t>建设。到2025年，新增大宗固体废物综合利用率达到60%，存量大宗固体废物有序减少。</w:t>
                  </w:r>
                </w:p>
              </w:tc>
              <w:tc>
                <w:tcPr>
                  <w:tcW w:w="1984" w:type="dxa"/>
                  <w:vAlign w:val="center"/>
                </w:tcPr>
                <w:p>
                  <w:pPr>
                    <w:keepNext w:val="0"/>
                    <w:keepLines w:val="0"/>
                    <w:widowControl/>
                    <w:suppressLineNumbers w:val="0"/>
                    <w:spacing w:before="0"/>
                    <w:jc w:val="left"/>
                    <w:rPr>
                      <w:rFonts w:ascii="Times New Roman" w:hAnsi="Times New Roman" w:cs="Times New Roman" w:hint="default"/>
                      <w:color w:val="FF0000"/>
                      <w:szCs w:val="21"/>
                    </w:rPr>
                  </w:pPr>
                  <w:r>
                    <w:rPr>
                      <w:rFonts w:ascii="Times New Roman" w:eastAsia="宋体" w:hAnsi="Times New Roman" w:cs="Times New Roman" w:hint="default"/>
                      <w:color w:val="FF0000"/>
                      <w:kern w:val="0"/>
                      <w:sz w:val="21"/>
                      <w:szCs w:val="21"/>
                      <w:lang w:val="en-US" w:eastAsia="zh-CN" w:bidi="ar"/>
                    </w:rPr>
                    <w:t>生产废水沉淀后回用于生产，不外排；初期雨水收集后回用于生产，不外排；生活污水经化粪池处理后</w:t>
                  </w:r>
                  <w:r>
                    <w:rPr>
                      <w:rFonts w:ascii="Times New Roman" w:eastAsia="宋体" w:hAnsi="Times New Roman" w:cs="Times New Roman" w:hint="eastAsia"/>
                      <w:color w:val="FF0000"/>
                      <w:kern w:val="0"/>
                      <w:sz w:val="21"/>
                      <w:szCs w:val="21"/>
                      <w:lang w:val="en-US" w:eastAsia="zh-CN" w:bidi="ar"/>
                    </w:rPr>
                    <w:t>清掏施肥</w:t>
                  </w:r>
                  <w:r>
                    <w:rPr>
                      <w:rFonts w:ascii="Times New Roman" w:eastAsia="宋体" w:hAnsi="Times New Roman" w:cs="Times New Roman" w:hint="default"/>
                      <w:color w:val="FF0000"/>
                      <w:kern w:val="0"/>
                      <w:sz w:val="21"/>
                      <w:szCs w:val="21"/>
                      <w:lang w:val="en-US" w:eastAsia="zh-CN" w:bidi="ar"/>
                    </w:rPr>
                    <w:t>。</w:t>
                  </w:r>
                </w:p>
              </w:tc>
              <w:tc>
                <w:tcPr>
                  <w:tcW w:w="621" w:type="dxa"/>
                  <w:vAlign w:val="center"/>
                </w:tcPr>
                <w:p/>
              </w:tc>
            </w:tr>
            <w:tr>
              <w:tblPrEx>
                <w:tblW w:w="5000" w:type="pct"/>
                <w:jc w:val="center"/>
                <w:tblInd w:w="113" w:type="dxa"/>
                <w:tblLayout w:type="fixed"/>
                <w:tblCellMar>
                  <w:top w:w="0" w:type="dxa"/>
                  <w:left w:w="108" w:type="dxa"/>
                  <w:bottom w:w="0" w:type="dxa"/>
                  <w:right w:w="108" w:type="dxa"/>
                </w:tblCellMar>
                <w:tblLook w:val="0000"/>
              </w:tblPrEx>
              <w:trPr>
                <w:trHeight w:val="1875"/>
                <w:jc w:val="center"/>
              </w:trPr>
              <w:tc>
                <w:tcPr>
                  <w:tcW w:w="1282" w:type="dxa"/>
                  <w:vAlign w:val="center"/>
                </w:tcPr>
                <w:p>
                  <w:pPr>
                    <w:keepNext w:val="0"/>
                    <w:keepLines w:val="0"/>
                    <w:widowControl/>
                    <w:suppressLineNumbers w:val="0"/>
                    <w:jc w:val="left"/>
                    <w:rPr>
                      <w:rFonts w:ascii="Times New Roman" w:hAnsi="Times New Roman" w:cs="Times New Roman" w:hint="default"/>
                      <w:color w:val="FF0000"/>
                      <w:szCs w:val="21"/>
                    </w:rPr>
                  </w:pPr>
                  <w:r>
                    <w:rPr>
                      <w:rFonts w:ascii="Times New Roman" w:eastAsia="宋体" w:hAnsi="Times New Roman" w:cs="Times New Roman" w:hint="default"/>
                      <w:b w:val="0"/>
                      <w:bCs/>
                      <w:color w:val="FF0000"/>
                      <w:kern w:val="0"/>
                      <w:sz w:val="21"/>
                      <w:szCs w:val="21"/>
                      <w:lang w:val="en-US" w:eastAsia="zh-CN" w:bidi="ar"/>
                    </w:rPr>
                    <w:t>《陕西省蓝天保卫战202</w:t>
                  </w:r>
                  <w:r>
                    <w:rPr>
                      <w:rFonts w:ascii="Times New Roman" w:eastAsia="宋体" w:hAnsi="Times New Roman" w:cs="Times New Roman" w:hint="eastAsia"/>
                      <w:b w:val="0"/>
                      <w:bCs/>
                      <w:color w:val="FF0000"/>
                      <w:kern w:val="0"/>
                      <w:sz w:val="21"/>
                      <w:szCs w:val="21"/>
                      <w:lang w:val="en-US" w:eastAsia="zh-CN" w:bidi="ar"/>
                    </w:rPr>
                    <w:t>1</w:t>
                  </w:r>
                  <w:r>
                    <w:rPr>
                      <w:rFonts w:ascii="Times New Roman" w:eastAsia="宋体" w:hAnsi="Times New Roman" w:cs="Times New Roman" w:hint="default"/>
                      <w:b w:val="0"/>
                      <w:bCs/>
                      <w:color w:val="FF0000"/>
                      <w:kern w:val="0"/>
                      <w:sz w:val="21"/>
                      <w:szCs w:val="21"/>
                      <w:lang w:val="en-US" w:eastAsia="zh-CN" w:bidi="ar"/>
                    </w:rPr>
                    <w:t>年工作方案》</w:t>
                  </w:r>
                  <w:r>
                    <w:rPr>
                      <w:rFonts w:ascii="Times New Roman" w:eastAsia="宋体" w:hAnsi="Times New Roman" w:cs="Times New Roman" w:hint="eastAsia"/>
                      <w:b w:val="0"/>
                      <w:bCs/>
                      <w:color w:val="FF0000"/>
                      <w:kern w:val="0"/>
                      <w:sz w:val="21"/>
                      <w:szCs w:val="21"/>
                      <w:lang w:val="en-US" w:eastAsia="zh-CN" w:bidi="ar"/>
                    </w:rPr>
                    <w:t>（</w:t>
                  </w:r>
                  <w:r>
                    <w:rPr>
                      <w:rFonts w:ascii="Times New Roman" w:eastAsia="宋体" w:hAnsi="Times New Roman" w:cs="Times New Roman" w:hint="default"/>
                      <w:b w:val="0"/>
                      <w:bCs/>
                      <w:color w:val="FF0000"/>
                      <w:kern w:val="0"/>
                      <w:sz w:val="21"/>
                      <w:szCs w:val="21"/>
                      <w:lang w:val="en-US" w:eastAsia="zh-CN" w:bidi="ar"/>
                    </w:rPr>
                    <w:t>陕政办函</w:t>
                  </w:r>
                  <w:r>
                    <w:rPr>
                      <w:rFonts w:ascii="Times New Roman" w:eastAsia="宋体" w:hAnsi="Times New Roman" w:cs="Times New Roman" w:hint="eastAsia"/>
                      <w:b w:val="0"/>
                      <w:bCs/>
                      <w:color w:val="FF0000"/>
                      <w:kern w:val="0"/>
                      <w:sz w:val="21"/>
                      <w:szCs w:val="21"/>
                      <w:lang w:val="en-US" w:eastAsia="zh-CN" w:bidi="ar"/>
                    </w:rPr>
                    <w:t>[</w:t>
                  </w:r>
                  <w:r>
                    <w:rPr>
                      <w:rFonts w:ascii="Times New Roman" w:eastAsia="宋体" w:hAnsi="Times New Roman" w:cs="Times New Roman" w:hint="default"/>
                      <w:b w:val="0"/>
                      <w:bCs/>
                      <w:color w:val="FF0000"/>
                      <w:kern w:val="0"/>
                      <w:sz w:val="21"/>
                      <w:szCs w:val="21"/>
                      <w:lang w:val="en-US" w:eastAsia="zh-CN" w:bidi="ar"/>
                    </w:rPr>
                    <w:t>2021</w:t>
                  </w:r>
                  <w:r>
                    <w:rPr>
                      <w:rFonts w:ascii="Times New Roman" w:eastAsia="宋体" w:hAnsi="Times New Roman" w:cs="Times New Roman" w:hint="eastAsia"/>
                      <w:b w:val="0"/>
                      <w:bCs/>
                      <w:color w:val="FF0000"/>
                      <w:kern w:val="0"/>
                      <w:sz w:val="21"/>
                      <w:szCs w:val="21"/>
                      <w:lang w:val="en-US" w:eastAsia="zh-CN" w:bidi="ar"/>
                    </w:rPr>
                    <w:t>]</w:t>
                  </w:r>
                  <w:r>
                    <w:rPr>
                      <w:rFonts w:ascii="Times New Roman" w:eastAsia="宋体" w:hAnsi="Times New Roman" w:cs="Times New Roman" w:hint="default"/>
                      <w:b w:val="0"/>
                      <w:bCs/>
                      <w:color w:val="FF0000"/>
                      <w:kern w:val="0"/>
                      <w:sz w:val="21"/>
                      <w:szCs w:val="21"/>
                      <w:lang w:val="en-US" w:eastAsia="zh-CN" w:bidi="ar"/>
                    </w:rPr>
                    <w:t>100号</w:t>
                  </w:r>
                  <w:r>
                    <w:rPr>
                      <w:rFonts w:ascii="Times New Roman" w:eastAsia="宋体" w:hAnsi="Times New Roman" w:cs="Times New Roman" w:hint="eastAsia"/>
                      <w:b w:val="0"/>
                      <w:bCs/>
                      <w:color w:val="FF0000"/>
                      <w:kern w:val="0"/>
                      <w:sz w:val="21"/>
                      <w:szCs w:val="21"/>
                      <w:lang w:val="en-US" w:eastAsia="zh-CN" w:bidi="ar"/>
                    </w:rPr>
                    <w:t>）</w:t>
                  </w:r>
                </w:p>
              </w:tc>
              <w:tc>
                <w:tcPr>
                  <w:tcW w:w="2901" w:type="dxa"/>
                  <w:vAlign w:val="center"/>
                </w:tcPr>
                <w:p>
                  <w:pPr>
                    <w:keepNext w:val="0"/>
                    <w:keepLines w:val="0"/>
                    <w:widowControl/>
                    <w:suppressLineNumbers w:val="0"/>
                    <w:jc w:val="left"/>
                    <w:rPr>
                      <w:rFonts w:ascii="Times New Roman" w:hAnsi="Times New Roman" w:cs="Times New Roman" w:hint="default"/>
                      <w:color w:val="FF0000"/>
                      <w:kern w:val="0"/>
                      <w:szCs w:val="21"/>
                      <w:lang w:bidi="ar"/>
                    </w:rPr>
                  </w:pPr>
                  <w:r>
                    <w:rPr>
                      <w:rFonts w:ascii="Times New Roman" w:eastAsia="宋体" w:hAnsi="Times New Roman" w:cs="Times New Roman" w:hint="default"/>
                      <w:color w:val="FF0000"/>
                      <w:kern w:val="0"/>
                      <w:sz w:val="21"/>
                      <w:szCs w:val="21"/>
                      <w:lang w:val="en-US" w:eastAsia="zh-CN" w:bidi="ar"/>
                    </w:rPr>
                    <w:t>加强物料堆场扬尘管控。加强煤炭、商品混凝土、粉煤灰、矿石等工业企业物料堆场的围墙、喷淋、覆盖和围挡等防风抑尘措施，配套建设收尘和密封物料仓库建设。采用密闭输送设备作业的</w:t>
                  </w:r>
                  <w:r>
                    <w:rPr>
                      <w:rFonts w:ascii="Times New Roman" w:eastAsia="宋体" w:hAnsi="Times New Roman" w:cs="Times New Roman" w:hint="eastAsia"/>
                      <w:color w:val="FF0000"/>
                      <w:kern w:val="0"/>
                      <w:sz w:val="21"/>
                      <w:szCs w:val="21"/>
                      <w:lang w:val="en-US" w:eastAsia="zh-CN" w:bidi="ar"/>
                    </w:rPr>
                    <w:t>，</w:t>
                  </w:r>
                  <w:r>
                    <w:rPr>
                      <w:rFonts w:ascii="Times New Roman" w:eastAsia="宋体" w:hAnsi="Times New Roman" w:cs="Times New Roman" w:hint="default"/>
                      <w:color w:val="FF0000"/>
                      <w:kern w:val="0"/>
                      <w:sz w:val="21"/>
                      <w:szCs w:val="21"/>
                      <w:lang w:val="en-US" w:eastAsia="zh-CN" w:bidi="ar"/>
                    </w:rPr>
                    <w:t>必须在装卸时采用吸尘、喷淋防尘措施。严禁露天装卸作业和物料干法作业。</w:t>
                  </w:r>
                </w:p>
              </w:tc>
              <w:tc>
                <w:tcPr>
                  <w:tcW w:w="1984" w:type="dxa"/>
                  <w:vAlign w:val="center"/>
                </w:tcPr>
                <w:p>
                  <w:pPr>
                    <w:keepNext w:val="0"/>
                    <w:keepLines w:val="0"/>
                    <w:widowControl/>
                    <w:suppressLineNumbers w:val="0"/>
                    <w:jc w:val="left"/>
                    <w:rPr>
                      <w:rFonts w:ascii="Times New Roman" w:hAnsi="Times New Roman" w:cs="Times New Roman" w:hint="default"/>
                      <w:color w:val="FF0000"/>
                      <w:szCs w:val="21"/>
                    </w:rPr>
                  </w:pPr>
                  <w:r>
                    <w:rPr>
                      <w:rFonts w:ascii="Times New Roman" w:eastAsia="宋体" w:hAnsi="Times New Roman" w:cs="Times New Roman" w:hint="default"/>
                      <w:color w:val="FF0000"/>
                      <w:kern w:val="0"/>
                      <w:sz w:val="21"/>
                      <w:szCs w:val="21"/>
                      <w:lang w:val="en-US" w:eastAsia="zh-CN" w:bidi="ar"/>
                    </w:rPr>
                    <w:t>本项目本项目采用封闭厂房，原料、成品库设置喷淋装置；场区道路硬化，定期洒水抑尘，减少无组织排放</w:t>
                  </w:r>
                </w:p>
              </w:tc>
              <w:tc>
                <w:tcPr>
                  <w:tcW w:w="621" w:type="dxa"/>
                  <w:vAlign w:val="center"/>
                </w:tcPr>
                <w:p>
                  <w:pPr>
                    <w:adjustRightInd w:val="0"/>
                    <w:snapToGrid w:val="0"/>
                    <w:spacing w:line="240" w:lineRule="auto"/>
                    <w:jc w:val="center"/>
                    <w:rPr>
                      <w:rFonts w:ascii="Times New Roman" w:eastAsia="宋体" w:hAnsi="Times New Roman" w:cs="Times New Roman" w:hint="default"/>
                      <w:color w:val="FF0000"/>
                      <w:szCs w:val="21"/>
                    </w:rPr>
                  </w:pPr>
                  <w:r>
                    <w:rPr>
                      <w:rFonts w:ascii="Times New Roman" w:hAnsi="Times New Roman" w:cs="Times New Roman" w:hint="default"/>
                      <w:color w:val="FF0000"/>
                      <w:sz w:val="21"/>
                      <w:szCs w:val="21"/>
                      <w:lang w:val="en-US" w:eastAsia="zh-CN"/>
                    </w:rPr>
                    <w:t>符合</w:t>
                  </w:r>
                </w:p>
              </w:tc>
            </w:tr>
            <w:tr>
              <w:tblPrEx>
                <w:tblW w:w="5000" w:type="pct"/>
                <w:jc w:val="center"/>
                <w:tblInd w:w="113" w:type="dxa"/>
                <w:tblLayout w:type="fixed"/>
                <w:tblCellMar>
                  <w:top w:w="0" w:type="dxa"/>
                  <w:left w:w="108" w:type="dxa"/>
                  <w:bottom w:w="0" w:type="dxa"/>
                  <w:right w:w="108" w:type="dxa"/>
                </w:tblCellMar>
                <w:tblLook w:val="0000"/>
              </w:tblPrEx>
              <w:trPr>
                <w:trHeight w:val="340"/>
                <w:jc w:val="center"/>
              </w:trPr>
              <w:tc>
                <w:tcPr>
                  <w:tcW w:w="1282" w:type="dxa"/>
                  <w:vAlign w:val="center"/>
                </w:tcPr>
                <w:p>
                  <w:pPr>
                    <w:adjustRightInd w:val="0"/>
                    <w:snapToGrid w:val="0"/>
                    <w:spacing w:line="240" w:lineRule="auto"/>
                    <w:jc w:val="center"/>
                    <w:rPr>
                      <w:rFonts w:ascii="Times New Roman" w:eastAsia="宋体" w:hAnsi="Times New Roman" w:cs="Times New Roman" w:hint="eastAsia"/>
                      <w:color w:val="FF0000"/>
                      <w:szCs w:val="21"/>
                    </w:rPr>
                  </w:pPr>
                  <w:r>
                    <w:rPr>
                      <w:rFonts w:ascii="Times New Roman" w:hAnsi="Times New Roman" w:cs="Times New Roman" w:hint="eastAsia"/>
                      <w:color w:val="FF0000"/>
                      <w:sz w:val="21"/>
                      <w:szCs w:val="21"/>
                      <w:lang w:eastAsia="zh-CN"/>
                    </w:rPr>
                    <w:t>《渭南市蓝天保卫战2021年工作实施方案》渭政办函</w:t>
                  </w:r>
                  <w:r>
                    <w:rPr>
                      <w:rFonts w:ascii="Times New Roman" w:hAnsi="Times New Roman" w:cs="Times New Roman" w:hint="eastAsia"/>
                      <w:color w:val="FF0000"/>
                      <w:sz w:val="21"/>
                      <w:szCs w:val="21"/>
                      <w:lang w:val="en-US" w:eastAsia="zh-CN"/>
                    </w:rPr>
                    <w:t>[</w:t>
                  </w:r>
                  <w:r>
                    <w:rPr>
                      <w:rFonts w:ascii="Times New Roman" w:hAnsi="Times New Roman" w:cs="Times New Roman" w:hint="eastAsia"/>
                      <w:color w:val="FF0000"/>
                      <w:sz w:val="21"/>
                      <w:szCs w:val="21"/>
                      <w:lang w:eastAsia="zh-CN"/>
                    </w:rPr>
                    <w:t>2021</w:t>
                  </w:r>
                  <w:r>
                    <w:rPr>
                      <w:rFonts w:ascii="Times New Roman" w:hAnsi="Times New Roman" w:cs="Times New Roman" w:hint="eastAsia"/>
                      <w:color w:val="FF0000"/>
                      <w:sz w:val="21"/>
                      <w:szCs w:val="21"/>
                      <w:lang w:val="en-US" w:eastAsia="zh-CN"/>
                    </w:rPr>
                    <w:t>]</w:t>
                  </w:r>
                  <w:r>
                    <w:rPr>
                      <w:rFonts w:ascii="Times New Roman" w:hAnsi="Times New Roman" w:cs="Times New Roman" w:hint="eastAsia"/>
                      <w:color w:val="FF0000"/>
                      <w:sz w:val="21"/>
                      <w:szCs w:val="21"/>
                      <w:lang w:eastAsia="zh-CN"/>
                    </w:rPr>
                    <w:t>124 号</w:t>
                  </w:r>
                </w:p>
              </w:tc>
              <w:tc>
                <w:tcPr>
                  <w:tcW w:w="2901" w:type="dxa"/>
                  <w:vAlign w:val="center"/>
                </w:tcPr>
                <w:p>
                  <w:pPr>
                    <w:widowControl/>
                    <w:spacing w:line="240" w:lineRule="auto"/>
                    <w:jc w:val="center"/>
                    <w:rPr>
                      <w:rFonts w:ascii="Times New Roman" w:hAnsi="Times New Roman" w:cs="Times New Roman" w:hint="default"/>
                      <w:color w:val="FF0000"/>
                      <w:kern w:val="0"/>
                      <w:szCs w:val="21"/>
                      <w:lang w:bidi="ar"/>
                    </w:rPr>
                  </w:pPr>
                  <w:r>
                    <w:rPr>
                      <w:rFonts w:ascii="Times New Roman" w:hAnsi="Times New Roman" w:cs="Times New Roman" w:hint="default"/>
                      <w:color w:val="FF0000"/>
                      <w:kern w:val="0"/>
                      <w:sz w:val="21"/>
                      <w:szCs w:val="21"/>
                      <w:lang w:bidi="ar"/>
                    </w:rPr>
                    <w:t>加强物料堆场扬尘监管。严格落实煤炭、商品混凝土、粉煤灰等工业企业物料堆场防尘措施，配套建设收尘和密封物料仓库，建设围墙、喷淋、覆盖和围挡等防风抑尘措施。采用密闭输送设备作业的，必须在装卸处配备吸尘、喷淋等防尘设施，并保持防尘设施的正常使用，严禁露天装卸作业和物料干法作业。〔市生态环境局牵头，各县市区政府（管委会）落实〕</w:t>
                  </w:r>
                </w:p>
              </w:tc>
              <w:tc>
                <w:tcPr>
                  <w:tcW w:w="1984" w:type="dxa"/>
                  <w:vAlign w:val="center"/>
                </w:tcPr>
                <w:p>
                  <w:pPr>
                    <w:adjustRightInd w:val="0"/>
                    <w:snapToGrid w:val="0"/>
                    <w:spacing w:line="240" w:lineRule="auto"/>
                    <w:jc w:val="center"/>
                    <w:rPr>
                      <w:rFonts w:ascii="Times New Roman" w:hAnsi="Times New Roman" w:cs="Times New Roman" w:hint="default"/>
                      <w:color w:val="FF0000"/>
                      <w:kern w:val="0"/>
                      <w:szCs w:val="21"/>
                      <w:lang w:bidi="ar"/>
                    </w:rPr>
                  </w:pPr>
                  <w:r>
                    <w:rPr>
                      <w:rFonts w:ascii="Times New Roman" w:eastAsia="宋体" w:hAnsi="Times New Roman" w:cs="Times New Roman" w:hint="default"/>
                      <w:color w:val="FF0000"/>
                      <w:kern w:val="0"/>
                      <w:sz w:val="21"/>
                      <w:szCs w:val="21"/>
                      <w:lang w:val="en-US" w:eastAsia="zh-CN" w:bidi="ar"/>
                    </w:rPr>
                    <w:t>本项目本项目采用封闭厂房，原料、成品库设置喷淋装置；场区道路硬化，定期洒水抑尘，减少无组织排放</w:t>
                  </w:r>
                </w:p>
              </w:tc>
              <w:tc>
                <w:tcPr>
                  <w:tcW w:w="621" w:type="dxa"/>
                  <w:vAlign w:val="center"/>
                </w:tcPr>
                <w:p>
                  <w:pPr>
                    <w:adjustRightInd w:val="0"/>
                    <w:snapToGrid w:val="0"/>
                    <w:spacing w:line="240" w:lineRule="auto"/>
                    <w:jc w:val="center"/>
                    <w:rPr>
                      <w:rFonts w:ascii="Times New Roman" w:eastAsia="宋体" w:hAnsi="Times New Roman" w:cs="Times New Roman" w:hint="default"/>
                      <w:color w:val="FF0000"/>
                      <w:szCs w:val="21"/>
                    </w:rPr>
                  </w:pPr>
                  <w:r>
                    <w:rPr>
                      <w:rFonts w:ascii="Times New Roman" w:hAnsi="Times New Roman" w:cs="Times New Roman" w:hint="eastAsia"/>
                      <w:color w:val="FF0000"/>
                      <w:sz w:val="21"/>
                      <w:szCs w:val="21"/>
                      <w:lang w:val="en-US" w:eastAsia="zh-CN"/>
                    </w:rPr>
                    <w:t>符合</w:t>
                  </w:r>
                </w:p>
              </w:tc>
            </w:tr>
          </w:tbl>
          <w:p>
            <w:pPr>
              <w:spacing w:line="360" w:lineRule="auto"/>
              <w:ind w:firstLine="480" w:firstLineChars="200"/>
              <w:jc w:val="left"/>
              <w:rPr>
                <w:rFonts w:hint="eastAsia"/>
                <w:sz w:val="24"/>
              </w:rPr>
            </w:pPr>
          </w:p>
          <w:p>
            <w:pPr>
              <w:adjustRightInd w:val="0"/>
              <w:spacing w:line="360" w:lineRule="auto"/>
              <w:jc w:val="left"/>
              <w:rPr>
                <w:sz w:val="24"/>
              </w:rPr>
            </w:pPr>
          </w:p>
          <w:p>
            <w:pPr>
              <w:adjustRightInd w:val="0"/>
              <w:spacing w:line="360" w:lineRule="auto"/>
              <w:ind w:firstLine="480" w:firstLineChars="200"/>
              <w:jc w:val="left"/>
              <w:rPr>
                <w:sz w:val="24"/>
              </w:rPr>
            </w:pPr>
          </w:p>
          <w:p>
            <w:pPr>
              <w:adjustRightInd w:val="0"/>
              <w:spacing w:line="360" w:lineRule="auto"/>
              <w:ind w:firstLine="480" w:firstLineChars="200"/>
              <w:jc w:val="left"/>
              <w:rPr>
                <w:sz w:val="24"/>
              </w:rPr>
            </w:pPr>
          </w:p>
          <w:p>
            <w:pPr>
              <w:adjustRightInd w:val="0"/>
              <w:spacing w:line="360" w:lineRule="auto"/>
              <w:jc w:val="left"/>
              <w:rPr>
                <w:sz w:val="24"/>
              </w:rPr>
            </w:pPr>
          </w:p>
        </w:tc>
      </w:tr>
    </w:tbl>
    <w:p>
      <w:pPr>
        <w:spacing w:line="360" w:lineRule="auto"/>
        <w:outlineLvl w:val="0"/>
        <w:rPr>
          <w:rFonts w:eastAsia="黑体"/>
          <w:sz w:val="30"/>
        </w:rPr>
        <w:sectPr>
          <w:footerReference w:type="even" r:id="rId16"/>
          <w:footerReference w:type="default" r:id="rId17"/>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6"/>
          <w:cols w:space="708"/>
          <w:titlePg w:val="0"/>
          <w:docGrid w:linePitch="312"/>
        </w:sectPr>
      </w:pPr>
    </w:p>
    <w:p>
      <w:pPr>
        <w:pStyle w:val="NormalWeb"/>
        <w:jc w:val="center"/>
        <w:outlineLvl w:val="0"/>
        <w:rPr>
          <w:rFonts w:ascii="黑体" w:eastAsia="黑体" w:hAnsi="黑体"/>
          <w:snapToGrid w:val="0"/>
          <w:sz w:val="30"/>
          <w:szCs w:val="30"/>
        </w:rPr>
      </w:pPr>
      <w:r>
        <w:rPr>
          <w:rFonts w:ascii="黑体" w:eastAsia="黑体" w:hAnsi="黑体" w:hint="eastAsia"/>
          <w:snapToGrid w:val="0"/>
          <w:sz w:val="30"/>
          <w:szCs w:val="30"/>
        </w:rPr>
        <w:t>二、建设项目工程分析</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3"/>
        <w:gridCol w:w="8161"/>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823" w:type="dxa"/>
            <w:vAlign w:val="center"/>
          </w:tcPr>
          <w:p>
            <w:pPr>
              <w:pStyle w:val="NormalWeb"/>
              <w:adjustRightInd w:val="0"/>
              <w:snapToGrid w:val="0"/>
              <w:spacing w:before="0" w:beforeAutospacing="0" w:after="0" w:afterAutospacing="0"/>
              <w:jc w:val="center"/>
              <w:rPr>
                <w:rFonts w:cs="宋体"/>
                <w:sz w:val="21"/>
                <w:szCs w:val="21"/>
              </w:rPr>
            </w:pPr>
            <w:r>
              <w:rPr>
                <w:rFonts w:cs="宋体" w:hint="eastAsia"/>
                <w:sz w:val="21"/>
                <w:szCs w:val="21"/>
              </w:rPr>
              <w:t>建设内容</w:t>
            </w:r>
          </w:p>
        </w:tc>
        <w:tc>
          <w:tcPr>
            <w:tcW w:w="8161" w:type="dxa"/>
          </w:tcPr>
          <w:p>
            <w:pPr>
              <w:wordWrap w:val="0"/>
              <w:adjustRightInd w:val="0"/>
              <w:snapToGrid w:val="0"/>
              <w:spacing w:line="360" w:lineRule="auto"/>
              <w:ind w:firstLine="480" w:firstLineChars="200"/>
              <w:jc w:val="left"/>
              <w:rPr>
                <w:sz w:val="24"/>
              </w:rPr>
            </w:pPr>
            <w:r>
              <w:rPr>
                <w:sz w:val="24"/>
              </w:rPr>
              <w:t>1、项目基本情况</w:t>
            </w:r>
          </w:p>
          <w:p>
            <w:pPr>
              <w:adjustRightInd w:val="0"/>
              <w:spacing w:line="360" w:lineRule="auto"/>
              <w:ind w:firstLine="480" w:firstLineChars="200"/>
              <w:jc w:val="left"/>
              <w:rPr>
                <w:sz w:val="24"/>
              </w:rPr>
            </w:pPr>
            <w:r>
              <w:rPr>
                <w:sz w:val="24"/>
              </w:rPr>
              <w:t>项目名称：</w:t>
            </w:r>
            <w:r>
              <w:rPr>
                <w:rFonts w:hint="eastAsia"/>
                <w:sz w:val="24"/>
              </w:rPr>
              <w:t>蒲城</w:t>
            </w:r>
            <w:r>
              <w:rPr>
                <w:rFonts w:hint="eastAsia"/>
                <w:sz w:val="24"/>
                <w:lang w:val="en-US" w:eastAsia="zh-CN"/>
              </w:rPr>
              <w:t>腾旺</w:t>
            </w:r>
            <w:r>
              <w:rPr>
                <w:rFonts w:hint="eastAsia"/>
                <w:sz w:val="24"/>
              </w:rPr>
              <w:t>年产20万吨机制砂生产线建设项目</w:t>
            </w:r>
          </w:p>
          <w:p>
            <w:pPr>
              <w:adjustRightInd w:val="0"/>
              <w:spacing w:line="360" w:lineRule="auto"/>
              <w:ind w:firstLine="480" w:firstLineChars="200"/>
              <w:jc w:val="left"/>
              <w:rPr>
                <w:sz w:val="24"/>
              </w:rPr>
            </w:pPr>
            <w:r>
              <w:rPr>
                <w:sz w:val="24"/>
              </w:rPr>
              <w:t>建设性质：新建</w:t>
            </w:r>
          </w:p>
          <w:p>
            <w:pPr>
              <w:adjustRightInd w:val="0"/>
              <w:spacing w:line="360" w:lineRule="auto"/>
              <w:ind w:firstLine="480" w:firstLineChars="200"/>
              <w:jc w:val="left"/>
              <w:rPr>
                <w:sz w:val="24"/>
              </w:rPr>
            </w:pPr>
            <w:r>
              <w:rPr>
                <w:sz w:val="24"/>
              </w:rPr>
              <w:t>建设规模：年产20万吨机制砂</w:t>
            </w:r>
          </w:p>
          <w:p>
            <w:pPr>
              <w:adjustRightInd w:val="0"/>
              <w:spacing w:line="360" w:lineRule="auto"/>
              <w:ind w:firstLine="480" w:firstLineChars="200"/>
              <w:jc w:val="left"/>
              <w:rPr>
                <w:sz w:val="24"/>
              </w:rPr>
            </w:pPr>
            <w:r>
              <w:rPr>
                <w:sz w:val="24"/>
              </w:rPr>
              <w:t>建设单位：</w:t>
            </w:r>
            <w:r>
              <w:rPr>
                <w:rFonts w:hint="eastAsia"/>
                <w:sz w:val="24"/>
              </w:rPr>
              <w:t>蒲城县</w:t>
            </w:r>
            <w:r>
              <w:rPr>
                <w:rFonts w:hint="eastAsia"/>
                <w:sz w:val="24"/>
                <w:lang w:val="en-US" w:eastAsia="zh-CN"/>
              </w:rPr>
              <w:t>腾旺</w:t>
            </w:r>
            <w:r>
              <w:rPr>
                <w:rFonts w:hint="eastAsia"/>
                <w:sz w:val="24"/>
              </w:rPr>
              <w:t>新型建材有限公司</w:t>
            </w:r>
          </w:p>
          <w:p>
            <w:pPr>
              <w:adjustRightInd w:val="0"/>
              <w:spacing w:line="360" w:lineRule="auto"/>
              <w:ind w:firstLine="480" w:firstLineChars="200"/>
              <w:jc w:val="left"/>
              <w:rPr>
                <w:sz w:val="24"/>
              </w:rPr>
            </w:pPr>
            <w:r>
              <w:rPr>
                <w:sz w:val="24"/>
              </w:rPr>
              <w:t>建设地点：</w:t>
            </w:r>
            <w:r>
              <w:rPr>
                <w:rFonts w:hint="eastAsia"/>
                <w:sz w:val="24"/>
              </w:rPr>
              <w:t>蒲城县</w:t>
            </w:r>
            <w:r>
              <w:rPr>
                <w:rFonts w:hint="eastAsia"/>
                <w:sz w:val="24"/>
                <w:lang w:val="en-US" w:eastAsia="zh-CN"/>
              </w:rPr>
              <w:t>兴</w:t>
            </w:r>
            <w:r>
              <w:rPr>
                <w:rFonts w:hint="eastAsia"/>
                <w:sz w:val="24"/>
              </w:rPr>
              <w:t>镇</w:t>
            </w:r>
            <w:r>
              <w:rPr>
                <w:rFonts w:hint="eastAsia"/>
                <w:sz w:val="24"/>
                <w:lang w:val="en-US" w:eastAsia="zh-CN"/>
              </w:rPr>
              <w:t>兴北</w:t>
            </w:r>
            <w:r>
              <w:rPr>
                <w:rFonts w:hint="eastAsia"/>
                <w:sz w:val="24"/>
              </w:rPr>
              <w:t>村</w:t>
            </w:r>
          </w:p>
          <w:p>
            <w:pPr>
              <w:wordWrap w:val="0"/>
              <w:adjustRightInd w:val="0"/>
              <w:spacing w:line="360" w:lineRule="auto"/>
              <w:ind w:firstLine="480" w:firstLineChars="200"/>
              <w:jc w:val="left"/>
              <w:rPr>
                <w:sz w:val="24"/>
              </w:rPr>
            </w:pPr>
            <w:r>
              <w:rPr>
                <w:rFonts w:hint="eastAsia"/>
                <w:sz w:val="24"/>
              </w:rPr>
              <w:t>项目位置与四邻关系：</w:t>
            </w:r>
            <w:r>
              <w:rPr>
                <w:sz w:val="24"/>
              </w:rPr>
              <w:t>本项目位于</w:t>
            </w:r>
            <w:r>
              <w:rPr>
                <w:rFonts w:hint="eastAsia"/>
                <w:sz w:val="24"/>
              </w:rPr>
              <w:t>蒲城县</w:t>
            </w:r>
            <w:r>
              <w:rPr>
                <w:rFonts w:hint="eastAsia"/>
                <w:sz w:val="24"/>
                <w:lang w:val="en-US" w:eastAsia="zh-CN"/>
              </w:rPr>
              <w:t>兴</w:t>
            </w:r>
            <w:r>
              <w:rPr>
                <w:rFonts w:hint="eastAsia"/>
                <w:sz w:val="24"/>
              </w:rPr>
              <w:t>镇</w:t>
            </w:r>
            <w:r>
              <w:rPr>
                <w:rFonts w:hint="eastAsia"/>
                <w:sz w:val="24"/>
                <w:lang w:val="en-US" w:eastAsia="zh-CN"/>
              </w:rPr>
              <w:t>兴北</w:t>
            </w:r>
            <w:r>
              <w:rPr>
                <w:rFonts w:hint="eastAsia"/>
                <w:sz w:val="24"/>
              </w:rPr>
              <w:t>村</w:t>
            </w:r>
            <w:r>
              <w:rPr>
                <w:sz w:val="24"/>
              </w:rPr>
              <w:t>（项目地中心坐标N</w:t>
            </w:r>
            <w:r>
              <w:rPr>
                <w:rFonts w:hint="eastAsia"/>
                <w:sz w:val="24"/>
                <w:u w:val="none"/>
                <w:lang w:eastAsia="zh-CN"/>
              </w:rPr>
              <w:t>：</w:t>
            </w:r>
            <w:r>
              <w:rPr>
                <w:sz w:val="24"/>
                <w:u w:val="none"/>
              </w:rPr>
              <w:t>34</w:t>
            </w:r>
            <w:r>
              <w:rPr>
                <w:rFonts w:ascii="Times New Roman" w:hAnsi="Times New Roman" w:cs="Times New Roman" w:hint="default"/>
                <w:sz w:val="24"/>
                <w:u w:val="none"/>
                <w:lang w:val="en-US" w:eastAsia="zh-CN"/>
              </w:rPr>
              <w:t>°</w:t>
            </w:r>
            <w:r>
              <w:rPr>
                <w:rFonts w:hint="eastAsia"/>
                <w:sz w:val="24"/>
                <w:u w:val="none"/>
                <w:lang w:val="en-US" w:eastAsia="zh-CN"/>
              </w:rPr>
              <w:t>56</w:t>
            </w:r>
            <w:r>
              <w:rPr>
                <w:rFonts w:ascii="Times New Roman" w:hAnsi="Times New Roman" w:cs="Times New Roman" w:hint="default"/>
                <w:sz w:val="24"/>
                <w:u w:val="none"/>
                <w:lang w:val="en-US" w:eastAsia="zh-CN"/>
              </w:rPr>
              <w:t>′</w:t>
            </w:r>
            <w:r>
              <w:rPr>
                <w:rFonts w:hint="eastAsia"/>
                <w:sz w:val="24"/>
                <w:u w:val="none"/>
                <w:lang w:val="en-US" w:eastAsia="zh-CN"/>
              </w:rPr>
              <w:t>27.240</w:t>
            </w:r>
            <w:r>
              <w:rPr>
                <w:rFonts w:ascii="Times New Roman" w:hAnsi="Times New Roman" w:cs="Times New Roman" w:hint="default"/>
                <w:sz w:val="24"/>
                <w:u w:val="none"/>
                <w:lang w:val="en-US" w:eastAsia="zh-CN"/>
              </w:rPr>
              <w:t>″</w:t>
            </w:r>
            <w:r>
              <w:rPr>
                <w:rFonts w:hint="eastAsia"/>
                <w:sz w:val="24"/>
                <w:lang w:eastAsia="zh-CN"/>
              </w:rPr>
              <w:t>、</w:t>
            </w:r>
            <w:r>
              <w:rPr>
                <w:sz w:val="24"/>
              </w:rPr>
              <w:t>E</w:t>
            </w:r>
            <w:r>
              <w:rPr>
                <w:rFonts w:hint="eastAsia"/>
                <w:sz w:val="24"/>
              </w:rPr>
              <w:t>：</w:t>
            </w:r>
            <w:r>
              <w:rPr>
                <w:rFonts w:ascii="Times New Roman" w:hAnsi="Times New Roman" w:cs="Times New Roman" w:hint="default"/>
                <w:sz w:val="24"/>
                <w:u w:val="none"/>
                <w:lang w:val="en-US" w:eastAsia="zh-CN"/>
              </w:rPr>
              <w:t>109</w:t>
            </w:r>
            <w:r>
              <w:rPr>
                <w:rFonts w:ascii="Times New Roman" w:hAnsi="Times New Roman" w:cs="Times New Roman" w:hint="default"/>
                <w:sz w:val="24"/>
                <w:u w:val="none"/>
                <w:lang w:val="en-US" w:eastAsia="zh-CN"/>
              </w:rPr>
              <w:t>°</w:t>
            </w:r>
            <w:r>
              <w:rPr>
                <w:rFonts w:ascii="Times New Roman" w:hAnsi="Times New Roman" w:cs="Times New Roman" w:hint="default"/>
                <w:sz w:val="24"/>
                <w:u w:val="none"/>
                <w:lang w:val="en-US" w:eastAsia="zh-CN"/>
              </w:rPr>
              <w:t>27</w:t>
            </w:r>
            <w:r>
              <w:rPr>
                <w:rFonts w:ascii="Times New Roman" w:hAnsi="Times New Roman" w:cs="Times New Roman" w:hint="default"/>
                <w:sz w:val="24"/>
                <w:u w:val="none"/>
                <w:lang w:val="en-US" w:eastAsia="zh-CN"/>
              </w:rPr>
              <w:t>′</w:t>
            </w:r>
            <w:r>
              <w:rPr>
                <w:rFonts w:ascii="Times New Roman" w:hAnsi="Times New Roman" w:cs="Times New Roman" w:hint="default"/>
                <w:sz w:val="24"/>
                <w:u w:val="none"/>
                <w:lang w:val="en-US" w:eastAsia="zh-CN"/>
              </w:rPr>
              <w:t>22.080</w:t>
            </w:r>
            <w:r>
              <w:rPr>
                <w:rFonts w:ascii="Times New Roman" w:hAnsi="Times New Roman" w:cs="Times New Roman" w:hint="default"/>
                <w:sz w:val="24"/>
                <w:u w:val="none"/>
                <w:lang w:val="en-US" w:eastAsia="zh-CN"/>
              </w:rPr>
              <w:t>″</w:t>
            </w:r>
            <w:r>
              <w:rPr>
                <w:sz w:val="24"/>
              </w:rPr>
              <w:t>），项目东、</w:t>
            </w:r>
            <w:r>
              <w:rPr>
                <w:rFonts w:hint="eastAsia"/>
                <w:sz w:val="24"/>
                <w:lang w:val="en-US" w:eastAsia="zh-CN"/>
              </w:rPr>
              <w:t>西侧</w:t>
            </w:r>
            <w:r>
              <w:rPr>
                <w:rFonts w:hint="eastAsia"/>
                <w:sz w:val="24"/>
              </w:rPr>
              <w:t>紧邻</w:t>
            </w:r>
            <w:r>
              <w:rPr>
                <w:rFonts w:hint="eastAsia"/>
                <w:sz w:val="24"/>
                <w:lang w:val="en-US" w:eastAsia="zh-CN"/>
              </w:rPr>
              <w:t>生产路</w:t>
            </w:r>
            <w:r>
              <w:rPr>
                <w:sz w:val="24"/>
              </w:rPr>
              <w:t>，</w:t>
            </w:r>
            <w:r>
              <w:rPr>
                <w:rFonts w:hint="eastAsia"/>
                <w:sz w:val="24"/>
                <w:lang w:val="en-US" w:eastAsia="zh-CN"/>
              </w:rPr>
              <w:t>南侧、北侧紧邻耕地</w:t>
            </w:r>
            <w:r>
              <w:rPr>
                <w:rFonts w:hint="eastAsia"/>
                <w:sz w:val="24"/>
              </w:rPr>
              <w:t>，</w:t>
            </w:r>
            <w:r>
              <w:rPr>
                <w:rFonts w:hint="eastAsia"/>
                <w:sz w:val="24"/>
                <w:lang w:val="en-US" w:eastAsia="zh-CN"/>
              </w:rPr>
              <w:t>东</w:t>
            </w:r>
            <w:r>
              <w:rPr>
                <w:sz w:val="24"/>
              </w:rPr>
              <w:t>距</w:t>
            </w:r>
            <w:r>
              <w:rPr>
                <w:rFonts w:hint="eastAsia"/>
                <w:sz w:val="24"/>
                <w:lang w:val="en-US" w:eastAsia="zh-CN"/>
              </w:rPr>
              <w:t>219县道</w:t>
            </w:r>
            <w:r>
              <w:rPr>
                <w:sz w:val="24"/>
              </w:rPr>
              <w:t>约</w:t>
            </w:r>
            <w:r>
              <w:rPr>
                <w:rFonts w:hint="eastAsia"/>
                <w:sz w:val="24"/>
                <w:lang w:val="en-US" w:eastAsia="zh-CN"/>
              </w:rPr>
              <w:t>200</w:t>
            </w:r>
            <w:r>
              <w:rPr>
                <w:rFonts w:hint="eastAsia"/>
                <w:sz w:val="24"/>
              </w:rPr>
              <w:t>米</w:t>
            </w:r>
            <w:r>
              <w:rPr>
                <w:sz w:val="24"/>
              </w:rPr>
              <w:t>。具体地理位置见附图1，四邻关系见附图2。</w:t>
            </w:r>
          </w:p>
          <w:p>
            <w:pPr>
              <w:wordWrap w:val="0"/>
              <w:adjustRightInd w:val="0"/>
              <w:snapToGrid w:val="0"/>
              <w:spacing w:line="360" w:lineRule="auto"/>
              <w:ind w:firstLine="480" w:firstLineChars="200"/>
              <w:jc w:val="left"/>
              <w:rPr>
                <w:sz w:val="24"/>
              </w:rPr>
            </w:pPr>
            <w:r>
              <w:rPr>
                <w:sz w:val="24"/>
              </w:rPr>
              <w:t>2、主要建设内容</w:t>
            </w:r>
          </w:p>
          <w:p>
            <w:pPr>
              <w:adjustRightInd w:val="0"/>
              <w:spacing w:line="360" w:lineRule="auto"/>
              <w:ind w:firstLine="480" w:firstLineChars="200"/>
              <w:jc w:val="left"/>
              <w:rPr>
                <w:sz w:val="24"/>
              </w:rPr>
            </w:pPr>
            <w:r>
              <w:rPr>
                <w:sz w:val="24"/>
              </w:rPr>
              <w:t>本</w:t>
            </w:r>
            <w:r>
              <w:rPr>
                <w:sz w:val="24"/>
                <w:lang w:val="sq-AL"/>
              </w:rPr>
              <w:t>项目总</w:t>
            </w:r>
            <w:r>
              <w:rPr>
                <w:sz w:val="24"/>
              </w:rPr>
              <w:t>占地面积为</w:t>
            </w:r>
            <w:r>
              <w:rPr>
                <w:rFonts w:hint="eastAsia"/>
                <w:sz w:val="24"/>
              </w:rPr>
              <w:t>14216.24</w:t>
            </w:r>
            <w:r>
              <w:rPr>
                <w:sz w:val="24"/>
              </w:rPr>
              <w:t>m</w:t>
            </w:r>
            <w:r>
              <w:rPr>
                <w:sz w:val="24"/>
                <w:vertAlign w:val="superscript"/>
              </w:rPr>
              <w:t>2</w:t>
            </w:r>
            <w:r>
              <w:rPr>
                <w:sz w:val="24"/>
              </w:rPr>
              <w:t>，建设生产车间、原料库房、成品库房、沉淀池、综合办公用房</w:t>
            </w:r>
            <w:r>
              <w:rPr>
                <w:rFonts w:hint="eastAsia"/>
                <w:sz w:val="24"/>
                <w:lang w:eastAsia="zh-CN"/>
              </w:rPr>
              <w:t>、</w:t>
            </w:r>
            <w:r>
              <w:rPr>
                <w:rFonts w:hint="eastAsia"/>
                <w:sz w:val="24"/>
                <w:lang w:val="en-US" w:eastAsia="zh-CN"/>
              </w:rPr>
              <w:t>地磅</w:t>
            </w:r>
            <w:r>
              <w:rPr>
                <w:sz w:val="24"/>
              </w:rPr>
              <w:t>及配电室等相关配套设施</w:t>
            </w:r>
            <w:r>
              <w:rPr>
                <w:sz w:val="24"/>
                <w:lang w:val="zh-CN"/>
              </w:rPr>
              <w:t>。</w:t>
            </w:r>
            <w:r>
              <w:rPr>
                <w:sz w:val="24"/>
              </w:rPr>
              <w:t>详见下表。</w:t>
            </w:r>
          </w:p>
          <w:p>
            <w:pPr>
              <w:adjustRightInd w:val="0"/>
              <w:snapToGrid w:val="0"/>
              <w:jc w:val="center"/>
              <w:rPr>
                <w:b/>
                <w:szCs w:val="21"/>
              </w:rPr>
            </w:pPr>
            <w:r>
              <w:rPr>
                <w:rFonts w:eastAsia="黑体"/>
                <w:sz w:val="24"/>
              </w:rPr>
              <w:t>表</w:t>
            </w:r>
            <w:r>
              <w:rPr>
                <w:rFonts w:eastAsia="黑体" w:hint="eastAsia"/>
                <w:sz w:val="24"/>
                <w:lang w:val="en-US" w:eastAsia="zh-CN"/>
              </w:rPr>
              <w:t xml:space="preserve">2 </w:t>
            </w:r>
            <w:r>
              <w:rPr>
                <w:rFonts w:eastAsia="黑体"/>
                <w:sz w:val="24"/>
              </w:rPr>
              <w:t xml:space="preserve"> 建设项目组成一览表</w:t>
            </w:r>
            <w:r>
              <w:rPr>
                <w:b/>
                <w:szCs w:val="21"/>
              </w:rPr>
              <w:t xml:space="preserve"> </w:t>
            </w:r>
          </w:p>
          <w:tbl>
            <w:tblPr>
              <w:tblStyle w:val="TableNormal"/>
              <w:tblW w:w="4998"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96"/>
              <w:gridCol w:w="1109"/>
              <w:gridCol w:w="5135"/>
              <w:gridCol w:w="992"/>
            </w:tblGrid>
            <w:tr>
              <w:tblPrEx>
                <w:tblW w:w="4998"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tblHeader/>
                <w:jc w:val="center"/>
              </w:trPr>
              <w:tc>
                <w:tcPr>
                  <w:tcW w:w="1137" w:type="pct"/>
                  <w:gridSpan w:val="2"/>
                  <w:vAlign w:val="center"/>
                </w:tcPr>
                <w:p>
                  <w:pPr>
                    <w:keepNext w:val="0"/>
                    <w:keepLines w:val="0"/>
                    <w:pageBreakBefore w:val="0"/>
                    <w:kinsoku/>
                    <w:wordWrap/>
                    <w:overflowPunct/>
                    <w:topLinePunct w:val="0"/>
                    <w:bidi w:val="0"/>
                    <w:adjustRightInd w:val="0"/>
                    <w:snapToGrid w:val="0"/>
                    <w:spacing w:line="240" w:lineRule="auto"/>
                    <w:jc w:val="center"/>
                    <w:rPr>
                      <w:szCs w:val="21"/>
                    </w:rPr>
                  </w:pPr>
                  <w:r>
                    <w:rPr>
                      <w:szCs w:val="21"/>
                    </w:rPr>
                    <w:t>项目组成</w:t>
                  </w:r>
                </w:p>
              </w:tc>
              <w:tc>
                <w:tcPr>
                  <w:tcW w:w="3236" w:type="pct"/>
                  <w:vAlign w:val="center"/>
                </w:tcPr>
                <w:p>
                  <w:pPr>
                    <w:keepNext w:val="0"/>
                    <w:keepLines w:val="0"/>
                    <w:pageBreakBefore w:val="0"/>
                    <w:kinsoku/>
                    <w:wordWrap/>
                    <w:overflowPunct/>
                    <w:topLinePunct w:val="0"/>
                    <w:bidi w:val="0"/>
                    <w:adjustRightInd w:val="0"/>
                    <w:snapToGrid w:val="0"/>
                    <w:spacing w:line="240" w:lineRule="auto"/>
                    <w:jc w:val="center"/>
                    <w:rPr>
                      <w:szCs w:val="21"/>
                    </w:rPr>
                  </w:pPr>
                  <w:r>
                    <w:rPr>
                      <w:szCs w:val="21"/>
                    </w:rPr>
                    <w:t>建设内容</w:t>
                  </w:r>
                </w:p>
              </w:tc>
              <w:tc>
                <w:tcPr>
                  <w:tcW w:w="625" w:type="pct"/>
                  <w:vAlign w:val="center"/>
                </w:tcPr>
                <w:p>
                  <w:pPr>
                    <w:keepNext w:val="0"/>
                    <w:keepLines w:val="0"/>
                    <w:pageBreakBefore w:val="0"/>
                    <w:kinsoku/>
                    <w:wordWrap/>
                    <w:overflowPunct/>
                    <w:topLinePunct w:val="0"/>
                    <w:bidi w:val="0"/>
                    <w:adjustRightInd w:val="0"/>
                    <w:snapToGrid w:val="0"/>
                    <w:spacing w:line="240" w:lineRule="auto"/>
                    <w:jc w:val="center"/>
                    <w:rPr>
                      <w:szCs w:val="21"/>
                    </w:rPr>
                  </w:pPr>
                  <w:r>
                    <w:rPr>
                      <w:szCs w:val="21"/>
                    </w:rPr>
                    <w:t>备注</w:t>
                  </w:r>
                </w:p>
              </w:tc>
            </w:tr>
            <w:tr>
              <w:tblPrEx>
                <w:tblW w:w="4998" w:type="pct"/>
                <w:jc w:val="center"/>
                <w:tblInd w:w="113" w:type="dxa"/>
                <w:tblLayout w:type="fixed"/>
                <w:tblCellMar>
                  <w:top w:w="0" w:type="dxa"/>
                  <w:left w:w="108" w:type="dxa"/>
                  <w:bottom w:w="0" w:type="dxa"/>
                  <w:right w:w="108" w:type="dxa"/>
                </w:tblCellMar>
                <w:tblLook w:val="0000"/>
              </w:tblPrEx>
              <w:trPr>
                <w:trHeight w:val="454"/>
                <w:jc w:val="center"/>
              </w:trPr>
              <w:tc>
                <w:tcPr>
                  <w:tcW w:w="438" w:type="pct"/>
                  <w:vAlign w:val="center"/>
                </w:tcPr>
                <w:p>
                  <w:pPr>
                    <w:keepNext w:val="0"/>
                    <w:keepLines w:val="0"/>
                    <w:pageBreakBefore w:val="0"/>
                    <w:kinsoku/>
                    <w:wordWrap/>
                    <w:overflowPunct/>
                    <w:topLinePunct w:val="0"/>
                    <w:bidi w:val="0"/>
                    <w:adjustRightInd w:val="0"/>
                    <w:snapToGrid w:val="0"/>
                    <w:spacing w:line="240" w:lineRule="auto"/>
                    <w:jc w:val="center"/>
                    <w:rPr>
                      <w:szCs w:val="21"/>
                    </w:rPr>
                  </w:pPr>
                  <w:r>
                    <w:rPr>
                      <w:szCs w:val="21"/>
                    </w:rPr>
                    <w:t>主体工程</w:t>
                  </w:r>
                </w:p>
              </w:tc>
              <w:tc>
                <w:tcPr>
                  <w:tcW w:w="699" w:type="pct"/>
                  <w:vAlign w:val="center"/>
                </w:tcPr>
                <w:p>
                  <w:pPr>
                    <w:keepNext w:val="0"/>
                    <w:keepLines w:val="0"/>
                    <w:pageBreakBefore w:val="0"/>
                    <w:kinsoku/>
                    <w:wordWrap/>
                    <w:overflowPunct/>
                    <w:topLinePunct w:val="0"/>
                    <w:bidi w:val="0"/>
                    <w:adjustRightInd w:val="0"/>
                    <w:snapToGrid w:val="0"/>
                    <w:spacing w:line="240" w:lineRule="auto"/>
                    <w:jc w:val="center"/>
                    <w:rPr>
                      <w:szCs w:val="21"/>
                    </w:rPr>
                  </w:pPr>
                  <w:r>
                    <w:rPr>
                      <w:szCs w:val="21"/>
                    </w:rPr>
                    <w:t>生产车间</w:t>
                  </w:r>
                </w:p>
              </w:tc>
              <w:tc>
                <w:tcPr>
                  <w:tcW w:w="3236" w:type="pct"/>
                  <w:vAlign w:val="center"/>
                </w:tcPr>
                <w:p>
                  <w:pPr>
                    <w:keepNext w:val="0"/>
                    <w:keepLines w:val="0"/>
                    <w:pageBreakBefore w:val="0"/>
                    <w:kinsoku/>
                    <w:wordWrap/>
                    <w:overflowPunct/>
                    <w:topLinePunct w:val="0"/>
                    <w:bidi w:val="0"/>
                    <w:adjustRightInd w:val="0"/>
                    <w:snapToGrid w:val="0"/>
                    <w:spacing w:line="240" w:lineRule="auto"/>
                    <w:jc w:val="center"/>
                    <w:rPr>
                      <w:rFonts w:eastAsia="宋体" w:hint="default"/>
                      <w:szCs w:val="21"/>
                    </w:rPr>
                  </w:pPr>
                  <w:r>
                    <w:rPr>
                      <w:szCs w:val="21"/>
                    </w:rPr>
                    <w:t>建筑面积为</w:t>
                  </w:r>
                  <w:r>
                    <w:rPr>
                      <w:rFonts w:hint="eastAsia"/>
                      <w:szCs w:val="21"/>
                      <w:lang w:val="en-US" w:eastAsia="zh-CN"/>
                    </w:rPr>
                    <w:t>2600</w:t>
                  </w:r>
                  <w:r>
                    <w:rPr>
                      <w:szCs w:val="21"/>
                    </w:rPr>
                    <w:t>m</w:t>
                  </w:r>
                  <w:r>
                    <w:rPr>
                      <w:szCs w:val="21"/>
                      <w:vertAlign w:val="superscript"/>
                    </w:rPr>
                    <w:t>2</w:t>
                  </w:r>
                  <w:r>
                    <w:rPr>
                      <w:szCs w:val="21"/>
                    </w:rPr>
                    <w:t>，H=10m，1层轻钢结构，建设1条年产20万吨机制砂</w:t>
                  </w:r>
                  <w:r>
                    <w:rPr>
                      <w:rFonts w:hint="eastAsia"/>
                      <w:szCs w:val="21"/>
                      <w:lang w:val="en-US" w:eastAsia="zh-CN"/>
                    </w:rPr>
                    <w:t>生产线</w:t>
                  </w:r>
                  <w:r>
                    <w:rPr>
                      <w:szCs w:val="21"/>
                    </w:rPr>
                    <w:t>，主要生产设备为</w:t>
                  </w:r>
                  <w:r>
                    <w:rPr>
                      <w:rFonts w:hint="eastAsia"/>
                      <w:szCs w:val="21"/>
                      <w:lang w:val="en-US" w:eastAsia="zh-CN"/>
                    </w:rPr>
                    <w:t>给</w:t>
                  </w:r>
                  <w:r>
                    <w:rPr>
                      <w:szCs w:val="21"/>
                    </w:rPr>
                    <w:t>料机、</w:t>
                  </w:r>
                  <w:r>
                    <w:rPr>
                      <w:rFonts w:hint="eastAsia"/>
                      <w:szCs w:val="21"/>
                      <w:lang w:val="en-US" w:eastAsia="zh-CN"/>
                    </w:rPr>
                    <w:t>立式冲击破碎机、</w:t>
                  </w:r>
                  <w:r>
                    <w:rPr>
                      <w:szCs w:val="21"/>
                    </w:rPr>
                    <w:t>圆锥式破碎机、皮带输送机、筛选机、洗砂机等</w:t>
                  </w:r>
                  <w:r>
                    <w:rPr>
                      <w:rFonts w:hint="eastAsia"/>
                      <w:szCs w:val="21"/>
                      <w:lang w:eastAsia="zh-CN"/>
                    </w:rPr>
                    <w:t>，</w:t>
                  </w:r>
                  <w:r>
                    <w:rPr>
                      <w:rFonts w:hint="eastAsia"/>
                      <w:color w:val="FF0000"/>
                      <w:szCs w:val="21"/>
                      <w:lang w:val="en-US" w:eastAsia="zh-CN"/>
                    </w:rPr>
                    <w:t>生产过程全部位于封闭生产车间内。</w:t>
                  </w:r>
                </w:p>
              </w:tc>
              <w:tc>
                <w:tcPr>
                  <w:tcW w:w="625" w:type="pct"/>
                  <w:vAlign w:val="center"/>
                </w:tcPr>
                <w:p>
                  <w:pPr>
                    <w:keepNext w:val="0"/>
                    <w:keepLines w:val="0"/>
                    <w:pageBreakBefore w:val="0"/>
                    <w:widowControl/>
                    <w:kinsoku/>
                    <w:wordWrap/>
                    <w:overflowPunct/>
                    <w:topLinePunct w:val="0"/>
                    <w:bidi w:val="0"/>
                    <w:spacing w:line="240" w:lineRule="auto"/>
                    <w:jc w:val="center"/>
                    <w:rPr>
                      <w:szCs w:val="21"/>
                    </w:rPr>
                  </w:pPr>
                  <w:r>
                    <w:rPr>
                      <w:szCs w:val="21"/>
                    </w:rPr>
                    <w:t>新建</w:t>
                  </w:r>
                </w:p>
              </w:tc>
            </w:tr>
            <w:tr>
              <w:tblPrEx>
                <w:tblW w:w="4998" w:type="pct"/>
                <w:jc w:val="center"/>
                <w:tblInd w:w="113" w:type="dxa"/>
                <w:tblLayout w:type="fixed"/>
                <w:tblCellMar>
                  <w:top w:w="0" w:type="dxa"/>
                  <w:left w:w="108" w:type="dxa"/>
                  <w:bottom w:w="0" w:type="dxa"/>
                  <w:right w:w="108" w:type="dxa"/>
                </w:tblCellMar>
                <w:tblLook w:val="0000"/>
              </w:tblPrEx>
              <w:trPr>
                <w:trHeight w:val="454"/>
                <w:jc w:val="center"/>
              </w:trPr>
              <w:tc>
                <w:tcPr>
                  <w:tcW w:w="438" w:type="pct"/>
                  <w:vMerge w:val="restart"/>
                  <w:vAlign w:val="center"/>
                </w:tcPr>
                <w:p>
                  <w:pPr>
                    <w:keepNext w:val="0"/>
                    <w:keepLines w:val="0"/>
                    <w:pageBreakBefore w:val="0"/>
                    <w:kinsoku/>
                    <w:wordWrap/>
                    <w:overflowPunct/>
                    <w:topLinePunct w:val="0"/>
                    <w:bidi w:val="0"/>
                    <w:adjustRightInd w:val="0"/>
                    <w:snapToGrid w:val="0"/>
                    <w:spacing w:line="240" w:lineRule="auto"/>
                    <w:jc w:val="center"/>
                    <w:rPr>
                      <w:szCs w:val="21"/>
                    </w:rPr>
                  </w:pPr>
                  <w:r>
                    <w:rPr>
                      <w:szCs w:val="21"/>
                    </w:rPr>
                    <w:t>辅助工程</w:t>
                  </w:r>
                </w:p>
              </w:tc>
              <w:tc>
                <w:tcPr>
                  <w:tcW w:w="699" w:type="pct"/>
                  <w:vAlign w:val="center"/>
                </w:tcPr>
                <w:p>
                  <w:pPr>
                    <w:keepNext w:val="0"/>
                    <w:keepLines w:val="0"/>
                    <w:pageBreakBefore w:val="0"/>
                    <w:kinsoku/>
                    <w:wordWrap/>
                    <w:overflowPunct/>
                    <w:topLinePunct w:val="0"/>
                    <w:bidi w:val="0"/>
                    <w:adjustRightInd w:val="0"/>
                    <w:snapToGrid w:val="0"/>
                    <w:spacing w:line="240" w:lineRule="auto"/>
                    <w:jc w:val="center"/>
                    <w:rPr>
                      <w:kern w:val="0"/>
                      <w:szCs w:val="21"/>
                      <w:lang w:bidi="he-IL"/>
                    </w:rPr>
                  </w:pPr>
                  <w:r>
                    <w:rPr>
                      <w:kern w:val="0"/>
                      <w:szCs w:val="21"/>
                      <w:lang w:bidi="he-IL"/>
                    </w:rPr>
                    <w:t>办公室</w:t>
                  </w:r>
                </w:p>
              </w:tc>
              <w:tc>
                <w:tcPr>
                  <w:tcW w:w="3236" w:type="pct"/>
                  <w:vAlign w:val="center"/>
                </w:tcPr>
                <w:p>
                  <w:pPr>
                    <w:keepNext w:val="0"/>
                    <w:keepLines w:val="0"/>
                    <w:pageBreakBefore w:val="0"/>
                    <w:kinsoku/>
                    <w:wordWrap/>
                    <w:overflowPunct/>
                    <w:topLinePunct w:val="0"/>
                    <w:bidi w:val="0"/>
                    <w:adjustRightInd w:val="0"/>
                    <w:snapToGrid w:val="0"/>
                    <w:spacing w:line="240" w:lineRule="auto"/>
                    <w:jc w:val="center"/>
                    <w:rPr>
                      <w:szCs w:val="21"/>
                    </w:rPr>
                  </w:pPr>
                  <w:r>
                    <w:rPr>
                      <w:szCs w:val="21"/>
                    </w:rPr>
                    <w:t>建筑面积为</w:t>
                  </w:r>
                  <w:r>
                    <w:rPr>
                      <w:rFonts w:hint="eastAsia"/>
                      <w:szCs w:val="21"/>
                      <w:lang w:val="en-US" w:eastAsia="zh-CN"/>
                    </w:rPr>
                    <w:t>240</w:t>
                  </w:r>
                  <w:r>
                    <w:rPr>
                      <w:szCs w:val="21"/>
                    </w:rPr>
                    <w:t>m</w:t>
                  </w:r>
                  <w:r>
                    <w:rPr>
                      <w:szCs w:val="21"/>
                      <w:vertAlign w:val="superscript"/>
                    </w:rPr>
                    <w:t>2</w:t>
                  </w:r>
                  <w:r>
                    <w:rPr>
                      <w:szCs w:val="21"/>
                    </w:rPr>
                    <w:t>，主要用于员工日常办公。</w:t>
                  </w:r>
                </w:p>
              </w:tc>
              <w:tc>
                <w:tcPr>
                  <w:tcW w:w="625" w:type="pct"/>
                  <w:vAlign w:val="center"/>
                </w:tcPr>
                <w:p>
                  <w:pPr>
                    <w:keepNext w:val="0"/>
                    <w:keepLines w:val="0"/>
                    <w:pageBreakBefore w:val="0"/>
                    <w:widowControl/>
                    <w:kinsoku/>
                    <w:wordWrap/>
                    <w:overflowPunct/>
                    <w:topLinePunct w:val="0"/>
                    <w:bidi w:val="0"/>
                    <w:spacing w:line="240" w:lineRule="auto"/>
                    <w:jc w:val="center"/>
                    <w:rPr>
                      <w:rFonts w:eastAsia="宋体" w:hint="default"/>
                      <w:szCs w:val="21"/>
                    </w:rPr>
                  </w:pPr>
                  <w:r>
                    <w:rPr>
                      <w:rFonts w:ascii="Calibri" w:hAnsi="Calibri" w:hint="eastAsia"/>
                      <w:lang w:val="en-US" w:eastAsia="zh-CN"/>
                    </w:rPr>
                    <w:t>依托</w:t>
                  </w:r>
                </w:p>
              </w:tc>
            </w:tr>
            <w:tr>
              <w:tblPrEx>
                <w:tblW w:w="4998" w:type="pct"/>
                <w:jc w:val="center"/>
                <w:tblInd w:w="113" w:type="dxa"/>
                <w:tblLayout w:type="fixed"/>
                <w:tblCellMar>
                  <w:top w:w="0" w:type="dxa"/>
                  <w:left w:w="108" w:type="dxa"/>
                  <w:bottom w:w="0" w:type="dxa"/>
                  <w:right w:w="108" w:type="dxa"/>
                </w:tblCellMar>
                <w:tblLook w:val="0000"/>
              </w:tblPrEx>
              <w:trPr>
                <w:trHeight w:val="454"/>
                <w:jc w:val="center"/>
              </w:trPr>
              <w:tc>
                <w:tcPr>
                  <w:tcW w:w="438" w:type="pct"/>
                  <w:vMerge/>
                  <w:vAlign w:val="center"/>
                </w:tcPr>
                <w:p>
                  <w:pPr>
                    <w:keepNext w:val="0"/>
                    <w:keepLines w:val="0"/>
                    <w:pageBreakBefore w:val="0"/>
                    <w:kinsoku/>
                    <w:wordWrap/>
                    <w:overflowPunct/>
                    <w:topLinePunct w:val="0"/>
                    <w:bidi w:val="0"/>
                    <w:adjustRightInd w:val="0"/>
                    <w:snapToGrid w:val="0"/>
                    <w:spacing w:line="240" w:lineRule="auto"/>
                    <w:jc w:val="center"/>
                    <w:rPr>
                      <w:szCs w:val="21"/>
                    </w:rPr>
                  </w:pPr>
                </w:p>
              </w:tc>
              <w:tc>
                <w:tcPr>
                  <w:tcW w:w="699" w:type="pct"/>
                  <w:vAlign w:val="center"/>
                </w:tcPr>
                <w:p>
                  <w:pPr>
                    <w:keepNext w:val="0"/>
                    <w:keepLines w:val="0"/>
                    <w:pageBreakBefore w:val="0"/>
                    <w:kinsoku/>
                    <w:wordWrap/>
                    <w:overflowPunct/>
                    <w:topLinePunct w:val="0"/>
                    <w:bidi w:val="0"/>
                    <w:adjustRightInd w:val="0"/>
                    <w:snapToGrid w:val="0"/>
                    <w:spacing w:line="240" w:lineRule="auto"/>
                    <w:jc w:val="center"/>
                    <w:rPr>
                      <w:kern w:val="0"/>
                      <w:szCs w:val="21"/>
                      <w:lang w:bidi="he-IL"/>
                    </w:rPr>
                  </w:pPr>
                  <w:r>
                    <w:rPr>
                      <w:kern w:val="0"/>
                      <w:szCs w:val="21"/>
                      <w:lang w:bidi="he-IL"/>
                    </w:rPr>
                    <w:t>配电室</w:t>
                  </w:r>
                </w:p>
              </w:tc>
              <w:tc>
                <w:tcPr>
                  <w:tcW w:w="3236" w:type="pct"/>
                  <w:vAlign w:val="center"/>
                </w:tcPr>
                <w:p>
                  <w:pPr>
                    <w:keepNext w:val="0"/>
                    <w:keepLines w:val="0"/>
                    <w:pageBreakBefore w:val="0"/>
                    <w:kinsoku/>
                    <w:wordWrap/>
                    <w:overflowPunct/>
                    <w:topLinePunct w:val="0"/>
                    <w:bidi w:val="0"/>
                    <w:adjustRightInd w:val="0"/>
                    <w:snapToGrid w:val="0"/>
                    <w:spacing w:line="240" w:lineRule="auto"/>
                    <w:jc w:val="center"/>
                    <w:rPr>
                      <w:rFonts w:eastAsia="宋体" w:hint="default"/>
                      <w:szCs w:val="21"/>
                    </w:rPr>
                  </w:pPr>
                  <w:r>
                    <w:rPr>
                      <w:szCs w:val="21"/>
                    </w:rPr>
                    <w:t>建筑面积为48m</w:t>
                  </w:r>
                  <w:r>
                    <w:rPr>
                      <w:szCs w:val="21"/>
                      <w:vertAlign w:val="superscript"/>
                    </w:rPr>
                    <w:t>2</w:t>
                  </w:r>
                  <w:r>
                    <w:rPr>
                      <w:rFonts w:hint="eastAsia"/>
                      <w:szCs w:val="21"/>
                      <w:lang w:eastAsia="zh-CN"/>
                    </w:rPr>
                    <w:t>，</w:t>
                  </w:r>
                  <w:r>
                    <w:rPr>
                      <w:rFonts w:hint="eastAsia"/>
                      <w:szCs w:val="21"/>
                      <w:lang w:val="en-US" w:eastAsia="zh-CN"/>
                    </w:rPr>
                    <w:t>位于厂区南侧</w:t>
                  </w:r>
                </w:p>
              </w:tc>
              <w:tc>
                <w:tcPr>
                  <w:tcW w:w="625" w:type="pct"/>
                  <w:vAlign w:val="center"/>
                </w:tcPr>
                <w:p>
                  <w:pPr>
                    <w:keepNext w:val="0"/>
                    <w:keepLines w:val="0"/>
                    <w:pageBreakBefore w:val="0"/>
                    <w:widowControl/>
                    <w:kinsoku/>
                    <w:wordWrap/>
                    <w:overflowPunct/>
                    <w:topLinePunct w:val="0"/>
                    <w:bidi w:val="0"/>
                    <w:spacing w:line="240" w:lineRule="auto"/>
                    <w:jc w:val="center"/>
                    <w:rPr>
                      <w:szCs w:val="21"/>
                      <w:highlight w:val="yellow"/>
                    </w:rPr>
                  </w:pPr>
                  <w:r>
                    <w:rPr>
                      <w:rFonts w:ascii="Calibri" w:hAnsi="Calibri" w:hint="eastAsia"/>
                    </w:rPr>
                    <w:t>新建</w:t>
                  </w:r>
                </w:p>
              </w:tc>
            </w:tr>
            <w:tr>
              <w:tblPrEx>
                <w:tblW w:w="4998" w:type="pct"/>
                <w:jc w:val="center"/>
                <w:tblInd w:w="113" w:type="dxa"/>
                <w:tblLayout w:type="fixed"/>
                <w:tblCellMar>
                  <w:top w:w="0" w:type="dxa"/>
                  <w:left w:w="108" w:type="dxa"/>
                  <w:bottom w:w="0" w:type="dxa"/>
                  <w:right w:w="108" w:type="dxa"/>
                </w:tblCellMar>
                <w:tblLook w:val="0000"/>
              </w:tblPrEx>
              <w:trPr>
                <w:trHeight w:val="454"/>
                <w:jc w:val="center"/>
              </w:trPr>
              <w:tc>
                <w:tcPr>
                  <w:tcW w:w="438" w:type="pct"/>
                  <w:vMerge/>
                  <w:vAlign w:val="center"/>
                </w:tcPr>
                <w:p>
                  <w:pPr>
                    <w:keepNext w:val="0"/>
                    <w:keepLines w:val="0"/>
                    <w:pageBreakBefore w:val="0"/>
                    <w:kinsoku/>
                    <w:wordWrap/>
                    <w:overflowPunct/>
                    <w:topLinePunct w:val="0"/>
                    <w:bidi w:val="0"/>
                    <w:adjustRightInd w:val="0"/>
                    <w:snapToGrid w:val="0"/>
                    <w:spacing w:line="240" w:lineRule="auto"/>
                    <w:jc w:val="center"/>
                    <w:rPr>
                      <w:szCs w:val="21"/>
                    </w:rPr>
                  </w:pPr>
                </w:p>
              </w:tc>
              <w:tc>
                <w:tcPr>
                  <w:tcW w:w="699" w:type="pct"/>
                  <w:vAlign w:val="center"/>
                </w:tcPr>
                <w:p>
                  <w:pPr>
                    <w:keepNext w:val="0"/>
                    <w:keepLines w:val="0"/>
                    <w:pageBreakBefore w:val="0"/>
                    <w:kinsoku/>
                    <w:wordWrap/>
                    <w:overflowPunct/>
                    <w:topLinePunct w:val="0"/>
                    <w:bidi w:val="0"/>
                    <w:adjustRightInd w:val="0"/>
                    <w:snapToGrid w:val="0"/>
                    <w:spacing w:line="240" w:lineRule="auto"/>
                    <w:jc w:val="center"/>
                    <w:rPr>
                      <w:kern w:val="0"/>
                      <w:szCs w:val="21"/>
                      <w:lang w:bidi="he-IL"/>
                    </w:rPr>
                  </w:pPr>
                  <w:r>
                    <w:rPr>
                      <w:kern w:val="0"/>
                      <w:szCs w:val="21"/>
                      <w:lang w:bidi="he-IL"/>
                    </w:rPr>
                    <w:t>洗车台</w:t>
                  </w:r>
                </w:p>
              </w:tc>
              <w:tc>
                <w:tcPr>
                  <w:tcW w:w="3236" w:type="pct"/>
                  <w:vAlign w:val="center"/>
                </w:tcPr>
                <w:p>
                  <w:pPr>
                    <w:keepNext w:val="0"/>
                    <w:keepLines w:val="0"/>
                    <w:pageBreakBefore w:val="0"/>
                    <w:kinsoku/>
                    <w:wordWrap/>
                    <w:overflowPunct/>
                    <w:topLinePunct w:val="0"/>
                    <w:bidi w:val="0"/>
                    <w:adjustRightInd w:val="0"/>
                    <w:snapToGrid w:val="0"/>
                    <w:spacing w:line="240" w:lineRule="auto"/>
                    <w:jc w:val="center"/>
                    <w:rPr>
                      <w:szCs w:val="21"/>
                    </w:rPr>
                  </w:pPr>
                  <w:r>
                    <w:rPr>
                      <w:szCs w:val="21"/>
                    </w:rPr>
                    <w:t>项目洗车台位于东侧大门口，进出车口设置洗车台，</w:t>
                  </w:r>
                  <w:r>
                    <w:rPr>
                      <w:szCs w:val="21"/>
                      <w:lang w:bidi="ar"/>
                    </w:rPr>
                    <w:t>设置1座沉淀池容积50m</w:t>
                  </w:r>
                  <w:r>
                    <w:rPr>
                      <w:szCs w:val="21"/>
                      <w:vertAlign w:val="superscript"/>
                      <w:lang w:bidi="ar"/>
                    </w:rPr>
                    <w:t>3</w:t>
                  </w:r>
                  <w:r>
                    <w:rPr>
                      <w:szCs w:val="21"/>
                    </w:rPr>
                    <w:t>，</w:t>
                  </w:r>
                  <w:r>
                    <w:rPr>
                      <w:szCs w:val="21"/>
                      <w:lang w:bidi="ar"/>
                    </w:rPr>
                    <w:t>汽车轮胎冲洗废水经沉淀池处理后循环使用</w:t>
                  </w:r>
                </w:p>
              </w:tc>
              <w:tc>
                <w:tcPr>
                  <w:tcW w:w="625" w:type="pct"/>
                  <w:vAlign w:val="center"/>
                </w:tcPr>
                <w:p>
                  <w:pPr>
                    <w:keepNext w:val="0"/>
                    <w:keepLines w:val="0"/>
                    <w:pageBreakBefore w:val="0"/>
                    <w:widowControl/>
                    <w:kinsoku/>
                    <w:wordWrap/>
                    <w:overflowPunct/>
                    <w:topLinePunct w:val="0"/>
                    <w:bidi w:val="0"/>
                    <w:spacing w:line="240" w:lineRule="auto"/>
                    <w:jc w:val="center"/>
                    <w:rPr>
                      <w:szCs w:val="21"/>
                    </w:rPr>
                  </w:pPr>
                  <w:r>
                    <w:rPr>
                      <w:szCs w:val="21"/>
                    </w:rPr>
                    <w:t>新建</w:t>
                  </w:r>
                </w:p>
              </w:tc>
            </w:tr>
            <w:tr>
              <w:tblPrEx>
                <w:tblW w:w="4998" w:type="pct"/>
                <w:jc w:val="center"/>
                <w:tblInd w:w="113" w:type="dxa"/>
                <w:tblLayout w:type="fixed"/>
                <w:tblCellMar>
                  <w:top w:w="0" w:type="dxa"/>
                  <w:left w:w="108" w:type="dxa"/>
                  <w:bottom w:w="0" w:type="dxa"/>
                  <w:right w:w="108" w:type="dxa"/>
                </w:tblCellMar>
                <w:tblLook w:val="0000"/>
              </w:tblPrEx>
              <w:trPr>
                <w:trHeight w:val="454"/>
                <w:jc w:val="center"/>
              </w:trPr>
              <w:tc>
                <w:tcPr>
                  <w:tcW w:w="438" w:type="pct"/>
                  <w:vMerge/>
                  <w:vAlign w:val="center"/>
                </w:tcPr>
                <w:p>
                  <w:pPr>
                    <w:keepNext w:val="0"/>
                    <w:keepLines w:val="0"/>
                    <w:pageBreakBefore w:val="0"/>
                    <w:kinsoku/>
                    <w:wordWrap/>
                    <w:overflowPunct/>
                    <w:topLinePunct w:val="0"/>
                    <w:bidi w:val="0"/>
                    <w:adjustRightInd w:val="0"/>
                    <w:snapToGrid w:val="0"/>
                    <w:spacing w:line="240" w:lineRule="auto"/>
                    <w:jc w:val="center"/>
                    <w:rPr>
                      <w:szCs w:val="21"/>
                    </w:rPr>
                  </w:pPr>
                </w:p>
              </w:tc>
              <w:tc>
                <w:tcPr>
                  <w:tcW w:w="699" w:type="pct"/>
                  <w:vAlign w:val="center"/>
                </w:tcPr>
                <w:p>
                  <w:pPr>
                    <w:keepNext w:val="0"/>
                    <w:keepLines w:val="0"/>
                    <w:pageBreakBefore w:val="0"/>
                    <w:kinsoku/>
                    <w:wordWrap/>
                    <w:overflowPunct/>
                    <w:topLinePunct w:val="0"/>
                    <w:bidi w:val="0"/>
                    <w:adjustRightInd w:val="0"/>
                    <w:snapToGrid w:val="0"/>
                    <w:spacing w:line="240" w:lineRule="auto"/>
                    <w:jc w:val="center"/>
                    <w:rPr>
                      <w:kern w:val="0"/>
                      <w:szCs w:val="21"/>
                      <w:lang w:bidi="he-IL"/>
                    </w:rPr>
                  </w:pPr>
                  <w:r>
                    <w:rPr>
                      <w:kern w:val="0"/>
                      <w:szCs w:val="21"/>
                      <w:lang w:bidi="he-IL"/>
                    </w:rPr>
                    <w:t>地磅</w:t>
                  </w:r>
                </w:p>
              </w:tc>
              <w:tc>
                <w:tcPr>
                  <w:tcW w:w="3236" w:type="pct"/>
                  <w:vAlign w:val="center"/>
                </w:tcPr>
                <w:p>
                  <w:pPr>
                    <w:keepNext w:val="0"/>
                    <w:keepLines w:val="0"/>
                    <w:pageBreakBefore w:val="0"/>
                    <w:kinsoku/>
                    <w:wordWrap/>
                    <w:overflowPunct/>
                    <w:topLinePunct w:val="0"/>
                    <w:bidi w:val="0"/>
                    <w:adjustRightInd w:val="0"/>
                    <w:snapToGrid w:val="0"/>
                    <w:spacing w:line="240" w:lineRule="auto"/>
                    <w:jc w:val="center"/>
                    <w:rPr>
                      <w:szCs w:val="21"/>
                    </w:rPr>
                  </w:pPr>
                  <w:r>
                    <w:rPr>
                      <w:szCs w:val="21"/>
                    </w:rPr>
                    <w:t>项目设置一台地磅，位于厂区</w:t>
                  </w:r>
                  <w:r>
                    <w:rPr>
                      <w:rFonts w:hint="eastAsia"/>
                      <w:szCs w:val="21"/>
                      <w:lang w:val="en-US" w:eastAsia="zh-CN"/>
                    </w:rPr>
                    <w:t>东侧</w:t>
                  </w:r>
                  <w:r>
                    <w:rPr>
                      <w:szCs w:val="21"/>
                    </w:rPr>
                    <w:t>入口处，</w:t>
                  </w:r>
                </w:p>
              </w:tc>
              <w:tc>
                <w:tcPr>
                  <w:tcW w:w="625" w:type="pct"/>
                  <w:vAlign w:val="center"/>
                </w:tcPr>
                <w:p>
                  <w:pPr>
                    <w:keepNext w:val="0"/>
                    <w:keepLines w:val="0"/>
                    <w:pageBreakBefore w:val="0"/>
                    <w:widowControl/>
                    <w:kinsoku/>
                    <w:wordWrap/>
                    <w:overflowPunct/>
                    <w:topLinePunct w:val="0"/>
                    <w:bidi w:val="0"/>
                    <w:spacing w:line="240" w:lineRule="auto"/>
                    <w:jc w:val="center"/>
                    <w:rPr>
                      <w:szCs w:val="21"/>
                    </w:rPr>
                  </w:pPr>
                  <w:r>
                    <w:rPr>
                      <w:szCs w:val="21"/>
                    </w:rPr>
                    <w:t>新建</w:t>
                  </w:r>
                </w:p>
              </w:tc>
            </w:tr>
            <w:tr>
              <w:tblPrEx>
                <w:tblW w:w="4998" w:type="pct"/>
                <w:jc w:val="center"/>
                <w:tblInd w:w="113" w:type="dxa"/>
                <w:tblLayout w:type="fixed"/>
                <w:tblCellMar>
                  <w:top w:w="0" w:type="dxa"/>
                  <w:left w:w="108" w:type="dxa"/>
                  <w:bottom w:w="0" w:type="dxa"/>
                  <w:right w:w="108" w:type="dxa"/>
                </w:tblCellMar>
                <w:tblLook w:val="0000"/>
              </w:tblPrEx>
              <w:trPr>
                <w:trHeight w:val="454"/>
                <w:jc w:val="center"/>
              </w:trPr>
              <w:tc>
                <w:tcPr>
                  <w:tcW w:w="438" w:type="pct"/>
                  <w:vMerge w:val="restart"/>
                  <w:vAlign w:val="center"/>
                </w:tcPr>
                <w:p>
                  <w:pPr>
                    <w:keepNext w:val="0"/>
                    <w:keepLines w:val="0"/>
                    <w:pageBreakBefore w:val="0"/>
                    <w:kinsoku/>
                    <w:wordWrap/>
                    <w:overflowPunct/>
                    <w:topLinePunct w:val="0"/>
                    <w:bidi w:val="0"/>
                    <w:adjustRightInd w:val="0"/>
                    <w:snapToGrid w:val="0"/>
                    <w:spacing w:line="240" w:lineRule="auto"/>
                    <w:jc w:val="center"/>
                    <w:rPr>
                      <w:szCs w:val="21"/>
                    </w:rPr>
                  </w:pPr>
                  <w:r>
                    <w:rPr>
                      <w:szCs w:val="21"/>
                    </w:rPr>
                    <w:t>储运工程</w:t>
                  </w:r>
                </w:p>
              </w:tc>
              <w:tc>
                <w:tcPr>
                  <w:tcW w:w="699" w:type="pct"/>
                  <w:vAlign w:val="center"/>
                </w:tcPr>
                <w:p>
                  <w:pPr>
                    <w:keepNext w:val="0"/>
                    <w:keepLines w:val="0"/>
                    <w:pageBreakBefore w:val="0"/>
                    <w:kinsoku/>
                    <w:wordWrap/>
                    <w:overflowPunct/>
                    <w:topLinePunct w:val="0"/>
                    <w:bidi w:val="0"/>
                    <w:adjustRightInd w:val="0"/>
                    <w:snapToGrid w:val="0"/>
                    <w:spacing w:line="240" w:lineRule="auto"/>
                    <w:jc w:val="center"/>
                    <w:rPr>
                      <w:kern w:val="0"/>
                      <w:szCs w:val="21"/>
                      <w:lang w:bidi="he-IL"/>
                    </w:rPr>
                  </w:pPr>
                  <w:r>
                    <w:rPr>
                      <w:kern w:val="0"/>
                      <w:szCs w:val="21"/>
                      <w:lang w:bidi="he-IL"/>
                    </w:rPr>
                    <w:t>原料库</w:t>
                  </w:r>
                </w:p>
              </w:tc>
              <w:tc>
                <w:tcPr>
                  <w:tcW w:w="3236" w:type="pct"/>
                  <w:vAlign w:val="center"/>
                </w:tcPr>
                <w:p>
                  <w:pPr>
                    <w:keepNext w:val="0"/>
                    <w:keepLines w:val="0"/>
                    <w:pageBreakBefore w:val="0"/>
                    <w:widowControl/>
                    <w:kinsoku/>
                    <w:wordWrap/>
                    <w:overflowPunct/>
                    <w:topLinePunct w:val="0"/>
                    <w:bidi w:val="0"/>
                    <w:spacing w:line="240" w:lineRule="auto"/>
                    <w:jc w:val="center"/>
                    <w:rPr>
                      <w:rFonts w:eastAsia="宋体" w:hint="default"/>
                      <w:szCs w:val="21"/>
                    </w:rPr>
                  </w:pPr>
                  <w:r>
                    <w:rPr>
                      <w:szCs w:val="21"/>
                    </w:rPr>
                    <w:t>建筑面积为</w:t>
                  </w:r>
                  <w:r>
                    <w:rPr>
                      <w:rFonts w:hint="eastAsia"/>
                      <w:szCs w:val="21"/>
                      <w:lang w:val="en-US" w:eastAsia="zh-CN"/>
                    </w:rPr>
                    <w:t>2750</w:t>
                  </w:r>
                  <w:r>
                    <w:rPr>
                      <w:szCs w:val="21"/>
                    </w:rPr>
                    <w:t>m</w:t>
                  </w:r>
                  <w:r>
                    <w:rPr>
                      <w:szCs w:val="21"/>
                      <w:vertAlign w:val="superscript"/>
                    </w:rPr>
                    <w:t>2</w:t>
                  </w:r>
                  <w:r>
                    <w:rPr>
                      <w:szCs w:val="21"/>
                    </w:rPr>
                    <w:t>，H=10m，1层轻钢结构，</w:t>
                  </w:r>
                  <w:r>
                    <w:rPr>
                      <w:rFonts w:hint="eastAsia"/>
                      <w:szCs w:val="21"/>
                      <w:lang w:val="en-US" w:eastAsia="zh-CN"/>
                    </w:rPr>
                    <w:t>位于厂区北侧，</w:t>
                  </w:r>
                  <w:r>
                    <w:rPr>
                      <w:szCs w:val="21"/>
                    </w:rPr>
                    <w:t>原料库用于堆放原料，原料库全封闭，留出入口便于装卸车辆出入</w:t>
                  </w:r>
                  <w:r>
                    <w:rPr>
                      <w:rFonts w:hint="eastAsia"/>
                      <w:color w:val="FF0000"/>
                      <w:szCs w:val="21"/>
                      <w:lang w:eastAsia="zh-CN"/>
                    </w:rPr>
                    <w:t>，</w:t>
                  </w:r>
                  <w:r>
                    <w:rPr>
                      <w:rFonts w:hint="eastAsia"/>
                      <w:color w:val="FF0000"/>
                      <w:szCs w:val="21"/>
                      <w:lang w:val="en-US" w:eastAsia="zh-CN"/>
                    </w:rPr>
                    <w:t>原料卸料过程全部位于位于封闭车间内。</w:t>
                  </w:r>
                </w:p>
              </w:tc>
              <w:tc>
                <w:tcPr>
                  <w:tcW w:w="625" w:type="pct"/>
                  <w:vAlign w:val="center"/>
                </w:tcPr>
                <w:p>
                  <w:pPr>
                    <w:keepNext w:val="0"/>
                    <w:keepLines w:val="0"/>
                    <w:pageBreakBefore w:val="0"/>
                    <w:widowControl/>
                    <w:kinsoku/>
                    <w:wordWrap/>
                    <w:overflowPunct/>
                    <w:topLinePunct w:val="0"/>
                    <w:bidi w:val="0"/>
                    <w:spacing w:line="240" w:lineRule="auto"/>
                    <w:jc w:val="center"/>
                    <w:rPr>
                      <w:szCs w:val="21"/>
                    </w:rPr>
                  </w:pPr>
                  <w:r>
                    <w:rPr>
                      <w:szCs w:val="21"/>
                    </w:rPr>
                    <w:t>新建</w:t>
                  </w:r>
                </w:p>
              </w:tc>
            </w:tr>
            <w:tr>
              <w:tblPrEx>
                <w:tblW w:w="4998" w:type="pct"/>
                <w:jc w:val="center"/>
                <w:tblInd w:w="113" w:type="dxa"/>
                <w:tblLayout w:type="fixed"/>
                <w:tblCellMar>
                  <w:top w:w="0" w:type="dxa"/>
                  <w:left w:w="108" w:type="dxa"/>
                  <w:bottom w:w="0" w:type="dxa"/>
                  <w:right w:w="108" w:type="dxa"/>
                </w:tblCellMar>
                <w:tblLook w:val="0000"/>
              </w:tblPrEx>
              <w:trPr>
                <w:trHeight w:val="454"/>
                <w:jc w:val="center"/>
              </w:trPr>
              <w:tc>
                <w:tcPr>
                  <w:tcW w:w="438" w:type="pct"/>
                  <w:vMerge/>
                  <w:vAlign w:val="center"/>
                </w:tcPr>
                <w:p>
                  <w:pPr>
                    <w:keepNext w:val="0"/>
                    <w:keepLines w:val="0"/>
                    <w:pageBreakBefore w:val="0"/>
                    <w:kinsoku/>
                    <w:wordWrap/>
                    <w:overflowPunct/>
                    <w:topLinePunct w:val="0"/>
                    <w:bidi w:val="0"/>
                    <w:adjustRightInd w:val="0"/>
                    <w:snapToGrid w:val="0"/>
                    <w:spacing w:line="240" w:lineRule="auto"/>
                    <w:jc w:val="center"/>
                    <w:rPr>
                      <w:szCs w:val="21"/>
                    </w:rPr>
                  </w:pPr>
                </w:p>
              </w:tc>
              <w:tc>
                <w:tcPr>
                  <w:tcW w:w="699" w:type="pct"/>
                  <w:vAlign w:val="center"/>
                </w:tcPr>
                <w:p>
                  <w:pPr>
                    <w:keepNext w:val="0"/>
                    <w:keepLines w:val="0"/>
                    <w:pageBreakBefore w:val="0"/>
                    <w:kinsoku/>
                    <w:wordWrap/>
                    <w:overflowPunct/>
                    <w:topLinePunct w:val="0"/>
                    <w:bidi w:val="0"/>
                    <w:adjustRightInd w:val="0"/>
                    <w:snapToGrid w:val="0"/>
                    <w:spacing w:line="240" w:lineRule="auto"/>
                    <w:jc w:val="center"/>
                    <w:rPr>
                      <w:kern w:val="0"/>
                      <w:szCs w:val="21"/>
                      <w:lang w:bidi="he-IL"/>
                    </w:rPr>
                  </w:pPr>
                  <w:r>
                    <w:rPr>
                      <w:kern w:val="0"/>
                      <w:szCs w:val="21"/>
                      <w:lang w:bidi="he-IL"/>
                    </w:rPr>
                    <w:t>成品库</w:t>
                  </w:r>
                </w:p>
              </w:tc>
              <w:tc>
                <w:tcPr>
                  <w:tcW w:w="3236" w:type="pct"/>
                  <w:vAlign w:val="center"/>
                </w:tcPr>
                <w:p>
                  <w:pPr>
                    <w:keepNext w:val="0"/>
                    <w:keepLines w:val="0"/>
                    <w:pageBreakBefore w:val="0"/>
                    <w:widowControl/>
                    <w:kinsoku/>
                    <w:wordWrap/>
                    <w:overflowPunct/>
                    <w:topLinePunct w:val="0"/>
                    <w:bidi w:val="0"/>
                    <w:spacing w:line="240" w:lineRule="auto"/>
                    <w:jc w:val="center"/>
                    <w:rPr>
                      <w:szCs w:val="21"/>
                    </w:rPr>
                  </w:pPr>
                  <w:r>
                    <w:rPr>
                      <w:szCs w:val="21"/>
                    </w:rPr>
                    <w:t>建筑面积为</w:t>
                  </w:r>
                  <w:r>
                    <w:rPr>
                      <w:rFonts w:hint="eastAsia"/>
                      <w:szCs w:val="21"/>
                      <w:lang w:val="en-US" w:eastAsia="zh-CN"/>
                    </w:rPr>
                    <w:t>2750</w:t>
                  </w:r>
                  <w:r>
                    <w:rPr>
                      <w:szCs w:val="21"/>
                    </w:rPr>
                    <w:t>m</w:t>
                  </w:r>
                  <w:r>
                    <w:rPr>
                      <w:szCs w:val="21"/>
                      <w:vertAlign w:val="superscript"/>
                    </w:rPr>
                    <w:t>2</w:t>
                  </w:r>
                  <w:r>
                    <w:rPr>
                      <w:szCs w:val="21"/>
                    </w:rPr>
                    <w:t>，H=10m，1层轻钢结构，</w:t>
                  </w:r>
                  <w:r>
                    <w:rPr>
                      <w:rFonts w:hint="eastAsia"/>
                      <w:szCs w:val="21"/>
                      <w:lang w:val="en-US" w:eastAsia="zh-CN"/>
                    </w:rPr>
                    <w:t>位于厂区北侧，成品库设置</w:t>
                  </w:r>
                  <w:r>
                    <w:rPr>
                      <w:rFonts w:ascii="Times New Roman" w:hAnsi="Times New Roman" w:cs="Times New Roman" w:hint="default"/>
                      <w:color w:val="auto"/>
                      <w:szCs w:val="21"/>
                      <w:lang w:val="en-US" w:eastAsia="zh-CN"/>
                    </w:rPr>
                    <w:t>砂仓</w:t>
                  </w:r>
                  <w:r>
                    <w:rPr>
                      <w:rFonts w:ascii="Times New Roman" w:hAnsi="Times New Roman" w:cs="Times New Roman" w:hint="eastAsia"/>
                      <w:color w:val="auto"/>
                      <w:szCs w:val="21"/>
                      <w:lang w:val="en-US" w:eastAsia="zh-CN"/>
                    </w:rPr>
                    <w:t>5</w:t>
                  </w:r>
                  <w:r>
                    <w:rPr>
                      <w:rFonts w:ascii="Times New Roman" w:hAnsi="Times New Roman" w:cs="Times New Roman" w:hint="default"/>
                      <w:color w:val="auto"/>
                      <w:szCs w:val="21"/>
                      <w:lang w:val="en-US" w:eastAsia="zh-CN"/>
                    </w:rPr>
                    <w:t>个</w:t>
                  </w:r>
                  <w:r>
                    <w:rPr>
                      <w:szCs w:val="21"/>
                    </w:rPr>
                    <w:t>用于堆放成品，仓库全封闭，留出入口便于装卸车辆出入</w:t>
                  </w:r>
                  <w:r>
                    <w:rPr>
                      <w:rFonts w:hint="eastAsia"/>
                      <w:color w:val="FF0000"/>
                      <w:szCs w:val="21"/>
                      <w:lang w:eastAsia="zh-CN"/>
                    </w:rPr>
                    <w:t>，</w:t>
                  </w:r>
                  <w:r>
                    <w:rPr>
                      <w:rFonts w:hint="eastAsia"/>
                      <w:color w:val="FF0000"/>
                      <w:szCs w:val="21"/>
                      <w:lang w:val="en-US" w:eastAsia="zh-CN"/>
                    </w:rPr>
                    <w:t>成品装料过程全部位于位于封闭车间内</w:t>
                  </w:r>
                  <w:r>
                    <w:rPr>
                      <w:szCs w:val="21"/>
                    </w:rPr>
                    <w:t>。</w:t>
                  </w:r>
                </w:p>
              </w:tc>
              <w:tc>
                <w:tcPr>
                  <w:tcW w:w="625" w:type="pct"/>
                  <w:vAlign w:val="center"/>
                </w:tcPr>
                <w:p>
                  <w:pPr>
                    <w:keepNext w:val="0"/>
                    <w:keepLines w:val="0"/>
                    <w:pageBreakBefore w:val="0"/>
                    <w:widowControl/>
                    <w:kinsoku/>
                    <w:wordWrap/>
                    <w:overflowPunct/>
                    <w:topLinePunct w:val="0"/>
                    <w:bidi w:val="0"/>
                    <w:spacing w:line="240" w:lineRule="auto"/>
                    <w:jc w:val="center"/>
                    <w:rPr>
                      <w:szCs w:val="21"/>
                    </w:rPr>
                  </w:pPr>
                  <w:r>
                    <w:rPr>
                      <w:szCs w:val="21"/>
                    </w:rPr>
                    <w:t>新建</w:t>
                  </w:r>
                </w:p>
              </w:tc>
            </w:tr>
          </w:tbl>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 w:history="1">
        <w:r>
          <w:rPr>
            <w:rFonts w:ascii="SimSun" w:eastAsia="SimSun" w:hAnsi="SimSun" w:cs="SimSun"/>
            <w:b/>
            <w:bCs/>
            <w:color w:val="0000EE"/>
            <w:kern w:val="0"/>
            <w:sz w:val="30"/>
            <w:szCs w:val="30"/>
            <w:u w:val="single" w:color="0000EE"/>
          </w:rPr>
          <w:t>https://d.book118.com/347005102145006054</w:t>
        </w:r>
      </w:hyperlink>
    </w:p>
    <w:p/>
    <w:sectPr>
      <w:footerReference w:type="even" r:id="rId19"/>
      <w:footerReference w:type="default" r:id="rId20"/>
      <w:pgSz w:w="11906" w:h="16838"/>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start="7"/>
      <w:cols w:space="708"/>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5B" w:usb2="00000009" w:usb3="00000000" w:csb0="4004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等线 Light">
    <w:panose1 w:val="02010600030101010101"/>
    <w:charset w:val="86"/>
    <w:family w:val="auto"/>
    <w:pitch w:val="default"/>
    <w:sig w:usb0="A00002BF" w:usb1="38CF7CFA" w:usb2="00000016" w:usb3="00000000" w:csb0="0004000F"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黑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方正小标宋_GBK">
    <w:altName w:val="微软雅黑"/>
    <w:panose1 w:val="03000509000000000000"/>
    <w:charset w:val="86"/>
    <w:family w:val="script"/>
    <w:pitch w:val="default"/>
    <w:sig w:usb0="00000001" w:usb1="080E0000" w:usb2="00000010" w:usb3="00000000" w:csb0="00040000" w:csb1="00000000"/>
  </w:font>
  <w:font w:name="华文仿宋">
    <w:altName w:val="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t>1</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1</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t>1</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2</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t>1</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3</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t>1</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5</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t>1</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5</w:t>
    </w:r>
    <w: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t>1</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6</w:t>
    </w:r>
    <w: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t>1</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8</w:t>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CF62582"/>
    <w:multiLevelType w:val="singleLevel"/>
    <w:tmpl w:val="ACF62582"/>
    <w:lvl w:ilvl="0">
      <w:start w:val="1"/>
      <w:numFmt w:val="decimal"/>
      <w:suff w:val="nothing"/>
      <w:lvlText w:val="（%1）"/>
      <w:lvlJc w:val="left"/>
    </w:lvl>
  </w:abstractNum>
  <w:abstractNum w:abstractNumId="1">
    <w:nsid w:val="B5E72FAC"/>
    <w:multiLevelType w:val="singleLevel"/>
    <w:tmpl w:val="B5E72FAC"/>
    <w:lvl w:ilvl="0">
      <w:start w:val="1"/>
      <w:numFmt w:val="decimal"/>
      <w:suff w:val="nothing"/>
      <w:lvlText w:val="%1、"/>
      <w:lvlJc w:val="left"/>
    </w:lvl>
  </w:abstractNum>
  <w:abstractNum w:abstractNumId="2">
    <w:nsid w:val="C7CFD021"/>
    <w:multiLevelType w:val="singleLevel"/>
    <w:tmpl w:val="C7CFD021"/>
    <w:lvl w:ilvl="0">
      <w:start w:val="3"/>
      <w:numFmt w:val="decimal"/>
      <w:suff w:val="nothing"/>
      <w:lvlText w:val="%1、"/>
      <w:lvlJc w:val="left"/>
    </w:lvl>
  </w:abstractNum>
  <w:abstractNum w:abstractNumId="3">
    <w:nsid w:val="487404C2"/>
    <w:multiLevelType w:val="singleLevel"/>
    <w:tmpl w:val="C7CFD021"/>
    <w:lvl w:ilvl="0">
      <w:start w:val="3"/>
      <w:numFmt w:val="decimal"/>
      <w:suff w:val="nothing"/>
      <w:lvlText w:val="%1、"/>
      <w:lvlJc w:val="left"/>
    </w:lvl>
  </w:abstractNum>
  <w:abstractNum w:abstractNumId="4">
    <w:nsid w:val="6B9D033D"/>
    <w:multiLevelType w:val="singleLevel"/>
    <w:tmpl w:val="ACF62582"/>
    <w:lvl w:ilvl="0">
      <w:start w:val="1"/>
      <w:numFmt w:val="decimal"/>
      <w:suff w:val="nothing"/>
      <w:lvlText w:val="（%1）"/>
      <w:lvlJc w:val="left"/>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ttachedTemplate r:id="rId1"/>
  <w:stylePaneFormatFilter w:val="3F01"/>
  <w:documentProtection w:edit="trackedChanges" w:enforcement="0"/>
  <w:defaultTabStop w:val="420"/>
  <w:doNotHyphenateCaps/>
  <w:drawingGridVerticalSpacing w:val="156"/>
  <w:noPunctuationKerning/>
  <w:characterSpacingControl w:val="compressPunctuation"/>
  <w:noLineBreaksAfter w:lang="en-US" w:val="([{·‘“〈《「『【〔〖（．［｛￡￥"/>
  <w:noLineBreaksBefore w:lang="en-US" w:val="!),.:;?]}¨·ˇˉ―‖’”…∶、。〃々〉》」』】〕〗！＂＇），．：；？］｀｜｝～￠"/>
  <w:doNotEmbedSmartTags/>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4947"/>
    <w:rsid w:val="000060B3"/>
    <w:rsid w:val="00023C0A"/>
    <w:rsid w:val="0003090F"/>
    <w:rsid w:val="0003751E"/>
    <w:rsid w:val="0004364B"/>
    <w:rsid w:val="00061B1F"/>
    <w:rsid w:val="000733C4"/>
    <w:rsid w:val="00074783"/>
    <w:rsid w:val="0008070B"/>
    <w:rsid w:val="000810AC"/>
    <w:rsid w:val="00081A02"/>
    <w:rsid w:val="00082231"/>
    <w:rsid w:val="00092D38"/>
    <w:rsid w:val="0009377B"/>
    <w:rsid w:val="000A1973"/>
    <w:rsid w:val="000A20C9"/>
    <w:rsid w:val="000A6E83"/>
    <w:rsid w:val="000B058F"/>
    <w:rsid w:val="000B4467"/>
    <w:rsid w:val="000B4DB9"/>
    <w:rsid w:val="000C09AC"/>
    <w:rsid w:val="000C767F"/>
    <w:rsid w:val="000D5A44"/>
    <w:rsid w:val="000E3ED2"/>
    <w:rsid w:val="00131F42"/>
    <w:rsid w:val="001357F1"/>
    <w:rsid w:val="00140FA8"/>
    <w:rsid w:val="00142FEB"/>
    <w:rsid w:val="00143A2D"/>
    <w:rsid w:val="00145A41"/>
    <w:rsid w:val="00151675"/>
    <w:rsid w:val="00157435"/>
    <w:rsid w:val="0017504D"/>
    <w:rsid w:val="0017671A"/>
    <w:rsid w:val="00177422"/>
    <w:rsid w:val="00184590"/>
    <w:rsid w:val="001870D1"/>
    <w:rsid w:val="0018781E"/>
    <w:rsid w:val="0019262D"/>
    <w:rsid w:val="001972AA"/>
    <w:rsid w:val="001A1B35"/>
    <w:rsid w:val="001A48A2"/>
    <w:rsid w:val="001A6F61"/>
    <w:rsid w:val="001B72B8"/>
    <w:rsid w:val="001C4A14"/>
    <w:rsid w:val="001C69B3"/>
    <w:rsid w:val="001D5595"/>
    <w:rsid w:val="001D7874"/>
    <w:rsid w:val="001D7F22"/>
    <w:rsid w:val="001F0F17"/>
    <w:rsid w:val="001F3347"/>
    <w:rsid w:val="001F5F11"/>
    <w:rsid w:val="001F69E4"/>
    <w:rsid w:val="00206154"/>
    <w:rsid w:val="002125B4"/>
    <w:rsid w:val="002155B8"/>
    <w:rsid w:val="00223D85"/>
    <w:rsid w:val="00224839"/>
    <w:rsid w:val="002249B2"/>
    <w:rsid w:val="00226574"/>
    <w:rsid w:val="002278EC"/>
    <w:rsid w:val="0023280E"/>
    <w:rsid w:val="002372E0"/>
    <w:rsid w:val="002377D1"/>
    <w:rsid w:val="002506BC"/>
    <w:rsid w:val="00254345"/>
    <w:rsid w:val="00256FBF"/>
    <w:rsid w:val="00264557"/>
    <w:rsid w:val="002805AB"/>
    <w:rsid w:val="00284204"/>
    <w:rsid w:val="00291773"/>
    <w:rsid w:val="00293216"/>
    <w:rsid w:val="00297338"/>
    <w:rsid w:val="002A168C"/>
    <w:rsid w:val="002A3DC7"/>
    <w:rsid w:val="002B06F9"/>
    <w:rsid w:val="002B49E2"/>
    <w:rsid w:val="002B4DC6"/>
    <w:rsid w:val="002B7B00"/>
    <w:rsid w:val="002B7C44"/>
    <w:rsid w:val="002C2B17"/>
    <w:rsid w:val="002C416F"/>
    <w:rsid w:val="002D3DD0"/>
    <w:rsid w:val="002E1F3A"/>
    <w:rsid w:val="002E298A"/>
    <w:rsid w:val="002F5568"/>
    <w:rsid w:val="00301978"/>
    <w:rsid w:val="0030332C"/>
    <w:rsid w:val="003051C2"/>
    <w:rsid w:val="00312296"/>
    <w:rsid w:val="00314F0E"/>
    <w:rsid w:val="00321D8E"/>
    <w:rsid w:val="00324EF5"/>
    <w:rsid w:val="00325928"/>
    <w:rsid w:val="00330D04"/>
    <w:rsid w:val="00332863"/>
    <w:rsid w:val="0033684D"/>
    <w:rsid w:val="00337B42"/>
    <w:rsid w:val="00341B42"/>
    <w:rsid w:val="0034348F"/>
    <w:rsid w:val="003442F6"/>
    <w:rsid w:val="00356653"/>
    <w:rsid w:val="0035743F"/>
    <w:rsid w:val="00357BE2"/>
    <w:rsid w:val="0036170C"/>
    <w:rsid w:val="00366E0F"/>
    <w:rsid w:val="00371C5F"/>
    <w:rsid w:val="00377C75"/>
    <w:rsid w:val="00381A72"/>
    <w:rsid w:val="00384676"/>
    <w:rsid w:val="00390857"/>
    <w:rsid w:val="0039137E"/>
    <w:rsid w:val="003A4BF3"/>
    <w:rsid w:val="003B1C0A"/>
    <w:rsid w:val="003B420D"/>
    <w:rsid w:val="003C6C16"/>
    <w:rsid w:val="003D794D"/>
    <w:rsid w:val="003E3058"/>
    <w:rsid w:val="003E76A9"/>
    <w:rsid w:val="003F0809"/>
    <w:rsid w:val="003F6A8C"/>
    <w:rsid w:val="003F755C"/>
    <w:rsid w:val="00406F01"/>
    <w:rsid w:val="00416D50"/>
    <w:rsid w:val="00416FD5"/>
    <w:rsid w:val="00417772"/>
    <w:rsid w:val="00420E6A"/>
    <w:rsid w:val="00422B87"/>
    <w:rsid w:val="00425A9E"/>
    <w:rsid w:val="00426D6B"/>
    <w:rsid w:val="00431E6C"/>
    <w:rsid w:val="00432A57"/>
    <w:rsid w:val="00433CE7"/>
    <w:rsid w:val="00435B9F"/>
    <w:rsid w:val="00436DB2"/>
    <w:rsid w:val="00443454"/>
    <w:rsid w:val="00452738"/>
    <w:rsid w:val="00456091"/>
    <w:rsid w:val="00466321"/>
    <w:rsid w:val="00484B9B"/>
    <w:rsid w:val="004855F6"/>
    <w:rsid w:val="0048661E"/>
    <w:rsid w:val="00494670"/>
    <w:rsid w:val="004A0FE0"/>
    <w:rsid w:val="004A3823"/>
    <w:rsid w:val="004C2DE8"/>
    <w:rsid w:val="004C3595"/>
    <w:rsid w:val="004E6946"/>
    <w:rsid w:val="004F1AD8"/>
    <w:rsid w:val="005039CB"/>
    <w:rsid w:val="0050558F"/>
    <w:rsid w:val="00506286"/>
    <w:rsid w:val="00510813"/>
    <w:rsid w:val="00511990"/>
    <w:rsid w:val="00511DE0"/>
    <w:rsid w:val="00514870"/>
    <w:rsid w:val="00514B9B"/>
    <w:rsid w:val="00517F02"/>
    <w:rsid w:val="00524303"/>
    <w:rsid w:val="005258A2"/>
    <w:rsid w:val="005277C2"/>
    <w:rsid w:val="00527D25"/>
    <w:rsid w:val="005401AE"/>
    <w:rsid w:val="00542E07"/>
    <w:rsid w:val="00545424"/>
    <w:rsid w:val="005525FE"/>
    <w:rsid w:val="00554A7B"/>
    <w:rsid w:val="0055572C"/>
    <w:rsid w:val="0056106A"/>
    <w:rsid w:val="005720AE"/>
    <w:rsid w:val="00584913"/>
    <w:rsid w:val="00591CBA"/>
    <w:rsid w:val="00594D77"/>
    <w:rsid w:val="005969E4"/>
    <w:rsid w:val="005A06B7"/>
    <w:rsid w:val="005A1759"/>
    <w:rsid w:val="005A68A7"/>
    <w:rsid w:val="005B21F0"/>
    <w:rsid w:val="005C6053"/>
    <w:rsid w:val="005D2FB4"/>
    <w:rsid w:val="005D36AB"/>
    <w:rsid w:val="005E7837"/>
    <w:rsid w:val="00606D41"/>
    <w:rsid w:val="00614A10"/>
    <w:rsid w:val="00617CC3"/>
    <w:rsid w:val="006377A6"/>
    <w:rsid w:val="00637A3D"/>
    <w:rsid w:val="006411EF"/>
    <w:rsid w:val="006748B8"/>
    <w:rsid w:val="00674CF7"/>
    <w:rsid w:val="006775C3"/>
    <w:rsid w:val="0068384D"/>
    <w:rsid w:val="0069290A"/>
    <w:rsid w:val="0069775A"/>
    <w:rsid w:val="00697813"/>
    <w:rsid w:val="006A3EE8"/>
    <w:rsid w:val="006A72BF"/>
    <w:rsid w:val="006B03F2"/>
    <w:rsid w:val="006B37DC"/>
    <w:rsid w:val="006B4F68"/>
    <w:rsid w:val="006B6740"/>
    <w:rsid w:val="006C0592"/>
    <w:rsid w:val="006C272E"/>
    <w:rsid w:val="006C5479"/>
    <w:rsid w:val="006D13B5"/>
    <w:rsid w:val="006D54ED"/>
    <w:rsid w:val="006E12FF"/>
    <w:rsid w:val="006E607E"/>
    <w:rsid w:val="00706C5D"/>
    <w:rsid w:val="00713465"/>
    <w:rsid w:val="007148DC"/>
    <w:rsid w:val="00725F70"/>
    <w:rsid w:val="00732922"/>
    <w:rsid w:val="0075162E"/>
    <w:rsid w:val="00754034"/>
    <w:rsid w:val="00756556"/>
    <w:rsid w:val="007618C4"/>
    <w:rsid w:val="00763C0A"/>
    <w:rsid w:val="00767980"/>
    <w:rsid w:val="00770B19"/>
    <w:rsid w:val="0077463F"/>
    <w:rsid w:val="007836EA"/>
    <w:rsid w:val="00784CDA"/>
    <w:rsid w:val="007906C4"/>
    <w:rsid w:val="007940EA"/>
    <w:rsid w:val="007967E8"/>
    <w:rsid w:val="007A2170"/>
    <w:rsid w:val="007A22BF"/>
    <w:rsid w:val="007A3323"/>
    <w:rsid w:val="007B0951"/>
    <w:rsid w:val="007B72B8"/>
    <w:rsid w:val="007B7A58"/>
    <w:rsid w:val="007C21B5"/>
    <w:rsid w:val="007E4BD2"/>
    <w:rsid w:val="00801393"/>
    <w:rsid w:val="00801502"/>
    <w:rsid w:val="00802F88"/>
    <w:rsid w:val="0081293E"/>
    <w:rsid w:val="00815465"/>
    <w:rsid w:val="00817E9A"/>
    <w:rsid w:val="00821167"/>
    <w:rsid w:val="008306BD"/>
    <w:rsid w:val="00831A80"/>
    <w:rsid w:val="00833743"/>
    <w:rsid w:val="008340A4"/>
    <w:rsid w:val="00855F42"/>
    <w:rsid w:val="0087135F"/>
    <w:rsid w:val="00872D94"/>
    <w:rsid w:val="00880364"/>
    <w:rsid w:val="00891592"/>
    <w:rsid w:val="00891E9E"/>
    <w:rsid w:val="008A2F68"/>
    <w:rsid w:val="008B4FA6"/>
    <w:rsid w:val="008B5282"/>
    <w:rsid w:val="008B7C17"/>
    <w:rsid w:val="008C2D01"/>
    <w:rsid w:val="008C40E6"/>
    <w:rsid w:val="008D0F7A"/>
    <w:rsid w:val="008D4E82"/>
    <w:rsid w:val="008D68E4"/>
    <w:rsid w:val="008E0506"/>
    <w:rsid w:val="008E0CFF"/>
    <w:rsid w:val="008E5D6B"/>
    <w:rsid w:val="008E76F0"/>
    <w:rsid w:val="008F15FE"/>
    <w:rsid w:val="008F2D29"/>
    <w:rsid w:val="008F5187"/>
    <w:rsid w:val="008F60D8"/>
    <w:rsid w:val="009019B4"/>
    <w:rsid w:val="00902727"/>
    <w:rsid w:val="0090312B"/>
    <w:rsid w:val="0091736D"/>
    <w:rsid w:val="0093037A"/>
    <w:rsid w:val="0094154D"/>
    <w:rsid w:val="0095155F"/>
    <w:rsid w:val="00954429"/>
    <w:rsid w:val="009563CE"/>
    <w:rsid w:val="00961385"/>
    <w:rsid w:val="00976328"/>
    <w:rsid w:val="0097680D"/>
    <w:rsid w:val="00982438"/>
    <w:rsid w:val="0098404C"/>
    <w:rsid w:val="00985283"/>
    <w:rsid w:val="009864DD"/>
    <w:rsid w:val="0099151A"/>
    <w:rsid w:val="00995992"/>
    <w:rsid w:val="009A03E5"/>
    <w:rsid w:val="009A0F3B"/>
    <w:rsid w:val="009A1BB4"/>
    <w:rsid w:val="009A2628"/>
    <w:rsid w:val="009A3200"/>
    <w:rsid w:val="009B0897"/>
    <w:rsid w:val="009B7BD9"/>
    <w:rsid w:val="009C7DD5"/>
    <w:rsid w:val="009E227D"/>
    <w:rsid w:val="009E5019"/>
    <w:rsid w:val="00A04F1B"/>
    <w:rsid w:val="00A0501B"/>
    <w:rsid w:val="00A14947"/>
    <w:rsid w:val="00A20A4C"/>
    <w:rsid w:val="00A32A83"/>
    <w:rsid w:val="00A368DB"/>
    <w:rsid w:val="00A400AE"/>
    <w:rsid w:val="00A423AA"/>
    <w:rsid w:val="00A53EC6"/>
    <w:rsid w:val="00A55C0F"/>
    <w:rsid w:val="00A76A8B"/>
    <w:rsid w:val="00A85AE9"/>
    <w:rsid w:val="00A8713F"/>
    <w:rsid w:val="00A90BA1"/>
    <w:rsid w:val="00A930E4"/>
    <w:rsid w:val="00A97A9A"/>
    <w:rsid w:val="00AA0671"/>
    <w:rsid w:val="00AA2531"/>
    <w:rsid w:val="00AB1E09"/>
    <w:rsid w:val="00AB5330"/>
    <w:rsid w:val="00AB7747"/>
    <w:rsid w:val="00AC14CE"/>
    <w:rsid w:val="00AC2A56"/>
    <w:rsid w:val="00AD055E"/>
    <w:rsid w:val="00AD47A7"/>
    <w:rsid w:val="00AF0CBF"/>
    <w:rsid w:val="00AF257F"/>
    <w:rsid w:val="00AF33CF"/>
    <w:rsid w:val="00AF4D50"/>
    <w:rsid w:val="00AF6179"/>
    <w:rsid w:val="00AF67A8"/>
    <w:rsid w:val="00B1295A"/>
    <w:rsid w:val="00B20A45"/>
    <w:rsid w:val="00B21455"/>
    <w:rsid w:val="00B22C5C"/>
    <w:rsid w:val="00B24F30"/>
    <w:rsid w:val="00B31ABF"/>
    <w:rsid w:val="00B33BE3"/>
    <w:rsid w:val="00B53B5D"/>
    <w:rsid w:val="00B6055E"/>
    <w:rsid w:val="00B6317D"/>
    <w:rsid w:val="00B7723F"/>
    <w:rsid w:val="00B80534"/>
    <w:rsid w:val="00B80D32"/>
    <w:rsid w:val="00B8433C"/>
    <w:rsid w:val="00B87491"/>
    <w:rsid w:val="00BA29E9"/>
    <w:rsid w:val="00BA7142"/>
    <w:rsid w:val="00BB237C"/>
    <w:rsid w:val="00BB41A3"/>
    <w:rsid w:val="00BC32DC"/>
    <w:rsid w:val="00BC35B6"/>
    <w:rsid w:val="00BC476F"/>
    <w:rsid w:val="00BD1B51"/>
    <w:rsid w:val="00BD3DD1"/>
    <w:rsid w:val="00BD4596"/>
    <w:rsid w:val="00BE1405"/>
    <w:rsid w:val="00BE312D"/>
    <w:rsid w:val="00BF1C20"/>
    <w:rsid w:val="00C10578"/>
    <w:rsid w:val="00C135BC"/>
    <w:rsid w:val="00C15C95"/>
    <w:rsid w:val="00C2596A"/>
    <w:rsid w:val="00C27537"/>
    <w:rsid w:val="00C328FE"/>
    <w:rsid w:val="00C33507"/>
    <w:rsid w:val="00C4409D"/>
    <w:rsid w:val="00C44E72"/>
    <w:rsid w:val="00C45A06"/>
    <w:rsid w:val="00C47E5B"/>
    <w:rsid w:val="00C61E4B"/>
    <w:rsid w:val="00C64BFF"/>
    <w:rsid w:val="00C704E9"/>
    <w:rsid w:val="00C731A4"/>
    <w:rsid w:val="00C763C9"/>
    <w:rsid w:val="00C80057"/>
    <w:rsid w:val="00C82232"/>
    <w:rsid w:val="00C82913"/>
    <w:rsid w:val="00C93904"/>
    <w:rsid w:val="00C972B1"/>
    <w:rsid w:val="00CA1236"/>
    <w:rsid w:val="00CA2CCE"/>
    <w:rsid w:val="00CA43FD"/>
    <w:rsid w:val="00CA5A4E"/>
    <w:rsid w:val="00CA7EF8"/>
    <w:rsid w:val="00CC3EBE"/>
    <w:rsid w:val="00CC489B"/>
    <w:rsid w:val="00CD2BCD"/>
    <w:rsid w:val="00CD3A4C"/>
    <w:rsid w:val="00CE10E9"/>
    <w:rsid w:val="00CE2910"/>
    <w:rsid w:val="00CE5393"/>
    <w:rsid w:val="00CF36BE"/>
    <w:rsid w:val="00CF6000"/>
    <w:rsid w:val="00D003F3"/>
    <w:rsid w:val="00D0364F"/>
    <w:rsid w:val="00D06834"/>
    <w:rsid w:val="00D308ED"/>
    <w:rsid w:val="00D36D86"/>
    <w:rsid w:val="00D428AA"/>
    <w:rsid w:val="00D50A34"/>
    <w:rsid w:val="00D53EFA"/>
    <w:rsid w:val="00D91F08"/>
    <w:rsid w:val="00D94A7C"/>
    <w:rsid w:val="00D95896"/>
    <w:rsid w:val="00D979B5"/>
    <w:rsid w:val="00DB2983"/>
    <w:rsid w:val="00DC1257"/>
    <w:rsid w:val="00DC3DC0"/>
    <w:rsid w:val="00DC5B2B"/>
    <w:rsid w:val="00DD318D"/>
    <w:rsid w:val="00DD4548"/>
    <w:rsid w:val="00DD5892"/>
    <w:rsid w:val="00DD5935"/>
    <w:rsid w:val="00DF2E12"/>
    <w:rsid w:val="00DF514A"/>
    <w:rsid w:val="00DF6690"/>
    <w:rsid w:val="00DF6804"/>
    <w:rsid w:val="00E0358D"/>
    <w:rsid w:val="00E04323"/>
    <w:rsid w:val="00E051F7"/>
    <w:rsid w:val="00E070A2"/>
    <w:rsid w:val="00E2636A"/>
    <w:rsid w:val="00E2656A"/>
    <w:rsid w:val="00E26E87"/>
    <w:rsid w:val="00E412D0"/>
    <w:rsid w:val="00E4156E"/>
    <w:rsid w:val="00E56322"/>
    <w:rsid w:val="00E60982"/>
    <w:rsid w:val="00E62C62"/>
    <w:rsid w:val="00E654C1"/>
    <w:rsid w:val="00E65D97"/>
    <w:rsid w:val="00E72A5A"/>
    <w:rsid w:val="00E73354"/>
    <w:rsid w:val="00E9242D"/>
    <w:rsid w:val="00EB5255"/>
    <w:rsid w:val="00EB5C47"/>
    <w:rsid w:val="00EC4C0E"/>
    <w:rsid w:val="00ED0639"/>
    <w:rsid w:val="00ED6B14"/>
    <w:rsid w:val="00EF4755"/>
    <w:rsid w:val="00EF7135"/>
    <w:rsid w:val="00F027DB"/>
    <w:rsid w:val="00F11409"/>
    <w:rsid w:val="00F14A7A"/>
    <w:rsid w:val="00F15C3C"/>
    <w:rsid w:val="00F22985"/>
    <w:rsid w:val="00F3383E"/>
    <w:rsid w:val="00F465A7"/>
    <w:rsid w:val="00F471F8"/>
    <w:rsid w:val="00F50B7C"/>
    <w:rsid w:val="00F550E6"/>
    <w:rsid w:val="00F74345"/>
    <w:rsid w:val="00F80A0A"/>
    <w:rsid w:val="00F82B19"/>
    <w:rsid w:val="00F9212D"/>
    <w:rsid w:val="00F965DA"/>
    <w:rsid w:val="00FA406A"/>
    <w:rsid w:val="00FA478A"/>
    <w:rsid w:val="00FB503A"/>
    <w:rsid w:val="00FB516C"/>
    <w:rsid w:val="00FD00B1"/>
    <w:rsid w:val="00FD0236"/>
    <w:rsid w:val="00FD0C31"/>
    <w:rsid w:val="00FD18F4"/>
    <w:rsid w:val="00FD494A"/>
    <w:rsid w:val="00FD54DB"/>
    <w:rsid w:val="00FD619F"/>
    <w:rsid w:val="01290F7E"/>
    <w:rsid w:val="015D1E09"/>
    <w:rsid w:val="02697903"/>
    <w:rsid w:val="02F96569"/>
    <w:rsid w:val="03EA7B21"/>
    <w:rsid w:val="05F83EAE"/>
    <w:rsid w:val="063E7D85"/>
    <w:rsid w:val="07293586"/>
    <w:rsid w:val="07295285"/>
    <w:rsid w:val="07636392"/>
    <w:rsid w:val="07770C56"/>
    <w:rsid w:val="084525B3"/>
    <w:rsid w:val="092217DD"/>
    <w:rsid w:val="093A7294"/>
    <w:rsid w:val="0A263993"/>
    <w:rsid w:val="0A2D3AC2"/>
    <w:rsid w:val="0AA755DF"/>
    <w:rsid w:val="0ACD6235"/>
    <w:rsid w:val="0B120D44"/>
    <w:rsid w:val="0BD27BF6"/>
    <w:rsid w:val="0C3B3C7D"/>
    <w:rsid w:val="0CAB2EAE"/>
    <w:rsid w:val="0D621C7D"/>
    <w:rsid w:val="0E73034D"/>
    <w:rsid w:val="0EE21392"/>
    <w:rsid w:val="0F13775A"/>
    <w:rsid w:val="0F5F45FE"/>
    <w:rsid w:val="0F9A112B"/>
    <w:rsid w:val="106D2F64"/>
    <w:rsid w:val="10B63710"/>
    <w:rsid w:val="10F10820"/>
    <w:rsid w:val="111C2F7A"/>
    <w:rsid w:val="11665CA1"/>
    <w:rsid w:val="11E9448A"/>
    <w:rsid w:val="13951726"/>
    <w:rsid w:val="14396509"/>
    <w:rsid w:val="14DD2C3C"/>
    <w:rsid w:val="16087E1D"/>
    <w:rsid w:val="17701D14"/>
    <w:rsid w:val="17735226"/>
    <w:rsid w:val="189F624C"/>
    <w:rsid w:val="1A1C66C0"/>
    <w:rsid w:val="1A42393B"/>
    <w:rsid w:val="1AAD45DE"/>
    <w:rsid w:val="1B046F80"/>
    <w:rsid w:val="1B3267B5"/>
    <w:rsid w:val="1B40161D"/>
    <w:rsid w:val="1B441859"/>
    <w:rsid w:val="1B6606B1"/>
    <w:rsid w:val="1C5E7925"/>
    <w:rsid w:val="1CFD070F"/>
    <w:rsid w:val="1D5F6196"/>
    <w:rsid w:val="1D6132A5"/>
    <w:rsid w:val="1D8E56D5"/>
    <w:rsid w:val="1E7A43DA"/>
    <w:rsid w:val="1FE7539E"/>
    <w:rsid w:val="20671BE0"/>
    <w:rsid w:val="20963CB8"/>
    <w:rsid w:val="20A81A1B"/>
    <w:rsid w:val="20B07FB6"/>
    <w:rsid w:val="20B646FB"/>
    <w:rsid w:val="213B74B1"/>
    <w:rsid w:val="215A2310"/>
    <w:rsid w:val="21B57DAB"/>
    <w:rsid w:val="21DE318A"/>
    <w:rsid w:val="21EF5B80"/>
    <w:rsid w:val="22576990"/>
    <w:rsid w:val="22F47480"/>
    <w:rsid w:val="23DE1C48"/>
    <w:rsid w:val="240210CD"/>
    <w:rsid w:val="24BF09F7"/>
    <w:rsid w:val="252D53FE"/>
    <w:rsid w:val="25EC2D81"/>
    <w:rsid w:val="277057A2"/>
    <w:rsid w:val="29206EB8"/>
    <w:rsid w:val="29595666"/>
    <w:rsid w:val="29874881"/>
    <w:rsid w:val="29E325E0"/>
    <w:rsid w:val="2A452503"/>
    <w:rsid w:val="2BA936A8"/>
    <w:rsid w:val="2C315A5A"/>
    <w:rsid w:val="2C4B1C25"/>
    <w:rsid w:val="2D9E56F5"/>
    <w:rsid w:val="2E667F96"/>
    <w:rsid w:val="2E8226AB"/>
    <w:rsid w:val="2FD065E6"/>
    <w:rsid w:val="2FD96870"/>
    <w:rsid w:val="30300EEE"/>
    <w:rsid w:val="30580BC9"/>
    <w:rsid w:val="311E2ED7"/>
    <w:rsid w:val="315619EE"/>
    <w:rsid w:val="315C449C"/>
    <w:rsid w:val="31B82709"/>
    <w:rsid w:val="31D05482"/>
    <w:rsid w:val="32400B34"/>
    <w:rsid w:val="329E6876"/>
    <w:rsid w:val="333015F2"/>
    <w:rsid w:val="334B6320"/>
    <w:rsid w:val="33D934D4"/>
    <w:rsid w:val="33FE2F6A"/>
    <w:rsid w:val="340E07E5"/>
    <w:rsid w:val="34235BF7"/>
    <w:rsid w:val="358C5FA8"/>
    <w:rsid w:val="35C15DF1"/>
    <w:rsid w:val="36074A7F"/>
    <w:rsid w:val="36923549"/>
    <w:rsid w:val="36B75FBF"/>
    <w:rsid w:val="36BD0C45"/>
    <w:rsid w:val="37E00298"/>
    <w:rsid w:val="38B302F9"/>
    <w:rsid w:val="38F12CD3"/>
    <w:rsid w:val="38F94775"/>
    <w:rsid w:val="392971ED"/>
    <w:rsid w:val="39325651"/>
    <w:rsid w:val="3A872856"/>
    <w:rsid w:val="3B3763D1"/>
    <w:rsid w:val="3B9D004B"/>
    <w:rsid w:val="3C2F6E1E"/>
    <w:rsid w:val="3C4F64BA"/>
    <w:rsid w:val="3CDA245A"/>
    <w:rsid w:val="3D1E06B7"/>
    <w:rsid w:val="3EDA0523"/>
    <w:rsid w:val="407A6407"/>
    <w:rsid w:val="4200449D"/>
    <w:rsid w:val="423A3BCC"/>
    <w:rsid w:val="424E57D2"/>
    <w:rsid w:val="4279478E"/>
    <w:rsid w:val="42B26C49"/>
    <w:rsid w:val="433A6FE6"/>
    <w:rsid w:val="43480868"/>
    <w:rsid w:val="4350713C"/>
    <w:rsid w:val="436653E0"/>
    <w:rsid w:val="43C4431A"/>
    <w:rsid w:val="44B951CC"/>
    <w:rsid w:val="44CD14E0"/>
    <w:rsid w:val="44F20B0B"/>
    <w:rsid w:val="452E5F4C"/>
    <w:rsid w:val="45612018"/>
    <w:rsid w:val="458946E9"/>
    <w:rsid w:val="45A47C0E"/>
    <w:rsid w:val="46577FD6"/>
    <w:rsid w:val="46D955A7"/>
    <w:rsid w:val="47133957"/>
    <w:rsid w:val="47A07E0C"/>
    <w:rsid w:val="4870272E"/>
    <w:rsid w:val="48863B84"/>
    <w:rsid w:val="49DC7715"/>
    <w:rsid w:val="4A023139"/>
    <w:rsid w:val="4A7B576F"/>
    <w:rsid w:val="4AF561A9"/>
    <w:rsid w:val="4C4A0649"/>
    <w:rsid w:val="4C7E5ECA"/>
    <w:rsid w:val="4C876AA5"/>
    <w:rsid w:val="4D0E00FB"/>
    <w:rsid w:val="4D176606"/>
    <w:rsid w:val="4D413272"/>
    <w:rsid w:val="4DB77AAE"/>
    <w:rsid w:val="4DEC4FB0"/>
    <w:rsid w:val="4E075D8A"/>
    <w:rsid w:val="4EC00FAD"/>
    <w:rsid w:val="4F9843DC"/>
    <w:rsid w:val="4FC62A8C"/>
    <w:rsid w:val="4FE20F0D"/>
    <w:rsid w:val="4FE51552"/>
    <w:rsid w:val="50504C4B"/>
    <w:rsid w:val="509C6E7C"/>
    <w:rsid w:val="5162104E"/>
    <w:rsid w:val="53A039CC"/>
    <w:rsid w:val="53A1505A"/>
    <w:rsid w:val="54063E08"/>
    <w:rsid w:val="543437E8"/>
    <w:rsid w:val="54F73313"/>
    <w:rsid w:val="54F80955"/>
    <w:rsid w:val="555170A7"/>
    <w:rsid w:val="5587536D"/>
    <w:rsid w:val="559B174B"/>
    <w:rsid w:val="55CE0CF4"/>
    <w:rsid w:val="56B22A9C"/>
    <w:rsid w:val="57B72A76"/>
    <w:rsid w:val="57C3426C"/>
    <w:rsid w:val="57CE1F93"/>
    <w:rsid w:val="588743D1"/>
    <w:rsid w:val="5887701A"/>
    <w:rsid w:val="59C0439F"/>
    <w:rsid w:val="5ABE2233"/>
    <w:rsid w:val="5BDF5D95"/>
    <w:rsid w:val="5BFE7528"/>
    <w:rsid w:val="5E2467F1"/>
    <w:rsid w:val="5F1A2B43"/>
    <w:rsid w:val="5FB837BB"/>
    <w:rsid w:val="60CC405A"/>
    <w:rsid w:val="61E215D8"/>
    <w:rsid w:val="621B3775"/>
    <w:rsid w:val="62364782"/>
    <w:rsid w:val="6394356A"/>
    <w:rsid w:val="63AA5E6C"/>
    <w:rsid w:val="63C61B2C"/>
    <w:rsid w:val="63D40BE9"/>
    <w:rsid w:val="64102431"/>
    <w:rsid w:val="64A5243A"/>
    <w:rsid w:val="64F531DE"/>
    <w:rsid w:val="65373578"/>
    <w:rsid w:val="671F124A"/>
    <w:rsid w:val="677A33C6"/>
    <w:rsid w:val="681F6961"/>
    <w:rsid w:val="68582D86"/>
    <w:rsid w:val="68610A2F"/>
    <w:rsid w:val="68805514"/>
    <w:rsid w:val="69316E2F"/>
    <w:rsid w:val="694E2071"/>
    <w:rsid w:val="69766163"/>
    <w:rsid w:val="697A3B33"/>
    <w:rsid w:val="69D44760"/>
    <w:rsid w:val="6A520EC7"/>
    <w:rsid w:val="6AF87E20"/>
    <w:rsid w:val="6B322639"/>
    <w:rsid w:val="6BC211C0"/>
    <w:rsid w:val="6C636C38"/>
    <w:rsid w:val="6DB34098"/>
    <w:rsid w:val="6DB545B6"/>
    <w:rsid w:val="6DE02FB4"/>
    <w:rsid w:val="6E514CED"/>
    <w:rsid w:val="6EB563D5"/>
    <w:rsid w:val="6ED92677"/>
    <w:rsid w:val="6F225983"/>
    <w:rsid w:val="6FFC5590"/>
    <w:rsid w:val="700B1664"/>
    <w:rsid w:val="706D1DD0"/>
    <w:rsid w:val="707F5F43"/>
    <w:rsid w:val="70856B87"/>
    <w:rsid w:val="70D527EE"/>
    <w:rsid w:val="715B5300"/>
    <w:rsid w:val="71D27F8A"/>
    <w:rsid w:val="72553024"/>
    <w:rsid w:val="73122968"/>
    <w:rsid w:val="731F5D5E"/>
    <w:rsid w:val="73C51AD5"/>
    <w:rsid w:val="741E793C"/>
    <w:rsid w:val="745E3944"/>
    <w:rsid w:val="7635099D"/>
    <w:rsid w:val="772B4D77"/>
    <w:rsid w:val="77762421"/>
    <w:rsid w:val="77B56B1F"/>
    <w:rsid w:val="780F09F4"/>
    <w:rsid w:val="78A90480"/>
    <w:rsid w:val="7A364017"/>
    <w:rsid w:val="7A8265E1"/>
    <w:rsid w:val="7B686D42"/>
    <w:rsid w:val="7B841746"/>
    <w:rsid w:val="7C6C5AC7"/>
    <w:rsid w:val="7CC6544B"/>
    <w:rsid w:val="7D0239FF"/>
    <w:rsid w:val="7D5E40CD"/>
    <w:rsid w:val="7DCD56F2"/>
    <w:rsid w:val="7F001CE7"/>
    <w:rsid w:val="7FE47E50"/>
  </w:rsid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0" w:uiPriority="0" w:unhideWhenUsed="0"/>
    <w:lsdException w:name="index 2" w:locked="1" w:semiHidden="0" w:uiPriority="0" w:unhideWhenUsed="0"/>
    <w:lsdException w:name="index 3" w:locked="1" w:semiHidden="0" w:uiPriority="0" w:unhideWhenUsed="0"/>
    <w:lsdException w:name="index 4" w:locked="1" w:semiHidden="0" w:uiPriority="0" w:unhideWhenUsed="0"/>
    <w:lsdException w:name="index 5" w:locked="1" w:semiHidden="0" w:uiPriority="0" w:unhideWhenUsed="0"/>
    <w:lsdException w:name="index 6" w:locked="1" w:semiHidden="0" w:uiPriority="0" w:unhideWhenUsed="0"/>
    <w:lsdException w:name="index 7" w:locked="1" w:semiHidden="0" w:uiPriority="0" w:unhideWhenUsed="0"/>
    <w:lsdException w:name="index 8" w:locked="1" w:semiHidden="0" w:uiPriority="0" w:unhideWhenUsed="0"/>
    <w:lsdException w:name="index 9" w:locked="1"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qFormat="1"/>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lsdException w:name="footnote text" w:locked="1" w:semiHidden="0" w:uiPriority="0" w:unhideWhenUsed="0"/>
    <w:lsdException w:name="annotation text" w:uiPriority="0" w:unhideWhenUsed="0"/>
    <w:lsdException w:name="header" w:semiHidden="0" w:uiPriority="0" w:unhideWhenUsed="0"/>
    <w:lsdException w:name="footer" w:semiHidden="0" w:unhideWhenUsed="0"/>
    <w:lsdException w:name="index heading" w:locked="1" w:semiHidden="0" w:uiPriority="0" w:unhideWhenUsed="0"/>
    <w:lsdException w:name="caption" w:locked="1" w:uiPriority="0" w:qFormat="1"/>
    <w:lsdException w:name="table of figures" w:locked="1" w:semiHidden="0" w:uiPriority="0" w:unhideWhenUsed="0"/>
    <w:lsdException w:name="envelope address" w:locked="1" w:semiHidden="0" w:uiPriority="0" w:unhideWhenUsed="0"/>
    <w:lsdException w:name="envelope return" w:locked="1" w:semiHidden="0" w:uiPriority="0" w:unhideWhenUsed="0"/>
    <w:lsdException w:name="footnote reference" w:locked="1" w:semiHidden="0" w:uiPriority="0" w:unhideWhenUsed="0"/>
    <w:lsdException w:name="annotation reference" w:uiPriority="0" w:unhideWhenUsed="0"/>
    <w:lsdException w:name="line number" w:locked="1" w:semiHidden="0" w:uiPriority="0" w:unhideWhenUsed="0"/>
    <w:lsdException w:name="page number" w:locked="1" w:semiHidden="0" w:uiPriority="0" w:unhideWhenUsed="0"/>
    <w:lsdException w:name="endnote reference" w:locked="1" w:semiHidden="0" w:uiPriority="0" w:unhideWhenUsed="0"/>
    <w:lsdException w:name="endnote text" w:locked="1" w:semiHidden="0" w:uiPriority="0" w:unhideWhenUsed="0"/>
    <w:lsdException w:name="table of authorities" w:locked="1" w:semiHidden="0" w:uiPriority="0" w:unhideWhenUsed="0"/>
    <w:lsdException w:name="macro" w:locked="1" w:semiHidden="0" w:uiPriority="0" w:unhideWhenUsed="0"/>
    <w:lsdException w:name="toa heading" w:locked="1" w:semiHidden="0" w:uiPriority="0" w:unhideWhenUsed="0"/>
    <w:lsdException w:name="List" w:locked="1" w:semiHidden="0" w:uiPriority="0" w:unhideWhenUsed="0" w:qFormat="1"/>
    <w:lsdException w:name="List Bullet" w:locked="1" w:semiHidden="0" w:uiPriority="0" w:unhideWhenUsed="0"/>
    <w:lsdException w:name="List Number" w:locked="1" w:semiHidden="0" w:uiPriority="0" w:unhideWhenUsed="0"/>
    <w:lsdException w:name="List 2" w:locked="1" w:semiHidden="0" w:uiPriority="0" w:unhideWhenUsed="0"/>
    <w:lsdException w:name="List 3" w:locked="1" w:semiHidden="0" w:uiPriority="0" w:unhideWhenUsed="0"/>
    <w:lsdException w:name="List 4" w:locked="1" w:semiHidden="0" w:uiPriority="0" w:unhideWhenUsed="0"/>
    <w:lsdException w:name="List 5" w:locked="1" w:semiHidden="0" w:uiPriority="0" w:unhideWhenUsed="0"/>
    <w:lsdException w:name="List Bullet 2" w:locked="1" w:semiHidden="0" w:uiPriority="0" w:unhideWhenUsed="0"/>
    <w:lsdException w:name="List Bullet 3" w:locked="1" w:semiHidden="0" w:uiPriority="0" w:unhideWhenUsed="0"/>
    <w:lsdException w:name="List Bullet 4" w:locked="1" w:semiHidden="0" w:uiPriority="0" w:unhideWhenUsed="0"/>
    <w:lsdException w:name="List Bullet 5" w:locked="1" w:semiHidden="0" w:uiPriority="0" w:unhideWhenUsed="0"/>
    <w:lsdException w:name="List Number 2" w:locked="1" w:semiHidden="0" w:uiPriority="0" w:unhideWhenUsed="0"/>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Closing" w:locked="1" w:semiHidden="0" w:uiPriority="0" w:unhideWhenUsed="0"/>
    <w:lsdException w:name="Signature" w:locked="1"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locked="1" w:semiHidden="0" w:uiPriority="0" w:unhideWhenUsed="0"/>
    <w:lsdException w:name="List Continue 2" w:locked="1" w:semiHidden="0" w:uiPriority="0" w:unhideWhenUsed="0"/>
    <w:lsdException w:name="List Continue 3" w:locked="1" w:semiHidden="0" w:uiPriority="0" w:unhideWhenUsed="0"/>
    <w:lsdException w:name="List Continue 4" w:locked="1" w:semiHidden="0" w:uiPriority="0" w:unhideWhenUsed="0"/>
    <w:lsdException w:name="List Continue 5" w:locked="1" w:semiHidden="0" w:uiPriority="0" w:unhideWhenUsed="0"/>
    <w:lsdException w:name="Message Header" w:locked="1" w:semiHidden="0" w:uiPriority="0" w:unhideWhenUsed="0"/>
    <w:lsdException w:name="Subtitle" w:locked="1" w:semiHidden="0" w:uiPriority="0" w:unhideWhenUsed="0" w:qFormat="1"/>
    <w:lsdException w:name="Salutation" w:locked="1" w:semiHidden="0" w:uiPriority="0" w:unhideWhenUsed="0"/>
    <w:lsdException w:name="Date" w:semiHidden="0" w:uiPriority="0" w:unhideWhenUsed="0"/>
    <w:lsdException w:name="Body Text First Indent" w:locked="1" w:semiHidden="0" w:uiPriority="0" w:unhideWhenUsed="0"/>
    <w:lsdException w:name="Body Text First Indent 2" w:locked="1" w:semiHidden="0" w:uiPriority="0" w:unhideWhenUsed="0"/>
    <w:lsdException w:name="Note Heading" w:locked="1" w:semiHidden="0" w:uiPriority="0" w:unhideWhenUsed="0"/>
    <w:lsdException w:name="Body Text 2" w:locked="1" w:semiHidden="0" w:uiPriority="0" w:unhideWhenUsed="0"/>
    <w:lsdException w:name="Body Text 3" w:locked="1" w:semiHidden="0" w:uiPriority="0" w:unhideWhenUsed="0"/>
    <w:lsdException w:name="Body Text Indent 2" w:locked="1" w:semiHidden="0" w:uiPriority="0" w:unhideWhenUsed="0"/>
    <w:lsdException w:name="Body Text Indent 3" w:locked="1" w:semiHidden="0" w:uiPriority="0" w:unhideWhenUsed="0"/>
    <w:lsdException w:name="Block Text" w:locked="1" w:semiHidden="0" w:uiPriority="0" w:unhideWhenUsed="0"/>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Document Map" w:locked="1" w:semiHidden="0" w:uiPriority="0" w:unhideWhenUsed="0"/>
    <w:lsdException w:name="Plain Text" w:locked="1" w:semiHidden="0" w:uiPriority="0" w:unhideWhenUsed="0"/>
    <w:lsdException w:name="E-mail Signature" w:locked="1" w:semiHidden="0" w:uiPriority="0" w:unhideWhenUsed="0"/>
    <w:lsdException w:name="Normal (Web)" w:semiHidden="0" w:uiPriority="0" w:unhideWhenUsed="0"/>
    <w:lsdException w:name="HTML Acronym" w:locked="1" w:semiHidden="0" w:uiPriority="0" w:unhideWhenUsed="0"/>
    <w:lsdException w:name="HTML Address" w:locked="1" w:semiHidden="0" w:uiPriority="0" w:unhideWhenUsed="0"/>
    <w:lsdException w:name="HTML Cite" w:locked="1" w:semiHidden="0" w:uiPriority="0" w:unhideWhenUsed="0"/>
    <w:lsdException w:name="HTML Code" w:locked="1" w:semiHidden="0" w:uiPriority="0" w:unhideWhenUsed="0"/>
    <w:lsdException w:name="HTML Definition" w:locked="1" w:semiHidden="0" w:uiPriority="0" w:unhideWhenUsed="0"/>
    <w:lsdException w:name="HTML Keyboard" w:locked="1" w:semiHidden="0" w:uiPriority="0" w:unhideWhenUsed="0"/>
    <w:lsdException w:name="HTML Preformatted" w:locked="1" w:semiHidden="0" w:uiPriority="0" w:unhideWhenUsed="0"/>
    <w:lsdException w:name="HTML Sample" w:locked="1" w:semiHidden="0" w:uiPriority="0" w:unhideWhenUsed="0"/>
    <w:lsdException w:name="HTML Typewriter" w:locked="1" w:semiHidden="0" w:uiPriority="0" w:unhideWhenUsed="0"/>
    <w:lsdException w:name="HTML Variable" w:locked="1" w:semiHidden="0" w:uiPriority="0" w:unhideWhenUsed="0"/>
    <w:lsdException w:name="Normal Table" w:uiPriority="0" w:unhideWhenUsed="0"/>
    <w:lsdException w:name="annotation subject" w:uiPriority="0" w:unhideWhenUsed="0"/>
    <w:lsdException w:name="Table Simple 1" w:locked="1" w:semiHidden="0" w:uiPriority="0" w:unhideWhenUsed="0"/>
    <w:lsdException w:name="Table Simple 2" w:locked="1" w:semiHidden="0" w:uiPriority="0" w:unhideWhenUsed="0"/>
    <w:lsdException w:name="Table Simple 3" w:locked="1" w:semiHidden="0" w:uiPriority="0" w:unhideWhenUsed="0"/>
    <w:lsdException w:name="Table Classic 1" w:locked="1" w:semiHidden="0" w:uiPriority="0" w:unhideWhenUsed="0"/>
    <w:lsdException w:name="Table Classic 2" w:locked="1" w:semiHidden="0" w:uiPriority="0" w:unhideWhenUsed="0"/>
    <w:lsdException w:name="Table Classic 3" w:locked="1" w:semiHidden="0" w:uiPriority="0" w:unhideWhenUsed="0"/>
    <w:lsdException w:name="Table Classic 4" w:locked="1" w:semiHidden="0" w:uiPriority="0" w:unhideWhenUsed="0"/>
    <w:lsdException w:name="Table Colorful 1" w:locked="1" w:semiHidden="0" w:uiPriority="0" w:unhideWhenUsed="0"/>
    <w:lsdException w:name="Table Colorful 2" w:locked="1" w:semiHidden="0" w:uiPriority="0" w:unhideWhenUsed="0"/>
    <w:lsdException w:name="Table Colorful 3" w:locked="1" w:semiHidden="0" w:uiPriority="0" w:unhideWhenUsed="0"/>
    <w:lsdException w:name="Table Columns 1" w:locked="1" w:semiHidden="0" w:uiPriority="0" w:unhideWhenUsed="0"/>
    <w:lsdException w:name="Table Columns 2" w:locked="1" w:semiHidden="0" w:uiPriority="0" w:unhideWhenUsed="0"/>
    <w:lsdException w:name="Table Columns 3" w:locked="1" w:semiHidden="0" w:uiPriority="0" w:unhideWhenUsed="0"/>
    <w:lsdException w:name="Table Columns 4" w:locked="1" w:semiHidden="0" w:uiPriority="0" w:unhideWhenUsed="0"/>
    <w:lsdException w:name="Table Columns 5" w:locked="1" w:semiHidden="0" w:uiPriority="0" w:unhideWhenUsed="0"/>
    <w:lsdException w:name="Table Grid 1" w:locked="1" w:semiHidden="0" w:uiPriority="0" w:unhideWhenUsed="0"/>
    <w:lsdException w:name="Table Grid 2" w:locked="1" w:semiHidden="0" w:uiPriority="0" w:unhideWhenUsed="0"/>
    <w:lsdException w:name="Table Grid 3" w:locked="1" w:semiHidden="0" w:uiPriority="0" w:unhideWhenUsed="0"/>
    <w:lsdException w:name="Table Grid 4" w:locked="1" w:semiHidden="0" w:uiPriority="0" w:unhideWhenUsed="0"/>
    <w:lsdException w:name="Table Grid 5" w:locked="1" w:semiHidden="0" w:uiPriority="0" w:unhideWhenUsed="0"/>
    <w:lsdException w:name="Table Grid 6" w:locked="1" w:semiHidden="0" w:uiPriority="0" w:unhideWhenUsed="0"/>
    <w:lsdException w:name="Table Grid 7" w:locked="1" w:semiHidden="0" w:uiPriority="0" w:unhideWhenUsed="0"/>
    <w:lsdException w:name="Table Grid 8" w:locked="1" w:semiHidden="0" w:uiPriority="0" w:unhideWhenUsed="0"/>
    <w:lsdException w:name="Table List 1" w:locked="1" w:semiHidden="0" w:uiPriority="0" w:unhideWhenUsed="0"/>
    <w:lsdException w:name="Table List 2" w:locked="1" w:semiHidden="0" w:uiPriority="0" w:unhideWhenUsed="0"/>
    <w:lsdException w:name="Table List 3" w:locked="1" w:semiHidden="0" w:uiPriority="0" w:unhideWhenUsed="0"/>
    <w:lsdException w:name="Table List 4" w:locked="1" w:semiHidden="0" w:uiPriority="0" w:unhideWhenUsed="0"/>
    <w:lsdException w:name="Table List 5" w:locked="1" w:semiHidden="0" w:uiPriority="0" w:unhideWhenUsed="0"/>
    <w:lsdException w:name="Table List 6" w:locked="1" w:semiHidden="0" w:uiPriority="0" w:unhideWhenUsed="0"/>
    <w:lsdException w:name="Table List 7" w:locked="1" w:semiHidden="0" w:uiPriority="0" w:unhideWhenUsed="0"/>
    <w:lsdException w:name="Table List 8" w:locked="1" w:semiHidden="0" w:uiPriority="0" w:unhideWhenUsed="0"/>
    <w:lsdException w:name="Table 3D effects 1" w:locked="1" w:semiHidden="0" w:uiPriority="0" w:unhideWhenUsed="0"/>
    <w:lsdException w:name="Table 3D effects 2" w:locked="1" w:semiHidden="0" w:uiPriority="0" w:unhideWhenUsed="0"/>
    <w:lsdException w:name="Table 3D effects 3" w:locked="1" w:semiHidden="0" w:uiPriority="0" w:unhideWhenUsed="0"/>
    <w:lsdException w:name="Table Contemporary" w:locked="1" w:semiHidden="0" w:uiPriority="0" w:unhideWhenUsed="0"/>
    <w:lsdException w:name="Table Elegant" w:locked="1" w:semiHidden="0" w:uiPriority="0" w:unhideWhenUsed="0"/>
    <w:lsdException w:name="Table Professional" w:locked="1" w:semiHidden="0" w:uiPriority="0" w:unhideWhenUsed="0"/>
    <w:lsdException w:name="Table Subtle 1" w:locked="1" w:semiHidden="0" w:uiPriority="0" w:unhideWhenUsed="0"/>
    <w:lsdException w:name="Table Subtle 2" w:locked="1" w:semiHidden="0" w:uiPriority="0" w:unhideWhenUsed="0"/>
    <w:lsdException w:name="Table Web 1" w:locked="1" w:semiHidden="0" w:uiPriority="0" w:unhideWhenUsed="0"/>
    <w:lsdException w:name="Table Web 2" w:locked="1" w:semiHidden="0" w:uiPriority="0" w:unhideWhenUsed="0"/>
    <w:lsdException w:name="Table Web 3" w:locked="1" w:semiHidden="0" w:uiPriority="0" w:unhideWhenUsed="0"/>
    <w:lsdException w:name="Balloon Text" w:uiPriority="0" w:unhideWhenUsed="0"/>
    <w:lsdException w:name="Table Grid" w:semiHidden="0" w:uiPriority="0" w:unhideWhenUsed="0"/>
    <w:lsdException w:name="Table Theme" w:locked="1" w:semiHidden="0" w:uiPriority="0" w:unhideWhenUsed="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next w:val="BodyTextFirstIndent2"/>
    <w:qFormat/>
    <w:pPr>
      <w:widowControl w:val="0"/>
      <w:jc w:val="both"/>
    </w:pPr>
    <w:rPr>
      <w:kern w:val="2"/>
      <w:sz w:val="21"/>
      <w:szCs w:val="24"/>
      <w:lang w:val="en-US" w:eastAsia="zh-CN" w:bidi="ar-SA"/>
    </w:rPr>
  </w:style>
  <w:style w:type="paragraph" w:styleId="Heading1">
    <w:name w:val="heading 1"/>
    <w:basedOn w:val="Normal"/>
    <w:next w:val="Normal"/>
    <w:uiPriority w:val="99"/>
    <w:qFormat/>
    <w:locked/>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Heading2">
    <w:name w:val="heading 2"/>
    <w:basedOn w:val="Normal"/>
    <w:next w:val="Normal"/>
    <w:link w:val="2"/>
    <w:qFormat/>
    <w:locked/>
    <w:pPr>
      <w:keepNext/>
      <w:keepLines/>
      <w:spacing w:before="260" w:after="260" w:line="416" w:lineRule="auto"/>
      <w:outlineLvl w:val="1"/>
    </w:pPr>
    <w:rPr>
      <w:rFonts w:ascii="等线 Light" w:eastAsia="等线 Light" w:hAnsi="等线 Light" w:cs="Times New Roman"/>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
    <w:name w:val="批注文字 字符1"/>
    <w:semiHidden/>
    <w:rPr>
      <w:rFonts w:ascii="Times New Roman" w:eastAsia="宋体" w:hAnsi="Times New Roman"/>
      <w:sz w:val="24"/>
    </w:rPr>
  </w:style>
  <w:style w:type="character" w:customStyle="1" w:styleId="Char">
    <w:name w:val="表格 Char"/>
    <w:link w:val="a8"/>
    <w:locked/>
    <w:rPr>
      <w:rFonts w:ascii="宋体"/>
      <w:sz w:val="21"/>
    </w:rPr>
  </w:style>
  <w:style w:type="character" w:customStyle="1" w:styleId="a">
    <w:name w:val="正文文本 字符"/>
    <w:link w:val="BodyText"/>
    <w:locked/>
    <w:rPr>
      <w:sz w:val="18"/>
    </w:rPr>
  </w:style>
  <w:style w:type="character" w:customStyle="1" w:styleId="2">
    <w:name w:val="标题 2 字符"/>
    <w:link w:val="Heading2"/>
    <w:semiHidden/>
    <w:rPr>
      <w:rFonts w:ascii="等线 Light" w:eastAsia="等线 Light" w:hAnsi="等线 Light" w:cs="Times New Roman"/>
      <w:b/>
      <w:bCs/>
      <w:kern w:val="2"/>
      <w:sz w:val="32"/>
      <w:szCs w:val="32"/>
    </w:rPr>
  </w:style>
  <w:style w:type="character" w:customStyle="1" w:styleId="21">
    <w:name w:val="正文文本首行缩进 2 字符1"/>
    <w:rPr>
      <w:rFonts w:ascii="Times New Roman" w:eastAsia="宋体" w:hAnsi="Times New Roman"/>
      <w:kern w:val="2"/>
      <w:sz w:val="21"/>
      <w:szCs w:val="24"/>
    </w:rPr>
  </w:style>
  <w:style w:type="character" w:customStyle="1" w:styleId="NormalCharacter">
    <w:name w:val="NormalCharacter"/>
    <w:semiHidden/>
    <w:qFormat/>
    <w:rPr>
      <w:kern w:val="2"/>
      <w:sz w:val="21"/>
      <w:szCs w:val="24"/>
      <w:lang w:val="en-US" w:eastAsia="zh-CN" w:bidi="ar-SA"/>
    </w:rPr>
  </w:style>
  <w:style w:type="character" w:customStyle="1" w:styleId="10">
    <w:name w:val="页脚 字符1"/>
    <w:link w:val="Footer"/>
    <w:uiPriority w:val="99"/>
    <w:locked/>
    <w:rPr>
      <w:sz w:val="18"/>
    </w:rPr>
  </w:style>
  <w:style w:type="character" w:customStyle="1" w:styleId="a0">
    <w:name w:val="批注框文本 字符"/>
    <w:link w:val="BalloonText"/>
    <w:semiHidden/>
    <w:locked/>
    <w:rPr>
      <w:rFonts w:ascii="Times New Roman" w:eastAsia="宋体" w:hAnsi="Times New Roman"/>
      <w:sz w:val="18"/>
    </w:rPr>
  </w:style>
  <w:style w:type="character" w:customStyle="1" w:styleId="11">
    <w:name w:val="日期 字符1"/>
    <w:link w:val="Date"/>
    <w:locked/>
    <w:rPr>
      <w:rFonts w:ascii="Times New Roman" w:eastAsia="宋体" w:hAnsi="Times New Roman"/>
      <w:sz w:val="24"/>
    </w:rPr>
  </w:style>
  <w:style w:type="character" w:customStyle="1" w:styleId="20">
    <w:name w:val="正文文本首行缩进 2 字符"/>
    <w:link w:val="BodyTextFirstIndent2"/>
    <w:rPr>
      <w:kern w:val="2"/>
      <w:sz w:val="21"/>
      <w:szCs w:val="24"/>
    </w:rPr>
  </w:style>
  <w:style w:type="character" w:customStyle="1" w:styleId="22">
    <w:name w:val="正文文本缩进 2 字符"/>
    <w:link w:val="BodyTextIndent2"/>
    <w:rPr>
      <w:kern w:val="2"/>
      <w:sz w:val="21"/>
      <w:szCs w:val="24"/>
    </w:rPr>
  </w:style>
  <w:style w:type="character" w:customStyle="1" w:styleId="unnamed11">
    <w:name w:val="unnamed11"/>
    <w:rPr>
      <w:sz w:val="21"/>
    </w:rPr>
  </w:style>
  <w:style w:type="character" w:styleId="CommentReference">
    <w:name w:val="annotation reference"/>
    <w:semiHidden/>
    <w:rPr>
      <w:sz w:val="21"/>
    </w:rPr>
  </w:style>
  <w:style w:type="character" w:customStyle="1" w:styleId="Char0">
    <w:name w:val="萝卜 Char"/>
    <w:link w:val="a9"/>
    <w:rPr>
      <w:kern w:val="24"/>
      <w:sz w:val="24"/>
      <w:szCs w:val="21"/>
    </w:rPr>
  </w:style>
  <w:style w:type="character" w:customStyle="1" w:styleId="a1">
    <w:name w:val="批注主题 字符"/>
    <w:link w:val="CommentSubject"/>
    <w:semiHidden/>
    <w:locked/>
    <w:rPr>
      <w:rFonts w:ascii="Times New Roman" w:eastAsia="宋体" w:hAnsi="Times New Roman"/>
      <w:b/>
      <w:kern w:val="2"/>
      <w:sz w:val="24"/>
    </w:rPr>
  </w:style>
  <w:style w:type="character" w:customStyle="1" w:styleId="a2">
    <w:name w:val="页眉 字符"/>
    <w:link w:val="Header"/>
    <w:locked/>
    <w:rPr>
      <w:sz w:val="18"/>
    </w:rPr>
  </w:style>
  <w:style w:type="character" w:customStyle="1" w:styleId="Tab">
    <w:name w:val="Tab 字符"/>
    <w:link w:val="Tab0"/>
    <w:rPr>
      <w:szCs w:val="21"/>
    </w:rPr>
  </w:style>
  <w:style w:type="character" w:customStyle="1" w:styleId="a3">
    <w:name w:val="日期 字符"/>
    <w:semiHidden/>
    <w:rPr>
      <w:rFonts w:ascii="Times New Roman" w:eastAsia="宋体" w:hAnsi="Times New Roman"/>
      <w:sz w:val="24"/>
    </w:rPr>
  </w:style>
  <w:style w:type="character" w:customStyle="1" w:styleId="a4">
    <w:name w:val="页脚 字符"/>
    <w:uiPriority w:val="99"/>
  </w:style>
  <w:style w:type="character" w:customStyle="1" w:styleId="a5">
    <w:name w:val="批注文字 字符"/>
    <w:link w:val="CommentText"/>
    <w:locked/>
    <w:rPr>
      <w:rFonts w:ascii="Times New Roman" w:eastAsia="宋体" w:hAnsi="Times New Roman"/>
      <w:sz w:val="24"/>
    </w:rPr>
  </w:style>
  <w:style w:type="character" w:styleId="PageNumber">
    <w:name w:val="page number"/>
    <w:locked/>
  </w:style>
  <w:style w:type="character" w:customStyle="1" w:styleId="TabChar">
    <w:name w:val="Tab正文 Char"/>
    <w:link w:val="Tab1"/>
    <w:rPr>
      <w:kern w:val="2"/>
      <w:sz w:val="21"/>
      <w:szCs w:val="21"/>
    </w:rPr>
  </w:style>
  <w:style w:type="character" w:customStyle="1" w:styleId="12">
    <w:name w:val="正文文本 字符1"/>
    <w:semiHidden/>
    <w:rPr>
      <w:rFonts w:ascii="Times New Roman" w:eastAsia="宋体" w:hAnsi="Times New Roman"/>
      <w:sz w:val="24"/>
    </w:rPr>
  </w:style>
  <w:style w:type="character" w:customStyle="1" w:styleId="a6">
    <w:name w:val="普通(网站) 字符"/>
    <w:link w:val="NormalWeb"/>
    <w:locked/>
    <w:rPr>
      <w:rFonts w:ascii="宋体" w:eastAsia="宋体" w:hAnsi="宋体"/>
      <w:sz w:val="24"/>
    </w:rPr>
  </w:style>
  <w:style w:type="character" w:customStyle="1" w:styleId="a7">
    <w:name w:val="正文文本缩进 字符"/>
    <w:link w:val="BodyTextIndent0"/>
    <w:semiHidden/>
    <w:locked/>
    <w:rPr>
      <w:rFonts w:ascii="Times New Roman" w:eastAsia="宋体" w:hAnsi="Times New Roman"/>
      <w:sz w:val="24"/>
    </w:rPr>
  </w:style>
  <w:style w:type="paragraph" w:customStyle="1" w:styleId="13">
    <w:name w:val="样式1"/>
    <w:basedOn w:val="Normal"/>
    <w:pPr>
      <w:spacing w:after="40" w:line="300" w:lineRule="atLeast"/>
      <w:jc w:val="center"/>
      <w:outlineLvl w:val="2"/>
    </w:pPr>
    <w:rPr>
      <w:rFonts w:ascii="Calibri" w:eastAsia="楷体_GB2312" w:hAnsi="Calibri"/>
      <w:szCs w:val="20"/>
    </w:rPr>
  </w:style>
  <w:style w:type="paragraph" w:customStyle="1" w:styleId="23">
    <w:name w:val="普通(网站)2"/>
    <w:basedOn w:val="Normal"/>
    <w:pPr>
      <w:widowControl/>
      <w:spacing w:before="100" w:beforeAutospacing="1" w:after="100" w:afterAutospacing="1"/>
      <w:jc w:val="left"/>
    </w:pPr>
    <w:rPr>
      <w:rFonts w:ascii="宋体" w:hAnsi="宋体"/>
      <w:sz w:val="24"/>
      <w:szCs w:val="20"/>
    </w:rPr>
  </w:style>
  <w:style w:type="paragraph" w:customStyle="1" w:styleId="100">
    <w:name w:val="正文_10"/>
    <w:pPr>
      <w:widowControl w:val="0"/>
      <w:jc w:val="both"/>
    </w:pPr>
    <w:rPr>
      <w:kern w:val="2"/>
      <w:sz w:val="21"/>
      <w:szCs w:val="22"/>
      <w:lang w:val="en-US" w:eastAsia="zh-CN" w:bidi="ar-SA"/>
    </w:rPr>
  </w:style>
  <w:style w:type="paragraph" w:styleId="CommentSubject">
    <w:name w:val="annotation subject"/>
    <w:basedOn w:val="CommentText"/>
    <w:next w:val="CommentText"/>
    <w:link w:val="a1"/>
    <w:semiHidden/>
    <w:rPr>
      <w:b/>
      <w:sz w:val="24"/>
      <w:szCs w:val="20"/>
    </w:rPr>
  </w:style>
  <w:style w:type="paragraph" w:styleId="List">
    <w:name w:val="List"/>
    <w:basedOn w:val="Normal"/>
    <w:qFormat/>
    <w:locked/>
    <w:pPr>
      <w:spacing w:before="20" w:after="20"/>
      <w:jc w:val="center"/>
    </w:pPr>
    <w:rPr>
      <w:sz w:val="24"/>
      <w:szCs w:val="20"/>
    </w:rPr>
  </w:style>
  <w:style w:type="paragraph" w:styleId="BodyTextFirstIndent2">
    <w:name w:val="Body Text First Indent 2"/>
    <w:basedOn w:val="BodyTextIndent0"/>
    <w:next w:val="Normal"/>
    <w:link w:val="20"/>
    <w:locked/>
    <w:pPr>
      <w:ind w:firstLine="420" w:firstLineChars="200"/>
    </w:pPr>
    <w:rPr>
      <w:kern w:val="2"/>
      <w:sz w:val="21"/>
      <w:szCs w:val="24"/>
    </w:rPr>
  </w:style>
  <w:style w:type="paragraph" w:styleId="Date">
    <w:name w:val="Date"/>
    <w:basedOn w:val="Normal"/>
    <w:next w:val="Normal"/>
    <w:link w:val="11"/>
    <w:pPr>
      <w:ind w:left="100" w:leftChars="2500"/>
    </w:pPr>
    <w:rPr>
      <w:kern w:val="0"/>
      <w:sz w:val="24"/>
      <w:szCs w:val="20"/>
    </w:rPr>
  </w:style>
  <w:style w:type="paragraph" w:styleId="BodyTextIndent2">
    <w:name w:val="Body Text Indent 2"/>
    <w:basedOn w:val="Normal"/>
    <w:link w:val="22"/>
    <w:locked/>
    <w:pPr>
      <w:spacing w:after="120" w:line="480" w:lineRule="auto"/>
      <w:ind w:left="420" w:leftChars="200"/>
    </w:pPr>
  </w:style>
  <w:style w:type="paragraph" w:styleId="BalloonText">
    <w:name w:val="Balloon Text"/>
    <w:basedOn w:val="Normal"/>
    <w:link w:val="a0"/>
    <w:semiHidden/>
    <w:rPr>
      <w:kern w:val="0"/>
      <w:sz w:val="18"/>
      <w:szCs w:val="20"/>
    </w:rPr>
  </w:style>
  <w:style w:type="paragraph" w:styleId="BodyText">
    <w:name w:val="Body Text"/>
    <w:basedOn w:val="Normal"/>
    <w:link w:val="a"/>
    <w:pPr>
      <w:widowControl/>
      <w:snapToGrid w:val="0"/>
      <w:spacing w:before="60" w:after="160" w:line="259" w:lineRule="auto"/>
      <w:ind w:right="113"/>
    </w:pPr>
    <w:rPr>
      <w:kern w:val="0"/>
      <w:sz w:val="18"/>
      <w:szCs w:val="20"/>
    </w:rPr>
  </w:style>
  <w:style w:type="paragraph" w:customStyle="1" w:styleId="5">
    <w:name w:val="样式5"/>
    <w:basedOn w:val="3"/>
    <w:qFormat/>
    <w:pPr>
      <w:adjustRightInd/>
      <w:snapToGrid/>
      <w:spacing w:before="120" w:after="120" w:line="400" w:lineRule="exact"/>
      <w:ind w:firstLine="480"/>
    </w:pPr>
    <w:rPr>
      <w:iCs/>
      <w:szCs w:val="20"/>
    </w:rPr>
  </w:style>
  <w:style w:type="paragraph" w:customStyle="1" w:styleId="BodyTextIndent">
    <w:name w:val="BodyTextIndent"/>
    <w:basedOn w:val="Normal"/>
    <w:pPr>
      <w:spacing w:line="360" w:lineRule="auto"/>
      <w:ind w:firstLine="480" w:firstLineChars="200"/>
      <w:jc w:val="both"/>
      <w:textAlignment w:val="baseline"/>
    </w:pPr>
    <w:rPr>
      <w:rFonts w:ascii="宋体" w:hAnsi="宋体"/>
      <w:color w:val="008000"/>
      <w:kern w:val="2"/>
      <w:sz w:val="24"/>
      <w:szCs w:val="24"/>
      <w:lang w:val="en-US" w:eastAsia="zh-CN" w:bidi="ar-SA"/>
    </w:rPr>
  </w:style>
  <w:style w:type="paragraph" w:styleId="TOC6">
    <w:name w:val="toc 6"/>
    <w:basedOn w:val="Normal"/>
    <w:next w:val="Normal"/>
    <w:qFormat/>
    <w:locked/>
    <w:pPr>
      <w:spacing w:line="360" w:lineRule="auto"/>
      <w:jc w:val="center"/>
    </w:pPr>
  </w:style>
  <w:style w:type="paragraph" w:styleId="CommentText">
    <w:name w:val="annotation text"/>
    <w:basedOn w:val="Normal"/>
    <w:link w:val="a5"/>
    <w:semiHidden/>
    <w:pPr>
      <w:jc w:val="left"/>
    </w:pPr>
    <w:rPr>
      <w:kern w:val="0"/>
      <w:sz w:val="24"/>
      <w:szCs w:val="20"/>
    </w:rPr>
  </w:style>
  <w:style w:type="paragraph" w:customStyle="1" w:styleId="0">
    <w:name w:val="0图表名"/>
    <w:basedOn w:val="Normal"/>
    <w:qFormat/>
    <w:pPr>
      <w:jc w:val="center"/>
    </w:pPr>
    <w:rPr>
      <w:rFonts w:eastAsia="黑体"/>
      <w:kern w:val="24"/>
      <w:sz w:val="20"/>
      <w:szCs w:val="21"/>
    </w:rPr>
  </w:style>
  <w:style w:type="paragraph" w:customStyle="1" w:styleId="a8">
    <w:name w:val="表格"/>
    <w:basedOn w:val="Normal"/>
    <w:next w:val="Normal"/>
    <w:link w:val="Char"/>
    <w:pPr>
      <w:adjustRightInd w:val="0"/>
      <w:snapToGrid w:val="0"/>
      <w:spacing w:beforeLines="10" w:afterLines="10" w:line="259" w:lineRule="auto"/>
      <w:jc w:val="center"/>
    </w:pPr>
    <w:rPr>
      <w:rFonts w:ascii="宋体"/>
      <w:kern w:val="0"/>
      <w:szCs w:val="20"/>
    </w:rPr>
  </w:style>
  <w:style w:type="paragraph" w:styleId="BodyTextIndent0">
    <w:name w:val="Body Text Indent"/>
    <w:basedOn w:val="Normal"/>
    <w:link w:val="a7"/>
    <w:pPr>
      <w:spacing w:after="120"/>
      <w:ind w:left="420" w:leftChars="200"/>
    </w:pPr>
    <w:rPr>
      <w:kern w:val="0"/>
      <w:sz w:val="24"/>
      <w:szCs w:val="20"/>
    </w:rPr>
  </w:style>
  <w:style w:type="paragraph" w:customStyle="1" w:styleId="28">
    <w:name w:val="正文_28"/>
    <w:qFormat/>
    <w:pPr>
      <w:widowControl w:val="0"/>
      <w:jc w:val="both"/>
    </w:pPr>
    <w:rPr>
      <w:rFonts w:ascii="Calibri" w:hAnsi="Calibri"/>
      <w:kern w:val="2"/>
      <w:sz w:val="21"/>
      <w:lang w:val="en-US" w:eastAsia="zh-CN" w:bidi="ar-SA"/>
    </w:rPr>
  </w:style>
  <w:style w:type="paragraph" w:customStyle="1" w:styleId="BodyText1I2">
    <w:name w:val="BodyText1I2"/>
    <w:basedOn w:val="BodyTextIndent"/>
    <w:next w:val="Normal"/>
    <w:pPr>
      <w:spacing w:line="360" w:lineRule="auto"/>
      <w:ind w:left="0" w:firstLine="420" w:leftChars="0" w:firstLineChars="200"/>
      <w:jc w:val="both"/>
      <w:textAlignment w:val="baseline"/>
    </w:pPr>
    <w:rPr>
      <w:rFonts w:ascii="Times New Roman" w:hAnsi="Times New Roman"/>
      <w:color w:val="008000"/>
      <w:kern w:val="2"/>
      <w:sz w:val="24"/>
      <w:szCs w:val="24"/>
      <w:lang w:val="en-US" w:eastAsia="zh-CN" w:bidi="ar-SA"/>
    </w:rPr>
  </w:style>
  <w:style w:type="paragraph" w:styleId="Footer">
    <w:name w:val="footer"/>
    <w:basedOn w:val="Normal"/>
    <w:link w:val="10"/>
    <w:uiPriority w:val="99"/>
    <w:pPr>
      <w:tabs>
        <w:tab w:val="center" w:pos="4153"/>
        <w:tab w:val="right" w:pos="8306"/>
      </w:tabs>
      <w:snapToGrid w:val="0"/>
      <w:jc w:val="left"/>
    </w:pPr>
    <w:rPr>
      <w:kern w:val="0"/>
      <w:sz w:val="18"/>
      <w:szCs w:val="20"/>
    </w:rPr>
  </w:style>
  <w:style w:type="paragraph" w:styleId="Header">
    <w:name w:val="header"/>
    <w:basedOn w:val="Normal"/>
    <w:link w:val="a2"/>
    <w:pPr>
      <w:pBdr>
        <w:bottom w:val="single" w:sz="6" w:space="1" w:color="auto"/>
      </w:pBdr>
      <w:tabs>
        <w:tab w:val="center" w:pos="4153"/>
        <w:tab w:val="right" w:pos="8306"/>
      </w:tabs>
      <w:snapToGrid w:val="0"/>
      <w:jc w:val="center"/>
    </w:pPr>
    <w:rPr>
      <w:kern w:val="0"/>
      <w:sz w:val="18"/>
      <w:szCs w:val="20"/>
    </w:rPr>
  </w:style>
  <w:style w:type="paragraph" w:customStyle="1" w:styleId="3">
    <w:name w:val="样式3"/>
    <w:basedOn w:val="List"/>
    <w:qFormat/>
    <w:pPr>
      <w:autoSpaceDE w:val="0"/>
      <w:autoSpaceDN w:val="0"/>
      <w:snapToGrid w:val="0"/>
      <w:spacing w:before="120" w:line="460" w:lineRule="atLeast"/>
      <w:jc w:val="center"/>
    </w:pPr>
    <w:rPr>
      <w:rFonts w:eastAsia="黑体"/>
      <w:sz w:val="28"/>
      <w:szCs w:val="21"/>
    </w:rPr>
  </w:style>
  <w:style w:type="paragraph" w:customStyle="1" w:styleId="Tab0">
    <w:name w:val="Tab"/>
    <w:basedOn w:val="Normal"/>
    <w:link w:val="Tab"/>
    <w:qFormat/>
    <w:pPr>
      <w:jc w:val="center"/>
    </w:pPr>
    <w:rPr>
      <w:kern w:val="0"/>
      <w:sz w:val="20"/>
      <w:szCs w:val="21"/>
    </w:rPr>
  </w:style>
  <w:style w:type="paragraph" w:customStyle="1" w:styleId="a9">
    <w:name w:val="萝卜"/>
    <w:basedOn w:val="Normal"/>
    <w:link w:val="Char0"/>
    <w:qFormat/>
    <w:pPr>
      <w:tabs>
        <w:tab w:val="left" w:pos="540"/>
      </w:tabs>
      <w:spacing w:line="360" w:lineRule="auto"/>
      <w:ind w:firstLine="200" w:firstLineChars="200"/>
    </w:pPr>
    <w:rPr>
      <w:kern w:val="24"/>
      <w:sz w:val="24"/>
      <w:szCs w:val="21"/>
    </w:rPr>
  </w:style>
  <w:style w:type="paragraph" w:styleId="NormalWeb">
    <w:name w:val="Normal (Web)"/>
    <w:basedOn w:val="Normal"/>
    <w:link w:val="a6"/>
    <w:pPr>
      <w:widowControl/>
      <w:spacing w:before="100" w:beforeAutospacing="1" w:after="100" w:afterAutospacing="1"/>
      <w:jc w:val="left"/>
    </w:pPr>
    <w:rPr>
      <w:rFonts w:ascii="宋体" w:hAnsi="宋体"/>
      <w:kern w:val="0"/>
      <w:sz w:val="24"/>
      <w:szCs w:val="20"/>
    </w:rPr>
  </w:style>
  <w:style w:type="paragraph" w:customStyle="1" w:styleId="14">
    <w:name w:val="正文首行缩进1"/>
    <w:basedOn w:val="Normal"/>
    <w:qFormat/>
    <w:pPr>
      <w:adjustRightInd w:val="0"/>
      <w:snapToGrid w:val="0"/>
      <w:spacing w:line="360" w:lineRule="auto"/>
      <w:ind w:firstLine="482" w:firstLineChars="200"/>
      <w:jc w:val="left"/>
    </w:pPr>
    <w:rPr>
      <w:snapToGrid w:val="0"/>
      <w:kern w:val="0"/>
      <w:sz w:val="24"/>
    </w:rPr>
  </w:style>
  <w:style w:type="paragraph" w:customStyle="1" w:styleId="Tab1">
    <w:name w:val="Tab正文"/>
    <w:basedOn w:val="Normal"/>
    <w:link w:val="TabChar"/>
    <w:qFormat/>
    <w:pPr>
      <w:jc w:val="center"/>
    </w:pPr>
    <w:rPr>
      <w:szCs w:val="21"/>
    </w:rPr>
  </w:style>
  <w:style w:type="table" w:styleId="TableGrid">
    <w:name w:val="Table Grid"/>
    <w:basedOn w:val="TableNormal"/>
    <w:rPr>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347005102145006054"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_rels/settings.xml.rels><?xml version="1.0" encoding="utf-8" standalone="yes"?><Relationships xmlns="http://schemas.openxmlformats.org/package/2006/relationships"><Relationship Id="rId1" Type="http://schemas.openxmlformats.org/officeDocument/2006/relationships/attachedTemplate" Target="file:///c:\dsoa\wdzx97.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wdzx97</Template>
  <TotalTime>0</TotalTime>
  <Pages>10</Pages>
  <Words>4121</Words>
  <Characters>23493</Characters>
  <Application>Microsoft Office Word</Application>
  <DocSecurity>0</DocSecurity>
  <Lines>195</Lines>
  <Paragraphs>55</Paragraphs>
  <ScaleCrop>false</ScaleCrop>
  <Company>微软中国</Company>
  <LinksUpToDate>false</LinksUpToDate>
  <CharactersWithSpaces>27559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lhj</dc:creator>
  <cp:lastModifiedBy>WPS_1559717548</cp:lastModifiedBy>
  <cp:revision>8</cp:revision>
  <cp:lastPrinted>2020-12-29T02:43:00Z</cp:lastPrinted>
  <dcterms:created xsi:type="dcterms:W3CDTF">2021-03-29T08:08:00Z</dcterms:created>
  <dcterms:modified xsi:type="dcterms:W3CDTF">2024-03-20T08:42:41Z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308C89F84E20482DA552B4209543D974</vt:lpwstr>
  </property>
  <property fmtid="{D5CDD505-2E9C-101B-9397-08002B2CF9AE}" pid="3" name="KSOProductBuildVer">
    <vt:lpwstr>2052-11.1.0.10009</vt:lpwstr>
  </property>
</Properties>
</file>