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5"/>
        <w:ind w:left="0"/>
        <w:rPr>
          <w:rFonts w:ascii="Times New Roman"/>
          <w:sz w:val="27"/>
        </w:rPr>
      </w:pPr>
    </w:p>
    <w:p>
      <w:pPr>
        <w:spacing w:before="59"/>
        <w:ind w:left="3682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成立粉煤灰生产制造公司</w:t>
      </w: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spacing w:before="11"/>
        <w:ind w:left="0"/>
        <w:rPr>
          <w:rFonts w:ascii="黑体"/>
          <w:b/>
          <w:sz w:val="36"/>
        </w:rPr>
      </w:pPr>
    </w:p>
    <w:p>
      <w:pPr>
        <w:spacing w:before="0"/>
        <w:ind w:left="2321" w:right="5104" w:firstLine="0"/>
        <w:jc w:val="center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可行性报告</w:t>
      </w: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ind w:left="0"/>
        <w:rPr>
          <w:rFonts w:ascii="黑体"/>
          <w:b/>
          <w:sz w:val="28"/>
        </w:rPr>
      </w:pPr>
    </w:p>
    <w:p>
      <w:pPr>
        <w:pStyle w:val="BodyText"/>
        <w:spacing w:before="8"/>
        <w:ind w:left="0"/>
        <w:rPr>
          <w:rFonts w:ascii="黑体"/>
          <w:b/>
          <w:sz w:val="32"/>
        </w:rPr>
      </w:pPr>
    </w:p>
    <w:p>
      <w:pPr>
        <w:spacing w:before="0"/>
        <w:ind w:left="4761" w:right="5082" w:firstLine="0"/>
        <w:jc w:val="center"/>
        <w:rPr>
          <w:rFonts w:ascii="黑体" w:eastAsia="黑体" w:hint="eastAsia"/>
          <w:b/>
          <w:sz w:val="45"/>
        </w:rPr>
      </w:pPr>
      <w:r>
        <w:rPr>
          <w:rFonts w:ascii="黑体" w:eastAsia="黑体" w:hint="eastAsia"/>
          <w:b/>
          <w:spacing w:val="2"/>
          <w:w w:val="95"/>
          <w:sz w:val="45"/>
        </w:rPr>
        <w:t>规划设计</w:t>
      </w:r>
      <w:r>
        <w:rPr>
          <w:rFonts w:ascii="黑体" w:eastAsia="黑体" w:hint="eastAsia"/>
          <w:b/>
          <w:w w:val="95"/>
          <w:sz w:val="4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  <w:sz w:val="45"/>
        </w:rPr>
        <w:sectPr>
          <w:type w:val="continuous"/>
          <w:pgSz w:w="18360" w:h="23760"/>
          <w:pgMar w:top="2300" w:right="1200" w:bottom="280" w:left="1520" w:header="708" w:footer="708"/>
          <w:cols w:space="708"/>
        </w:sectPr>
      </w:pPr>
    </w:p>
    <w:p>
      <w:pPr>
        <w:pStyle w:val="BodyText"/>
        <w:spacing w:line="607" w:lineRule="exact"/>
        <w:ind w:left="4761" w:right="5084"/>
        <w:jc w:val="center"/>
        <w:rPr>
          <w:rFonts w:ascii="幼圆" w:eastAsia="幼圆" w:hint="eastAsia"/>
        </w:rPr>
      </w:pPr>
      <w:r>
        <w:rPr>
          <w:rFonts w:ascii="幼圆" w:eastAsia="幼圆" w:hint="eastAsia"/>
          <w:w w:val="95"/>
        </w:rPr>
        <w:t>报告摘要说明</w:t>
      </w:r>
    </w:p>
    <w:p>
      <w:pPr>
        <w:pStyle w:val="BodyText"/>
        <w:spacing w:before="12"/>
        <w:ind w:left="0"/>
        <w:rPr>
          <w:rFonts w:ascii="幼圆"/>
          <w:sz w:val="34"/>
        </w:rPr>
      </w:pPr>
    </w:p>
    <w:p>
      <w:pPr>
        <w:spacing w:before="0" w:line="405" w:lineRule="auto"/>
        <w:ind w:left="280" w:right="844" w:firstLine="900"/>
        <w:jc w:val="left"/>
        <w:rPr>
          <w:sz w:val="45"/>
        </w:rPr>
      </w:pPr>
      <w:r>
        <w:rPr>
          <w:w w:val="95"/>
          <w:sz w:val="45"/>
        </w:rPr>
        <w:t>2023</w:t>
      </w:r>
      <w:r>
        <w:rPr>
          <w:spacing w:val="232"/>
          <w:sz w:val="45"/>
        </w:rPr>
        <w:t xml:space="preserve"> </w:t>
      </w:r>
      <w:r>
        <w:rPr>
          <w:w w:val="95"/>
          <w:sz w:val="45"/>
        </w:rPr>
        <w:t>年，连续受建筑建材行业下行，水泥行业去产能，煤炭价格波动</w:t>
      </w:r>
      <w:r>
        <w:rPr>
          <w:sz w:val="45"/>
        </w:rPr>
        <w:t>等因素影响，我国粉煤灰综合利用患病严峻挑战，几乎全国范围内粉煤灰</w:t>
      </w:r>
      <w:r>
        <w:rPr>
          <w:spacing w:val="-1"/>
          <w:sz w:val="45"/>
        </w:rPr>
        <w:t>市场都消灭了量价齐降的问题。与此同时，</w:t>
      </w:r>
      <w:r>
        <w:rPr>
          <w:sz w:val="45"/>
        </w:rPr>
        <w:t>2023</w:t>
      </w:r>
      <w:r>
        <w:rPr>
          <w:spacing w:val="-76"/>
          <w:sz w:val="45"/>
        </w:rPr>
        <w:t xml:space="preserve"> 年 </w:t>
      </w:r>
      <w:r>
        <w:rPr>
          <w:sz w:val="45"/>
        </w:rPr>
        <w:t>1</w:t>
      </w:r>
      <w:r>
        <w:rPr>
          <w:spacing w:val="-76"/>
          <w:sz w:val="45"/>
        </w:rPr>
        <w:t xml:space="preserve"> 月 </w:t>
      </w:r>
      <w:r>
        <w:rPr>
          <w:sz w:val="45"/>
        </w:rPr>
        <w:t>1</w:t>
      </w:r>
      <w:r>
        <w:rPr>
          <w:spacing w:val="-16"/>
          <w:sz w:val="45"/>
        </w:rPr>
        <w:t xml:space="preserve"> 日环境保护税法</w:t>
      </w:r>
      <w:r>
        <w:rPr>
          <w:sz w:val="45"/>
        </w:rPr>
        <w:t>马上实施、修订的国家标准《用于水泥和混凝土中的粉煤灰》GB1596-</w:t>
      </w:r>
      <w:r>
        <w:rPr>
          <w:spacing w:val="1"/>
          <w:sz w:val="45"/>
        </w:rPr>
        <w:t xml:space="preserve"> </w:t>
      </w:r>
      <w:r>
        <w:rPr>
          <w:sz w:val="45"/>
        </w:rPr>
        <w:t>2023</w:t>
      </w:r>
      <w:r>
        <w:rPr>
          <w:spacing w:val="-12"/>
          <w:sz w:val="45"/>
        </w:rPr>
        <w:t xml:space="preserve"> 公布，对粉煤灰的综合利用造成了巨大挑战。</w:t>
      </w:r>
    </w:p>
    <w:p>
      <w:pPr>
        <w:pStyle w:val="BodyText"/>
        <w:spacing w:line="582" w:lineRule="exact"/>
        <w:ind w:left="1180"/>
      </w:pPr>
      <w:r>
        <w:rPr>
          <w:w w:val="95"/>
        </w:rPr>
        <w:t>xxx</w:t>
      </w:r>
      <w:r>
        <w:rPr>
          <w:spacing w:val="-13"/>
          <w:w w:val="95"/>
        </w:rPr>
        <w:t xml:space="preserve"> 由 </w:t>
      </w:r>
      <w:r>
        <w:rPr>
          <w:w w:val="95"/>
        </w:rPr>
        <w:t>xxx</w:t>
      </w:r>
      <w:r>
        <w:rPr>
          <w:spacing w:val="-10"/>
          <w:w w:val="95"/>
        </w:rPr>
        <w:t xml:space="preserve"> 科技公司</w:t>
      </w:r>
      <w:r>
        <w:rPr>
          <w:w w:val="95"/>
        </w:rPr>
        <w:t>〔以下简称“A</w:t>
      </w:r>
      <w:r>
        <w:rPr>
          <w:spacing w:val="-9"/>
          <w:w w:val="95"/>
        </w:rPr>
        <w:t xml:space="preserve"> 公司</w:t>
      </w:r>
      <w:r>
        <w:rPr>
          <w:w w:val="95"/>
        </w:rPr>
        <w:t>”〕</w:t>
      </w:r>
      <w:r>
        <w:rPr>
          <w:spacing w:val="-19"/>
          <w:w w:val="95"/>
        </w:rPr>
        <w:t xml:space="preserve">与 </w:t>
      </w:r>
      <w:r>
        <w:rPr>
          <w:w w:val="95"/>
        </w:rPr>
        <w:t>xxx</w:t>
      </w:r>
      <w:r>
        <w:rPr>
          <w:spacing w:val="-17"/>
          <w:w w:val="95"/>
        </w:rPr>
        <w:t xml:space="preserve"> 有限</w:t>
      </w:r>
    </w:p>
    <w:p>
      <w:pPr>
        <w:pStyle w:val="BodyText"/>
        <w:spacing w:before="422"/>
        <w:jc w:val="both"/>
      </w:pPr>
      <w:r>
        <w:rPr>
          <w:w w:val="95"/>
        </w:rPr>
        <w:t>责任公司〔以下简称“B</w:t>
      </w:r>
      <w:r>
        <w:rPr>
          <w:spacing w:val="241"/>
        </w:rPr>
        <w:t xml:space="preserve"> </w:t>
      </w:r>
      <w:r>
        <w:rPr>
          <w:w w:val="95"/>
        </w:rPr>
        <w:t>公司”〕共同出资成立，其中：</w:t>
      </w:r>
      <w:r>
        <w:rPr>
          <w:spacing w:val="9"/>
          <w:w w:val="95"/>
        </w:rPr>
        <w:t>A</w:t>
      </w:r>
      <w:r>
        <w:rPr>
          <w:spacing w:val="40"/>
          <w:w w:val="95"/>
        </w:rPr>
        <w:t xml:space="preserve"> 公司出资</w:t>
      </w:r>
    </w:p>
    <w:p>
      <w:pPr>
        <w:pStyle w:val="BodyText"/>
        <w:spacing w:before="421" w:line="405" w:lineRule="auto"/>
        <w:ind w:right="1326"/>
        <w:jc w:val="both"/>
      </w:pPr>
      <w:r>
        <w:rPr>
          <w:w w:val="95"/>
        </w:rPr>
        <w:t>870.0</w:t>
      </w:r>
      <w:r>
        <w:rPr>
          <w:spacing w:val="3"/>
          <w:w w:val="95"/>
        </w:rPr>
        <w:t xml:space="preserve"> 万元，占公司股份 </w:t>
      </w:r>
      <w:r>
        <w:rPr>
          <w:w w:val="95"/>
        </w:rPr>
        <w:t>75%；B</w:t>
      </w:r>
      <w:r>
        <w:rPr>
          <w:spacing w:val="3"/>
          <w:w w:val="95"/>
        </w:rPr>
        <w:t xml:space="preserve"> 公司出资 </w:t>
      </w:r>
      <w:r>
        <w:rPr>
          <w:w w:val="95"/>
        </w:rPr>
        <w:t>290.0 万元，占公司股份</w:t>
      </w:r>
      <w:r>
        <w:t>25%。</w:t>
      </w:r>
    </w:p>
    <w:p>
      <w:pPr>
        <w:pStyle w:val="BodyText"/>
        <w:spacing w:line="405" w:lineRule="auto"/>
        <w:ind w:right="598" w:firstLine="900"/>
        <w:jc w:val="both"/>
      </w:pPr>
      <w:r>
        <w:rPr>
          <w:w w:val="95"/>
        </w:rPr>
        <w:t>xxx</w:t>
      </w:r>
      <w:r>
        <w:rPr>
          <w:spacing w:val="2"/>
          <w:w w:val="95"/>
        </w:rPr>
        <w:t xml:space="preserve"> 以粉煤灰产业为核心，依托 </w:t>
      </w:r>
      <w:r>
        <w:rPr>
          <w:w w:val="95"/>
        </w:rPr>
        <w:t>A 公司的渠道资源和 B</w:t>
      </w:r>
      <w:r>
        <w:rPr>
          <w:spacing w:val="-3"/>
          <w:w w:val="95"/>
        </w:rPr>
        <w:t xml:space="preserve"> 公</w:t>
      </w:r>
      <w:r>
        <w:rPr>
          <w:w w:val="95"/>
        </w:rPr>
        <w:t>司的行业阅历，xxx</w:t>
      </w:r>
      <w:r>
        <w:rPr>
          <w:spacing w:val="8"/>
          <w:w w:val="95"/>
        </w:rPr>
        <w:t xml:space="preserve"> 将快速形成行业竞争力，通过 </w:t>
      </w:r>
      <w:r>
        <w:rPr>
          <w:w w:val="95"/>
        </w:rPr>
        <w:t>3-5</w:t>
      </w:r>
      <w:r>
        <w:rPr>
          <w:spacing w:val="23"/>
          <w:w w:val="95"/>
        </w:rPr>
        <w:t xml:space="preserve"> 年的进展</w:t>
      </w:r>
      <w:r>
        <w:t>，成为区域内行业龙头，带动并促进全行业的进展。</w:t>
      </w:r>
    </w:p>
    <w:p>
      <w:pPr>
        <w:pStyle w:val="BodyText"/>
        <w:spacing w:line="405" w:lineRule="auto"/>
        <w:ind w:right="959" w:firstLine="900"/>
      </w:pPr>
      <w:r>
        <w:rPr>
          <w:w w:val="95"/>
        </w:rPr>
        <w:t>xxx</w:t>
      </w:r>
      <w:r>
        <w:rPr>
          <w:spacing w:val="-8"/>
          <w:w w:val="95"/>
        </w:rPr>
        <w:t xml:space="preserve"> 打算总投资 </w:t>
      </w:r>
      <w:r>
        <w:rPr>
          <w:w w:val="95"/>
        </w:rPr>
        <w:t>5965.76</w:t>
      </w:r>
      <w:r>
        <w:rPr>
          <w:spacing w:val="-6"/>
          <w:w w:val="95"/>
        </w:rPr>
        <w:t xml:space="preserve"> 万元，其中：固定资产投资</w:t>
      </w:r>
      <w:r>
        <w:rPr>
          <w:w w:val="95"/>
        </w:rPr>
        <w:t>4131.42</w:t>
      </w:r>
      <w:r>
        <w:rPr>
          <w:spacing w:val="9"/>
          <w:w w:val="95"/>
        </w:rPr>
        <w:t xml:space="preserve"> 万元，占总投资的 </w:t>
      </w:r>
      <w:r>
        <w:rPr>
          <w:w w:val="95"/>
        </w:rPr>
        <w:t>69.25</w:t>
      </w:r>
      <w:r>
        <w:rPr>
          <w:spacing w:val="7"/>
          <w:w w:val="95"/>
        </w:rPr>
        <w:t xml:space="preserve">%；流淌资金 </w:t>
      </w:r>
      <w:r>
        <w:rPr>
          <w:w w:val="95"/>
        </w:rPr>
        <w:t>1834.34</w:t>
      </w:r>
      <w:r>
        <w:rPr>
          <w:spacing w:val="6"/>
          <w:w w:val="95"/>
        </w:rPr>
        <w:t xml:space="preserve"> 万元，占总投</w:t>
      </w:r>
      <w:r>
        <w:rPr>
          <w:spacing w:val="-34"/>
          <w:w w:val="95"/>
        </w:rPr>
        <w:t xml:space="preserve">资的 </w:t>
      </w:r>
      <w:r>
        <w:rPr>
          <w:w w:val="95"/>
        </w:rPr>
        <w:t>30.75%。</w:t>
      </w:r>
    </w:p>
    <w:p>
      <w:pPr>
        <w:pStyle w:val="BodyText"/>
        <w:spacing w:line="612" w:lineRule="exact"/>
        <w:ind w:left="1180"/>
      </w:pPr>
      <w:r>
        <w:rPr>
          <w:w w:val="95"/>
        </w:rPr>
        <w:t>依据规划，xxx</w:t>
      </w:r>
      <w:r>
        <w:rPr>
          <w:spacing w:val="6"/>
          <w:w w:val="95"/>
        </w:rPr>
        <w:t xml:space="preserve"> 正常经营年份可实现营业收入</w:t>
      </w:r>
      <w:r>
        <w:rPr>
          <w:spacing w:val="242"/>
        </w:rPr>
        <w:t xml:space="preserve"> </w:t>
      </w:r>
      <w:r>
        <w:rPr>
          <w:w w:val="95"/>
        </w:rPr>
        <w:t>14702.00</w:t>
      </w:r>
    </w:p>
    <w:p>
      <w:pPr>
        <w:pStyle w:val="BodyText"/>
        <w:spacing w:before="414"/>
        <w:jc w:val="both"/>
      </w:pPr>
      <w:r>
        <w:rPr>
          <w:spacing w:val="7"/>
          <w:w w:val="95"/>
        </w:rPr>
        <w:t xml:space="preserve">万元，总本钱费用 </w:t>
      </w:r>
      <w:r>
        <w:rPr>
          <w:w w:val="95"/>
        </w:rPr>
        <w:t>11522.34</w:t>
      </w:r>
      <w:r>
        <w:rPr>
          <w:spacing w:val="12"/>
          <w:w w:val="95"/>
        </w:rPr>
        <w:t xml:space="preserve"> 万元，税金及附加 </w:t>
      </w:r>
      <w:r>
        <w:rPr>
          <w:w w:val="95"/>
        </w:rPr>
        <w:t>116.31</w:t>
      </w:r>
      <w:r>
        <w:rPr>
          <w:spacing w:val="6"/>
          <w:w w:val="95"/>
        </w:rPr>
        <w:t xml:space="preserve"> 万元，利润总</w:t>
      </w:r>
    </w:p>
    <w:p>
      <w:pPr>
        <w:pStyle w:val="BodyText"/>
        <w:spacing w:before="422"/>
      </w:pPr>
      <w:r>
        <w:rPr>
          <w:spacing w:val="28"/>
          <w:w w:val="95"/>
        </w:rPr>
        <w:t xml:space="preserve">额 </w:t>
      </w:r>
      <w:r>
        <w:rPr>
          <w:w w:val="95"/>
        </w:rPr>
        <w:t>3179.66</w:t>
      </w:r>
      <w:r>
        <w:rPr>
          <w:spacing w:val="11"/>
          <w:w w:val="95"/>
        </w:rPr>
        <w:t xml:space="preserve"> 万元，利税总额 </w:t>
      </w:r>
      <w:r>
        <w:rPr>
          <w:w w:val="95"/>
        </w:rPr>
        <w:t>3734.54</w:t>
      </w:r>
      <w:r>
        <w:rPr>
          <w:spacing w:val="10"/>
          <w:w w:val="95"/>
        </w:rPr>
        <w:t xml:space="preserve"> 万元，税后净利润 </w:t>
      </w:r>
      <w:r>
        <w:rPr>
          <w:w w:val="95"/>
        </w:rPr>
        <w:t>2384.74</w:t>
      </w:r>
      <w:r>
        <w:rPr>
          <w:spacing w:val="12"/>
          <w:w w:val="95"/>
        </w:rPr>
        <w:t xml:space="preserve"> 万元，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https://d.book118.com/347032036012006025</w:t>
        </w:r>
      </w:hyperlink>
    </w:p>
    <w:p>
      <w:pPr>
        <w:spacing w:after="0"/>
      </w:pPr>
    </w:p>
    <w:sectPr>
      <w:pgSz w:w="18360" w:h="23760"/>
      <w:pgMar w:top="2300" w:right="120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9EA5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1">
    <w:nsid w:val="172D309A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2">
    <w:nsid w:val="2277E535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3">
    <w:nsid w:val="30164C37"/>
    <w:multiLevelType w:val="hybridMultilevel"/>
    <w:tmpl w:val="00000000"/>
    <w:lvl w:ilvl="0">
      <w:start w:val="1"/>
      <w:numFmt w:val="decimal"/>
      <w:lvlText w:val="（%1）"/>
      <w:lvlJc w:val="left"/>
      <w:pPr>
        <w:ind w:left="23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0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5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3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6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8" w:hanging="1200"/>
      </w:pPr>
      <w:rPr>
        <w:rFonts w:hint="default"/>
      </w:rPr>
    </w:lvl>
  </w:abstractNum>
  <w:abstractNum w:abstractNumId="4">
    <w:nsid w:val="4E4C7D64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5">
    <w:nsid w:val="53937B62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abstractNum w:abstractNumId="6">
    <w:nsid w:val="5EECA18D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816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52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8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4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6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8" w:hanging="12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0"/>
    </w:pPr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80" w:right="809" w:firstLine="900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spacing w:before="145"/>
    </w:pPr>
    <w:rPr>
      <w:rFonts w:ascii="楷体" w:eastAsia="楷体" w:hAnsi="楷体" w:cs="楷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4703203601200602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2023-10-12T14:05:00Z</dcterms:created>
  <dcterms:modified xsi:type="dcterms:W3CDTF">2023-10-12T14:05:00Z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LastSaved">
    <vt:filetime>2023-10-12T00:00:00Z</vt:filetime>
  </property>
</Properties>
</file>