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spacing w:before="2"/>
        <w:rPr>
          <w:rFonts w:ascii="Times New Roman"/>
          <w:sz w:val="24"/>
        </w:rPr>
      </w:pPr>
    </w:p>
    <w:p>
      <w:pPr>
        <w:pStyle w:val="Title"/>
      </w:pPr>
      <w:r>
        <w:drawing>
          <wp:anchor distT="0" distB="0" distL="0" distR="0" simplePos="0" relativeHeight="251658240" behindDoc="0" locked="0" layoutInCell="1" allowOverlap="1">
            <wp:simplePos x="0" y="0"/>
            <wp:positionH relativeFrom="page">
              <wp:posOffset>4852416</wp:posOffset>
            </wp:positionH>
            <wp:positionV relativeFrom="paragraph">
              <wp:posOffset>206691</wp:posOffset>
            </wp:positionV>
            <wp:extent cx="796200" cy="39750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796200" cy="397505"/>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1025" type="#_x0000_t202" style="width:77.15pt;height:27.35pt;margin-top:-14.09pt;margin-left:58.52pt;mso-position-horizontal-relative:page;position:absolute;z-index:251659264" filled="f" stroked="f">
            <v:textbox inset="0,0,0,0">
              <w:txbxContent>
                <w:tbl>
                  <w:tblPr>
                    <w:tblStyle w:val="TableNormal"/>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53"/>
                    <w:gridCol w:w="890"/>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272"/>
                      <w:jc w:val="left"/>
                    </w:trPr>
                    <w:tc>
                      <w:tcPr>
                        <w:tcW w:w="653" w:type="dxa"/>
                      </w:tcPr>
                      <w:p>
                        <w:pPr>
                          <w:pStyle w:val="TableParagraph"/>
                          <w:spacing w:line="234" w:lineRule="exact"/>
                          <w:ind w:left="200"/>
                          <w:rPr>
                            <w:rFonts w:ascii="Times New Roman"/>
                            <w:sz w:val="21"/>
                          </w:rPr>
                        </w:pPr>
                        <w:r>
                          <w:rPr>
                            <w:rFonts w:ascii="Times New Roman"/>
                            <w:sz w:val="21"/>
                          </w:rPr>
                          <w:t>ICS</w:t>
                        </w:r>
                      </w:p>
                    </w:tc>
                    <w:tc>
                      <w:tcPr>
                        <w:tcW w:w="890" w:type="dxa"/>
                      </w:tcPr>
                      <w:p>
                        <w:pPr>
                          <w:pStyle w:val="TableParagraph"/>
                          <w:spacing w:line="253" w:lineRule="exact"/>
                          <w:ind w:left="55"/>
                          <w:rPr>
                            <w:rFonts w:ascii="黑体"/>
                            <w:sz w:val="21"/>
                          </w:rPr>
                        </w:pPr>
                        <w:r>
                          <w:rPr>
                            <w:rFonts w:ascii="黑体"/>
                            <w:sz w:val="21"/>
                          </w:rPr>
                          <w:t>27.140</w:t>
                        </w:r>
                      </w:p>
                    </w:tc>
                  </w:tr>
                  <w:tr>
                    <w:tblPrEx>
                      <w:tblW w:w="0" w:type="auto"/>
                      <w:jc w:val="left"/>
                      <w:tblInd w:w="7" w:type="dxa"/>
                      <w:tblLayout w:type="fixed"/>
                      <w:tblCellMar>
                        <w:top w:w="0" w:type="dxa"/>
                        <w:left w:w="0" w:type="dxa"/>
                        <w:bottom w:w="0" w:type="dxa"/>
                        <w:right w:w="0" w:type="dxa"/>
                      </w:tblCellMar>
                      <w:tblLook w:val="01E0"/>
                    </w:tblPrEx>
                    <w:trPr>
                      <w:trHeight w:val="273"/>
                      <w:jc w:val="left"/>
                    </w:trPr>
                    <w:tc>
                      <w:tcPr>
                        <w:tcW w:w="653" w:type="dxa"/>
                      </w:tcPr>
                      <w:p>
                        <w:pPr>
                          <w:pStyle w:val="TableParagraph"/>
                          <w:spacing w:before="31" w:line="223" w:lineRule="exact"/>
                          <w:ind w:left="200"/>
                          <w:rPr>
                            <w:rFonts w:ascii="Times New Roman"/>
                            <w:sz w:val="21"/>
                          </w:rPr>
                        </w:pPr>
                        <w:r>
                          <w:rPr>
                            <w:rFonts w:ascii="Times New Roman"/>
                            <w:sz w:val="21"/>
                          </w:rPr>
                          <w:t>CCS</w:t>
                        </w:r>
                      </w:p>
                    </w:tc>
                    <w:tc>
                      <w:tcPr>
                        <w:tcW w:w="890" w:type="dxa"/>
                      </w:tcPr>
                      <w:p>
                        <w:pPr>
                          <w:pStyle w:val="TableParagraph"/>
                          <w:spacing w:before="34" w:line="220" w:lineRule="exact"/>
                          <w:ind w:left="55"/>
                          <w:rPr>
                            <w:rFonts w:ascii="黑体"/>
                            <w:sz w:val="21"/>
                          </w:rPr>
                        </w:pPr>
                        <w:r>
                          <w:rPr>
                            <w:rFonts w:ascii="黑体"/>
                            <w:sz w:val="21"/>
                          </w:rPr>
                          <w:t>P 59</w:t>
                        </w:r>
                      </w:p>
                    </w:tc>
                  </w:tr>
                </w:tbl>
                <w:p>
                  <w:pPr>
                    <w:pStyle w:val="BodyText"/>
                  </w:pPr>
                </w:p>
              </w:txbxContent>
            </v:textbox>
          </v:shape>
        </w:pict>
      </w:r>
      <w:r>
        <w:rPr>
          <w:w w:val="130"/>
        </w:rPr>
        <w:t>64</w:t>
      </w:r>
    </w:p>
    <w:p>
      <w:pPr>
        <w:spacing w:before="253"/>
        <w:ind w:left="1063" w:right="0" w:firstLine="0"/>
        <w:jc w:val="left"/>
        <w:rPr>
          <w:rFonts w:ascii="黑体" w:eastAsia="黑体" w:hint="eastAsia"/>
          <w:sz w:val="48"/>
        </w:rPr>
      </w:pPr>
      <w:r>
        <w:rPr>
          <w:rFonts w:ascii="黑体" w:eastAsia="黑体" w:hint="eastAsia"/>
          <w:spacing w:val="88"/>
          <w:sz w:val="48"/>
        </w:rPr>
        <w:t>宁 夏 回 族 自 治 区 地 方 标 准</w:t>
      </w:r>
    </w:p>
    <w:p>
      <w:pPr>
        <w:spacing w:before="341"/>
        <w:ind w:left="0" w:right="870" w:firstLine="0"/>
        <w:jc w:val="right"/>
        <w:rPr>
          <w:rFonts w:ascii="黑体" w:hAnsi="黑体"/>
          <w:sz w:val="28"/>
        </w:rPr>
      </w:pPr>
      <w:r>
        <w:rPr>
          <w:rFonts w:ascii="黑体" w:hAnsi="黑体"/>
          <w:sz w:val="28"/>
        </w:rPr>
        <w:t>DB 64/T</w:t>
      </w:r>
      <w:r>
        <w:rPr>
          <w:rFonts w:ascii="黑体" w:hAnsi="黑体"/>
          <w:spacing w:val="-68"/>
          <w:sz w:val="28"/>
        </w:rPr>
        <w:t xml:space="preserve"> </w:t>
      </w:r>
      <w:r>
        <w:rPr>
          <w:rFonts w:ascii="黑体" w:hAnsi="黑体"/>
          <w:sz w:val="28"/>
        </w:rPr>
        <w:t>1965—2023</w:t>
      </w:r>
    </w:p>
    <w:p>
      <w:pPr>
        <w:pStyle w:val="BodyText"/>
        <w:rPr>
          <w:rFonts w:ascii="黑体"/>
          <w:sz w:val="20"/>
        </w:rPr>
      </w:pPr>
    </w:p>
    <w:p>
      <w:pPr>
        <w:pStyle w:val="BodyText"/>
        <w:spacing w:before="3"/>
        <w:rPr>
          <w:rFonts w:ascii="黑体"/>
          <w:sz w:val="28"/>
        </w:rPr>
      </w:pPr>
      <w:r>
        <w:pict>
          <v:shape id="_x0000_s1026" style="width:481.9pt;height:0.1pt;margin-top:20.49pt;margin-left:70.9pt;mso-position-horizontal-relative:page;mso-wrap-distance-left:0;mso-wrap-distance-right:0;position:absolute;z-index:-251655168" coordorigin="1418,410" coordsize="9638,0" path="m1418,410l11056,410e" filled="f" stroked="t" strokecolor="black" strokeweight="0.75pt">
            <v:stroke dashstyle="solid"/>
            <v:path arrowok="t"/>
            <w10:wrap type="topAndBottom"/>
          </v:shape>
        </w:pict>
      </w: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spacing w:before="4"/>
        <w:rPr>
          <w:rFonts w:ascii="黑体"/>
          <w:sz w:val="28"/>
        </w:rPr>
      </w:pPr>
    </w:p>
    <w:p>
      <w:pPr>
        <w:spacing w:before="0"/>
        <w:ind w:left="1500" w:right="912" w:firstLine="0"/>
        <w:jc w:val="center"/>
        <w:rPr>
          <w:rFonts w:ascii="黑体" w:eastAsia="黑体" w:hint="eastAsia"/>
          <w:sz w:val="52"/>
        </w:rPr>
      </w:pPr>
      <w:r>
        <w:rPr>
          <w:rFonts w:ascii="黑体" w:eastAsia="黑体" w:hint="eastAsia"/>
          <w:sz w:val="52"/>
        </w:rPr>
        <w:t>灌区测控一体化闸门应用技术导则</w:t>
      </w:r>
    </w:p>
    <w:p>
      <w:pPr>
        <w:spacing w:before="387" w:line="268" w:lineRule="auto"/>
        <w:ind w:left="1500" w:right="912" w:firstLine="0"/>
        <w:jc w:val="center"/>
        <w:rPr>
          <w:rFonts w:ascii="Times New Roman"/>
          <w:sz w:val="28"/>
        </w:rPr>
      </w:pPr>
      <w:r>
        <w:pict>
          <v:group id="_x0000_s1027" style="width:560pt;height:384pt;margin-top:57.26pt;margin-left:17pt;mso-position-horizontal-relative:page;position:absolute;z-index:251660288" coordorigin="340,1145" coordsize="11200,7680">
            <v:line id="_x0000_s1028" style="position:absolute" from="1417,7459" to="11055,7459" stroked="t" strokecolor="black" strokeweight="0.75pt">
              <v:stroke dashstyle="solid"/>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width:11200;height:7680;left:340;position:absolute;top:1145" stroked="f">
              <v:imagedata r:id="rId5" o:title=""/>
            </v:shape>
          </v:group>
        </w:pict>
      </w:r>
      <w:r>
        <w:rPr>
          <w:rFonts w:ascii="Times New Roman"/>
          <w:sz w:val="28"/>
        </w:rPr>
        <w:t>Technical Guide for Application of Integrated Sluice Gate for Measurement and Control in Irrigation District</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1"/>
        <w:rPr>
          <w:rFonts w:ascii="Times New Roman"/>
          <w:sz w:val="17"/>
        </w:rPr>
      </w:pPr>
      <w:r>
        <w:pict>
          <v:group id="_x0000_s1030" style="width:484.4pt;height:73.6pt;margin-top:12.29pt;margin-left:70.92pt;mso-position-horizontal-relative:page;mso-wrap-distance-left:0;mso-wrap-distance-right:0;position:absolute;z-index:-251654144" coordorigin="1418,246" coordsize="9688,1472">
            <v:shape id="_x0000_s1031" type="#_x0000_t202" style="width:2334;height:281;left:1418;position:absolute;top:245" filled="f" stroked="f">
              <v:textbox inset="0,0,0,0">
                <w:txbxContent>
                  <w:p>
                    <w:pPr>
                      <w:spacing w:before="0" w:line="281" w:lineRule="exact"/>
                      <w:ind w:left="0" w:right="0" w:firstLine="0"/>
                      <w:jc w:val="left"/>
                      <w:rPr>
                        <w:rFonts w:ascii="黑体" w:eastAsia="黑体" w:hint="eastAsia"/>
                        <w:sz w:val="28"/>
                      </w:rPr>
                    </w:pPr>
                    <w:r>
                      <w:rPr>
                        <w:rFonts w:ascii="黑体" w:eastAsia="黑体" w:hint="eastAsia"/>
                        <w:sz w:val="28"/>
                      </w:rPr>
                      <w:t>2023</w:t>
                    </w:r>
                    <w:r>
                      <w:rPr>
                        <w:rFonts w:ascii="黑体" w:eastAsia="黑体" w:hint="eastAsia"/>
                        <w:spacing w:val="-48"/>
                        <w:sz w:val="28"/>
                      </w:rPr>
                      <w:t xml:space="preserve"> - </w:t>
                    </w:r>
                    <w:r>
                      <w:rPr>
                        <w:rFonts w:ascii="黑体" w:eastAsia="黑体" w:hint="eastAsia"/>
                        <w:sz w:val="28"/>
                      </w:rPr>
                      <w:t>12</w:t>
                    </w:r>
                    <w:r>
                      <w:rPr>
                        <w:rFonts w:ascii="黑体" w:eastAsia="黑体" w:hint="eastAsia"/>
                        <w:spacing w:val="-47"/>
                        <w:sz w:val="28"/>
                      </w:rPr>
                      <w:t xml:space="preserve"> - </w:t>
                    </w:r>
                    <w:r>
                      <w:rPr>
                        <w:rFonts w:ascii="黑体" w:eastAsia="黑体" w:hint="eastAsia"/>
                        <w:sz w:val="28"/>
                      </w:rPr>
                      <w:t>28</w:t>
                    </w:r>
                    <w:r>
                      <w:rPr>
                        <w:rFonts w:ascii="黑体" w:eastAsia="黑体" w:hint="eastAsia"/>
                        <w:spacing w:val="-24"/>
                        <w:sz w:val="28"/>
                      </w:rPr>
                      <w:t xml:space="preserve"> 发布</w:t>
                    </w:r>
                  </w:p>
                </w:txbxContent>
              </v:textbox>
            </v:shape>
            <v:shape id="_x0000_s1032" type="#_x0000_t202" style="width:2334;height:281;left:8772;position:absolute;top:245" filled="f" stroked="f">
              <v:textbox inset="0,0,0,0">
                <w:txbxContent>
                  <w:p>
                    <w:pPr>
                      <w:spacing w:before="0" w:line="281" w:lineRule="exact"/>
                      <w:ind w:left="0" w:right="0" w:firstLine="0"/>
                      <w:jc w:val="left"/>
                      <w:rPr>
                        <w:rFonts w:ascii="黑体" w:eastAsia="黑体" w:hint="eastAsia"/>
                        <w:sz w:val="28"/>
                      </w:rPr>
                    </w:pPr>
                    <w:r>
                      <w:rPr>
                        <w:rFonts w:ascii="黑体" w:eastAsia="黑体" w:hint="eastAsia"/>
                        <w:sz w:val="28"/>
                      </w:rPr>
                      <w:t>2024</w:t>
                    </w:r>
                    <w:r>
                      <w:rPr>
                        <w:rFonts w:ascii="黑体" w:eastAsia="黑体" w:hint="eastAsia"/>
                        <w:spacing w:val="-48"/>
                        <w:sz w:val="28"/>
                      </w:rPr>
                      <w:t xml:space="preserve"> - </w:t>
                    </w:r>
                    <w:r>
                      <w:rPr>
                        <w:rFonts w:ascii="黑体" w:eastAsia="黑体" w:hint="eastAsia"/>
                        <w:sz w:val="28"/>
                      </w:rPr>
                      <w:t>03</w:t>
                    </w:r>
                    <w:r>
                      <w:rPr>
                        <w:rFonts w:ascii="黑体" w:eastAsia="黑体" w:hint="eastAsia"/>
                        <w:spacing w:val="-47"/>
                        <w:sz w:val="28"/>
                      </w:rPr>
                      <w:t xml:space="preserve"> - </w:t>
                    </w:r>
                    <w:r>
                      <w:rPr>
                        <w:rFonts w:ascii="黑体" w:eastAsia="黑体" w:hint="eastAsia"/>
                        <w:sz w:val="28"/>
                      </w:rPr>
                      <w:t>28</w:t>
                    </w:r>
                    <w:r>
                      <w:rPr>
                        <w:rFonts w:ascii="黑体" w:eastAsia="黑体" w:hint="eastAsia"/>
                        <w:spacing w:val="-24"/>
                        <w:sz w:val="28"/>
                      </w:rPr>
                      <w:t xml:space="preserve"> 实施</w:t>
                    </w:r>
                  </w:p>
                </w:txbxContent>
              </v:textbox>
            </v:shape>
            <v:shape id="_x0000_s1033" type="#_x0000_t202" style="width:3942;height:281;left:3489;position:absolute;top:1436" filled="f" stroked="f">
              <v:textbox inset="0,0,0,0">
                <w:txbxContent>
                  <w:p>
                    <w:pPr>
                      <w:spacing w:before="0" w:line="281" w:lineRule="exact"/>
                      <w:ind w:left="0" w:right="0" w:firstLine="0"/>
                      <w:jc w:val="left"/>
                      <w:rPr>
                        <w:rFonts w:ascii="黑体" w:eastAsia="黑体" w:hint="eastAsia"/>
                        <w:sz w:val="28"/>
                      </w:rPr>
                    </w:pPr>
                    <w:r>
                      <w:rPr>
                        <w:rFonts w:ascii="黑体" w:eastAsia="黑体" w:hint="eastAsia"/>
                        <w:sz w:val="28"/>
                      </w:rPr>
                      <w:t>宁夏回族自治区市场监督管理厅</w:t>
                    </w:r>
                  </w:p>
                </w:txbxContent>
              </v:textbox>
            </v:shape>
            <v:shape id="_x0000_s1034" type="#_x0000_t202" style="width:750;height:281;left:7968;position:absolute;top:1436" filled="f" stroked="f">
              <v:textbox inset="0,0,0,0">
                <w:txbxContent>
                  <w:p>
                    <w:pPr>
                      <w:spacing w:before="0" w:line="281" w:lineRule="exact"/>
                      <w:ind w:left="0" w:right="0" w:firstLine="0"/>
                      <w:jc w:val="left"/>
                      <w:rPr>
                        <w:rFonts w:ascii="黑体" w:eastAsia="黑体" w:hint="eastAsia"/>
                        <w:sz w:val="28"/>
                      </w:rPr>
                    </w:pPr>
                    <w:r>
                      <w:rPr>
                        <w:rFonts w:ascii="黑体" w:eastAsia="黑体" w:hint="eastAsia"/>
                        <w:sz w:val="28"/>
                      </w:rPr>
                      <w:t>发 布</w:t>
                    </w:r>
                  </w:p>
                </w:txbxContent>
              </v:textbox>
            </v:shape>
            <w10:wrap type="topAndBottom"/>
          </v:group>
        </w:pict>
      </w:r>
    </w:p>
    <w:p>
      <w:pPr>
        <w:spacing w:after="0"/>
        <w:rPr>
          <w:rFonts w:ascii="Times New Roman"/>
          <w:sz w:val="17"/>
        </w:rPr>
        <w:sectPr>
          <w:type w:val="continuous"/>
          <w:pgSz w:w="11910" w:h="16840"/>
          <w:pgMar w:top="560" w:right="260" w:bottom="280" w:left="240" w:header="708" w:footer="708"/>
          <w:cols w:space="708"/>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9"/>
        <w:rPr>
          <w:rFonts w:ascii="Times New Roman"/>
        </w:rPr>
      </w:pPr>
    </w:p>
    <w:p>
      <w:pPr>
        <w:pStyle w:val="BodyText"/>
        <w:ind w:left="2860"/>
        <w:rPr>
          <w:rFonts w:ascii="Times New Roman"/>
          <w:sz w:val="20"/>
        </w:rPr>
      </w:pPr>
      <w:r>
        <w:rPr>
          <w:rFonts w:ascii="Times New Roman"/>
          <w:sz w:val="20"/>
        </w:rPr>
        <w:drawing>
          <wp:inline distT="0" distB="0" distL="0" distR="0">
            <wp:extent cx="4028503" cy="2533650"/>
            <wp:effectExtent l="0" t="0" r="0" b="0"/>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pic:cNvPicPr/>
                  </pic:nvPicPr>
                  <pic:blipFill>
                    <a:blip xmlns:r="http://schemas.openxmlformats.org/officeDocument/2006/relationships" r:embed="rId6" cstate="print"/>
                    <a:stretch>
                      <a:fillRect/>
                    </a:stretch>
                  </pic:blipFill>
                  <pic:spPr>
                    <a:xfrm>
                      <a:off x="0" y="0"/>
                      <a:ext cx="4028503" cy="2533650"/>
                    </a:xfrm>
                    <a:prstGeom prst="rect">
                      <a:avLst/>
                    </a:prstGeom>
                  </pic:spPr>
                </pic:pic>
              </a:graphicData>
            </a:graphic>
          </wp:inline>
        </w:drawing>
      </w:r>
    </w:p>
    <w:p>
      <w:pPr>
        <w:spacing w:after="0"/>
        <w:rPr>
          <w:rFonts w:ascii="Times New Roman"/>
          <w:sz w:val="20"/>
        </w:rPr>
        <w:sectPr>
          <w:pgSz w:w="11910" w:h="16840"/>
          <w:pgMar w:top="1580" w:right="260" w:bottom="280" w:left="240" w:header="708" w:footer="708"/>
          <w:pgNumType w:start="2"/>
          <w:cols w:space="708"/>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Heading1"/>
        <w:tabs>
          <w:tab w:val="left" w:pos="1258"/>
        </w:tabs>
        <w:spacing w:before="226"/>
        <w:ind w:left="300"/>
      </w:pPr>
      <w:r>
        <w:t>目</w:t>
        <w:tab/>
        <w:t>次</w:t>
      </w:r>
    </w:p>
    <w:p>
      <w:pPr>
        <w:pStyle w:val="BodyText"/>
        <w:tabs>
          <w:tab w:val="right" w:leader="dot" w:pos="10521"/>
        </w:tabs>
        <w:spacing w:before="686"/>
        <w:ind w:left="1178"/>
      </w:pPr>
      <w:r>
        <w:t>前言</w:t>
      </w:r>
      <w:r>
        <w:rPr>
          <w:rFonts w:ascii="Times New Roman" w:eastAsia="Times New Roman"/>
        </w:rPr>
        <w:tab/>
      </w:r>
      <w:r>
        <w:t>II</w:t>
      </w:r>
    </w:p>
    <w:p>
      <w:pPr>
        <w:pStyle w:val="ListParagraph"/>
        <w:numPr>
          <w:ilvl w:val="0"/>
          <w:numId w:val="42"/>
        </w:numPr>
        <w:tabs>
          <w:tab w:val="left" w:pos="1496"/>
          <w:tab w:val="right" w:leader="dot" w:pos="10521"/>
        </w:tabs>
        <w:spacing w:before="132" w:after="0" w:line="240" w:lineRule="auto"/>
        <w:ind w:left="1495" w:right="0" w:hanging="318"/>
        <w:jc w:val="left"/>
        <w:rPr>
          <w:sz w:val="21"/>
        </w:rPr>
      </w:pPr>
      <w:r>
        <w:rPr>
          <w:spacing w:val="-3"/>
          <w:sz w:val="21"/>
        </w:rPr>
        <w:t>范围</w:t>
      </w:r>
      <w:r>
        <w:rPr>
          <w:rFonts w:ascii="Times New Roman" w:eastAsia="Times New Roman"/>
          <w:spacing w:val="-3"/>
          <w:sz w:val="21"/>
        </w:rPr>
        <w:tab/>
      </w:r>
      <w:r>
        <w:rPr>
          <w:sz w:val="21"/>
        </w:rPr>
        <w:t>1</w:t>
      </w:r>
    </w:p>
    <w:p>
      <w:pPr>
        <w:pStyle w:val="ListParagraph"/>
        <w:numPr>
          <w:ilvl w:val="0"/>
          <w:numId w:val="42"/>
        </w:numPr>
        <w:tabs>
          <w:tab w:val="left" w:pos="1496"/>
          <w:tab w:val="right" w:leader="dot" w:pos="10521"/>
        </w:tabs>
        <w:spacing w:before="129" w:after="0" w:line="240" w:lineRule="auto"/>
        <w:ind w:left="1495" w:right="0" w:hanging="318"/>
        <w:jc w:val="left"/>
        <w:rPr>
          <w:sz w:val="21"/>
        </w:rPr>
      </w:pPr>
      <w:r>
        <w:rPr>
          <w:spacing w:val="-3"/>
          <w:sz w:val="21"/>
        </w:rPr>
        <w:t>规</w:t>
      </w:r>
      <w:r>
        <w:rPr>
          <w:sz w:val="21"/>
        </w:rPr>
        <w:t>范</w:t>
      </w:r>
      <w:r>
        <w:rPr>
          <w:spacing w:val="-3"/>
          <w:sz w:val="21"/>
        </w:rPr>
        <w:t>性</w:t>
      </w:r>
      <w:r>
        <w:rPr>
          <w:sz w:val="21"/>
        </w:rPr>
        <w:t>引</w:t>
      </w:r>
      <w:r>
        <w:rPr>
          <w:spacing w:val="-3"/>
          <w:sz w:val="21"/>
        </w:rPr>
        <w:t>用</w:t>
      </w:r>
      <w:r>
        <w:rPr>
          <w:sz w:val="21"/>
        </w:rPr>
        <w:t>文件</w:t>
      </w:r>
      <w:r>
        <w:rPr>
          <w:rFonts w:ascii="Times New Roman" w:eastAsia="Times New Roman"/>
          <w:sz w:val="21"/>
        </w:rPr>
        <w:tab/>
      </w:r>
      <w:r>
        <w:rPr>
          <w:sz w:val="21"/>
        </w:rPr>
        <w:t>1</w:t>
      </w:r>
    </w:p>
    <w:p>
      <w:pPr>
        <w:pStyle w:val="ListParagraph"/>
        <w:numPr>
          <w:ilvl w:val="0"/>
          <w:numId w:val="42"/>
        </w:numPr>
        <w:tabs>
          <w:tab w:val="left" w:pos="1496"/>
          <w:tab w:val="right" w:leader="dot" w:pos="10521"/>
        </w:tabs>
        <w:spacing w:before="132" w:after="0" w:line="240" w:lineRule="auto"/>
        <w:ind w:left="1495" w:right="0" w:hanging="318"/>
        <w:jc w:val="left"/>
        <w:rPr>
          <w:sz w:val="21"/>
        </w:rPr>
      </w:pPr>
      <w:r>
        <w:rPr>
          <w:spacing w:val="-3"/>
          <w:sz w:val="21"/>
        </w:rPr>
        <w:t>术</w:t>
      </w:r>
      <w:r>
        <w:rPr>
          <w:sz w:val="21"/>
        </w:rPr>
        <w:t>语</w:t>
      </w:r>
      <w:r>
        <w:rPr>
          <w:spacing w:val="-3"/>
          <w:sz w:val="21"/>
        </w:rPr>
        <w:t>和</w:t>
      </w:r>
      <w:r>
        <w:rPr>
          <w:sz w:val="21"/>
        </w:rPr>
        <w:t>定义</w:t>
      </w:r>
      <w:r>
        <w:rPr>
          <w:rFonts w:ascii="Times New Roman" w:eastAsia="Times New Roman"/>
          <w:sz w:val="21"/>
        </w:rPr>
        <w:tab/>
      </w:r>
      <w:r>
        <w:rPr>
          <w:sz w:val="21"/>
        </w:rPr>
        <w:t>1</w:t>
      </w:r>
    </w:p>
    <w:p>
      <w:pPr>
        <w:pStyle w:val="ListParagraph"/>
        <w:numPr>
          <w:ilvl w:val="0"/>
          <w:numId w:val="42"/>
        </w:numPr>
        <w:tabs>
          <w:tab w:val="left" w:pos="1496"/>
          <w:tab w:val="right" w:leader="dot" w:pos="10521"/>
        </w:tabs>
        <w:spacing w:before="132" w:after="0" w:line="240" w:lineRule="auto"/>
        <w:ind w:left="1495" w:right="0" w:hanging="318"/>
        <w:jc w:val="left"/>
        <w:rPr>
          <w:sz w:val="21"/>
        </w:rPr>
      </w:pPr>
      <w:r>
        <w:rPr>
          <w:spacing w:val="-3"/>
          <w:sz w:val="21"/>
        </w:rPr>
        <w:t>总则</w:t>
      </w:r>
      <w:r>
        <w:rPr>
          <w:rFonts w:ascii="Times New Roman" w:eastAsia="Times New Roman"/>
          <w:spacing w:val="-3"/>
          <w:sz w:val="21"/>
        </w:rPr>
        <w:tab/>
      </w:r>
      <w:r>
        <w:rPr>
          <w:sz w:val="21"/>
        </w:rPr>
        <w:t>3</w:t>
      </w:r>
    </w:p>
    <w:p>
      <w:pPr>
        <w:pStyle w:val="ListParagraph"/>
        <w:numPr>
          <w:ilvl w:val="0"/>
          <w:numId w:val="42"/>
        </w:numPr>
        <w:tabs>
          <w:tab w:val="left" w:pos="1496"/>
          <w:tab w:val="right" w:leader="dot" w:pos="10521"/>
        </w:tabs>
        <w:spacing w:before="129" w:after="0" w:line="240" w:lineRule="auto"/>
        <w:ind w:left="1495" w:right="0" w:hanging="318"/>
        <w:jc w:val="left"/>
        <w:rPr>
          <w:sz w:val="21"/>
        </w:rPr>
      </w:pPr>
      <w:r>
        <w:rPr>
          <w:spacing w:val="-3"/>
          <w:sz w:val="21"/>
        </w:rPr>
        <w:t>选</w:t>
      </w:r>
      <w:r>
        <w:rPr>
          <w:sz w:val="21"/>
        </w:rPr>
        <w:t>型</w:t>
      </w:r>
      <w:r>
        <w:rPr>
          <w:spacing w:val="-3"/>
          <w:sz w:val="21"/>
        </w:rPr>
        <w:t>及</w:t>
      </w:r>
      <w:r>
        <w:rPr>
          <w:sz w:val="21"/>
        </w:rPr>
        <w:t>设计</w:t>
      </w:r>
      <w:r>
        <w:rPr>
          <w:rFonts w:ascii="Times New Roman" w:eastAsia="Times New Roman"/>
          <w:sz w:val="21"/>
        </w:rPr>
        <w:tab/>
      </w:r>
      <w:r>
        <w:rPr>
          <w:sz w:val="21"/>
        </w:rPr>
        <w:t>3</w:t>
      </w:r>
    </w:p>
    <w:p>
      <w:pPr>
        <w:pStyle w:val="ListParagraph"/>
        <w:numPr>
          <w:ilvl w:val="0"/>
          <w:numId w:val="42"/>
        </w:numPr>
        <w:tabs>
          <w:tab w:val="left" w:pos="1496"/>
          <w:tab w:val="right" w:leader="dot" w:pos="10521"/>
        </w:tabs>
        <w:spacing w:before="132" w:after="0" w:line="240" w:lineRule="auto"/>
        <w:ind w:left="1495" w:right="0" w:hanging="318"/>
        <w:jc w:val="left"/>
        <w:rPr>
          <w:sz w:val="21"/>
        </w:rPr>
      </w:pPr>
      <w:r>
        <w:rPr>
          <w:spacing w:val="-3"/>
          <w:sz w:val="21"/>
        </w:rPr>
        <w:t>设</w:t>
      </w:r>
      <w:r>
        <w:rPr>
          <w:sz w:val="21"/>
        </w:rPr>
        <w:t>备</w:t>
      </w:r>
      <w:r>
        <w:rPr>
          <w:spacing w:val="-3"/>
          <w:sz w:val="21"/>
        </w:rPr>
        <w:t>关</w:t>
      </w:r>
      <w:r>
        <w:rPr>
          <w:sz w:val="21"/>
        </w:rPr>
        <w:t>键</w:t>
      </w:r>
      <w:r>
        <w:rPr>
          <w:spacing w:val="-3"/>
          <w:sz w:val="21"/>
        </w:rPr>
        <w:t>技</w:t>
      </w:r>
      <w:r>
        <w:rPr>
          <w:sz w:val="21"/>
        </w:rPr>
        <w:t>术</w:t>
      </w:r>
      <w:r>
        <w:rPr>
          <w:spacing w:val="-3"/>
          <w:sz w:val="21"/>
        </w:rPr>
        <w:t>性</w:t>
      </w:r>
      <w:r>
        <w:rPr>
          <w:sz w:val="21"/>
        </w:rPr>
        <w:t>能</w:t>
      </w:r>
      <w:r>
        <w:rPr>
          <w:spacing w:val="-3"/>
          <w:sz w:val="21"/>
        </w:rPr>
        <w:t>要求</w:t>
      </w:r>
      <w:r>
        <w:rPr>
          <w:rFonts w:ascii="Times New Roman" w:eastAsia="Times New Roman"/>
          <w:spacing w:val="-3"/>
          <w:sz w:val="21"/>
        </w:rPr>
        <w:tab/>
      </w:r>
      <w:r>
        <w:rPr>
          <w:sz w:val="21"/>
        </w:rPr>
        <w:t>4</w:t>
      </w:r>
    </w:p>
    <w:p>
      <w:pPr>
        <w:pStyle w:val="ListParagraph"/>
        <w:numPr>
          <w:ilvl w:val="0"/>
          <w:numId w:val="42"/>
        </w:numPr>
        <w:tabs>
          <w:tab w:val="left" w:pos="1496"/>
          <w:tab w:val="right" w:leader="dot" w:pos="10521"/>
        </w:tabs>
        <w:spacing w:before="132" w:after="0" w:line="240" w:lineRule="auto"/>
        <w:ind w:left="1495" w:right="0" w:hanging="318"/>
        <w:jc w:val="left"/>
        <w:rPr>
          <w:sz w:val="21"/>
        </w:rPr>
      </w:pPr>
      <w:r>
        <w:rPr>
          <w:spacing w:val="-3"/>
          <w:sz w:val="21"/>
        </w:rPr>
        <w:t>闸</w:t>
      </w:r>
      <w:r>
        <w:rPr>
          <w:sz w:val="21"/>
        </w:rPr>
        <w:t>门</w:t>
      </w:r>
      <w:r>
        <w:rPr>
          <w:spacing w:val="-3"/>
          <w:sz w:val="21"/>
        </w:rPr>
        <w:t>控</w:t>
      </w:r>
      <w:r>
        <w:rPr>
          <w:sz w:val="21"/>
        </w:rPr>
        <w:t>制</w:t>
      </w:r>
      <w:r>
        <w:rPr>
          <w:spacing w:val="-3"/>
          <w:sz w:val="21"/>
        </w:rPr>
        <w:t>系统</w:t>
      </w:r>
      <w:r>
        <w:rPr>
          <w:rFonts w:ascii="Times New Roman" w:eastAsia="Times New Roman"/>
          <w:spacing w:val="-3"/>
          <w:sz w:val="21"/>
        </w:rPr>
        <w:tab/>
      </w:r>
      <w:r>
        <w:rPr>
          <w:sz w:val="21"/>
        </w:rPr>
        <w:t>6</w:t>
      </w:r>
    </w:p>
    <w:p>
      <w:pPr>
        <w:pStyle w:val="ListParagraph"/>
        <w:numPr>
          <w:ilvl w:val="0"/>
          <w:numId w:val="42"/>
        </w:numPr>
        <w:tabs>
          <w:tab w:val="left" w:pos="1496"/>
          <w:tab w:val="right" w:leader="dot" w:pos="10521"/>
        </w:tabs>
        <w:spacing w:before="129" w:after="0" w:line="240" w:lineRule="auto"/>
        <w:ind w:left="1495" w:right="0" w:hanging="318"/>
        <w:jc w:val="left"/>
        <w:rPr>
          <w:sz w:val="21"/>
        </w:rPr>
      </w:pPr>
      <w:r>
        <w:rPr>
          <w:spacing w:val="-3"/>
          <w:sz w:val="21"/>
        </w:rPr>
        <w:t>现</w:t>
      </w:r>
      <w:r>
        <w:rPr>
          <w:sz w:val="21"/>
        </w:rPr>
        <w:t>场</w:t>
      </w:r>
      <w:r>
        <w:rPr>
          <w:spacing w:val="-3"/>
          <w:sz w:val="21"/>
        </w:rPr>
        <w:t>检</w:t>
      </w:r>
      <w:r>
        <w:rPr>
          <w:sz w:val="21"/>
        </w:rPr>
        <w:t>测</w:t>
      </w:r>
      <w:r>
        <w:rPr>
          <w:spacing w:val="-3"/>
          <w:sz w:val="21"/>
        </w:rPr>
        <w:t>与</w:t>
      </w:r>
      <w:r>
        <w:rPr>
          <w:sz w:val="21"/>
        </w:rPr>
        <w:t>后</w:t>
      </w:r>
      <w:r>
        <w:rPr>
          <w:spacing w:val="-3"/>
          <w:sz w:val="21"/>
        </w:rPr>
        <w:t>期</w:t>
      </w:r>
      <w:r>
        <w:rPr>
          <w:sz w:val="21"/>
        </w:rPr>
        <w:t>维</w:t>
      </w:r>
      <w:r>
        <w:rPr>
          <w:spacing w:val="-3"/>
          <w:sz w:val="21"/>
        </w:rPr>
        <w:t>护技</w:t>
      </w:r>
      <w:r>
        <w:rPr>
          <w:sz w:val="21"/>
        </w:rPr>
        <w:t>术支持</w:t>
      </w:r>
      <w:r>
        <w:rPr>
          <w:rFonts w:ascii="Times New Roman" w:eastAsia="Times New Roman"/>
          <w:sz w:val="21"/>
        </w:rPr>
        <w:tab/>
      </w:r>
      <w:r>
        <w:rPr>
          <w:sz w:val="21"/>
        </w:rPr>
        <w:t>7</w:t>
      </w:r>
    </w:p>
    <w:p>
      <w:pPr>
        <w:pStyle w:val="ListParagraph"/>
        <w:numPr>
          <w:ilvl w:val="0"/>
          <w:numId w:val="42"/>
        </w:numPr>
        <w:tabs>
          <w:tab w:val="left" w:pos="1496"/>
          <w:tab w:val="right" w:leader="dot" w:pos="10521"/>
        </w:tabs>
        <w:spacing w:before="132" w:after="0" w:line="240" w:lineRule="auto"/>
        <w:ind w:left="1495" w:right="0" w:hanging="318"/>
        <w:jc w:val="left"/>
        <w:rPr>
          <w:sz w:val="21"/>
        </w:rPr>
      </w:pPr>
      <w:r>
        <w:rPr>
          <w:spacing w:val="-3"/>
          <w:sz w:val="21"/>
        </w:rPr>
        <w:t>安</w:t>
      </w:r>
      <w:r>
        <w:rPr>
          <w:sz w:val="21"/>
        </w:rPr>
        <w:t>装</w:t>
      </w:r>
      <w:r>
        <w:rPr>
          <w:spacing w:val="-3"/>
          <w:sz w:val="21"/>
        </w:rPr>
        <w:t>及</w:t>
      </w:r>
      <w:r>
        <w:rPr>
          <w:sz w:val="21"/>
        </w:rPr>
        <w:t>验收</w:t>
      </w:r>
      <w:r>
        <w:rPr>
          <w:rFonts w:ascii="Times New Roman" w:eastAsia="Times New Roman"/>
          <w:sz w:val="21"/>
        </w:rPr>
        <w:tab/>
      </w:r>
      <w:r>
        <w:rPr>
          <w:sz w:val="21"/>
        </w:rPr>
        <w:t>8</w:t>
      </w:r>
    </w:p>
    <w:p>
      <w:pPr>
        <w:pStyle w:val="ListParagraph"/>
        <w:numPr>
          <w:ilvl w:val="0"/>
          <w:numId w:val="42"/>
        </w:numPr>
        <w:tabs>
          <w:tab w:val="left" w:pos="1601"/>
          <w:tab w:val="right" w:leader="dot" w:pos="10521"/>
        </w:tabs>
        <w:spacing w:before="132" w:after="0" w:line="240" w:lineRule="auto"/>
        <w:ind w:left="1600" w:right="0" w:hanging="423"/>
        <w:jc w:val="left"/>
        <w:rPr>
          <w:sz w:val="21"/>
        </w:rPr>
      </w:pPr>
      <w:r>
        <w:rPr>
          <w:spacing w:val="-3"/>
          <w:sz w:val="21"/>
        </w:rPr>
        <w:t>运</w:t>
      </w:r>
      <w:r>
        <w:rPr>
          <w:sz w:val="21"/>
        </w:rPr>
        <w:t>行</w:t>
      </w:r>
      <w:r>
        <w:rPr>
          <w:spacing w:val="-3"/>
          <w:sz w:val="21"/>
        </w:rPr>
        <w:t>及</w:t>
      </w:r>
      <w:r>
        <w:rPr>
          <w:sz w:val="21"/>
        </w:rPr>
        <w:t>维护</w:t>
      </w:r>
      <w:r>
        <w:rPr>
          <w:rFonts w:ascii="Times New Roman" w:eastAsia="Times New Roman"/>
          <w:sz w:val="21"/>
        </w:rPr>
        <w:tab/>
      </w:r>
      <w:r>
        <w:rPr>
          <w:sz w:val="21"/>
        </w:rPr>
        <w:t>8</w:t>
      </w:r>
    </w:p>
    <w:p>
      <w:pPr>
        <w:pStyle w:val="BodyText"/>
        <w:tabs>
          <w:tab w:val="right" w:leader="dot" w:pos="10521"/>
        </w:tabs>
        <w:spacing w:before="129"/>
        <w:ind w:left="1178"/>
      </w:pPr>
      <w:r>
        <w:pict>
          <v:shape id="_x0000_s1035" type="#_x0000_t202" style="width:560pt;height:384pt;margin-top:18.87pt;margin-left:17pt;mso-position-horizontal-relative:page;position:absolute;z-index:251663360" filled="f" stroked="f">
            <v:textbox inset="0,0,0,0">
              <w:txbxContent>
                <w:p>
                  <w:pPr>
                    <w:pStyle w:val="BodyText"/>
                    <w:tabs>
                      <w:tab w:val="right" w:leader="dot" w:pos="10421"/>
                    </w:tabs>
                    <w:spacing w:before="152"/>
                    <w:ind w:left="1078"/>
                  </w:pPr>
                  <w:r>
                    <w:t>附录</w:t>
                  </w:r>
                  <w:r>
                    <w:rPr>
                      <w:spacing w:val="-53"/>
                    </w:rPr>
                    <w:t xml:space="preserve"> </w:t>
                  </w:r>
                  <w:r>
                    <w:t>B（</w:t>
                  </w:r>
                  <w:r>
                    <w:rPr>
                      <w:spacing w:val="-3"/>
                    </w:rPr>
                    <w:t>规</w:t>
                  </w:r>
                  <w:r>
                    <w:t>范</w:t>
                  </w:r>
                  <w:r>
                    <w:rPr>
                      <w:spacing w:val="-3"/>
                    </w:rPr>
                    <w:t>性</w:t>
                  </w:r>
                  <w:r>
                    <w:t>）</w:t>
                  </w:r>
                  <w:r>
                    <w:rPr>
                      <w:spacing w:val="103"/>
                    </w:rPr>
                    <w:t xml:space="preserve"> </w:t>
                  </w:r>
                  <w:r>
                    <w:t>数</w:t>
                  </w:r>
                  <w:r>
                    <w:rPr>
                      <w:spacing w:val="-3"/>
                    </w:rPr>
                    <w:t>据</w:t>
                  </w:r>
                  <w:r>
                    <w:t>采集</w:t>
                  </w:r>
                  <w:r>
                    <w:rPr>
                      <w:spacing w:val="-3"/>
                    </w:rPr>
                    <w:t>要</w:t>
                  </w:r>
                  <w:r>
                    <w:t>求</w:t>
                  </w:r>
                  <w:r>
                    <w:rPr>
                      <w:rFonts w:ascii="Times New Roman" w:eastAsia="Times New Roman"/>
                    </w:rPr>
                    <w:tab/>
                  </w:r>
                  <w:r>
                    <w:t>15</w:t>
                  </w:r>
                </w:p>
                <w:p>
                  <w:pPr>
                    <w:pStyle w:val="BodyText"/>
                    <w:tabs>
                      <w:tab w:val="right" w:leader="dot" w:pos="10422"/>
                    </w:tabs>
                    <w:spacing w:before="132"/>
                    <w:ind w:left="1078"/>
                  </w:pPr>
                  <w:r>
                    <w:t>附录</w:t>
                  </w:r>
                  <w:r>
                    <w:rPr>
                      <w:spacing w:val="-53"/>
                    </w:rPr>
                    <w:t xml:space="preserve"> </w:t>
                  </w:r>
                  <w:r>
                    <w:t>C（</w:t>
                  </w:r>
                  <w:r>
                    <w:rPr>
                      <w:spacing w:val="-3"/>
                    </w:rPr>
                    <w:t>规</w:t>
                  </w:r>
                  <w:r>
                    <w:t>范</w:t>
                  </w:r>
                  <w:r>
                    <w:rPr>
                      <w:spacing w:val="-3"/>
                    </w:rPr>
                    <w:t>性</w:t>
                  </w:r>
                  <w:r>
                    <w:t>）</w:t>
                  </w:r>
                  <w:r>
                    <w:rPr>
                      <w:spacing w:val="104"/>
                    </w:rPr>
                    <w:t xml:space="preserve"> </w:t>
                  </w:r>
                  <w:r>
                    <w:t>符</w:t>
                  </w:r>
                  <w:r>
                    <w:rPr>
                      <w:spacing w:val="-3"/>
                    </w:rPr>
                    <w:t>号</w:t>
                  </w:r>
                  <w:r>
                    <w:t>、代</w:t>
                  </w:r>
                  <w:r>
                    <w:rPr>
                      <w:spacing w:val="-3"/>
                    </w:rPr>
                    <w:t>号</w:t>
                  </w:r>
                  <w:r>
                    <w:t>和</w:t>
                  </w:r>
                  <w:r>
                    <w:rPr>
                      <w:spacing w:val="-3"/>
                    </w:rPr>
                    <w:t>缩</w:t>
                  </w:r>
                  <w:r>
                    <w:t>略</w:t>
                  </w:r>
                  <w:r>
                    <w:rPr>
                      <w:spacing w:val="-3"/>
                    </w:rPr>
                    <w:t>语</w:t>
                  </w:r>
                  <w:r>
                    <w:t>说明</w:t>
                  </w:r>
                  <w:r>
                    <w:rPr>
                      <w:rFonts w:ascii="Times New Roman" w:eastAsia="Times New Roman"/>
                    </w:rPr>
                    <w:tab/>
                  </w:r>
                  <w:r>
                    <w:t>17</w:t>
                  </w:r>
                </w:p>
                <w:p>
                  <w:pPr>
                    <w:pStyle w:val="BodyText"/>
                    <w:tabs>
                      <w:tab w:val="right" w:leader="dot" w:pos="10422"/>
                    </w:tabs>
                    <w:spacing w:before="129"/>
                    <w:ind w:left="1078"/>
                  </w:pPr>
                  <w:r>
                    <w:t>附录</w:t>
                  </w:r>
                  <w:r>
                    <w:rPr>
                      <w:spacing w:val="-53"/>
                    </w:rPr>
                    <w:t xml:space="preserve"> </w:t>
                  </w:r>
                  <w:r>
                    <w:t>D（</w:t>
                  </w:r>
                  <w:r>
                    <w:rPr>
                      <w:spacing w:val="-3"/>
                    </w:rPr>
                    <w:t>规</w:t>
                  </w:r>
                  <w:r>
                    <w:t>范</w:t>
                  </w:r>
                  <w:r>
                    <w:rPr>
                      <w:spacing w:val="-3"/>
                    </w:rPr>
                    <w:t>性</w:t>
                  </w:r>
                  <w:r>
                    <w:t>）</w:t>
                  </w:r>
                  <w:r>
                    <w:rPr>
                      <w:spacing w:val="103"/>
                    </w:rPr>
                    <w:t xml:space="preserve"> </w:t>
                  </w:r>
                  <w:r>
                    <w:t>协</w:t>
                  </w:r>
                  <w:r>
                    <w:rPr>
                      <w:spacing w:val="-3"/>
                    </w:rPr>
                    <w:t>议</w:t>
                  </w:r>
                  <w:r>
                    <w:t>结构</w:t>
                  </w:r>
                  <w:r>
                    <w:rPr>
                      <w:rFonts w:ascii="Times New Roman" w:eastAsia="Times New Roman"/>
                    </w:rPr>
                    <w:tab/>
                  </w:r>
                  <w:r>
                    <w:t>18</w:t>
                  </w:r>
                </w:p>
                <w:p>
                  <w:pPr>
                    <w:pStyle w:val="BodyText"/>
                    <w:tabs>
                      <w:tab w:val="right" w:leader="dot" w:pos="10422"/>
                    </w:tabs>
                    <w:spacing w:before="132"/>
                    <w:ind w:left="1078"/>
                  </w:pPr>
                  <w:r>
                    <w:t>附录</w:t>
                  </w:r>
                  <w:r>
                    <w:rPr>
                      <w:spacing w:val="-53"/>
                    </w:rPr>
                    <w:t xml:space="preserve"> </w:t>
                  </w:r>
                  <w:r>
                    <w:t>E（</w:t>
                  </w:r>
                  <w:r>
                    <w:rPr>
                      <w:spacing w:val="-3"/>
                    </w:rPr>
                    <w:t>规</w:t>
                  </w:r>
                  <w:r>
                    <w:t>范</w:t>
                  </w:r>
                  <w:r>
                    <w:rPr>
                      <w:spacing w:val="-3"/>
                    </w:rPr>
                    <w:t>性</w:t>
                  </w:r>
                  <w:r>
                    <w:t>）</w:t>
                  </w:r>
                  <w:r>
                    <w:rPr>
                      <w:spacing w:val="103"/>
                    </w:rPr>
                    <w:t xml:space="preserve"> </w:t>
                  </w:r>
                  <w:r>
                    <w:t>传</w:t>
                  </w:r>
                  <w:r>
                    <w:rPr>
                      <w:spacing w:val="-3"/>
                    </w:rPr>
                    <w:t>输</w:t>
                  </w:r>
                  <w:r>
                    <w:t>指令</w:t>
                  </w:r>
                  <w:r>
                    <w:rPr>
                      <w:rFonts w:ascii="Times New Roman" w:eastAsia="Times New Roman"/>
                    </w:rPr>
                    <w:tab/>
                  </w:r>
                  <w:r>
                    <w:t>20</w:t>
                  </w:r>
                </w:p>
                <w:p>
                  <w:pPr>
                    <w:pStyle w:val="BodyText"/>
                    <w:tabs>
                      <w:tab w:val="right" w:leader="dot" w:pos="10422"/>
                    </w:tabs>
                    <w:spacing w:before="132"/>
                    <w:ind w:left="1078"/>
                  </w:pPr>
                  <w:r>
                    <w:t>附录</w:t>
                  </w:r>
                  <w:r>
                    <w:rPr>
                      <w:spacing w:val="-53"/>
                    </w:rPr>
                    <w:t xml:space="preserve"> </w:t>
                  </w:r>
                  <w:r>
                    <w:t>F（</w:t>
                  </w:r>
                  <w:r>
                    <w:rPr>
                      <w:spacing w:val="-3"/>
                    </w:rPr>
                    <w:t>规</w:t>
                  </w:r>
                  <w:r>
                    <w:t>范</w:t>
                  </w:r>
                  <w:r>
                    <w:rPr>
                      <w:spacing w:val="-3"/>
                    </w:rPr>
                    <w:t>性</w:t>
                  </w:r>
                  <w:r>
                    <w:t>）</w:t>
                  </w:r>
                  <w:r>
                    <w:rPr>
                      <w:spacing w:val="103"/>
                    </w:rPr>
                    <w:t xml:space="preserve"> </w:t>
                  </w:r>
                  <w:r>
                    <w:t>数</w:t>
                  </w:r>
                  <w:r>
                    <w:rPr>
                      <w:spacing w:val="-3"/>
                    </w:rPr>
                    <w:t>据</w:t>
                  </w:r>
                  <w:r>
                    <w:t>解析</w:t>
                  </w:r>
                  <w:r>
                    <w:rPr>
                      <w:spacing w:val="-3"/>
                    </w:rPr>
                    <w:t>方式</w:t>
                  </w:r>
                  <w:r>
                    <w:rPr>
                      <w:rFonts w:ascii="Times New Roman" w:eastAsia="Times New Roman"/>
                      <w:spacing w:val="-3"/>
                    </w:rPr>
                    <w:tab/>
                  </w:r>
                  <w:r>
                    <w:t>21</w:t>
                  </w:r>
                </w:p>
                <w:p>
                  <w:pPr>
                    <w:pStyle w:val="BodyText"/>
                    <w:tabs>
                      <w:tab w:val="right" w:leader="dot" w:pos="10422"/>
                    </w:tabs>
                    <w:spacing w:before="129"/>
                    <w:ind w:left="1079"/>
                  </w:pPr>
                  <w:r>
                    <w:t>附录</w:t>
                  </w:r>
                  <w:r>
                    <w:rPr>
                      <w:spacing w:val="-53"/>
                    </w:rPr>
                    <w:t xml:space="preserve"> </w:t>
                  </w:r>
                  <w:r>
                    <w:t>G（</w:t>
                  </w:r>
                  <w:r>
                    <w:rPr>
                      <w:spacing w:val="-3"/>
                    </w:rPr>
                    <w:t>规</w:t>
                  </w:r>
                  <w:r>
                    <w:t>范</w:t>
                  </w:r>
                  <w:r>
                    <w:rPr>
                      <w:spacing w:val="-3"/>
                    </w:rPr>
                    <w:t>性</w:t>
                  </w:r>
                  <w:r>
                    <w:t>）</w:t>
                  </w:r>
                  <w:r>
                    <w:rPr>
                      <w:spacing w:val="104"/>
                    </w:rPr>
                    <w:t xml:space="preserve"> </w:t>
                  </w:r>
                  <w:r>
                    <w:t>设</w:t>
                  </w:r>
                  <w:r>
                    <w:rPr>
                      <w:spacing w:val="-3"/>
                    </w:rPr>
                    <w:t>备</w:t>
                  </w:r>
                  <w:r>
                    <w:t>终端</w:t>
                  </w:r>
                  <w:r>
                    <w:rPr>
                      <w:spacing w:val="-3"/>
                    </w:rPr>
                    <w:t>主</w:t>
                  </w:r>
                  <w:r>
                    <w:t>动</w:t>
                  </w:r>
                  <w:r>
                    <w:rPr>
                      <w:spacing w:val="-3"/>
                    </w:rPr>
                    <w:t>上</w:t>
                  </w:r>
                  <w:r>
                    <w:t>报</w:t>
                  </w:r>
                  <w:r>
                    <w:rPr>
                      <w:spacing w:val="-3"/>
                    </w:rPr>
                    <w:t>指</w:t>
                  </w:r>
                  <w:r>
                    <w:t>令</w:t>
                  </w:r>
                  <w:r>
                    <w:rPr>
                      <w:spacing w:val="-3"/>
                    </w:rPr>
                    <w:t>结</w:t>
                  </w:r>
                  <w:r>
                    <w:t>构</w:t>
                  </w:r>
                  <w:r>
                    <w:rPr>
                      <w:rFonts w:ascii="Times New Roman" w:eastAsia="Times New Roman"/>
                    </w:rPr>
                    <w:tab/>
                  </w:r>
                  <w:r>
                    <w:t>23</w:t>
                  </w:r>
                </w:p>
                <w:p>
                  <w:pPr>
                    <w:pStyle w:val="BodyText"/>
                    <w:tabs>
                      <w:tab w:val="right" w:leader="dot" w:pos="10422"/>
                    </w:tabs>
                    <w:spacing w:before="132"/>
                    <w:ind w:left="1079"/>
                  </w:pPr>
                  <w:r>
                    <w:t>附录</w:t>
                  </w:r>
                  <w:r>
                    <w:rPr>
                      <w:spacing w:val="-53"/>
                    </w:rPr>
                    <w:t xml:space="preserve"> </w:t>
                  </w:r>
                  <w:r>
                    <w:t>H（</w:t>
                  </w:r>
                  <w:r>
                    <w:rPr>
                      <w:spacing w:val="-3"/>
                    </w:rPr>
                    <w:t>规</w:t>
                  </w:r>
                  <w:r>
                    <w:t>范</w:t>
                  </w:r>
                  <w:r>
                    <w:rPr>
                      <w:spacing w:val="-3"/>
                    </w:rPr>
                    <w:t>性</w:t>
                  </w:r>
                  <w:r>
                    <w:t>）</w:t>
                  </w:r>
                  <w:r>
                    <w:rPr>
                      <w:spacing w:val="104"/>
                    </w:rPr>
                    <w:t xml:space="preserve"> </w:t>
                  </w:r>
                  <w:r>
                    <w:t>系</w:t>
                  </w:r>
                  <w:r>
                    <w:rPr>
                      <w:spacing w:val="-3"/>
                    </w:rPr>
                    <w:t>统</w:t>
                  </w:r>
                  <w:r>
                    <w:t>服务</w:t>
                  </w:r>
                  <w:r>
                    <w:rPr>
                      <w:spacing w:val="-3"/>
                    </w:rPr>
                    <w:t>主</w:t>
                  </w:r>
                  <w:r>
                    <w:t>动</w:t>
                  </w:r>
                  <w:r>
                    <w:rPr>
                      <w:spacing w:val="-3"/>
                    </w:rPr>
                    <w:t>下</w:t>
                  </w:r>
                  <w:r>
                    <w:t>发</w:t>
                  </w:r>
                  <w:r>
                    <w:rPr>
                      <w:spacing w:val="-3"/>
                    </w:rPr>
                    <w:t>指</w:t>
                  </w:r>
                  <w:r>
                    <w:t>令</w:t>
                  </w:r>
                  <w:r>
                    <w:rPr>
                      <w:spacing w:val="-3"/>
                    </w:rPr>
                    <w:t>结</w:t>
                  </w:r>
                  <w:r>
                    <w:t>构</w:t>
                  </w:r>
                  <w:r>
                    <w:rPr>
                      <w:rFonts w:ascii="Times New Roman" w:eastAsia="Times New Roman"/>
                    </w:rPr>
                    <w:tab/>
                  </w:r>
                  <w:r>
                    <w:t>25</w:t>
                  </w:r>
                </w:p>
                <w:p>
                  <w:pPr>
                    <w:pStyle w:val="BodyText"/>
                    <w:tabs>
                      <w:tab w:val="right" w:leader="dot" w:pos="10422"/>
                    </w:tabs>
                    <w:spacing w:before="132"/>
                    <w:ind w:left="1079"/>
                  </w:pPr>
                  <w:r>
                    <w:t>附录</w:t>
                  </w:r>
                  <w:r>
                    <w:rPr>
                      <w:spacing w:val="-53"/>
                    </w:rPr>
                    <w:t xml:space="preserve"> </w:t>
                  </w:r>
                  <w:r>
                    <w:t>I（</w:t>
                  </w:r>
                  <w:r>
                    <w:rPr>
                      <w:spacing w:val="-3"/>
                    </w:rPr>
                    <w:t>资</w:t>
                  </w:r>
                  <w:r>
                    <w:t>料</w:t>
                  </w:r>
                  <w:r>
                    <w:rPr>
                      <w:spacing w:val="-3"/>
                    </w:rPr>
                    <w:t>性</w:t>
                  </w:r>
                  <w:r>
                    <w:t>）</w:t>
                  </w:r>
                  <w:r>
                    <w:rPr>
                      <w:spacing w:val="104"/>
                    </w:rPr>
                    <w:t xml:space="preserve"> </w:t>
                  </w:r>
                  <w:r>
                    <w:t>设</w:t>
                  </w:r>
                  <w:r>
                    <w:rPr>
                      <w:spacing w:val="-3"/>
                    </w:rPr>
                    <w:t>备</w:t>
                  </w:r>
                  <w:r>
                    <w:t>常见</w:t>
                  </w:r>
                  <w:r>
                    <w:rPr>
                      <w:spacing w:val="-3"/>
                    </w:rPr>
                    <w:t>的</w:t>
                  </w:r>
                  <w:r>
                    <w:t>故</w:t>
                  </w:r>
                  <w:r>
                    <w:rPr>
                      <w:spacing w:val="-3"/>
                    </w:rPr>
                    <w:t>障</w:t>
                  </w:r>
                  <w:r>
                    <w:t>现</w:t>
                  </w:r>
                  <w:r>
                    <w:rPr>
                      <w:spacing w:val="-3"/>
                    </w:rPr>
                    <w:t>象</w:t>
                  </w:r>
                  <w:r>
                    <w:t>及</w:t>
                  </w:r>
                  <w:r>
                    <w:rPr>
                      <w:spacing w:val="-3"/>
                    </w:rPr>
                    <w:t>解</w:t>
                  </w:r>
                  <w:r>
                    <w:t>决</w:t>
                  </w:r>
                  <w:r>
                    <w:rPr>
                      <w:spacing w:val="-3"/>
                    </w:rPr>
                    <w:t>方法</w:t>
                  </w:r>
                  <w:r>
                    <w:rPr>
                      <w:rFonts w:ascii="Times New Roman" w:eastAsia="Times New Roman"/>
                      <w:spacing w:val="-3"/>
                    </w:rPr>
                    <w:tab/>
                  </w:r>
                  <w:r>
                    <w:t>27</w:t>
                  </w:r>
                </w:p>
              </w:txbxContent>
            </v:textbox>
          </v:shape>
        </w:pict>
      </w:r>
      <w:r>
        <w:drawing>
          <wp:anchor distT="0" distB="0" distL="0" distR="0" simplePos="0" relativeHeight="251664384" behindDoc="0" locked="0" layoutInCell="1" allowOverlap="1">
            <wp:simplePos x="0" y="0"/>
            <wp:positionH relativeFrom="page">
              <wp:posOffset>215900</wp:posOffset>
            </wp:positionH>
            <wp:positionV relativeFrom="paragraph">
              <wp:posOffset>239587</wp:posOffset>
            </wp:positionV>
            <wp:extent cx="7112000" cy="4876800"/>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png"/>
                    <pic:cNvPicPr/>
                  </pic:nvPicPr>
                  <pic:blipFill>
                    <a:blip xmlns:r="http://schemas.openxmlformats.org/officeDocument/2006/relationships" r:embed="rId5" cstate="print"/>
                    <a:stretch>
                      <a:fillRect/>
                    </a:stretch>
                  </pic:blipFill>
                  <pic:spPr>
                    <a:xfrm>
                      <a:off x="0" y="0"/>
                      <a:ext cx="7112000" cy="4876800"/>
                    </a:xfrm>
                    <a:prstGeom prst="rect">
                      <a:avLst/>
                    </a:prstGeom>
                  </pic:spPr>
                </pic:pic>
              </a:graphicData>
            </a:graphic>
          </wp:anchor>
        </w:drawing>
      </w:r>
      <w:r>
        <w:t>附录</w:t>
      </w:r>
      <w:r>
        <w:rPr>
          <w:spacing w:val="-53"/>
        </w:rPr>
        <w:t xml:space="preserve"> </w:t>
      </w:r>
      <w:r>
        <w:t>A（</w:t>
      </w:r>
      <w:r>
        <w:rPr>
          <w:spacing w:val="-3"/>
        </w:rPr>
        <w:t>规</w:t>
      </w:r>
      <w:r>
        <w:t>范</w:t>
      </w:r>
      <w:r>
        <w:rPr>
          <w:spacing w:val="-3"/>
        </w:rPr>
        <w:t>性</w:t>
      </w:r>
      <w:r>
        <w:t>）</w:t>
      </w:r>
      <w:r>
        <w:rPr>
          <w:spacing w:val="104"/>
        </w:rPr>
        <w:t xml:space="preserve"> </w:t>
      </w:r>
      <w:r>
        <w:t>测</w:t>
      </w:r>
      <w:r>
        <w:rPr>
          <w:spacing w:val="-3"/>
        </w:rPr>
        <w:t>控</w:t>
      </w:r>
      <w:r>
        <w:t>一体</w:t>
      </w:r>
      <w:r>
        <w:rPr>
          <w:spacing w:val="-3"/>
        </w:rPr>
        <w:t>化</w:t>
      </w:r>
      <w:r>
        <w:t>闸</w:t>
      </w:r>
      <w:r>
        <w:rPr>
          <w:spacing w:val="-3"/>
        </w:rPr>
        <w:t>门</w:t>
      </w:r>
      <w:r>
        <w:t>测</w:t>
      </w:r>
      <w:r>
        <w:rPr>
          <w:spacing w:val="-3"/>
        </w:rPr>
        <w:t>流</w:t>
      </w:r>
      <w:r>
        <w:t>精</w:t>
      </w:r>
      <w:r>
        <w:rPr>
          <w:spacing w:val="-3"/>
        </w:rPr>
        <w:t>度</w:t>
      </w:r>
      <w:r>
        <w:t>比</w:t>
      </w:r>
      <w:r>
        <w:rPr>
          <w:spacing w:val="-3"/>
        </w:rPr>
        <w:t>测</w:t>
      </w:r>
      <w:r>
        <w:t>技术</w:t>
      </w:r>
      <w:r>
        <w:rPr>
          <w:spacing w:val="-3"/>
        </w:rPr>
        <w:t>要</w:t>
      </w:r>
      <w:r>
        <w:t>求</w:t>
      </w:r>
      <w:r>
        <w:rPr>
          <w:rFonts w:ascii="Times New Roman" w:eastAsia="Times New Roman"/>
        </w:rPr>
        <w:tab/>
      </w:r>
      <w:r>
        <w:t>11</w:t>
      </w:r>
    </w:p>
    <w:p>
      <w:pPr>
        <w:spacing w:after="0"/>
        <w:sectPr>
          <w:pgSz w:w="11910" w:h="16840"/>
          <w:pgMar w:top="1580" w:right="260" w:bottom="280" w:left="240" w:header="708" w:footer="708"/>
          <w:pgNumType w:start="3"/>
          <w:cols w:space="708"/>
        </w:sectPr>
      </w:pPr>
    </w:p>
    <w:p>
      <w:pPr>
        <w:pStyle w:val="BodyText"/>
        <w:rPr>
          <w:sz w:val="20"/>
        </w:rPr>
      </w:pPr>
    </w:p>
    <w:p>
      <w:pPr>
        <w:pStyle w:val="BodyText"/>
        <w:rPr>
          <w:sz w:val="20"/>
        </w:rPr>
      </w:pPr>
    </w:p>
    <w:p>
      <w:pPr>
        <w:pStyle w:val="BodyText"/>
        <w:spacing w:before="6"/>
        <w:rPr>
          <w:sz w:val="23"/>
        </w:rPr>
      </w:pPr>
    </w:p>
    <w:p>
      <w:pPr>
        <w:tabs>
          <w:tab w:val="left" w:pos="1109"/>
        </w:tabs>
        <w:spacing w:before="55"/>
        <w:ind w:left="151" w:right="0" w:firstLine="0"/>
        <w:jc w:val="center"/>
        <w:rPr>
          <w:rFonts w:ascii="黑体" w:eastAsia="黑体" w:hint="eastAsia"/>
          <w:sz w:val="32"/>
        </w:rPr>
      </w:pPr>
      <w:bookmarkStart w:id="0" w:name="前言"/>
      <w:bookmarkEnd w:id="0"/>
      <w:r>
        <w:rPr>
          <w:rFonts w:ascii="黑体" w:eastAsia="黑体" w:hint="eastAsia"/>
          <w:sz w:val="32"/>
        </w:rPr>
        <w:t>前</w:t>
        <w:tab/>
        <w:t>言</w:t>
      </w:r>
    </w:p>
    <w:p>
      <w:pPr>
        <w:pStyle w:val="BodyText"/>
        <w:spacing w:before="8"/>
        <w:rPr>
          <w:rFonts w:ascii="黑体"/>
          <w:sz w:val="46"/>
        </w:rPr>
      </w:pPr>
    </w:p>
    <w:p>
      <w:pPr>
        <w:pStyle w:val="BodyText"/>
        <w:spacing w:line="278" w:lineRule="auto"/>
        <w:ind w:left="892" w:right="1153" w:firstLine="419"/>
      </w:pPr>
      <w:r>
        <w:t>本文件按照GB/T 1.1—2020《标准化工作导则 第1部分：标准化文件的结构和起草规则》的规定起草。</w:t>
      </w:r>
    </w:p>
    <w:p>
      <w:pPr>
        <w:pStyle w:val="BodyText"/>
        <w:spacing w:line="278" w:lineRule="auto"/>
        <w:ind w:left="1313" w:right="2315"/>
      </w:pPr>
      <w:r>
        <w:t>请注意本文件的某些内容可能涉及专利。本文件的发布机构不承担识别专利的责任。本文件由宁夏回族自治区水利厅提出、归口并组织实施。</w:t>
      </w:r>
    </w:p>
    <w:p>
      <w:pPr>
        <w:pStyle w:val="BodyText"/>
        <w:spacing w:line="278" w:lineRule="auto"/>
        <w:ind w:left="893" w:right="1153" w:firstLine="420"/>
        <w:jc w:val="both"/>
      </w:pPr>
      <w:r>
        <w:rPr>
          <w:spacing w:val="-10"/>
        </w:rPr>
        <w:t>本文件起草单位：宁夏回族自治区水利工程建设中心、宁夏回族自治区水利科学研究院、宁夏回族自治区水利厅农村水利处、宁夏回族自治区灌溉排水服务中心、宁夏回族自治区水利信息中心、河北科</w:t>
      </w:r>
      <w:r>
        <w:rPr>
          <w:spacing w:val="-3"/>
        </w:rPr>
        <w:t>鼎智能科技有限公司、宁夏回族自治区西干渠管理处、宁夏潞碧垦自动化灌溉设备有限公司。</w:t>
      </w:r>
    </w:p>
    <w:p>
      <w:pPr>
        <w:pStyle w:val="BodyText"/>
        <w:spacing w:line="278" w:lineRule="auto"/>
        <w:ind w:left="893" w:right="1156" w:firstLine="420"/>
        <w:jc w:val="both"/>
      </w:pPr>
      <w:r>
        <w:rPr>
          <w:spacing w:val="-11"/>
        </w:rPr>
        <w:t>本文件主要起草人：齐敦哲、伏志梅、王海峰、武慧芳、黄译箴、王海永、杜立普、陈文婷、李金</w:t>
      </w:r>
      <w:r>
        <w:rPr>
          <w:spacing w:val="-10"/>
        </w:rPr>
        <w:t>泽、贺明杰、朱洁、邹璇、李晓刚、吴雨、王兴熙、马金萍、袁琪、纪迎春、赵杰、温晓嵘、马薇、贾</w:t>
      </w:r>
      <w:r>
        <w:rPr>
          <w:spacing w:val="-5"/>
        </w:rPr>
        <w:t>莉、薛智慧、牛东、白璐、尹亮、司小亮。</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4"/>
        </w:rPr>
      </w:pPr>
      <w:r>
        <w:drawing>
          <wp:anchor distT="0" distB="0" distL="0" distR="0" simplePos="0" relativeHeight="251665408" behindDoc="0" locked="0" layoutInCell="1" allowOverlap="1">
            <wp:simplePos x="0" y="0"/>
            <wp:positionH relativeFrom="page">
              <wp:posOffset>1968500</wp:posOffset>
            </wp:positionH>
            <wp:positionV relativeFrom="paragraph">
              <wp:posOffset>144383</wp:posOffset>
            </wp:positionV>
            <wp:extent cx="4028503" cy="2533650"/>
            <wp:effectExtent l="0" t="0" r="0" b="0"/>
            <wp:wrapTopAndBottom/>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png"/>
                    <pic:cNvPicPr/>
                  </pic:nvPicPr>
                  <pic:blipFill>
                    <a:blip xmlns:r="http://schemas.openxmlformats.org/officeDocument/2006/relationships" r:embed="rId6" cstate="print"/>
                    <a:stretch>
                      <a:fillRect/>
                    </a:stretch>
                  </pic:blipFill>
                  <pic:spPr>
                    <a:xfrm>
                      <a:off x="0" y="0"/>
                      <a:ext cx="4028503" cy="2533650"/>
                    </a:xfrm>
                    <a:prstGeom prst="rect">
                      <a:avLst/>
                    </a:prstGeom>
                  </pic:spPr>
                </pic:pic>
              </a:graphicData>
            </a:graphic>
          </wp:anchor>
        </w:drawing>
      </w:r>
    </w:p>
    <w:p>
      <w:pPr>
        <w:spacing w:after="0"/>
        <w:rPr>
          <w:sz w:val="14"/>
        </w:rPr>
        <w:sectPr>
          <w:pgSz w:w="11910" w:h="16840"/>
          <w:pgMar w:top="1580" w:right="260" w:bottom="280" w:left="240" w:header="708" w:footer="708"/>
          <w:pgNumType w:start="4"/>
          <w:cols w:space="708"/>
        </w:sectPr>
      </w:pPr>
    </w:p>
    <w:p>
      <w:pPr>
        <w:pStyle w:val="BodyText"/>
        <w:spacing w:before="12"/>
        <w:rPr>
          <w:sz w:val="24"/>
        </w:rPr>
      </w:pPr>
    </w:p>
    <w:p>
      <w:pPr>
        <w:pStyle w:val="Heading1"/>
        <w:ind w:left="1215" w:right="912"/>
      </w:pPr>
      <w:r>
        <w:t>灌区测控一体化闸门应用技术导则</w:t>
      </w:r>
    </w:p>
    <w:p>
      <w:pPr>
        <w:pStyle w:val="BodyText"/>
        <w:rPr>
          <w:rFonts w:ascii="黑体"/>
          <w:sz w:val="20"/>
        </w:rPr>
      </w:pPr>
    </w:p>
    <w:p>
      <w:pPr>
        <w:pStyle w:val="BodyText"/>
        <w:spacing w:before="12"/>
        <w:rPr>
          <w:rFonts w:ascii="黑体"/>
          <w:sz w:val="28"/>
        </w:rPr>
      </w:pPr>
    </w:p>
    <w:p>
      <w:pPr>
        <w:pStyle w:val="ListParagraph"/>
        <w:numPr>
          <w:ilvl w:val="0"/>
          <w:numId w:val="41"/>
        </w:numPr>
        <w:tabs>
          <w:tab w:val="left" w:pos="1493"/>
        </w:tabs>
        <w:spacing w:before="71" w:after="0" w:line="240" w:lineRule="auto"/>
        <w:ind w:left="1492" w:right="0" w:hanging="315"/>
        <w:jc w:val="left"/>
        <w:rPr>
          <w:rFonts w:ascii="黑体" w:eastAsia="黑体" w:hint="eastAsia"/>
          <w:sz w:val="21"/>
        </w:rPr>
      </w:pPr>
      <w:bookmarkStart w:id="1" w:name="1　 范围"/>
      <w:bookmarkEnd w:id="1"/>
      <w:r>
        <w:rPr>
          <w:rFonts w:ascii="黑体" w:eastAsia="黑体" w:hint="eastAsia"/>
          <w:sz w:val="21"/>
        </w:rPr>
        <w:t>范围</w:t>
      </w:r>
    </w:p>
    <w:p>
      <w:pPr>
        <w:pStyle w:val="BodyText"/>
        <w:spacing w:before="9"/>
        <w:rPr>
          <w:rFonts w:ascii="黑体"/>
          <w:sz w:val="27"/>
        </w:rPr>
      </w:pPr>
    </w:p>
    <w:p>
      <w:pPr>
        <w:pStyle w:val="BodyText"/>
        <w:spacing w:line="278" w:lineRule="auto"/>
        <w:ind w:left="1178" w:right="868" w:firstLine="420"/>
      </w:pPr>
      <w:r>
        <w:rPr>
          <w:spacing w:val="-7"/>
        </w:rPr>
        <w:t>本文件规定了灌区测控一体化闸门的选型及设计、关键性能及技术要求、安装及验收、运行及维护</w:t>
      </w:r>
      <w:r>
        <w:rPr>
          <w:spacing w:val="-4"/>
        </w:rPr>
        <w:t>等的要求。</w:t>
      </w:r>
    </w:p>
    <w:p>
      <w:pPr>
        <w:pStyle w:val="BodyText"/>
        <w:spacing w:line="269" w:lineRule="exact"/>
        <w:ind w:left="1598"/>
      </w:pPr>
      <w:r>
        <w:t>本文件适用于宁夏回族自治区内灌区测控一体化闸门的建设及运行管理。</w:t>
      </w:r>
    </w:p>
    <w:p>
      <w:pPr>
        <w:pStyle w:val="BodyText"/>
        <w:spacing w:before="9"/>
        <w:rPr>
          <w:sz w:val="27"/>
        </w:rPr>
      </w:pPr>
    </w:p>
    <w:p>
      <w:pPr>
        <w:pStyle w:val="ListParagraph"/>
        <w:numPr>
          <w:ilvl w:val="0"/>
          <w:numId w:val="41"/>
        </w:numPr>
        <w:tabs>
          <w:tab w:val="left" w:pos="1493"/>
        </w:tabs>
        <w:spacing w:before="0" w:after="0" w:line="240" w:lineRule="auto"/>
        <w:ind w:left="1492" w:right="0" w:hanging="315"/>
        <w:jc w:val="left"/>
        <w:rPr>
          <w:rFonts w:ascii="黑体" w:eastAsia="黑体" w:hint="eastAsia"/>
          <w:sz w:val="21"/>
        </w:rPr>
      </w:pPr>
      <w:bookmarkStart w:id="2" w:name="2　 规范性引用文件"/>
      <w:bookmarkEnd w:id="2"/>
      <w:r>
        <w:rPr>
          <w:rFonts w:ascii="黑体" w:eastAsia="黑体" w:hint="eastAsia"/>
          <w:spacing w:val="-2"/>
          <w:sz w:val="21"/>
        </w:rPr>
        <w:t>规范性引用文件</w:t>
      </w:r>
    </w:p>
    <w:p>
      <w:pPr>
        <w:pStyle w:val="BodyText"/>
        <w:spacing w:before="9"/>
        <w:rPr>
          <w:rFonts w:ascii="黑体"/>
          <w:sz w:val="27"/>
        </w:rPr>
      </w:pPr>
    </w:p>
    <w:p>
      <w:pPr>
        <w:pStyle w:val="BodyText"/>
        <w:spacing w:line="278" w:lineRule="auto"/>
        <w:ind w:left="1178" w:right="762" w:firstLine="420"/>
      </w:pPr>
      <w:r>
        <w:rPr>
          <w:spacing w:val="-10"/>
        </w:rPr>
        <w:t xml:space="preserve">下列文件中的内容通过文中的规范性引用而构成本文件必不可少的条款。其中，注日期的引用文件， </w:t>
      </w:r>
      <w:r>
        <w:rPr>
          <w:spacing w:val="-9"/>
        </w:rPr>
        <w:t>仅该日期对应的版本适用于本文件；不注日期的引用文件，其最新版本</w:t>
      </w:r>
      <w:r>
        <w:t>（</w:t>
      </w:r>
      <w:r>
        <w:rPr>
          <w:spacing w:val="-3"/>
        </w:rPr>
        <w:t>包括所有的修改单</w:t>
      </w:r>
      <w:r>
        <w:rPr>
          <w:spacing w:val="-24"/>
        </w:rPr>
        <w:t>）</w:t>
      </w:r>
      <w:r>
        <w:rPr>
          <w:spacing w:val="-3"/>
        </w:rPr>
        <w:t>适用于本文件。</w:t>
      </w:r>
    </w:p>
    <w:p>
      <w:pPr>
        <w:pStyle w:val="BodyText"/>
        <w:spacing w:line="269" w:lineRule="exact"/>
        <w:ind w:left="1598"/>
      </w:pPr>
      <w:r>
        <w:t>GB 2312 信息交换用汉字编码字符集 基本集</w:t>
      </w:r>
    </w:p>
    <w:p>
      <w:pPr>
        <w:pStyle w:val="BodyText"/>
        <w:spacing w:before="43"/>
        <w:ind w:left="1598"/>
      </w:pPr>
      <w:r>
        <w:t>GB/T 3190 变形铝及铝合金化学成分</w:t>
      </w:r>
    </w:p>
    <w:p>
      <w:pPr>
        <w:pStyle w:val="BodyText"/>
        <w:spacing w:before="43"/>
        <w:ind w:left="1598"/>
      </w:pPr>
      <w:r>
        <w:t>GB/T 4208-2017 外壳防护等级（IP代码）</w:t>
      </w:r>
    </w:p>
    <w:p>
      <w:pPr>
        <w:pStyle w:val="BodyText"/>
        <w:spacing w:before="43"/>
        <w:ind w:left="1598"/>
      </w:pPr>
      <w:r>
        <w:t>GB 12632 单晶硅太阳电池总规范</w:t>
      </w:r>
    </w:p>
    <w:p>
      <w:pPr>
        <w:pStyle w:val="BodyText"/>
        <w:spacing w:before="43"/>
        <w:ind w:left="1598"/>
      </w:pPr>
      <w:r>
        <w:t>GB/T 14173 水利水电工程钢闸门制造、安装及验收规范</w:t>
      </w:r>
    </w:p>
    <w:p>
      <w:pPr>
        <w:pStyle w:val="BodyText"/>
        <w:spacing w:before="43"/>
        <w:ind w:left="1598"/>
      </w:pPr>
      <w:r>
        <w:pict>
          <v:group id="_x0000_s1036" style="width:384.3pt;height:322.55pt;margin-top:18.42pt;margin-left:70.94pt;mso-position-horizontal-relative:page;mso-wrap-distance-left:0;mso-wrap-distance-right:0;position:absolute;z-index:-251649024" coordorigin="1419,368" coordsize="7686,6451">
            <v:shape id="_x0000_s1037" type="#_x0000_t202" style="width:7267;height:5203;left:1838;position:absolute;top:368" filled="f" stroked="f">
              <v:textbox inset="0,0,0,0">
                <w:txbxContent>
                  <w:p>
                    <w:pPr>
                      <w:spacing w:before="0" w:line="241" w:lineRule="exact"/>
                      <w:ind w:left="0" w:right="0" w:firstLine="0"/>
                      <w:jc w:val="left"/>
                      <w:rPr>
                        <w:sz w:val="21"/>
                      </w:rPr>
                    </w:pPr>
                    <w:r>
                      <w:rPr>
                        <w:sz w:val="21"/>
                      </w:rPr>
                      <w:t>GB 18173.2 高分子防水材料  第2部分：止水带</w:t>
                    </w:r>
                  </w:p>
                  <w:p>
                    <w:pPr>
                      <w:spacing w:before="43"/>
                      <w:ind w:left="0" w:right="0" w:firstLine="0"/>
                      <w:jc w:val="left"/>
                      <w:rPr>
                        <w:sz w:val="21"/>
                      </w:rPr>
                    </w:pPr>
                    <w:r>
                      <w:rPr>
                        <w:sz w:val="21"/>
                      </w:rPr>
                      <w:t>GB/T 21303 灌溉渠道系统量水规范</w:t>
                    </w:r>
                  </w:p>
                  <w:p>
                    <w:pPr>
                      <w:spacing w:before="42"/>
                      <w:ind w:left="0" w:right="0" w:firstLine="0"/>
                      <w:jc w:val="left"/>
                      <w:rPr>
                        <w:sz w:val="21"/>
                      </w:rPr>
                    </w:pPr>
                    <w:r>
                      <w:rPr>
                        <w:sz w:val="21"/>
                      </w:rPr>
                      <w:t>GB/T</w:t>
                    </w:r>
                    <w:r>
                      <w:rPr>
                        <w:spacing w:val="4"/>
                        <w:sz w:val="21"/>
                      </w:rPr>
                      <w:t xml:space="preserve"> </w:t>
                    </w:r>
                    <w:r>
                      <w:rPr>
                        <w:sz w:val="21"/>
                      </w:rPr>
                      <w:t>28714</w:t>
                    </w:r>
                    <w:r>
                      <w:rPr>
                        <w:spacing w:val="-2"/>
                        <w:sz w:val="21"/>
                      </w:rPr>
                      <w:t xml:space="preserve">  取水计量技术导则</w:t>
                    </w:r>
                  </w:p>
                  <w:p>
                    <w:pPr>
                      <w:spacing w:before="43"/>
                      <w:ind w:left="0" w:right="0" w:firstLine="0"/>
                      <w:jc w:val="left"/>
                      <w:rPr>
                        <w:sz w:val="21"/>
                      </w:rPr>
                    </w:pPr>
                    <w:r>
                      <w:rPr>
                        <w:sz w:val="21"/>
                      </w:rPr>
                      <w:t>CJ/T</w:t>
                    </w:r>
                    <w:r>
                      <w:rPr>
                        <w:spacing w:val="4"/>
                        <w:sz w:val="21"/>
                      </w:rPr>
                      <w:t xml:space="preserve"> </w:t>
                    </w:r>
                    <w:r>
                      <w:rPr>
                        <w:sz w:val="21"/>
                      </w:rPr>
                      <w:t>257</w:t>
                    </w:r>
                    <w:r>
                      <w:rPr>
                        <w:spacing w:val="-2"/>
                        <w:sz w:val="21"/>
                      </w:rPr>
                      <w:t xml:space="preserve">  铝合金及不锈钢闸门</w:t>
                    </w:r>
                  </w:p>
                  <w:p>
                    <w:pPr>
                      <w:spacing w:before="43"/>
                      <w:ind w:left="0" w:right="0" w:firstLine="0"/>
                      <w:jc w:val="left"/>
                      <w:rPr>
                        <w:sz w:val="21"/>
                      </w:rPr>
                    </w:pPr>
                    <w:r>
                      <w:rPr>
                        <w:sz w:val="21"/>
                      </w:rPr>
                      <w:t>JB/T 5276 小功率直流电动机通用技术条件</w:t>
                    </w:r>
                  </w:p>
                  <w:p>
                    <w:pPr>
                      <w:spacing w:before="43"/>
                      <w:ind w:left="0" w:right="0" w:firstLine="0"/>
                      <w:jc w:val="left"/>
                      <w:rPr>
                        <w:sz w:val="21"/>
                      </w:rPr>
                    </w:pPr>
                    <w:r>
                      <w:rPr>
                        <w:sz w:val="21"/>
                      </w:rPr>
                      <w:t>SL 180 水文自动测报系统设备遥测终端机</w:t>
                    </w:r>
                  </w:p>
                  <w:p>
                    <w:pPr>
                      <w:spacing w:before="43"/>
                      <w:ind w:left="0" w:right="0" w:firstLine="0"/>
                      <w:jc w:val="left"/>
                      <w:rPr>
                        <w:sz w:val="21"/>
                      </w:rPr>
                    </w:pPr>
                    <w:r>
                      <w:rPr>
                        <w:sz w:val="21"/>
                      </w:rPr>
                      <w:t>SL 223 水利水电建设工程验收规程</w:t>
                    </w:r>
                  </w:p>
                  <w:p>
                    <w:pPr>
                      <w:spacing w:before="43"/>
                      <w:ind w:left="0" w:right="0" w:firstLine="0"/>
                      <w:jc w:val="left"/>
                      <w:rPr>
                        <w:sz w:val="21"/>
                      </w:rPr>
                    </w:pPr>
                    <w:r>
                      <w:rPr>
                        <w:sz w:val="21"/>
                      </w:rPr>
                      <w:t>SL/T 324 水文数据库表结构及标识符</w:t>
                    </w:r>
                  </w:p>
                  <w:p>
                    <w:pPr>
                      <w:spacing w:before="43"/>
                      <w:ind w:left="0" w:right="0" w:firstLine="0"/>
                      <w:jc w:val="left"/>
                      <w:rPr>
                        <w:sz w:val="21"/>
                      </w:rPr>
                    </w:pPr>
                    <w:r>
                      <w:rPr>
                        <w:sz w:val="21"/>
                      </w:rPr>
                      <w:t>SL 381  水利水电工程启闭机制造安装及验收规范</w:t>
                    </w:r>
                  </w:p>
                  <w:p>
                    <w:pPr>
                      <w:spacing w:before="43"/>
                      <w:ind w:left="0" w:right="0" w:firstLine="0"/>
                      <w:jc w:val="left"/>
                      <w:rPr>
                        <w:sz w:val="21"/>
                      </w:rPr>
                    </w:pPr>
                    <w:r>
                      <w:rPr>
                        <w:sz w:val="21"/>
                      </w:rPr>
                      <w:t>SL/T 478  水利数据库表结构及标识符编制总则</w:t>
                    </w:r>
                  </w:p>
                  <w:p>
                    <w:pPr>
                      <w:spacing w:before="42"/>
                      <w:ind w:left="0" w:right="0" w:firstLine="0"/>
                      <w:jc w:val="left"/>
                      <w:rPr>
                        <w:sz w:val="21"/>
                      </w:rPr>
                    </w:pPr>
                    <w:r>
                      <w:rPr>
                        <w:sz w:val="21"/>
                      </w:rPr>
                      <w:t>SL 502 水文测站代码编制导则</w:t>
                    </w:r>
                  </w:p>
                  <w:p>
                    <w:pPr>
                      <w:spacing w:before="43"/>
                      <w:ind w:left="0" w:right="0" w:firstLine="0"/>
                      <w:jc w:val="left"/>
                      <w:rPr>
                        <w:sz w:val="21"/>
                      </w:rPr>
                    </w:pPr>
                    <w:r>
                      <w:rPr>
                        <w:sz w:val="21"/>
                      </w:rPr>
                      <w:t>SL 588 水利信息化项目验收规范</w:t>
                    </w:r>
                  </w:p>
                  <w:p>
                    <w:pPr>
                      <w:spacing w:before="43"/>
                      <w:ind w:left="0" w:right="0" w:firstLine="0"/>
                      <w:jc w:val="left"/>
                      <w:rPr>
                        <w:sz w:val="21"/>
                      </w:rPr>
                    </w:pPr>
                    <w:r>
                      <w:rPr>
                        <w:sz w:val="21"/>
                      </w:rPr>
                      <w:t>SL 635 水利水电工程单元工程施工质量验收评定标准-水工金属结构安装工程</w:t>
                    </w:r>
                  </w:p>
                  <w:p>
                    <w:pPr>
                      <w:spacing w:before="43"/>
                      <w:ind w:left="0" w:right="0" w:firstLine="0"/>
                      <w:jc w:val="left"/>
                      <w:rPr>
                        <w:sz w:val="21"/>
                      </w:rPr>
                    </w:pPr>
                    <w:r>
                      <w:rPr>
                        <w:sz w:val="21"/>
                      </w:rPr>
                      <w:t>SL/T 701 水利信息分类与编码总则</w:t>
                    </w:r>
                  </w:p>
                  <w:p>
                    <w:pPr>
                      <w:spacing w:before="43"/>
                      <w:ind w:left="0" w:right="0" w:firstLine="0"/>
                      <w:jc w:val="left"/>
                      <w:rPr>
                        <w:sz w:val="21"/>
                      </w:rPr>
                    </w:pPr>
                    <w:r>
                      <w:rPr>
                        <w:sz w:val="21"/>
                      </w:rPr>
                      <w:t>SL/T 812 水利监测数据传输规约</w:t>
                    </w:r>
                  </w:p>
                  <w:p>
                    <w:pPr>
                      <w:spacing w:before="43"/>
                      <w:ind w:left="0" w:right="0" w:firstLine="0"/>
                      <w:jc w:val="left"/>
                      <w:rPr>
                        <w:sz w:val="21"/>
                      </w:rPr>
                    </w:pPr>
                    <w:r>
                      <w:rPr>
                        <w:sz w:val="21"/>
                      </w:rPr>
                      <w:t>SZY 206 水资源监测数据传输规约</w:t>
                    </w:r>
                  </w:p>
                  <w:p>
                    <w:pPr>
                      <w:spacing w:before="43" w:line="240" w:lineRule="exact"/>
                      <w:ind w:left="0" w:right="0" w:firstLine="0"/>
                      <w:jc w:val="left"/>
                      <w:rPr>
                        <w:sz w:val="21"/>
                      </w:rPr>
                    </w:pPr>
                    <w:r>
                      <w:rPr>
                        <w:sz w:val="21"/>
                      </w:rPr>
                      <w:t>T/CIDA 0006 测控一体化闸门技术规程</w:t>
                    </w:r>
                  </w:p>
                </w:txbxContent>
              </v:textbox>
            </v:shape>
            <v:shape id="_x0000_s1038" type="#_x0000_t202" style="width:1389;height:212;left:1418;position:absolute;top:5983" filled="f" stroked="f">
              <v:textbox inset="0,0,0,0">
                <w:txbxContent>
                  <w:p>
                    <w:pPr>
                      <w:spacing w:before="0" w:line="211" w:lineRule="exact"/>
                      <w:ind w:left="0" w:right="0" w:firstLine="0"/>
                      <w:jc w:val="left"/>
                      <w:rPr>
                        <w:rFonts w:ascii="黑体" w:eastAsia="黑体" w:hint="eastAsia"/>
                        <w:sz w:val="21"/>
                      </w:rPr>
                    </w:pPr>
                    <w:bookmarkStart w:id="3" w:name="3　 术语和定义"/>
                    <w:bookmarkEnd w:id="3"/>
                    <w:r>
                      <w:rPr>
                        <w:rFonts w:ascii="黑体" w:eastAsia="黑体" w:hint="eastAsia"/>
                        <w:sz w:val="21"/>
                      </w:rPr>
                      <w:t>3 术语和定义</w:t>
                    </w:r>
                  </w:p>
                </w:txbxContent>
              </v:textbox>
            </v:shape>
            <v:shape id="_x0000_s1039" type="#_x0000_t202" style="width:2965;height:212;left:1838;position:absolute;top:6607" filled="f" stroked="f">
              <v:textbox inset="0,0,0,0">
                <w:txbxContent>
                  <w:p>
                    <w:pPr>
                      <w:spacing w:before="0" w:line="211" w:lineRule="exact"/>
                      <w:ind w:left="0" w:right="0" w:firstLine="0"/>
                      <w:jc w:val="left"/>
                      <w:rPr>
                        <w:sz w:val="21"/>
                      </w:rPr>
                    </w:pPr>
                    <w:r>
                      <w:rPr>
                        <w:sz w:val="21"/>
                      </w:rPr>
                      <w:t>下列术语和定义适用于本文件。</w:t>
                    </w:r>
                  </w:p>
                </w:txbxContent>
              </v:textbox>
            </v:shape>
            <w10:wrap type="topAndBottom"/>
          </v:group>
        </w:pict>
      </w:r>
      <w:r>
        <w:drawing>
          <wp:anchor distT="0" distB="0" distL="0" distR="0" simplePos="0" relativeHeight="251666432" behindDoc="0" locked="0" layoutInCell="1" allowOverlap="1">
            <wp:simplePos x="0" y="0"/>
            <wp:positionH relativeFrom="page">
              <wp:posOffset>215900</wp:posOffset>
            </wp:positionH>
            <wp:positionV relativeFrom="paragraph">
              <wp:posOffset>145597</wp:posOffset>
            </wp:positionV>
            <wp:extent cx="7112000" cy="4876800"/>
            <wp:effectExtent l="0" t="0" r="0" b="0"/>
            <wp:wrapNone/>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png"/>
                    <pic:cNvPicPr/>
                  </pic:nvPicPr>
                  <pic:blipFill>
                    <a:blip xmlns:r="http://schemas.openxmlformats.org/officeDocument/2006/relationships" r:embed="rId5" cstate="print"/>
                    <a:stretch>
                      <a:fillRect/>
                    </a:stretch>
                  </pic:blipFill>
                  <pic:spPr>
                    <a:xfrm>
                      <a:off x="0" y="0"/>
                      <a:ext cx="7112000" cy="4876800"/>
                    </a:xfrm>
                    <a:prstGeom prst="rect">
                      <a:avLst/>
                    </a:prstGeom>
                  </pic:spPr>
                </pic:pic>
              </a:graphicData>
            </a:graphic>
          </wp:anchor>
        </w:drawing>
      </w:r>
      <w:r>
        <w:t>GB 18030 信息技术中文编码字符集</w:t>
      </w:r>
    </w:p>
    <w:p>
      <w:pPr>
        <w:spacing w:after="0"/>
        <w:sectPr>
          <w:pgSz w:w="11910" w:h="16840"/>
          <w:pgMar w:top="1580" w:right="260" w:bottom="280" w:left="240" w:header="708" w:footer="708"/>
          <w:pgNumType w:start="5"/>
          <w:cols w:space="708"/>
        </w:sectPr>
      </w:pPr>
    </w:p>
    <w:p>
      <w:pPr>
        <w:pStyle w:val="BodyText"/>
        <w:rPr>
          <w:sz w:val="20"/>
        </w:rPr>
      </w:pPr>
    </w:p>
    <w:p>
      <w:pPr>
        <w:pStyle w:val="BodyText"/>
        <w:spacing w:before="10" w:after="1"/>
        <w:rPr>
          <w:sz w:val="11"/>
        </w:rPr>
      </w:pPr>
    </w:p>
    <w:p>
      <w:pPr>
        <w:pStyle w:val="BodyText"/>
        <w:spacing w:line="158" w:lineRule="exact"/>
        <w:ind w:left="895"/>
        <w:rPr>
          <w:sz w:val="15"/>
        </w:rPr>
      </w:pPr>
      <w:r>
        <w:rPr>
          <w:position w:val="-2"/>
          <w:sz w:val="15"/>
        </w:rPr>
        <w:drawing>
          <wp:inline distT="0" distB="0" distL="0" distR="0">
            <wp:extent cx="179491" cy="100583"/>
            <wp:effectExtent l="0" t="0" r="0" b="0"/>
            <wp:docPr id="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4.png"/>
                    <pic:cNvPicPr/>
                  </pic:nvPicPr>
                  <pic:blipFill>
                    <a:blip xmlns:r="http://schemas.openxmlformats.org/officeDocument/2006/relationships" r:embed="rId7" cstate="print"/>
                    <a:stretch>
                      <a:fillRect/>
                    </a:stretch>
                  </pic:blipFill>
                  <pic:spPr>
                    <a:xfrm>
                      <a:off x="0" y="0"/>
                      <a:ext cx="179491" cy="100583"/>
                    </a:xfrm>
                    <a:prstGeom prst="rect">
                      <a:avLst/>
                    </a:prstGeom>
                  </pic:spPr>
                </pic:pic>
              </a:graphicData>
            </a:graphic>
          </wp:inline>
        </w:drawing>
      </w:r>
    </w:p>
    <w:p>
      <w:pPr>
        <w:pStyle w:val="BodyText"/>
        <w:spacing w:before="97"/>
        <w:ind w:left="1312"/>
        <w:rPr>
          <w:rFonts w:ascii="黑体" w:eastAsia="黑体" w:hint="eastAsia"/>
        </w:rPr>
      </w:pPr>
      <w:r>
        <w:rPr>
          <w:rFonts w:ascii="黑体" w:eastAsia="黑体" w:hint="eastAsia"/>
        </w:rPr>
        <w:t>测控一体化闸门 integrated gate of water measurement and control</w:t>
      </w:r>
    </w:p>
    <w:p>
      <w:pPr>
        <w:pStyle w:val="BodyText"/>
        <w:spacing w:before="43" w:line="278" w:lineRule="auto"/>
        <w:ind w:left="892" w:right="1153" w:firstLine="419"/>
      </w:pPr>
      <w:r>
        <w:drawing>
          <wp:anchor distT="0" distB="0" distL="0" distR="0" simplePos="0" relativeHeight="251668480" behindDoc="0" locked="0" layoutInCell="1" allowOverlap="1">
            <wp:simplePos x="0" y="0"/>
            <wp:positionH relativeFrom="page">
              <wp:posOffset>720851</wp:posOffset>
            </wp:positionH>
            <wp:positionV relativeFrom="paragraph">
              <wp:posOffset>459396</wp:posOffset>
            </wp:positionV>
            <wp:extent cx="198061" cy="100583"/>
            <wp:effectExtent l="0" t="0" r="0" b="0"/>
            <wp:wrapTopAndBottom/>
            <wp:docPr id="1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5.png"/>
                    <pic:cNvPicPr/>
                  </pic:nvPicPr>
                  <pic:blipFill>
                    <a:blip xmlns:r="http://schemas.openxmlformats.org/officeDocument/2006/relationships" r:embed="rId8" cstate="print"/>
                    <a:stretch>
                      <a:fillRect/>
                    </a:stretch>
                  </pic:blipFill>
                  <pic:spPr>
                    <a:xfrm>
                      <a:off x="0" y="0"/>
                      <a:ext cx="198061" cy="100583"/>
                    </a:xfrm>
                    <a:prstGeom prst="rect">
                      <a:avLst/>
                    </a:prstGeom>
                  </pic:spPr>
                </pic:pic>
              </a:graphicData>
            </a:graphic>
          </wp:anchor>
        </w:drawing>
      </w:r>
      <w:r>
        <w:rPr>
          <w:spacing w:val="-11"/>
        </w:rPr>
        <w:t>集流量计量、闸门控制、供电、实时监控和无线通信等功能于一体的轻型闸门，包括堰槽式、箱涵</w:t>
      </w:r>
      <w:r>
        <w:rPr>
          <w:spacing w:val="-6"/>
        </w:rPr>
        <w:t>式和管涵式三种类型。</w:t>
      </w:r>
    </w:p>
    <w:p>
      <w:pPr>
        <w:pStyle w:val="BodyText"/>
        <w:spacing w:before="68"/>
        <w:ind w:left="1312"/>
        <w:rPr>
          <w:rFonts w:ascii="黑体" w:eastAsia="黑体" w:hint="eastAsia"/>
        </w:rPr>
      </w:pPr>
      <w:r>
        <w:rPr>
          <w:rFonts w:ascii="黑体" w:eastAsia="黑体" w:hint="eastAsia"/>
        </w:rPr>
        <w:t>整体式测控一体化闸门 integral measurement and control integrated gates</w:t>
      </w:r>
    </w:p>
    <w:p>
      <w:pPr>
        <w:pStyle w:val="BodyText"/>
        <w:spacing w:before="43"/>
        <w:ind w:left="1312"/>
      </w:pPr>
      <w:r>
        <w:drawing>
          <wp:anchor distT="0" distB="0" distL="0" distR="0" simplePos="0" relativeHeight="251669504" behindDoc="0" locked="0" layoutInCell="1" allowOverlap="1">
            <wp:simplePos x="0" y="0"/>
            <wp:positionH relativeFrom="page">
              <wp:posOffset>720851</wp:posOffset>
            </wp:positionH>
            <wp:positionV relativeFrom="paragraph">
              <wp:posOffset>261275</wp:posOffset>
            </wp:positionV>
            <wp:extent cx="198060" cy="100583"/>
            <wp:effectExtent l="0" t="0" r="0" b="0"/>
            <wp:wrapTopAndBottom/>
            <wp:docPr id="1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6.png"/>
                    <pic:cNvPicPr/>
                  </pic:nvPicPr>
                  <pic:blipFill>
                    <a:blip xmlns:r="http://schemas.openxmlformats.org/officeDocument/2006/relationships" r:embed="rId9" cstate="print"/>
                    <a:stretch>
                      <a:fillRect/>
                    </a:stretch>
                  </pic:blipFill>
                  <pic:spPr>
                    <a:xfrm>
                      <a:off x="0" y="0"/>
                      <a:ext cx="198060" cy="100583"/>
                    </a:xfrm>
                    <a:prstGeom prst="rect">
                      <a:avLst/>
                    </a:prstGeom>
                  </pic:spPr>
                </pic:pic>
              </a:graphicData>
            </a:graphic>
          </wp:anchor>
        </w:drawing>
      </w:r>
      <w:r>
        <w:t>闸门和测流装置安装在同一位置的测控一体化闸门，包括堰槽式、箱涵式和管涵式三种类型。</w:t>
      </w:r>
    </w:p>
    <w:p>
      <w:pPr>
        <w:pStyle w:val="BodyText"/>
        <w:spacing w:before="68"/>
        <w:ind w:left="1312"/>
        <w:rPr>
          <w:rFonts w:ascii="黑体" w:eastAsia="黑体" w:hint="eastAsia"/>
        </w:rPr>
      </w:pPr>
      <w:r>
        <w:rPr>
          <w:rFonts w:ascii="黑体" w:eastAsia="黑体" w:hint="eastAsia"/>
        </w:rPr>
        <w:t>堰槽式测控一体化闸门 flumegate</w:t>
      </w:r>
    </w:p>
    <w:p>
      <w:pPr>
        <w:pStyle w:val="BodyText"/>
        <w:spacing w:before="43"/>
        <w:ind w:left="1312"/>
      </w:pPr>
      <w:r>
        <w:drawing>
          <wp:anchor distT="0" distB="0" distL="0" distR="0" simplePos="0" relativeHeight="251670528" behindDoc="0" locked="0" layoutInCell="1" allowOverlap="1">
            <wp:simplePos x="0" y="0"/>
            <wp:positionH relativeFrom="page">
              <wp:posOffset>720851</wp:posOffset>
            </wp:positionH>
            <wp:positionV relativeFrom="paragraph">
              <wp:posOffset>261275</wp:posOffset>
            </wp:positionV>
            <wp:extent cx="204262" cy="100583"/>
            <wp:effectExtent l="0" t="0" r="0" b="0"/>
            <wp:wrapTopAndBottom/>
            <wp:docPr id="1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7.png"/>
                    <pic:cNvPicPr/>
                  </pic:nvPicPr>
                  <pic:blipFill>
                    <a:blip xmlns:r="http://schemas.openxmlformats.org/officeDocument/2006/relationships" r:embed="rId10" cstate="print"/>
                    <a:stretch>
                      <a:fillRect/>
                    </a:stretch>
                  </pic:blipFill>
                  <pic:spPr>
                    <a:xfrm>
                      <a:off x="0" y="0"/>
                      <a:ext cx="204262" cy="100583"/>
                    </a:xfrm>
                    <a:prstGeom prst="rect">
                      <a:avLst/>
                    </a:prstGeom>
                  </pic:spPr>
                </pic:pic>
              </a:graphicData>
            </a:graphic>
          </wp:anchor>
        </w:drawing>
      </w:r>
      <w:r>
        <w:t>通过调节堰顶高度调节流量的顶面溢流式整体式测控一体化闸门。</w:t>
      </w:r>
    </w:p>
    <w:p>
      <w:pPr>
        <w:pStyle w:val="BodyText"/>
        <w:spacing w:before="68"/>
        <w:ind w:left="1312"/>
        <w:rPr>
          <w:rFonts w:ascii="黑体" w:eastAsia="黑体" w:hint="eastAsia"/>
        </w:rPr>
      </w:pPr>
      <w:r>
        <w:rPr>
          <w:rFonts w:ascii="黑体" w:eastAsia="黑体" w:hint="eastAsia"/>
        </w:rPr>
        <w:t>箱涵式测控一体化闸门 slip-meter</w:t>
      </w:r>
    </w:p>
    <w:p>
      <w:pPr>
        <w:pStyle w:val="BodyText"/>
        <w:spacing w:before="43" w:line="278" w:lineRule="auto"/>
        <w:ind w:left="892" w:right="1158" w:firstLine="420"/>
      </w:pPr>
      <w:r>
        <w:drawing>
          <wp:anchor distT="0" distB="0" distL="0" distR="0" simplePos="0" relativeHeight="251671552" behindDoc="0" locked="0" layoutInCell="1" allowOverlap="1">
            <wp:simplePos x="0" y="0"/>
            <wp:positionH relativeFrom="page">
              <wp:posOffset>720851</wp:posOffset>
            </wp:positionH>
            <wp:positionV relativeFrom="paragraph">
              <wp:posOffset>459394</wp:posOffset>
            </wp:positionV>
            <wp:extent cx="196595" cy="100583"/>
            <wp:effectExtent l="0" t="0" r="0" b="0"/>
            <wp:wrapTopAndBottom/>
            <wp:docPr id="1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8.png"/>
                    <pic:cNvPicPr/>
                  </pic:nvPicPr>
                  <pic:blipFill>
                    <a:blip xmlns:r="http://schemas.openxmlformats.org/officeDocument/2006/relationships" r:embed="rId11" cstate="print"/>
                    <a:stretch>
                      <a:fillRect/>
                    </a:stretch>
                  </pic:blipFill>
                  <pic:spPr>
                    <a:xfrm>
                      <a:off x="0" y="0"/>
                      <a:ext cx="196595" cy="100583"/>
                    </a:xfrm>
                    <a:prstGeom prst="rect">
                      <a:avLst/>
                    </a:prstGeom>
                  </pic:spPr>
                </pic:pic>
              </a:graphicData>
            </a:graphic>
          </wp:anchor>
        </w:drawing>
      </w:r>
      <w:r>
        <w:t>前后贯通的长方体测流设备与孔口式闸板完全融合而成，通过控制闸板开度调节流量的整体式测控一体化闸门。</w:t>
      </w:r>
    </w:p>
    <w:p>
      <w:pPr>
        <w:pStyle w:val="BodyText"/>
        <w:spacing w:before="68"/>
        <w:ind w:left="1312"/>
        <w:rPr>
          <w:rFonts w:ascii="黑体" w:eastAsia="黑体" w:hint="eastAsia"/>
        </w:rPr>
      </w:pPr>
      <w:r>
        <w:rPr>
          <w:rFonts w:ascii="黑体" w:eastAsia="黑体" w:hint="eastAsia"/>
        </w:rPr>
        <w:t>管涵式测控一体化闸门 piko-meter</w:t>
      </w:r>
    </w:p>
    <w:p>
      <w:pPr>
        <w:pStyle w:val="BodyText"/>
        <w:spacing w:before="43" w:line="278" w:lineRule="auto"/>
        <w:ind w:left="892" w:right="1156" w:firstLine="420"/>
      </w:pPr>
      <w:r>
        <w:drawing>
          <wp:anchor distT="0" distB="0" distL="0" distR="0" simplePos="0" relativeHeight="251672576" behindDoc="0" locked="0" layoutInCell="1" allowOverlap="1">
            <wp:simplePos x="0" y="0"/>
            <wp:positionH relativeFrom="page">
              <wp:posOffset>720851</wp:posOffset>
            </wp:positionH>
            <wp:positionV relativeFrom="paragraph">
              <wp:posOffset>459395</wp:posOffset>
            </wp:positionV>
            <wp:extent cx="199631" cy="100584"/>
            <wp:effectExtent l="0" t="0" r="0" b="0"/>
            <wp:wrapTopAndBottom/>
            <wp:docPr id="2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9.png"/>
                    <pic:cNvPicPr/>
                  </pic:nvPicPr>
                  <pic:blipFill>
                    <a:blip xmlns:r="http://schemas.openxmlformats.org/officeDocument/2006/relationships" r:embed="rId12" cstate="print"/>
                    <a:stretch>
                      <a:fillRect/>
                    </a:stretch>
                  </pic:blipFill>
                  <pic:spPr>
                    <a:xfrm>
                      <a:off x="0" y="0"/>
                      <a:ext cx="199631" cy="100584"/>
                    </a:xfrm>
                    <a:prstGeom prst="rect">
                      <a:avLst/>
                    </a:prstGeom>
                  </pic:spPr>
                </pic:pic>
              </a:graphicData>
            </a:graphic>
          </wp:anchor>
        </w:drawing>
      </w:r>
      <w:r>
        <w:t>前后贯通的圆柱体测流设备与孔口式闸板完全融合而成，通过控制闸板开度调节流量的整体式测控一体化闸门。</w:t>
      </w:r>
    </w:p>
    <w:p>
      <w:pPr>
        <w:pStyle w:val="BodyText"/>
        <w:spacing w:before="68"/>
        <w:ind w:left="1312"/>
        <w:rPr>
          <w:rFonts w:ascii="黑体" w:eastAsia="黑体" w:hint="eastAsia"/>
        </w:rPr>
      </w:pPr>
      <w:r>
        <w:rPr>
          <w:rFonts w:ascii="黑体" w:eastAsia="黑体" w:hint="eastAsia"/>
        </w:rPr>
        <w:t>前控后测集成模式 pre-control and post-test integrated mode</w:t>
      </w:r>
    </w:p>
    <w:p>
      <w:pPr>
        <w:pStyle w:val="BodyText"/>
        <w:spacing w:before="43" w:line="278" w:lineRule="auto"/>
        <w:ind w:left="892" w:right="1155" w:firstLine="420"/>
      </w:pPr>
      <w:r>
        <w:drawing>
          <wp:anchor distT="0" distB="0" distL="0" distR="0" simplePos="0" relativeHeight="251673600" behindDoc="0" locked="0" layoutInCell="1" allowOverlap="1">
            <wp:simplePos x="0" y="0"/>
            <wp:positionH relativeFrom="page">
              <wp:posOffset>720851</wp:posOffset>
            </wp:positionH>
            <wp:positionV relativeFrom="paragraph">
              <wp:posOffset>459395</wp:posOffset>
            </wp:positionV>
            <wp:extent cx="201167" cy="100584"/>
            <wp:effectExtent l="0" t="0" r="0" b="0"/>
            <wp:wrapTopAndBottom/>
            <wp:docPr id="2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0.png"/>
                    <pic:cNvPicPr/>
                  </pic:nvPicPr>
                  <pic:blipFill>
                    <a:blip xmlns:r="http://schemas.openxmlformats.org/officeDocument/2006/relationships" r:embed="rId13" cstate="print"/>
                    <a:stretch>
                      <a:fillRect/>
                    </a:stretch>
                  </pic:blipFill>
                  <pic:spPr>
                    <a:xfrm>
                      <a:off x="0" y="0"/>
                      <a:ext cx="201167" cy="100584"/>
                    </a:xfrm>
                    <a:prstGeom prst="rect">
                      <a:avLst/>
                    </a:prstGeom>
                  </pic:spPr>
                </pic:pic>
              </a:graphicData>
            </a:graphic>
          </wp:anchor>
        </w:drawing>
      </w:r>
      <w:r>
        <w:drawing>
          <wp:anchor distT="0" distB="0" distL="0" distR="0" simplePos="0" relativeHeight="251679744" behindDoc="0" locked="0" layoutInCell="1" allowOverlap="1">
            <wp:simplePos x="0" y="0"/>
            <wp:positionH relativeFrom="page">
              <wp:posOffset>215900</wp:posOffset>
            </wp:positionH>
            <wp:positionV relativeFrom="paragraph">
              <wp:posOffset>70775</wp:posOffset>
            </wp:positionV>
            <wp:extent cx="7112000" cy="4876800"/>
            <wp:effectExtent l="0" t="0" r="0" b="0"/>
            <wp:wrapNone/>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png"/>
                    <pic:cNvPicPr/>
                  </pic:nvPicPr>
                  <pic:blipFill>
                    <a:blip xmlns:r="http://schemas.openxmlformats.org/officeDocument/2006/relationships" r:embed="rId5" cstate="print"/>
                    <a:stretch>
                      <a:fillRect/>
                    </a:stretch>
                  </pic:blipFill>
                  <pic:spPr>
                    <a:xfrm>
                      <a:off x="0" y="0"/>
                      <a:ext cx="7112000" cy="4876800"/>
                    </a:xfrm>
                    <a:prstGeom prst="rect">
                      <a:avLst/>
                    </a:prstGeom>
                  </pic:spPr>
                </pic:pic>
              </a:graphicData>
            </a:graphic>
          </wp:anchor>
        </w:drawing>
      </w:r>
      <w:r>
        <w:rPr>
          <w:spacing w:val="-6"/>
        </w:rPr>
        <w:t>闸门和测流装置分开设置的测控模式。闸门安装在闸口，测流装置</w:t>
      </w:r>
      <w:r>
        <w:t>（</w:t>
      </w:r>
      <w:r>
        <w:rPr>
          <w:spacing w:val="-8"/>
        </w:rPr>
        <w:t>无喉道量水槽、巴歇尔槽、测</w:t>
      </w:r>
      <w:r>
        <w:rPr>
          <w:spacing w:val="-5"/>
        </w:rPr>
        <w:t>流箱、雷达流量计、超声波水位计等</w:t>
      </w:r>
      <w:r>
        <w:t>）</w:t>
      </w:r>
      <w:r>
        <w:rPr>
          <w:spacing w:val="-3"/>
        </w:rPr>
        <w:t>安装在闸后渠道稳流段，闸门开启与测流保持协调关系。</w:t>
      </w:r>
    </w:p>
    <w:p>
      <w:pPr>
        <w:pStyle w:val="BodyText"/>
        <w:spacing w:before="68"/>
        <w:ind w:left="1312"/>
        <w:rPr>
          <w:rFonts w:ascii="黑体" w:eastAsia="黑体" w:hint="eastAsia"/>
        </w:rPr>
      </w:pPr>
      <w:r>
        <w:rPr>
          <w:rFonts w:ascii="黑体" w:eastAsia="黑体" w:hint="eastAsia"/>
        </w:rPr>
        <w:t>自动控制闸门 automatic control gates</w:t>
      </w:r>
    </w:p>
    <w:p>
      <w:pPr>
        <w:pStyle w:val="BodyText"/>
        <w:spacing w:before="43"/>
        <w:ind w:left="1312"/>
      </w:pPr>
      <w:r>
        <w:drawing>
          <wp:anchor distT="0" distB="0" distL="0" distR="0" simplePos="0" relativeHeight="251674624" behindDoc="0" locked="0" layoutInCell="1" allowOverlap="1">
            <wp:simplePos x="0" y="0"/>
            <wp:positionH relativeFrom="page">
              <wp:posOffset>720851</wp:posOffset>
            </wp:positionH>
            <wp:positionV relativeFrom="paragraph">
              <wp:posOffset>261275</wp:posOffset>
            </wp:positionV>
            <wp:extent cx="199620" cy="100584"/>
            <wp:effectExtent l="0" t="0" r="0" b="0"/>
            <wp:wrapTopAndBottom/>
            <wp:docPr id="2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1.png"/>
                    <pic:cNvPicPr/>
                  </pic:nvPicPr>
                  <pic:blipFill>
                    <a:blip xmlns:r="http://schemas.openxmlformats.org/officeDocument/2006/relationships" r:embed="rId14" cstate="print"/>
                    <a:stretch>
                      <a:fillRect/>
                    </a:stretch>
                  </pic:blipFill>
                  <pic:spPr>
                    <a:xfrm>
                      <a:off x="0" y="0"/>
                      <a:ext cx="199620" cy="100584"/>
                    </a:xfrm>
                    <a:prstGeom prst="rect">
                      <a:avLst/>
                    </a:prstGeom>
                  </pic:spPr>
                </pic:pic>
              </a:graphicData>
            </a:graphic>
          </wp:anchor>
        </w:drawing>
      </w:r>
      <w:r>
        <w:t>只具备闸门控制、供电、实时监控和无线通信等功能于一体的轻型闸门。</w:t>
      </w:r>
    </w:p>
    <w:p>
      <w:pPr>
        <w:pStyle w:val="BodyText"/>
        <w:spacing w:before="68"/>
        <w:ind w:left="1312"/>
        <w:rPr>
          <w:rFonts w:ascii="黑体" w:eastAsia="黑体" w:hint="eastAsia"/>
        </w:rPr>
      </w:pPr>
      <w:r>
        <w:rPr>
          <w:rFonts w:ascii="黑体" w:eastAsia="黑体" w:hint="eastAsia"/>
        </w:rPr>
        <w:t>测流箱 flow box</w:t>
      </w:r>
    </w:p>
    <w:p>
      <w:pPr>
        <w:pStyle w:val="BodyText"/>
        <w:spacing w:before="43" w:line="278" w:lineRule="auto"/>
        <w:ind w:left="892" w:right="1182" w:firstLine="419"/>
      </w:pPr>
      <w:r>
        <w:drawing>
          <wp:anchor distT="0" distB="0" distL="0" distR="0" simplePos="0" relativeHeight="251675648" behindDoc="0" locked="0" layoutInCell="1" allowOverlap="1">
            <wp:simplePos x="0" y="0"/>
            <wp:positionH relativeFrom="page">
              <wp:posOffset>720851</wp:posOffset>
            </wp:positionH>
            <wp:positionV relativeFrom="paragraph">
              <wp:posOffset>459408</wp:posOffset>
            </wp:positionV>
            <wp:extent cx="198085" cy="100584"/>
            <wp:effectExtent l="0" t="0" r="0" b="0"/>
            <wp:wrapTopAndBottom/>
            <wp:docPr id="2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2.png"/>
                    <pic:cNvPicPr/>
                  </pic:nvPicPr>
                  <pic:blipFill>
                    <a:blip xmlns:r="http://schemas.openxmlformats.org/officeDocument/2006/relationships" r:embed="rId15" cstate="print"/>
                    <a:stretch>
                      <a:fillRect/>
                    </a:stretch>
                  </pic:blipFill>
                  <pic:spPr>
                    <a:xfrm>
                      <a:off x="0" y="0"/>
                      <a:ext cx="198085" cy="100584"/>
                    </a:xfrm>
                    <a:prstGeom prst="rect">
                      <a:avLst/>
                    </a:prstGeom>
                  </pic:spPr>
                </pic:pic>
              </a:graphicData>
            </a:graphic>
          </wp:anchor>
        </w:drawing>
      </w:r>
      <w:r>
        <w:rPr>
          <w:spacing w:val="-9"/>
        </w:rPr>
        <w:t>用于测控一体化闸门水量测量的设备，通常由箱体、连接法兰等组成，测箱内安装测流传感器、水</w:t>
      </w:r>
      <w:r>
        <w:rPr>
          <w:spacing w:val="-3"/>
        </w:rPr>
        <w:t>位传感器、信号处理等元器件，结构为矩形或圆形。</w:t>
      </w:r>
    </w:p>
    <w:p>
      <w:pPr>
        <w:pStyle w:val="BodyText"/>
        <w:spacing w:before="68"/>
        <w:ind w:left="1315"/>
        <w:rPr>
          <w:rFonts w:ascii="黑体" w:eastAsia="黑体" w:hint="eastAsia"/>
        </w:rPr>
      </w:pPr>
      <w:r>
        <w:rPr>
          <w:rFonts w:ascii="黑体" w:eastAsia="黑体" w:hint="eastAsia"/>
        </w:rPr>
        <w:t>太阳能供电系统 solar power system</w:t>
      </w:r>
    </w:p>
    <w:p>
      <w:pPr>
        <w:pStyle w:val="BodyText"/>
        <w:spacing w:before="21"/>
        <w:ind w:left="1312"/>
      </w:pPr>
      <w:r>
        <w:drawing>
          <wp:anchor distT="0" distB="0" distL="0" distR="0" simplePos="0" relativeHeight="251676672" behindDoc="0" locked="0" layoutInCell="1" allowOverlap="1">
            <wp:simplePos x="0" y="0"/>
            <wp:positionH relativeFrom="page">
              <wp:posOffset>720851</wp:posOffset>
            </wp:positionH>
            <wp:positionV relativeFrom="paragraph">
              <wp:posOffset>236600</wp:posOffset>
            </wp:positionV>
            <wp:extent cx="263639" cy="100583"/>
            <wp:effectExtent l="0" t="0" r="0" b="0"/>
            <wp:wrapTopAndBottom/>
            <wp:docPr id="3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3.png"/>
                    <pic:cNvPicPr/>
                  </pic:nvPicPr>
                  <pic:blipFill>
                    <a:blip xmlns:r="http://schemas.openxmlformats.org/officeDocument/2006/relationships" r:embed="rId16" cstate="print"/>
                    <a:stretch>
                      <a:fillRect/>
                    </a:stretch>
                  </pic:blipFill>
                  <pic:spPr>
                    <a:xfrm>
                      <a:off x="0" y="0"/>
                      <a:ext cx="263639" cy="100583"/>
                    </a:xfrm>
                    <a:prstGeom prst="rect">
                      <a:avLst/>
                    </a:prstGeom>
                  </pic:spPr>
                </pic:pic>
              </a:graphicData>
            </a:graphic>
          </wp:anchor>
        </w:drawing>
      </w:r>
      <w:r>
        <w:t>采用太阳能为闸门提供电源的系统，包括太阳能板、蓄电池、立杆及附属设施。</w:t>
      </w:r>
    </w:p>
    <w:p>
      <w:pPr>
        <w:pStyle w:val="BodyText"/>
        <w:spacing w:before="68"/>
        <w:ind w:left="1315"/>
        <w:rPr>
          <w:rFonts w:ascii="黑体" w:eastAsia="黑体" w:hint="eastAsia"/>
        </w:rPr>
      </w:pPr>
      <w:r>
        <w:rPr>
          <w:rFonts w:ascii="黑体" w:eastAsia="黑体" w:hint="eastAsia"/>
        </w:rPr>
        <w:t>通讯系统 communication system</w:t>
      </w:r>
    </w:p>
    <w:p>
      <w:pPr>
        <w:pStyle w:val="BodyText"/>
        <w:spacing w:before="43"/>
        <w:ind w:left="1312"/>
      </w:pPr>
      <w:r>
        <w:t>测控一体化闸门与远端控制系统进行信息传输的设备、技术的总称，包括路由器、网关、通讯模块</w:t>
      </w:r>
    </w:p>
    <w:p>
      <w:pPr>
        <w:pStyle w:val="BodyText"/>
        <w:spacing w:before="43"/>
        <w:ind w:left="893"/>
      </w:pPr>
      <w:r>
        <w:drawing>
          <wp:anchor distT="0" distB="0" distL="0" distR="0" simplePos="0" relativeHeight="251677696" behindDoc="0" locked="0" layoutInCell="1" allowOverlap="1">
            <wp:simplePos x="0" y="0"/>
            <wp:positionH relativeFrom="page">
              <wp:posOffset>720851</wp:posOffset>
            </wp:positionH>
            <wp:positionV relativeFrom="paragraph">
              <wp:posOffset>261324</wp:posOffset>
            </wp:positionV>
            <wp:extent cx="247623" cy="100583"/>
            <wp:effectExtent l="0" t="0" r="0" b="0"/>
            <wp:wrapTopAndBottom/>
            <wp:docPr id="3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4.png"/>
                    <pic:cNvPicPr/>
                  </pic:nvPicPr>
                  <pic:blipFill>
                    <a:blip xmlns:r="http://schemas.openxmlformats.org/officeDocument/2006/relationships" r:embed="rId17" cstate="print"/>
                    <a:stretch>
                      <a:fillRect/>
                    </a:stretch>
                  </pic:blipFill>
                  <pic:spPr>
                    <a:xfrm>
                      <a:off x="0" y="0"/>
                      <a:ext cx="247623" cy="100583"/>
                    </a:xfrm>
                    <a:prstGeom prst="rect">
                      <a:avLst/>
                    </a:prstGeom>
                  </pic:spPr>
                </pic:pic>
              </a:graphicData>
            </a:graphic>
          </wp:anchor>
        </w:drawing>
      </w:r>
      <w:r>
        <w:t>（含通讯卡）等，以及完成信息传输过程的软件技术服务。</w:t>
      </w:r>
    </w:p>
    <w:p>
      <w:pPr>
        <w:pStyle w:val="BodyText"/>
        <w:spacing w:before="68"/>
        <w:ind w:left="1315"/>
        <w:rPr>
          <w:rFonts w:ascii="黑体" w:eastAsia="黑体" w:hint="eastAsia"/>
        </w:rPr>
      </w:pPr>
      <w:r>
        <w:rPr>
          <w:rFonts w:ascii="黑体" w:eastAsia="黑体" w:hint="eastAsia"/>
        </w:rPr>
        <w:t>闸门控制系统 gate control system</w:t>
      </w:r>
    </w:p>
    <w:p>
      <w:pPr>
        <w:pStyle w:val="BodyText"/>
        <w:spacing w:before="43" w:line="278" w:lineRule="auto"/>
        <w:ind w:left="893" w:right="1153" w:firstLine="419"/>
      </w:pPr>
      <w:r>
        <w:drawing>
          <wp:anchor distT="0" distB="0" distL="0" distR="0" simplePos="0" relativeHeight="251678720" behindDoc="0" locked="0" layoutInCell="1" allowOverlap="1">
            <wp:simplePos x="0" y="0"/>
            <wp:positionH relativeFrom="page">
              <wp:posOffset>720851</wp:posOffset>
            </wp:positionH>
            <wp:positionV relativeFrom="paragraph">
              <wp:posOffset>459395</wp:posOffset>
            </wp:positionV>
            <wp:extent cx="266160" cy="100584"/>
            <wp:effectExtent l="0" t="0" r="0" b="0"/>
            <wp:wrapTopAndBottom/>
            <wp:docPr id="3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5.png"/>
                    <pic:cNvPicPr/>
                  </pic:nvPicPr>
                  <pic:blipFill>
                    <a:blip xmlns:r="http://schemas.openxmlformats.org/officeDocument/2006/relationships" r:embed="rId18" cstate="print"/>
                    <a:stretch>
                      <a:fillRect/>
                    </a:stretch>
                  </pic:blipFill>
                  <pic:spPr>
                    <a:xfrm>
                      <a:off x="0" y="0"/>
                      <a:ext cx="266160" cy="100584"/>
                    </a:xfrm>
                    <a:prstGeom prst="rect">
                      <a:avLst/>
                    </a:prstGeom>
                  </pic:spPr>
                </pic:pic>
              </a:graphicData>
            </a:graphic>
          </wp:anchor>
        </w:drawing>
      </w:r>
      <w:r>
        <w:rPr>
          <w:spacing w:val="-8"/>
        </w:rPr>
        <w:t>部署在运行管理单位或云服务器端，以计算机为基础的测控一体化闸门监控系统，可以对现场的闸</w:t>
      </w:r>
      <w:r>
        <w:rPr>
          <w:spacing w:val="-5"/>
        </w:rPr>
        <w:t>门设备进行监视和控制，以实现数据采集、设备控制、测量、参数调节以及各类信号报警等功能。</w:t>
      </w:r>
    </w:p>
    <w:p>
      <w:pPr>
        <w:pStyle w:val="BodyText"/>
        <w:spacing w:before="68"/>
        <w:ind w:left="1315"/>
        <w:rPr>
          <w:rFonts w:ascii="黑体" w:eastAsia="黑体" w:hint="eastAsia"/>
        </w:rPr>
      </w:pPr>
      <w:r>
        <w:rPr>
          <w:rFonts w:ascii="黑体" w:eastAsia="黑体" w:hint="eastAsia"/>
        </w:rPr>
        <w:t>终端地址 terminal address</w:t>
      </w:r>
    </w:p>
    <w:p>
      <w:pPr>
        <w:pStyle w:val="BodyText"/>
        <w:spacing w:before="43"/>
        <w:ind w:left="1312"/>
      </w:pPr>
      <w:r>
        <w:t>系统中终端设备的地址编码，简称终端地址。</w:t>
      </w:r>
    </w:p>
    <w:p>
      <w:pPr>
        <w:spacing w:after="0"/>
        <w:sectPr>
          <w:pgSz w:w="11910" w:h="16840"/>
          <w:pgMar w:top="1580" w:right="260" w:bottom="280" w:left="240" w:header="708" w:footer="708"/>
          <w:pgNumType w:start="6"/>
          <w:cols w:space="708"/>
        </w:sectPr>
      </w:pPr>
    </w:p>
    <w:p>
      <w:pPr>
        <w:pStyle w:val="BodyText"/>
        <w:rPr>
          <w:sz w:val="20"/>
        </w:rPr>
      </w:pPr>
    </w:p>
    <w:p>
      <w:pPr>
        <w:pStyle w:val="BodyText"/>
        <w:spacing w:before="10" w:after="1"/>
        <w:rPr>
          <w:sz w:val="11"/>
        </w:rPr>
      </w:pPr>
    </w:p>
    <w:p>
      <w:pPr>
        <w:pStyle w:val="BodyText"/>
        <w:spacing w:line="158" w:lineRule="exact"/>
        <w:ind w:left="1180"/>
        <w:rPr>
          <w:sz w:val="15"/>
        </w:rPr>
      </w:pPr>
      <w:r>
        <w:rPr>
          <w:position w:val="-2"/>
          <w:sz w:val="15"/>
        </w:rPr>
        <w:drawing>
          <wp:inline distT="0" distB="0" distL="0" distR="0">
            <wp:extent cx="266160" cy="100583"/>
            <wp:effectExtent l="0" t="0" r="0" b="0"/>
            <wp:docPr id="3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6.png"/>
                    <pic:cNvPicPr/>
                  </pic:nvPicPr>
                  <pic:blipFill>
                    <a:blip xmlns:r="http://schemas.openxmlformats.org/officeDocument/2006/relationships" r:embed="rId19" cstate="print"/>
                    <a:stretch>
                      <a:fillRect/>
                    </a:stretch>
                  </pic:blipFill>
                  <pic:spPr>
                    <a:xfrm>
                      <a:off x="0" y="0"/>
                      <a:ext cx="266160" cy="100583"/>
                    </a:xfrm>
                    <a:prstGeom prst="rect">
                      <a:avLst/>
                    </a:prstGeom>
                  </pic:spPr>
                </pic:pic>
              </a:graphicData>
            </a:graphic>
          </wp:inline>
        </w:drawing>
      </w:r>
    </w:p>
    <w:p>
      <w:pPr>
        <w:pStyle w:val="BodyText"/>
        <w:spacing w:before="97"/>
        <w:ind w:left="1600"/>
        <w:rPr>
          <w:rFonts w:ascii="黑体" w:eastAsia="黑体" w:hint="eastAsia"/>
        </w:rPr>
      </w:pPr>
      <w:r>
        <w:rPr>
          <w:rFonts w:ascii="黑体" w:eastAsia="黑体" w:hint="eastAsia"/>
        </w:rPr>
        <w:t>水利云 water conservancy cloud</w:t>
      </w:r>
    </w:p>
    <w:p>
      <w:pPr>
        <w:pStyle w:val="BodyText"/>
        <w:spacing w:before="43"/>
        <w:ind w:left="1598"/>
      </w:pPr>
      <w:r>
        <w:drawing>
          <wp:anchor distT="0" distB="0" distL="0" distR="0" simplePos="0" relativeHeight="251680768" behindDoc="0" locked="0" layoutInCell="1" allowOverlap="1">
            <wp:simplePos x="0" y="0"/>
            <wp:positionH relativeFrom="page">
              <wp:posOffset>902208</wp:posOffset>
            </wp:positionH>
            <wp:positionV relativeFrom="paragraph">
              <wp:posOffset>261275</wp:posOffset>
            </wp:positionV>
            <wp:extent cx="272350" cy="100583"/>
            <wp:effectExtent l="0" t="0" r="0" b="0"/>
            <wp:wrapTopAndBottom/>
            <wp:docPr id="39"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7.png"/>
                    <pic:cNvPicPr/>
                  </pic:nvPicPr>
                  <pic:blipFill>
                    <a:blip xmlns:r="http://schemas.openxmlformats.org/officeDocument/2006/relationships" r:embed="rId20" cstate="print"/>
                    <a:stretch>
                      <a:fillRect/>
                    </a:stretch>
                  </pic:blipFill>
                  <pic:spPr>
                    <a:xfrm>
                      <a:off x="0" y="0"/>
                      <a:ext cx="272350" cy="100583"/>
                    </a:xfrm>
                    <a:prstGeom prst="rect">
                      <a:avLst/>
                    </a:prstGeom>
                  </pic:spPr>
                </pic:pic>
              </a:graphicData>
            </a:graphic>
          </wp:anchor>
        </w:drawing>
      </w:r>
      <w:r>
        <w:t>基于自治区政务云的全自治区水利数据资源汇集、存储、计算、共享、管理的基础性公共服务平台。</w:t>
      </w:r>
    </w:p>
    <w:p>
      <w:pPr>
        <w:pStyle w:val="BodyText"/>
        <w:spacing w:before="68"/>
        <w:ind w:left="1600"/>
        <w:rPr>
          <w:rFonts w:ascii="黑体" w:eastAsia="黑体" w:hint="eastAsia"/>
        </w:rPr>
      </w:pPr>
      <w:r>
        <w:rPr>
          <w:rFonts w:ascii="黑体" w:eastAsia="黑体" w:hint="eastAsia"/>
        </w:rPr>
        <w:t>水联网数据采集平台 acquisition platform for internet of water data</w:t>
      </w:r>
    </w:p>
    <w:p>
      <w:pPr>
        <w:pStyle w:val="BodyText"/>
        <w:spacing w:before="43"/>
        <w:ind w:left="1598"/>
      </w:pPr>
      <w:r>
        <w:t>基于水利云的汇集各类涉水感知终端数据采集、网络传输、远程控制的数据采集平台。</w:t>
      </w:r>
    </w:p>
    <w:p>
      <w:pPr>
        <w:pStyle w:val="BodyText"/>
        <w:spacing w:before="9"/>
        <w:rPr>
          <w:sz w:val="27"/>
        </w:rPr>
      </w:pPr>
    </w:p>
    <w:p>
      <w:pPr>
        <w:pStyle w:val="ListParagraph"/>
        <w:numPr>
          <w:ilvl w:val="1"/>
          <w:numId w:val="41"/>
        </w:numPr>
        <w:tabs>
          <w:tab w:val="left" w:pos="1635"/>
        </w:tabs>
        <w:spacing w:before="0" w:after="0" w:line="240" w:lineRule="auto"/>
        <w:ind w:left="1634" w:right="0" w:hanging="315"/>
        <w:jc w:val="left"/>
        <w:rPr>
          <w:rFonts w:ascii="黑体" w:eastAsia="黑体" w:hint="eastAsia"/>
          <w:sz w:val="21"/>
        </w:rPr>
      </w:pPr>
      <w:bookmarkStart w:id="4" w:name="4　 总则"/>
      <w:bookmarkEnd w:id="4"/>
      <w:r>
        <w:rPr>
          <w:rFonts w:ascii="黑体" w:eastAsia="黑体" w:hint="eastAsia"/>
          <w:sz w:val="21"/>
        </w:rPr>
        <w:t>总则</w:t>
      </w:r>
    </w:p>
    <w:p>
      <w:pPr>
        <w:pStyle w:val="BodyText"/>
        <w:spacing w:before="1"/>
        <w:rPr>
          <w:rFonts w:ascii="黑体"/>
          <w:sz w:val="22"/>
        </w:rPr>
      </w:pPr>
    </w:p>
    <w:p>
      <w:pPr>
        <w:pStyle w:val="BodyText"/>
        <w:spacing w:before="74" w:line="276" w:lineRule="auto"/>
        <w:ind w:left="1178" w:right="873" w:hanging="3"/>
      </w:pPr>
      <w:r>
        <w:drawing>
          <wp:inline distT="0" distB="0" distL="0" distR="0">
            <wp:extent cx="179831" cy="99059"/>
            <wp:effectExtent l="0" t="0" r="0" b="0"/>
            <wp:docPr id="4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18.png"/>
                    <pic:cNvPicPr/>
                  </pic:nvPicPr>
                  <pic:blipFill>
                    <a:blip xmlns:r="http://schemas.openxmlformats.org/officeDocument/2006/relationships" r:embed="rId21" cstate="print"/>
                    <a:stretch>
                      <a:fillRect/>
                    </a:stretch>
                  </pic:blipFill>
                  <pic:spPr>
                    <a:xfrm>
                      <a:off x="0" y="0"/>
                      <a:ext cx="179831" cy="99059"/>
                    </a:xfrm>
                    <a:prstGeom prst="rect">
                      <a:avLst/>
                    </a:prstGeom>
                  </pic:spPr>
                </pic:pic>
              </a:graphicData>
            </a:graphic>
          </wp:inline>
        </w:drawing>
      </w:r>
      <w:r>
        <w:rPr>
          <w:rFonts w:ascii="Times New Roman" w:eastAsia="Times New Roman"/>
          <w:sz w:val="20"/>
        </w:rPr>
        <w:t xml:space="preserve">    </w:t>
      </w:r>
      <w:r>
        <w:rPr>
          <w:rFonts w:ascii="Times New Roman" w:eastAsia="Times New Roman"/>
          <w:spacing w:val="-6"/>
          <w:sz w:val="20"/>
        </w:rPr>
        <w:t xml:space="preserve"> </w:t>
      </w:r>
      <w:r>
        <w:rPr>
          <w:spacing w:val="-3"/>
        </w:rPr>
        <w:t>测控一体化闸门工程设计应结合灌区发展规划，适应灌区灌溉管理水平，达到工程设计合理、设备选型科学、设施运行可靠、便于维护和管理的目标。</w:t>
      </w:r>
    </w:p>
    <w:p>
      <w:pPr>
        <w:pStyle w:val="BodyText"/>
        <w:spacing w:before="5"/>
        <w:ind w:left="1176"/>
      </w:pPr>
      <w:r>
        <w:drawing>
          <wp:inline distT="0" distB="0" distL="0" distR="0">
            <wp:extent cx="198119" cy="99047"/>
            <wp:effectExtent l="0" t="0" r="0" b="0"/>
            <wp:docPr id="4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19.png"/>
                    <pic:cNvPicPr/>
                  </pic:nvPicPr>
                  <pic:blipFill>
                    <a:blip xmlns:r="http://schemas.openxmlformats.org/officeDocument/2006/relationships" r:embed="rId22" cstate="print"/>
                    <a:stretch>
                      <a:fillRect/>
                    </a:stretch>
                  </pic:blipFill>
                  <pic:spPr>
                    <a:xfrm>
                      <a:off x="0" y="0"/>
                      <a:ext cx="198119" cy="99047"/>
                    </a:xfrm>
                    <a:prstGeom prst="rect">
                      <a:avLst/>
                    </a:prstGeom>
                  </pic:spPr>
                </pic:pic>
              </a:graphicData>
            </a:graphic>
          </wp:inline>
        </w:drawing>
      </w:r>
      <w:r>
        <w:rPr>
          <w:rFonts w:ascii="Times New Roman" w:eastAsia="Times New Roman"/>
          <w:sz w:val="20"/>
        </w:rPr>
        <w:t xml:space="preserve">   </w:t>
      </w:r>
      <w:r>
        <w:rPr>
          <w:rFonts w:ascii="Times New Roman" w:eastAsia="Times New Roman"/>
          <w:spacing w:val="16"/>
          <w:sz w:val="20"/>
        </w:rPr>
        <w:t xml:space="preserve"> </w:t>
      </w:r>
      <w:r>
        <w:rPr>
          <w:spacing w:val="-3"/>
        </w:rPr>
        <w:t>测控一体化闸门工程建设的布局和布置应满足以下条件：</w:t>
      </w:r>
    </w:p>
    <w:p>
      <w:pPr>
        <w:pStyle w:val="ListParagraph"/>
        <w:numPr>
          <w:ilvl w:val="2"/>
          <w:numId w:val="41"/>
        </w:numPr>
        <w:tabs>
          <w:tab w:val="left" w:pos="2031"/>
        </w:tabs>
        <w:spacing w:before="41" w:after="0" w:line="240" w:lineRule="auto"/>
        <w:ind w:left="2030" w:right="0" w:hanging="428"/>
        <w:jc w:val="left"/>
        <w:rPr>
          <w:sz w:val="21"/>
        </w:rPr>
      </w:pPr>
      <w:r>
        <w:rPr>
          <w:spacing w:val="-3"/>
          <w:sz w:val="21"/>
        </w:rPr>
        <w:t>宜布局于灌溉条件完善、灌溉工程完好、运行管理机构健全的灌区；</w:t>
      </w:r>
    </w:p>
    <w:p>
      <w:pPr>
        <w:pStyle w:val="ListParagraph"/>
        <w:numPr>
          <w:ilvl w:val="2"/>
          <w:numId w:val="41"/>
        </w:numPr>
        <w:tabs>
          <w:tab w:val="left" w:pos="2031"/>
        </w:tabs>
        <w:spacing w:before="43" w:after="0" w:line="240" w:lineRule="auto"/>
        <w:ind w:left="2030" w:right="0" w:hanging="428"/>
        <w:jc w:val="left"/>
        <w:rPr>
          <w:sz w:val="21"/>
        </w:rPr>
      </w:pPr>
      <w:r>
        <w:rPr>
          <w:spacing w:val="-3"/>
          <w:sz w:val="21"/>
        </w:rPr>
        <w:t>建设应满足灌区正常的灌溉、调度及灌区现代化管理要求，便于维修管理；</w:t>
      </w:r>
    </w:p>
    <w:p>
      <w:pPr>
        <w:pStyle w:val="ListParagraph"/>
        <w:numPr>
          <w:ilvl w:val="2"/>
          <w:numId w:val="41"/>
        </w:numPr>
        <w:tabs>
          <w:tab w:val="left" w:pos="2031"/>
        </w:tabs>
        <w:spacing w:before="43" w:after="0" w:line="240" w:lineRule="auto"/>
        <w:ind w:left="2030" w:right="0" w:hanging="428"/>
        <w:jc w:val="left"/>
        <w:rPr>
          <w:sz w:val="21"/>
        </w:rPr>
      </w:pPr>
      <w:r>
        <w:rPr>
          <w:spacing w:val="-10"/>
          <w:sz w:val="21"/>
        </w:rPr>
        <w:t xml:space="preserve">测量精度应满足 </w:t>
      </w:r>
      <w:r>
        <w:rPr>
          <w:sz w:val="21"/>
        </w:rPr>
        <w:t>GB/T 28714</w:t>
      </w:r>
      <w:r>
        <w:rPr>
          <w:spacing w:val="-13"/>
          <w:sz w:val="21"/>
        </w:rPr>
        <w:t xml:space="preserve"> 等要求；</w:t>
      </w:r>
    </w:p>
    <w:p>
      <w:pPr>
        <w:pStyle w:val="ListParagraph"/>
        <w:numPr>
          <w:ilvl w:val="2"/>
          <w:numId w:val="41"/>
        </w:numPr>
        <w:tabs>
          <w:tab w:val="left" w:pos="2031"/>
        </w:tabs>
        <w:spacing w:before="43" w:after="0" w:line="240" w:lineRule="auto"/>
        <w:ind w:left="2030" w:right="0" w:hanging="428"/>
        <w:jc w:val="left"/>
        <w:rPr>
          <w:sz w:val="21"/>
        </w:rPr>
      </w:pPr>
      <w:r>
        <w:rPr>
          <w:spacing w:val="-8"/>
          <w:sz w:val="21"/>
        </w:rPr>
        <w:t xml:space="preserve">安全性、稳定性应满足 </w:t>
      </w:r>
      <w:r>
        <w:rPr>
          <w:sz w:val="21"/>
        </w:rPr>
        <w:t>GB/T 14173</w:t>
      </w:r>
      <w:r>
        <w:rPr>
          <w:spacing w:val="-12"/>
          <w:sz w:val="21"/>
        </w:rPr>
        <w:t xml:space="preserve"> 等要求。</w:t>
      </w:r>
    </w:p>
    <w:p>
      <w:pPr>
        <w:pStyle w:val="BodyText"/>
        <w:spacing w:before="45" w:line="276" w:lineRule="auto"/>
        <w:ind w:left="1178" w:right="873" w:hanging="3"/>
      </w:pPr>
      <w:r>
        <w:drawing>
          <wp:inline distT="0" distB="0" distL="0" distR="0">
            <wp:extent cx="198119" cy="99059"/>
            <wp:effectExtent l="0" t="0" r="0" b="0"/>
            <wp:docPr id="4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20.png"/>
                    <pic:cNvPicPr/>
                  </pic:nvPicPr>
                  <pic:blipFill>
                    <a:blip xmlns:r="http://schemas.openxmlformats.org/officeDocument/2006/relationships" r:embed="rId23" cstate="print"/>
                    <a:stretch>
                      <a:fillRect/>
                    </a:stretch>
                  </pic:blipFill>
                  <pic:spPr>
                    <a:xfrm>
                      <a:off x="0" y="0"/>
                      <a:ext cx="198119" cy="99059"/>
                    </a:xfrm>
                    <a:prstGeom prst="rect">
                      <a:avLst/>
                    </a:prstGeom>
                  </pic:spPr>
                </pic:pic>
              </a:graphicData>
            </a:graphic>
          </wp:inline>
        </w:drawing>
      </w:r>
      <w:r>
        <w:rPr>
          <w:rFonts w:ascii="Times New Roman" w:eastAsia="Times New Roman"/>
          <w:sz w:val="20"/>
        </w:rPr>
        <w:t xml:space="preserve">   </w:t>
      </w:r>
      <w:r>
        <w:rPr>
          <w:rFonts w:ascii="Times New Roman" w:eastAsia="Times New Roman"/>
          <w:spacing w:val="16"/>
          <w:sz w:val="20"/>
        </w:rPr>
        <w:t xml:space="preserve"> </w:t>
      </w:r>
      <w:r>
        <w:rPr>
          <w:spacing w:val="-5"/>
        </w:rPr>
        <w:t>测控一体化闸门的选型设计、安装调试、验收和运行、维护等除符合本文件规定外，还应符合国</w:t>
      </w:r>
      <w:r>
        <w:rPr>
          <w:spacing w:val="-3"/>
        </w:rPr>
        <w:t>家、行业和宁夏现行相关规范标准。</w:t>
      </w:r>
    </w:p>
    <w:p>
      <w:pPr>
        <w:pStyle w:val="BodyText"/>
        <w:spacing w:before="5" w:line="276" w:lineRule="auto"/>
        <w:ind w:left="1178" w:right="868" w:hanging="3"/>
      </w:pPr>
      <w:r>
        <w:drawing>
          <wp:inline distT="0" distB="0" distL="0" distR="0">
            <wp:extent cx="204203" cy="99059"/>
            <wp:effectExtent l="0" t="0" r="0" b="0"/>
            <wp:docPr id="47"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21.png"/>
                    <pic:cNvPicPr/>
                  </pic:nvPicPr>
                  <pic:blipFill>
                    <a:blip xmlns:r="http://schemas.openxmlformats.org/officeDocument/2006/relationships" r:embed="rId24" cstate="print"/>
                    <a:stretch>
                      <a:fillRect/>
                    </a:stretch>
                  </pic:blipFill>
                  <pic:spPr>
                    <a:xfrm>
                      <a:off x="0" y="0"/>
                      <a:ext cx="204203" cy="99059"/>
                    </a:xfrm>
                    <a:prstGeom prst="rect">
                      <a:avLst/>
                    </a:prstGeom>
                  </pic:spPr>
                </pic:pic>
              </a:graphicData>
            </a:graphic>
          </wp:inline>
        </w:drawing>
      </w:r>
      <w:r>
        <w:rPr>
          <w:rFonts w:ascii="Times New Roman" w:eastAsia="Times New Roman"/>
          <w:sz w:val="20"/>
        </w:rPr>
        <w:t xml:space="preserve">   </w:t>
      </w:r>
      <w:r>
        <w:rPr>
          <w:rFonts w:ascii="Times New Roman" w:eastAsia="Times New Roman"/>
          <w:spacing w:val="6"/>
          <w:sz w:val="20"/>
        </w:rPr>
        <w:t xml:space="preserve"> </w:t>
      </w:r>
      <w:r>
        <w:rPr>
          <w:spacing w:val="-4"/>
        </w:rPr>
        <w:t>测控一体化闸门数据应符合本文件规定的数据格式及采集要求，各类采集设备数据应接入水联网</w:t>
      </w:r>
      <w:r>
        <w:rPr>
          <w:spacing w:val="-3"/>
        </w:rPr>
        <w:t>数据采集平台，存储于水利云。</w:t>
      </w:r>
    </w:p>
    <w:p>
      <w:pPr>
        <w:pStyle w:val="BodyText"/>
        <w:spacing w:before="8" w:line="276" w:lineRule="auto"/>
        <w:ind w:left="1178" w:right="762" w:hanging="3"/>
      </w:pPr>
      <w:r>
        <w:drawing>
          <wp:anchor distT="0" distB="0" distL="0" distR="0" simplePos="0" relativeHeight="251681792" behindDoc="0" locked="0" layoutInCell="1" allowOverlap="1">
            <wp:simplePos x="0" y="0"/>
            <wp:positionH relativeFrom="page">
              <wp:posOffset>215900</wp:posOffset>
            </wp:positionH>
            <wp:positionV relativeFrom="paragraph">
              <wp:posOffset>45466</wp:posOffset>
            </wp:positionV>
            <wp:extent cx="7112000" cy="4876800"/>
            <wp:effectExtent l="0" t="0" r="0" b="0"/>
            <wp:wrapNone/>
            <wp:docPr id="4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2.png"/>
                    <pic:cNvPicPr/>
                  </pic:nvPicPr>
                  <pic:blipFill>
                    <a:blip xmlns:r="http://schemas.openxmlformats.org/officeDocument/2006/relationships" r:embed="rId5" cstate="print"/>
                    <a:stretch>
                      <a:fillRect/>
                    </a:stretch>
                  </pic:blipFill>
                  <pic:spPr>
                    <a:xfrm>
                      <a:off x="0" y="0"/>
                      <a:ext cx="7112000" cy="4876800"/>
                    </a:xfrm>
                    <a:prstGeom prst="rect">
                      <a:avLst/>
                    </a:prstGeom>
                  </pic:spPr>
                </pic:pic>
              </a:graphicData>
            </a:graphic>
          </wp:anchor>
        </w:drawing>
      </w:r>
      <w:r>
        <w:drawing>
          <wp:inline distT="0" distB="0" distL="0" distR="0">
            <wp:extent cx="199631" cy="100583"/>
            <wp:effectExtent l="0" t="0" r="0" b="0"/>
            <wp:docPr id="51"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22.png"/>
                    <pic:cNvPicPr/>
                  </pic:nvPicPr>
                  <pic:blipFill>
                    <a:blip xmlns:r="http://schemas.openxmlformats.org/officeDocument/2006/relationships" r:embed="rId25" cstate="print"/>
                    <a:stretch>
                      <a:fillRect/>
                    </a:stretch>
                  </pic:blipFill>
                  <pic:spPr>
                    <a:xfrm>
                      <a:off x="0" y="0"/>
                      <a:ext cx="199631" cy="100583"/>
                    </a:xfrm>
                    <a:prstGeom prst="rect">
                      <a:avLst/>
                    </a:prstGeom>
                  </pic:spPr>
                </pic:pic>
              </a:graphicData>
            </a:graphic>
          </wp:inline>
        </w:drawing>
      </w:r>
      <w:r>
        <w:rPr>
          <w:rFonts w:ascii="Times New Roman" w:eastAsia="Times New Roman"/>
          <w:sz w:val="20"/>
        </w:rPr>
        <w:t xml:space="preserve">   </w:t>
      </w:r>
      <w:r>
        <w:rPr>
          <w:rFonts w:ascii="Times New Roman" w:eastAsia="Times New Roman"/>
          <w:spacing w:val="13"/>
          <w:sz w:val="20"/>
        </w:rPr>
        <w:t xml:space="preserve"> </w:t>
      </w:r>
      <w:r>
        <w:rPr>
          <w:spacing w:val="-10"/>
        </w:rPr>
        <w:t xml:space="preserve">运行管理单位应为测控一体化闸门数据中心提供运行监控主机、应用集成、安全防护等基础服务； </w:t>
      </w:r>
      <w:r>
        <w:rPr>
          <w:spacing w:val="-4"/>
        </w:rPr>
        <w:t>水利云为测控一体化闸门提供云服务，运行管理单位依据本文件做好灌区测控一体化闸门数据的收集、</w:t>
      </w:r>
      <w:r>
        <w:rPr>
          <w:spacing w:val="-3"/>
        </w:rPr>
        <w:t>备份、应用、传输、共享及安全工作。</w:t>
      </w:r>
    </w:p>
    <w:p>
      <w:pPr>
        <w:pStyle w:val="BodyText"/>
        <w:spacing w:before="8" w:line="273" w:lineRule="auto"/>
        <w:ind w:left="1178" w:right="868" w:hanging="3"/>
      </w:pPr>
      <w:r>
        <w:drawing>
          <wp:inline distT="0" distB="0" distL="0" distR="0">
            <wp:extent cx="202691" cy="100583"/>
            <wp:effectExtent l="0" t="0" r="0" b="0"/>
            <wp:docPr id="5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23.png"/>
                    <pic:cNvPicPr/>
                  </pic:nvPicPr>
                  <pic:blipFill>
                    <a:blip xmlns:r="http://schemas.openxmlformats.org/officeDocument/2006/relationships" r:embed="rId26" cstate="print"/>
                    <a:stretch>
                      <a:fillRect/>
                    </a:stretch>
                  </pic:blipFill>
                  <pic:spPr>
                    <a:xfrm>
                      <a:off x="0" y="0"/>
                      <a:ext cx="202691" cy="100583"/>
                    </a:xfrm>
                    <a:prstGeom prst="rect">
                      <a:avLst/>
                    </a:prstGeom>
                  </pic:spPr>
                </pic:pic>
              </a:graphicData>
            </a:graphic>
          </wp:inline>
        </w:drawing>
      </w:r>
      <w:r>
        <w:rPr>
          <w:rFonts w:ascii="Times New Roman" w:eastAsia="Times New Roman"/>
          <w:sz w:val="20"/>
        </w:rPr>
        <w:t xml:space="preserve">   </w:t>
      </w:r>
      <w:r>
        <w:rPr>
          <w:rFonts w:ascii="Times New Roman" w:eastAsia="Times New Roman"/>
          <w:spacing w:val="8"/>
          <w:sz w:val="20"/>
        </w:rPr>
        <w:t xml:space="preserve"> </w:t>
      </w:r>
      <w:r>
        <w:t>新建</w:t>
      </w:r>
      <w:r>
        <w:rPr>
          <w:spacing w:val="-3"/>
        </w:rPr>
        <w:t>（</w:t>
      </w:r>
      <w:r>
        <w:rPr>
          <w:spacing w:val="-1"/>
        </w:rPr>
        <w:t>改扩建</w:t>
      </w:r>
      <w:r>
        <w:t>）</w:t>
      </w:r>
      <w:r>
        <w:rPr>
          <w:spacing w:val="-4"/>
        </w:rPr>
        <w:t>的测控一体化闸门控制系统，应采用具备远程数据采集、实时监测、在线升级、</w:t>
      </w:r>
      <w:r>
        <w:rPr>
          <w:spacing w:val="-3"/>
        </w:rPr>
        <w:t>边缘分析等功能的云边端融合技术。</w:t>
      </w:r>
    </w:p>
    <w:p>
      <w:pPr>
        <w:pStyle w:val="BodyText"/>
        <w:spacing w:before="8"/>
        <w:ind w:left="1175"/>
      </w:pPr>
      <w:r>
        <w:drawing>
          <wp:inline distT="0" distB="0" distL="0" distR="0">
            <wp:extent cx="201167" cy="99059"/>
            <wp:effectExtent l="0" t="0" r="0" b="0"/>
            <wp:docPr id="55"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24.png"/>
                    <pic:cNvPicPr/>
                  </pic:nvPicPr>
                  <pic:blipFill>
                    <a:blip xmlns:r="http://schemas.openxmlformats.org/officeDocument/2006/relationships" r:embed="rId27" cstate="print"/>
                    <a:stretch>
                      <a:fillRect/>
                    </a:stretch>
                  </pic:blipFill>
                  <pic:spPr>
                    <a:xfrm>
                      <a:off x="0" y="0"/>
                      <a:ext cx="201167" cy="99059"/>
                    </a:xfrm>
                    <a:prstGeom prst="rect">
                      <a:avLst/>
                    </a:prstGeom>
                  </pic:spPr>
                </pic:pic>
              </a:graphicData>
            </a:graphic>
          </wp:inline>
        </w:drawing>
      </w:r>
      <w:r>
        <w:rPr>
          <w:rFonts w:ascii="Times New Roman" w:eastAsia="Times New Roman"/>
          <w:sz w:val="20"/>
        </w:rPr>
        <w:t xml:space="preserve">   </w:t>
      </w:r>
      <w:r>
        <w:rPr>
          <w:rFonts w:ascii="Times New Roman" w:eastAsia="Times New Roman"/>
          <w:spacing w:val="11"/>
          <w:sz w:val="20"/>
        </w:rPr>
        <w:t xml:space="preserve"> </w:t>
      </w:r>
      <w:r>
        <w:rPr>
          <w:spacing w:val="-3"/>
        </w:rPr>
        <w:t>应采取可靠的网络安全措施保障设备及应用系统的网络安全。</w:t>
      </w:r>
    </w:p>
    <w:p>
      <w:pPr>
        <w:pStyle w:val="BodyText"/>
        <w:spacing w:before="6"/>
        <w:rPr>
          <w:sz w:val="27"/>
        </w:rPr>
      </w:pPr>
    </w:p>
    <w:p>
      <w:pPr>
        <w:pStyle w:val="ListParagraph"/>
        <w:numPr>
          <w:ilvl w:val="1"/>
          <w:numId w:val="41"/>
        </w:numPr>
        <w:tabs>
          <w:tab w:val="left" w:pos="1635"/>
        </w:tabs>
        <w:spacing w:before="0" w:after="0" w:line="240" w:lineRule="auto"/>
        <w:ind w:left="1634" w:right="0" w:hanging="316"/>
        <w:jc w:val="left"/>
        <w:rPr>
          <w:rFonts w:ascii="黑体" w:eastAsia="黑体" w:hint="eastAsia"/>
          <w:sz w:val="21"/>
        </w:rPr>
      </w:pPr>
      <w:bookmarkStart w:id="5" w:name="5　 选型及设计"/>
      <w:bookmarkEnd w:id="5"/>
      <w:r>
        <w:rPr>
          <w:rFonts w:ascii="黑体" w:eastAsia="黑体" w:hint="eastAsia"/>
          <w:spacing w:val="-1"/>
          <w:sz w:val="21"/>
        </w:rPr>
        <w:t>选型及设计</w:t>
      </w:r>
    </w:p>
    <w:p>
      <w:pPr>
        <w:pStyle w:val="BodyText"/>
        <w:spacing w:before="2"/>
        <w:rPr>
          <w:rFonts w:ascii="黑体"/>
          <w:sz w:val="22"/>
        </w:rPr>
      </w:pPr>
    </w:p>
    <w:p>
      <w:pPr>
        <w:spacing w:before="76"/>
        <w:ind w:left="1175" w:right="0" w:firstLine="0"/>
        <w:jc w:val="left"/>
        <w:rPr>
          <w:sz w:val="21"/>
        </w:rPr>
      </w:pPr>
      <w:r>
        <w:drawing>
          <wp:inline distT="0" distB="0" distL="0" distR="0">
            <wp:extent cx="179831" cy="100583"/>
            <wp:effectExtent l="0" t="0" r="0" b="0"/>
            <wp:docPr id="57"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25.png"/>
                    <pic:cNvPicPr/>
                  </pic:nvPicPr>
                  <pic:blipFill>
                    <a:blip xmlns:r="http://schemas.openxmlformats.org/officeDocument/2006/relationships" r:embed="rId28" cstate="print"/>
                    <a:stretch>
                      <a:fillRect/>
                    </a:stretch>
                  </pic:blipFill>
                  <pic:spPr>
                    <a:xfrm>
                      <a:off x="0" y="0"/>
                      <a:ext cx="179831" cy="100583"/>
                    </a:xfrm>
                    <a:prstGeom prst="rect">
                      <a:avLst/>
                    </a:prstGeom>
                  </pic:spPr>
                </pic:pic>
              </a:graphicData>
            </a:graphic>
          </wp:inline>
        </w:drawing>
      </w:r>
      <w:r>
        <w:rPr>
          <w:rFonts w:ascii="Times New Roman" w:eastAsia="Times New Roman"/>
          <w:sz w:val="20"/>
        </w:rPr>
        <w:t xml:space="preserve">    </w:t>
      </w:r>
      <w:r>
        <w:rPr>
          <w:rFonts w:ascii="Times New Roman" w:eastAsia="Times New Roman"/>
          <w:spacing w:val="-6"/>
          <w:sz w:val="20"/>
        </w:rPr>
        <w:t xml:space="preserve"> </w:t>
      </w:r>
      <w:r>
        <w:rPr>
          <w:spacing w:val="-3"/>
          <w:sz w:val="21"/>
        </w:rPr>
        <w:t>测控一体化闸门规划布局应遵循以下原则：</w:t>
      </w:r>
    </w:p>
    <w:p>
      <w:pPr>
        <w:pStyle w:val="ListParagraph"/>
        <w:numPr>
          <w:ilvl w:val="2"/>
          <w:numId w:val="41"/>
        </w:numPr>
        <w:tabs>
          <w:tab w:val="left" w:pos="2031"/>
        </w:tabs>
        <w:spacing w:before="38" w:after="0" w:line="240" w:lineRule="auto"/>
        <w:ind w:left="2030" w:right="0" w:hanging="428"/>
        <w:jc w:val="left"/>
        <w:rPr>
          <w:sz w:val="21"/>
        </w:rPr>
      </w:pPr>
      <w:r>
        <w:rPr>
          <w:spacing w:val="-3"/>
          <w:sz w:val="21"/>
        </w:rPr>
        <w:t>应坚持系统思维，保证灌区上下游量测控设施选型和计量精度的一致性；</w:t>
      </w:r>
    </w:p>
    <w:p>
      <w:pPr>
        <w:pStyle w:val="ListParagraph"/>
        <w:numPr>
          <w:ilvl w:val="2"/>
          <w:numId w:val="41"/>
        </w:numPr>
        <w:tabs>
          <w:tab w:val="left" w:pos="2031"/>
        </w:tabs>
        <w:spacing w:before="43" w:after="0" w:line="278" w:lineRule="auto"/>
        <w:ind w:left="2030" w:right="868" w:hanging="428"/>
        <w:jc w:val="left"/>
        <w:rPr>
          <w:sz w:val="21"/>
        </w:rPr>
      </w:pPr>
      <w:r>
        <w:rPr>
          <w:spacing w:val="-11"/>
          <w:sz w:val="21"/>
        </w:rPr>
        <w:t>应与国家、自治区有关水利、节水、区域农业发展规划相协调，遵循灌溉需求，逐步缩小监测单元；</w:t>
      </w:r>
    </w:p>
    <w:p>
      <w:pPr>
        <w:pStyle w:val="ListParagraph"/>
        <w:numPr>
          <w:ilvl w:val="2"/>
          <w:numId w:val="41"/>
        </w:numPr>
        <w:tabs>
          <w:tab w:val="left" w:pos="2031"/>
        </w:tabs>
        <w:spacing w:before="0" w:after="0" w:line="269" w:lineRule="exact"/>
        <w:ind w:left="2030" w:right="0" w:hanging="428"/>
        <w:jc w:val="left"/>
        <w:rPr>
          <w:sz w:val="21"/>
        </w:rPr>
      </w:pPr>
      <w:r>
        <w:rPr>
          <w:spacing w:val="-3"/>
          <w:sz w:val="21"/>
        </w:rPr>
        <w:t>应充分考虑渠道进水口工况条件、水流条件等，一般应水流平顺、断面规则、渠基稳固；</w:t>
      </w:r>
    </w:p>
    <w:p>
      <w:pPr>
        <w:pStyle w:val="ListParagraph"/>
        <w:numPr>
          <w:ilvl w:val="2"/>
          <w:numId w:val="41"/>
        </w:numPr>
        <w:tabs>
          <w:tab w:val="left" w:pos="2031"/>
        </w:tabs>
        <w:spacing w:before="43" w:after="0" w:line="278" w:lineRule="auto"/>
        <w:ind w:left="2030" w:right="763" w:hanging="428"/>
        <w:jc w:val="left"/>
        <w:rPr>
          <w:sz w:val="21"/>
        </w:rPr>
      </w:pPr>
      <w:r>
        <w:rPr>
          <w:spacing w:val="-13"/>
          <w:sz w:val="21"/>
        </w:rPr>
        <w:t xml:space="preserve">应综合灌区工程运行管理水平、用户经济承受能力等因素，合理选择测控模式，做到经济合理， </w:t>
      </w:r>
      <w:r>
        <w:rPr>
          <w:spacing w:val="-1"/>
          <w:sz w:val="21"/>
        </w:rPr>
        <w:t>运行可靠。</w:t>
      </w:r>
    </w:p>
    <w:p>
      <w:pPr>
        <w:pStyle w:val="BodyText"/>
        <w:spacing w:before="5"/>
        <w:ind w:left="1175"/>
      </w:pPr>
      <w:r>
        <w:drawing>
          <wp:inline distT="0" distB="0" distL="0" distR="0">
            <wp:extent cx="198119" cy="100583"/>
            <wp:effectExtent l="0" t="0" r="0" b="0"/>
            <wp:docPr id="59"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26.png"/>
                    <pic:cNvPicPr/>
                  </pic:nvPicPr>
                  <pic:blipFill>
                    <a:blip xmlns:r="http://schemas.openxmlformats.org/officeDocument/2006/relationships" r:embed="rId29" cstate="print"/>
                    <a:stretch>
                      <a:fillRect/>
                    </a:stretch>
                  </pic:blipFill>
                  <pic:spPr>
                    <a:xfrm>
                      <a:off x="0" y="0"/>
                      <a:ext cx="198119" cy="100583"/>
                    </a:xfrm>
                    <a:prstGeom prst="rect">
                      <a:avLst/>
                    </a:prstGeom>
                  </pic:spPr>
                </pic:pic>
              </a:graphicData>
            </a:graphic>
          </wp:inline>
        </w:drawing>
      </w:r>
      <w:r>
        <w:rPr>
          <w:rFonts w:ascii="Times New Roman" w:eastAsia="Times New Roman"/>
          <w:sz w:val="20"/>
        </w:rPr>
        <w:t xml:space="preserve">   </w:t>
      </w:r>
      <w:r>
        <w:rPr>
          <w:rFonts w:ascii="Times New Roman" w:eastAsia="Times New Roman"/>
          <w:spacing w:val="16"/>
          <w:sz w:val="20"/>
        </w:rPr>
        <w:t xml:space="preserve"> </w:t>
      </w:r>
      <w:r>
        <w:rPr>
          <w:spacing w:val="-3"/>
        </w:rPr>
        <w:t>测控一体化闸门选型设计应遵循以下原则：</w:t>
      </w:r>
    </w:p>
    <w:p>
      <w:pPr>
        <w:pStyle w:val="ListParagraph"/>
        <w:numPr>
          <w:ilvl w:val="0"/>
          <w:numId w:val="40"/>
        </w:numPr>
        <w:tabs>
          <w:tab w:val="left" w:pos="2031"/>
        </w:tabs>
        <w:spacing w:before="38" w:after="0" w:line="278" w:lineRule="auto"/>
        <w:ind w:left="2030" w:right="868" w:hanging="428"/>
        <w:jc w:val="left"/>
        <w:rPr>
          <w:sz w:val="21"/>
        </w:rPr>
      </w:pPr>
      <w:r>
        <w:rPr>
          <w:spacing w:val="-8"/>
          <w:sz w:val="21"/>
        </w:rPr>
        <w:t>测控一体化闸门应满足灌区正常灌溉、调度及灌区管理要求，便于正常维修管理；其测量精度</w:t>
      </w:r>
      <w:r>
        <w:rPr>
          <w:spacing w:val="-5"/>
          <w:sz w:val="21"/>
        </w:rPr>
        <w:t>应满足灌区量测水要求；其安全性、稳定性应满足现有灌区闸门规范要求；</w:t>
      </w:r>
    </w:p>
    <w:p>
      <w:pPr>
        <w:pStyle w:val="ListParagraph"/>
        <w:numPr>
          <w:ilvl w:val="0"/>
          <w:numId w:val="40"/>
        </w:numPr>
        <w:tabs>
          <w:tab w:val="left" w:pos="2031"/>
        </w:tabs>
        <w:spacing w:before="0" w:after="0" w:line="278" w:lineRule="auto"/>
        <w:ind w:left="2030" w:right="868" w:hanging="428"/>
        <w:jc w:val="left"/>
        <w:rPr>
          <w:sz w:val="21"/>
        </w:rPr>
      </w:pPr>
      <w:r>
        <w:rPr>
          <w:spacing w:val="-11"/>
          <w:sz w:val="21"/>
        </w:rPr>
        <w:t>选型应采用先进、成熟、经济适用的技术和设备；优先保证设备的控制可靠性、信号传输安全</w:t>
      </w:r>
      <w:r>
        <w:rPr>
          <w:spacing w:val="-6"/>
          <w:sz w:val="21"/>
        </w:rPr>
        <w:t>性和抗干扰性、测流的稳定性；</w:t>
      </w:r>
    </w:p>
    <w:p>
      <w:pPr>
        <w:pStyle w:val="ListParagraph"/>
        <w:numPr>
          <w:ilvl w:val="0"/>
          <w:numId w:val="40"/>
        </w:numPr>
        <w:tabs>
          <w:tab w:val="left" w:pos="2031"/>
        </w:tabs>
        <w:spacing w:before="0" w:after="0" w:line="278" w:lineRule="auto"/>
        <w:ind w:left="2030" w:right="870" w:hanging="428"/>
        <w:jc w:val="left"/>
        <w:rPr>
          <w:sz w:val="21"/>
        </w:rPr>
      </w:pPr>
      <w:r>
        <w:rPr>
          <w:spacing w:val="-1"/>
          <w:sz w:val="21"/>
        </w:rPr>
        <w:t>对有防洪要求或受防洪影响的测控一体化闸门，应合理确定建筑物防洪标准并考虑设备满足</w:t>
      </w:r>
      <w:r>
        <w:rPr>
          <w:spacing w:val="-3"/>
          <w:sz w:val="21"/>
        </w:rPr>
        <w:t>排洪流量要求；</w:t>
      </w:r>
    </w:p>
    <w:p>
      <w:pPr>
        <w:spacing w:after="0" w:line="278" w:lineRule="auto"/>
        <w:jc w:val="left"/>
        <w:rPr>
          <w:sz w:val="21"/>
        </w:rPr>
        <w:sectPr>
          <w:pgSz w:w="11910" w:h="16840"/>
          <w:pgMar w:top="1580" w:right="260" w:bottom="280" w:left="240" w:header="708" w:footer="708"/>
          <w:pgNumType w:start="7"/>
          <w:cols w:space="708"/>
        </w:sectPr>
      </w:pPr>
    </w:p>
    <w:p>
      <w:pPr>
        <w:pStyle w:val="BodyText"/>
        <w:spacing w:before="11"/>
      </w:pPr>
    </w:p>
    <w:p>
      <w:pPr>
        <w:pStyle w:val="ListParagraph"/>
        <w:numPr>
          <w:ilvl w:val="0"/>
          <w:numId w:val="40"/>
        </w:numPr>
        <w:tabs>
          <w:tab w:val="left" w:pos="1745"/>
        </w:tabs>
        <w:spacing w:before="71" w:after="0" w:line="278" w:lineRule="auto"/>
        <w:ind w:left="1745" w:right="1155" w:hanging="428"/>
        <w:jc w:val="both"/>
        <w:rPr>
          <w:sz w:val="21"/>
        </w:rPr>
      </w:pPr>
      <w:r>
        <w:rPr>
          <w:spacing w:val="-9"/>
          <w:sz w:val="21"/>
        </w:rPr>
        <w:t>闸门设计流量应根据控制面积、灌溉定额、灌溉制度等进行计算，参照控制渠道近三年实际运</w:t>
      </w:r>
      <w:r>
        <w:rPr>
          <w:spacing w:val="-3"/>
          <w:sz w:val="21"/>
        </w:rPr>
        <w:t>行流量确定，并按闸后渠道的过流能力校核；</w:t>
      </w:r>
    </w:p>
    <w:p>
      <w:pPr>
        <w:pStyle w:val="ListParagraph"/>
        <w:numPr>
          <w:ilvl w:val="0"/>
          <w:numId w:val="40"/>
        </w:numPr>
        <w:tabs>
          <w:tab w:val="left" w:pos="1746"/>
        </w:tabs>
        <w:spacing w:before="0" w:after="0" w:line="278" w:lineRule="auto"/>
        <w:ind w:left="1745" w:right="1153" w:hanging="428"/>
        <w:jc w:val="both"/>
        <w:rPr>
          <w:sz w:val="21"/>
        </w:rPr>
      </w:pPr>
      <w:r>
        <w:rPr>
          <w:spacing w:val="-3"/>
          <w:sz w:val="21"/>
        </w:rPr>
        <w:t>渠道直开口、分水口优先选择整体式测控一体化闸门；闸门尺寸＞</w:t>
      </w:r>
      <w:r>
        <w:rPr>
          <w:sz w:val="21"/>
        </w:rPr>
        <w:t>1.2m</w:t>
      </w:r>
      <w:r>
        <w:rPr>
          <w:spacing w:val="-1"/>
          <w:sz w:val="21"/>
        </w:rPr>
        <w:t xml:space="preserve"> 时，从经济性考虑不</w:t>
      </w:r>
      <w:r>
        <w:rPr>
          <w:spacing w:val="-3"/>
          <w:sz w:val="21"/>
        </w:rPr>
        <w:t>宜选用箱涵式测控一体化闸门；渠道分水口、直开口≤</w:t>
      </w:r>
      <w:r>
        <w:rPr>
          <w:sz w:val="21"/>
        </w:rPr>
        <w:t>400mm</w:t>
      </w:r>
      <w:r>
        <w:rPr>
          <w:spacing w:val="-3"/>
          <w:sz w:val="21"/>
        </w:rPr>
        <w:t>，如有测流需求，从经济性考虑宜选用管涵式测控一体化闸门；</w:t>
      </w:r>
    </w:p>
    <w:p>
      <w:pPr>
        <w:pStyle w:val="ListParagraph"/>
        <w:numPr>
          <w:ilvl w:val="0"/>
          <w:numId w:val="40"/>
        </w:numPr>
        <w:tabs>
          <w:tab w:val="left" w:pos="1746"/>
        </w:tabs>
        <w:spacing w:before="0" w:after="0" w:line="269" w:lineRule="exact"/>
        <w:ind w:left="1745" w:right="0" w:hanging="428"/>
        <w:jc w:val="both"/>
        <w:rPr>
          <w:sz w:val="21"/>
        </w:rPr>
      </w:pPr>
      <w:r>
        <w:rPr>
          <w:spacing w:val="-17"/>
          <w:sz w:val="21"/>
        </w:rPr>
        <w:t>节制闸、分水闸起到调节上下游水位，并需要进行水量计量的，宜选用堰槽式测控一体化闸门；</w:t>
      </w:r>
    </w:p>
    <w:p>
      <w:pPr>
        <w:pStyle w:val="ListParagraph"/>
        <w:numPr>
          <w:ilvl w:val="0"/>
          <w:numId w:val="40"/>
        </w:numPr>
        <w:tabs>
          <w:tab w:val="left" w:pos="1746"/>
        </w:tabs>
        <w:spacing w:before="43" w:after="0" w:line="278" w:lineRule="auto"/>
        <w:ind w:left="1745" w:right="1154" w:hanging="428"/>
        <w:jc w:val="both"/>
        <w:rPr>
          <w:sz w:val="21"/>
        </w:rPr>
      </w:pPr>
      <w:r>
        <w:rPr>
          <w:spacing w:val="-8"/>
          <w:sz w:val="21"/>
        </w:rPr>
        <w:t>支斗渠分水口及闸门设备完好的控制性水闸改造，可采用前控后测集成模式，安装后置测箱时</w:t>
      </w:r>
      <w:r>
        <w:rPr>
          <w:spacing w:val="-3"/>
          <w:sz w:val="21"/>
        </w:rPr>
        <w:t>应合理计算局部水头损失，收缩比不宜</w:t>
      </w:r>
      <w:r>
        <w:rPr>
          <w:sz w:val="21"/>
        </w:rPr>
        <w:t>＜0.8，</w:t>
      </w:r>
      <w:r>
        <w:rPr>
          <w:spacing w:val="-3"/>
          <w:sz w:val="21"/>
        </w:rPr>
        <w:t>闸后渠道流量较大情况，不宜采用测箱的，可选用雷达流量计等测流设备；</w:t>
      </w:r>
    </w:p>
    <w:p>
      <w:pPr>
        <w:pStyle w:val="ListParagraph"/>
        <w:numPr>
          <w:ilvl w:val="0"/>
          <w:numId w:val="40"/>
        </w:numPr>
        <w:tabs>
          <w:tab w:val="left" w:pos="1746"/>
        </w:tabs>
        <w:spacing w:before="0" w:after="0" w:line="278" w:lineRule="auto"/>
        <w:ind w:left="1745" w:right="1153" w:hanging="428"/>
        <w:jc w:val="both"/>
        <w:rPr>
          <w:sz w:val="21"/>
        </w:rPr>
      </w:pPr>
      <w:r>
        <w:rPr>
          <w:spacing w:val="-11"/>
          <w:sz w:val="21"/>
        </w:rPr>
        <w:t>最小计量单元以下新建、改建或没有测流需求的渠道，如有需要，可安装自动控制闸门或改造</w:t>
      </w:r>
      <w:r>
        <w:rPr>
          <w:spacing w:val="-6"/>
          <w:sz w:val="21"/>
        </w:rPr>
        <w:t>原有闸门实现控制功能；</w:t>
      </w:r>
    </w:p>
    <w:p>
      <w:pPr>
        <w:pStyle w:val="ListParagraph"/>
        <w:numPr>
          <w:ilvl w:val="0"/>
          <w:numId w:val="40"/>
        </w:numPr>
        <w:tabs>
          <w:tab w:val="left" w:pos="1746"/>
        </w:tabs>
        <w:spacing w:before="0" w:after="0" w:line="269" w:lineRule="exact"/>
        <w:ind w:left="1745" w:right="0" w:hanging="428"/>
        <w:jc w:val="both"/>
        <w:rPr>
          <w:sz w:val="21"/>
        </w:rPr>
      </w:pPr>
      <w:r>
        <w:rPr>
          <w:spacing w:val="-3"/>
          <w:sz w:val="21"/>
        </w:rPr>
        <w:t>渠道分水口淤积严重、水流紊乱、年运行次数较少等情况下，宜采用前控后测集成模式；</w:t>
      </w:r>
    </w:p>
    <w:p>
      <w:pPr>
        <w:pStyle w:val="ListParagraph"/>
        <w:numPr>
          <w:ilvl w:val="0"/>
          <w:numId w:val="40"/>
        </w:numPr>
        <w:tabs>
          <w:tab w:val="left" w:pos="1746"/>
        </w:tabs>
        <w:spacing w:before="42" w:after="0" w:line="283" w:lineRule="auto"/>
        <w:ind w:left="890" w:right="1463" w:firstLine="427"/>
        <w:jc w:val="both"/>
        <w:rPr>
          <w:sz w:val="21"/>
        </w:rPr>
      </w:pPr>
      <w:r>
        <w:rPr>
          <w:spacing w:val="-3"/>
          <w:sz w:val="21"/>
        </w:rPr>
        <w:t>渠道分水口测控一体化闸门门框离渠顶的高度在满足检修维护要求的基础上应相对统一。</w:t>
      </w:r>
      <w:r>
        <w:rPr>
          <w:spacing w:val="-3"/>
          <w:sz w:val="21"/>
        </w:rPr>
        <w:drawing>
          <wp:inline distT="0" distB="0" distL="0" distR="0">
            <wp:extent cx="198119" cy="100583"/>
            <wp:effectExtent l="0" t="0" r="0" b="0"/>
            <wp:docPr id="6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27.png"/>
                    <pic:cNvPicPr/>
                  </pic:nvPicPr>
                  <pic:blipFill>
                    <a:blip xmlns:r="http://schemas.openxmlformats.org/officeDocument/2006/relationships" r:embed="rId30" cstate="print"/>
                    <a:stretch>
                      <a:fillRect/>
                    </a:stretch>
                  </pic:blipFill>
                  <pic:spPr>
                    <a:xfrm>
                      <a:off x="0" y="0"/>
                      <a:ext cx="198119" cy="100583"/>
                    </a:xfrm>
                    <a:prstGeom prst="rect">
                      <a:avLst/>
                    </a:prstGeom>
                  </pic:spPr>
                </pic:pic>
              </a:graphicData>
            </a:graphic>
          </wp:inline>
        </w:drawing>
      </w:r>
      <w:r>
        <w:rPr>
          <w:spacing w:val="-3"/>
          <w:sz w:val="21"/>
        </w:rPr>
        <w:t>水工建筑物设计应满足以下要求：</w:t>
      </w:r>
    </w:p>
    <w:p>
      <w:pPr>
        <w:pStyle w:val="ListParagraph"/>
        <w:numPr>
          <w:ilvl w:val="0"/>
          <w:numId w:val="39"/>
        </w:numPr>
        <w:tabs>
          <w:tab w:val="left" w:pos="1745"/>
        </w:tabs>
        <w:spacing w:before="0" w:after="0" w:line="278" w:lineRule="auto"/>
        <w:ind w:left="1744" w:right="1153" w:hanging="428"/>
        <w:jc w:val="both"/>
        <w:rPr>
          <w:sz w:val="21"/>
        </w:rPr>
      </w:pPr>
      <w:r>
        <w:rPr>
          <w:spacing w:val="-10"/>
          <w:sz w:val="21"/>
        </w:rPr>
        <w:t>新建、改建闸门水工建筑物应具备较好的水力条件，避免进水口泥沙、杂物淤积，有利于测控</w:t>
      </w:r>
      <w:r>
        <w:rPr>
          <w:spacing w:val="-5"/>
          <w:sz w:val="21"/>
        </w:rPr>
        <w:t>一体化闸门安装及使用；</w:t>
      </w:r>
    </w:p>
    <w:p>
      <w:pPr>
        <w:pStyle w:val="ListParagraph"/>
        <w:numPr>
          <w:ilvl w:val="0"/>
          <w:numId w:val="39"/>
        </w:numPr>
        <w:tabs>
          <w:tab w:val="left" w:pos="1745"/>
        </w:tabs>
        <w:spacing w:before="0" w:after="0" w:line="278" w:lineRule="auto"/>
        <w:ind w:left="1744" w:right="1153" w:hanging="428"/>
        <w:jc w:val="both"/>
        <w:rPr>
          <w:sz w:val="21"/>
        </w:rPr>
      </w:pPr>
      <w:r>
        <w:rPr>
          <w:spacing w:val="-8"/>
          <w:sz w:val="21"/>
        </w:rPr>
        <w:t xml:space="preserve">闸门建筑物进口翼墙在干渠处宜采用锥形墙，在田间宜采用八字墙，并保证进水口水流对称； </w:t>
      </w:r>
      <w:r>
        <w:rPr>
          <w:spacing w:val="-10"/>
          <w:sz w:val="21"/>
        </w:rPr>
        <w:t>测控一体化闸门安装胸墙应尽量前移，以减少测箱两侧淤积，同时避免影响渠道正常行水和过</w:t>
      </w:r>
      <w:r>
        <w:rPr>
          <w:spacing w:val="-8"/>
          <w:sz w:val="21"/>
        </w:rPr>
        <w:t xml:space="preserve">流；有条件的，可结合 </w:t>
      </w:r>
      <w:r>
        <w:rPr>
          <w:sz w:val="21"/>
        </w:rPr>
        <w:t>BIM</w:t>
      </w:r>
      <w:r>
        <w:rPr>
          <w:spacing w:val="-9"/>
          <w:sz w:val="21"/>
        </w:rPr>
        <w:t xml:space="preserve"> 模型进行流态分析，优化进水口结构型式；</w:t>
      </w:r>
    </w:p>
    <w:p>
      <w:pPr>
        <w:pStyle w:val="ListParagraph"/>
        <w:numPr>
          <w:ilvl w:val="0"/>
          <w:numId w:val="39"/>
        </w:numPr>
        <w:tabs>
          <w:tab w:val="left" w:pos="1746"/>
        </w:tabs>
        <w:spacing w:before="0" w:after="0" w:line="278" w:lineRule="auto"/>
        <w:ind w:left="1745" w:right="1153" w:hanging="428"/>
        <w:jc w:val="both"/>
        <w:rPr>
          <w:sz w:val="21"/>
        </w:rPr>
      </w:pPr>
      <w:r>
        <w:drawing>
          <wp:anchor distT="0" distB="0" distL="0" distR="0" simplePos="0" relativeHeight="251682816" behindDoc="0" locked="0" layoutInCell="1" allowOverlap="1">
            <wp:simplePos x="0" y="0"/>
            <wp:positionH relativeFrom="page">
              <wp:posOffset>215900</wp:posOffset>
            </wp:positionH>
            <wp:positionV relativeFrom="paragraph">
              <wp:posOffset>241773</wp:posOffset>
            </wp:positionV>
            <wp:extent cx="7112000" cy="4876800"/>
            <wp:effectExtent l="0" t="0" r="0" b="0"/>
            <wp:wrapNone/>
            <wp:docPr id="6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2.png"/>
                    <pic:cNvPicPr/>
                  </pic:nvPicPr>
                  <pic:blipFill>
                    <a:blip xmlns:r="http://schemas.openxmlformats.org/officeDocument/2006/relationships" r:embed="rId5" cstate="print"/>
                    <a:stretch>
                      <a:fillRect/>
                    </a:stretch>
                  </pic:blipFill>
                  <pic:spPr>
                    <a:xfrm>
                      <a:off x="0" y="0"/>
                      <a:ext cx="7112000" cy="4876800"/>
                    </a:xfrm>
                    <a:prstGeom prst="rect">
                      <a:avLst/>
                    </a:prstGeom>
                  </pic:spPr>
                </pic:pic>
              </a:graphicData>
            </a:graphic>
          </wp:anchor>
        </w:drawing>
      </w:r>
      <w:r>
        <w:rPr>
          <w:spacing w:val="-10"/>
          <w:sz w:val="21"/>
        </w:rPr>
        <w:t>安装测控一体化闸门时，渠道出水涵洞尺寸不宜小于测箱口径尺寸，必要时在闸后建设一定长</w:t>
      </w:r>
      <w:r>
        <w:rPr>
          <w:spacing w:val="-5"/>
          <w:sz w:val="21"/>
        </w:rPr>
        <w:t>度的顺直段，避免闸后尺寸骤变及出水回流；</w:t>
      </w:r>
    </w:p>
    <w:p>
      <w:pPr>
        <w:pStyle w:val="ListParagraph"/>
        <w:numPr>
          <w:ilvl w:val="0"/>
          <w:numId w:val="39"/>
        </w:numPr>
        <w:tabs>
          <w:tab w:val="left" w:pos="1746"/>
        </w:tabs>
        <w:spacing w:before="0" w:after="0" w:line="283" w:lineRule="auto"/>
        <w:ind w:left="890" w:right="1050" w:firstLine="427"/>
        <w:jc w:val="both"/>
        <w:rPr>
          <w:sz w:val="21"/>
        </w:rPr>
      </w:pPr>
      <w:r>
        <w:rPr>
          <w:spacing w:val="-4"/>
          <w:sz w:val="21"/>
        </w:rPr>
        <w:t xml:space="preserve">前控后测集成模式中测流装置应安装在稳流段，测流装置及稳流段符合 </w:t>
      </w:r>
      <w:r>
        <w:rPr>
          <w:sz w:val="21"/>
        </w:rPr>
        <w:t>GB/T</w:t>
      </w:r>
      <w:r>
        <w:rPr>
          <w:spacing w:val="72"/>
          <w:sz w:val="21"/>
        </w:rPr>
        <w:t xml:space="preserve"> </w:t>
      </w:r>
      <w:r>
        <w:rPr>
          <w:sz w:val="21"/>
        </w:rPr>
        <w:t>21303</w:t>
      </w:r>
      <w:r>
        <w:rPr>
          <w:spacing w:val="-7"/>
          <w:sz w:val="21"/>
        </w:rPr>
        <w:t xml:space="preserve"> 的规定。</w:t>
      </w:r>
      <w:r>
        <w:rPr>
          <w:spacing w:val="-7"/>
          <w:w w:val="100"/>
          <w:sz w:val="21"/>
        </w:rPr>
        <w:t xml:space="preserve"> </w:t>
      </w:r>
      <w:r>
        <w:rPr>
          <w:spacing w:val="-7"/>
          <w:w w:val="100"/>
          <w:sz w:val="21"/>
        </w:rPr>
        <w:drawing>
          <wp:inline distT="0" distB="0" distL="0" distR="0">
            <wp:extent cx="204215" cy="100583"/>
            <wp:effectExtent l="0" t="0" r="0" b="0"/>
            <wp:docPr id="6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28.png"/>
                    <pic:cNvPicPr/>
                  </pic:nvPicPr>
                  <pic:blipFill>
                    <a:blip xmlns:r="http://schemas.openxmlformats.org/officeDocument/2006/relationships" r:embed="rId31" cstate="print"/>
                    <a:stretch>
                      <a:fillRect/>
                    </a:stretch>
                  </pic:blipFill>
                  <pic:spPr>
                    <a:xfrm>
                      <a:off x="0" y="0"/>
                      <a:ext cx="204215" cy="100583"/>
                    </a:xfrm>
                    <a:prstGeom prst="rect">
                      <a:avLst/>
                    </a:prstGeom>
                  </pic:spPr>
                </pic:pic>
              </a:graphicData>
            </a:graphic>
          </wp:inline>
        </w:drawing>
      </w:r>
      <w:r>
        <w:rPr>
          <w:rFonts w:ascii="Times New Roman" w:eastAsia="Times New Roman"/>
          <w:spacing w:val="-7"/>
          <w:w w:val="100"/>
          <w:sz w:val="21"/>
        </w:rPr>
        <w:t xml:space="preserve">   </w:t>
      </w:r>
      <w:r>
        <w:rPr>
          <w:rFonts w:ascii="Times New Roman" w:eastAsia="Times New Roman"/>
          <w:spacing w:val="7"/>
          <w:w w:val="100"/>
          <w:sz w:val="21"/>
        </w:rPr>
        <w:t xml:space="preserve"> </w:t>
      </w:r>
      <w:r>
        <w:rPr>
          <w:spacing w:val="-3"/>
          <w:sz w:val="21"/>
        </w:rPr>
        <w:t>附属设施设置应满足以下要求：</w:t>
      </w:r>
    </w:p>
    <w:p>
      <w:pPr>
        <w:pStyle w:val="ListParagraph"/>
        <w:numPr>
          <w:ilvl w:val="0"/>
          <w:numId w:val="38"/>
        </w:numPr>
        <w:tabs>
          <w:tab w:val="left" w:pos="1745"/>
        </w:tabs>
        <w:spacing w:before="0" w:after="0" w:line="278" w:lineRule="auto"/>
        <w:ind w:left="1744" w:right="1153" w:hanging="428"/>
        <w:jc w:val="left"/>
        <w:rPr>
          <w:sz w:val="21"/>
        </w:rPr>
      </w:pPr>
      <w:r>
        <w:rPr>
          <w:spacing w:val="-9"/>
          <w:sz w:val="21"/>
        </w:rPr>
        <w:t>应设置控制检修平台，平台结构型式及尺寸根据现场渠堤宽度、安装要求、检修要求、运行维</w:t>
      </w:r>
      <w:r>
        <w:rPr>
          <w:spacing w:val="-5"/>
          <w:sz w:val="21"/>
        </w:rPr>
        <w:t>护要求等实际情况合理确定；</w:t>
      </w:r>
    </w:p>
    <w:p>
      <w:pPr>
        <w:pStyle w:val="ListParagraph"/>
        <w:numPr>
          <w:ilvl w:val="0"/>
          <w:numId w:val="38"/>
        </w:numPr>
        <w:tabs>
          <w:tab w:val="left" w:pos="1745"/>
        </w:tabs>
        <w:spacing w:before="0" w:after="0" w:line="269" w:lineRule="exact"/>
        <w:ind w:left="1744" w:right="0" w:hanging="428"/>
        <w:jc w:val="left"/>
        <w:rPr>
          <w:sz w:val="21"/>
        </w:rPr>
      </w:pPr>
      <w:r>
        <w:rPr>
          <w:spacing w:val="-3"/>
          <w:sz w:val="21"/>
        </w:rPr>
        <w:t>临水栏杆设置应满足安全防护和运行管理要求，宜采用钢制栏杆，高度应≥</w:t>
      </w:r>
      <w:r>
        <w:rPr>
          <w:sz w:val="21"/>
        </w:rPr>
        <w:t>1.2m；</w:t>
      </w:r>
    </w:p>
    <w:p>
      <w:pPr>
        <w:pStyle w:val="ListParagraph"/>
        <w:numPr>
          <w:ilvl w:val="0"/>
          <w:numId w:val="38"/>
        </w:numPr>
        <w:tabs>
          <w:tab w:val="left" w:pos="1745"/>
        </w:tabs>
        <w:spacing w:before="21" w:after="0" w:line="240" w:lineRule="auto"/>
        <w:ind w:left="1744" w:right="0" w:hanging="428"/>
        <w:jc w:val="left"/>
        <w:rPr>
          <w:sz w:val="21"/>
        </w:rPr>
      </w:pPr>
      <w:r>
        <w:rPr>
          <w:spacing w:val="-3"/>
          <w:sz w:val="21"/>
        </w:rPr>
        <w:t>相邻取水口距离较近时，应共用太阳能供电系统。</w:t>
      </w:r>
    </w:p>
    <w:p>
      <w:pPr>
        <w:pStyle w:val="BodyText"/>
        <w:spacing w:before="1"/>
        <w:rPr>
          <w:sz w:val="22"/>
        </w:rPr>
      </w:pPr>
    </w:p>
    <w:p>
      <w:pPr>
        <w:pStyle w:val="ListParagraph"/>
        <w:numPr>
          <w:ilvl w:val="1"/>
          <w:numId w:val="41"/>
        </w:numPr>
        <w:tabs>
          <w:tab w:val="left" w:pos="1349"/>
        </w:tabs>
        <w:spacing w:before="72" w:after="0" w:line="240" w:lineRule="auto"/>
        <w:ind w:left="1348" w:right="0" w:hanging="315"/>
        <w:jc w:val="left"/>
        <w:rPr>
          <w:rFonts w:ascii="黑体" w:eastAsia="黑体" w:hint="eastAsia"/>
          <w:sz w:val="21"/>
        </w:rPr>
      </w:pPr>
      <w:bookmarkStart w:id="6" w:name="6　 设备关键技术性能要求"/>
      <w:bookmarkEnd w:id="6"/>
      <w:r>
        <w:rPr>
          <w:rFonts w:ascii="黑体" w:eastAsia="黑体" w:hint="eastAsia"/>
          <w:spacing w:val="-3"/>
          <w:sz w:val="21"/>
        </w:rPr>
        <w:t>设备关键技术性能要求</w:t>
      </w:r>
    </w:p>
    <w:p>
      <w:pPr>
        <w:pStyle w:val="BodyText"/>
        <w:spacing w:before="2"/>
        <w:rPr>
          <w:rFonts w:ascii="黑体"/>
          <w:sz w:val="22"/>
        </w:rPr>
      </w:pPr>
    </w:p>
    <w:p>
      <w:pPr>
        <w:spacing w:before="76"/>
        <w:ind w:left="895" w:right="0" w:firstLine="0"/>
        <w:jc w:val="left"/>
        <w:rPr>
          <w:rFonts w:ascii="黑体" w:eastAsia="黑体" w:hint="eastAsia"/>
          <w:sz w:val="21"/>
        </w:rPr>
      </w:pPr>
      <w:r>
        <w:drawing>
          <wp:inline distT="0" distB="0" distL="0" distR="0">
            <wp:extent cx="176771" cy="100583"/>
            <wp:effectExtent l="0" t="0" r="0" b="0"/>
            <wp:docPr id="6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29.png"/>
                    <pic:cNvPicPr/>
                  </pic:nvPicPr>
                  <pic:blipFill>
                    <a:blip xmlns:r="http://schemas.openxmlformats.org/officeDocument/2006/relationships" r:embed="rId32" cstate="print"/>
                    <a:stretch>
                      <a:fillRect/>
                    </a:stretch>
                  </pic:blipFill>
                  <pic:spPr>
                    <a:xfrm>
                      <a:off x="0" y="0"/>
                      <a:ext cx="176771" cy="100583"/>
                    </a:xfrm>
                    <a:prstGeom prst="rect">
                      <a:avLst/>
                    </a:prstGeom>
                  </pic:spPr>
                </pic:pic>
              </a:graphicData>
            </a:graphic>
          </wp:inline>
        </w:drawing>
      </w:r>
      <w:r>
        <w:rPr>
          <w:rFonts w:ascii="Times New Roman" w:eastAsia="Times New Roman"/>
          <w:sz w:val="20"/>
        </w:rPr>
        <w:t xml:space="preserve">    </w:t>
      </w:r>
      <w:r>
        <w:rPr>
          <w:rFonts w:ascii="Times New Roman" w:eastAsia="Times New Roman"/>
          <w:spacing w:val="-6"/>
          <w:sz w:val="20"/>
        </w:rPr>
        <w:t xml:space="preserve"> </w:t>
      </w:r>
      <w:bookmarkStart w:id="7" w:name="6.1　 基本要求"/>
      <w:bookmarkEnd w:id="7"/>
      <w:r>
        <w:rPr>
          <w:rFonts w:ascii="黑体" w:eastAsia="黑体" w:hint="eastAsia"/>
          <w:spacing w:val="-2"/>
          <w:sz w:val="21"/>
        </w:rPr>
        <w:t>基本要求</w:t>
      </w:r>
    </w:p>
    <w:p>
      <w:pPr>
        <w:pStyle w:val="BodyText"/>
        <w:spacing w:before="7"/>
        <w:rPr>
          <w:rFonts w:ascii="黑体"/>
          <w:sz w:val="9"/>
        </w:rPr>
      </w:pPr>
    </w:p>
    <w:p>
      <w:pPr>
        <w:pStyle w:val="ListParagraph"/>
        <w:numPr>
          <w:ilvl w:val="2"/>
          <w:numId w:val="37"/>
        </w:numPr>
        <w:tabs>
          <w:tab w:val="left" w:pos="1628"/>
        </w:tabs>
        <w:spacing w:before="72" w:after="0" w:line="240" w:lineRule="auto"/>
        <w:ind w:left="1627" w:right="0" w:hanging="736"/>
        <w:jc w:val="left"/>
        <w:rPr>
          <w:sz w:val="21"/>
        </w:rPr>
      </w:pPr>
      <w:r>
        <w:rPr>
          <w:spacing w:val="-3"/>
          <w:sz w:val="21"/>
        </w:rPr>
        <w:t>测控一体化闸门应具备以下基本功能：</w:t>
      </w:r>
    </w:p>
    <w:p>
      <w:pPr>
        <w:pStyle w:val="ListParagraph"/>
        <w:numPr>
          <w:ilvl w:val="3"/>
          <w:numId w:val="37"/>
        </w:numPr>
        <w:tabs>
          <w:tab w:val="left" w:pos="1745"/>
        </w:tabs>
        <w:spacing w:before="43" w:after="0" w:line="240" w:lineRule="auto"/>
        <w:ind w:left="1744" w:right="0" w:hanging="428"/>
        <w:jc w:val="left"/>
        <w:rPr>
          <w:sz w:val="21"/>
        </w:rPr>
      </w:pPr>
      <w:r>
        <w:rPr>
          <w:spacing w:val="-3"/>
          <w:sz w:val="21"/>
        </w:rPr>
        <w:t>自动进行闸门过流量测，将水量信息通过标准通讯协议采集并连续传输；</w:t>
      </w:r>
    </w:p>
    <w:p>
      <w:pPr>
        <w:pStyle w:val="ListParagraph"/>
        <w:numPr>
          <w:ilvl w:val="3"/>
          <w:numId w:val="37"/>
        </w:numPr>
        <w:tabs>
          <w:tab w:val="left" w:pos="1746"/>
        </w:tabs>
        <w:spacing w:before="43" w:after="0" w:line="278" w:lineRule="auto"/>
        <w:ind w:left="1745" w:right="1155" w:hanging="428"/>
        <w:jc w:val="left"/>
        <w:rPr>
          <w:sz w:val="21"/>
        </w:rPr>
      </w:pPr>
      <w:r>
        <w:rPr>
          <w:spacing w:val="-12"/>
          <w:sz w:val="21"/>
        </w:rPr>
        <w:t>可根据设定的开度、流量、闸前水位现地控制闸门，通过计算机和通信网络系统远程控制启闭</w:t>
      </w:r>
      <w:r>
        <w:rPr>
          <w:spacing w:val="-3"/>
          <w:sz w:val="21"/>
        </w:rPr>
        <w:t>闸门及流量调节；</w:t>
      </w:r>
    </w:p>
    <w:p>
      <w:pPr>
        <w:pStyle w:val="ListParagraph"/>
        <w:numPr>
          <w:ilvl w:val="3"/>
          <w:numId w:val="37"/>
        </w:numPr>
        <w:tabs>
          <w:tab w:val="left" w:pos="1746"/>
        </w:tabs>
        <w:spacing w:before="0" w:after="0" w:line="278" w:lineRule="auto"/>
        <w:ind w:left="1745" w:right="1154" w:hanging="428"/>
        <w:jc w:val="left"/>
        <w:rPr>
          <w:sz w:val="21"/>
        </w:rPr>
      </w:pPr>
      <w:r>
        <w:rPr>
          <w:spacing w:val="-12"/>
          <w:sz w:val="21"/>
        </w:rPr>
        <w:t>自动识别、判断设备故障并按预置程序进行处理，将故障信息通过通讯系统反馈至闸门控制系</w:t>
      </w:r>
      <w:r>
        <w:rPr>
          <w:spacing w:val="-3"/>
          <w:sz w:val="21"/>
        </w:rPr>
        <w:t>统和控制中心，可自动检测、故障诊断及预警。</w:t>
      </w:r>
    </w:p>
    <w:p>
      <w:pPr>
        <w:pStyle w:val="ListParagraph"/>
        <w:numPr>
          <w:ilvl w:val="2"/>
          <w:numId w:val="37"/>
        </w:numPr>
        <w:tabs>
          <w:tab w:val="left" w:pos="1629"/>
        </w:tabs>
        <w:spacing w:before="0" w:after="0" w:line="269" w:lineRule="exact"/>
        <w:ind w:left="1628" w:right="0" w:hanging="736"/>
        <w:jc w:val="left"/>
        <w:rPr>
          <w:sz w:val="21"/>
        </w:rPr>
      </w:pPr>
      <w:r>
        <w:rPr>
          <w:spacing w:val="-3"/>
          <w:sz w:val="21"/>
        </w:rPr>
        <w:t>测控一体化闸门控制模式应具备以下功能：</w:t>
      </w:r>
    </w:p>
    <w:p>
      <w:pPr>
        <w:pStyle w:val="ListParagraph"/>
        <w:numPr>
          <w:ilvl w:val="3"/>
          <w:numId w:val="37"/>
        </w:numPr>
        <w:tabs>
          <w:tab w:val="left" w:pos="1745"/>
        </w:tabs>
        <w:spacing w:before="43" w:after="0" w:line="278" w:lineRule="auto"/>
        <w:ind w:left="1744" w:right="1154" w:hanging="428"/>
        <w:jc w:val="left"/>
        <w:rPr>
          <w:sz w:val="21"/>
        </w:rPr>
      </w:pPr>
      <w:r>
        <w:rPr>
          <w:spacing w:val="-11"/>
          <w:sz w:val="21"/>
        </w:rPr>
        <w:t>应具有开度控制、流量控制两种控制模式；堰槽式测控一体化闸门应具有流量控制、闸前水位</w:t>
      </w:r>
      <w:r>
        <w:rPr>
          <w:spacing w:val="-6"/>
          <w:sz w:val="21"/>
        </w:rPr>
        <w:t>控制两种控制模式；</w:t>
      </w:r>
    </w:p>
    <w:p>
      <w:pPr>
        <w:pStyle w:val="ListParagraph"/>
        <w:numPr>
          <w:ilvl w:val="3"/>
          <w:numId w:val="37"/>
        </w:numPr>
        <w:tabs>
          <w:tab w:val="left" w:pos="1746"/>
        </w:tabs>
        <w:spacing w:before="0" w:after="0" w:line="269" w:lineRule="exact"/>
        <w:ind w:left="1745" w:right="0" w:hanging="429"/>
        <w:jc w:val="left"/>
        <w:rPr>
          <w:sz w:val="21"/>
        </w:rPr>
      </w:pPr>
      <w:r>
        <w:rPr>
          <w:spacing w:val="-3"/>
          <w:sz w:val="21"/>
        </w:rPr>
        <w:t>应具备电动、外接电池、手动三种驱动方式；</w:t>
      </w:r>
    </w:p>
    <w:p>
      <w:pPr>
        <w:pStyle w:val="ListParagraph"/>
        <w:numPr>
          <w:ilvl w:val="3"/>
          <w:numId w:val="37"/>
        </w:numPr>
        <w:tabs>
          <w:tab w:val="left" w:pos="1746"/>
        </w:tabs>
        <w:spacing w:before="42" w:after="0" w:line="240" w:lineRule="auto"/>
        <w:ind w:left="1745" w:right="0" w:hanging="428"/>
        <w:jc w:val="left"/>
        <w:rPr>
          <w:sz w:val="21"/>
        </w:rPr>
      </w:pPr>
      <w:r>
        <w:rPr>
          <w:spacing w:val="-3"/>
          <w:sz w:val="21"/>
        </w:rPr>
        <w:t>应具备现地控制、远程控制两种控制方式，且应具备急停控制模式。</w:t>
      </w:r>
    </w:p>
    <w:p>
      <w:pPr>
        <w:spacing w:after="0" w:line="240" w:lineRule="auto"/>
        <w:jc w:val="left"/>
        <w:rPr>
          <w:sz w:val="21"/>
        </w:rPr>
        <w:sectPr>
          <w:pgSz w:w="11910" w:h="16840"/>
          <w:pgMar w:top="1580" w:right="260" w:bottom="280" w:left="240" w:header="708" w:footer="708"/>
          <w:pgNumType w:start="8"/>
          <w:cols w:space="708"/>
        </w:sectPr>
      </w:pPr>
    </w:p>
    <w:p>
      <w:pPr>
        <w:pStyle w:val="BodyText"/>
        <w:spacing w:before="11"/>
      </w:pPr>
    </w:p>
    <w:p>
      <w:pPr>
        <w:pStyle w:val="ListParagraph"/>
        <w:numPr>
          <w:ilvl w:val="2"/>
          <w:numId w:val="37"/>
        </w:numPr>
        <w:tabs>
          <w:tab w:val="left" w:pos="1913"/>
        </w:tabs>
        <w:spacing w:before="71" w:after="0" w:line="240" w:lineRule="auto"/>
        <w:ind w:left="1912" w:right="0" w:hanging="735"/>
        <w:jc w:val="left"/>
        <w:rPr>
          <w:sz w:val="21"/>
        </w:rPr>
      </w:pPr>
      <w:r>
        <w:rPr>
          <w:spacing w:val="-3"/>
          <w:sz w:val="21"/>
        </w:rPr>
        <w:t>测控一体化闸门应急操作应符合下列要求：</w:t>
      </w:r>
    </w:p>
    <w:p>
      <w:pPr>
        <w:pStyle w:val="ListParagraph"/>
        <w:numPr>
          <w:ilvl w:val="3"/>
          <w:numId w:val="37"/>
        </w:numPr>
        <w:tabs>
          <w:tab w:val="left" w:pos="2031"/>
        </w:tabs>
        <w:spacing w:before="43" w:after="0" w:line="240" w:lineRule="auto"/>
        <w:ind w:left="2030" w:right="0" w:hanging="428"/>
        <w:jc w:val="left"/>
        <w:rPr>
          <w:sz w:val="21"/>
        </w:rPr>
      </w:pPr>
      <w:r>
        <w:rPr>
          <w:spacing w:val="-3"/>
          <w:sz w:val="21"/>
        </w:rPr>
        <w:t>闸门在断电应急过程中，应采用临时电源启闭和摇柄手动启闭两种操作方式；</w:t>
      </w:r>
    </w:p>
    <w:p>
      <w:pPr>
        <w:pStyle w:val="ListParagraph"/>
        <w:numPr>
          <w:ilvl w:val="3"/>
          <w:numId w:val="37"/>
        </w:numPr>
        <w:tabs>
          <w:tab w:val="left" w:pos="2031"/>
        </w:tabs>
        <w:spacing w:before="43" w:after="0" w:line="240" w:lineRule="auto"/>
        <w:ind w:left="2030" w:right="0" w:hanging="428"/>
        <w:jc w:val="left"/>
        <w:rPr>
          <w:sz w:val="21"/>
        </w:rPr>
      </w:pPr>
      <w:r>
        <w:rPr>
          <w:spacing w:val="-3"/>
          <w:sz w:val="21"/>
        </w:rPr>
        <w:t>应急操作中，闸门启闭速度应不小于正常启闭速度。</w:t>
      </w:r>
    </w:p>
    <w:p>
      <w:pPr>
        <w:pStyle w:val="ListParagraph"/>
        <w:numPr>
          <w:ilvl w:val="2"/>
          <w:numId w:val="37"/>
        </w:numPr>
        <w:tabs>
          <w:tab w:val="left" w:pos="1914"/>
        </w:tabs>
        <w:spacing w:before="43" w:after="0" w:line="240" w:lineRule="auto"/>
        <w:ind w:left="1913" w:right="0" w:hanging="736"/>
        <w:jc w:val="left"/>
        <w:rPr>
          <w:sz w:val="21"/>
        </w:rPr>
      </w:pPr>
      <w:r>
        <w:rPr>
          <w:spacing w:val="-3"/>
          <w:sz w:val="21"/>
        </w:rPr>
        <w:t>测控一体化闸门供电应符合下列要求：</w:t>
      </w:r>
    </w:p>
    <w:p>
      <w:pPr>
        <w:pStyle w:val="ListParagraph"/>
        <w:numPr>
          <w:ilvl w:val="3"/>
          <w:numId w:val="37"/>
        </w:numPr>
        <w:tabs>
          <w:tab w:val="left" w:pos="2032"/>
        </w:tabs>
        <w:spacing w:before="43" w:after="0" w:line="278" w:lineRule="auto"/>
        <w:ind w:left="2031" w:right="869" w:hanging="428"/>
        <w:jc w:val="left"/>
        <w:rPr>
          <w:sz w:val="21"/>
        </w:rPr>
      </w:pPr>
      <w:r>
        <w:rPr>
          <w:spacing w:val="-6"/>
          <w:sz w:val="21"/>
        </w:rPr>
        <w:t>闸门设备应为市电</w:t>
      </w:r>
      <w:r>
        <w:rPr>
          <w:spacing w:val="-4"/>
          <w:sz w:val="21"/>
        </w:rPr>
        <w:t>（AC/DC）</w:t>
      </w:r>
      <w:r>
        <w:rPr>
          <w:spacing w:val="-9"/>
          <w:sz w:val="21"/>
        </w:rPr>
        <w:t>、外接电池</w:t>
      </w:r>
      <w:r>
        <w:rPr>
          <w:sz w:val="21"/>
        </w:rPr>
        <w:t>（</w:t>
      </w:r>
      <w:r>
        <w:rPr>
          <w:spacing w:val="-3"/>
          <w:sz w:val="21"/>
        </w:rPr>
        <w:t>太阳能板+蓄电池</w:t>
      </w:r>
      <w:r>
        <w:rPr>
          <w:spacing w:val="-20"/>
          <w:sz w:val="21"/>
        </w:rPr>
        <w:t>）</w:t>
      </w:r>
      <w:r>
        <w:rPr>
          <w:spacing w:val="-6"/>
          <w:sz w:val="21"/>
        </w:rPr>
        <w:t>等供电方式；蓄电池优先选用锂</w:t>
      </w:r>
      <w:r>
        <w:rPr>
          <w:spacing w:val="-3"/>
          <w:sz w:val="21"/>
        </w:rPr>
        <w:t>电池，亦可采用铅酸电池；</w:t>
      </w:r>
    </w:p>
    <w:p>
      <w:pPr>
        <w:pStyle w:val="ListParagraph"/>
        <w:numPr>
          <w:ilvl w:val="3"/>
          <w:numId w:val="37"/>
        </w:numPr>
        <w:tabs>
          <w:tab w:val="left" w:pos="2032"/>
        </w:tabs>
        <w:spacing w:before="0" w:after="0" w:line="278" w:lineRule="auto"/>
        <w:ind w:left="2031" w:right="869" w:hanging="428"/>
        <w:jc w:val="left"/>
        <w:rPr>
          <w:sz w:val="21"/>
        </w:rPr>
      </w:pPr>
      <w:r>
        <w:rPr>
          <w:spacing w:val="-3"/>
          <w:sz w:val="21"/>
        </w:rPr>
        <w:t>干渠闸门设备优先采用市电，也可采用太阳能+蓄电池供电方式；田间取水口闸门设备推荐采用太阳能+蓄电池供电方式，供电安全应符合国家及行业相关安全要求；</w:t>
      </w:r>
    </w:p>
    <w:p>
      <w:pPr>
        <w:pStyle w:val="ListParagraph"/>
        <w:numPr>
          <w:ilvl w:val="3"/>
          <w:numId w:val="37"/>
        </w:numPr>
        <w:tabs>
          <w:tab w:val="left" w:pos="2032"/>
        </w:tabs>
        <w:spacing w:before="0" w:after="0" w:line="278" w:lineRule="auto"/>
        <w:ind w:left="2031" w:right="872" w:hanging="428"/>
        <w:jc w:val="left"/>
        <w:rPr>
          <w:sz w:val="21"/>
        </w:rPr>
      </w:pPr>
      <w:r>
        <w:rPr>
          <w:spacing w:val="-4"/>
          <w:sz w:val="21"/>
        </w:rPr>
        <w:t xml:space="preserve">采用太阳能供电的测控一体化闸门及设备，平原地区蓄电量可按 </w:t>
      </w:r>
      <w:r>
        <w:rPr>
          <w:sz w:val="21"/>
        </w:rPr>
        <w:t>5</w:t>
      </w:r>
      <w:r>
        <w:rPr>
          <w:spacing w:val="-7"/>
          <w:sz w:val="21"/>
        </w:rPr>
        <w:t xml:space="preserve"> 天设计，山区可按 </w:t>
      </w:r>
      <w:r>
        <w:rPr>
          <w:sz w:val="21"/>
        </w:rPr>
        <w:t>7</w:t>
      </w:r>
      <w:r>
        <w:rPr>
          <w:spacing w:val="-9"/>
          <w:sz w:val="21"/>
        </w:rPr>
        <w:t xml:space="preserve"> 天设</w:t>
      </w:r>
      <w:r>
        <w:rPr>
          <w:sz w:val="21"/>
        </w:rPr>
        <w:t>计；</w:t>
      </w:r>
    </w:p>
    <w:p>
      <w:pPr>
        <w:pStyle w:val="ListParagraph"/>
        <w:numPr>
          <w:ilvl w:val="3"/>
          <w:numId w:val="37"/>
        </w:numPr>
        <w:tabs>
          <w:tab w:val="left" w:pos="2032"/>
        </w:tabs>
        <w:spacing w:before="0" w:after="0" w:line="269" w:lineRule="exact"/>
        <w:ind w:left="2031" w:right="0" w:hanging="429"/>
        <w:jc w:val="left"/>
        <w:rPr>
          <w:sz w:val="21"/>
        </w:rPr>
      </w:pPr>
      <w:r>
        <w:rPr>
          <w:spacing w:val="-3"/>
          <w:sz w:val="21"/>
        </w:rPr>
        <w:t>计量设备电源应采用不间断电源的供电方式。</w:t>
      </w:r>
    </w:p>
    <w:p>
      <w:pPr>
        <w:pStyle w:val="ListParagraph"/>
        <w:numPr>
          <w:ilvl w:val="2"/>
          <w:numId w:val="37"/>
        </w:numPr>
        <w:tabs>
          <w:tab w:val="left" w:pos="1914"/>
        </w:tabs>
        <w:spacing w:before="42" w:after="0" w:line="240" w:lineRule="auto"/>
        <w:ind w:left="1913" w:right="0" w:hanging="735"/>
        <w:jc w:val="left"/>
        <w:rPr>
          <w:sz w:val="21"/>
        </w:rPr>
      </w:pPr>
      <w:r>
        <w:rPr>
          <w:spacing w:val="-3"/>
          <w:sz w:val="21"/>
        </w:rPr>
        <w:t>测控一体化闸门防护与保护应满足以下要求：</w:t>
      </w:r>
    </w:p>
    <w:p>
      <w:pPr>
        <w:pStyle w:val="ListParagraph"/>
        <w:numPr>
          <w:ilvl w:val="3"/>
          <w:numId w:val="37"/>
        </w:numPr>
        <w:tabs>
          <w:tab w:val="left" w:pos="2032"/>
        </w:tabs>
        <w:spacing w:before="43" w:after="0" w:line="240" w:lineRule="auto"/>
        <w:ind w:left="2031" w:right="0" w:hanging="428"/>
        <w:jc w:val="left"/>
        <w:rPr>
          <w:sz w:val="21"/>
        </w:rPr>
      </w:pPr>
      <w:r>
        <w:rPr>
          <w:spacing w:val="-6"/>
          <w:sz w:val="21"/>
        </w:rPr>
        <w:t xml:space="preserve">电气设备在水下部分的防护等级应为 </w:t>
      </w:r>
      <w:r>
        <w:rPr>
          <w:sz w:val="21"/>
        </w:rPr>
        <w:t>IP68</w:t>
      </w:r>
      <w:r>
        <w:rPr>
          <w:spacing w:val="-7"/>
          <w:sz w:val="21"/>
        </w:rPr>
        <w:t xml:space="preserve">，在水上部分的防护等级应为 </w:t>
      </w:r>
      <w:r>
        <w:rPr>
          <w:sz w:val="21"/>
        </w:rPr>
        <w:t>IP54；</w:t>
      </w:r>
    </w:p>
    <w:p>
      <w:pPr>
        <w:pStyle w:val="ListParagraph"/>
        <w:numPr>
          <w:ilvl w:val="3"/>
          <w:numId w:val="37"/>
        </w:numPr>
        <w:tabs>
          <w:tab w:val="left" w:pos="2032"/>
        </w:tabs>
        <w:spacing w:before="43" w:after="0" w:line="278" w:lineRule="auto"/>
        <w:ind w:left="2031" w:right="868" w:hanging="428"/>
        <w:jc w:val="left"/>
        <w:rPr>
          <w:sz w:val="21"/>
        </w:rPr>
      </w:pPr>
      <w:r>
        <w:rPr>
          <w:spacing w:val="-9"/>
          <w:sz w:val="21"/>
        </w:rPr>
        <w:t>设备应具有雷击浪涌保护、过流保护、过压保护、电池欠压保护、闸门卡滞保护、机械限位保</w:t>
      </w:r>
      <w:r>
        <w:rPr>
          <w:spacing w:val="-1"/>
          <w:sz w:val="21"/>
        </w:rPr>
        <w:t>护等功能；</w:t>
      </w:r>
    </w:p>
    <w:p>
      <w:pPr>
        <w:pStyle w:val="ListParagraph"/>
        <w:numPr>
          <w:ilvl w:val="3"/>
          <w:numId w:val="37"/>
        </w:numPr>
        <w:tabs>
          <w:tab w:val="left" w:pos="2032"/>
        </w:tabs>
        <w:spacing w:before="0" w:after="0" w:line="269" w:lineRule="exact"/>
        <w:ind w:left="2031" w:right="0" w:hanging="428"/>
        <w:jc w:val="left"/>
        <w:rPr>
          <w:sz w:val="21"/>
        </w:rPr>
      </w:pPr>
      <w:r>
        <w:rPr>
          <w:spacing w:val="-3"/>
          <w:sz w:val="21"/>
        </w:rPr>
        <w:t>设备野外安装，应具有防盗、防人为损坏的防护结构；</w:t>
      </w:r>
    </w:p>
    <w:p>
      <w:pPr>
        <w:pStyle w:val="ListParagraph"/>
        <w:numPr>
          <w:ilvl w:val="3"/>
          <w:numId w:val="37"/>
        </w:numPr>
        <w:tabs>
          <w:tab w:val="left" w:pos="2032"/>
        </w:tabs>
        <w:spacing w:before="43" w:after="0" w:line="240" w:lineRule="auto"/>
        <w:ind w:left="2031" w:right="0" w:hanging="428"/>
        <w:jc w:val="left"/>
        <w:rPr>
          <w:sz w:val="21"/>
        </w:rPr>
      </w:pPr>
      <w:r>
        <w:rPr>
          <w:spacing w:val="-3"/>
          <w:sz w:val="21"/>
        </w:rPr>
        <w:t>设备应设置防雷接地，接地电阻应满足相关规范要求；</w:t>
      </w:r>
    </w:p>
    <w:p>
      <w:pPr>
        <w:pStyle w:val="ListParagraph"/>
        <w:numPr>
          <w:ilvl w:val="3"/>
          <w:numId w:val="37"/>
        </w:numPr>
        <w:tabs>
          <w:tab w:val="left" w:pos="2032"/>
        </w:tabs>
        <w:spacing w:before="42" w:after="0" w:line="240" w:lineRule="auto"/>
        <w:ind w:left="2031" w:right="0" w:hanging="428"/>
        <w:jc w:val="left"/>
        <w:rPr>
          <w:sz w:val="21"/>
        </w:rPr>
      </w:pPr>
      <w:r>
        <w:rPr>
          <w:spacing w:val="-5"/>
          <w:sz w:val="21"/>
        </w:rPr>
        <w:t xml:space="preserve">太阳能立杆应安装避雷针，避雷针应将被保护设备覆盖在其 </w:t>
      </w:r>
      <w:r>
        <w:rPr>
          <w:sz w:val="21"/>
        </w:rPr>
        <w:t>45</w:t>
      </w:r>
      <w:r>
        <w:rPr>
          <w:spacing w:val="-3"/>
          <w:sz w:val="21"/>
        </w:rPr>
        <w:t>°保护角之内。</w:t>
      </w:r>
    </w:p>
    <w:p>
      <w:pPr>
        <w:pStyle w:val="ListParagraph"/>
        <w:numPr>
          <w:ilvl w:val="2"/>
          <w:numId w:val="37"/>
        </w:numPr>
        <w:tabs>
          <w:tab w:val="left" w:pos="1915"/>
        </w:tabs>
        <w:spacing w:before="43" w:after="0" w:line="240" w:lineRule="auto"/>
        <w:ind w:left="1914" w:right="0" w:hanging="736"/>
        <w:jc w:val="left"/>
        <w:rPr>
          <w:sz w:val="21"/>
        </w:rPr>
      </w:pPr>
      <w:r>
        <w:rPr>
          <w:spacing w:val="-3"/>
          <w:sz w:val="21"/>
        </w:rPr>
        <w:t>测控一体化闸门主要构件应满足以下要求：</w:t>
      </w:r>
    </w:p>
    <w:p>
      <w:pPr>
        <w:pStyle w:val="ListParagraph"/>
        <w:numPr>
          <w:ilvl w:val="3"/>
          <w:numId w:val="37"/>
        </w:numPr>
        <w:tabs>
          <w:tab w:val="left" w:pos="2031"/>
        </w:tabs>
        <w:spacing w:before="44" w:after="0" w:line="240" w:lineRule="auto"/>
        <w:ind w:left="2030" w:right="0" w:hanging="428"/>
        <w:jc w:val="left"/>
        <w:rPr>
          <w:sz w:val="21"/>
        </w:rPr>
      </w:pPr>
      <w:r>
        <w:rPr>
          <w:spacing w:val="-10"/>
          <w:sz w:val="21"/>
        </w:rPr>
        <w:t>测流箱、闸门结构应能承受最大工作水压，启闭力还应考虑流沙淤积、柴草淤埋等外力作用；</w:t>
      </w:r>
    </w:p>
    <w:p>
      <w:pPr>
        <w:pStyle w:val="ListParagraph"/>
        <w:numPr>
          <w:ilvl w:val="3"/>
          <w:numId w:val="37"/>
        </w:numPr>
        <w:tabs>
          <w:tab w:val="left" w:pos="2031"/>
        </w:tabs>
        <w:spacing w:before="43" w:after="0" w:line="240" w:lineRule="auto"/>
        <w:ind w:left="2030" w:right="0" w:hanging="428"/>
        <w:jc w:val="left"/>
        <w:rPr>
          <w:sz w:val="21"/>
        </w:rPr>
      </w:pPr>
      <w:r>
        <w:drawing>
          <wp:anchor distT="0" distB="0" distL="0" distR="0" simplePos="0" relativeHeight="251683840" behindDoc="0" locked="0" layoutInCell="1" allowOverlap="1">
            <wp:simplePos x="0" y="0"/>
            <wp:positionH relativeFrom="page">
              <wp:posOffset>215900</wp:posOffset>
            </wp:positionH>
            <wp:positionV relativeFrom="paragraph">
              <wp:posOffset>70775</wp:posOffset>
            </wp:positionV>
            <wp:extent cx="7112000" cy="4876800"/>
            <wp:effectExtent l="0" t="0" r="0" b="0"/>
            <wp:wrapNone/>
            <wp:docPr id="6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2.png"/>
                    <pic:cNvPicPr/>
                  </pic:nvPicPr>
                  <pic:blipFill>
                    <a:blip xmlns:r="http://schemas.openxmlformats.org/officeDocument/2006/relationships" r:embed="rId5" cstate="print"/>
                    <a:stretch>
                      <a:fillRect/>
                    </a:stretch>
                  </pic:blipFill>
                  <pic:spPr>
                    <a:xfrm>
                      <a:off x="0" y="0"/>
                      <a:ext cx="7112000" cy="4876800"/>
                    </a:xfrm>
                    <a:prstGeom prst="rect">
                      <a:avLst/>
                    </a:prstGeom>
                  </pic:spPr>
                </pic:pic>
              </a:graphicData>
            </a:graphic>
          </wp:anchor>
        </w:drawing>
      </w:r>
      <w:r>
        <w:rPr>
          <w:spacing w:val="-3"/>
          <w:w w:val="100"/>
          <w:sz w:val="21"/>
        </w:rPr>
        <w:t>闸门的允许泄漏量应≤</w:t>
      </w:r>
      <w:r>
        <w:rPr>
          <w:w w:val="100"/>
          <w:sz w:val="21"/>
        </w:rPr>
        <w:t>0</w:t>
      </w:r>
      <w:r>
        <w:rPr>
          <w:spacing w:val="-3"/>
          <w:w w:val="100"/>
          <w:sz w:val="21"/>
        </w:rPr>
        <w:t>.0</w:t>
      </w:r>
      <w:r>
        <w:rPr>
          <w:spacing w:val="-1"/>
          <w:w w:val="100"/>
          <w:sz w:val="21"/>
        </w:rPr>
        <w:t>2</w:t>
      </w:r>
      <w:r>
        <w:rPr>
          <w:w w:val="100"/>
          <w:sz w:val="21"/>
        </w:rPr>
        <w:t>L</w:t>
      </w:r>
      <w:r>
        <w:rPr>
          <w:spacing w:val="-53"/>
          <w:w w:val="100"/>
          <w:sz w:val="21"/>
        </w:rPr>
        <w:t>/</w:t>
      </w:r>
      <w:r>
        <w:rPr>
          <w:w w:val="100"/>
          <w:sz w:val="21"/>
        </w:rPr>
        <w:t>（</w:t>
      </w:r>
      <w:r>
        <w:rPr>
          <w:spacing w:val="-3"/>
          <w:w w:val="100"/>
          <w:sz w:val="21"/>
        </w:rPr>
        <w:t>m</w:t>
      </w:r>
      <w:r>
        <w:rPr>
          <w:w w:val="100"/>
          <w:sz w:val="21"/>
        </w:rPr>
        <w:t>in</w:t>
      </w:r>
      <w:r>
        <w:rPr>
          <w:spacing w:val="-56"/>
          <w:w w:val="100"/>
          <w:sz w:val="21"/>
        </w:rPr>
        <w:t>·</w:t>
      </w:r>
      <w:r>
        <w:rPr>
          <w:w w:val="100"/>
          <w:sz w:val="21"/>
        </w:rPr>
        <w:t>m</w:t>
      </w:r>
      <w:r>
        <w:rPr>
          <w:spacing w:val="-108"/>
          <w:w w:val="100"/>
          <w:sz w:val="21"/>
        </w:rPr>
        <w:t>）</w:t>
      </w:r>
      <w:r>
        <w:rPr>
          <w:w w:val="100"/>
          <w:sz w:val="21"/>
        </w:rPr>
        <w:t>（</w:t>
      </w:r>
      <w:r>
        <w:rPr>
          <w:spacing w:val="-3"/>
          <w:w w:val="100"/>
          <w:sz w:val="21"/>
        </w:rPr>
        <w:t>密封长度</w:t>
      </w:r>
      <w:r>
        <w:rPr>
          <w:spacing w:val="-56"/>
          <w:w w:val="100"/>
          <w:sz w:val="21"/>
        </w:rPr>
        <w:t>）</w:t>
      </w:r>
      <w:r>
        <w:rPr>
          <w:spacing w:val="-9"/>
          <w:w w:val="100"/>
          <w:sz w:val="21"/>
        </w:rPr>
        <w:t>，出厂应进行泄漏试验并出具试验报告；</w:t>
      </w:r>
    </w:p>
    <w:p>
      <w:pPr>
        <w:pStyle w:val="ListParagraph"/>
        <w:numPr>
          <w:ilvl w:val="3"/>
          <w:numId w:val="37"/>
        </w:numPr>
        <w:tabs>
          <w:tab w:val="left" w:pos="2031"/>
        </w:tabs>
        <w:spacing w:before="43" w:after="0" w:line="278" w:lineRule="auto"/>
        <w:ind w:left="2030" w:right="868" w:hanging="428"/>
        <w:jc w:val="left"/>
        <w:rPr>
          <w:sz w:val="21"/>
        </w:rPr>
      </w:pPr>
      <w:r>
        <w:rPr>
          <w:spacing w:val="-8"/>
          <w:sz w:val="21"/>
        </w:rPr>
        <w:t>测流箱超声波换能器布置应采用交叉错层布置方式，单一换能器故障更换时，不应影响测流箱</w:t>
      </w:r>
      <w:r>
        <w:rPr>
          <w:spacing w:val="-3"/>
          <w:sz w:val="21"/>
        </w:rPr>
        <w:t>的测流准确度和稳定性。</w:t>
      </w:r>
    </w:p>
    <w:p>
      <w:pPr>
        <w:pStyle w:val="ListParagraph"/>
        <w:numPr>
          <w:ilvl w:val="2"/>
          <w:numId w:val="37"/>
        </w:numPr>
        <w:tabs>
          <w:tab w:val="left" w:pos="1914"/>
        </w:tabs>
        <w:spacing w:before="0" w:after="0" w:line="269" w:lineRule="exact"/>
        <w:ind w:left="1913" w:right="0" w:hanging="736"/>
        <w:jc w:val="left"/>
        <w:rPr>
          <w:sz w:val="21"/>
        </w:rPr>
      </w:pPr>
      <w:r>
        <w:rPr>
          <w:spacing w:val="-3"/>
          <w:sz w:val="21"/>
        </w:rPr>
        <w:t>测控一体化闸门使用寿命应满足以下要求：</w:t>
      </w:r>
    </w:p>
    <w:p>
      <w:pPr>
        <w:pStyle w:val="ListParagraph"/>
        <w:numPr>
          <w:ilvl w:val="3"/>
          <w:numId w:val="37"/>
        </w:numPr>
        <w:tabs>
          <w:tab w:val="left" w:pos="2031"/>
        </w:tabs>
        <w:spacing w:before="43" w:after="0" w:line="240" w:lineRule="auto"/>
        <w:ind w:left="2030" w:right="0" w:hanging="428"/>
        <w:jc w:val="left"/>
        <w:rPr>
          <w:sz w:val="21"/>
        </w:rPr>
      </w:pPr>
      <w:r>
        <w:rPr>
          <w:spacing w:val="-3"/>
          <w:sz w:val="21"/>
        </w:rPr>
        <w:t>闸门整体结构使用寿命应</w:t>
      </w:r>
      <w:r>
        <w:rPr>
          <w:sz w:val="21"/>
        </w:rPr>
        <w:t>≥25a；</w:t>
      </w:r>
    </w:p>
    <w:p>
      <w:pPr>
        <w:pStyle w:val="ListParagraph"/>
        <w:numPr>
          <w:ilvl w:val="3"/>
          <w:numId w:val="37"/>
        </w:numPr>
        <w:tabs>
          <w:tab w:val="left" w:pos="2031"/>
        </w:tabs>
        <w:spacing w:before="43" w:after="0" w:line="240" w:lineRule="auto"/>
        <w:ind w:left="2030" w:right="0" w:hanging="428"/>
        <w:jc w:val="left"/>
        <w:rPr>
          <w:sz w:val="21"/>
        </w:rPr>
      </w:pPr>
      <w:r>
        <w:rPr>
          <w:spacing w:val="-3"/>
          <w:sz w:val="21"/>
        </w:rPr>
        <w:t>电子元器件、电气及太阳能板、控制箱、钢丝绳、链条、减速机使用寿命应</w:t>
      </w:r>
      <w:r>
        <w:rPr>
          <w:sz w:val="21"/>
        </w:rPr>
        <w:t>≥10a；</w:t>
      </w:r>
    </w:p>
    <w:p>
      <w:pPr>
        <w:pStyle w:val="ListParagraph"/>
        <w:numPr>
          <w:ilvl w:val="3"/>
          <w:numId w:val="37"/>
        </w:numPr>
        <w:tabs>
          <w:tab w:val="left" w:pos="2031"/>
        </w:tabs>
        <w:spacing w:before="43" w:after="0" w:line="240" w:lineRule="auto"/>
        <w:ind w:left="2030" w:right="0" w:hanging="428"/>
        <w:jc w:val="left"/>
        <w:rPr>
          <w:sz w:val="21"/>
        </w:rPr>
      </w:pPr>
      <w:r>
        <w:rPr>
          <w:spacing w:val="-3"/>
          <w:sz w:val="21"/>
        </w:rPr>
        <w:t>闸门橡胶止水条使用寿命应</w:t>
      </w:r>
      <w:r>
        <w:rPr>
          <w:sz w:val="21"/>
        </w:rPr>
        <w:t>≥10a；</w:t>
      </w:r>
    </w:p>
    <w:p>
      <w:pPr>
        <w:pStyle w:val="ListParagraph"/>
        <w:numPr>
          <w:ilvl w:val="3"/>
          <w:numId w:val="37"/>
        </w:numPr>
        <w:tabs>
          <w:tab w:val="left" w:pos="2032"/>
        </w:tabs>
        <w:spacing w:before="43" w:after="0" w:line="240" w:lineRule="auto"/>
        <w:ind w:left="2031" w:right="0" w:hanging="429"/>
        <w:jc w:val="left"/>
        <w:rPr>
          <w:sz w:val="21"/>
        </w:rPr>
      </w:pPr>
      <w:r>
        <w:rPr>
          <w:spacing w:val="-3"/>
          <w:sz w:val="21"/>
        </w:rPr>
        <w:t>蓄电池使用寿命：铅酸电池应≥</w:t>
      </w:r>
      <w:r>
        <w:rPr>
          <w:sz w:val="21"/>
        </w:rPr>
        <w:t>5a</w:t>
      </w:r>
      <w:r>
        <w:rPr>
          <w:spacing w:val="-2"/>
          <w:sz w:val="21"/>
        </w:rPr>
        <w:t>，锂电池应≥</w:t>
      </w:r>
      <w:r>
        <w:rPr>
          <w:sz w:val="21"/>
        </w:rPr>
        <w:t>10a。</w:t>
      </w:r>
    </w:p>
    <w:p>
      <w:pPr>
        <w:pStyle w:val="ListParagraph"/>
        <w:numPr>
          <w:ilvl w:val="2"/>
          <w:numId w:val="37"/>
        </w:numPr>
        <w:tabs>
          <w:tab w:val="left" w:pos="1914"/>
        </w:tabs>
        <w:spacing w:before="43" w:after="0" w:line="240" w:lineRule="auto"/>
        <w:ind w:left="1913" w:right="0" w:hanging="735"/>
        <w:jc w:val="left"/>
        <w:rPr>
          <w:sz w:val="21"/>
        </w:rPr>
      </w:pPr>
      <w:r>
        <w:rPr>
          <w:spacing w:val="-3"/>
          <w:sz w:val="21"/>
        </w:rPr>
        <w:t>测控一体化闸门使用的计量单位与语言应满足以下要求：</w:t>
      </w:r>
    </w:p>
    <w:p>
      <w:pPr>
        <w:pStyle w:val="ListParagraph"/>
        <w:numPr>
          <w:ilvl w:val="3"/>
          <w:numId w:val="37"/>
        </w:numPr>
        <w:tabs>
          <w:tab w:val="left" w:pos="2032"/>
        </w:tabs>
        <w:spacing w:before="43" w:after="0" w:line="240" w:lineRule="auto"/>
        <w:ind w:left="2031" w:right="0" w:hanging="428"/>
        <w:jc w:val="left"/>
        <w:rPr>
          <w:sz w:val="21"/>
        </w:rPr>
      </w:pPr>
      <w:r>
        <w:rPr>
          <w:spacing w:val="-3"/>
          <w:sz w:val="21"/>
        </w:rPr>
        <w:t>闸门设备系统的所有计量单位应采用中华人民共和国法定的公制计量单位；</w:t>
      </w:r>
    </w:p>
    <w:p>
      <w:pPr>
        <w:pStyle w:val="ListParagraph"/>
        <w:numPr>
          <w:ilvl w:val="3"/>
          <w:numId w:val="37"/>
        </w:numPr>
        <w:tabs>
          <w:tab w:val="left" w:pos="2032"/>
        </w:tabs>
        <w:spacing w:before="43" w:after="0" w:line="240" w:lineRule="auto"/>
        <w:ind w:left="2031" w:right="0" w:hanging="428"/>
        <w:jc w:val="left"/>
        <w:rPr>
          <w:sz w:val="21"/>
        </w:rPr>
      </w:pPr>
      <w:r>
        <w:rPr>
          <w:spacing w:val="-3"/>
          <w:sz w:val="21"/>
        </w:rPr>
        <w:t>闸门设备使用的语言文字应为中文，专用术语使用外文的，应附有中文注释。</w:t>
      </w:r>
    </w:p>
    <w:p>
      <w:pPr>
        <w:pStyle w:val="ListParagraph"/>
        <w:numPr>
          <w:ilvl w:val="2"/>
          <w:numId w:val="37"/>
        </w:numPr>
        <w:tabs>
          <w:tab w:val="left" w:pos="1915"/>
        </w:tabs>
        <w:spacing w:before="42" w:after="0" w:line="240" w:lineRule="auto"/>
        <w:ind w:left="1914" w:right="0" w:hanging="736"/>
        <w:jc w:val="left"/>
        <w:rPr>
          <w:sz w:val="21"/>
        </w:rPr>
      </w:pPr>
      <w:r>
        <w:rPr>
          <w:spacing w:val="-3"/>
          <w:sz w:val="21"/>
        </w:rPr>
        <w:t>测控一体化闸门的应用应满足以下条件：</w:t>
      </w:r>
    </w:p>
    <w:p>
      <w:pPr>
        <w:pStyle w:val="ListParagraph"/>
        <w:numPr>
          <w:ilvl w:val="3"/>
          <w:numId w:val="37"/>
        </w:numPr>
        <w:tabs>
          <w:tab w:val="left" w:pos="2032"/>
        </w:tabs>
        <w:spacing w:before="43" w:after="0" w:line="240" w:lineRule="auto"/>
        <w:ind w:left="2031" w:right="0" w:hanging="428"/>
        <w:jc w:val="left"/>
        <w:rPr>
          <w:sz w:val="21"/>
        </w:rPr>
      </w:pPr>
      <w:r>
        <w:rPr>
          <w:spacing w:val="-3"/>
          <w:sz w:val="21"/>
        </w:rPr>
        <w:t>应对外部电气设备以及设备本身的电气结构具备一定的电磁兼容性；</w:t>
      </w:r>
    </w:p>
    <w:p>
      <w:pPr>
        <w:pStyle w:val="ListParagraph"/>
        <w:numPr>
          <w:ilvl w:val="3"/>
          <w:numId w:val="37"/>
        </w:numPr>
        <w:tabs>
          <w:tab w:val="left" w:pos="2032"/>
        </w:tabs>
        <w:spacing w:before="43" w:after="0" w:line="240" w:lineRule="auto"/>
        <w:ind w:left="2031" w:right="0" w:hanging="428"/>
        <w:jc w:val="left"/>
        <w:rPr>
          <w:sz w:val="21"/>
        </w:rPr>
      </w:pPr>
      <w:r>
        <w:rPr>
          <w:spacing w:val="-3"/>
          <w:sz w:val="21"/>
        </w:rPr>
        <w:t>应能适应灌区正常年份汛期含沙水的影响及冬季冻胀变形的影响；</w:t>
      </w:r>
    </w:p>
    <w:p>
      <w:pPr>
        <w:pStyle w:val="ListParagraph"/>
        <w:numPr>
          <w:ilvl w:val="3"/>
          <w:numId w:val="37"/>
        </w:numPr>
        <w:tabs>
          <w:tab w:val="left" w:pos="2032"/>
        </w:tabs>
        <w:spacing w:before="43" w:after="0" w:line="240" w:lineRule="auto"/>
        <w:ind w:left="2031" w:right="0" w:hanging="428"/>
        <w:jc w:val="left"/>
        <w:rPr>
          <w:sz w:val="21"/>
        </w:rPr>
      </w:pPr>
      <w:r>
        <w:rPr>
          <w:spacing w:val="-3"/>
          <w:sz w:val="21"/>
        </w:rPr>
        <w:t>闸门止水材料、电缆、密封材料、电子元器件等外漏设施应考虑抗老化性能；</w:t>
      </w:r>
    </w:p>
    <w:p>
      <w:pPr>
        <w:pStyle w:val="ListParagraph"/>
        <w:numPr>
          <w:ilvl w:val="3"/>
          <w:numId w:val="37"/>
        </w:numPr>
        <w:tabs>
          <w:tab w:val="left" w:pos="2032"/>
        </w:tabs>
        <w:spacing w:before="43" w:after="0" w:line="278" w:lineRule="auto"/>
        <w:ind w:left="2031" w:right="872" w:hanging="428"/>
        <w:jc w:val="left"/>
        <w:rPr>
          <w:sz w:val="21"/>
        </w:rPr>
      </w:pPr>
      <w:r>
        <w:rPr>
          <w:spacing w:val="-11"/>
          <w:sz w:val="21"/>
        </w:rPr>
        <w:t>应具备防风沙、防雨、防雷电等性能，备在精度、安装、使用和经济合理性等方面可做合理优</w:t>
      </w:r>
      <w:r>
        <w:rPr>
          <w:sz w:val="21"/>
        </w:rPr>
        <w:t>化。</w:t>
      </w:r>
    </w:p>
    <w:p>
      <w:pPr>
        <w:spacing w:before="161"/>
        <w:ind w:left="1180" w:right="0" w:firstLine="0"/>
        <w:jc w:val="left"/>
        <w:rPr>
          <w:rFonts w:ascii="黑体" w:eastAsia="黑体" w:hint="eastAsia"/>
          <w:sz w:val="21"/>
        </w:rPr>
      </w:pPr>
      <w:r>
        <w:drawing>
          <wp:inline distT="0" distB="0" distL="0" distR="0">
            <wp:extent cx="195071" cy="100583"/>
            <wp:effectExtent l="0" t="0" r="0" b="0"/>
            <wp:docPr id="71"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30.png"/>
                    <pic:cNvPicPr/>
                  </pic:nvPicPr>
                  <pic:blipFill>
                    <a:blip xmlns:r="http://schemas.openxmlformats.org/officeDocument/2006/relationships" r:embed="rId33" cstate="print"/>
                    <a:stretch>
                      <a:fillRect/>
                    </a:stretch>
                  </pic:blipFill>
                  <pic:spPr>
                    <a:xfrm>
                      <a:off x="0" y="0"/>
                      <a:ext cx="195071" cy="100583"/>
                    </a:xfrm>
                    <a:prstGeom prst="rect">
                      <a:avLst/>
                    </a:prstGeom>
                  </pic:spPr>
                </pic:pic>
              </a:graphicData>
            </a:graphic>
          </wp:inline>
        </w:drawing>
      </w:r>
      <w:r>
        <w:rPr>
          <w:rFonts w:ascii="Times New Roman" w:eastAsia="Times New Roman"/>
          <w:sz w:val="20"/>
        </w:rPr>
        <w:t xml:space="preserve">   </w:t>
      </w:r>
      <w:r>
        <w:rPr>
          <w:rFonts w:ascii="Times New Roman" w:eastAsia="Times New Roman"/>
          <w:spacing w:val="16"/>
          <w:sz w:val="20"/>
        </w:rPr>
        <w:t xml:space="preserve"> </w:t>
      </w:r>
      <w:bookmarkStart w:id="8" w:name="6.2　 测流和控制的准确度"/>
      <w:bookmarkEnd w:id="8"/>
      <w:r>
        <w:rPr>
          <w:rFonts w:ascii="黑体" w:eastAsia="黑体" w:hint="eastAsia"/>
          <w:spacing w:val="-3"/>
          <w:sz w:val="21"/>
        </w:rPr>
        <w:t>测流和控制的准确度</w:t>
      </w:r>
    </w:p>
    <w:p>
      <w:pPr>
        <w:pStyle w:val="BodyText"/>
        <w:spacing w:before="7"/>
        <w:rPr>
          <w:rFonts w:ascii="黑体"/>
          <w:sz w:val="9"/>
        </w:rPr>
      </w:pPr>
    </w:p>
    <w:p>
      <w:pPr>
        <w:pStyle w:val="ListParagraph"/>
        <w:numPr>
          <w:ilvl w:val="2"/>
          <w:numId w:val="36"/>
        </w:numPr>
        <w:tabs>
          <w:tab w:val="left" w:pos="1913"/>
        </w:tabs>
        <w:spacing w:before="72" w:after="0" w:line="240" w:lineRule="auto"/>
        <w:ind w:left="1913" w:right="0" w:hanging="735"/>
        <w:jc w:val="left"/>
        <w:rPr>
          <w:sz w:val="21"/>
        </w:rPr>
      </w:pPr>
      <w:r>
        <w:rPr>
          <w:spacing w:val="-3"/>
          <w:sz w:val="21"/>
        </w:rPr>
        <w:t>流量测量准确度应满足下列要求：</w:t>
      </w:r>
    </w:p>
    <w:p>
      <w:pPr>
        <w:pStyle w:val="ListParagraph"/>
        <w:numPr>
          <w:ilvl w:val="3"/>
          <w:numId w:val="36"/>
        </w:numPr>
        <w:tabs>
          <w:tab w:val="left" w:pos="2031"/>
        </w:tabs>
        <w:spacing w:before="43" w:after="0" w:line="278" w:lineRule="auto"/>
        <w:ind w:left="2030" w:right="869" w:hanging="428"/>
        <w:jc w:val="left"/>
        <w:rPr>
          <w:sz w:val="21"/>
        </w:rPr>
      </w:pPr>
      <w:r>
        <w:rPr>
          <w:spacing w:val="-3"/>
          <w:sz w:val="21"/>
        </w:rPr>
        <w:t>测控一体化闸门在设计流量范围内，测量准确度≥</w:t>
      </w:r>
      <w:r>
        <w:rPr>
          <w:sz w:val="21"/>
        </w:rPr>
        <w:t>95</w:t>
      </w:r>
      <w:r>
        <w:rPr>
          <w:spacing w:val="-3"/>
          <w:sz w:val="21"/>
        </w:rPr>
        <w:t>%；设计单位或设备厂家应提出设备安装的进出水条件，并提出不同安装条件对测量准确度的影响；</w:t>
      </w:r>
    </w:p>
    <w:p>
      <w:pPr>
        <w:spacing w:after="0" w:line="278" w:lineRule="auto"/>
        <w:jc w:val="left"/>
        <w:rPr>
          <w:sz w:val="21"/>
        </w:rPr>
        <w:sectPr>
          <w:pgSz w:w="11910" w:h="16840"/>
          <w:pgMar w:top="1580" w:right="260" w:bottom="280" w:left="240" w:header="708" w:footer="708"/>
          <w:pgNumType w:start="9"/>
          <w:cols w:space="708"/>
        </w:sectPr>
      </w:pPr>
    </w:p>
    <w:p>
      <w:pPr>
        <w:pStyle w:val="BodyText"/>
        <w:spacing w:before="11"/>
      </w:pPr>
    </w:p>
    <w:p>
      <w:pPr>
        <w:pStyle w:val="ListParagraph"/>
        <w:numPr>
          <w:ilvl w:val="3"/>
          <w:numId w:val="36"/>
        </w:numPr>
        <w:tabs>
          <w:tab w:val="left" w:pos="1745"/>
        </w:tabs>
        <w:spacing w:before="71" w:after="0" w:line="278" w:lineRule="auto"/>
        <w:ind w:left="1745" w:right="1154" w:hanging="428"/>
        <w:jc w:val="left"/>
        <w:rPr>
          <w:sz w:val="21"/>
        </w:rPr>
      </w:pPr>
      <w:r>
        <w:rPr>
          <w:spacing w:val="-1"/>
          <w:sz w:val="21"/>
        </w:rPr>
        <w:t>测控一体化设备出厂前应进行测流精度测试，并由市场监管部门认定的第三方机构出具测试</w:t>
      </w:r>
      <w:r>
        <w:rPr>
          <w:spacing w:val="-3"/>
          <w:sz w:val="21"/>
        </w:rPr>
        <w:t>报告，测试报告为设备验收的依据，使用单位查阅测试报告合格后方可进场验收；</w:t>
      </w:r>
    </w:p>
    <w:p>
      <w:pPr>
        <w:pStyle w:val="ListParagraph"/>
        <w:numPr>
          <w:ilvl w:val="3"/>
          <w:numId w:val="36"/>
        </w:numPr>
        <w:tabs>
          <w:tab w:val="left" w:pos="1746"/>
        </w:tabs>
        <w:spacing w:before="0" w:after="0" w:line="278" w:lineRule="auto"/>
        <w:ind w:left="1745" w:right="1153" w:hanging="428"/>
        <w:jc w:val="left"/>
        <w:rPr>
          <w:sz w:val="21"/>
        </w:rPr>
      </w:pPr>
      <w:r>
        <w:rPr>
          <w:spacing w:val="-11"/>
          <w:sz w:val="21"/>
        </w:rPr>
        <w:t>现场安装后，若建设或运行管理单位对准确度存在异议，可委托具有相应检测资质的第三方机</w:t>
      </w:r>
      <w:r>
        <w:rPr>
          <w:spacing w:val="-6"/>
          <w:sz w:val="21"/>
        </w:rPr>
        <w:t>构进行检定，每批次每种型号</w:t>
      </w:r>
      <w:r>
        <w:rPr>
          <w:spacing w:val="-3"/>
          <w:sz w:val="21"/>
        </w:rPr>
        <w:t>（</w:t>
      </w:r>
      <w:r>
        <w:rPr>
          <w:spacing w:val="-2"/>
          <w:sz w:val="21"/>
        </w:rPr>
        <w:t>规格</w:t>
      </w:r>
      <w:r>
        <w:rPr>
          <w:sz w:val="21"/>
        </w:rPr>
        <w:t>）</w:t>
      </w:r>
      <w:r>
        <w:rPr>
          <w:spacing w:val="-9"/>
          <w:sz w:val="21"/>
        </w:rPr>
        <w:t xml:space="preserve">抽检比例不低于 </w:t>
      </w:r>
      <w:r>
        <w:rPr>
          <w:rFonts w:ascii="Times New Roman" w:eastAsia="Times New Roman"/>
          <w:sz w:val="21"/>
        </w:rPr>
        <w:t>10%</w:t>
      </w:r>
      <w:r>
        <w:rPr>
          <w:spacing w:val="-8"/>
          <w:sz w:val="21"/>
        </w:rPr>
        <w:t xml:space="preserve">，比测方法参照附录 </w:t>
      </w:r>
      <w:r>
        <w:rPr>
          <w:rFonts w:ascii="Times New Roman" w:eastAsia="Times New Roman"/>
          <w:sz w:val="21"/>
        </w:rPr>
        <w:t>A</w:t>
      </w:r>
      <w:r>
        <w:rPr>
          <w:rFonts w:ascii="Times New Roman" w:eastAsia="Times New Roman"/>
          <w:spacing w:val="4"/>
          <w:sz w:val="21"/>
        </w:rPr>
        <w:t xml:space="preserve"> </w:t>
      </w:r>
      <w:r>
        <w:rPr>
          <w:spacing w:val="-3"/>
          <w:sz w:val="21"/>
        </w:rPr>
        <w:t>执行。</w:t>
      </w:r>
    </w:p>
    <w:p>
      <w:pPr>
        <w:pStyle w:val="ListParagraph"/>
        <w:numPr>
          <w:ilvl w:val="2"/>
          <w:numId w:val="36"/>
        </w:numPr>
        <w:tabs>
          <w:tab w:val="left" w:pos="1628"/>
        </w:tabs>
        <w:spacing w:before="0" w:after="0" w:line="269" w:lineRule="exact"/>
        <w:ind w:left="1627" w:right="0" w:hanging="735"/>
        <w:jc w:val="left"/>
        <w:rPr>
          <w:sz w:val="21"/>
        </w:rPr>
      </w:pPr>
      <w:r>
        <w:rPr>
          <w:spacing w:val="-3"/>
          <w:sz w:val="21"/>
        </w:rPr>
        <w:t>水位测量精度应满足下列要求：</w:t>
      </w:r>
    </w:p>
    <w:p>
      <w:pPr>
        <w:pStyle w:val="ListParagraph"/>
        <w:numPr>
          <w:ilvl w:val="3"/>
          <w:numId w:val="36"/>
        </w:numPr>
        <w:tabs>
          <w:tab w:val="left" w:pos="1746"/>
        </w:tabs>
        <w:spacing w:before="43" w:after="0" w:line="240" w:lineRule="auto"/>
        <w:ind w:left="1745" w:right="0" w:hanging="428"/>
        <w:jc w:val="left"/>
        <w:rPr>
          <w:sz w:val="21"/>
        </w:rPr>
      </w:pPr>
      <w:r>
        <w:rPr>
          <w:spacing w:val="-3"/>
          <w:sz w:val="21"/>
        </w:rPr>
        <w:t>内置水位传感器或外置水位传感器，均应适应测流箱安装与运行环境的要求；</w:t>
      </w:r>
    </w:p>
    <w:p>
      <w:pPr>
        <w:pStyle w:val="ListParagraph"/>
        <w:numPr>
          <w:ilvl w:val="3"/>
          <w:numId w:val="36"/>
        </w:numPr>
        <w:tabs>
          <w:tab w:val="left" w:pos="1746"/>
        </w:tabs>
        <w:spacing w:before="43" w:after="0" w:line="240" w:lineRule="auto"/>
        <w:ind w:left="1745" w:right="0" w:hanging="428"/>
        <w:jc w:val="left"/>
        <w:rPr>
          <w:sz w:val="21"/>
        </w:rPr>
      </w:pPr>
      <w:r>
        <w:rPr>
          <w:spacing w:val="-3"/>
          <w:sz w:val="21"/>
        </w:rPr>
        <w:t>水位测量精度不应超过</w:t>
      </w:r>
      <w:r>
        <w:rPr>
          <w:rFonts w:ascii="Times New Roman" w:eastAsia="Times New Roman" w:hAnsi="Times New Roman"/>
          <w:sz w:val="21"/>
        </w:rPr>
        <w:t>±</w:t>
      </w:r>
      <w:r>
        <w:rPr>
          <w:sz w:val="21"/>
        </w:rPr>
        <w:t>0.5cm</w:t>
      </w:r>
      <w:r>
        <w:rPr>
          <w:spacing w:val="-10"/>
          <w:sz w:val="21"/>
        </w:rPr>
        <w:t xml:space="preserve">，分辨率为 </w:t>
      </w:r>
      <w:r>
        <w:rPr>
          <w:sz w:val="21"/>
        </w:rPr>
        <w:t>0.1cm。</w:t>
      </w:r>
    </w:p>
    <w:p>
      <w:pPr>
        <w:pStyle w:val="ListParagraph"/>
        <w:numPr>
          <w:ilvl w:val="2"/>
          <w:numId w:val="36"/>
        </w:numPr>
        <w:tabs>
          <w:tab w:val="left" w:pos="1629"/>
        </w:tabs>
        <w:spacing w:before="43" w:after="0" w:line="240" w:lineRule="auto"/>
        <w:ind w:left="1628" w:right="0" w:hanging="736"/>
        <w:jc w:val="left"/>
        <w:rPr>
          <w:sz w:val="21"/>
        </w:rPr>
      </w:pPr>
      <w:r>
        <w:rPr>
          <w:spacing w:val="-3"/>
          <w:sz w:val="21"/>
        </w:rPr>
        <w:t>闸门开度及启闭速度应满足下列要求：</w:t>
      </w:r>
    </w:p>
    <w:p>
      <w:pPr>
        <w:pStyle w:val="ListParagraph"/>
        <w:numPr>
          <w:ilvl w:val="3"/>
          <w:numId w:val="36"/>
        </w:numPr>
        <w:tabs>
          <w:tab w:val="left" w:pos="1746"/>
        </w:tabs>
        <w:spacing w:before="42" w:after="0" w:line="240" w:lineRule="auto"/>
        <w:ind w:left="1745" w:right="0" w:hanging="428"/>
        <w:jc w:val="left"/>
        <w:rPr>
          <w:sz w:val="21"/>
        </w:rPr>
      </w:pPr>
      <w:r>
        <w:rPr>
          <w:spacing w:val="-3"/>
          <w:sz w:val="21"/>
        </w:rPr>
        <w:t>闸门在设计工况下工作时开度偏差</w:t>
      </w:r>
      <w:r>
        <w:rPr>
          <w:rFonts w:ascii="Times New Roman" w:eastAsia="Times New Roman" w:hAnsi="Times New Roman"/>
          <w:sz w:val="21"/>
        </w:rPr>
        <w:t>±</w:t>
      </w:r>
      <w:r>
        <w:rPr>
          <w:sz w:val="21"/>
        </w:rPr>
        <w:t>0.1cm；</w:t>
      </w:r>
    </w:p>
    <w:p>
      <w:pPr>
        <w:pStyle w:val="ListParagraph"/>
        <w:numPr>
          <w:ilvl w:val="3"/>
          <w:numId w:val="36"/>
        </w:numPr>
        <w:tabs>
          <w:tab w:val="left" w:pos="1746"/>
        </w:tabs>
        <w:spacing w:before="43" w:after="0" w:line="278" w:lineRule="auto"/>
        <w:ind w:left="1746" w:right="1154" w:hanging="428"/>
        <w:jc w:val="left"/>
        <w:rPr>
          <w:sz w:val="21"/>
        </w:rPr>
      </w:pPr>
      <w:r>
        <w:rPr>
          <w:spacing w:val="-3"/>
          <w:sz w:val="21"/>
        </w:rPr>
        <w:t>闸门启闭速度，</w:t>
      </w:r>
      <w:r>
        <w:rPr>
          <w:spacing w:val="-1"/>
          <w:sz w:val="21"/>
        </w:rPr>
        <w:t>5.0cm/min</w:t>
      </w:r>
      <w:r>
        <w:rPr>
          <w:spacing w:val="-3"/>
          <w:sz w:val="21"/>
        </w:rPr>
        <w:t>≤启闭速度（</w:t>
      </w:r>
      <w:r>
        <w:rPr>
          <w:spacing w:val="-2"/>
          <w:sz w:val="21"/>
        </w:rPr>
        <w:t>电动</w:t>
      </w:r>
      <w:r>
        <w:rPr>
          <w:sz w:val="21"/>
        </w:rPr>
        <w:t>）≤10.0cm/min</w:t>
      </w:r>
      <w:r>
        <w:rPr>
          <w:spacing w:val="-3"/>
          <w:sz w:val="21"/>
        </w:rPr>
        <w:t>，对启闭机速度有更高要求的闸门，应根据实际需求进行明确。</w:t>
      </w:r>
    </w:p>
    <w:p>
      <w:pPr>
        <w:pStyle w:val="ListParagraph"/>
        <w:numPr>
          <w:ilvl w:val="2"/>
          <w:numId w:val="36"/>
        </w:numPr>
        <w:tabs>
          <w:tab w:val="left" w:pos="1629"/>
        </w:tabs>
        <w:spacing w:before="0" w:after="0" w:line="269" w:lineRule="exact"/>
        <w:ind w:left="1628" w:right="0" w:hanging="735"/>
        <w:jc w:val="left"/>
        <w:rPr>
          <w:sz w:val="21"/>
        </w:rPr>
      </w:pPr>
      <w:r>
        <w:rPr>
          <w:spacing w:val="-6"/>
          <w:sz w:val="21"/>
        </w:rPr>
        <w:t xml:space="preserve">测控一体化闸门测流精度比测要求详见附录 </w:t>
      </w:r>
      <w:r>
        <w:rPr>
          <w:spacing w:val="-3"/>
          <w:sz w:val="21"/>
        </w:rPr>
        <w:t>A</w:t>
      </w:r>
      <w:r>
        <w:rPr>
          <w:sz w:val="21"/>
        </w:rPr>
        <w:t>。</w:t>
      </w:r>
    </w:p>
    <w:p>
      <w:pPr>
        <w:pStyle w:val="BodyText"/>
        <w:spacing w:before="9"/>
        <w:rPr>
          <w:sz w:val="27"/>
        </w:rPr>
      </w:pPr>
    </w:p>
    <w:p>
      <w:pPr>
        <w:pStyle w:val="ListParagraph"/>
        <w:numPr>
          <w:ilvl w:val="1"/>
          <w:numId w:val="41"/>
        </w:numPr>
        <w:tabs>
          <w:tab w:val="left" w:pos="1351"/>
        </w:tabs>
        <w:spacing w:before="0" w:after="0" w:line="240" w:lineRule="auto"/>
        <w:ind w:left="1350" w:right="0" w:hanging="315"/>
        <w:jc w:val="left"/>
        <w:rPr>
          <w:rFonts w:ascii="黑体" w:eastAsia="黑体" w:hint="eastAsia"/>
          <w:sz w:val="21"/>
        </w:rPr>
      </w:pPr>
      <w:bookmarkStart w:id="9" w:name="7　 闸门控制系统"/>
      <w:bookmarkEnd w:id="9"/>
      <w:r>
        <w:rPr>
          <w:rFonts w:ascii="黑体" w:eastAsia="黑体" w:hint="eastAsia"/>
          <w:spacing w:val="-2"/>
          <w:sz w:val="21"/>
        </w:rPr>
        <w:t>闸门控制系统</w:t>
      </w:r>
    </w:p>
    <w:p>
      <w:pPr>
        <w:pStyle w:val="BodyText"/>
        <w:spacing w:before="2"/>
        <w:rPr>
          <w:rFonts w:ascii="黑体"/>
          <w:sz w:val="22"/>
        </w:rPr>
      </w:pPr>
    </w:p>
    <w:p>
      <w:pPr>
        <w:spacing w:before="74"/>
        <w:ind w:left="895" w:right="0" w:firstLine="0"/>
        <w:jc w:val="left"/>
        <w:rPr>
          <w:rFonts w:ascii="黑体" w:eastAsia="黑体" w:hint="eastAsia"/>
          <w:sz w:val="21"/>
        </w:rPr>
      </w:pPr>
      <w:r>
        <w:drawing>
          <wp:inline distT="0" distB="0" distL="0" distR="0">
            <wp:extent cx="176771" cy="99059"/>
            <wp:effectExtent l="0" t="0" r="0" b="0"/>
            <wp:docPr id="73"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31.png"/>
                    <pic:cNvPicPr/>
                  </pic:nvPicPr>
                  <pic:blipFill>
                    <a:blip xmlns:r="http://schemas.openxmlformats.org/officeDocument/2006/relationships" r:embed="rId34" cstate="print"/>
                    <a:stretch>
                      <a:fillRect/>
                    </a:stretch>
                  </pic:blipFill>
                  <pic:spPr>
                    <a:xfrm>
                      <a:off x="0" y="0"/>
                      <a:ext cx="176771" cy="99059"/>
                    </a:xfrm>
                    <a:prstGeom prst="rect">
                      <a:avLst/>
                    </a:prstGeom>
                  </pic:spPr>
                </pic:pic>
              </a:graphicData>
            </a:graphic>
          </wp:inline>
        </w:drawing>
      </w:r>
      <w:r>
        <w:rPr>
          <w:rFonts w:ascii="Times New Roman" w:eastAsia="Times New Roman"/>
          <w:sz w:val="20"/>
        </w:rPr>
        <w:t xml:space="preserve">    </w:t>
      </w:r>
      <w:r>
        <w:rPr>
          <w:rFonts w:ascii="Times New Roman" w:eastAsia="Times New Roman"/>
          <w:spacing w:val="-6"/>
          <w:sz w:val="20"/>
        </w:rPr>
        <w:t xml:space="preserve"> </w:t>
      </w:r>
      <w:bookmarkStart w:id="10" w:name="7.1　 数据类别"/>
      <w:bookmarkEnd w:id="10"/>
      <w:r>
        <w:rPr>
          <w:rFonts w:ascii="黑体" w:eastAsia="黑体" w:hint="eastAsia"/>
          <w:spacing w:val="-2"/>
          <w:sz w:val="21"/>
        </w:rPr>
        <w:t>数据类别</w:t>
      </w:r>
    </w:p>
    <w:p>
      <w:pPr>
        <w:pStyle w:val="BodyText"/>
        <w:spacing w:before="10"/>
        <w:rPr>
          <w:rFonts w:ascii="黑体"/>
          <w:sz w:val="9"/>
        </w:rPr>
      </w:pPr>
    </w:p>
    <w:p>
      <w:pPr>
        <w:pStyle w:val="ListParagraph"/>
        <w:numPr>
          <w:ilvl w:val="2"/>
          <w:numId w:val="35"/>
        </w:numPr>
        <w:tabs>
          <w:tab w:val="left" w:pos="1628"/>
        </w:tabs>
        <w:spacing w:before="72" w:after="0" w:line="278" w:lineRule="auto"/>
        <w:ind w:left="892" w:right="1154" w:firstLine="0"/>
        <w:jc w:val="left"/>
        <w:rPr>
          <w:sz w:val="21"/>
        </w:rPr>
      </w:pPr>
      <w:r>
        <w:rPr>
          <w:spacing w:val="-3"/>
          <w:sz w:val="21"/>
        </w:rPr>
        <w:t>数据范围包括测控一体化闸门安装基础数据、运行过程数据及业务生产数据，数据分类应符合以下要求：</w:t>
      </w:r>
    </w:p>
    <w:p>
      <w:pPr>
        <w:pStyle w:val="ListParagraph"/>
        <w:numPr>
          <w:ilvl w:val="3"/>
          <w:numId w:val="35"/>
        </w:numPr>
        <w:tabs>
          <w:tab w:val="left" w:pos="1745"/>
        </w:tabs>
        <w:spacing w:before="0" w:after="0" w:line="269" w:lineRule="exact"/>
        <w:ind w:left="1744" w:right="0" w:hanging="428"/>
        <w:jc w:val="left"/>
        <w:rPr>
          <w:sz w:val="21"/>
        </w:rPr>
      </w:pPr>
      <w:r>
        <w:rPr>
          <w:spacing w:val="-3"/>
          <w:sz w:val="21"/>
        </w:rPr>
        <w:t>安装基础数据包括闸门基本性能参数、安装高程（绝对高程及相对高程</w:t>
      </w:r>
      <w:r>
        <w:rPr>
          <w:sz w:val="21"/>
        </w:rPr>
        <w:t>）；</w:t>
      </w:r>
    </w:p>
    <w:p>
      <w:pPr>
        <w:pStyle w:val="ListParagraph"/>
        <w:numPr>
          <w:ilvl w:val="3"/>
          <w:numId w:val="35"/>
        </w:numPr>
        <w:tabs>
          <w:tab w:val="left" w:pos="1745"/>
        </w:tabs>
        <w:spacing w:before="43" w:after="0" w:line="278" w:lineRule="auto"/>
        <w:ind w:left="1744" w:right="1153" w:hanging="428"/>
        <w:jc w:val="left"/>
        <w:rPr>
          <w:sz w:val="21"/>
        </w:rPr>
      </w:pPr>
      <w:r>
        <w:drawing>
          <wp:anchor distT="0" distB="0" distL="0" distR="0" simplePos="0" relativeHeight="251684864" behindDoc="0" locked="0" layoutInCell="1" allowOverlap="1">
            <wp:simplePos x="0" y="0"/>
            <wp:positionH relativeFrom="page">
              <wp:posOffset>215900</wp:posOffset>
            </wp:positionH>
            <wp:positionV relativeFrom="paragraph">
              <wp:posOffset>169896</wp:posOffset>
            </wp:positionV>
            <wp:extent cx="7112000" cy="4876800"/>
            <wp:effectExtent l="0" t="0" r="0" b="0"/>
            <wp:wrapNone/>
            <wp:docPr id="7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2.png"/>
                    <pic:cNvPicPr/>
                  </pic:nvPicPr>
                  <pic:blipFill>
                    <a:blip xmlns:r="http://schemas.openxmlformats.org/officeDocument/2006/relationships" r:embed="rId5" cstate="print"/>
                    <a:stretch>
                      <a:fillRect/>
                    </a:stretch>
                  </pic:blipFill>
                  <pic:spPr>
                    <a:xfrm>
                      <a:off x="0" y="0"/>
                      <a:ext cx="7112000" cy="4876800"/>
                    </a:xfrm>
                    <a:prstGeom prst="rect">
                      <a:avLst/>
                    </a:prstGeom>
                  </pic:spPr>
                </pic:pic>
              </a:graphicData>
            </a:graphic>
          </wp:anchor>
        </w:drawing>
      </w:r>
      <w:r>
        <w:rPr>
          <w:spacing w:val="-19"/>
          <w:sz w:val="21"/>
        </w:rPr>
        <w:t>运行过程数据包括闸门开度、闸门状态、启闭机状态、闸门位移越限开关状态、电机运行参数、</w:t>
      </w:r>
      <w:r>
        <w:rPr>
          <w:spacing w:val="-8"/>
          <w:sz w:val="21"/>
        </w:rPr>
        <w:t>水位、流量等各类参数，状态信号与报警数据；</w:t>
      </w:r>
    </w:p>
    <w:p>
      <w:pPr>
        <w:pStyle w:val="ListParagraph"/>
        <w:numPr>
          <w:ilvl w:val="3"/>
          <w:numId w:val="35"/>
        </w:numPr>
        <w:tabs>
          <w:tab w:val="left" w:pos="1746"/>
        </w:tabs>
        <w:spacing w:before="0" w:after="0" w:line="269" w:lineRule="exact"/>
        <w:ind w:left="1745" w:right="0" w:hanging="429"/>
        <w:jc w:val="left"/>
        <w:rPr>
          <w:sz w:val="21"/>
        </w:rPr>
      </w:pPr>
      <w:r>
        <w:rPr>
          <w:spacing w:val="-3"/>
          <w:sz w:val="21"/>
        </w:rPr>
        <w:t>业务生产数据包括用户信息及用水信息、用水统计信息、调度信息等；</w:t>
      </w:r>
    </w:p>
    <w:p>
      <w:pPr>
        <w:pStyle w:val="ListParagraph"/>
        <w:numPr>
          <w:ilvl w:val="3"/>
          <w:numId w:val="35"/>
        </w:numPr>
        <w:tabs>
          <w:tab w:val="left" w:pos="1746"/>
        </w:tabs>
        <w:spacing w:before="42" w:after="0" w:line="240" w:lineRule="auto"/>
        <w:ind w:left="1745" w:right="0" w:hanging="429"/>
        <w:jc w:val="left"/>
        <w:rPr>
          <w:sz w:val="21"/>
        </w:rPr>
      </w:pPr>
      <w:r>
        <w:rPr>
          <w:spacing w:val="-3"/>
          <w:sz w:val="21"/>
        </w:rPr>
        <w:t>各类信息按照不同场景和响应等级分为主动上报、按需智能上报和定时上报。</w:t>
      </w:r>
    </w:p>
    <w:p>
      <w:pPr>
        <w:pStyle w:val="ListParagraph"/>
        <w:numPr>
          <w:ilvl w:val="2"/>
          <w:numId w:val="35"/>
        </w:numPr>
        <w:tabs>
          <w:tab w:val="left" w:pos="1628"/>
        </w:tabs>
        <w:spacing w:before="43" w:after="0" w:line="278" w:lineRule="auto"/>
        <w:ind w:left="893" w:right="1047" w:hanging="1"/>
        <w:jc w:val="left"/>
        <w:rPr>
          <w:sz w:val="21"/>
        </w:rPr>
      </w:pPr>
      <w:r>
        <w:rPr>
          <w:spacing w:val="-3"/>
          <w:sz w:val="21"/>
        </w:rPr>
        <w:t>数据实时采集、间隔上报，采集频率</w:t>
      </w:r>
      <w:r>
        <w:rPr>
          <w:rFonts w:ascii="Times New Roman" w:eastAsia="Times New Roman" w:hAnsi="Times New Roman"/>
          <w:sz w:val="21"/>
        </w:rPr>
        <w:t>≤</w:t>
      </w:r>
      <w:r>
        <w:rPr>
          <w:sz w:val="21"/>
        </w:rPr>
        <w:t>1min</w:t>
      </w:r>
      <w:r>
        <w:rPr>
          <w:spacing w:val="-1"/>
          <w:sz w:val="21"/>
        </w:rPr>
        <w:t xml:space="preserve">；数据一般 </w:t>
      </w:r>
      <w:r>
        <w:rPr>
          <w:sz w:val="21"/>
        </w:rPr>
        <w:t>5min</w:t>
      </w:r>
      <w:r>
        <w:rPr>
          <w:rFonts w:ascii="Times New Roman" w:eastAsia="Times New Roman" w:hAnsi="Times New Roman"/>
          <w:sz w:val="21"/>
        </w:rPr>
        <w:t>~</w:t>
      </w:r>
      <w:r>
        <w:rPr>
          <w:sz w:val="21"/>
        </w:rPr>
        <w:t>10min</w:t>
      </w:r>
      <w:r>
        <w:rPr>
          <w:spacing w:val="-3"/>
          <w:sz w:val="21"/>
        </w:rPr>
        <w:t xml:space="preserve"> 上报一次；数据有变化时， 可根据实际情况加报。</w:t>
      </w:r>
    </w:p>
    <w:p>
      <w:pPr>
        <w:pStyle w:val="ListParagraph"/>
        <w:numPr>
          <w:ilvl w:val="2"/>
          <w:numId w:val="35"/>
        </w:numPr>
        <w:tabs>
          <w:tab w:val="left" w:pos="1629"/>
        </w:tabs>
        <w:spacing w:before="0" w:after="0" w:line="269" w:lineRule="exact"/>
        <w:ind w:left="1628" w:right="0" w:hanging="736"/>
        <w:jc w:val="left"/>
        <w:rPr>
          <w:sz w:val="21"/>
        </w:rPr>
      </w:pPr>
      <w:r>
        <w:rPr>
          <w:spacing w:val="-8"/>
          <w:sz w:val="21"/>
        </w:rPr>
        <w:t xml:space="preserve">数据采集要求详见附录 </w:t>
      </w:r>
      <w:r>
        <w:rPr>
          <w:spacing w:val="-3"/>
          <w:sz w:val="21"/>
        </w:rPr>
        <w:t>B</w:t>
      </w:r>
      <w:r>
        <w:rPr>
          <w:sz w:val="21"/>
        </w:rPr>
        <w:t>。</w:t>
      </w:r>
    </w:p>
    <w:p>
      <w:pPr>
        <w:pStyle w:val="BodyText"/>
        <w:rPr>
          <w:sz w:val="10"/>
        </w:rPr>
      </w:pPr>
    </w:p>
    <w:p>
      <w:pPr>
        <w:spacing w:before="74"/>
        <w:ind w:left="895" w:right="0" w:firstLine="0"/>
        <w:jc w:val="left"/>
        <w:rPr>
          <w:rFonts w:ascii="黑体" w:eastAsia="黑体" w:hint="eastAsia"/>
          <w:sz w:val="21"/>
        </w:rPr>
      </w:pPr>
      <w:r>
        <w:drawing>
          <wp:inline distT="0" distB="0" distL="0" distR="0">
            <wp:extent cx="195059" cy="99059"/>
            <wp:effectExtent l="0" t="0" r="0" b="0"/>
            <wp:docPr id="77"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32.png"/>
                    <pic:cNvPicPr/>
                  </pic:nvPicPr>
                  <pic:blipFill>
                    <a:blip xmlns:r="http://schemas.openxmlformats.org/officeDocument/2006/relationships" r:embed="rId35" cstate="print"/>
                    <a:stretch>
                      <a:fillRect/>
                    </a:stretch>
                  </pic:blipFill>
                  <pic:spPr>
                    <a:xfrm>
                      <a:off x="0" y="0"/>
                      <a:ext cx="195059" cy="99059"/>
                    </a:xfrm>
                    <a:prstGeom prst="rect">
                      <a:avLst/>
                    </a:prstGeom>
                  </pic:spPr>
                </pic:pic>
              </a:graphicData>
            </a:graphic>
          </wp:inline>
        </w:drawing>
      </w:r>
      <w:r>
        <w:rPr>
          <w:rFonts w:ascii="Times New Roman" w:eastAsia="Times New Roman"/>
          <w:sz w:val="20"/>
        </w:rPr>
        <w:t xml:space="preserve">   </w:t>
      </w:r>
      <w:r>
        <w:rPr>
          <w:rFonts w:ascii="Times New Roman" w:eastAsia="Times New Roman"/>
          <w:spacing w:val="16"/>
          <w:sz w:val="20"/>
        </w:rPr>
        <w:t xml:space="preserve"> </w:t>
      </w:r>
      <w:bookmarkStart w:id="11" w:name="7.2　 数据传输"/>
      <w:bookmarkEnd w:id="11"/>
      <w:r>
        <w:rPr>
          <w:rFonts w:ascii="黑体" w:eastAsia="黑体" w:hint="eastAsia"/>
          <w:spacing w:val="-1"/>
          <w:sz w:val="21"/>
        </w:rPr>
        <w:t>数据传输</w:t>
      </w:r>
    </w:p>
    <w:p>
      <w:pPr>
        <w:pStyle w:val="BodyText"/>
        <w:spacing w:before="10"/>
        <w:rPr>
          <w:rFonts w:ascii="黑体"/>
          <w:sz w:val="9"/>
        </w:rPr>
      </w:pPr>
    </w:p>
    <w:p>
      <w:pPr>
        <w:pStyle w:val="ListParagraph"/>
        <w:numPr>
          <w:ilvl w:val="2"/>
          <w:numId w:val="34"/>
        </w:numPr>
        <w:tabs>
          <w:tab w:val="left" w:pos="1628"/>
        </w:tabs>
        <w:spacing w:before="71" w:after="0" w:line="240" w:lineRule="auto"/>
        <w:ind w:left="1627" w:right="0" w:hanging="736"/>
        <w:jc w:val="left"/>
        <w:rPr>
          <w:sz w:val="21"/>
        </w:rPr>
      </w:pPr>
      <w:r>
        <w:rPr>
          <w:spacing w:val="-3"/>
          <w:sz w:val="21"/>
        </w:rPr>
        <w:t>数据传输通讯应满足下列要求：</w:t>
      </w:r>
    </w:p>
    <w:p>
      <w:pPr>
        <w:pStyle w:val="ListParagraph"/>
        <w:numPr>
          <w:ilvl w:val="3"/>
          <w:numId w:val="34"/>
        </w:numPr>
        <w:tabs>
          <w:tab w:val="left" w:pos="1745"/>
        </w:tabs>
        <w:spacing w:before="43" w:after="0" w:line="240" w:lineRule="auto"/>
        <w:ind w:left="1744" w:right="0" w:hanging="428"/>
        <w:jc w:val="left"/>
        <w:rPr>
          <w:sz w:val="21"/>
        </w:rPr>
      </w:pPr>
      <w:r>
        <w:rPr>
          <w:spacing w:val="-12"/>
          <w:sz w:val="21"/>
        </w:rPr>
        <w:t xml:space="preserve">通讯支持 </w:t>
      </w:r>
      <w:r>
        <w:rPr>
          <w:sz w:val="21"/>
        </w:rPr>
        <w:t>4G/5G</w:t>
      </w:r>
      <w:r>
        <w:rPr>
          <w:spacing w:val="-9"/>
          <w:sz w:val="21"/>
        </w:rPr>
        <w:t xml:space="preserve"> 或其他适合的无线通讯方式，并预留有线通讯接口；</w:t>
      </w:r>
    </w:p>
    <w:p>
      <w:pPr>
        <w:pStyle w:val="ListParagraph"/>
        <w:numPr>
          <w:ilvl w:val="3"/>
          <w:numId w:val="34"/>
        </w:numPr>
        <w:tabs>
          <w:tab w:val="left" w:pos="1746"/>
        </w:tabs>
        <w:spacing w:before="43" w:after="0" w:line="278" w:lineRule="auto"/>
        <w:ind w:left="1745" w:right="1153" w:hanging="428"/>
        <w:jc w:val="left"/>
        <w:rPr>
          <w:sz w:val="21"/>
        </w:rPr>
      </w:pPr>
      <w:r>
        <w:rPr>
          <w:spacing w:val="-8"/>
          <w:sz w:val="21"/>
        </w:rPr>
        <w:t>设备应支持闸门远程操作和参数远程设置，支持闸门控制程序远程升级，保持设备运行过程中</w:t>
      </w:r>
      <w:r>
        <w:rPr>
          <w:spacing w:val="-5"/>
          <w:sz w:val="21"/>
        </w:rPr>
        <w:t>通讯系统稳定，数据传输连续、可靠；</w:t>
      </w:r>
    </w:p>
    <w:p>
      <w:pPr>
        <w:pStyle w:val="ListParagraph"/>
        <w:numPr>
          <w:ilvl w:val="3"/>
          <w:numId w:val="34"/>
        </w:numPr>
        <w:tabs>
          <w:tab w:val="left" w:pos="1746"/>
        </w:tabs>
        <w:spacing w:before="0" w:after="0" w:line="269" w:lineRule="exact"/>
        <w:ind w:left="1745" w:right="0" w:hanging="429"/>
        <w:jc w:val="left"/>
        <w:rPr>
          <w:sz w:val="21"/>
        </w:rPr>
      </w:pPr>
      <w:r>
        <w:rPr>
          <w:spacing w:val="-3"/>
          <w:sz w:val="21"/>
        </w:rPr>
        <w:t>设备应具有自动与控制中心校时功能；</w:t>
      </w:r>
    </w:p>
    <w:p>
      <w:pPr>
        <w:pStyle w:val="ListParagraph"/>
        <w:numPr>
          <w:ilvl w:val="3"/>
          <w:numId w:val="34"/>
        </w:numPr>
        <w:tabs>
          <w:tab w:val="left" w:pos="1746"/>
        </w:tabs>
        <w:spacing w:before="43" w:after="0" w:line="240" w:lineRule="auto"/>
        <w:ind w:left="1745" w:right="0" w:hanging="429"/>
        <w:jc w:val="left"/>
        <w:rPr>
          <w:sz w:val="21"/>
        </w:rPr>
      </w:pPr>
      <w:r>
        <w:rPr>
          <w:spacing w:val="-3"/>
          <w:sz w:val="21"/>
        </w:rPr>
        <w:t>设备应具有断线续传功能；</w:t>
      </w:r>
    </w:p>
    <w:p>
      <w:pPr>
        <w:pStyle w:val="ListParagraph"/>
        <w:numPr>
          <w:ilvl w:val="3"/>
          <w:numId w:val="34"/>
        </w:numPr>
        <w:tabs>
          <w:tab w:val="left" w:pos="1746"/>
        </w:tabs>
        <w:spacing w:before="43" w:after="0" w:line="240" w:lineRule="auto"/>
        <w:ind w:left="1745" w:right="0" w:hanging="429"/>
        <w:jc w:val="left"/>
        <w:rPr>
          <w:sz w:val="21"/>
        </w:rPr>
      </w:pPr>
      <w:r>
        <w:rPr>
          <w:spacing w:val="-3"/>
          <w:sz w:val="21"/>
        </w:rPr>
        <w:t>提供设备与云端的上下行通道双向通信；提供设备影子缓存机制，与应用解耦。</w:t>
      </w:r>
    </w:p>
    <w:p>
      <w:pPr>
        <w:pStyle w:val="ListParagraph"/>
        <w:numPr>
          <w:ilvl w:val="2"/>
          <w:numId w:val="34"/>
        </w:numPr>
        <w:tabs>
          <w:tab w:val="left" w:pos="1628"/>
        </w:tabs>
        <w:spacing w:before="43" w:after="0" w:line="278" w:lineRule="auto"/>
        <w:ind w:left="893" w:right="1153" w:hanging="1"/>
        <w:jc w:val="left"/>
        <w:rPr>
          <w:sz w:val="21"/>
        </w:rPr>
      </w:pPr>
      <w:r>
        <w:rPr>
          <w:spacing w:val="-3"/>
          <w:sz w:val="21"/>
        </w:rPr>
        <w:t>灌区一体化闸门测控数据向水利云上传应采用国产加密传输，并按照统一设备认证、统一权限和统一编码的方式对设备进行管理，测控数据需在脱敏脱密后方可共享使用。</w:t>
      </w:r>
    </w:p>
    <w:p>
      <w:pPr>
        <w:pStyle w:val="ListParagraph"/>
        <w:numPr>
          <w:ilvl w:val="2"/>
          <w:numId w:val="34"/>
        </w:numPr>
        <w:tabs>
          <w:tab w:val="left" w:pos="1628"/>
        </w:tabs>
        <w:spacing w:before="0" w:after="0" w:line="269" w:lineRule="exact"/>
        <w:ind w:left="1627" w:right="0" w:hanging="735"/>
        <w:jc w:val="left"/>
        <w:rPr>
          <w:sz w:val="21"/>
        </w:rPr>
      </w:pPr>
      <w:r>
        <w:rPr>
          <w:spacing w:val="-3"/>
          <w:sz w:val="21"/>
        </w:rPr>
        <w:t>在公共网络未完全覆盖的边缘区域，应通过聚合通讯等方式提升或补齐公共网络的覆盖能力。</w:t>
      </w:r>
    </w:p>
    <w:p>
      <w:pPr>
        <w:pStyle w:val="ListParagraph"/>
        <w:numPr>
          <w:ilvl w:val="2"/>
          <w:numId w:val="34"/>
        </w:numPr>
        <w:tabs>
          <w:tab w:val="left" w:pos="1628"/>
        </w:tabs>
        <w:spacing w:before="43" w:after="0" w:line="278" w:lineRule="auto"/>
        <w:ind w:left="893" w:right="1047" w:hanging="1"/>
        <w:jc w:val="left"/>
        <w:rPr>
          <w:sz w:val="21"/>
        </w:rPr>
      </w:pPr>
      <w:r>
        <w:rPr>
          <w:spacing w:val="-16"/>
          <w:sz w:val="21"/>
        </w:rPr>
        <w:t xml:space="preserve">支持 </w:t>
      </w:r>
      <w:r>
        <w:rPr>
          <w:sz w:val="21"/>
        </w:rPr>
        <w:t>16</w:t>
      </w:r>
      <w:r>
        <w:rPr>
          <w:spacing w:val="-10"/>
          <w:sz w:val="21"/>
        </w:rPr>
        <w:t xml:space="preserve"> 进制字节传输方式，采用异步式传输数据格式，详见附录 </w:t>
      </w:r>
      <w:r>
        <w:rPr>
          <w:sz w:val="21"/>
        </w:rPr>
        <w:t>C</w:t>
      </w:r>
      <w:r>
        <w:rPr>
          <w:spacing w:val="-13"/>
          <w:sz w:val="21"/>
        </w:rPr>
        <w:t xml:space="preserve">、附录 </w:t>
      </w:r>
      <w:r>
        <w:rPr>
          <w:sz w:val="21"/>
        </w:rPr>
        <w:t>D</w:t>
      </w:r>
      <w:r>
        <w:rPr>
          <w:spacing w:val="-13"/>
          <w:sz w:val="21"/>
        </w:rPr>
        <w:t xml:space="preserve">、附录 </w:t>
      </w:r>
      <w:r>
        <w:rPr>
          <w:sz w:val="21"/>
        </w:rPr>
        <w:t>E</w:t>
      </w:r>
      <w:r>
        <w:rPr>
          <w:spacing w:val="-13"/>
          <w:sz w:val="21"/>
        </w:rPr>
        <w:t xml:space="preserve">、附录 </w:t>
      </w:r>
      <w:r>
        <w:rPr>
          <w:spacing w:val="-3"/>
          <w:sz w:val="21"/>
        </w:rPr>
        <w:t>F</w:t>
      </w:r>
      <w:r>
        <w:rPr>
          <w:sz w:val="21"/>
        </w:rPr>
        <w:t>、</w:t>
      </w:r>
      <w:r>
        <w:rPr>
          <w:spacing w:val="-18"/>
          <w:sz w:val="21"/>
        </w:rPr>
        <w:t xml:space="preserve">附录 </w:t>
      </w:r>
      <w:r>
        <w:rPr>
          <w:spacing w:val="-3"/>
          <w:sz w:val="21"/>
        </w:rPr>
        <w:t>G</w:t>
      </w:r>
      <w:r>
        <w:rPr>
          <w:spacing w:val="-15"/>
          <w:sz w:val="21"/>
        </w:rPr>
        <w:t xml:space="preserve">、附录 </w:t>
      </w:r>
      <w:r>
        <w:rPr>
          <w:spacing w:val="-3"/>
          <w:sz w:val="21"/>
        </w:rPr>
        <w:t>H</w:t>
      </w:r>
      <w:r>
        <w:rPr>
          <w:sz w:val="21"/>
        </w:rPr>
        <w:t>。</w:t>
      </w:r>
    </w:p>
    <w:p>
      <w:pPr>
        <w:spacing w:before="158"/>
        <w:ind w:left="895" w:right="0" w:firstLine="0"/>
        <w:jc w:val="left"/>
        <w:rPr>
          <w:rFonts w:ascii="黑体" w:eastAsia="黑体" w:hint="eastAsia"/>
          <w:sz w:val="21"/>
        </w:rPr>
      </w:pPr>
      <w:r>
        <w:drawing>
          <wp:inline distT="0" distB="0" distL="0" distR="0">
            <wp:extent cx="195059" cy="99047"/>
            <wp:effectExtent l="0" t="0" r="0" b="0"/>
            <wp:docPr id="79"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33.png"/>
                    <pic:cNvPicPr/>
                  </pic:nvPicPr>
                  <pic:blipFill>
                    <a:blip xmlns:r="http://schemas.openxmlformats.org/officeDocument/2006/relationships" r:embed="rId36" cstate="print"/>
                    <a:stretch>
                      <a:fillRect/>
                    </a:stretch>
                  </pic:blipFill>
                  <pic:spPr>
                    <a:xfrm>
                      <a:off x="0" y="0"/>
                      <a:ext cx="195059" cy="99047"/>
                    </a:xfrm>
                    <a:prstGeom prst="rect">
                      <a:avLst/>
                    </a:prstGeom>
                  </pic:spPr>
                </pic:pic>
              </a:graphicData>
            </a:graphic>
          </wp:inline>
        </w:drawing>
      </w:r>
      <w:r>
        <w:rPr>
          <w:rFonts w:ascii="Times New Roman" w:eastAsia="Times New Roman"/>
          <w:sz w:val="20"/>
        </w:rPr>
        <w:t xml:space="preserve">   </w:t>
      </w:r>
      <w:r>
        <w:rPr>
          <w:rFonts w:ascii="Times New Roman" w:eastAsia="Times New Roman"/>
          <w:spacing w:val="16"/>
          <w:sz w:val="20"/>
        </w:rPr>
        <w:t xml:space="preserve"> </w:t>
      </w:r>
      <w:bookmarkStart w:id="12" w:name="7.3　 数据管理"/>
      <w:bookmarkEnd w:id="12"/>
      <w:r>
        <w:rPr>
          <w:rFonts w:ascii="黑体" w:eastAsia="黑体" w:hint="eastAsia"/>
          <w:spacing w:val="-1"/>
          <w:sz w:val="21"/>
        </w:rPr>
        <w:t>数据管理</w:t>
      </w:r>
    </w:p>
    <w:p>
      <w:pPr>
        <w:spacing w:after="0"/>
        <w:jc w:val="left"/>
        <w:rPr>
          <w:rFonts w:ascii="黑体" w:eastAsia="黑体" w:hint="eastAsia"/>
          <w:sz w:val="21"/>
        </w:rPr>
        <w:sectPr>
          <w:pgSz w:w="11910" w:h="16840"/>
          <w:pgMar w:top="1580" w:right="260" w:bottom="280" w:left="240" w:header="708" w:footer="708"/>
          <w:pgNumType w:start="10"/>
          <w:cols w:space="708"/>
        </w:sectPr>
      </w:pPr>
    </w:p>
    <w:p>
      <w:pPr>
        <w:pStyle w:val="BodyText"/>
        <w:spacing w:before="11"/>
        <w:rPr>
          <w:rFonts w:ascii="黑体"/>
        </w:rPr>
      </w:pPr>
    </w:p>
    <w:p>
      <w:pPr>
        <w:pStyle w:val="ListParagraph"/>
        <w:numPr>
          <w:ilvl w:val="2"/>
          <w:numId w:val="33"/>
        </w:numPr>
        <w:tabs>
          <w:tab w:val="left" w:pos="1913"/>
        </w:tabs>
        <w:spacing w:before="71" w:after="0" w:line="240" w:lineRule="auto"/>
        <w:ind w:left="1912" w:right="0" w:hanging="735"/>
        <w:jc w:val="left"/>
        <w:rPr>
          <w:sz w:val="21"/>
        </w:rPr>
      </w:pPr>
      <w:r>
        <w:rPr>
          <w:spacing w:val="-3"/>
          <w:sz w:val="21"/>
        </w:rPr>
        <w:t>数据安全应满足以下要求：</w:t>
      </w:r>
    </w:p>
    <w:p>
      <w:pPr>
        <w:pStyle w:val="ListParagraph"/>
        <w:numPr>
          <w:ilvl w:val="3"/>
          <w:numId w:val="33"/>
        </w:numPr>
        <w:tabs>
          <w:tab w:val="left" w:pos="2031"/>
        </w:tabs>
        <w:spacing w:before="43" w:after="0" w:line="278" w:lineRule="auto"/>
        <w:ind w:left="2030" w:right="762" w:hanging="428"/>
        <w:jc w:val="left"/>
        <w:rPr>
          <w:sz w:val="21"/>
        </w:rPr>
      </w:pPr>
      <w:r>
        <w:rPr>
          <w:spacing w:val="-12"/>
          <w:sz w:val="21"/>
        </w:rPr>
        <w:t>灌区一体化闸门测控数据应满足等保级别要求，涉及敏感信息的，应遵循网络安全、数据安全、</w:t>
      </w:r>
      <w:r>
        <w:rPr>
          <w:spacing w:val="-6"/>
          <w:sz w:val="21"/>
        </w:rPr>
        <w:t>信息安全等法律法规；</w:t>
      </w:r>
    </w:p>
    <w:p>
      <w:pPr>
        <w:pStyle w:val="ListParagraph"/>
        <w:numPr>
          <w:ilvl w:val="3"/>
          <w:numId w:val="33"/>
        </w:numPr>
        <w:tabs>
          <w:tab w:val="left" w:pos="2031"/>
        </w:tabs>
        <w:spacing w:before="0" w:after="0" w:line="278" w:lineRule="auto"/>
        <w:ind w:left="2030" w:right="868" w:hanging="428"/>
        <w:jc w:val="left"/>
        <w:rPr>
          <w:sz w:val="21"/>
        </w:rPr>
      </w:pPr>
      <w:r>
        <w:rPr>
          <w:sz w:val="21"/>
        </w:rPr>
        <w:t>测控一体化闸门设备在使用过程中产生的所有测控数据和相关信息所有权，应归建设单位和</w:t>
      </w:r>
      <w:r>
        <w:rPr>
          <w:spacing w:val="-3"/>
          <w:sz w:val="21"/>
        </w:rPr>
        <w:t>运行管理单位所有；</w:t>
      </w:r>
    </w:p>
    <w:p>
      <w:pPr>
        <w:pStyle w:val="ListParagraph"/>
        <w:numPr>
          <w:ilvl w:val="3"/>
          <w:numId w:val="33"/>
        </w:numPr>
        <w:tabs>
          <w:tab w:val="left" w:pos="2031"/>
        </w:tabs>
        <w:spacing w:before="0" w:after="0" w:line="269" w:lineRule="exact"/>
        <w:ind w:left="2030" w:right="0" w:hanging="428"/>
        <w:jc w:val="left"/>
        <w:rPr>
          <w:sz w:val="21"/>
        </w:rPr>
      </w:pPr>
      <w:r>
        <w:rPr>
          <w:spacing w:val="-3"/>
          <w:sz w:val="21"/>
        </w:rPr>
        <w:t>提供设备认证机制，按照安全传输层协议</w:t>
      </w:r>
      <w:r>
        <w:rPr>
          <w:sz w:val="21"/>
        </w:rPr>
        <w:t>（TLS）</w:t>
      </w:r>
      <w:r>
        <w:rPr>
          <w:spacing w:val="-3"/>
          <w:sz w:val="21"/>
        </w:rPr>
        <w:t>标准进行传输；</w:t>
      </w:r>
    </w:p>
    <w:p>
      <w:pPr>
        <w:pStyle w:val="ListParagraph"/>
        <w:numPr>
          <w:ilvl w:val="3"/>
          <w:numId w:val="33"/>
        </w:numPr>
        <w:tabs>
          <w:tab w:val="left" w:pos="2031"/>
        </w:tabs>
        <w:spacing w:before="43" w:after="0" w:line="278" w:lineRule="auto"/>
        <w:ind w:left="2030" w:right="867" w:hanging="428"/>
        <w:jc w:val="left"/>
        <w:rPr>
          <w:sz w:val="21"/>
        </w:rPr>
      </w:pPr>
      <w:r>
        <w:rPr>
          <w:spacing w:val="-11"/>
          <w:sz w:val="21"/>
        </w:rPr>
        <w:t>应按《中华人民共和国保密法》规定签订保密协议；在调试、运行及维护的各环节中，应严格</w:t>
      </w:r>
      <w:r>
        <w:rPr>
          <w:spacing w:val="-6"/>
          <w:sz w:val="21"/>
        </w:rPr>
        <w:t>执行保密协议，保障数据安全；</w:t>
      </w:r>
    </w:p>
    <w:p>
      <w:pPr>
        <w:pStyle w:val="ListParagraph"/>
        <w:numPr>
          <w:ilvl w:val="3"/>
          <w:numId w:val="33"/>
        </w:numPr>
        <w:tabs>
          <w:tab w:val="left" w:pos="2031"/>
        </w:tabs>
        <w:spacing w:before="0" w:after="0" w:line="278" w:lineRule="auto"/>
        <w:ind w:left="2030" w:right="866" w:hanging="428"/>
        <w:jc w:val="left"/>
        <w:rPr>
          <w:sz w:val="21"/>
        </w:rPr>
      </w:pPr>
      <w:r>
        <w:rPr>
          <w:spacing w:val="-10"/>
          <w:sz w:val="21"/>
        </w:rPr>
        <w:t>涉及监管、运营、使用的单位应按照本文件承担相应的数据管理责任，确保数据安全、规范使用；</w:t>
      </w:r>
    </w:p>
    <w:p>
      <w:pPr>
        <w:pStyle w:val="ListParagraph"/>
        <w:numPr>
          <w:ilvl w:val="3"/>
          <w:numId w:val="33"/>
        </w:numPr>
        <w:tabs>
          <w:tab w:val="left" w:pos="2032"/>
        </w:tabs>
        <w:spacing w:before="0" w:after="0" w:line="269" w:lineRule="exact"/>
        <w:ind w:left="2031" w:right="0" w:hanging="429"/>
        <w:jc w:val="left"/>
        <w:rPr>
          <w:sz w:val="21"/>
        </w:rPr>
      </w:pPr>
      <w:r>
        <w:rPr>
          <w:spacing w:val="-3"/>
          <w:sz w:val="21"/>
        </w:rPr>
        <w:t>应遵循数据最小化访问原则，不同网络区域之间的数据共享应采取隔离措施。</w:t>
      </w:r>
    </w:p>
    <w:p>
      <w:pPr>
        <w:pStyle w:val="ListParagraph"/>
        <w:numPr>
          <w:ilvl w:val="2"/>
          <w:numId w:val="33"/>
        </w:numPr>
        <w:tabs>
          <w:tab w:val="left" w:pos="1914"/>
        </w:tabs>
        <w:spacing w:before="42" w:after="0" w:line="240" w:lineRule="auto"/>
        <w:ind w:left="1913" w:right="0" w:hanging="735"/>
        <w:jc w:val="left"/>
        <w:rPr>
          <w:sz w:val="21"/>
        </w:rPr>
      </w:pPr>
      <w:r>
        <w:rPr>
          <w:spacing w:val="-3"/>
          <w:sz w:val="21"/>
        </w:rPr>
        <w:t>数据应用应满足以下要求：</w:t>
      </w:r>
    </w:p>
    <w:p>
      <w:pPr>
        <w:pStyle w:val="ListParagraph"/>
        <w:numPr>
          <w:ilvl w:val="3"/>
          <w:numId w:val="33"/>
        </w:numPr>
        <w:tabs>
          <w:tab w:val="left" w:pos="2032"/>
        </w:tabs>
        <w:spacing w:before="43" w:after="0" w:line="240" w:lineRule="auto"/>
        <w:ind w:left="2031" w:right="0" w:hanging="429"/>
        <w:jc w:val="both"/>
        <w:rPr>
          <w:sz w:val="21"/>
        </w:rPr>
      </w:pPr>
      <w:r>
        <w:rPr>
          <w:spacing w:val="-3"/>
          <w:sz w:val="21"/>
        </w:rPr>
        <w:t>应采用云边端融合技术，具备实时监测、数据远传、在线升级、边缘分析等功能；</w:t>
      </w:r>
    </w:p>
    <w:p>
      <w:pPr>
        <w:pStyle w:val="ListParagraph"/>
        <w:numPr>
          <w:ilvl w:val="3"/>
          <w:numId w:val="33"/>
        </w:numPr>
        <w:tabs>
          <w:tab w:val="left" w:pos="2032"/>
        </w:tabs>
        <w:spacing w:before="43" w:after="0" w:line="278" w:lineRule="auto"/>
        <w:ind w:left="2031" w:right="867" w:hanging="428"/>
        <w:jc w:val="both"/>
        <w:rPr>
          <w:sz w:val="21"/>
        </w:rPr>
      </w:pPr>
      <w:r>
        <w:rPr>
          <w:spacing w:val="-5"/>
          <w:sz w:val="21"/>
        </w:rPr>
        <w:t xml:space="preserve">提供设备生命周期管理，可以注册、删除设备；提供设备 </w:t>
      </w:r>
      <w:r>
        <w:rPr>
          <w:sz w:val="21"/>
        </w:rPr>
        <w:t>online-offline</w:t>
      </w:r>
      <w:r>
        <w:rPr>
          <w:spacing w:val="-9"/>
          <w:sz w:val="21"/>
        </w:rPr>
        <w:t xml:space="preserve"> 变更通知服务，可</w:t>
      </w:r>
      <w:r>
        <w:rPr>
          <w:spacing w:val="-8"/>
          <w:sz w:val="21"/>
        </w:rPr>
        <w:t xml:space="preserve">以实时获取设备状态；提供设备权限管理，设备基于权限与云端通信；云端与设备端支持 </w:t>
      </w:r>
      <w:r>
        <w:rPr>
          <w:sz w:val="21"/>
        </w:rPr>
        <w:t xml:space="preserve">OTA </w:t>
      </w:r>
      <w:r>
        <w:rPr>
          <w:spacing w:val="-3"/>
          <w:sz w:val="21"/>
        </w:rPr>
        <w:t>升级，设备具备远程升级能力，同时设备本身需具备存储、计算和智能分析能力。</w:t>
      </w:r>
    </w:p>
    <w:p>
      <w:pPr>
        <w:pStyle w:val="ListParagraph"/>
        <w:numPr>
          <w:ilvl w:val="2"/>
          <w:numId w:val="33"/>
        </w:numPr>
        <w:tabs>
          <w:tab w:val="left" w:pos="1914"/>
        </w:tabs>
        <w:spacing w:before="0" w:after="0" w:line="278" w:lineRule="auto"/>
        <w:ind w:left="1179" w:right="869" w:hanging="1"/>
        <w:jc w:val="both"/>
        <w:rPr>
          <w:sz w:val="21"/>
        </w:rPr>
      </w:pPr>
      <w:r>
        <w:rPr>
          <w:spacing w:val="-3"/>
          <w:sz w:val="21"/>
        </w:rPr>
        <w:t>灌区一体化闸门测控上报数据应上传至水利云存储，设备厂商不应擅自采集、存储数据，各运行管理单位、用水户通过水利云申请获取灌区一体化闸门测控数据。</w:t>
      </w:r>
    </w:p>
    <w:p>
      <w:pPr>
        <w:spacing w:before="159"/>
        <w:ind w:left="1180" w:right="0" w:firstLine="0"/>
        <w:jc w:val="left"/>
        <w:rPr>
          <w:rFonts w:ascii="黑体" w:eastAsia="黑体" w:hint="eastAsia"/>
          <w:sz w:val="21"/>
        </w:rPr>
      </w:pPr>
      <w:r>
        <w:drawing>
          <wp:inline distT="0" distB="0" distL="0" distR="0">
            <wp:extent cx="201167" cy="99047"/>
            <wp:effectExtent l="0" t="0" r="0" b="0"/>
            <wp:docPr id="81"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34.png"/>
                    <pic:cNvPicPr/>
                  </pic:nvPicPr>
                  <pic:blipFill>
                    <a:blip xmlns:r="http://schemas.openxmlformats.org/officeDocument/2006/relationships" r:embed="rId37" cstate="print"/>
                    <a:stretch>
                      <a:fillRect/>
                    </a:stretch>
                  </pic:blipFill>
                  <pic:spPr>
                    <a:xfrm>
                      <a:off x="0" y="0"/>
                      <a:ext cx="201167" cy="99047"/>
                    </a:xfrm>
                    <a:prstGeom prst="rect">
                      <a:avLst/>
                    </a:prstGeom>
                  </pic:spPr>
                </pic:pic>
              </a:graphicData>
            </a:graphic>
          </wp:inline>
        </w:drawing>
      </w:r>
      <w:r>
        <w:rPr>
          <w:rFonts w:ascii="Times New Roman" w:eastAsia="Times New Roman"/>
          <w:sz w:val="20"/>
        </w:rPr>
        <w:t xml:space="preserve">   </w:t>
      </w:r>
      <w:r>
        <w:rPr>
          <w:rFonts w:ascii="Times New Roman" w:eastAsia="Times New Roman"/>
          <w:spacing w:val="6"/>
          <w:sz w:val="20"/>
        </w:rPr>
        <w:t xml:space="preserve"> </w:t>
      </w:r>
      <w:bookmarkStart w:id="13" w:name="7.4　 控制系统"/>
      <w:bookmarkEnd w:id="13"/>
      <w:r>
        <w:rPr>
          <w:rFonts w:ascii="黑体" w:eastAsia="黑体" w:hint="eastAsia"/>
          <w:spacing w:val="-1"/>
          <w:sz w:val="21"/>
        </w:rPr>
        <w:t>控制系统</w:t>
      </w:r>
    </w:p>
    <w:p>
      <w:pPr>
        <w:pStyle w:val="BodyText"/>
        <w:spacing w:before="9"/>
        <w:rPr>
          <w:rFonts w:ascii="黑体"/>
          <w:sz w:val="9"/>
        </w:rPr>
      </w:pPr>
    </w:p>
    <w:p>
      <w:pPr>
        <w:pStyle w:val="ListParagraph"/>
        <w:numPr>
          <w:ilvl w:val="2"/>
          <w:numId w:val="32"/>
        </w:numPr>
        <w:tabs>
          <w:tab w:val="left" w:pos="1913"/>
        </w:tabs>
        <w:spacing w:before="72" w:after="0" w:line="278" w:lineRule="auto"/>
        <w:ind w:left="1178" w:right="868" w:hanging="1"/>
        <w:jc w:val="left"/>
        <w:rPr>
          <w:sz w:val="21"/>
        </w:rPr>
      </w:pPr>
      <w:r>
        <w:drawing>
          <wp:anchor distT="0" distB="0" distL="0" distR="0" simplePos="0" relativeHeight="251685888" behindDoc="0" locked="0" layoutInCell="1" allowOverlap="1">
            <wp:simplePos x="0" y="0"/>
            <wp:positionH relativeFrom="page">
              <wp:posOffset>215900</wp:posOffset>
            </wp:positionH>
            <wp:positionV relativeFrom="paragraph">
              <wp:posOffset>89141</wp:posOffset>
            </wp:positionV>
            <wp:extent cx="7112000" cy="4876800"/>
            <wp:effectExtent l="0" t="0" r="0" b="0"/>
            <wp:wrapNone/>
            <wp:docPr id="8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2.png"/>
                    <pic:cNvPicPr/>
                  </pic:nvPicPr>
                  <pic:blipFill>
                    <a:blip xmlns:r="http://schemas.openxmlformats.org/officeDocument/2006/relationships" r:embed="rId5" cstate="print"/>
                    <a:stretch>
                      <a:fillRect/>
                    </a:stretch>
                  </pic:blipFill>
                  <pic:spPr>
                    <a:xfrm>
                      <a:off x="0" y="0"/>
                      <a:ext cx="7112000" cy="4876800"/>
                    </a:xfrm>
                    <a:prstGeom prst="rect">
                      <a:avLst/>
                    </a:prstGeom>
                  </pic:spPr>
                </pic:pic>
              </a:graphicData>
            </a:graphic>
          </wp:anchor>
        </w:drawing>
      </w:r>
      <w:r>
        <w:rPr>
          <w:spacing w:val="-3"/>
          <w:sz w:val="21"/>
        </w:rPr>
        <w:t>闸门控制系统软件采用统一开发、一级部署、分级应用的模式，即在水利云部署系统软件，各使用单位分级应用。</w:t>
      </w:r>
    </w:p>
    <w:p>
      <w:pPr>
        <w:pStyle w:val="ListParagraph"/>
        <w:numPr>
          <w:ilvl w:val="2"/>
          <w:numId w:val="32"/>
        </w:numPr>
        <w:tabs>
          <w:tab w:val="left" w:pos="1914"/>
        </w:tabs>
        <w:spacing w:before="0" w:after="0" w:line="269" w:lineRule="exact"/>
        <w:ind w:left="1913" w:right="0" w:hanging="736"/>
        <w:jc w:val="left"/>
        <w:rPr>
          <w:sz w:val="21"/>
        </w:rPr>
      </w:pPr>
      <w:r>
        <w:rPr>
          <w:sz w:val="21"/>
        </w:rPr>
        <w:t>改（</w:t>
      </w:r>
      <w:r>
        <w:rPr>
          <w:spacing w:val="-3"/>
          <w:sz w:val="21"/>
        </w:rPr>
        <w:t>扩</w:t>
      </w:r>
      <w:r>
        <w:rPr>
          <w:sz w:val="21"/>
        </w:rPr>
        <w:t>）</w:t>
      </w:r>
      <w:r>
        <w:rPr>
          <w:spacing w:val="-3"/>
          <w:sz w:val="21"/>
        </w:rPr>
        <w:t>建闸门控制系统软件、存量系统和数据应向水利云迁移、整合。</w:t>
      </w:r>
    </w:p>
    <w:p>
      <w:pPr>
        <w:pStyle w:val="ListParagraph"/>
        <w:numPr>
          <w:ilvl w:val="2"/>
          <w:numId w:val="32"/>
        </w:numPr>
        <w:tabs>
          <w:tab w:val="left" w:pos="1914"/>
        </w:tabs>
        <w:spacing w:before="43" w:after="0" w:line="278" w:lineRule="auto"/>
        <w:ind w:left="1179" w:right="867" w:hanging="1"/>
        <w:jc w:val="left"/>
        <w:rPr>
          <w:sz w:val="21"/>
        </w:rPr>
      </w:pPr>
      <w:r>
        <w:rPr>
          <w:spacing w:val="-3"/>
          <w:sz w:val="21"/>
        </w:rPr>
        <w:t>测控一体化闸门厂家配套软件应采用开放式软件，满足本导则规定的网络安全和集成要求，产品应附有源代码文档、软件说明书及软件系统光盘。</w:t>
      </w:r>
    </w:p>
    <w:p>
      <w:pPr>
        <w:pStyle w:val="ListParagraph"/>
        <w:numPr>
          <w:ilvl w:val="1"/>
          <w:numId w:val="41"/>
        </w:numPr>
        <w:tabs>
          <w:tab w:val="left" w:pos="1636"/>
        </w:tabs>
        <w:spacing w:before="155" w:after="0" w:line="240" w:lineRule="auto"/>
        <w:ind w:left="1635" w:right="0" w:hanging="316"/>
        <w:jc w:val="left"/>
        <w:rPr>
          <w:rFonts w:ascii="黑体" w:eastAsia="黑体" w:hint="eastAsia"/>
          <w:sz w:val="21"/>
        </w:rPr>
      </w:pPr>
      <w:bookmarkStart w:id="14" w:name="8　 现场检测与后期维护技术支持"/>
      <w:bookmarkEnd w:id="14"/>
      <w:r>
        <w:rPr>
          <w:rFonts w:ascii="黑体" w:eastAsia="黑体" w:hint="eastAsia"/>
          <w:spacing w:val="-3"/>
          <w:sz w:val="21"/>
        </w:rPr>
        <w:t>现场检测与后期维护技术支持</w:t>
      </w:r>
    </w:p>
    <w:p>
      <w:pPr>
        <w:pStyle w:val="BodyText"/>
        <w:rPr>
          <w:rFonts w:ascii="黑体"/>
          <w:sz w:val="10"/>
        </w:rPr>
      </w:pPr>
    </w:p>
    <w:p>
      <w:pPr>
        <w:spacing w:before="74"/>
        <w:ind w:left="1178" w:right="0" w:firstLine="0"/>
        <w:jc w:val="left"/>
        <w:rPr>
          <w:rFonts w:ascii="黑体" w:eastAsia="黑体" w:hint="eastAsia"/>
          <w:sz w:val="21"/>
        </w:rPr>
      </w:pPr>
      <w:r>
        <w:drawing>
          <wp:inline distT="0" distB="0" distL="0" distR="0">
            <wp:extent cx="178307" cy="99059"/>
            <wp:effectExtent l="0" t="0" r="0" b="0"/>
            <wp:docPr id="85"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35.png"/>
                    <pic:cNvPicPr/>
                  </pic:nvPicPr>
                  <pic:blipFill>
                    <a:blip xmlns:r="http://schemas.openxmlformats.org/officeDocument/2006/relationships" r:embed="rId38" cstate="print"/>
                    <a:stretch>
                      <a:fillRect/>
                    </a:stretch>
                  </pic:blipFill>
                  <pic:spPr>
                    <a:xfrm>
                      <a:off x="0" y="0"/>
                      <a:ext cx="178307" cy="99059"/>
                    </a:xfrm>
                    <a:prstGeom prst="rect">
                      <a:avLst/>
                    </a:prstGeom>
                  </pic:spPr>
                </pic:pic>
              </a:graphicData>
            </a:graphic>
          </wp:inline>
        </w:drawing>
      </w:r>
      <w:r>
        <w:rPr>
          <w:rFonts w:ascii="Times New Roman" w:eastAsia="Times New Roman"/>
          <w:sz w:val="20"/>
        </w:rPr>
        <w:t xml:space="preserve">    </w:t>
      </w:r>
      <w:r>
        <w:rPr>
          <w:rFonts w:ascii="Times New Roman" w:eastAsia="Times New Roman"/>
          <w:spacing w:val="-6"/>
          <w:sz w:val="20"/>
        </w:rPr>
        <w:t xml:space="preserve"> </w:t>
      </w:r>
      <w:bookmarkStart w:id="15" w:name="8.1　 现场检测"/>
      <w:bookmarkEnd w:id="15"/>
      <w:r>
        <w:rPr>
          <w:rFonts w:ascii="黑体" w:eastAsia="黑体" w:hint="eastAsia"/>
          <w:spacing w:val="-1"/>
          <w:sz w:val="21"/>
        </w:rPr>
        <w:t>现场检测</w:t>
      </w:r>
    </w:p>
    <w:p>
      <w:pPr>
        <w:pStyle w:val="BodyText"/>
        <w:spacing w:before="9"/>
        <w:rPr>
          <w:rFonts w:ascii="黑体"/>
          <w:sz w:val="9"/>
        </w:rPr>
      </w:pPr>
    </w:p>
    <w:p>
      <w:pPr>
        <w:pStyle w:val="ListParagraph"/>
        <w:numPr>
          <w:ilvl w:val="2"/>
          <w:numId w:val="31"/>
        </w:numPr>
        <w:tabs>
          <w:tab w:val="left" w:pos="1913"/>
        </w:tabs>
        <w:spacing w:before="72" w:after="0" w:line="240" w:lineRule="auto"/>
        <w:ind w:left="1912" w:right="0" w:hanging="735"/>
        <w:jc w:val="both"/>
        <w:rPr>
          <w:sz w:val="21"/>
        </w:rPr>
      </w:pPr>
      <w:r>
        <w:rPr>
          <w:spacing w:val="-3"/>
          <w:sz w:val="21"/>
        </w:rPr>
        <w:t>测控一体化闸门测流计量准确度现场检测应满足以下要求：</w:t>
      </w:r>
    </w:p>
    <w:p>
      <w:pPr>
        <w:pStyle w:val="ListParagraph"/>
        <w:numPr>
          <w:ilvl w:val="3"/>
          <w:numId w:val="31"/>
        </w:numPr>
        <w:tabs>
          <w:tab w:val="left" w:pos="2031"/>
        </w:tabs>
        <w:spacing w:before="43" w:after="0" w:line="278" w:lineRule="auto"/>
        <w:ind w:left="2030" w:right="869" w:hanging="428"/>
        <w:jc w:val="both"/>
        <w:rPr>
          <w:sz w:val="21"/>
        </w:rPr>
      </w:pPr>
      <w:r>
        <w:rPr>
          <w:spacing w:val="-9"/>
          <w:sz w:val="21"/>
        </w:rPr>
        <w:t>设备安装完成并通过进场验收后，运行单位如发现运行参数异常，可委托有资质的单位进行检</w:t>
      </w:r>
      <w:r>
        <w:rPr>
          <w:spacing w:val="-12"/>
          <w:sz w:val="21"/>
        </w:rPr>
        <w:t>定。设备厂家、运行单位应做好原始记录与资料备案，检定后计量准确度不满足工程设计要求</w:t>
      </w:r>
      <w:r>
        <w:rPr>
          <w:spacing w:val="-3"/>
          <w:sz w:val="21"/>
        </w:rPr>
        <w:t>或采购合同约定的，应查找原因；</w:t>
      </w:r>
    </w:p>
    <w:p>
      <w:pPr>
        <w:pStyle w:val="ListParagraph"/>
        <w:numPr>
          <w:ilvl w:val="3"/>
          <w:numId w:val="31"/>
        </w:numPr>
        <w:tabs>
          <w:tab w:val="left" w:pos="2031"/>
        </w:tabs>
        <w:spacing w:before="0" w:after="0" w:line="278" w:lineRule="auto"/>
        <w:ind w:left="2030" w:right="867" w:hanging="428"/>
        <w:jc w:val="both"/>
        <w:rPr>
          <w:sz w:val="21"/>
        </w:rPr>
      </w:pPr>
      <w:r>
        <w:rPr>
          <w:spacing w:val="-1"/>
          <w:sz w:val="21"/>
        </w:rPr>
        <w:t>设备制造商提供的设备安装使用说明书中应有设备使用期间测量参数检定的方法及检定后流</w:t>
      </w:r>
      <w:r>
        <w:rPr>
          <w:spacing w:val="-2"/>
          <w:sz w:val="21"/>
        </w:rPr>
        <w:t>量的修正方法。设备制造商应配合设备运行管理单位定期对测流箱的流量进行检定及误差修</w:t>
      </w:r>
      <w:r>
        <w:rPr>
          <w:spacing w:val="-3"/>
          <w:sz w:val="21"/>
        </w:rPr>
        <w:t>订，保证准确度达到灌溉计量要求；</w:t>
      </w:r>
    </w:p>
    <w:p>
      <w:pPr>
        <w:pStyle w:val="ListParagraph"/>
        <w:numPr>
          <w:ilvl w:val="3"/>
          <w:numId w:val="31"/>
        </w:numPr>
        <w:tabs>
          <w:tab w:val="left" w:pos="2032"/>
        </w:tabs>
        <w:spacing w:before="0" w:after="0" w:line="269" w:lineRule="exact"/>
        <w:ind w:left="2031" w:right="0" w:hanging="429"/>
        <w:jc w:val="both"/>
        <w:rPr>
          <w:sz w:val="21"/>
        </w:rPr>
      </w:pPr>
      <w:r>
        <w:rPr>
          <w:spacing w:val="-10"/>
          <w:sz w:val="21"/>
        </w:rPr>
        <w:t xml:space="preserve">设备安装后按照 </w:t>
      </w:r>
      <w:r>
        <w:rPr>
          <w:sz w:val="21"/>
        </w:rPr>
        <w:t>GB/T 21303</w:t>
      </w:r>
      <w:r>
        <w:rPr>
          <w:spacing w:val="-9"/>
          <w:sz w:val="21"/>
        </w:rPr>
        <w:t xml:space="preserve"> 规定的年限进行检定。</w:t>
      </w:r>
    </w:p>
    <w:p>
      <w:pPr>
        <w:pStyle w:val="ListParagraph"/>
        <w:numPr>
          <w:ilvl w:val="2"/>
          <w:numId w:val="31"/>
        </w:numPr>
        <w:tabs>
          <w:tab w:val="left" w:pos="1914"/>
        </w:tabs>
        <w:spacing w:before="42" w:after="0" w:line="278" w:lineRule="auto"/>
        <w:ind w:left="1179" w:right="867" w:hanging="1"/>
        <w:jc w:val="both"/>
        <w:rPr>
          <w:sz w:val="21"/>
        </w:rPr>
      </w:pPr>
      <w:r>
        <w:rPr>
          <w:spacing w:val="-3"/>
          <w:sz w:val="21"/>
        </w:rPr>
        <w:t>测控一体化闸门及设备的验收检测应按国家及地方现行标准有关规定执行，检测结果应符合设计要求或设备采购合同约定，并作为验收资料归档。检测项目包括：</w:t>
      </w:r>
    </w:p>
    <w:p>
      <w:pPr>
        <w:pStyle w:val="ListParagraph"/>
        <w:numPr>
          <w:ilvl w:val="3"/>
          <w:numId w:val="31"/>
        </w:numPr>
        <w:tabs>
          <w:tab w:val="left" w:pos="2031"/>
        </w:tabs>
        <w:spacing w:before="1" w:after="0" w:line="240" w:lineRule="auto"/>
        <w:ind w:left="2030" w:right="0" w:hanging="428"/>
        <w:jc w:val="left"/>
        <w:rPr>
          <w:sz w:val="21"/>
        </w:rPr>
      </w:pPr>
      <w:r>
        <w:rPr>
          <w:spacing w:val="-3"/>
          <w:sz w:val="21"/>
        </w:rPr>
        <w:t>闸门结构件设备质量外观检查；</w:t>
      </w:r>
    </w:p>
    <w:p>
      <w:pPr>
        <w:pStyle w:val="ListParagraph"/>
        <w:numPr>
          <w:ilvl w:val="3"/>
          <w:numId w:val="31"/>
        </w:numPr>
        <w:tabs>
          <w:tab w:val="left" w:pos="2031"/>
        </w:tabs>
        <w:spacing w:before="42" w:after="0" w:line="278" w:lineRule="auto"/>
        <w:ind w:left="2030" w:right="869" w:hanging="428"/>
        <w:jc w:val="left"/>
        <w:rPr>
          <w:sz w:val="21"/>
        </w:rPr>
      </w:pPr>
      <w:r>
        <w:rPr>
          <w:spacing w:val="-5"/>
          <w:sz w:val="21"/>
        </w:rPr>
        <w:t>保护功能</w:t>
      </w:r>
      <w:r>
        <w:rPr>
          <w:sz w:val="21"/>
        </w:rPr>
        <w:t>（</w:t>
      </w:r>
      <w:r>
        <w:rPr>
          <w:spacing w:val="-6"/>
          <w:sz w:val="21"/>
        </w:rPr>
        <w:t>含限位保护、过载保护</w:t>
      </w:r>
      <w:r>
        <w:rPr>
          <w:spacing w:val="-15"/>
          <w:sz w:val="21"/>
        </w:rPr>
        <w:t>）</w:t>
      </w:r>
      <w:r>
        <w:rPr>
          <w:spacing w:val="-7"/>
          <w:sz w:val="21"/>
        </w:rPr>
        <w:t>检测、测控终端</w:t>
      </w:r>
      <w:r>
        <w:rPr>
          <w:spacing w:val="-3"/>
          <w:sz w:val="21"/>
        </w:rPr>
        <w:t>（</w:t>
      </w:r>
      <w:r>
        <w:rPr>
          <w:spacing w:val="-7"/>
          <w:sz w:val="21"/>
        </w:rPr>
        <w:t>含数据采集、数据显示、远程诊断及维</w:t>
      </w:r>
      <w:r>
        <w:rPr>
          <w:sz w:val="21"/>
        </w:rPr>
        <w:t>护）</w:t>
      </w:r>
      <w:r>
        <w:rPr>
          <w:spacing w:val="-2"/>
          <w:sz w:val="21"/>
        </w:rPr>
        <w:t>检测；</w:t>
      </w:r>
    </w:p>
    <w:p>
      <w:pPr>
        <w:pStyle w:val="ListParagraph"/>
        <w:numPr>
          <w:ilvl w:val="3"/>
          <w:numId w:val="31"/>
        </w:numPr>
        <w:tabs>
          <w:tab w:val="left" w:pos="2031"/>
        </w:tabs>
        <w:spacing w:before="0" w:after="0" w:line="269" w:lineRule="exact"/>
        <w:ind w:left="2030" w:right="0" w:hanging="428"/>
        <w:jc w:val="left"/>
        <w:rPr>
          <w:sz w:val="21"/>
        </w:rPr>
      </w:pPr>
      <w:r>
        <w:rPr>
          <w:spacing w:val="-3"/>
          <w:sz w:val="21"/>
        </w:rPr>
        <w:t>电池容量值和续航检测、止水防水检测、防锈检测；</w:t>
      </w:r>
    </w:p>
    <w:p>
      <w:pPr>
        <w:spacing w:after="0" w:line="269" w:lineRule="exact"/>
        <w:jc w:val="left"/>
        <w:rPr>
          <w:sz w:val="21"/>
        </w:rPr>
        <w:sectPr>
          <w:pgSz w:w="11910" w:h="16840"/>
          <w:pgMar w:top="1580" w:right="260" w:bottom="280" w:left="240" w:header="708" w:footer="708"/>
          <w:pgNumType w:start="11"/>
          <w:cols w:space="708"/>
        </w:sectPr>
      </w:pPr>
    </w:p>
    <w:p>
      <w:pPr>
        <w:pStyle w:val="BodyText"/>
        <w:spacing w:before="11"/>
      </w:pPr>
    </w:p>
    <w:p>
      <w:pPr>
        <w:pStyle w:val="ListParagraph"/>
        <w:numPr>
          <w:ilvl w:val="3"/>
          <w:numId w:val="31"/>
        </w:numPr>
        <w:tabs>
          <w:tab w:val="left" w:pos="1745"/>
        </w:tabs>
        <w:spacing w:before="71" w:after="0" w:line="240" w:lineRule="auto"/>
        <w:ind w:left="1744" w:right="0" w:hanging="428"/>
        <w:jc w:val="left"/>
        <w:rPr>
          <w:sz w:val="21"/>
        </w:rPr>
      </w:pPr>
      <w:r>
        <w:rPr>
          <w:spacing w:val="-3"/>
          <w:sz w:val="21"/>
        </w:rPr>
        <w:t>启闭速度和控制精度、数据采集与传输、自检与自动复位功能检测；</w:t>
      </w:r>
    </w:p>
    <w:p>
      <w:pPr>
        <w:pStyle w:val="ListParagraph"/>
        <w:numPr>
          <w:ilvl w:val="3"/>
          <w:numId w:val="31"/>
        </w:numPr>
        <w:tabs>
          <w:tab w:val="left" w:pos="1745"/>
        </w:tabs>
        <w:spacing w:before="43" w:after="0" w:line="240" w:lineRule="auto"/>
        <w:ind w:left="1744" w:right="0" w:hanging="428"/>
        <w:jc w:val="left"/>
        <w:rPr>
          <w:sz w:val="21"/>
        </w:rPr>
      </w:pPr>
      <w:r>
        <w:rPr>
          <w:spacing w:val="-3"/>
          <w:sz w:val="21"/>
        </w:rPr>
        <w:t>通讯检测应包括时效性、准确性、稳定性、完整性以及现场故障模拟与恢复等内容；</w:t>
      </w:r>
    </w:p>
    <w:p>
      <w:pPr>
        <w:pStyle w:val="ListParagraph"/>
        <w:numPr>
          <w:ilvl w:val="3"/>
          <w:numId w:val="31"/>
        </w:numPr>
        <w:tabs>
          <w:tab w:val="left" w:pos="1745"/>
        </w:tabs>
        <w:spacing w:before="43" w:after="0" w:line="240" w:lineRule="auto"/>
        <w:ind w:left="1744" w:right="0" w:hanging="428"/>
        <w:jc w:val="left"/>
        <w:rPr>
          <w:sz w:val="21"/>
        </w:rPr>
      </w:pPr>
      <w:r>
        <w:rPr>
          <w:spacing w:val="-3"/>
          <w:sz w:val="21"/>
        </w:rPr>
        <w:t>设备运行后台及稳定性、功能检测。</w:t>
      </w:r>
    </w:p>
    <w:p>
      <w:pPr>
        <w:pStyle w:val="BodyText"/>
        <w:spacing w:before="12"/>
        <w:rPr>
          <w:sz w:val="9"/>
        </w:rPr>
      </w:pPr>
    </w:p>
    <w:p>
      <w:pPr>
        <w:spacing w:before="74"/>
        <w:ind w:left="892" w:right="0" w:firstLine="0"/>
        <w:jc w:val="left"/>
        <w:rPr>
          <w:rFonts w:ascii="黑体" w:eastAsia="黑体" w:hint="eastAsia"/>
          <w:sz w:val="21"/>
        </w:rPr>
      </w:pPr>
      <w:r>
        <w:drawing>
          <wp:inline distT="0" distB="0" distL="0" distR="0">
            <wp:extent cx="196595" cy="99047"/>
            <wp:effectExtent l="0" t="0" r="0" b="0"/>
            <wp:docPr id="87"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36.png"/>
                    <pic:cNvPicPr/>
                  </pic:nvPicPr>
                  <pic:blipFill>
                    <a:blip xmlns:r="http://schemas.openxmlformats.org/officeDocument/2006/relationships" r:embed="rId39" cstate="print"/>
                    <a:stretch>
                      <a:fillRect/>
                    </a:stretch>
                  </pic:blipFill>
                  <pic:spPr>
                    <a:xfrm>
                      <a:off x="0" y="0"/>
                      <a:ext cx="196595" cy="99047"/>
                    </a:xfrm>
                    <a:prstGeom prst="rect">
                      <a:avLst/>
                    </a:prstGeom>
                  </pic:spPr>
                </pic:pic>
              </a:graphicData>
            </a:graphic>
          </wp:inline>
        </w:drawing>
      </w:r>
      <w:r>
        <w:rPr>
          <w:rFonts w:ascii="Times New Roman" w:eastAsia="Times New Roman"/>
          <w:sz w:val="20"/>
        </w:rPr>
        <w:t xml:space="preserve">   </w:t>
      </w:r>
      <w:r>
        <w:rPr>
          <w:rFonts w:ascii="Times New Roman" w:eastAsia="Times New Roman"/>
          <w:spacing w:val="16"/>
          <w:sz w:val="20"/>
        </w:rPr>
        <w:t xml:space="preserve"> </w:t>
      </w:r>
      <w:bookmarkStart w:id="16" w:name="8.2　 后期维护技术支持"/>
      <w:bookmarkEnd w:id="16"/>
      <w:r>
        <w:rPr>
          <w:rFonts w:ascii="黑体" w:eastAsia="黑体" w:hint="eastAsia"/>
          <w:spacing w:val="-3"/>
          <w:sz w:val="21"/>
        </w:rPr>
        <w:t>后期维护技术支持</w:t>
      </w:r>
    </w:p>
    <w:p>
      <w:pPr>
        <w:pStyle w:val="BodyText"/>
        <w:spacing w:before="10"/>
        <w:rPr>
          <w:rFonts w:ascii="黑体"/>
          <w:sz w:val="9"/>
        </w:rPr>
      </w:pPr>
    </w:p>
    <w:p>
      <w:pPr>
        <w:pStyle w:val="ListParagraph"/>
        <w:numPr>
          <w:ilvl w:val="2"/>
          <w:numId w:val="30"/>
        </w:numPr>
        <w:tabs>
          <w:tab w:val="left" w:pos="1628"/>
        </w:tabs>
        <w:spacing w:before="71" w:after="0" w:line="278" w:lineRule="auto"/>
        <w:ind w:left="893" w:right="1153" w:hanging="1"/>
        <w:jc w:val="left"/>
        <w:rPr>
          <w:sz w:val="21"/>
        </w:rPr>
      </w:pPr>
      <w:r>
        <w:rPr>
          <w:spacing w:val="-3"/>
          <w:sz w:val="21"/>
        </w:rPr>
        <w:t>质保期内设备自身出现缺陷或产品质量出现问题，应由设备制造商免费维护或更换，并承担相应的经济损失。</w:t>
      </w:r>
    </w:p>
    <w:p>
      <w:pPr>
        <w:pStyle w:val="ListParagraph"/>
        <w:numPr>
          <w:ilvl w:val="2"/>
          <w:numId w:val="30"/>
        </w:numPr>
        <w:tabs>
          <w:tab w:val="left" w:pos="1628"/>
        </w:tabs>
        <w:spacing w:before="0" w:after="0" w:line="278" w:lineRule="auto"/>
        <w:ind w:left="893" w:right="1153" w:hanging="1"/>
        <w:jc w:val="left"/>
        <w:rPr>
          <w:sz w:val="21"/>
        </w:rPr>
      </w:pPr>
      <w:r>
        <w:rPr>
          <w:spacing w:val="-3"/>
          <w:sz w:val="21"/>
        </w:rPr>
        <w:t>质保期过后，设备制造商应为设备运行提供长期技术服务，包括技术支持、硬件升级、软件升级、备品备件供应、故障的快速响应及相关人员技术咨询等。</w:t>
      </w:r>
    </w:p>
    <w:p>
      <w:pPr>
        <w:pStyle w:val="BodyText"/>
        <w:spacing w:before="4"/>
        <w:rPr>
          <w:sz w:val="24"/>
        </w:rPr>
      </w:pPr>
    </w:p>
    <w:p>
      <w:pPr>
        <w:pStyle w:val="ListParagraph"/>
        <w:numPr>
          <w:ilvl w:val="1"/>
          <w:numId w:val="41"/>
        </w:numPr>
        <w:tabs>
          <w:tab w:val="left" w:pos="1350"/>
        </w:tabs>
        <w:spacing w:before="0" w:after="0" w:line="240" w:lineRule="auto"/>
        <w:ind w:left="1349" w:right="0" w:hanging="316"/>
        <w:jc w:val="left"/>
        <w:rPr>
          <w:rFonts w:ascii="黑体" w:eastAsia="黑体" w:hint="eastAsia"/>
          <w:sz w:val="21"/>
        </w:rPr>
      </w:pPr>
      <w:bookmarkStart w:id="17" w:name="9　 安装及验收"/>
      <w:bookmarkEnd w:id="17"/>
      <w:r>
        <w:rPr>
          <w:rFonts w:ascii="黑体" w:eastAsia="黑体" w:hint="eastAsia"/>
          <w:spacing w:val="-1"/>
          <w:sz w:val="21"/>
        </w:rPr>
        <w:t>安装及验收</w:t>
      </w:r>
    </w:p>
    <w:p>
      <w:pPr>
        <w:pStyle w:val="BodyText"/>
        <w:spacing w:before="2"/>
        <w:rPr>
          <w:rFonts w:ascii="黑体"/>
          <w:sz w:val="22"/>
        </w:rPr>
      </w:pPr>
    </w:p>
    <w:p>
      <w:pPr>
        <w:spacing w:before="74"/>
        <w:ind w:left="890" w:right="0" w:firstLine="0"/>
        <w:jc w:val="left"/>
        <w:rPr>
          <w:rFonts w:ascii="黑体" w:eastAsia="黑体" w:hint="eastAsia"/>
          <w:sz w:val="21"/>
        </w:rPr>
      </w:pPr>
      <w:r>
        <w:drawing>
          <wp:inline distT="0" distB="0" distL="0" distR="0">
            <wp:extent cx="179831" cy="99059"/>
            <wp:effectExtent l="0" t="0" r="0" b="0"/>
            <wp:docPr id="89"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37.png"/>
                    <pic:cNvPicPr/>
                  </pic:nvPicPr>
                  <pic:blipFill>
                    <a:blip xmlns:r="http://schemas.openxmlformats.org/officeDocument/2006/relationships" r:embed="rId40" cstate="print"/>
                    <a:stretch>
                      <a:fillRect/>
                    </a:stretch>
                  </pic:blipFill>
                  <pic:spPr>
                    <a:xfrm>
                      <a:off x="0" y="0"/>
                      <a:ext cx="179831" cy="99059"/>
                    </a:xfrm>
                    <a:prstGeom prst="rect">
                      <a:avLst/>
                    </a:prstGeom>
                  </pic:spPr>
                </pic:pic>
              </a:graphicData>
            </a:graphic>
          </wp:inline>
        </w:drawing>
      </w:r>
      <w:r>
        <w:rPr>
          <w:rFonts w:ascii="Times New Roman" w:eastAsia="Times New Roman"/>
          <w:sz w:val="20"/>
        </w:rPr>
        <w:t xml:space="preserve">    </w:t>
      </w:r>
      <w:r>
        <w:rPr>
          <w:rFonts w:ascii="Times New Roman" w:eastAsia="Times New Roman"/>
          <w:spacing w:val="-6"/>
          <w:sz w:val="20"/>
        </w:rPr>
        <w:t xml:space="preserve"> </w:t>
      </w:r>
      <w:bookmarkStart w:id="18" w:name="9.1　 设备安装"/>
      <w:bookmarkEnd w:id="18"/>
      <w:r>
        <w:rPr>
          <w:rFonts w:ascii="黑体" w:eastAsia="黑体" w:hint="eastAsia"/>
          <w:spacing w:val="-1"/>
          <w:sz w:val="21"/>
        </w:rPr>
        <w:t>设备安装</w:t>
      </w:r>
    </w:p>
    <w:p>
      <w:pPr>
        <w:pStyle w:val="BodyText"/>
        <w:spacing w:before="9"/>
        <w:rPr>
          <w:rFonts w:ascii="黑体"/>
          <w:sz w:val="9"/>
        </w:rPr>
      </w:pPr>
    </w:p>
    <w:p>
      <w:pPr>
        <w:pStyle w:val="ListParagraph"/>
        <w:numPr>
          <w:ilvl w:val="2"/>
          <w:numId w:val="29"/>
        </w:numPr>
        <w:tabs>
          <w:tab w:val="left" w:pos="1628"/>
        </w:tabs>
        <w:spacing w:before="72" w:after="0" w:line="278" w:lineRule="auto"/>
        <w:ind w:left="892" w:right="1153" w:hanging="1"/>
        <w:jc w:val="both"/>
        <w:rPr>
          <w:sz w:val="21"/>
        </w:rPr>
      </w:pPr>
      <w:r>
        <w:rPr>
          <w:spacing w:val="-3"/>
          <w:sz w:val="21"/>
        </w:rPr>
        <w:t>测控一体化闸门设备安装包括闸门本体</w:t>
      </w:r>
      <w:r>
        <w:rPr>
          <w:sz w:val="21"/>
        </w:rPr>
        <w:t>（</w:t>
      </w:r>
      <w:r>
        <w:rPr>
          <w:spacing w:val="-2"/>
          <w:sz w:val="21"/>
        </w:rPr>
        <w:t>含测箱</w:t>
      </w:r>
      <w:r>
        <w:rPr>
          <w:spacing w:val="-3"/>
          <w:sz w:val="21"/>
        </w:rPr>
        <w:t>）、太阳能供电系统和接地系统、控制中心设</w:t>
      </w:r>
      <w:r>
        <w:rPr>
          <w:spacing w:val="-5"/>
          <w:sz w:val="21"/>
        </w:rPr>
        <w:t xml:space="preserve">备、护栏等辅助设施的安装及调试，安装及调试应符合 </w:t>
      </w:r>
      <w:r>
        <w:rPr>
          <w:sz w:val="21"/>
        </w:rPr>
        <w:t>SL635</w:t>
      </w:r>
      <w:r>
        <w:rPr>
          <w:spacing w:val="-8"/>
          <w:sz w:val="21"/>
        </w:rPr>
        <w:t xml:space="preserve"> 和设备安装使用说明书相关要求。</w:t>
      </w:r>
    </w:p>
    <w:p>
      <w:pPr>
        <w:pStyle w:val="ListParagraph"/>
        <w:numPr>
          <w:ilvl w:val="2"/>
          <w:numId w:val="29"/>
        </w:numPr>
        <w:tabs>
          <w:tab w:val="left" w:pos="1628"/>
        </w:tabs>
        <w:spacing w:before="0" w:after="0" w:line="278" w:lineRule="auto"/>
        <w:ind w:left="892" w:right="1153" w:hanging="1"/>
        <w:jc w:val="both"/>
        <w:rPr>
          <w:sz w:val="21"/>
        </w:rPr>
      </w:pPr>
      <w:r>
        <w:rPr>
          <w:spacing w:val="-3"/>
          <w:sz w:val="21"/>
        </w:rPr>
        <w:t>测控一体化闸门宜采用非预埋方式安装，通过膨胀螺栓或预埋件将测控一体化闸门贴面固定在</w:t>
      </w:r>
      <w:r>
        <w:rPr>
          <w:spacing w:val="-10"/>
          <w:sz w:val="21"/>
        </w:rPr>
        <w:t>闸门建筑物墙上；安装前，应检查水工部分是否符合设计要求。设计无特殊要求时，水工部分闸门建筑</w:t>
      </w:r>
      <w:r>
        <w:rPr>
          <w:spacing w:val="-5"/>
          <w:sz w:val="21"/>
        </w:rPr>
        <w:t>物平整度应为</w:t>
      </w:r>
      <w:r>
        <w:rPr>
          <w:rFonts w:ascii="Times New Roman" w:eastAsia="Times New Roman" w:hAnsi="Times New Roman"/>
          <w:sz w:val="21"/>
        </w:rPr>
        <w:t>±</w:t>
      </w:r>
      <w:r>
        <w:rPr>
          <w:sz w:val="21"/>
        </w:rPr>
        <w:t>5mm</w:t>
      </w:r>
      <w:r>
        <w:rPr>
          <w:spacing w:val="-6"/>
          <w:sz w:val="21"/>
        </w:rPr>
        <w:t xml:space="preserve">，孔口底部应至少高于进水八字口底部 </w:t>
      </w:r>
      <w:r>
        <w:rPr>
          <w:sz w:val="21"/>
        </w:rPr>
        <w:t>150mm</w:t>
      </w:r>
      <w:r>
        <w:rPr>
          <w:spacing w:val="-9"/>
          <w:sz w:val="21"/>
        </w:rPr>
        <w:t xml:space="preserve">，闸门两侧宜预留 </w:t>
      </w:r>
      <w:r>
        <w:rPr>
          <w:sz w:val="21"/>
        </w:rPr>
        <w:t>300mm。</w:t>
      </w:r>
    </w:p>
    <w:p>
      <w:pPr>
        <w:pStyle w:val="ListParagraph"/>
        <w:numPr>
          <w:ilvl w:val="2"/>
          <w:numId w:val="29"/>
        </w:numPr>
        <w:tabs>
          <w:tab w:val="left" w:pos="1628"/>
        </w:tabs>
        <w:spacing w:before="0" w:after="0" w:line="269" w:lineRule="exact"/>
        <w:ind w:left="1627" w:right="0" w:hanging="736"/>
        <w:jc w:val="both"/>
        <w:rPr>
          <w:sz w:val="21"/>
        </w:rPr>
      </w:pPr>
      <w:r>
        <w:rPr>
          <w:spacing w:val="-3"/>
          <w:sz w:val="21"/>
        </w:rPr>
        <w:t>各安装结合面应采用防水胶、止水橡胶等，保证接触良好，不泄漏。</w:t>
      </w:r>
    </w:p>
    <w:p>
      <w:pPr>
        <w:pStyle w:val="ListParagraph"/>
        <w:numPr>
          <w:ilvl w:val="2"/>
          <w:numId w:val="29"/>
        </w:numPr>
        <w:tabs>
          <w:tab w:val="left" w:pos="1628"/>
        </w:tabs>
        <w:spacing w:before="43" w:after="0" w:line="278" w:lineRule="auto"/>
        <w:ind w:left="893" w:right="1153" w:hanging="1"/>
        <w:jc w:val="both"/>
        <w:rPr>
          <w:sz w:val="21"/>
        </w:rPr>
      </w:pPr>
      <w:r>
        <w:drawing>
          <wp:anchor distT="0" distB="0" distL="0" distR="0" simplePos="0" relativeHeight="251686912" behindDoc="0" locked="0" layoutInCell="1" allowOverlap="1">
            <wp:simplePos x="0" y="0"/>
            <wp:positionH relativeFrom="page">
              <wp:posOffset>215900</wp:posOffset>
            </wp:positionH>
            <wp:positionV relativeFrom="paragraph">
              <wp:posOffset>170006</wp:posOffset>
            </wp:positionV>
            <wp:extent cx="7112000" cy="4876800"/>
            <wp:effectExtent l="0" t="0" r="0" b="0"/>
            <wp:wrapNone/>
            <wp:docPr id="9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2.png"/>
                    <pic:cNvPicPr/>
                  </pic:nvPicPr>
                  <pic:blipFill>
                    <a:blip xmlns:r="http://schemas.openxmlformats.org/officeDocument/2006/relationships" r:embed="rId5" cstate="print"/>
                    <a:stretch>
                      <a:fillRect/>
                    </a:stretch>
                  </pic:blipFill>
                  <pic:spPr>
                    <a:xfrm>
                      <a:off x="0" y="0"/>
                      <a:ext cx="7112000" cy="4876800"/>
                    </a:xfrm>
                    <a:prstGeom prst="rect">
                      <a:avLst/>
                    </a:prstGeom>
                  </pic:spPr>
                </pic:pic>
              </a:graphicData>
            </a:graphic>
          </wp:anchor>
        </w:drawing>
      </w:r>
      <w:r>
        <w:rPr>
          <w:spacing w:val="-3"/>
          <w:sz w:val="21"/>
        </w:rPr>
        <w:t>设备安装后，应结合安全生产管理及标准化要求，在测控一体化闸门工程管护范围内设立工程</w:t>
      </w:r>
      <w:r>
        <w:rPr>
          <w:spacing w:val="-20"/>
          <w:sz w:val="21"/>
        </w:rPr>
        <w:t>信息、管理责任、工程保护等标识标牌，对危及闸门设施和人身安全的部位，应配置安全标志、警示牌、</w:t>
      </w:r>
      <w:r>
        <w:rPr>
          <w:spacing w:val="-8"/>
          <w:sz w:val="21"/>
        </w:rPr>
        <w:t>防护装置等必要的安全防护设施。</w:t>
      </w:r>
    </w:p>
    <w:p>
      <w:pPr>
        <w:pStyle w:val="ListParagraph"/>
        <w:numPr>
          <w:ilvl w:val="2"/>
          <w:numId w:val="29"/>
        </w:numPr>
        <w:tabs>
          <w:tab w:val="left" w:pos="1628"/>
        </w:tabs>
        <w:spacing w:before="0" w:after="0" w:line="269" w:lineRule="exact"/>
        <w:ind w:left="1627" w:right="0" w:hanging="735"/>
        <w:jc w:val="both"/>
        <w:rPr>
          <w:sz w:val="21"/>
        </w:rPr>
      </w:pPr>
      <w:r>
        <w:rPr>
          <w:spacing w:val="-3"/>
          <w:sz w:val="21"/>
        </w:rPr>
        <w:t>安装过程质量评定参照有关标准和规范执行。</w:t>
      </w:r>
    </w:p>
    <w:p>
      <w:pPr>
        <w:pStyle w:val="BodyText"/>
        <w:spacing w:before="12"/>
        <w:rPr>
          <w:sz w:val="9"/>
        </w:rPr>
      </w:pPr>
    </w:p>
    <w:p>
      <w:pPr>
        <w:spacing w:before="74"/>
        <w:ind w:left="890" w:right="0" w:firstLine="0"/>
        <w:jc w:val="left"/>
        <w:rPr>
          <w:rFonts w:ascii="黑体" w:eastAsia="黑体" w:hint="eastAsia"/>
          <w:sz w:val="21"/>
        </w:rPr>
      </w:pPr>
      <w:r>
        <w:drawing>
          <wp:inline distT="0" distB="0" distL="0" distR="0">
            <wp:extent cx="198119" cy="99059"/>
            <wp:effectExtent l="0" t="0" r="0" b="0"/>
            <wp:docPr id="93"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38.png"/>
                    <pic:cNvPicPr/>
                  </pic:nvPicPr>
                  <pic:blipFill>
                    <a:blip xmlns:r="http://schemas.openxmlformats.org/officeDocument/2006/relationships" r:embed="rId41" cstate="print"/>
                    <a:stretch>
                      <a:fillRect/>
                    </a:stretch>
                  </pic:blipFill>
                  <pic:spPr>
                    <a:xfrm>
                      <a:off x="0" y="0"/>
                      <a:ext cx="198119" cy="99059"/>
                    </a:xfrm>
                    <a:prstGeom prst="rect">
                      <a:avLst/>
                    </a:prstGeom>
                  </pic:spPr>
                </pic:pic>
              </a:graphicData>
            </a:graphic>
          </wp:inline>
        </w:drawing>
      </w:r>
      <w:r>
        <w:rPr>
          <w:rFonts w:ascii="Times New Roman" w:eastAsia="Times New Roman"/>
          <w:sz w:val="20"/>
        </w:rPr>
        <w:t xml:space="preserve">   </w:t>
      </w:r>
      <w:r>
        <w:rPr>
          <w:rFonts w:ascii="Times New Roman" w:eastAsia="Times New Roman"/>
          <w:spacing w:val="16"/>
          <w:sz w:val="20"/>
        </w:rPr>
        <w:t xml:space="preserve"> </w:t>
      </w:r>
      <w:bookmarkStart w:id="19" w:name="9.2　 验收"/>
      <w:bookmarkEnd w:id="19"/>
      <w:r>
        <w:rPr>
          <w:rFonts w:ascii="黑体" w:eastAsia="黑体" w:hint="eastAsia"/>
          <w:sz w:val="21"/>
        </w:rPr>
        <w:t>验收</w:t>
      </w:r>
    </w:p>
    <w:p>
      <w:pPr>
        <w:pStyle w:val="BodyText"/>
        <w:spacing w:before="10"/>
        <w:rPr>
          <w:rFonts w:ascii="黑体"/>
          <w:sz w:val="9"/>
        </w:rPr>
      </w:pPr>
    </w:p>
    <w:p>
      <w:pPr>
        <w:pStyle w:val="ListParagraph"/>
        <w:numPr>
          <w:ilvl w:val="2"/>
          <w:numId w:val="28"/>
        </w:numPr>
        <w:tabs>
          <w:tab w:val="left" w:pos="1628"/>
        </w:tabs>
        <w:spacing w:before="71" w:after="0" w:line="240" w:lineRule="auto"/>
        <w:ind w:left="1627" w:right="0" w:hanging="736"/>
        <w:jc w:val="left"/>
        <w:rPr>
          <w:sz w:val="21"/>
        </w:rPr>
      </w:pPr>
      <w:r>
        <w:rPr>
          <w:spacing w:val="-3"/>
          <w:sz w:val="21"/>
        </w:rPr>
        <w:t>测控一体化闸门的验收包括设备进场验收、安装过程验收和控制系统软件验收。</w:t>
      </w:r>
    </w:p>
    <w:p>
      <w:pPr>
        <w:pStyle w:val="ListParagraph"/>
        <w:numPr>
          <w:ilvl w:val="2"/>
          <w:numId w:val="28"/>
        </w:numPr>
        <w:tabs>
          <w:tab w:val="left" w:pos="1628"/>
        </w:tabs>
        <w:spacing w:before="43" w:after="0" w:line="240" w:lineRule="auto"/>
        <w:ind w:left="1627" w:right="0" w:hanging="735"/>
        <w:jc w:val="left"/>
        <w:rPr>
          <w:sz w:val="21"/>
        </w:rPr>
      </w:pPr>
      <w:r>
        <w:rPr>
          <w:spacing w:val="-3"/>
          <w:sz w:val="21"/>
        </w:rPr>
        <w:t>设备进场验收按照合同要求及相关规范进行验收，验收合格后方可安装。</w:t>
      </w:r>
    </w:p>
    <w:p>
      <w:pPr>
        <w:pStyle w:val="ListParagraph"/>
        <w:numPr>
          <w:ilvl w:val="2"/>
          <w:numId w:val="28"/>
        </w:numPr>
        <w:tabs>
          <w:tab w:val="left" w:pos="1628"/>
        </w:tabs>
        <w:spacing w:before="43" w:after="0" w:line="240" w:lineRule="auto"/>
        <w:ind w:left="1627" w:right="0" w:hanging="735"/>
        <w:jc w:val="left"/>
        <w:rPr>
          <w:sz w:val="21"/>
        </w:rPr>
      </w:pPr>
      <w:r>
        <w:rPr>
          <w:spacing w:val="-9"/>
          <w:sz w:val="21"/>
        </w:rPr>
        <w:t xml:space="preserve">设备安装验收按照 </w:t>
      </w:r>
      <w:r>
        <w:rPr>
          <w:sz w:val="21"/>
        </w:rPr>
        <w:t>SL 223</w:t>
      </w:r>
      <w:r>
        <w:rPr>
          <w:spacing w:val="-37"/>
          <w:sz w:val="21"/>
        </w:rPr>
        <w:t xml:space="preserve"> 与 </w:t>
      </w:r>
      <w:r>
        <w:rPr>
          <w:sz w:val="21"/>
        </w:rPr>
        <w:t>SL</w:t>
      </w:r>
      <w:r>
        <w:rPr>
          <w:spacing w:val="-1"/>
          <w:sz w:val="21"/>
        </w:rPr>
        <w:t xml:space="preserve"> </w:t>
      </w:r>
      <w:r>
        <w:rPr>
          <w:sz w:val="21"/>
        </w:rPr>
        <w:t>588</w:t>
      </w:r>
      <w:r>
        <w:rPr>
          <w:spacing w:val="-10"/>
          <w:sz w:val="21"/>
        </w:rPr>
        <w:t xml:space="preserve"> 的有关规定执行。</w:t>
      </w:r>
    </w:p>
    <w:p>
      <w:pPr>
        <w:pStyle w:val="ListParagraph"/>
        <w:numPr>
          <w:ilvl w:val="2"/>
          <w:numId w:val="28"/>
        </w:numPr>
        <w:tabs>
          <w:tab w:val="left" w:pos="1629"/>
        </w:tabs>
        <w:spacing w:before="43" w:after="0" w:line="240" w:lineRule="auto"/>
        <w:ind w:left="1628" w:right="0" w:hanging="736"/>
        <w:jc w:val="left"/>
        <w:rPr>
          <w:sz w:val="21"/>
        </w:rPr>
      </w:pPr>
      <w:r>
        <w:rPr>
          <w:spacing w:val="-3"/>
          <w:sz w:val="21"/>
        </w:rPr>
        <w:t>控制系统软件验收应按照有关标准或规范执行。</w:t>
      </w:r>
    </w:p>
    <w:p>
      <w:pPr>
        <w:pStyle w:val="BodyText"/>
        <w:spacing w:before="9"/>
        <w:rPr>
          <w:sz w:val="27"/>
        </w:rPr>
      </w:pPr>
    </w:p>
    <w:p>
      <w:pPr>
        <w:pStyle w:val="ListParagraph"/>
        <w:numPr>
          <w:ilvl w:val="1"/>
          <w:numId w:val="41"/>
        </w:numPr>
        <w:tabs>
          <w:tab w:val="left" w:pos="1456"/>
        </w:tabs>
        <w:spacing w:before="0" w:after="0" w:line="240" w:lineRule="auto"/>
        <w:ind w:left="1455" w:right="0" w:hanging="421"/>
        <w:jc w:val="left"/>
        <w:rPr>
          <w:rFonts w:ascii="黑体" w:eastAsia="黑体" w:hint="eastAsia"/>
          <w:sz w:val="21"/>
        </w:rPr>
      </w:pPr>
      <w:bookmarkStart w:id="20" w:name="10　 运行及维护"/>
      <w:bookmarkEnd w:id="20"/>
      <w:r>
        <w:rPr>
          <w:rFonts w:ascii="黑体" w:eastAsia="黑体" w:hint="eastAsia"/>
          <w:spacing w:val="-1"/>
          <w:sz w:val="21"/>
        </w:rPr>
        <w:t>运行及维护</w:t>
      </w:r>
    </w:p>
    <w:p>
      <w:pPr>
        <w:pStyle w:val="BodyText"/>
        <w:spacing w:before="2"/>
        <w:rPr>
          <w:rFonts w:ascii="黑体"/>
          <w:sz w:val="22"/>
        </w:rPr>
      </w:pPr>
    </w:p>
    <w:p>
      <w:pPr>
        <w:spacing w:before="76"/>
        <w:ind w:left="904" w:right="0" w:firstLine="0"/>
        <w:jc w:val="left"/>
        <w:rPr>
          <w:rFonts w:ascii="黑体" w:eastAsia="黑体" w:hint="eastAsia"/>
          <w:sz w:val="21"/>
        </w:rPr>
      </w:pPr>
      <w:r>
        <w:drawing>
          <wp:inline distT="0" distB="0" distL="0" distR="0">
            <wp:extent cx="237743" cy="100583"/>
            <wp:effectExtent l="0" t="0" r="0" b="0"/>
            <wp:docPr id="95"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39.png"/>
                    <pic:cNvPicPr/>
                  </pic:nvPicPr>
                  <pic:blipFill>
                    <a:blip xmlns:r="http://schemas.openxmlformats.org/officeDocument/2006/relationships" r:embed="rId42" cstate="print"/>
                    <a:stretch>
                      <a:fillRect/>
                    </a:stretch>
                  </pic:blipFill>
                  <pic:spPr>
                    <a:xfrm>
                      <a:off x="0" y="0"/>
                      <a:ext cx="237743" cy="100583"/>
                    </a:xfrm>
                    <a:prstGeom prst="rect">
                      <a:avLst/>
                    </a:prstGeom>
                  </pic:spPr>
                </pic:pic>
              </a:graphicData>
            </a:graphic>
          </wp:inline>
        </w:drawing>
      </w:r>
      <w:r>
        <w:rPr>
          <w:rFonts w:ascii="Times New Roman" w:eastAsia="Times New Roman"/>
          <w:sz w:val="20"/>
        </w:rPr>
        <w:t xml:space="preserve">    </w:t>
      </w:r>
      <w:r>
        <w:rPr>
          <w:rFonts w:ascii="Times New Roman" w:eastAsia="Times New Roman"/>
          <w:spacing w:val="-6"/>
          <w:sz w:val="20"/>
        </w:rPr>
        <w:t xml:space="preserve"> </w:t>
      </w:r>
      <w:bookmarkStart w:id="21" w:name="10.1　 运行管理"/>
      <w:bookmarkEnd w:id="21"/>
      <w:r>
        <w:rPr>
          <w:rFonts w:ascii="黑体" w:eastAsia="黑体" w:hint="eastAsia"/>
          <w:spacing w:val="-1"/>
          <w:sz w:val="21"/>
        </w:rPr>
        <w:t>运行管理</w:t>
      </w:r>
    </w:p>
    <w:p>
      <w:pPr>
        <w:pStyle w:val="BodyText"/>
        <w:spacing w:before="7"/>
        <w:rPr>
          <w:rFonts w:ascii="黑体"/>
          <w:sz w:val="9"/>
        </w:rPr>
      </w:pPr>
    </w:p>
    <w:p>
      <w:pPr>
        <w:pStyle w:val="ListParagraph"/>
        <w:numPr>
          <w:ilvl w:val="2"/>
          <w:numId w:val="27"/>
        </w:numPr>
        <w:tabs>
          <w:tab w:val="left" w:pos="1733"/>
        </w:tabs>
        <w:spacing w:before="72" w:after="0" w:line="278" w:lineRule="auto"/>
        <w:ind w:left="892" w:right="1152" w:hanging="1"/>
        <w:jc w:val="left"/>
        <w:rPr>
          <w:sz w:val="21"/>
        </w:rPr>
      </w:pPr>
      <w:r>
        <w:rPr>
          <w:spacing w:val="-7"/>
          <w:sz w:val="21"/>
        </w:rPr>
        <w:t>应落实测控一体化闸门管护主体责任，按照国家灌区标准化、规范化管理要求，健全运行管护</w:t>
      </w:r>
      <w:r>
        <w:rPr>
          <w:spacing w:val="-5"/>
          <w:sz w:val="21"/>
        </w:rPr>
        <w:t>机制，统一编号登记造册，规范运行管理。</w:t>
      </w:r>
    </w:p>
    <w:p>
      <w:pPr>
        <w:pStyle w:val="ListParagraph"/>
        <w:numPr>
          <w:ilvl w:val="2"/>
          <w:numId w:val="27"/>
        </w:numPr>
        <w:tabs>
          <w:tab w:val="left" w:pos="1734"/>
        </w:tabs>
        <w:spacing w:before="0" w:after="0" w:line="278" w:lineRule="auto"/>
        <w:ind w:left="893" w:right="1153" w:hanging="1"/>
        <w:jc w:val="left"/>
        <w:rPr>
          <w:sz w:val="21"/>
        </w:rPr>
      </w:pPr>
      <w:r>
        <w:rPr>
          <w:spacing w:val="-7"/>
          <w:sz w:val="21"/>
        </w:rPr>
        <w:t>应结合标准化灌区建设要求和工程运行管理服务需要，编制测控一体化闸门设备操作规程、运</w:t>
      </w:r>
      <w:r>
        <w:rPr>
          <w:spacing w:val="-5"/>
          <w:sz w:val="21"/>
        </w:rPr>
        <w:t>行管理制度，建立绩效考核评价体系。</w:t>
      </w:r>
    </w:p>
    <w:p>
      <w:pPr>
        <w:pStyle w:val="ListParagraph"/>
        <w:numPr>
          <w:ilvl w:val="2"/>
          <w:numId w:val="27"/>
        </w:numPr>
        <w:tabs>
          <w:tab w:val="left" w:pos="1734"/>
        </w:tabs>
        <w:spacing w:before="0" w:after="0" w:line="278" w:lineRule="auto"/>
        <w:ind w:left="893" w:right="1047" w:hanging="1"/>
        <w:jc w:val="left"/>
        <w:rPr>
          <w:sz w:val="21"/>
        </w:rPr>
      </w:pPr>
      <w:r>
        <w:rPr>
          <w:spacing w:val="-8"/>
          <w:sz w:val="21"/>
        </w:rPr>
        <w:t>应定期组织开展测控一体化闸门设备运行管理、维修养护培训。首次上岗的灌区管理人员应进</w:t>
      </w:r>
      <w:r>
        <w:rPr>
          <w:spacing w:val="-5"/>
          <w:sz w:val="21"/>
        </w:rPr>
        <w:t>行岗前培训并经考核合格后上岗。岗前培训内容应包括行为规范、操作规程、维护规程、故障</w:t>
      </w:r>
      <w:r>
        <w:rPr>
          <w:sz w:val="21"/>
        </w:rPr>
        <w:t>（</w:t>
      </w:r>
      <w:r>
        <w:rPr>
          <w:spacing w:val="-3"/>
          <w:sz w:val="21"/>
        </w:rPr>
        <w:t>隐患</w:t>
      </w:r>
      <w:r>
        <w:rPr>
          <w:sz w:val="21"/>
        </w:rPr>
        <w:t>） 处理</w:t>
      </w:r>
      <w:r>
        <w:rPr>
          <w:spacing w:val="-3"/>
          <w:sz w:val="21"/>
        </w:rPr>
        <w:t>（</w:t>
      </w:r>
      <w:r>
        <w:rPr>
          <w:spacing w:val="-2"/>
          <w:sz w:val="21"/>
        </w:rPr>
        <w:t>预案</w:t>
      </w:r>
      <w:r>
        <w:rPr>
          <w:sz w:val="21"/>
        </w:rPr>
        <w:t>）</w:t>
      </w:r>
      <w:r>
        <w:rPr>
          <w:spacing w:val="-2"/>
          <w:sz w:val="21"/>
        </w:rPr>
        <w:t>等。</w:t>
      </w:r>
    </w:p>
    <w:p>
      <w:pPr>
        <w:pStyle w:val="ListParagraph"/>
        <w:numPr>
          <w:ilvl w:val="2"/>
          <w:numId w:val="27"/>
        </w:numPr>
        <w:tabs>
          <w:tab w:val="left" w:pos="1734"/>
        </w:tabs>
        <w:spacing w:before="0" w:after="0" w:line="278" w:lineRule="auto"/>
        <w:ind w:left="893" w:right="1152" w:hanging="1"/>
        <w:jc w:val="left"/>
        <w:rPr>
          <w:sz w:val="21"/>
        </w:rPr>
      </w:pPr>
      <w:r>
        <w:rPr>
          <w:sz w:val="21"/>
        </w:rPr>
        <w:t>应定期组织对测控一体化闸门设备进行安全检查和等级评定，发现设施设备存在缺陷和隐患</w:t>
      </w:r>
      <w:r>
        <w:rPr>
          <w:spacing w:val="-3"/>
          <w:sz w:val="21"/>
        </w:rPr>
        <w:t>时，及时消除缺陷和隐患，保证工程安全。</w:t>
      </w:r>
    </w:p>
    <w:p>
      <w:pPr>
        <w:spacing w:after="0" w:line="278" w:lineRule="auto"/>
        <w:jc w:val="left"/>
        <w:rPr>
          <w:sz w:val="21"/>
        </w:rPr>
        <w:sectPr>
          <w:pgSz w:w="11910" w:h="16840"/>
          <w:pgMar w:top="1580" w:right="260" w:bottom="280" w:left="240" w:header="708" w:footer="708"/>
          <w:pgNumType w:start="12"/>
          <w:cols w:space="708"/>
        </w:sectPr>
      </w:pPr>
    </w:p>
    <w:p>
      <w:pPr>
        <w:pStyle w:val="BodyText"/>
        <w:spacing w:before="11"/>
      </w:pPr>
    </w:p>
    <w:p>
      <w:pPr>
        <w:spacing w:before="76"/>
        <w:ind w:left="1190" w:right="0" w:firstLine="0"/>
        <w:jc w:val="left"/>
        <w:rPr>
          <w:rFonts w:ascii="黑体" w:eastAsia="黑体" w:hint="eastAsia"/>
          <w:sz w:val="21"/>
        </w:rPr>
      </w:pPr>
      <w:r>
        <w:drawing>
          <wp:inline distT="0" distB="0" distL="0" distR="0">
            <wp:extent cx="256031" cy="100583"/>
            <wp:effectExtent l="0" t="0" r="0" b="0"/>
            <wp:docPr id="97"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40.png"/>
                    <pic:cNvPicPr/>
                  </pic:nvPicPr>
                  <pic:blipFill>
                    <a:blip xmlns:r="http://schemas.openxmlformats.org/officeDocument/2006/relationships" r:embed="rId43" cstate="print"/>
                    <a:stretch>
                      <a:fillRect/>
                    </a:stretch>
                  </pic:blipFill>
                  <pic:spPr>
                    <a:xfrm>
                      <a:off x="0" y="0"/>
                      <a:ext cx="256031" cy="100583"/>
                    </a:xfrm>
                    <a:prstGeom prst="rect">
                      <a:avLst/>
                    </a:prstGeom>
                  </pic:spPr>
                </pic:pic>
              </a:graphicData>
            </a:graphic>
          </wp:inline>
        </w:drawing>
      </w:r>
      <w:r>
        <w:rPr>
          <w:rFonts w:ascii="Times New Roman" w:eastAsia="Times New Roman"/>
          <w:sz w:val="20"/>
        </w:rPr>
        <w:t xml:space="preserve">   </w:t>
      </w:r>
      <w:r>
        <w:rPr>
          <w:rFonts w:ascii="Times New Roman" w:eastAsia="Times New Roman"/>
          <w:spacing w:val="16"/>
          <w:sz w:val="20"/>
        </w:rPr>
        <w:t xml:space="preserve"> </w:t>
      </w:r>
      <w:bookmarkStart w:id="22" w:name="10.2　 巡视及检查"/>
      <w:bookmarkEnd w:id="22"/>
      <w:r>
        <w:rPr>
          <w:rFonts w:ascii="黑体" w:eastAsia="黑体" w:hint="eastAsia"/>
          <w:spacing w:val="-1"/>
          <w:sz w:val="21"/>
        </w:rPr>
        <w:t>巡视及检查</w:t>
      </w:r>
    </w:p>
    <w:p>
      <w:pPr>
        <w:pStyle w:val="BodyText"/>
        <w:spacing w:before="7"/>
        <w:rPr>
          <w:rFonts w:ascii="黑体"/>
          <w:sz w:val="9"/>
        </w:rPr>
      </w:pPr>
    </w:p>
    <w:p>
      <w:pPr>
        <w:pStyle w:val="ListParagraph"/>
        <w:numPr>
          <w:ilvl w:val="2"/>
          <w:numId w:val="26"/>
        </w:numPr>
        <w:tabs>
          <w:tab w:val="left" w:pos="2019"/>
        </w:tabs>
        <w:spacing w:before="72" w:after="0" w:line="240" w:lineRule="auto"/>
        <w:ind w:left="2018" w:right="0" w:hanging="841"/>
        <w:jc w:val="left"/>
        <w:rPr>
          <w:sz w:val="21"/>
        </w:rPr>
      </w:pPr>
      <w:r>
        <w:rPr>
          <w:spacing w:val="-3"/>
          <w:sz w:val="21"/>
        </w:rPr>
        <w:t>灌期前检查应符合以下要求：</w:t>
      </w:r>
    </w:p>
    <w:p>
      <w:pPr>
        <w:pStyle w:val="ListParagraph"/>
        <w:numPr>
          <w:ilvl w:val="3"/>
          <w:numId w:val="26"/>
        </w:numPr>
        <w:tabs>
          <w:tab w:val="left" w:pos="2031"/>
        </w:tabs>
        <w:spacing w:before="43" w:after="0" w:line="278" w:lineRule="auto"/>
        <w:ind w:left="2030" w:right="870" w:hanging="428"/>
        <w:jc w:val="left"/>
        <w:rPr>
          <w:sz w:val="21"/>
        </w:rPr>
      </w:pPr>
      <w:r>
        <w:rPr>
          <w:spacing w:val="-3"/>
          <w:sz w:val="21"/>
        </w:rPr>
        <w:t>检查时间：操作人员应在行水前一周完成相应的运行前检查,检查内容包括测控一体化闸门主体外观、控制部分、连接状态、设备试操作以及相关联水工建筑物、运行环境；</w:t>
      </w:r>
    </w:p>
    <w:p>
      <w:pPr>
        <w:pStyle w:val="ListParagraph"/>
        <w:numPr>
          <w:ilvl w:val="3"/>
          <w:numId w:val="26"/>
        </w:numPr>
        <w:tabs>
          <w:tab w:val="left" w:pos="2031"/>
        </w:tabs>
        <w:spacing w:before="0" w:after="0" w:line="278" w:lineRule="auto"/>
        <w:ind w:left="2030" w:right="868" w:hanging="428"/>
        <w:jc w:val="left"/>
        <w:rPr>
          <w:sz w:val="21"/>
        </w:rPr>
      </w:pPr>
      <w:r>
        <w:rPr>
          <w:spacing w:val="-11"/>
          <w:sz w:val="21"/>
        </w:rPr>
        <w:t>设备外观：查看闸框、闸板、控制柜、太阳能供电部分外观有无损坏，发现损坏应按故障处理</w:t>
      </w:r>
      <w:r>
        <w:rPr>
          <w:spacing w:val="-6"/>
          <w:sz w:val="21"/>
        </w:rPr>
        <w:t>流程处理传动部分：查看钢丝绳、链条是否有松动、断裂、脱落现象；</w:t>
      </w:r>
    </w:p>
    <w:p>
      <w:pPr>
        <w:pStyle w:val="ListParagraph"/>
        <w:numPr>
          <w:ilvl w:val="3"/>
          <w:numId w:val="26"/>
        </w:numPr>
        <w:tabs>
          <w:tab w:val="left" w:pos="2031"/>
        </w:tabs>
        <w:spacing w:before="0" w:after="0" w:line="269" w:lineRule="exact"/>
        <w:ind w:left="2030" w:right="0" w:hanging="428"/>
        <w:jc w:val="left"/>
        <w:rPr>
          <w:sz w:val="21"/>
        </w:rPr>
      </w:pPr>
      <w:r>
        <w:rPr>
          <w:spacing w:val="-3"/>
          <w:sz w:val="21"/>
        </w:rPr>
        <w:t>控制部分：打开控制柜，查看液晶屏显示界面有无报警，数据显示是否正常；</w:t>
      </w:r>
    </w:p>
    <w:p>
      <w:pPr>
        <w:pStyle w:val="ListParagraph"/>
        <w:numPr>
          <w:ilvl w:val="3"/>
          <w:numId w:val="26"/>
        </w:numPr>
        <w:tabs>
          <w:tab w:val="left" w:pos="2031"/>
        </w:tabs>
        <w:spacing w:before="42" w:after="0" w:line="240" w:lineRule="auto"/>
        <w:ind w:left="2030" w:right="0" w:hanging="428"/>
        <w:jc w:val="left"/>
        <w:rPr>
          <w:sz w:val="21"/>
        </w:rPr>
      </w:pPr>
      <w:r>
        <w:rPr>
          <w:spacing w:val="-3"/>
          <w:sz w:val="21"/>
        </w:rPr>
        <w:t>连接状态：通过远程控制界面查看设备连接状态，如有掉线情况应按故障处理流程处理；</w:t>
      </w:r>
    </w:p>
    <w:p>
      <w:pPr>
        <w:pStyle w:val="ListParagraph"/>
        <w:numPr>
          <w:ilvl w:val="3"/>
          <w:numId w:val="26"/>
        </w:numPr>
        <w:tabs>
          <w:tab w:val="left" w:pos="2031"/>
        </w:tabs>
        <w:spacing w:before="43" w:after="0" w:line="278" w:lineRule="auto"/>
        <w:ind w:left="2030" w:right="868" w:hanging="428"/>
        <w:jc w:val="left"/>
        <w:rPr>
          <w:sz w:val="21"/>
        </w:rPr>
      </w:pPr>
      <w:r>
        <w:rPr>
          <w:spacing w:val="-10"/>
          <w:sz w:val="21"/>
        </w:rPr>
        <w:t>参数校核：调度室通过控制界面查看设备闸位等参数，并对水位与流量数据对零，如有与现场</w:t>
      </w:r>
      <w:r>
        <w:rPr>
          <w:spacing w:val="-5"/>
          <w:sz w:val="21"/>
        </w:rPr>
        <w:t>不符情况应按故障处理流程处理；</w:t>
      </w:r>
    </w:p>
    <w:p>
      <w:pPr>
        <w:pStyle w:val="ListParagraph"/>
        <w:numPr>
          <w:ilvl w:val="3"/>
          <w:numId w:val="26"/>
        </w:numPr>
        <w:tabs>
          <w:tab w:val="left" w:pos="2031"/>
        </w:tabs>
        <w:spacing w:before="0" w:after="0" w:line="278" w:lineRule="auto"/>
        <w:ind w:left="2030" w:right="658" w:hanging="428"/>
        <w:jc w:val="left"/>
        <w:rPr>
          <w:sz w:val="21"/>
        </w:rPr>
      </w:pPr>
      <w:r>
        <w:rPr>
          <w:spacing w:val="-11"/>
          <w:sz w:val="21"/>
        </w:rPr>
        <w:t xml:space="preserve">控制功能检测：分别用远程操作、现地操作试操作，一旦发现闸门不动作、闸位错误、连接状 </w:t>
      </w:r>
      <w:r>
        <w:rPr>
          <w:spacing w:val="-4"/>
          <w:sz w:val="21"/>
        </w:rPr>
        <w:t xml:space="preserve">态异常、设备报警等异常情况应按故障处理流程处理,按照要求检查完成后需填写检查记录表， </w:t>
      </w:r>
      <w:r>
        <w:rPr>
          <w:spacing w:val="-3"/>
          <w:sz w:val="21"/>
        </w:rPr>
        <w:t>并签字保存；</w:t>
      </w:r>
    </w:p>
    <w:p>
      <w:pPr>
        <w:pStyle w:val="ListParagraph"/>
        <w:numPr>
          <w:ilvl w:val="3"/>
          <w:numId w:val="26"/>
        </w:numPr>
        <w:tabs>
          <w:tab w:val="left" w:pos="2031"/>
        </w:tabs>
        <w:spacing w:before="0" w:after="0" w:line="278" w:lineRule="auto"/>
        <w:ind w:left="2030" w:right="868" w:hanging="428"/>
        <w:jc w:val="left"/>
        <w:rPr>
          <w:sz w:val="21"/>
        </w:rPr>
      </w:pPr>
      <w:r>
        <w:rPr>
          <w:spacing w:val="-10"/>
          <w:sz w:val="21"/>
        </w:rPr>
        <w:t>水工建筑：对测控一体化闸门相关水工建筑检查，查看水工建筑与闸门接触部位有无破裂、穿</w:t>
      </w:r>
      <w:r>
        <w:rPr>
          <w:spacing w:val="-5"/>
          <w:sz w:val="21"/>
        </w:rPr>
        <w:t>孔，如有发现及时修补，以防漏水；</w:t>
      </w:r>
    </w:p>
    <w:p>
      <w:pPr>
        <w:pStyle w:val="ListParagraph"/>
        <w:numPr>
          <w:ilvl w:val="3"/>
          <w:numId w:val="26"/>
        </w:numPr>
        <w:tabs>
          <w:tab w:val="left" w:pos="2031"/>
        </w:tabs>
        <w:spacing w:before="0" w:after="0" w:line="278" w:lineRule="auto"/>
        <w:ind w:left="2030" w:right="868" w:hanging="428"/>
        <w:jc w:val="left"/>
        <w:rPr>
          <w:sz w:val="21"/>
        </w:rPr>
      </w:pPr>
      <w:r>
        <w:rPr>
          <w:spacing w:val="-11"/>
          <w:sz w:val="21"/>
        </w:rPr>
        <w:t>淤积情况：查看闸前淤积情况，检查测水箱内部传感器是否被淤积杂物覆盖，如有发现需清理</w:t>
      </w:r>
      <w:r>
        <w:rPr>
          <w:spacing w:val="-6"/>
          <w:sz w:val="21"/>
        </w:rPr>
        <w:t>测水箱内部淤积；清理测水箱上部淤积。</w:t>
      </w:r>
    </w:p>
    <w:p>
      <w:pPr>
        <w:pStyle w:val="ListParagraph"/>
        <w:numPr>
          <w:ilvl w:val="2"/>
          <w:numId w:val="26"/>
        </w:numPr>
        <w:tabs>
          <w:tab w:val="left" w:pos="2019"/>
        </w:tabs>
        <w:spacing w:before="0" w:after="0" w:line="269" w:lineRule="exact"/>
        <w:ind w:left="2018" w:right="0" w:hanging="841"/>
        <w:jc w:val="left"/>
        <w:rPr>
          <w:sz w:val="21"/>
        </w:rPr>
      </w:pPr>
      <w:r>
        <w:rPr>
          <w:spacing w:val="-3"/>
          <w:sz w:val="21"/>
        </w:rPr>
        <w:t>运行期巡检应符合以下要求：</w:t>
      </w:r>
    </w:p>
    <w:p>
      <w:pPr>
        <w:pStyle w:val="ListParagraph"/>
        <w:numPr>
          <w:ilvl w:val="3"/>
          <w:numId w:val="26"/>
        </w:numPr>
        <w:tabs>
          <w:tab w:val="left" w:pos="2031"/>
        </w:tabs>
        <w:spacing w:before="43" w:after="0" w:line="278" w:lineRule="auto"/>
        <w:ind w:left="2030" w:right="762" w:hanging="428"/>
        <w:jc w:val="left"/>
        <w:rPr>
          <w:sz w:val="21"/>
        </w:rPr>
      </w:pPr>
      <w:r>
        <w:drawing>
          <wp:anchor distT="0" distB="0" distL="0" distR="0" simplePos="0" relativeHeight="251687936" behindDoc="0" locked="0" layoutInCell="1" allowOverlap="1">
            <wp:simplePos x="0" y="0"/>
            <wp:positionH relativeFrom="page">
              <wp:posOffset>215900</wp:posOffset>
            </wp:positionH>
            <wp:positionV relativeFrom="paragraph">
              <wp:posOffset>367919</wp:posOffset>
            </wp:positionV>
            <wp:extent cx="7112000" cy="4876800"/>
            <wp:effectExtent l="0" t="0" r="0" b="0"/>
            <wp:wrapNone/>
            <wp:docPr id="9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2.png"/>
                    <pic:cNvPicPr/>
                  </pic:nvPicPr>
                  <pic:blipFill>
                    <a:blip xmlns:r="http://schemas.openxmlformats.org/officeDocument/2006/relationships" r:embed="rId5" cstate="print"/>
                    <a:stretch>
                      <a:fillRect/>
                    </a:stretch>
                  </pic:blipFill>
                  <pic:spPr>
                    <a:xfrm>
                      <a:off x="0" y="0"/>
                      <a:ext cx="7112000" cy="4876800"/>
                    </a:xfrm>
                    <a:prstGeom prst="rect">
                      <a:avLst/>
                    </a:prstGeom>
                  </pic:spPr>
                </pic:pic>
              </a:graphicData>
            </a:graphic>
          </wp:anchor>
        </w:drawing>
      </w:r>
      <w:r>
        <w:rPr>
          <w:spacing w:val="-14"/>
          <w:sz w:val="21"/>
        </w:rPr>
        <w:t>一般结合渠道巡检同步进行，正常情况下非行水期每周至少巡护一次，特殊天气情况</w:t>
      </w:r>
      <w:r>
        <w:rPr>
          <w:sz w:val="21"/>
        </w:rPr>
        <w:t>（</w:t>
      </w:r>
      <w:r>
        <w:rPr>
          <w:spacing w:val="-3"/>
          <w:sz w:val="21"/>
        </w:rPr>
        <w:t>如雷雨、山洪、大风、地震等</w:t>
      </w:r>
      <w:r>
        <w:rPr>
          <w:sz w:val="21"/>
        </w:rPr>
        <w:t>）</w:t>
      </w:r>
      <w:r>
        <w:rPr>
          <w:spacing w:val="-3"/>
          <w:sz w:val="21"/>
        </w:rPr>
        <w:t>酌情增加次数；</w:t>
      </w:r>
    </w:p>
    <w:p>
      <w:pPr>
        <w:pStyle w:val="ListParagraph"/>
        <w:numPr>
          <w:ilvl w:val="3"/>
          <w:numId w:val="26"/>
        </w:numPr>
        <w:tabs>
          <w:tab w:val="left" w:pos="2031"/>
        </w:tabs>
        <w:spacing w:before="0" w:after="0" w:line="278" w:lineRule="auto"/>
        <w:ind w:left="2030" w:right="866" w:hanging="428"/>
        <w:jc w:val="left"/>
        <w:rPr>
          <w:sz w:val="21"/>
        </w:rPr>
      </w:pPr>
      <w:r>
        <w:rPr>
          <w:spacing w:val="-10"/>
          <w:sz w:val="21"/>
        </w:rPr>
        <w:t>设备外观：查看可见部分闸框、闸板、控制柜、太阳能供电部分外观有无损坏，传动部分：查</w:t>
      </w:r>
      <w:r>
        <w:rPr>
          <w:spacing w:val="-5"/>
          <w:sz w:val="21"/>
        </w:rPr>
        <w:t>看钢丝绳、链条是否有松动、断裂、脱落现象；</w:t>
      </w:r>
    </w:p>
    <w:p>
      <w:pPr>
        <w:pStyle w:val="ListParagraph"/>
        <w:numPr>
          <w:ilvl w:val="3"/>
          <w:numId w:val="26"/>
        </w:numPr>
        <w:tabs>
          <w:tab w:val="left" w:pos="2031"/>
        </w:tabs>
        <w:spacing w:before="0" w:after="0" w:line="278" w:lineRule="auto"/>
        <w:ind w:left="2030" w:right="868" w:hanging="428"/>
        <w:jc w:val="left"/>
        <w:rPr>
          <w:sz w:val="21"/>
        </w:rPr>
      </w:pPr>
      <w:r>
        <w:rPr>
          <w:spacing w:val="-11"/>
          <w:sz w:val="21"/>
        </w:rPr>
        <w:t>进水口：检查闸口是否有树枝、木头、大型杂物卡住以及杂草、垃圾等淤积，如有发现需及时清理；</w:t>
      </w:r>
    </w:p>
    <w:p>
      <w:pPr>
        <w:pStyle w:val="ListParagraph"/>
        <w:numPr>
          <w:ilvl w:val="3"/>
          <w:numId w:val="26"/>
        </w:numPr>
        <w:tabs>
          <w:tab w:val="left" w:pos="2031"/>
        </w:tabs>
        <w:spacing w:before="0" w:after="0" w:line="269" w:lineRule="exact"/>
        <w:ind w:left="2030" w:right="0" w:hanging="428"/>
        <w:jc w:val="left"/>
        <w:rPr>
          <w:sz w:val="21"/>
        </w:rPr>
      </w:pPr>
      <w:r>
        <w:rPr>
          <w:spacing w:val="-3"/>
          <w:sz w:val="21"/>
        </w:rPr>
        <w:t>水工建筑：查看水工建筑与闸门接触部位有无破裂、穿孔，如有发现及时修补，以防漏水。</w:t>
      </w:r>
    </w:p>
    <w:p>
      <w:pPr>
        <w:pStyle w:val="ListParagraph"/>
        <w:numPr>
          <w:ilvl w:val="2"/>
          <w:numId w:val="26"/>
        </w:numPr>
        <w:tabs>
          <w:tab w:val="left" w:pos="2019"/>
        </w:tabs>
        <w:spacing w:before="42" w:after="0" w:line="240" w:lineRule="auto"/>
        <w:ind w:left="2018" w:right="0" w:hanging="841"/>
        <w:jc w:val="left"/>
        <w:rPr>
          <w:sz w:val="21"/>
        </w:rPr>
      </w:pPr>
      <w:r>
        <w:rPr>
          <w:spacing w:val="-3"/>
          <w:sz w:val="21"/>
        </w:rPr>
        <w:t>控制室日常检查应符合以下要求：</w:t>
      </w:r>
    </w:p>
    <w:p>
      <w:pPr>
        <w:pStyle w:val="ListParagraph"/>
        <w:numPr>
          <w:ilvl w:val="3"/>
          <w:numId w:val="26"/>
        </w:numPr>
        <w:tabs>
          <w:tab w:val="left" w:pos="2031"/>
        </w:tabs>
        <w:spacing w:before="43" w:after="0" w:line="240" w:lineRule="auto"/>
        <w:ind w:left="2030" w:right="0" w:hanging="428"/>
        <w:jc w:val="left"/>
        <w:rPr>
          <w:sz w:val="21"/>
        </w:rPr>
      </w:pPr>
      <w:r>
        <w:rPr>
          <w:spacing w:val="-3"/>
          <w:sz w:val="21"/>
        </w:rPr>
        <w:t>连接状态：定期通过控制界面查看设备远程信号连接是否正常；</w:t>
      </w:r>
    </w:p>
    <w:p>
      <w:pPr>
        <w:pStyle w:val="ListParagraph"/>
        <w:numPr>
          <w:ilvl w:val="3"/>
          <w:numId w:val="26"/>
        </w:numPr>
        <w:tabs>
          <w:tab w:val="left" w:pos="2031"/>
        </w:tabs>
        <w:spacing w:before="43" w:after="0" w:line="240" w:lineRule="auto"/>
        <w:ind w:left="2030" w:right="0" w:hanging="428"/>
        <w:jc w:val="left"/>
        <w:rPr>
          <w:sz w:val="21"/>
        </w:rPr>
      </w:pPr>
      <w:r>
        <w:rPr>
          <w:spacing w:val="-3"/>
          <w:sz w:val="21"/>
        </w:rPr>
        <w:t>设备信息：定期通过控制界面查看设备闸位、水位等参数有无异常，与运行计划是否一致；</w:t>
      </w:r>
    </w:p>
    <w:p>
      <w:pPr>
        <w:pStyle w:val="ListParagraph"/>
        <w:numPr>
          <w:ilvl w:val="3"/>
          <w:numId w:val="26"/>
        </w:numPr>
        <w:tabs>
          <w:tab w:val="left" w:pos="2031"/>
        </w:tabs>
        <w:spacing w:before="43" w:after="0" w:line="240" w:lineRule="auto"/>
        <w:ind w:left="2030" w:right="0" w:hanging="428"/>
        <w:jc w:val="left"/>
        <w:rPr>
          <w:sz w:val="21"/>
        </w:rPr>
      </w:pPr>
      <w:r>
        <w:rPr>
          <w:spacing w:val="-3"/>
          <w:sz w:val="21"/>
        </w:rPr>
        <w:t>视频监控系统：定期检查画面是否清晰流畅，监视过程中有无卡顿、模糊、延时现象；</w:t>
      </w:r>
    </w:p>
    <w:p>
      <w:pPr>
        <w:pStyle w:val="ListParagraph"/>
        <w:numPr>
          <w:ilvl w:val="3"/>
          <w:numId w:val="26"/>
        </w:numPr>
        <w:tabs>
          <w:tab w:val="left" w:pos="2031"/>
        </w:tabs>
        <w:spacing w:before="43" w:after="0" w:line="240" w:lineRule="auto"/>
        <w:ind w:left="2030" w:right="0" w:hanging="428"/>
        <w:jc w:val="left"/>
        <w:rPr>
          <w:sz w:val="21"/>
        </w:rPr>
      </w:pPr>
      <w:r>
        <w:rPr>
          <w:spacing w:val="-3"/>
          <w:sz w:val="21"/>
        </w:rPr>
        <w:t>故障报警：随时检查监控画面是否有故障报警；</w:t>
      </w:r>
    </w:p>
    <w:p>
      <w:pPr>
        <w:pStyle w:val="ListParagraph"/>
        <w:numPr>
          <w:ilvl w:val="3"/>
          <w:numId w:val="26"/>
        </w:numPr>
        <w:tabs>
          <w:tab w:val="left" w:pos="2031"/>
        </w:tabs>
        <w:spacing w:before="43" w:after="0" w:line="240" w:lineRule="auto"/>
        <w:ind w:left="2030" w:right="0" w:hanging="428"/>
        <w:jc w:val="left"/>
        <w:rPr>
          <w:sz w:val="21"/>
        </w:rPr>
      </w:pPr>
      <w:r>
        <w:rPr>
          <w:spacing w:val="-8"/>
          <w:sz w:val="21"/>
        </w:rPr>
        <w:t xml:space="preserve">附属设施：定期检查 </w:t>
      </w:r>
      <w:r>
        <w:rPr>
          <w:sz w:val="21"/>
        </w:rPr>
        <w:t>UPS</w:t>
      </w:r>
      <w:r>
        <w:rPr>
          <w:spacing w:val="-3"/>
          <w:sz w:val="21"/>
        </w:rPr>
        <w:t>、网络设备、服务器、打印机等。</w:t>
      </w:r>
    </w:p>
    <w:p>
      <w:pPr>
        <w:pStyle w:val="ListParagraph"/>
        <w:numPr>
          <w:ilvl w:val="2"/>
          <w:numId w:val="26"/>
        </w:numPr>
        <w:tabs>
          <w:tab w:val="left" w:pos="2019"/>
        </w:tabs>
        <w:spacing w:before="43" w:after="0" w:line="240" w:lineRule="auto"/>
        <w:ind w:left="2018" w:right="0" w:hanging="841"/>
        <w:jc w:val="left"/>
        <w:rPr>
          <w:sz w:val="21"/>
        </w:rPr>
      </w:pPr>
      <w:r>
        <w:rPr>
          <w:spacing w:val="-3"/>
          <w:sz w:val="21"/>
        </w:rPr>
        <w:t>停水期管理应符合以下要求：</w:t>
      </w:r>
    </w:p>
    <w:p>
      <w:pPr>
        <w:pStyle w:val="ListParagraph"/>
        <w:numPr>
          <w:ilvl w:val="3"/>
          <w:numId w:val="26"/>
        </w:numPr>
        <w:tabs>
          <w:tab w:val="left" w:pos="2031"/>
        </w:tabs>
        <w:spacing w:before="43" w:after="0" w:line="278" w:lineRule="auto"/>
        <w:ind w:left="2030" w:right="869" w:hanging="428"/>
        <w:jc w:val="left"/>
        <w:rPr>
          <w:sz w:val="21"/>
        </w:rPr>
      </w:pPr>
      <w:r>
        <w:rPr>
          <w:spacing w:val="-8"/>
          <w:sz w:val="21"/>
        </w:rPr>
        <w:t>冬季巡视检查一般情况下不允许操作设备运行，若有特殊情况需要操作设备动作，需提前做除</w:t>
      </w:r>
      <w:r>
        <w:rPr>
          <w:spacing w:val="-3"/>
          <w:sz w:val="21"/>
        </w:rPr>
        <w:t>冰、清淤以及影响设备安全方面的处理；</w:t>
      </w:r>
    </w:p>
    <w:p>
      <w:pPr>
        <w:pStyle w:val="ListParagraph"/>
        <w:numPr>
          <w:ilvl w:val="3"/>
          <w:numId w:val="26"/>
        </w:numPr>
        <w:tabs>
          <w:tab w:val="left" w:pos="2031"/>
        </w:tabs>
        <w:spacing w:before="0" w:after="0" w:line="269" w:lineRule="exact"/>
        <w:ind w:left="2030" w:right="0" w:hanging="428"/>
        <w:jc w:val="left"/>
        <w:rPr>
          <w:sz w:val="21"/>
        </w:rPr>
      </w:pPr>
      <w:r>
        <w:rPr>
          <w:spacing w:val="-3"/>
          <w:sz w:val="21"/>
        </w:rPr>
        <w:t>结合渠道巡检进行日常设备及建筑物检查，防止设备冻胀破坏；</w:t>
      </w:r>
    </w:p>
    <w:p>
      <w:pPr>
        <w:pStyle w:val="ListParagraph"/>
        <w:numPr>
          <w:ilvl w:val="3"/>
          <w:numId w:val="26"/>
        </w:numPr>
        <w:tabs>
          <w:tab w:val="left" w:pos="2031"/>
        </w:tabs>
        <w:spacing w:before="43" w:after="0" w:line="240" w:lineRule="auto"/>
        <w:ind w:left="2030" w:right="0" w:hanging="428"/>
        <w:jc w:val="left"/>
        <w:rPr>
          <w:sz w:val="21"/>
        </w:rPr>
      </w:pPr>
      <w:r>
        <w:rPr>
          <w:spacing w:val="-3"/>
          <w:sz w:val="21"/>
        </w:rPr>
        <w:t>防止闲杂人员燃烧测箱附近杂草而引发火灾以及人为损坏传感设备。</w:t>
      </w:r>
    </w:p>
    <w:p>
      <w:pPr>
        <w:pStyle w:val="BodyText"/>
        <w:spacing w:before="12"/>
        <w:rPr>
          <w:sz w:val="9"/>
        </w:rPr>
      </w:pPr>
    </w:p>
    <w:p>
      <w:pPr>
        <w:spacing w:before="76"/>
        <w:ind w:left="1190" w:right="0" w:firstLine="0"/>
        <w:jc w:val="left"/>
        <w:rPr>
          <w:rFonts w:ascii="黑体" w:eastAsia="黑体" w:hint="eastAsia"/>
          <w:sz w:val="21"/>
        </w:rPr>
      </w:pPr>
      <w:r>
        <w:drawing>
          <wp:inline distT="0" distB="0" distL="0" distR="0">
            <wp:extent cx="256031" cy="100583"/>
            <wp:effectExtent l="0" t="0" r="0" b="0"/>
            <wp:docPr id="101"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41.png"/>
                    <pic:cNvPicPr/>
                  </pic:nvPicPr>
                  <pic:blipFill>
                    <a:blip xmlns:r="http://schemas.openxmlformats.org/officeDocument/2006/relationships" r:embed="rId44" cstate="print"/>
                    <a:stretch>
                      <a:fillRect/>
                    </a:stretch>
                  </pic:blipFill>
                  <pic:spPr>
                    <a:xfrm>
                      <a:off x="0" y="0"/>
                      <a:ext cx="256031" cy="100583"/>
                    </a:xfrm>
                    <a:prstGeom prst="rect">
                      <a:avLst/>
                    </a:prstGeom>
                  </pic:spPr>
                </pic:pic>
              </a:graphicData>
            </a:graphic>
          </wp:inline>
        </w:drawing>
      </w:r>
      <w:r>
        <w:rPr>
          <w:rFonts w:ascii="Times New Roman" w:eastAsia="Times New Roman"/>
          <w:sz w:val="20"/>
        </w:rPr>
        <w:t xml:space="preserve">   </w:t>
      </w:r>
      <w:r>
        <w:rPr>
          <w:rFonts w:ascii="Times New Roman" w:eastAsia="Times New Roman"/>
          <w:spacing w:val="16"/>
          <w:sz w:val="20"/>
        </w:rPr>
        <w:t xml:space="preserve"> </w:t>
      </w:r>
      <w:bookmarkStart w:id="23" w:name="10.3　 维护管理"/>
      <w:bookmarkEnd w:id="23"/>
      <w:r>
        <w:rPr>
          <w:rFonts w:ascii="黑体" w:eastAsia="黑体" w:hint="eastAsia"/>
          <w:spacing w:val="-1"/>
          <w:sz w:val="21"/>
        </w:rPr>
        <w:t>维护管理</w:t>
      </w:r>
    </w:p>
    <w:p>
      <w:pPr>
        <w:pStyle w:val="BodyText"/>
        <w:spacing w:before="8"/>
        <w:rPr>
          <w:rFonts w:ascii="黑体"/>
          <w:sz w:val="9"/>
        </w:rPr>
      </w:pPr>
    </w:p>
    <w:p>
      <w:pPr>
        <w:pStyle w:val="ListParagraph"/>
        <w:numPr>
          <w:ilvl w:val="2"/>
          <w:numId w:val="25"/>
        </w:numPr>
        <w:tabs>
          <w:tab w:val="left" w:pos="2019"/>
        </w:tabs>
        <w:spacing w:before="71" w:after="0" w:line="240" w:lineRule="auto"/>
        <w:ind w:left="2018" w:right="0" w:hanging="841"/>
        <w:jc w:val="left"/>
        <w:rPr>
          <w:sz w:val="21"/>
        </w:rPr>
      </w:pPr>
      <w:r>
        <w:rPr>
          <w:spacing w:val="-3"/>
          <w:sz w:val="21"/>
        </w:rPr>
        <w:t>日常检查与维护应满足以下要求：</w:t>
      </w:r>
    </w:p>
    <w:p>
      <w:pPr>
        <w:pStyle w:val="ListParagraph"/>
        <w:numPr>
          <w:ilvl w:val="3"/>
          <w:numId w:val="25"/>
        </w:numPr>
        <w:tabs>
          <w:tab w:val="left" w:pos="2031"/>
        </w:tabs>
        <w:spacing w:before="43" w:after="0" w:line="240" w:lineRule="auto"/>
        <w:ind w:left="2030" w:right="0" w:hanging="428"/>
        <w:jc w:val="left"/>
        <w:rPr>
          <w:sz w:val="21"/>
        </w:rPr>
      </w:pPr>
      <w:r>
        <w:rPr>
          <w:spacing w:val="-5"/>
          <w:sz w:val="21"/>
        </w:rPr>
        <w:t>运行管理单位应按要求开展测控一体化闸门日常检查和维护，确保其运行处于最佳工作状态；</w:t>
      </w:r>
    </w:p>
    <w:p>
      <w:pPr>
        <w:pStyle w:val="ListParagraph"/>
        <w:numPr>
          <w:ilvl w:val="3"/>
          <w:numId w:val="25"/>
        </w:numPr>
        <w:tabs>
          <w:tab w:val="left" w:pos="2031"/>
        </w:tabs>
        <w:spacing w:before="43" w:after="0" w:line="240" w:lineRule="auto"/>
        <w:ind w:left="2030" w:right="0" w:hanging="428"/>
        <w:jc w:val="left"/>
        <w:rPr>
          <w:sz w:val="21"/>
        </w:rPr>
      </w:pPr>
      <w:r>
        <w:rPr>
          <w:spacing w:val="-3"/>
          <w:sz w:val="21"/>
        </w:rPr>
        <w:t>在日常维护中发现任何部件损坏或失灵，应及时修理或更换；</w:t>
      </w:r>
    </w:p>
    <w:p>
      <w:pPr>
        <w:spacing w:after="0" w:line="240" w:lineRule="auto"/>
        <w:jc w:val="left"/>
        <w:rPr>
          <w:sz w:val="21"/>
        </w:rPr>
      </w:pPr>
      <w:r>
        <w:rPr>
          <w:sz w:val="21"/>
        </w:rPr>
        <w:br/>
      </w:r>
      <w:r>
        <w:rPr>
          <w:sz w:val="21"/>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5" w:history="1">
        <w:r>
          <w:rPr>
            <w:rFonts w:ascii="SimSun" w:eastAsia="SimSun" w:hAnsi="SimSun" w:cs="SimSun"/>
            <w:b/>
            <w:bCs/>
            <w:color w:val="0000EE"/>
            <w:sz w:val="30"/>
            <w:szCs w:val="30"/>
            <w:u w:val="single" w:color="0000EE"/>
          </w:rPr>
          <w:t>https://d.book118.com/347042150106006035</w:t>
        </w:r>
      </w:hyperlink>
    </w:p>
    <w:p>
      <w:pPr>
        <w:spacing w:after="0" w:line="240" w:lineRule="auto"/>
        <w:jc w:val="left"/>
        <w:rPr>
          <w:sz w:val="21"/>
        </w:rPr>
      </w:pPr>
    </w:p>
    <w:sectPr>
      <w:pgSz w:w="11910" w:h="16840"/>
      <w:pgMar w:top="1580" w:right="260" w:bottom="280" w:left="240" w:header="708" w:footer="708"/>
      <w:pgNumType w:start="13"/>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黑体">
    <w:altName w:val="黑体"/>
    <w:charset w:val="86"/>
    <w:family w:val="modern"/>
    <w:pitch w:val="fixed"/>
    <w:sig w:usb0="00000000" w:usb1="00000000" w:usb2="00000000" w:usb3="00000000" w:csb0="00040000" w:csb1="00000000"/>
  </w:font>
  <w:font w:name="Calibri">
    <w:altName w:val="Calibri"/>
    <w:charset w:val="00"/>
    <w:family w:val="swiss"/>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78442"/>
    <w:multiLevelType w:val="hybridMultilevel"/>
    <w:tmpl w:val="00000000"/>
    <w:lvl w:ilvl="0">
      <w:start w:val="1"/>
      <w:numFmt w:val="upperLetter"/>
      <w:lvlText w:val="%1"/>
      <w:lvlJc w:val="left"/>
      <w:pPr>
        <w:ind w:left="1912" w:hanging="735"/>
        <w:jc w:val="left"/>
      </w:pPr>
      <w:rPr>
        <w:rFonts w:hint="default"/>
        <w:lang w:val="en-US" w:eastAsia="en-US" w:bidi="ar-SA"/>
      </w:rPr>
    </w:lvl>
    <w:lvl w:ilvl="1">
      <w:start w:val="3"/>
      <w:numFmt w:val="decimal"/>
      <w:lvlText w:val="%1.%2"/>
      <w:lvlJc w:val="left"/>
      <w:pPr>
        <w:ind w:left="1912" w:hanging="735"/>
        <w:jc w:val="left"/>
      </w:pPr>
      <w:rPr>
        <w:rFonts w:hint="default"/>
        <w:lang w:val="en-US" w:eastAsia="en-US" w:bidi="ar-SA"/>
      </w:rPr>
    </w:lvl>
    <w:lvl w:ilvl="2">
      <w:start w:val="1"/>
      <w:numFmt w:val="decimal"/>
      <w:lvlText w:val="%1.%2.%3"/>
      <w:lvlJc w:val="left"/>
      <w:pPr>
        <w:ind w:left="1912" w:hanging="735"/>
        <w:jc w:val="left"/>
      </w:pPr>
      <w:rPr>
        <w:rFonts w:ascii="黑体" w:eastAsia="黑体" w:hAnsi="黑体" w:cs="黑体" w:hint="default"/>
        <w:w w:val="100"/>
        <w:sz w:val="21"/>
        <w:szCs w:val="21"/>
        <w:lang w:val="en-US" w:eastAsia="en-US" w:bidi="ar-SA"/>
      </w:rPr>
    </w:lvl>
    <w:lvl w:ilvl="3">
      <w:start w:val="1"/>
      <w:numFmt w:val="decimal"/>
      <w:lvlText w:val="%4)"/>
      <w:lvlJc w:val="left"/>
      <w:pPr>
        <w:ind w:left="2455" w:hanging="425"/>
        <w:jc w:val="left"/>
      </w:pPr>
      <w:rPr>
        <w:rFonts w:ascii="宋体" w:eastAsia="宋体" w:hAnsi="宋体" w:cs="宋体" w:hint="default"/>
        <w:w w:val="100"/>
        <w:sz w:val="21"/>
        <w:szCs w:val="21"/>
        <w:lang w:val="en-US" w:eastAsia="en-US" w:bidi="ar-SA"/>
      </w:rPr>
    </w:lvl>
    <w:lvl w:ilvl="4">
      <w:start w:val="0"/>
      <w:numFmt w:val="bullet"/>
      <w:lvlText w:val="•"/>
      <w:lvlJc w:val="left"/>
      <w:pPr>
        <w:ind w:left="5442" w:hanging="425"/>
      </w:pPr>
      <w:rPr>
        <w:rFonts w:hint="default"/>
        <w:lang w:val="en-US" w:eastAsia="en-US" w:bidi="ar-SA"/>
      </w:rPr>
    </w:lvl>
    <w:lvl w:ilvl="5">
      <w:start w:val="0"/>
      <w:numFmt w:val="bullet"/>
      <w:lvlText w:val="•"/>
      <w:lvlJc w:val="left"/>
      <w:pPr>
        <w:ind w:left="6436" w:hanging="425"/>
      </w:pPr>
      <w:rPr>
        <w:rFonts w:hint="default"/>
        <w:lang w:val="en-US" w:eastAsia="en-US" w:bidi="ar-SA"/>
      </w:rPr>
    </w:lvl>
    <w:lvl w:ilvl="6">
      <w:start w:val="0"/>
      <w:numFmt w:val="bullet"/>
      <w:lvlText w:val="•"/>
      <w:lvlJc w:val="left"/>
      <w:pPr>
        <w:ind w:left="7430" w:hanging="425"/>
      </w:pPr>
      <w:rPr>
        <w:rFonts w:hint="default"/>
        <w:lang w:val="en-US" w:eastAsia="en-US" w:bidi="ar-SA"/>
      </w:rPr>
    </w:lvl>
    <w:lvl w:ilvl="7">
      <w:start w:val="0"/>
      <w:numFmt w:val="bullet"/>
      <w:lvlText w:val="•"/>
      <w:lvlJc w:val="left"/>
      <w:pPr>
        <w:ind w:left="8424" w:hanging="425"/>
      </w:pPr>
      <w:rPr>
        <w:rFonts w:hint="default"/>
        <w:lang w:val="en-US" w:eastAsia="en-US" w:bidi="ar-SA"/>
      </w:rPr>
    </w:lvl>
    <w:lvl w:ilvl="8">
      <w:start w:val="0"/>
      <w:numFmt w:val="bullet"/>
      <w:lvlText w:val="•"/>
      <w:lvlJc w:val="left"/>
      <w:pPr>
        <w:ind w:left="9418" w:hanging="425"/>
      </w:pPr>
      <w:rPr>
        <w:rFonts w:hint="default"/>
        <w:lang w:val="en-US" w:eastAsia="en-US" w:bidi="ar-SA"/>
      </w:rPr>
    </w:lvl>
  </w:abstractNum>
  <w:abstractNum w:abstractNumId="1">
    <w:nsid w:val="058D53D3"/>
    <w:multiLevelType w:val="hybridMultilevel"/>
    <w:tmpl w:val="00000000"/>
    <w:lvl w:ilvl="0">
      <w:start w:val="1"/>
      <w:numFmt w:val="lowerLetter"/>
      <w:lvlText w:val="%1)"/>
      <w:lvlJc w:val="left"/>
      <w:pPr>
        <w:ind w:left="1744" w:hanging="428"/>
        <w:jc w:val="left"/>
      </w:pPr>
      <w:rPr>
        <w:rFonts w:ascii="宋体" w:eastAsia="宋体" w:hAnsi="宋体" w:cs="宋体" w:hint="default"/>
        <w:w w:val="100"/>
        <w:sz w:val="21"/>
        <w:szCs w:val="21"/>
        <w:lang w:val="en-US" w:eastAsia="en-US" w:bidi="ar-SA"/>
      </w:rPr>
    </w:lvl>
    <w:lvl w:ilvl="1">
      <w:start w:val="0"/>
      <w:numFmt w:val="bullet"/>
      <w:lvlText w:val="•"/>
      <w:lvlJc w:val="left"/>
      <w:pPr>
        <w:ind w:left="2706" w:hanging="428"/>
      </w:pPr>
      <w:rPr>
        <w:rFonts w:hint="default"/>
        <w:lang w:val="en-US" w:eastAsia="en-US" w:bidi="ar-SA"/>
      </w:rPr>
    </w:lvl>
    <w:lvl w:ilvl="2">
      <w:start w:val="0"/>
      <w:numFmt w:val="bullet"/>
      <w:lvlText w:val="•"/>
      <w:lvlJc w:val="left"/>
      <w:pPr>
        <w:ind w:left="3673" w:hanging="428"/>
      </w:pPr>
      <w:rPr>
        <w:rFonts w:hint="default"/>
        <w:lang w:val="en-US" w:eastAsia="en-US" w:bidi="ar-SA"/>
      </w:rPr>
    </w:lvl>
    <w:lvl w:ilvl="3">
      <w:start w:val="0"/>
      <w:numFmt w:val="bullet"/>
      <w:lvlText w:val="•"/>
      <w:lvlJc w:val="left"/>
      <w:pPr>
        <w:ind w:left="4639" w:hanging="428"/>
      </w:pPr>
      <w:rPr>
        <w:rFonts w:hint="default"/>
        <w:lang w:val="en-US" w:eastAsia="en-US" w:bidi="ar-SA"/>
      </w:rPr>
    </w:lvl>
    <w:lvl w:ilvl="4">
      <w:start w:val="0"/>
      <w:numFmt w:val="bullet"/>
      <w:lvlText w:val="•"/>
      <w:lvlJc w:val="left"/>
      <w:pPr>
        <w:ind w:left="5606" w:hanging="428"/>
      </w:pPr>
      <w:rPr>
        <w:rFonts w:hint="default"/>
        <w:lang w:val="en-US" w:eastAsia="en-US" w:bidi="ar-SA"/>
      </w:rPr>
    </w:lvl>
    <w:lvl w:ilvl="5">
      <w:start w:val="0"/>
      <w:numFmt w:val="bullet"/>
      <w:lvlText w:val="•"/>
      <w:lvlJc w:val="left"/>
      <w:pPr>
        <w:ind w:left="6573" w:hanging="428"/>
      </w:pPr>
      <w:rPr>
        <w:rFonts w:hint="default"/>
        <w:lang w:val="en-US" w:eastAsia="en-US" w:bidi="ar-SA"/>
      </w:rPr>
    </w:lvl>
    <w:lvl w:ilvl="6">
      <w:start w:val="0"/>
      <w:numFmt w:val="bullet"/>
      <w:lvlText w:val="•"/>
      <w:lvlJc w:val="left"/>
      <w:pPr>
        <w:ind w:left="7539" w:hanging="428"/>
      </w:pPr>
      <w:rPr>
        <w:rFonts w:hint="default"/>
        <w:lang w:val="en-US" w:eastAsia="en-US" w:bidi="ar-SA"/>
      </w:rPr>
    </w:lvl>
    <w:lvl w:ilvl="7">
      <w:start w:val="0"/>
      <w:numFmt w:val="bullet"/>
      <w:lvlText w:val="•"/>
      <w:lvlJc w:val="left"/>
      <w:pPr>
        <w:ind w:left="8506" w:hanging="428"/>
      </w:pPr>
      <w:rPr>
        <w:rFonts w:hint="default"/>
        <w:lang w:val="en-US" w:eastAsia="en-US" w:bidi="ar-SA"/>
      </w:rPr>
    </w:lvl>
    <w:lvl w:ilvl="8">
      <w:start w:val="0"/>
      <w:numFmt w:val="bullet"/>
      <w:lvlText w:val="•"/>
      <w:lvlJc w:val="left"/>
      <w:pPr>
        <w:ind w:left="9473" w:hanging="428"/>
      </w:pPr>
      <w:rPr>
        <w:rFonts w:hint="default"/>
        <w:lang w:val="en-US" w:eastAsia="en-US" w:bidi="ar-SA"/>
      </w:rPr>
    </w:lvl>
  </w:abstractNum>
  <w:abstractNum w:abstractNumId="2">
    <w:nsid w:val="098A1D73"/>
    <w:multiLevelType w:val="hybridMultilevel"/>
    <w:tmpl w:val="00000000"/>
    <w:lvl w:ilvl="0">
      <w:start w:val="1"/>
      <w:numFmt w:val="upperLetter"/>
      <w:lvlText w:val="%1"/>
      <w:lvlJc w:val="left"/>
      <w:pPr>
        <w:ind w:left="734" w:hanging="735"/>
        <w:jc w:val="left"/>
      </w:pPr>
      <w:rPr>
        <w:rFonts w:hint="default"/>
        <w:lang w:val="en-US" w:eastAsia="en-US" w:bidi="ar-SA"/>
      </w:rPr>
    </w:lvl>
    <w:lvl w:ilvl="1">
      <w:start w:val="4"/>
      <w:numFmt w:val="decimal"/>
      <w:lvlText w:val="%1.%2"/>
      <w:lvlJc w:val="left"/>
      <w:pPr>
        <w:ind w:left="734" w:hanging="735"/>
        <w:jc w:val="left"/>
      </w:pPr>
      <w:rPr>
        <w:rFonts w:hint="default"/>
        <w:lang w:val="en-US" w:eastAsia="en-US" w:bidi="ar-SA"/>
      </w:rPr>
    </w:lvl>
    <w:lvl w:ilvl="2">
      <w:start w:val="2"/>
      <w:numFmt w:val="decimal"/>
      <w:lvlText w:val="%1.%2.%3"/>
      <w:lvlJc w:val="left"/>
      <w:pPr>
        <w:ind w:left="734" w:hanging="735"/>
        <w:jc w:val="left"/>
      </w:pPr>
      <w:rPr>
        <w:rFonts w:ascii="黑体" w:eastAsia="黑体" w:hAnsi="黑体" w:cs="黑体" w:hint="default"/>
        <w:w w:val="100"/>
        <w:sz w:val="21"/>
        <w:szCs w:val="21"/>
        <w:lang w:val="en-US" w:eastAsia="en-US" w:bidi="ar-SA"/>
      </w:rPr>
    </w:lvl>
    <w:lvl w:ilvl="3">
      <w:start w:val="1"/>
      <w:numFmt w:val="decimal"/>
      <w:lvlText w:val="%1.%2.%3.%4"/>
      <w:lvlJc w:val="left"/>
      <w:pPr>
        <w:ind w:left="0" w:hanging="946"/>
        <w:jc w:val="left"/>
      </w:pPr>
      <w:rPr>
        <w:rFonts w:ascii="黑体" w:eastAsia="黑体" w:hAnsi="黑体" w:cs="黑体" w:hint="default"/>
        <w:spacing w:val="-3"/>
        <w:w w:val="100"/>
        <w:sz w:val="21"/>
        <w:szCs w:val="21"/>
        <w:lang w:val="en-US" w:eastAsia="en-US" w:bidi="ar-SA"/>
      </w:rPr>
    </w:lvl>
    <w:lvl w:ilvl="4">
      <w:start w:val="0"/>
      <w:numFmt w:val="bullet"/>
      <w:lvlText w:val="•"/>
      <w:lvlJc w:val="left"/>
      <w:pPr>
        <w:ind w:left="3619" w:hanging="946"/>
      </w:pPr>
      <w:rPr>
        <w:rFonts w:hint="default"/>
        <w:lang w:val="en-US" w:eastAsia="en-US" w:bidi="ar-SA"/>
      </w:rPr>
    </w:lvl>
    <w:lvl w:ilvl="5">
      <w:start w:val="0"/>
      <w:numFmt w:val="bullet"/>
      <w:lvlText w:val="•"/>
      <w:lvlJc w:val="left"/>
      <w:pPr>
        <w:ind w:left="4579" w:hanging="946"/>
      </w:pPr>
      <w:rPr>
        <w:rFonts w:hint="default"/>
        <w:lang w:val="en-US" w:eastAsia="en-US" w:bidi="ar-SA"/>
      </w:rPr>
    </w:lvl>
    <w:lvl w:ilvl="6">
      <w:start w:val="0"/>
      <w:numFmt w:val="bullet"/>
      <w:lvlText w:val="•"/>
      <w:lvlJc w:val="left"/>
      <w:pPr>
        <w:ind w:left="5539" w:hanging="946"/>
      </w:pPr>
      <w:rPr>
        <w:rFonts w:hint="default"/>
        <w:lang w:val="en-US" w:eastAsia="en-US" w:bidi="ar-SA"/>
      </w:rPr>
    </w:lvl>
    <w:lvl w:ilvl="7">
      <w:start w:val="0"/>
      <w:numFmt w:val="bullet"/>
      <w:lvlText w:val="•"/>
      <w:lvlJc w:val="left"/>
      <w:pPr>
        <w:ind w:left="6498" w:hanging="946"/>
      </w:pPr>
      <w:rPr>
        <w:rFonts w:hint="default"/>
        <w:lang w:val="en-US" w:eastAsia="en-US" w:bidi="ar-SA"/>
      </w:rPr>
    </w:lvl>
    <w:lvl w:ilvl="8">
      <w:start w:val="0"/>
      <w:numFmt w:val="bullet"/>
      <w:lvlText w:val="•"/>
      <w:lvlJc w:val="left"/>
      <w:pPr>
        <w:ind w:left="7458" w:hanging="946"/>
      </w:pPr>
      <w:rPr>
        <w:rFonts w:hint="default"/>
        <w:lang w:val="en-US" w:eastAsia="en-US" w:bidi="ar-SA"/>
      </w:rPr>
    </w:lvl>
  </w:abstractNum>
  <w:abstractNum w:abstractNumId="3">
    <w:nsid w:val="12F0552A"/>
    <w:multiLevelType w:val="hybridMultilevel"/>
    <w:tmpl w:val="00000000"/>
    <w:lvl w:ilvl="0">
      <w:start w:val="1"/>
      <w:numFmt w:val="upperLetter"/>
      <w:lvlText w:val="%1"/>
      <w:lvlJc w:val="left"/>
      <w:pPr>
        <w:ind w:left="734" w:hanging="735"/>
        <w:jc w:val="left"/>
      </w:pPr>
      <w:rPr>
        <w:rFonts w:hint="default"/>
        <w:lang w:val="en-US" w:eastAsia="en-US" w:bidi="ar-SA"/>
      </w:rPr>
    </w:lvl>
    <w:lvl w:ilvl="1">
      <w:start w:val="4"/>
      <w:numFmt w:val="decimal"/>
      <w:lvlText w:val="%1.%2"/>
      <w:lvlJc w:val="left"/>
      <w:pPr>
        <w:ind w:left="734" w:hanging="735"/>
        <w:jc w:val="left"/>
      </w:pPr>
      <w:rPr>
        <w:rFonts w:hint="default"/>
        <w:lang w:val="en-US" w:eastAsia="en-US" w:bidi="ar-SA"/>
      </w:rPr>
    </w:lvl>
    <w:lvl w:ilvl="2">
      <w:start w:val="3"/>
      <w:numFmt w:val="decimal"/>
      <w:lvlText w:val="%1.%2.%3"/>
      <w:lvlJc w:val="left"/>
      <w:pPr>
        <w:ind w:left="734" w:hanging="735"/>
        <w:jc w:val="left"/>
      </w:pPr>
      <w:rPr>
        <w:rFonts w:ascii="黑体" w:eastAsia="黑体" w:hAnsi="黑体" w:cs="黑体" w:hint="default"/>
        <w:w w:val="100"/>
        <w:sz w:val="21"/>
        <w:szCs w:val="21"/>
        <w:lang w:val="en-US" w:eastAsia="en-US" w:bidi="ar-SA"/>
      </w:rPr>
    </w:lvl>
    <w:lvl w:ilvl="3">
      <w:start w:val="1"/>
      <w:numFmt w:val="decimal"/>
      <w:lvlText w:val="%1.%2.%3.%4"/>
      <w:lvlJc w:val="left"/>
      <w:pPr>
        <w:ind w:left="945" w:hanging="946"/>
        <w:jc w:val="left"/>
      </w:pPr>
      <w:rPr>
        <w:rFonts w:ascii="黑体" w:eastAsia="黑体" w:hAnsi="黑体" w:cs="黑体" w:hint="default"/>
        <w:spacing w:val="-3"/>
        <w:w w:val="100"/>
        <w:sz w:val="21"/>
        <w:szCs w:val="21"/>
        <w:lang w:val="en-US" w:eastAsia="en-US" w:bidi="ar-SA"/>
      </w:rPr>
    </w:lvl>
    <w:lvl w:ilvl="4">
      <w:start w:val="0"/>
      <w:numFmt w:val="bullet"/>
      <w:lvlText w:val="•"/>
      <w:lvlJc w:val="left"/>
      <w:pPr>
        <w:ind w:left="2892" w:hanging="946"/>
      </w:pPr>
      <w:rPr>
        <w:rFonts w:hint="default"/>
        <w:lang w:val="en-US" w:eastAsia="en-US" w:bidi="ar-SA"/>
      </w:rPr>
    </w:lvl>
    <w:lvl w:ilvl="5">
      <w:start w:val="0"/>
      <w:numFmt w:val="bullet"/>
      <w:lvlText w:val="•"/>
      <w:lvlJc w:val="left"/>
      <w:pPr>
        <w:ind w:left="3543" w:hanging="946"/>
      </w:pPr>
      <w:rPr>
        <w:rFonts w:hint="default"/>
        <w:lang w:val="en-US" w:eastAsia="en-US" w:bidi="ar-SA"/>
      </w:rPr>
    </w:lvl>
    <w:lvl w:ilvl="6">
      <w:start w:val="0"/>
      <w:numFmt w:val="bullet"/>
      <w:lvlText w:val="•"/>
      <w:lvlJc w:val="left"/>
      <w:pPr>
        <w:ind w:left="4194" w:hanging="946"/>
      </w:pPr>
      <w:rPr>
        <w:rFonts w:hint="default"/>
        <w:lang w:val="en-US" w:eastAsia="en-US" w:bidi="ar-SA"/>
      </w:rPr>
    </w:lvl>
    <w:lvl w:ilvl="7">
      <w:start w:val="0"/>
      <w:numFmt w:val="bullet"/>
      <w:lvlText w:val="•"/>
      <w:lvlJc w:val="left"/>
      <w:pPr>
        <w:ind w:left="4845" w:hanging="946"/>
      </w:pPr>
      <w:rPr>
        <w:rFonts w:hint="default"/>
        <w:lang w:val="en-US" w:eastAsia="en-US" w:bidi="ar-SA"/>
      </w:rPr>
    </w:lvl>
    <w:lvl w:ilvl="8">
      <w:start w:val="0"/>
      <w:numFmt w:val="bullet"/>
      <w:lvlText w:val="•"/>
      <w:lvlJc w:val="left"/>
      <w:pPr>
        <w:ind w:left="5495" w:hanging="946"/>
      </w:pPr>
      <w:rPr>
        <w:rFonts w:hint="default"/>
        <w:lang w:val="en-US" w:eastAsia="en-US" w:bidi="ar-SA"/>
      </w:rPr>
    </w:lvl>
  </w:abstractNum>
  <w:abstractNum w:abstractNumId="4">
    <w:nsid w:val="181EAF1E"/>
    <w:multiLevelType w:val="hybridMultilevel"/>
    <w:tmpl w:val="00000000"/>
    <w:lvl w:ilvl="0">
      <w:start w:val="10"/>
      <w:numFmt w:val="decimal"/>
      <w:lvlText w:val="%1"/>
      <w:lvlJc w:val="left"/>
      <w:pPr>
        <w:ind w:left="1634" w:hanging="841"/>
        <w:jc w:val="left"/>
      </w:pPr>
      <w:rPr>
        <w:rFonts w:hint="default"/>
        <w:lang w:val="en-US" w:eastAsia="en-US" w:bidi="ar-SA"/>
      </w:rPr>
    </w:lvl>
    <w:lvl w:ilvl="1">
      <w:start w:val="3"/>
      <w:numFmt w:val="decimal"/>
      <w:lvlText w:val="%1.%2"/>
      <w:lvlJc w:val="left"/>
      <w:pPr>
        <w:ind w:left="1634" w:hanging="841"/>
        <w:jc w:val="left"/>
      </w:pPr>
      <w:rPr>
        <w:rFonts w:hint="default"/>
        <w:lang w:val="en-US" w:eastAsia="en-US" w:bidi="ar-SA"/>
      </w:rPr>
    </w:lvl>
    <w:lvl w:ilvl="2">
      <w:start w:val="6"/>
      <w:numFmt w:val="decimal"/>
      <w:lvlText w:val="%1.%2.%3"/>
      <w:lvlJc w:val="left"/>
      <w:pPr>
        <w:ind w:left="1634" w:hanging="841"/>
        <w:jc w:val="left"/>
      </w:pPr>
      <w:rPr>
        <w:rFonts w:ascii="黑体" w:eastAsia="黑体" w:hAnsi="黑体" w:cs="黑体" w:hint="default"/>
        <w:w w:val="100"/>
        <w:sz w:val="21"/>
        <w:szCs w:val="21"/>
        <w:lang w:val="en-US" w:eastAsia="en-US" w:bidi="ar-SA"/>
      </w:rPr>
    </w:lvl>
    <w:lvl w:ilvl="3">
      <w:start w:val="1"/>
      <w:numFmt w:val="lowerLetter"/>
      <w:lvlText w:val="%4)"/>
      <w:lvlJc w:val="left"/>
      <w:pPr>
        <w:ind w:left="1646" w:hanging="428"/>
        <w:jc w:val="left"/>
      </w:pPr>
      <w:rPr>
        <w:rFonts w:ascii="宋体" w:eastAsia="宋体" w:hAnsi="宋体" w:cs="宋体" w:hint="default"/>
        <w:w w:val="100"/>
        <w:sz w:val="21"/>
        <w:szCs w:val="21"/>
        <w:lang w:val="en-US" w:eastAsia="en-US" w:bidi="ar-SA"/>
      </w:rPr>
    </w:lvl>
    <w:lvl w:ilvl="4">
      <w:start w:val="0"/>
      <w:numFmt w:val="bullet"/>
      <w:lvlText w:val="•"/>
      <w:lvlJc w:val="left"/>
      <w:pPr>
        <w:ind w:left="5464" w:hanging="428"/>
      </w:pPr>
      <w:rPr>
        <w:rFonts w:hint="default"/>
        <w:lang w:val="en-US" w:eastAsia="en-US" w:bidi="ar-SA"/>
      </w:rPr>
    </w:lvl>
    <w:lvl w:ilvl="5">
      <w:start w:val="0"/>
      <w:numFmt w:val="bullet"/>
      <w:lvlText w:val="•"/>
      <w:lvlJc w:val="left"/>
      <w:pPr>
        <w:ind w:left="6420" w:hanging="428"/>
      </w:pPr>
      <w:rPr>
        <w:rFonts w:hint="default"/>
        <w:lang w:val="en-US" w:eastAsia="en-US" w:bidi="ar-SA"/>
      </w:rPr>
    </w:lvl>
    <w:lvl w:ilvl="6">
      <w:start w:val="0"/>
      <w:numFmt w:val="bullet"/>
      <w:lvlText w:val="•"/>
      <w:lvlJc w:val="left"/>
      <w:pPr>
        <w:ind w:left="7376" w:hanging="428"/>
      </w:pPr>
      <w:rPr>
        <w:rFonts w:hint="default"/>
        <w:lang w:val="en-US" w:eastAsia="en-US" w:bidi="ar-SA"/>
      </w:rPr>
    </w:lvl>
    <w:lvl w:ilvl="7">
      <w:start w:val="0"/>
      <w:numFmt w:val="bullet"/>
      <w:lvlText w:val="•"/>
      <w:lvlJc w:val="left"/>
      <w:pPr>
        <w:ind w:left="8332" w:hanging="428"/>
      </w:pPr>
      <w:rPr>
        <w:rFonts w:hint="default"/>
        <w:lang w:val="en-US" w:eastAsia="en-US" w:bidi="ar-SA"/>
      </w:rPr>
    </w:lvl>
    <w:lvl w:ilvl="8">
      <w:start w:val="0"/>
      <w:numFmt w:val="bullet"/>
      <w:lvlText w:val="•"/>
      <w:lvlJc w:val="left"/>
      <w:pPr>
        <w:ind w:left="9288" w:hanging="428"/>
      </w:pPr>
      <w:rPr>
        <w:rFonts w:hint="default"/>
        <w:lang w:val="en-US" w:eastAsia="en-US" w:bidi="ar-SA"/>
      </w:rPr>
    </w:lvl>
  </w:abstractNum>
  <w:abstractNum w:abstractNumId="5">
    <w:nsid w:val="187178E2"/>
    <w:multiLevelType w:val="hybridMultilevel"/>
    <w:tmpl w:val="00000000"/>
    <w:lvl w:ilvl="0">
      <w:start w:val="4"/>
      <w:numFmt w:val="upperLetter"/>
      <w:lvlText w:val="%1"/>
      <w:lvlJc w:val="left"/>
      <w:pPr>
        <w:ind w:left="1704" w:hanging="526"/>
        <w:jc w:val="left"/>
      </w:pPr>
      <w:rPr>
        <w:rFonts w:hint="default"/>
        <w:lang w:val="en-US" w:eastAsia="en-US" w:bidi="ar-SA"/>
      </w:rPr>
    </w:lvl>
    <w:lvl w:ilvl="1">
      <w:start w:val="5"/>
      <w:numFmt w:val="decimal"/>
      <w:lvlText w:val="%1.%2"/>
      <w:lvlJc w:val="left"/>
      <w:pPr>
        <w:ind w:left="1704" w:hanging="526"/>
        <w:jc w:val="left"/>
      </w:pPr>
      <w:rPr>
        <w:rFonts w:ascii="黑体" w:eastAsia="黑体" w:hAnsi="黑体" w:cs="黑体" w:hint="default"/>
        <w:w w:val="100"/>
        <w:sz w:val="21"/>
        <w:szCs w:val="21"/>
        <w:lang w:val="en-US" w:eastAsia="en-US" w:bidi="ar-SA"/>
      </w:rPr>
    </w:lvl>
    <w:lvl w:ilvl="2">
      <w:start w:val="0"/>
      <w:numFmt w:val="bullet"/>
      <w:lvlText w:val="•"/>
      <w:lvlJc w:val="left"/>
      <w:pPr>
        <w:ind w:left="3641" w:hanging="526"/>
      </w:pPr>
      <w:rPr>
        <w:rFonts w:hint="default"/>
        <w:lang w:val="en-US" w:eastAsia="en-US" w:bidi="ar-SA"/>
      </w:rPr>
    </w:lvl>
    <w:lvl w:ilvl="3">
      <w:start w:val="0"/>
      <w:numFmt w:val="bullet"/>
      <w:lvlText w:val="•"/>
      <w:lvlJc w:val="left"/>
      <w:pPr>
        <w:ind w:left="4611" w:hanging="526"/>
      </w:pPr>
      <w:rPr>
        <w:rFonts w:hint="default"/>
        <w:lang w:val="en-US" w:eastAsia="en-US" w:bidi="ar-SA"/>
      </w:rPr>
    </w:lvl>
    <w:lvl w:ilvl="4">
      <w:start w:val="0"/>
      <w:numFmt w:val="bullet"/>
      <w:lvlText w:val="•"/>
      <w:lvlJc w:val="left"/>
      <w:pPr>
        <w:ind w:left="5582" w:hanging="526"/>
      </w:pPr>
      <w:rPr>
        <w:rFonts w:hint="default"/>
        <w:lang w:val="en-US" w:eastAsia="en-US" w:bidi="ar-SA"/>
      </w:rPr>
    </w:lvl>
    <w:lvl w:ilvl="5">
      <w:start w:val="0"/>
      <w:numFmt w:val="bullet"/>
      <w:lvlText w:val="•"/>
      <w:lvlJc w:val="left"/>
      <w:pPr>
        <w:ind w:left="6553" w:hanging="526"/>
      </w:pPr>
      <w:rPr>
        <w:rFonts w:hint="default"/>
        <w:lang w:val="en-US" w:eastAsia="en-US" w:bidi="ar-SA"/>
      </w:rPr>
    </w:lvl>
    <w:lvl w:ilvl="6">
      <w:start w:val="0"/>
      <w:numFmt w:val="bullet"/>
      <w:lvlText w:val="•"/>
      <w:lvlJc w:val="left"/>
      <w:pPr>
        <w:ind w:left="7523" w:hanging="526"/>
      </w:pPr>
      <w:rPr>
        <w:rFonts w:hint="default"/>
        <w:lang w:val="en-US" w:eastAsia="en-US" w:bidi="ar-SA"/>
      </w:rPr>
    </w:lvl>
    <w:lvl w:ilvl="7">
      <w:start w:val="0"/>
      <w:numFmt w:val="bullet"/>
      <w:lvlText w:val="•"/>
      <w:lvlJc w:val="left"/>
      <w:pPr>
        <w:ind w:left="8494" w:hanging="526"/>
      </w:pPr>
      <w:rPr>
        <w:rFonts w:hint="default"/>
        <w:lang w:val="en-US" w:eastAsia="en-US" w:bidi="ar-SA"/>
      </w:rPr>
    </w:lvl>
    <w:lvl w:ilvl="8">
      <w:start w:val="0"/>
      <w:numFmt w:val="bullet"/>
      <w:lvlText w:val="•"/>
      <w:lvlJc w:val="left"/>
      <w:pPr>
        <w:ind w:left="9465" w:hanging="526"/>
      </w:pPr>
      <w:rPr>
        <w:rFonts w:hint="default"/>
        <w:lang w:val="en-US" w:eastAsia="en-US" w:bidi="ar-SA"/>
      </w:rPr>
    </w:lvl>
  </w:abstractNum>
  <w:abstractNum w:abstractNumId="6">
    <w:nsid w:val="1ED0DDFE"/>
    <w:multiLevelType w:val="hybridMultilevel"/>
    <w:tmpl w:val="00000000"/>
    <w:lvl w:ilvl="0">
      <w:start w:val="1"/>
      <w:numFmt w:val="upperLetter"/>
      <w:lvlText w:val="%1"/>
      <w:lvlJc w:val="left"/>
      <w:pPr>
        <w:ind w:left="1627" w:hanging="735"/>
        <w:jc w:val="left"/>
      </w:pPr>
      <w:rPr>
        <w:rFonts w:hint="default"/>
        <w:lang w:val="en-US" w:eastAsia="en-US" w:bidi="ar-SA"/>
      </w:rPr>
    </w:lvl>
    <w:lvl w:ilvl="1">
      <w:start w:val="4"/>
      <w:numFmt w:val="decimal"/>
      <w:lvlText w:val="%1.%2"/>
      <w:lvlJc w:val="left"/>
      <w:pPr>
        <w:ind w:left="1627" w:hanging="735"/>
        <w:jc w:val="left"/>
      </w:pPr>
      <w:rPr>
        <w:rFonts w:hint="default"/>
        <w:lang w:val="en-US" w:eastAsia="en-US" w:bidi="ar-SA"/>
      </w:rPr>
    </w:lvl>
    <w:lvl w:ilvl="2">
      <w:start w:val="1"/>
      <w:numFmt w:val="decimal"/>
      <w:lvlText w:val="%1.%2.%3"/>
      <w:lvlJc w:val="left"/>
      <w:pPr>
        <w:ind w:left="1627" w:hanging="735"/>
        <w:jc w:val="left"/>
      </w:pPr>
      <w:rPr>
        <w:rFonts w:ascii="黑体" w:eastAsia="黑体" w:hAnsi="黑体" w:cs="黑体" w:hint="default"/>
        <w:w w:val="100"/>
        <w:sz w:val="21"/>
        <w:szCs w:val="21"/>
        <w:lang w:val="en-US" w:eastAsia="en-US" w:bidi="ar-SA"/>
      </w:rPr>
    </w:lvl>
    <w:lvl w:ilvl="3">
      <w:start w:val="1"/>
      <w:numFmt w:val="decimal"/>
      <w:lvlText w:val="%1.%2.%3.%4"/>
      <w:lvlJc w:val="left"/>
      <w:pPr>
        <w:ind w:left="1838" w:hanging="946"/>
        <w:jc w:val="left"/>
      </w:pPr>
      <w:rPr>
        <w:rFonts w:ascii="黑体" w:eastAsia="黑体" w:hAnsi="黑体" w:cs="黑体" w:hint="default"/>
        <w:spacing w:val="-3"/>
        <w:w w:val="100"/>
        <w:sz w:val="21"/>
        <w:szCs w:val="21"/>
        <w:lang w:val="en-US" w:eastAsia="en-US" w:bidi="ar-SA"/>
      </w:rPr>
    </w:lvl>
    <w:lvl w:ilvl="4">
      <w:start w:val="0"/>
      <w:numFmt w:val="bullet"/>
      <w:lvlText w:val="•"/>
      <w:lvlJc w:val="left"/>
      <w:pPr>
        <w:ind w:left="5028" w:hanging="946"/>
      </w:pPr>
      <w:rPr>
        <w:rFonts w:hint="default"/>
        <w:lang w:val="en-US" w:eastAsia="en-US" w:bidi="ar-SA"/>
      </w:rPr>
    </w:lvl>
    <w:lvl w:ilvl="5">
      <w:start w:val="0"/>
      <w:numFmt w:val="bullet"/>
      <w:lvlText w:val="•"/>
      <w:lvlJc w:val="left"/>
      <w:pPr>
        <w:ind w:left="6091" w:hanging="946"/>
      </w:pPr>
      <w:rPr>
        <w:rFonts w:hint="default"/>
        <w:lang w:val="en-US" w:eastAsia="en-US" w:bidi="ar-SA"/>
      </w:rPr>
    </w:lvl>
    <w:lvl w:ilvl="6">
      <w:start w:val="0"/>
      <w:numFmt w:val="bullet"/>
      <w:lvlText w:val="•"/>
      <w:lvlJc w:val="left"/>
      <w:pPr>
        <w:ind w:left="7154" w:hanging="946"/>
      </w:pPr>
      <w:rPr>
        <w:rFonts w:hint="default"/>
        <w:lang w:val="en-US" w:eastAsia="en-US" w:bidi="ar-SA"/>
      </w:rPr>
    </w:lvl>
    <w:lvl w:ilvl="7">
      <w:start w:val="0"/>
      <w:numFmt w:val="bullet"/>
      <w:lvlText w:val="•"/>
      <w:lvlJc w:val="left"/>
      <w:pPr>
        <w:ind w:left="8217" w:hanging="946"/>
      </w:pPr>
      <w:rPr>
        <w:rFonts w:hint="default"/>
        <w:lang w:val="en-US" w:eastAsia="en-US" w:bidi="ar-SA"/>
      </w:rPr>
    </w:lvl>
    <w:lvl w:ilvl="8">
      <w:start w:val="0"/>
      <w:numFmt w:val="bullet"/>
      <w:lvlText w:val="•"/>
      <w:lvlJc w:val="left"/>
      <w:pPr>
        <w:ind w:left="9280" w:hanging="946"/>
      </w:pPr>
      <w:rPr>
        <w:rFonts w:hint="default"/>
        <w:lang w:val="en-US" w:eastAsia="en-US" w:bidi="ar-SA"/>
      </w:rPr>
    </w:lvl>
  </w:abstractNum>
  <w:abstractNum w:abstractNumId="7">
    <w:nsid w:val="2230AC9F"/>
    <w:multiLevelType w:val="hybridMultilevel"/>
    <w:tmpl w:val="00000000"/>
    <w:lvl w:ilvl="0">
      <w:start w:val="2"/>
      <w:numFmt w:val="decimal"/>
      <w:lvlText w:val="%1)"/>
      <w:lvlJc w:val="left"/>
      <w:pPr>
        <w:ind w:left="1276" w:hanging="425"/>
        <w:jc w:val="left"/>
      </w:pPr>
      <w:rPr>
        <w:rFonts w:ascii="宋体" w:eastAsia="宋体" w:hAnsi="宋体" w:cs="宋体" w:hint="default"/>
        <w:w w:val="100"/>
        <w:sz w:val="21"/>
        <w:szCs w:val="21"/>
        <w:lang w:val="en-US" w:eastAsia="en-US" w:bidi="ar-SA"/>
      </w:rPr>
    </w:lvl>
    <w:lvl w:ilvl="1">
      <w:start w:val="0"/>
      <w:numFmt w:val="bullet"/>
      <w:lvlText w:val="•"/>
      <w:lvlJc w:val="left"/>
      <w:pPr>
        <w:ind w:left="2089" w:hanging="425"/>
      </w:pPr>
      <w:rPr>
        <w:rFonts w:hint="default"/>
        <w:lang w:val="en-US" w:eastAsia="en-US" w:bidi="ar-SA"/>
      </w:rPr>
    </w:lvl>
    <w:lvl w:ilvl="2">
      <w:start w:val="0"/>
      <w:numFmt w:val="bullet"/>
      <w:lvlText w:val="•"/>
      <w:lvlJc w:val="left"/>
      <w:pPr>
        <w:ind w:left="2899" w:hanging="425"/>
      </w:pPr>
      <w:rPr>
        <w:rFonts w:hint="default"/>
        <w:lang w:val="en-US" w:eastAsia="en-US" w:bidi="ar-SA"/>
      </w:rPr>
    </w:lvl>
    <w:lvl w:ilvl="3">
      <w:start w:val="0"/>
      <w:numFmt w:val="bullet"/>
      <w:lvlText w:val="•"/>
      <w:lvlJc w:val="left"/>
      <w:pPr>
        <w:ind w:left="3709" w:hanging="425"/>
      </w:pPr>
      <w:rPr>
        <w:rFonts w:hint="default"/>
        <w:lang w:val="en-US" w:eastAsia="en-US" w:bidi="ar-SA"/>
      </w:rPr>
    </w:lvl>
    <w:lvl w:ilvl="4">
      <w:start w:val="0"/>
      <w:numFmt w:val="bullet"/>
      <w:lvlText w:val="•"/>
      <w:lvlJc w:val="left"/>
      <w:pPr>
        <w:ind w:left="4519" w:hanging="425"/>
      </w:pPr>
      <w:rPr>
        <w:rFonts w:hint="default"/>
        <w:lang w:val="en-US" w:eastAsia="en-US" w:bidi="ar-SA"/>
      </w:rPr>
    </w:lvl>
    <w:lvl w:ilvl="5">
      <w:start w:val="0"/>
      <w:numFmt w:val="bullet"/>
      <w:lvlText w:val="•"/>
      <w:lvlJc w:val="left"/>
      <w:pPr>
        <w:ind w:left="5329" w:hanging="425"/>
      </w:pPr>
      <w:rPr>
        <w:rFonts w:hint="default"/>
        <w:lang w:val="en-US" w:eastAsia="en-US" w:bidi="ar-SA"/>
      </w:rPr>
    </w:lvl>
    <w:lvl w:ilvl="6">
      <w:start w:val="0"/>
      <w:numFmt w:val="bullet"/>
      <w:lvlText w:val="•"/>
      <w:lvlJc w:val="left"/>
      <w:pPr>
        <w:ind w:left="6138" w:hanging="425"/>
      </w:pPr>
      <w:rPr>
        <w:rFonts w:hint="default"/>
        <w:lang w:val="en-US" w:eastAsia="en-US" w:bidi="ar-SA"/>
      </w:rPr>
    </w:lvl>
    <w:lvl w:ilvl="7">
      <w:start w:val="0"/>
      <w:numFmt w:val="bullet"/>
      <w:lvlText w:val="•"/>
      <w:lvlJc w:val="left"/>
      <w:pPr>
        <w:ind w:left="6948" w:hanging="425"/>
      </w:pPr>
      <w:rPr>
        <w:rFonts w:hint="default"/>
        <w:lang w:val="en-US" w:eastAsia="en-US" w:bidi="ar-SA"/>
      </w:rPr>
    </w:lvl>
    <w:lvl w:ilvl="8">
      <w:start w:val="0"/>
      <w:numFmt w:val="bullet"/>
      <w:lvlText w:val="•"/>
      <w:lvlJc w:val="left"/>
      <w:pPr>
        <w:ind w:left="7758" w:hanging="425"/>
      </w:pPr>
      <w:rPr>
        <w:rFonts w:hint="default"/>
        <w:lang w:val="en-US" w:eastAsia="en-US" w:bidi="ar-SA"/>
      </w:rPr>
    </w:lvl>
  </w:abstractNum>
  <w:abstractNum w:abstractNumId="8">
    <w:nsid w:val="2234D1F1"/>
    <w:multiLevelType w:val="hybridMultilevel"/>
    <w:tmpl w:val="00000000"/>
    <w:lvl w:ilvl="0">
      <w:start w:val="9"/>
      <w:numFmt w:val="decimal"/>
      <w:lvlText w:val="%1"/>
      <w:lvlJc w:val="left"/>
      <w:pPr>
        <w:ind w:left="1627" w:hanging="735"/>
        <w:jc w:val="left"/>
      </w:pPr>
      <w:rPr>
        <w:rFonts w:hint="default"/>
        <w:lang w:val="en-US" w:eastAsia="en-US" w:bidi="ar-SA"/>
      </w:rPr>
    </w:lvl>
    <w:lvl w:ilvl="1">
      <w:start w:val="2"/>
      <w:numFmt w:val="decimal"/>
      <w:lvlText w:val="%1.%2"/>
      <w:lvlJc w:val="left"/>
      <w:pPr>
        <w:ind w:left="1627" w:hanging="735"/>
        <w:jc w:val="left"/>
      </w:pPr>
      <w:rPr>
        <w:rFonts w:hint="default"/>
        <w:lang w:val="en-US" w:eastAsia="en-US" w:bidi="ar-SA"/>
      </w:rPr>
    </w:lvl>
    <w:lvl w:ilvl="2">
      <w:start w:val="1"/>
      <w:numFmt w:val="decimal"/>
      <w:lvlText w:val="%1.%2.%3"/>
      <w:lvlJc w:val="left"/>
      <w:pPr>
        <w:ind w:left="1627" w:hanging="735"/>
        <w:jc w:val="left"/>
      </w:pPr>
      <w:rPr>
        <w:rFonts w:ascii="黑体" w:eastAsia="黑体" w:hAnsi="黑体" w:cs="黑体" w:hint="default"/>
        <w:w w:val="100"/>
        <w:sz w:val="21"/>
        <w:szCs w:val="21"/>
        <w:lang w:val="en-US" w:eastAsia="en-US" w:bidi="ar-SA"/>
      </w:rPr>
    </w:lvl>
    <w:lvl w:ilvl="3">
      <w:start w:val="0"/>
      <w:numFmt w:val="bullet"/>
      <w:lvlText w:val="•"/>
      <w:lvlJc w:val="left"/>
      <w:pPr>
        <w:ind w:left="4555" w:hanging="735"/>
      </w:pPr>
      <w:rPr>
        <w:rFonts w:hint="default"/>
        <w:lang w:val="en-US" w:eastAsia="en-US" w:bidi="ar-SA"/>
      </w:rPr>
    </w:lvl>
    <w:lvl w:ilvl="4">
      <w:start w:val="0"/>
      <w:numFmt w:val="bullet"/>
      <w:lvlText w:val="•"/>
      <w:lvlJc w:val="left"/>
      <w:pPr>
        <w:ind w:left="5534" w:hanging="735"/>
      </w:pPr>
      <w:rPr>
        <w:rFonts w:hint="default"/>
        <w:lang w:val="en-US" w:eastAsia="en-US" w:bidi="ar-SA"/>
      </w:rPr>
    </w:lvl>
    <w:lvl w:ilvl="5">
      <w:start w:val="0"/>
      <w:numFmt w:val="bullet"/>
      <w:lvlText w:val="•"/>
      <w:lvlJc w:val="left"/>
      <w:pPr>
        <w:ind w:left="6513" w:hanging="735"/>
      </w:pPr>
      <w:rPr>
        <w:rFonts w:hint="default"/>
        <w:lang w:val="en-US" w:eastAsia="en-US" w:bidi="ar-SA"/>
      </w:rPr>
    </w:lvl>
    <w:lvl w:ilvl="6">
      <w:start w:val="0"/>
      <w:numFmt w:val="bullet"/>
      <w:lvlText w:val="•"/>
      <w:lvlJc w:val="left"/>
      <w:pPr>
        <w:ind w:left="7491" w:hanging="735"/>
      </w:pPr>
      <w:rPr>
        <w:rFonts w:hint="default"/>
        <w:lang w:val="en-US" w:eastAsia="en-US" w:bidi="ar-SA"/>
      </w:rPr>
    </w:lvl>
    <w:lvl w:ilvl="7">
      <w:start w:val="0"/>
      <w:numFmt w:val="bullet"/>
      <w:lvlText w:val="•"/>
      <w:lvlJc w:val="left"/>
      <w:pPr>
        <w:ind w:left="8470" w:hanging="735"/>
      </w:pPr>
      <w:rPr>
        <w:rFonts w:hint="default"/>
        <w:lang w:val="en-US" w:eastAsia="en-US" w:bidi="ar-SA"/>
      </w:rPr>
    </w:lvl>
    <w:lvl w:ilvl="8">
      <w:start w:val="0"/>
      <w:numFmt w:val="bullet"/>
      <w:lvlText w:val="•"/>
      <w:lvlJc w:val="left"/>
      <w:pPr>
        <w:ind w:left="9449" w:hanging="735"/>
      </w:pPr>
      <w:rPr>
        <w:rFonts w:hint="default"/>
        <w:lang w:val="en-US" w:eastAsia="en-US" w:bidi="ar-SA"/>
      </w:rPr>
    </w:lvl>
  </w:abstractNum>
  <w:abstractNum w:abstractNumId="9">
    <w:nsid w:val="22489458"/>
    <w:multiLevelType w:val="hybridMultilevel"/>
    <w:tmpl w:val="00000000"/>
    <w:lvl w:ilvl="0">
      <w:start w:val="1"/>
      <w:numFmt w:val="upperLetter"/>
      <w:lvlText w:val="%1"/>
      <w:lvlJc w:val="left"/>
      <w:pPr>
        <w:ind w:left="1704" w:hanging="526"/>
        <w:jc w:val="left"/>
      </w:pPr>
      <w:rPr>
        <w:rFonts w:hint="default"/>
        <w:lang w:val="en-US" w:eastAsia="en-US" w:bidi="ar-SA"/>
      </w:rPr>
    </w:lvl>
    <w:lvl w:ilvl="1">
      <w:start w:val="1"/>
      <w:numFmt w:val="decimal"/>
      <w:lvlText w:val="%1.%2"/>
      <w:lvlJc w:val="left"/>
      <w:pPr>
        <w:ind w:left="1704" w:hanging="526"/>
        <w:jc w:val="right"/>
      </w:pPr>
      <w:rPr>
        <w:rFonts w:ascii="黑体" w:eastAsia="黑体" w:hAnsi="黑体" w:cs="黑体" w:hint="default"/>
        <w:w w:val="100"/>
        <w:sz w:val="21"/>
        <w:szCs w:val="21"/>
        <w:lang w:val="en-US" w:eastAsia="en-US" w:bidi="ar-SA"/>
      </w:rPr>
    </w:lvl>
    <w:lvl w:ilvl="2">
      <w:start w:val="1"/>
      <w:numFmt w:val="decimal"/>
      <w:lvlText w:val="%3)"/>
      <w:lvlJc w:val="left"/>
      <w:pPr>
        <w:ind w:left="2455" w:hanging="425"/>
        <w:jc w:val="left"/>
      </w:pPr>
      <w:rPr>
        <w:rFonts w:ascii="宋体" w:eastAsia="宋体" w:hAnsi="宋体" w:cs="宋体" w:hint="default"/>
        <w:w w:val="100"/>
        <w:sz w:val="21"/>
        <w:szCs w:val="21"/>
        <w:lang w:val="en-US" w:eastAsia="en-US" w:bidi="ar-SA"/>
      </w:rPr>
    </w:lvl>
    <w:lvl w:ilvl="3">
      <w:start w:val="0"/>
      <w:numFmt w:val="bullet"/>
      <w:lvlText w:val="•"/>
      <w:lvlJc w:val="left"/>
      <w:pPr>
        <w:ind w:left="4448" w:hanging="425"/>
      </w:pPr>
      <w:rPr>
        <w:rFonts w:hint="default"/>
        <w:lang w:val="en-US" w:eastAsia="en-US" w:bidi="ar-SA"/>
      </w:rPr>
    </w:lvl>
    <w:lvl w:ilvl="4">
      <w:start w:val="0"/>
      <w:numFmt w:val="bullet"/>
      <w:lvlText w:val="•"/>
      <w:lvlJc w:val="left"/>
      <w:pPr>
        <w:ind w:left="5442" w:hanging="425"/>
      </w:pPr>
      <w:rPr>
        <w:rFonts w:hint="default"/>
        <w:lang w:val="en-US" w:eastAsia="en-US" w:bidi="ar-SA"/>
      </w:rPr>
    </w:lvl>
    <w:lvl w:ilvl="5">
      <w:start w:val="0"/>
      <w:numFmt w:val="bullet"/>
      <w:lvlText w:val="•"/>
      <w:lvlJc w:val="left"/>
      <w:pPr>
        <w:ind w:left="6436" w:hanging="425"/>
      </w:pPr>
      <w:rPr>
        <w:rFonts w:hint="default"/>
        <w:lang w:val="en-US" w:eastAsia="en-US" w:bidi="ar-SA"/>
      </w:rPr>
    </w:lvl>
    <w:lvl w:ilvl="6">
      <w:start w:val="0"/>
      <w:numFmt w:val="bullet"/>
      <w:lvlText w:val="•"/>
      <w:lvlJc w:val="left"/>
      <w:pPr>
        <w:ind w:left="7430" w:hanging="425"/>
      </w:pPr>
      <w:rPr>
        <w:rFonts w:hint="default"/>
        <w:lang w:val="en-US" w:eastAsia="en-US" w:bidi="ar-SA"/>
      </w:rPr>
    </w:lvl>
    <w:lvl w:ilvl="7">
      <w:start w:val="0"/>
      <w:numFmt w:val="bullet"/>
      <w:lvlText w:val="•"/>
      <w:lvlJc w:val="left"/>
      <w:pPr>
        <w:ind w:left="8424" w:hanging="425"/>
      </w:pPr>
      <w:rPr>
        <w:rFonts w:hint="default"/>
        <w:lang w:val="en-US" w:eastAsia="en-US" w:bidi="ar-SA"/>
      </w:rPr>
    </w:lvl>
    <w:lvl w:ilvl="8">
      <w:start w:val="0"/>
      <w:numFmt w:val="bullet"/>
      <w:lvlText w:val="•"/>
      <w:lvlJc w:val="left"/>
      <w:pPr>
        <w:ind w:left="9418" w:hanging="425"/>
      </w:pPr>
      <w:rPr>
        <w:rFonts w:hint="default"/>
        <w:lang w:val="en-US" w:eastAsia="en-US" w:bidi="ar-SA"/>
      </w:rPr>
    </w:lvl>
  </w:abstractNum>
  <w:abstractNum w:abstractNumId="10">
    <w:nsid w:val="2581E71C"/>
    <w:multiLevelType w:val="hybridMultilevel"/>
    <w:tmpl w:val="00000000"/>
    <w:lvl w:ilvl="0">
      <w:start w:val="7"/>
      <w:numFmt w:val="decimal"/>
      <w:lvlText w:val="%1"/>
      <w:lvlJc w:val="left"/>
      <w:pPr>
        <w:ind w:left="892" w:hanging="735"/>
        <w:jc w:val="left"/>
      </w:pPr>
      <w:rPr>
        <w:rFonts w:hint="default"/>
        <w:lang w:val="en-US" w:eastAsia="en-US" w:bidi="ar-SA"/>
      </w:rPr>
    </w:lvl>
    <w:lvl w:ilvl="1">
      <w:start w:val="1"/>
      <w:numFmt w:val="decimal"/>
      <w:lvlText w:val="%1.%2"/>
      <w:lvlJc w:val="left"/>
      <w:pPr>
        <w:ind w:left="892" w:hanging="735"/>
        <w:jc w:val="left"/>
      </w:pPr>
      <w:rPr>
        <w:rFonts w:hint="default"/>
        <w:lang w:val="en-US" w:eastAsia="en-US" w:bidi="ar-SA"/>
      </w:rPr>
    </w:lvl>
    <w:lvl w:ilvl="2">
      <w:start w:val="1"/>
      <w:numFmt w:val="decimal"/>
      <w:lvlText w:val="%1.%2.%3"/>
      <w:lvlJc w:val="left"/>
      <w:pPr>
        <w:ind w:left="892" w:hanging="735"/>
        <w:jc w:val="left"/>
      </w:pPr>
      <w:rPr>
        <w:rFonts w:ascii="黑体" w:eastAsia="黑体" w:hAnsi="黑体" w:cs="黑体" w:hint="default"/>
        <w:w w:val="100"/>
        <w:sz w:val="21"/>
        <w:szCs w:val="21"/>
        <w:lang w:val="en-US" w:eastAsia="en-US" w:bidi="ar-SA"/>
      </w:rPr>
    </w:lvl>
    <w:lvl w:ilvl="3">
      <w:start w:val="1"/>
      <w:numFmt w:val="lowerLetter"/>
      <w:lvlText w:val="%4)"/>
      <w:lvlJc w:val="left"/>
      <w:pPr>
        <w:ind w:left="1744" w:hanging="428"/>
        <w:jc w:val="left"/>
      </w:pPr>
      <w:rPr>
        <w:rFonts w:ascii="宋体" w:eastAsia="宋体" w:hAnsi="宋体" w:cs="宋体" w:hint="default"/>
        <w:w w:val="100"/>
        <w:sz w:val="21"/>
        <w:szCs w:val="21"/>
        <w:lang w:val="en-US" w:eastAsia="en-US" w:bidi="ar-SA"/>
      </w:rPr>
    </w:lvl>
    <w:lvl w:ilvl="4">
      <w:start w:val="0"/>
      <w:numFmt w:val="bullet"/>
      <w:lvlText w:val="•"/>
      <w:lvlJc w:val="left"/>
      <w:pPr>
        <w:ind w:left="4962" w:hanging="428"/>
      </w:pPr>
      <w:rPr>
        <w:rFonts w:hint="default"/>
        <w:lang w:val="en-US" w:eastAsia="en-US" w:bidi="ar-SA"/>
      </w:rPr>
    </w:lvl>
    <w:lvl w:ilvl="5">
      <w:start w:val="0"/>
      <w:numFmt w:val="bullet"/>
      <w:lvlText w:val="•"/>
      <w:lvlJc w:val="left"/>
      <w:pPr>
        <w:ind w:left="6036" w:hanging="428"/>
      </w:pPr>
      <w:rPr>
        <w:rFonts w:hint="default"/>
        <w:lang w:val="en-US" w:eastAsia="en-US" w:bidi="ar-SA"/>
      </w:rPr>
    </w:lvl>
    <w:lvl w:ilvl="6">
      <w:start w:val="0"/>
      <w:numFmt w:val="bullet"/>
      <w:lvlText w:val="•"/>
      <w:lvlJc w:val="left"/>
      <w:pPr>
        <w:ind w:left="7110" w:hanging="428"/>
      </w:pPr>
      <w:rPr>
        <w:rFonts w:hint="default"/>
        <w:lang w:val="en-US" w:eastAsia="en-US" w:bidi="ar-SA"/>
      </w:rPr>
    </w:lvl>
    <w:lvl w:ilvl="7">
      <w:start w:val="0"/>
      <w:numFmt w:val="bullet"/>
      <w:lvlText w:val="•"/>
      <w:lvlJc w:val="left"/>
      <w:pPr>
        <w:ind w:left="8184" w:hanging="428"/>
      </w:pPr>
      <w:rPr>
        <w:rFonts w:hint="default"/>
        <w:lang w:val="en-US" w:eastAsia="en-US" w:bidi="ar-SA"/>
      </w:rPr>
    </w:lvl>
    <w:lvl w:ilvl="8">
      <w:start w:val="0"/>
      <w:numFmt w:val="bullet"/>
      <w:lvlText w:val="•"/>
      <w:lvlJc w:val="left"/>
      <w:pPr>
        <w:ind w:left="9258" w:hanging="428"/>
      </w:pPr>
      <w:rPr>
        <w:rFonts w:hint="default"/>
        <w:lang w:val="en-US" w:eastAsia="en-US" w:bidi="ar-SA"/>
      </w:rPr>
    </w:lvl>
  </w:abstractNum>
  <w:abstractNum w:abstractNumId="11">
    <w:nsid w:val="25AAD155"/>
    <w:multiLevelType w:val="hybridMultilevel"/>
    <w:tmpl w:val="00000000"/>
    <w:lvl w:ilvl="0">
      <w:start w:val="0"/>
      <w:numFmt w:val="decimal"/>
      <w:lvlText w:val="%1"/>
      <w:lvlJc w:val="left"/>
      <w:pPr>
        <w:ind w:left="266" w:hanging="152"/>
        <w:jc w:val="left"/>
      </w:pPr>
      <w:rPr>
        <w:rFonts w:ascii="宋体" w:eastAsia="宋体" w:hAnsi="宋体" w:cs="宋体" w:hint="default"/>
        <w:w w:val="99"/>
        <w:sz w:val="20"/>
        <w:szCs w:val="20"/>
        <w:lang w:val="en-US" w:eastAsia="en-US" w:bidi="ar-SA"/>
      </w:rPr>
    </w:lvl>
    <w:lvl w:ilvl="1">
      <w:start w:val="0"/>
      <w:numFmt w:val="bullet"/>
      <w:lvlText w:val="•"/>
      <w:lvlJc w:val="left"/>
      <w:pPr>
        <w:ind w:left="439" w:hanging="152"/>
      </w:pPr>
      <w:rPr>
        <w:rFonts w:hint="default"/>
        <w:lang w:val="en-US" w:eastAsia="en-US" w:bidi="ar-SA"/>
      </w:rPr>
    </w:lvl>
    <w:lvl w:ilvl="2">
      <w:start w:val="0"/>
      <w:numFmt w:val="bullet"/>
      <w:lvlText w:val="•"/>
      <w:lvlJc w:val="left"/>
      <w:pPr>
        <w:ind w:left="618" w:hanging="152"/>
      </w:pPr>
      <w:rPr>
        <w:rFonts w:hint="default"/>
        <w:lang w:val="en-US" w:eastAsia="en-US" w:bidi="ar-SA"/>
      </w:rPr>
    </w:lvl>
    <w:lvl w:ilvl="3">
      <w:start w:val="0"/>
      <w:numFmt w:val="bullet"/>
      <w:lvlText w:val="•"/>
      <w:lvlJc w:val="left"/>
      <w:pPr>
        <w:ind w:left="797" w:hanging="152"/>
      </w:pPr>
      <w:rPr>
        <w:rFonts w:hint="default"/>
        <w:lang w:val="en-US" w:eastAsia="en-US" w:bidi="ar-SA"/>
      </w:rPr>
    </w:lvl>
    <w:lvl w:ilvl="4">
      <w:start w:val="0"/>
      <w:numFmt w:val="bullet"/>
      <w:lvlText w:val="•"/>
      <w:lvlJc w:val="left"/>
      <w:pPr>
        <w:ind w:left="977" w:hanging="152"/>
      </w:pPr>
      <w:rPr>
        <w:rFonts w:hint="default"/>
        <w:lang w:val="en-US" w:eastAsia="en-US" w:bidi="ar-SA"/>
      </w:rPr>
    </w:lvl>
    <w:lvl w:ilvl="5">
      <w:start w:val="0"/>
      <w:numFmt w:val="bullet"/>
      <w:lvlText w:val="•"/>
      <w:lvlJc w:val="left"/>
      <w:pPr>
        <w:ind w:left="1156" w:hanging="152"/>
      </w:pPr>
      <w:rPr>
        <w:rFonts w:hint="default"/>
        <w:lang w:val="en-US" w:eastAsia="en-US" w:bidi="ar-SA"/>
      </w:rPr>
    </w:lvl>
    <w:lvl w:ilvl="6">
      <w:start w:val="0"/>
      <w:numFmt w:val="bullet"/>
      <w:lvlText w:val="•"/>
      <w:lvlJc w:val="left"/>
      <w:pPr>
        <w:ind w:left="1335" w:hanging="152"/>
      </w:pPr>
      <w:rPr>
        <w:rFonts w:hint="default"/>
        <w:lang w:val="en-US" w:eastAsia="en-US" w:bidi="ar-SA"/>
      </w:rPr>
    </w:lvl>
    <w:lvl w:ilvl="7">
      <w:start w:val="0"/>
      <w:numFmt w:val="bullet"/>
      <w:lvlText w:val="•"/>
      <w:lvlJc w:val="left"/>
      <w:pPr>
        <w:ind w:left="1515" w:hanging="152"/>
      </w:pPr>
      <w:rPr>
        <w:rFonts w:hint="default"/>
        <w:lang w:val="en-US" w:eastAsia="en-US" w:bidi="ar-SA"/>
      </w:rPr>
    </w:lvl>
    <w:lvl w:ilvl="8">
      <w:start w:val="0"/>
      <w:numFmt w:val="bullet"/>
      <w:lvlText w:val="•"/>
      <w:lvlJc w:val="left"/>
      <w:pPr>
        <w:ind w:left="1694" w:hanging="152"/>
      </w:pPr>
      <w:rPr>
        <w:rFonts w:hint="default"/>
        <w:lang w:val="en-US" w:eastAsia="en-US" w:bidi="ar-SA"/>
      </w:rPr>
    </w:lvl>
  </w:abstractNum>
  <w:abstractNum w:abstractNumId="12">
    <w:nsid w:val="29E3D406"/>
    <w:multiLevelType w:val="hybridMultilevel"/>
    <w:tmpl w:val="00000000"/>
    <w:lvl w:ilvl="0">
      <w:start w:val="10"/>
      <w:numFmt w:val="decimal"/>
      <w:lvlText w:val="%1"/>
      <w:lvlJc w:val="left"/>
      <w:pPr>
        <w:ind w:left="2018" w:hanging="841"/>
        <w:jc w:val="left"/>
      </w:pPr>
      <w:rPr>
        <w:rFonts w:hint="default"/>
        <w:lang w:val="en-US" w:eastAsia="en-US" w:bidi="ar-SA"/>
      </w:rPr>
    </w:lvl>
    <w:lvl w:ilvl="1">
      <w:start w:val="2"/>
      <w:numFmt w:val="decimal"/>
      <w:lvlText w:val="%1.%2"/>
      <w:lvlJc w:val="left"/>
      <w:pPr>
        <w:ind w:left="2018" w:hanging="841"/>
        <w:jc w:val="left"/>
      </w:pPr>
      <w:rPr>
        <w:rFonts w:hint="default"/>
        <w:lang w:val="en-US" w:eastAsia="en-US" w:bidi="ar-SA"/>
      </w:rPr>
    </w:lvl>
    <w:lvl w:ilvl="2">
      <w:start w:val="1"/>
      <w:numFmt w:val="decimal"/>
      <w:lvlText w:val="%1.%2.%3"/>
      <w:lvlJc w:val="left"/>
      <w:pPr>
        <w:ind w:left="2018" w:hanging="841"/>
        <w:jc w:val="left"/>
      </w:pPr>
      <w:rPr>
        <w:rFonts w:ascii="黑体" w:eastAsia="黑体" w:hAnsi="黑体" w:cs="黑体" w:hint="default"/>
        <w:w w:val="100"/>
        <w:sz w:val="21"/>
        <w:szCs w:val="21"/>
        <w:lang w:val="en-US" w:eastAsia="en-US" w:bidi="ar-SA"/>
      </w:rPr>
    </w:lvl>
    <w:lvl w:ilvl="3">
      <w:start w:val="1"/>
      <w:numFmt w:val="lowerLetter"/>
      <w:lvlText w:val="%4)"/>
      <w:lvlJc w:val="left"/>
      <w:pPr>
        <w:ind w:left="2030" w:hanging="428"/>
        <w:jc w:val="left"/>
      </w:pPr>
      <w:rPr>
        <w:rFonts w:ascii="宋体" w:eastAsia="宋体" w:hAnsi="宋体" w:cs="宋体" w:hint="default"/>
        <w:w w:val="100"/>
        <w:sz w:val="21"/>
        <w:szCs w:val="21"/>
        <w:lang w:val="en-US" w:eastAsia="en-US" w:bidi="ar-SA"/>
      </w:rPr>
    </w:lvl>
    <w:lvl w:ilvl="4">
      <w:start w:val="0"/>
      <w:numFmt w:val="bullet"/>
      <w:lvlText w:val="•"/>
      <w:lvlJc w:val="left"/>
      <w:pPr>
        <w:ind w:left="5162" w:hanging="428"/>
      </w:pPr>
      <w:rPr>
        <w:rFonts w:hint="default"/>
        <w:lang w:val="en-US" w:eastAsia="en-US" w:bidi="ar-SA"/>
      </w:rPr>
    </w:lvl>
    <w:lvl w:ilvl="5">
      <w:start w:val="0"/>
      <w:numFmt w:val="bullet"/>
      <w:lvlText w:val="•"/>
      <w:lvlJc w:val="left"/>
      <w:pPr>
        <w:ind w:left="6202" w:hanging="428"/>
      </w:pPr>
      <w:rPr>
        <w:rFonts w:hint="default"/>
        <w:lang w:val="en-US" w:eastAsia="en-US" w:bidi="ar-SA"/>
      </w:rPr>
    </w:lvl>
    <w:lvl w:ilvl="6">
      <w:start w:val="0"/>
      <w:numFmt w:val="bullet"/>
      <w:lvlText w:val="•"/>
      <w:lvlJc w:val="left"/>
      <w:pPr>
        <w:ind w:left="7243" w:hanging="428"/>
      </w:pPr>
      <w:rPr>
        <w:rFonts w:hint="default"/>
        <w:lang w:val="en-US" w:eastAsia="en-US" w:bidi="ar-SA"/>
      </w:rPr>
    </w:lvl>
    <w:lvl w:ilvl="7">
      <w:start w:val="0"/>
      <w:numFmt w:val="bullet"/>
      <w:lvlText w:val="•"/>
      <w:lvlJc w:val="left"/>
      <w:pPr>
        <w:ind w:left="8284" w:hanging="428"/>
      </w:pPr>
      <w:rPr>
        <w:rFonts w:hint="default"/>
        <w:lang w:val="en-US" w:eastAsia="en-US" w:bidi="ar-SA"/>
      </w:rPr>
    </w:lvl>
    <w:lvl w:ilvl="8">
      <w:start w:val="0"/>
      <w:numFmt w:val="bullet"/>
      <w:lvlText w:val="•"/>
      <w:lvlJc w:val="left"/>
      <w:pPr>
        <w:ind w:left="9324" w:hanging="428"/>
      </w:pPr>
      <w:rPr>
        <w:rFonts w:hint="default"/>
        <w:lang w:val="en-US" w:eastAsia="en-US" w:bidi="ar-SA"/>
      </w:rPr>
    </w:lvl>
  </w:abstractNum>
  <w:abstractNum w:abstractNumId="13">
    <w:nsid w:val="29F951D7"/>
    <w:multiLevelType w:val="hybridMultilevel"/>
    <w:tmpl w:val="00000000"/>
    <w:lvl w:ilvl="0">
      <w:start w:val="1"/>
      <w:numFmt w:val="lowerLetter"/>
      <w:lvlText w:val="%1)"/>
      <w:lvlJc w:val="left"/>
      <w:pPr>
        <w:ind w:left="1744" w:hanging="428"/>
        <w:jc w:val="left"/>
      </w:pPr>
      <w:rPr>
        <w:rFonts w:ascii="宋体" w:eastAsia="宋体" w:hAnsi="宋体" w:cs="宋体" w:hint="default"/>
        <w:w w:val="100"/>
        <w:sz w:val="21"/>
        <w:szCs w:val="21"/>
        <w:lang w:val="en-US" w:eastAsia="en-US" w:bidi="ar-SA"/>
      </w:rPr>
    </w:lvl>
    <w:lvl w:ilvl="1">
      <w:start w:val="0"/>
      <w:numFmt w:val="bullet"/>
      <w:lvlText w:val="•"/>
      <w:lvlJc w:val="left"/>
      <w:pPr>
        <w:ind w:left="2706" w:hanging="428"/>
      </w:pPr>
      <w:rPr>
        <w:rFonts w:hint="default"/>
        <w:lang w:val="en-US" w:eastAsia="en-US" w:bidi="ar-SA"/>
      </w:rPr>
    </w:lvl>
    <w:lvl w:ilvl="2">
      <w:start w:val="0"/>
      <w:numFmt w:val="bullet"/>
      <w:lvlText w:val="•"/>
      <w:lvlJc w:val="left"/>
      <w:pPr>
        <w:ind w:left="3673" w:hanging="428"/>
      </w:pPr>
      <w:rPr>
        <w:rFonts w:hint="default"/>
        <w:lang w:val="en-US" w:eastAsia="en-US" w:bidi="ar-SA"/>
      </w:rPr>
    </w:lvl>
    <w:lvl w:ilvl="3">
      <w:start w:val="0"/>
      <w:numFmt w:val="bullet"/>
      <w:lvlText w:val="•"/>
      <w:lvlJc w:val="left"/>
      <w:pPr>
        <w:ind w:left="4639" w:hanging="428"/>
      </w:pPr>
      <w:rPr>
        <w:rFonts w:hint="default"/>
        <w:lang w:val="en-US" w:eastAsia="en-US" w:bidi="ar-SA"/>
      </w:rPr>
    </w:lvl>
    <w:lvl w:ilvl="4">
      <w:start w:val="0"/>
      <w:numFmt w:val="bullet"/>
      <w:lvlText w:val="•"/>
      <w:lvlJc w:val="left"/>
      <w:pPr>
        <w:ind w:left="5606" w:hanging="428"/>
      </w:pPr>
      <w:rPr>
        <w:rFonts w:hint="default"/>
        <w:lang w:val="en-US" w:eastAsia="en-US" w:bidi="ar-SA"/>
      </w:rPr>
    </w:lvl>
    <w:lvl w:ilvl="5">
      <w:start w:val="0"/>
      <w:numFmt w:val="bullet"/>
      <w:lvlText w:val="•"/>
      <w:lvlJc w:val="left"/>
      <w:pPr>
        <w:ind w:left="6573" w:hanging="428"/>
      </w:pPr>
      <w:rPr>
        <w:rFonts w:hint="default"/>
        <w:lang w:val="en-US" w:eastAsia="en-US" w:bidi="ar-SA"/>
      </w:rPr>
    </w:lvl>
    <w:lvl w:ilvl="6">
      <w:start w:val="0"/>
      <w:numFmt w:val="bullet"/>
      <w:lvlText w:val="•"/>
      <w:lvlJc w:val="left"/>
      <w:pPr>
        <w:ind w:left="7539" w:hanging="428"/>
      </w:pPr>
      <w:rPr>
        <w:rFonts w:hint="default"/>
        <w:lang w:val="en-US" w:eastAsia="en-US" w:bidi="ar-SA"/>
      </w:rPr>
    </w:lvl>
    <w:lvl w:ilvl="7">
      <w:start w:val="0"/>
      <w:numFmt w:val="bullet"/>
      <w:lvlText w:val="•"/>
      <w:lvlJc w:val="left"/>
      <w:pPr>
        <w:ind w:left="8506" w:hanging="428"/>
      </w:pPr>
      <w:rPr>
        <w:rFonts w:hint="default"/>
        <w:lang w:val="en-US" w:eastAsia="en-US" w:bidi="ar-SA"/>
      </w:rPr>
    </w:lvl>
    <w:lvl w:ilvl="8">
      <w:start w:val="0"/>
      <w:numFmt w:val="bullet"/>
      <w:lvlText w:val="•"/>
      <w:lvlJc w:val="left"/>
      <w:pPr>
        <w:ind w:left="9473" w:hanging="428"/>
      </w:pPr>
      <w:rPr>
        <w:rFonts w:hint="default"/>
        <w:lang w:val="en-US" w:eastAsia="en-US" w:bidi="ar-SA"/>
      </w:rPr>
    </w:lvl>
  </w:abstractNum>
  <w:abstractNum w:abstractNumId="14">
    <w:nsid w:val="35133132"/>
    <w:multiLevelType w:val="hybridMultilevel"/>
    <w:tmpl w:val="00000000"/>
    <w:lvl w:ilvl="0">
      <w:start w:val="8"/>
      <w:numFmt w:val="decimal"/>
      <w:lvlText w:val="%1"/>
      <w:lvlJc w:val="left"/>
      <w:pPr>
        <w:ind w:left="893" w:hanging="735"/>
        <w:jc w:val="left"/>
      </w:pPr>
      <w:rPr>
        <w:rFonts w:hint="default"/>
        <w:lang w:val="en-US" w:eastAsia="en-US" w:bidi="ar-SA"/>
      </w:rPr>
    </w:lvl>
    <w:lvl w:ilvl="1">
      <w:start w:val="2"/>
      <w:numFmt w:val="decimal"/>
      <w:lvlText w:val="%1.%2"/>
      <w:lvlJc w:val="left"/>
      <w:pPr>
        <w:ind w:left="893" w:hanging="735"/>
        <w:jc w:val="left"/>
      </w:pPr>
      <w:rPr>
        <w:rFonts w:hint="default"/>
        <w:lang w:val="en-US" w:eastAsia="en-US" w:bidi="ar-SA"/>
      </w:rPr>
    </w:lvl>
    <w:lvl w:ilvl="2">
      <w:start w:val="1"/>
      <w:numFmt w:val="decimal"/>
      <w:lvlText w:val="%1.%2.%3"/>
      <w:lvlJc w:val="left"/>
      <w:pPr>
        <w:ind w:left="893" w:hanging="735"/>
        <w:jc w:val="left"/>
      </w:pPr>
      <w:rPr>
        <w:rFonts w:ascii="黑体" w:eastAsia="黑体" w:hAnsi="黑体" w:cs="黑体" w:hint="default"/>
        <w:w w:val="100"/>
        <w:sz w:val="21"/>
        <w:szCs w:val="21"/>
        <w:lang w:val="en-US" w:eastAsia="en-US" w:bidi="ar-SA"/>
      </w:rPr>
    </w:lvl>
    <w:lvl w:ilvl="3">
      <w:start w:val="0"/>
      <w:numFmt w:val="bullet"/>
      <w:lvlText w:val="•"/>
      <w:lvlJc w:val="left"/>
      <w:pPr>
        <w:ind w:left="4051" w:hanging="735"/>
      </w:pPr>
      <w:rPr>
        <w:rFonts w:hint="default"/>
        <w:lang w:val="en-US" w:eastAsia="en-US" w:bidi="ar-SA"/>
      </w:rPr>
    </w:lvl>
    <w:lvl w:ilvl="4">
      <w:start w:val="0"/>
      <w:numFmt w:val="bullet"/>
      <w:lvlText w:val="•"/>
      <w:lvlJc w:val="left"/>
      <w:pPr>
        <w:ind w:left="5102" w:hanging="735"/>
      </w:pPr>
      <w:rPr>
        <w:rFonts w:hint="default"/>
        <w:lang w:val="en-US" w:eastAsia="en-US" w:bidi="ar-SA"/>
      </w:rPr>
    </w:lvl>
    <w:lvl w:ilvl="5">
      <w:start w:val="0"/>
      <w:numFmt w:val="bullet"/>
      <w:lvlText w:val="•"/>
      <w:lvlJc w:val="left"/>
      <w:pPr>
        <w:ind w:left="6153" w:hanging="735"/>
      </w:pPr>
      <w:rPr>
        <w:rFonts w:hint="default"/>
        <w:lang w:val="en-US" w:eastAsia="en-US" w:bidi="ar-SA"/>
      </w:rPr>
    </w:lvl>
    <w:lvl w:ilvl="6">
      <w:start w:val="0"/>
      <w:numFmt w:val="bullet"/>
      <w:lvlText w:val="•"/>
      <w:lvlJc w:val="left"/>
      <w:pPr>
        <w:ind w:left="7203" w:hanging="735"/>
      </w:pPr>
      <w:rPr>
        <w:rFonts w:hint="default"/>
        <w:lang w:val="en-US" w:eastAsia="en-US" w:bidi="ar-SA"/>
      </w:rPr>
    </w:lvl>
    <w:lvl w:ilvl="7">
      <w:start w:val="0"/>
      <w:numFmt w:val="bullet"/>
      <w:lvlText w:val="•"/>
      <w:lvlJc w:val="left"/>
      <w:pPr>
        <w:ind w:left="8254" w:hanging="735"/>
      </w:pPr>
      <w:rPr>
        <w:rFonts w:hint="default"/>
        <w:lang w:val="en-US" w:eastAsia="en-US" w:bidi="ar-SA"/>
      </w:rPr>
    </w:lvl>
    <w:lvl w:ilvl="8">
      <w:start w:val="0"/>
      <w:numFmt w:val="bullet"/>
      <w:lvlText w:val="•"/>
      <w:lvlJc w:val="left"/>
      <w:pPr>
        <w:ind w:left="9305" w:hanging="735"/>
      </w:pPr>
      <w:rPr>
        <w:rFonts w:hint="default"/>
        <w:lang w:val="en-US" w:eastAsia="en-US" w:bidi="ar-SA"/>
      </w:rPr>
    </w:lvl>
  </w:abstractNum>
  <w:abstractNum w:abstractNumId="15">
    <w:nsid w:val="3D424DF2"/>
    <w:multiLevelType w:val="hybridMultilevel"/>
    <w:tmpl w:val="00000000"/>
    <w:lvl w:ilvl="0">
      <w:start w:val="7"/>
      <w:numFmt w:val="decimal"/>
      <w:lvlText w:val="%1"/>
      <w:lvlJc w:val="left"/>
      <w:pPr>
        <w:ind w:left="1912" w:hanging="735"/>
        <w:jc w:val="left"/>
      </w:pPr>
      <w:rPr>
        <w:rFonts w:hint="default"/>
        <w:lang w:val="en-US" w:eastAsia="en-US" w:bidi="ar-SA"/>
      </w:rPr>
    </w:lvl>
    <w:lvl w:ilvl="1">
      <w:start w:val="3"/>
      <w:numFmt w:val="decimal"/>
      <w:lvlText w:val="%1.%2"/>
      <w:lvlJc w:val="left"/>
      <w:pPr>
        <w:ind w:left="1912" w:hanging="735"/>
        <w:jc w:val="left"/>
      </w:pPr>
      <w:rPr>
        <w:rFonts w:hint="default"/>
        <w:lang w:val="en-US" w:eastAsia="en-US" w:bidi="ar-SA"/>
      </w:rPr>
    </w:lvl>
    <w:lvl w:ilvl="2">
      <w:start w:val="1"/>
      <w:numFmt w:val="decimal"/>
      <w:lvlText w:val="%1.%2.%3"/>
      <w:lvlJc w:val="left"/>
      <w:pPr>
        <w:ind w:left="1912" w:hanging="735"/>
        <w:jc w:val="left"/>
      </w:pPr>
      <w:rPr>
        <w:rFonts w:ascii="黑体" w:eastAsia="黑体" w:hAnsi="黑体" w:cs="黑体" w:hint="default"/>
        <w:w w:val="100"/>
        <w:sz w:val="21"/>
        <w:szCs w:val="21"/>
        <w:lang w:val="en-US" w:eastAsia="en-US" w:bidi="ar-SA"/>
      </w:rPr>
    </w:lvl>
    <w:lvl w:ilvl="3">
      <w:start w:val="1"/>
      <w:numFmt w:val="lowerLetter"/>
      <w:lvlText w:val="%4)"/>
      <w:lvlJc w:val="left"/>
      <w:pPr>
        <w:ind w:left="2030" w:hanging="428"/>
        <w:jc w:val="left"/>
      </w:pPr>
      <w:rPr>
        <w:rFonts w:ascii="宋体" w:eastAsia="宋体" w:hAnsi="宋体" w:cs="宋体" w:hint="default"/>
        <w:w w:val="100"/>
        <w:sz w:val="21"/>
        <w:szCs w:val="21"/>
        <w:lang w:val="en-US" w:eastAsia="en-US" w:bidi="ar-SA"/>
      </w:rPr>
    </w:lvl>
    <w:lvl w:ilvl="4">
      <w:start w:val="0"/>
      <w:numFmt w:val="bullet"/>
      <w:lvlText w:val="•"/>
      <w:lvlJc w:val="left"/>
      <w:pPr>
        <w:ind w:left="5162" w:hanging="428"/>
      </w:pPr>
      <w:rPr>
        <w:rFonts w:hint="default"/>
        <w:lang w:val="en-US" w:eastAsia="en-US" w:bidi="ar-SA"/>
      </w:rPr>
    </w:lvl>
    <w:lvl w:ilvl="5">
      <w:start w:val="0"/>
      <w:numFmt w:val="bullet"/>
      <w:lvlText w:val="•"/>
      <w:lvlJc w:val="left"/>
      <w:pPr>
        <w:ind w:left="6202" w:hanging="428"/>
      </w:pPr>
      <w:rPr>
        <w:rFonts w:hint="default"/>
        <w:lang w:val="en-US" w:eastAsia="en-US" w:bidi="ar-SA"/>
      </w:rPr>
    </w:lvl>
    <w:lvl w:ilvl="6">
      <w:start w:val="0"/>
      <w:numFmt w:val="bullet"/>
      <w:lvlText w:val="•"/>
      <w:lvlJc w:val="left"/>
      <w:pPr>
        <w:ind w:left="7243" w:hanging="428"/>
      </w:pPr>
      <w:rPr>
        <w:rFonts w:hint="default"/>
        <w:lang w:val="en-US" w:eastAsia="en-US" w:bidi="ar-SA"/>
      </w:rPr>
    </w:lvl>
    <w:lvl w:ilvl="7">
      <w:start w:val="0"/>
      <w:numFmt w:val="bullet"/>
      <w:lvlText w:val="•"/>
      <w:lvlJc w:val="left"/>
      <w:pPr>
        <w:ind w:left="8284" w:hanging="428"/>
      </w:pPr>
      <w:rPr>
        <w:rFonts w:hint="default"/>
        <w:lang w:val="en-US" w:eastAsia="en-US" w:bidi="ar-SA"/>
      </w:rPr>
    </w:lvl>
    <w:lvl w:ilvl="8">
      <w:start w:val="0"/>
      <w:numFmt w:val="bullet"/>
      <w:lvlText w:val="•"/>
      <w:lvlJc w:val="left"/>
      <w:pPr>
        <w:ind w:left="9324" w:hanging="428"/>
      </w:pPr>
      <w:rPr>
        <w:rFonts w:hint="default"/>
        <w:lang w:val="en-US" w:eastAsia="en-US" w:bidi="ar-SA"/>
      </w:rPr>
    </w:lvl>
  </w:abstractNum>
  <w:abstractNum w:abstractNumId="16">
    <w:nsid w:val="3DDD60F3"/>
    <w:multiLevelType w:val="hybridMultilevel"/>
    <w:tmpl w:val="00000000"/>
    <w:lvl w:ilvl="0">
      <w:start w:val="0"/>
      <w:numFmt w:val="decimal"/>
      <w:lvlText w:val="%1"/>
      <w:lvlJc w:val="left"/>
      <w:pPr>
        <w:ind w:left="266" w:hanging="152"/>
        <w:jc w:val="left"/>
      </w:pPr>
      <w:rPr>
        <w:rFonts w:ascii="宋体" w:eastAsia="宋体" w:hAnsi="宋体" w:cs="宋体" w:hint="default"/>
        <w:w w:val="99"/>
        <w:sz w:val="20"/>
        <w:szCs w:val="20"/>
        <w:lang w:val="en-US" w:eastAsia="en-US" w:bidi="ar-SA"/>
      </w:rPr>
    </w:lvl>
    <w:lvl w:ilvl="1">
      <w:start w:val="0"/>
      <w:numFmt w:val="bullet"/>
      <w:lvlText w:val="•"/>
      <w:lvlJc w:val="left"/>
      <w:pPr>
        <w:ind w:left="439" w:hanging="152"/>
      </w:pPr>
      <w:rPr>
        <w:rFonts w:hint="default"/>
        <w:lang w:val="en-US" w:eastAsia="en-US" w:bidi="ar-SA"/>
      </w:rPr>
    </w:lvl>
    <w:lvl w:ilvl="2">
      <w:start w:val="0"/>
      <w:numFmt w:val="bullet"/>
      <w:lvlText w:val="•"/>
      <w:lvlJc w:val="left"/>
      <w:pPr>
        <w:ind w:left="618" w:hanging="152"/>
      </w:pPr>
      <w:rPr>
        <w:rFonts w:hint="default"/>
        <w:lang w:val="en-US" w:eastAsia="en-US" w:bidi="ar-SA"/>
      </w:rPr>
    </w:lvl>
    <w:lvl w:ilvl="3">
      <w:start w:val="0"/>
      <w:numFmt w:val="bullet"/>
      <w:lvlText w:val="•"/>
      <w:lvlJc w:val="left"/>
      <w:pPr>
        <w:ind w:left="797" w:hanging="152"/>
      </w:pPr>
      <w:rPr>
        <w:rFonts w:hint="default"/>
        <w:lang w:val="en-US" w:eastAsia="en-US" w:bidi="ar-SA"/>
      </w:rPr>
    </w:lvl>
    <w:lvl w:ilvl="4">
      <w:start w:val="0"/>
      <w:numFmt w:val="bullet"/>
      <w:lvlText w:val="•"/>
      <w:lvlJc w:val="left"/>
      <w:pPr>
        <w:ind w:left="977" w:hanging="152"/>
      </w:pPr>
      <w:rPr>
        <w:rFonts w:hint="default"/>
        <w:lang w:val="en-US" w:eastAsia="en-US" w:bidi="ar-SA"/>
      </w:rPr>
    </w:lvl>
    <w:lvl w:ilvl="5">
      <w:start w:val="0"/>
      <w:numFmt w:val="bullet"/>
      <w:lvlText w:val="•"/>
      <w:lvlJc w:val="left"/>
      <w:pPr>
        <w:ind w:left="1156" w:hanging="152"/>
      </w:pPr>
      <w:rPr>
        <w:rFonts w:hint="default"/>
        <w:lang w:val="en-US" w:eastAsia="en-US" w:bidi="ar-SA"/>
      </w:rPr>
    </w:lvl>
    <w:lvl w:ilvl="6">
      <w:start w:val="0"/>
      <w:numFmt w:val="bullet"/>
      <w:lvlText w:val="•"/>
      <w:lvlJc w:val="left"/>
      <w:pPr>
        <w:ind w:left="1335" w:hanging="152"/>
      </w:pPr>
      <w:rPr>
        <w:rFonts w:hint="default"/>
        <w:lang w:val="en-US" w:eastAsia="en-US" w:bidi="ar-SA"/>
      </w:rPr>
    </w:lvl>
    <w:lvl w:ilvl="7">
      <w:start w:val="0"/>
      <w:numFmt w:val="bullet"/>
      <w:lvlText w:val="•"/>
      <w:lvlJc w:val="left"/>
      <w:pPr>
        <w:ind w:left="1515" w:hanging="152"/>
      </w:pPr>
      <w:rPr>
        <w:rFonts w:hint="default"/>
        <w:lang w:val="en-US" w:eastAsia="en-US" w:bidi="ar-SA"/>
      </w:rPr>
    </w:lvl>
    <w:lvl w:ilvl="8">
      <w:start w:val="0"/>
      <w:numFmt w:val="bullet"/>
      <w:lvlText w:val="•"/>
      <w:lvlJc w:val="left"/>
      <w:pPr>
        <w:ind w:left="1694" w:hanging="152"/>
      </w:pPr>
      <w:rPr>
        <w:rFonts w:hint="default"/>
        <w:lang w:val="en-US" w:eastAsia="en-US" w:bidi="ar-SA"/>
      </w:rPr>
    </w:lvl>
  </w:abstractNum>
  <w:abstractNum w:abstractNumId="17">
    <w:nsid w:val="3E5B9DD3"/>
    <w:multiLevelType w:val="hybridMultilevel"/>
    <w:tmpl w:val="00000000"/>
    <w:lvl w:ilvl="0">
      <w:start w:val="1"/>
      <w:numFmt w:val="lowerLetter"/>
      <w:lvlText w:val="%1)"/>
      <w:lvlJc w:val="left"/>
      <w:pPr>
        <w:ind w:left="2030" w:hanging="428"/>
        <w:jc w:val="right"/>
      </w:pPr>
      <w:rPr>
        <w:rFonts w:ascii="宋体" w:eastAsia="宋体" w:hAnsi="宋体" w:cs="宋体" w:hint="default"/>
        <w:w w:val="100"/>
        <w:sz w:val="21"/>
        <w:szCs w:val="21"/>
        <w:lang w:val="en-US" w:eastAsia="en-US" w:bidi="ar-SA"/>
      </w:rPr>
    </w:lvl>
    <w:lvl w:ilvl="1">
      <w:start w:val="0"/>
      <w:numFmt w:val="bullet"/>
      <w:lvlText w:val="•"/>
      <w:lvlJc w:val="left"/>
      <w:pPr>
        <w:ind w:left="2976" w:hanging="428"/>
      </w:pPr>
      <w:rPr>
        <w:rFonts w:hint="default"/>
        <w:lang w:val="en-US" w:eastAsia="en-US" w:bidi="ar-SA"/>
      </w:rPr>
    </w:lvl>
    <w:lvl w:ilvl="2">
      <w:start w:val="0"/>
      <w:numFmt w:val="bullet"/>
      <w:lvlText w:val="•"/>
      <w:lvlJc w:val="left"/>
      <w:pPr>
        <w:ind w:left="3913" w:hanging="428"/>
      </w:pPr>
      <w:rPr>
        <w:rFonts w:hint="default"/>
        <w:lang w:val="en-US" w:eastAsia="en-US" w:bidi="ar-SA"/>
      </w:rPr>
    </w:lvl>
    <w:lvl w:ilvl="3">
      <w:start w:val="0"/>
      <w:numFmt w:val="bullet"/>
      <w:lvlText w:val="•"/>
      <w:lvlJc w:val="left"/>
      <w:pPr>
        <w:ind w:left="4849" w:hanging="428"/>
      </w:pPr>
      <w:rPr>
        <w:rFonts w:hint="default"/>
        <w:lang w:val="en-US" w:eastAsia="en-US" w:bidi="ar-SA"/>
      </w:rPr>
    </w:lvl>
    <w:lvl w:ilvl="4">
      <w:start w:val="0"/>
      <w:numFmt w:val="bullet"/>
      <w:lvlText w:val="•"/>
      <w:lvlJc w:val="left"/>
      <w:pPr>
        <w:ind w:left="5786" w:hanging="428"/>
      </w:pPr>
      <w:rPr>
        <w:rFonts w:hint="default"/>
        <w:lang w:val="en-US" w:eastAsia="en-US" w:bidi="ar-SA"/>
      </w:rPr>
    </w:lvl>
    <w:lvl w:ilvl="5">
      <w:start w:val="0"/>
      <w:numFmt w:val="bullet"/>
      <w:lvlText w:val="•"/>
      <w:lvlJc w:val="left"/>
      <w:pPr>
        <w:ind w:left="6723" w:hanging="428"/>
      </w:pPr>
      <w:rPr>
        <w:rFonts w:hint="default"/>
        <w:lang w:val="en-US" w:eastAsia="en-US" w:bidi="ar-SA"/>
      </w:rPr>
    </w:lvl>
    <w:lvl w:ilvl="6">
      <w:start w:val="0"/>
      <w:numFmt w:val="bullet"/>
      <w:lvlText w:val="•"/>
      <w:lvlJc w:val="left"/>
      <w:pPr>
        <w:ind w:left="7659" w:hanging="428"/>
      </w:pPr>
      <w:rPr>
        <w:rFonts w:hint="default"/>
        <w:lang w:val="en-US" w:eastAsia="en-US" w:bidi="ar-SA"/>
      </w:rPr>
    </w:lvl>
    <w:lvl w:ilvl="7">
      <w:start w:val="0"/>
      <w:numFmt w:val="bullet"/>
      <w:lvlText w:val="•"/>
      <w:lvlJc w:val="left"/>
      <w:pPr>
        <w:ind w:left="8596" w:hanging="428"/>
      </w:pPr>
      <w:rPr>
        <w:rFonts w:hint="default"/>
        <w:lang w:val="en-US" w:eastAsia="en-US" w:bidi="ar-SA"/>
      </w:rPr>
    </w:lvl>
    <w:lvl w:ilvl="8">
      <w:start w:val="0"/>
      <w:numFmt w:val="bullet"/>
      <w:lvlText w:val="•"/>
      <w:lvlJc w:val="left"/>
      <w:pPr>
        <w:ind w:left="9533" w:hanging="428"/>
      </w:pPr>
      <w:rPr>
        <w:rFonts w:hint="default"/>
        <w:lang w:val="en-US" w:eastAsia="en-US" w:bidi="ar-SA"/>
      </w:rPr>
    </w:lvl>
  </w:abstractNum>
  <w:abstractNum w:abstractNumId="18">
    <w:nsid w:val="4154EFB1"/>
    <w:multiLevelType w:val="hybridMultilevel"/>
    <w:tmpl w:val="00000000"/>
    <w:lvl w:ilvl="0">
      <w:start w:val="1"/>
      <w:numFmt w:val="upperLetter"/>
      <w:lvlText w:val="%1"/>
      <w:lvlJc w:val="left"/>
      <w:pPr>
        <w:ind w:left="1838" w:hanging="946"/>
        <w:jc w:val="left"/>
      </w:pPr>
      <w:rPr>
        <w:rFonts w:hint="default"/>
        <w:lang w:val="en-US" w:eastAsia="en-US" w:bidi="ar-SA"/>
      </w:rPr>
    </w:lvl>
    <w:lvl w:ilvl="1">
      <w:start w:val="3"/>
      <w:numFmt w:val="decimal"/>
      <w:lvlText w:val="%1.%2"/>
      <w:lvlJc w:val="left"/>
      <w:pPr>
        <w:ind w:left="1838" w:hanging="946"/>
        <w:jc w:val="left"/>
      </w:pPr>
      <w:rPr>
        <w:rFonts w:hint="default"/>
        <w:lang w:val="en-US" w:eastAsia="en-US" w:bidi="ar-SA"/>
      </w:rPr>
    </w:lvl>
    <w:lvl w:ilvl="2">
      <w:start w:val="2"/>
      <w:numFmt w:val="decimal"/>
      <w:lvlText w:val="%1.%2.%3"/>
      <w:lvlJc w:val="left"/>
      <w:pPr>
        <w:ind w:left="1838" w:hanging="946"/>
        <w:jc w:val="left"/>
      </w:pPr>
      <w:rPr>
        <w:rFonts w:hint="default"/>
        <w:lang w:val="en-US" w:eastAsia="en-US" w:bidi="ar-SA"/>
      </w:rPr>
    </w:lvl>
    <w:lvl w:ilvl="3">
      <w:start w:val="4"/>
      <w:numFmt w:val="decimal"/>
      <w:lvlText w:val="%1.%2.%3.%4"/>
      <w:lvlJc w:val="left"/>
      <w:pPr>
        <w:ind w:left="1838" w:hanging="946"/>
        <w:jc w:val="left"/>
      </w:pPr>
      <w:rPr>
        <w:rFonts w:ascii="黑体" w:eastAsia="黑体" w:hAnsi="黑体" w:cs="黑体" w:hint="default"/>
        <w:spacing w:val="-3"/>
        <w:w w:val="100"/>
        <w:sz w:val="21"/>
        <w:szCs w:val="21"/>
        <w:lang w:val="en-US" w:eastAsia="en-US" w:bidi="ar-SA"/>
      </w:rPr>
    </w:lvl>
    <w:lvl w:ilvl="4">
      <w:start w:val="0"/>
      <w:numFmt w:val="bullet"/>
      <w:lvlText w:val="•"/>
      <w:lvlJc w:val="left"/>
      <w:pPr>
        <w:ind w:left="5666" w:hanging="946"/>
      </w:pPr>
      <w:rPr>
        <w:rFonts w:hint="default"/>
        <w:lang w:val="en-US" w:eastAsia="en-US" w:bidi="ar-SA"/>
      </w:rPr>
    </w:lvl>
    <w:lvl w:ilvl="5">
      <w:start w:val="0"/>
      <w:numFmt w:val="bullet"/>
      <w:lvlText w:val="•"/>
      <w:lvlJc w:val="left"/>
      <w:pPr>
        <w:ind w:left="6623" w:hanging="946"/>
      </w:pPr>
      <w:rPr>
        <w:rFonts w:hint="default"/>
        <w:lang w:val="en-US" w:eastAsia="en-US" w:bidi="ar-SA"/>
      </w:rPr>
    </w:lvl>
    <w:lvl w:ilvl="6">
      <w:start w:val="0"/>
      <w:numFmt w:val="bullet"/>
      <w:lvlText w:val="•"/>
      <w:lvlJc w:val="left"/>
      <w:pPr>
        <w:ind w:left="7579" w:hanging="946"/>
      </w:pPr>
      <w:rPr>
        <w:rFonts w:hint="default"/>
        <w:lang w:val="en-US" w:eastAsia="en-US" w:bidi="ar-SA"/>
      </w:rPr>
    </w:lvl>
    <w:lvl w:ilvl="7">
      <w:start w:val="0"/>
      <w:numFmt w:val="bullet"/>
      <w:lvlText w:val="•"/>
      <w:lvlJc w:val="left"/>
      <w:pPr>
        <w:ind w:left="8536" w:hanging="946"/>
      </w:pPr>
      <w:rPr>
        <w:rFonts w:hint="default"/>
        <w:lang w:val="en-US" w:eastAsia="en-US" w:bidi="ar-SA"/>
      </w:rPr>
    </w:lvl>
    <w:lvl w:ilvl="8">
      <w:start w:val="0"/>
      <w:numFmt w:val="bullet"/>
      <w:lvlText w:val="•"/>
      <w:lvlJc w:val="left"/>
      <w:pPr>
        <w:ind w:left="9493" w:hanging="946"/>
      </w:pPr>
      <w:rPr>
        <w:rFonts w:hint="default"/>
        <w:lang w:val="en-US" w:eastAsia="en-US" w:bidi="ar-SA"/>
      </w:rPr>
    </w:lvl>
  </w:abstractNum>
  <w:abstractNum w:abstractNumId="19">
    <w:nsid w:val="41D1F577"/>
    <w:multiLevelType w:val="hybridMultilevel"/>
    <w:tmpl w:val="00000000"/>
    <w:lvl w:ilvl="0">
      <w:start w:val="7"/>
      <w:numFmt w:val="decimal"/>
      <w:lvlText w:val="%1"/>
      <w:lvlJc w:val="left"/>
      <w:pPr>
        <w:ind w:left="1627" w:hanging="735"/>
        <w:jc w:val="left"/>
      </w:pPr>
      <w:rPr>
        <w:rFonts w:hint="default"/>
        <w:lang w:val="en-US" w:eastAsia="en-US" w:bidi="ar-SA"/>
      </w:rPr>
    </w:lvl>
    <w:lvl w:ilvl="1">
      <w:start w:val="2"/>
      <w:numFmt w:val="decimal"/>
      <w:lvlText w:val="%1.%2"/>
      <w:lvlJc w:val="left"/>
      <w:pPr>
        <w:ind w:left="1627" w:hanging="735"/>
        <w:jc w:val="left"/>
      </w:pPr>
      <w:rPr>
        <w:rFonts w:hint="default"/>
        <w:lang w:val="en-US" w:eastAsia="en-US" w:bidi="ar-SA"/>
      </w:rPr>
    </w:lvl>
    <w:lvl w:ilvl="2">
      <w:start w:val="1"/>
      <w:numFmt w:val="decimal"/>
      <w:lvlText w:val="%1.%2.%3"/>
      <w:lvlJc w:val="left"/>
      <w:pPr>
        <w:ind w:left="1627" w:hanging="735"/>
        <w:jc w:val="left"/>
      </w:pPr>
      <w:rPr>
        <w:rFonts w:ascii="黑体" w:eastAsia="黑体" w:hAnsi="黑体" w:cs="黑体" w:hint="default"/>
        <w:w w:val="100"/>
        <w:sz w:val="21"/>
        <w:szCs w:val="21"/>
        <w:lang w:val="en-US" w:eastAsia="en-US" w:bidi="ar-SA"/>
      </w:rPr>
    </w:lvl>
    <w:lvl w:ilvl="3">
      <w:start w:val="1"/>
      <w:numFmt w:val="lowerLetter"/>
      <w:lvlText w:val="%4)"/>
      <w:lvlJc w:val="left"/>
      <w:pPr>
        <w:ind w:left="1744" w:hanging="428"/>
        <w:jc w:val="left"/>
      </w:pPr>
      <w:rPr>
        <w:rFonts w:ascii="宋体" w:eastAsia="宋体" w:hAnsi="宋体" w:cs="宋体" w:hint="default"/>
        <w:w w:val="100"/>
        <w:sz w:val="21"/>
        <w:szCs w:val="21"/>
        <w:lang w:val="en-US" w:eastAsia="en-US" w:bidi="ar-SA"/>
      </w:rPr>
    </w:lvl>
    <w:lvl w:ilvl="4">
      <w:start w:val="0"/>
      <w:numFmt w:val="bullet"/>
      <w:lvlText w:val="•"/>
      <w:lvlJc w:val="left"/>
      <w:pPr>
        <w:ind w:left="4962" w:hanging="428"/>
      </w:pPr>
      <w:rPr>
        <w:rFonts w:hint="default"/>
        <w:lang w:val="en-US" w:eastAsia="en-US" w:bidi="ar-SA"/>
      </w:rPr>
    </w:lvl>
    <w:lvl w:ilvl="5">
      <w:start w:val="0"/>
      <w:numFmt w:val="bullet"/>
      <w:lvlText w:val="•"/>
      <w:lvlJc w:val="left"/>
      <w:pPr>
        <w:ind w:left="6036" w:hanging="428"/>
      </w:pPr>
      <w:rPr>
        <w:rFonts w:hint="default"/>
        <w:lang w:val="en-US" w:eastAsia="en-US" w:bidi="ar-SA"/>
      </w:rPr>
    </w:lvl>
    <w:lvl w:ilvl="6">
      <w:start w:val="0"/>
      <w:numFmt w:val="bullet"/>
      <w:lvlText w:val="•"/>
      <w:lvlJc w:val="left"/>
      <w:pPr>
        <w:ind w:left="7110" w:hanging="428"/>
      </w:pPr>
      <w:rPr>
        <w:rFonts w:hint="default"/>
        <w:lang w:val="en-US" w:eastAsia="en-US" w:bidi="ar-SA"/>
      </w:rPr>
    </w:lvl>
    <w:lvl w:ilvl="7">
      <w:start w:val="0"/>
      <w:numFmt w:val="bullet"/>
      <w:lvlText w:val="•"/>
      <w:lvlJc w:val="left"/>
      <w:pPr>
        <w:ind w:left="8184" w:hanging="428"/>
      </w:pPr>
      <w:rPr>
        <w:rFonts w:hint="default"/>
        <w:lang w:val="en-US" w:eastAsia="en-US" w:bidi="ar-SA"/>
      </w:rPr>
    </w:lvl>
    <w:lvl w:ilvl="8">
      <w:start w:val="0"/>
      <w:numFmt w:val="bullet"/>
      <w:lvlText w:val="•"/>
      <w:lvlJc w:val="left"/>
      <w:pPr>
        <w:ind w:left="9258" w:hanging="428"/>
      </w:pPr>
      <w:rPr>
        <w:rFonts w:hint="default"/>
        <w:lang w:val="en-US" w:eastAsia="en-US" w:bidi="ar-SA"/>
      </w:rPr>
    </w:lvl>
  </w:abstractNum>
  <w:abstractNum w:abstractNumId="20">
    <w:nsid w:val="42F04F76"/>
    <w:multiLevelType w:val="hybridMultilevel"/>
    <w:tmpl w:val="00000000"/>
    <w:lvl w:ilvl="0">
      <w:start w:val="2"/>
      <w:numFmt w:val="lowerLetter"/>
      <w:lvlText w:val="%1)"/>
      <w:lvlJc w:val="left"/>
      <w:pPr>
        <w:ind w:left="1646" w:hanging="428"/>
        <w:jc w:val="left"/>
      </w:pPr>
      <w:rPr>
        <w:rFonts w:ascii="宋体" w:eastAsia="宋体" w:hAnsi="宋体" w:cs="宋体" w:hint="default"/>
        <w:w w:val="100"/>
        <w:sz w:val="21"/>
        <w:szCs w:val="21"/>
        <w:lang w:val="en-US" w:eastAsia="en-US" w:bidi="ar-SA"/>
      </w:rPr>
    </w:lvl>
    <w:lvl w:ilvl="1">
      <w:start w:val="0"/>
      <w:numFmt w:val="bullet"/>
      <w:lvlText w:val="•"/>
      <w:lvlJc w:val="left"/>
      <w:pPr>
        <w:ind w:left="2596" w:hanging="428"/>
      </w:pPr>
      <w:rPr>
        <w:rFonts w:hint="default"/>
        <w:lang w:val="en-US" w:eastAsia="en-US" w:bidi="ar-SA"/>
      </w:rPr>
    </w:lvl>
    <w:lvl w:ilvl="2">
      <w:start w:val="0"/>
      <w:numFmt w:val="bullet"/>
      <w:lvlText w:val="•"/>
      <w:lvlJc w:val="left"/>
      <w:pPr>
        <w:ind w:left="3552" w:hanging="428"/>
      </w:pPr>
      <w:rPr>
        <w:rFonts w:hint="default"/>
        <w:lang w:val="en-US" w:eastAsia="en-US" w:bidi="ar-SA"/>
      </w:rPr>
    </w:lvl>
    <w:lvl w:ilvl="3">
      <w:start w:val="0"/>
      <w:numFmt w:val="bullet"/>
      <w:lvlText w:val="•"/>
      <w:lvlJc w:val="left"/>
      <w:pPr>
        <w:ind w:left="4508" w:hanging="428"/>
      </w:pPr>
      <w:rPr>
        <w:rFonts w:hint="default"/>
        <w:lang w:val="en-US" w:eastAsia="en-US" w:bidi="ar-SA"/>
      </w:rPr>
    </w:lvl>
    <w:lvl w:ilvl="4">
      <w:start w:val="0"/>
      <w:numFmt w:val="bullet"/>
      <w:lvlText w:val="•"/>
      <w:lvlJc w:val="left"/>
      <w:pPr>
        <w:ind w:left="5464" w:hanging="428"/>
      </w:pPr>
      <w:rPr>
        <w:rFonts w:hint="default"/>
        <w:lang w:val="en-US" w:eastAsia="en-US" w:bidi="ar-SA"/>
      </w:rPr>
    </w:lvl>
    <w:lvl w:ilvl="5">
      <w:start w:val="0"/>
      <w:numFmt w:val="bullet"/>
      <w:lvlText w:val="•"/>
      <w:lvlJc w:val="left"/>
      <w:pPr>
        <w:ind w:left="6420" w:hanging="428"/>
      </w:pPr>
      <w:rPr>
        <w:rFonts w:hint="default"/>
        <w:lang w:val="en-US" w:eastAsia="en-US" w:bidi="ar-SA"/>
      </w:rPr>
    </w:lvl>
    <w:lvl w:ilvl="6">
      <w:start w:val="0"/>
      <w:numFmt w:val="bullet"/>
      <w:lvlText w:val="•"/>
      <w:lvlJc w:val="left"/>
      <w:pPr>
        <w:ind w:left="7376" w:hanging="428"/>
      </w:pPr>
      <w:rPr>
        <w:rFonts w:hint="default"/>
        <w:lang w:val="en-US" w:eastAsia="en-US" w:bidi="ar-SA"/>
      </w:rPr>
    </w:lvl>
    <w:lvl w:ilvl="7">
      <w:start w:val="0"/>
      <w:numFmt w:val="bullet"/>
      <w:lvlText w:val="•"/>
      <w:lvlJc w:val="left"/>
      <w:pPr>
        <w:ind w:left="8332" w:hanging="428"/>
      </w:pPr>
      <w:rPr>
        <w:rFonts w:hint="default"/>
        <w:lang w:val="en-US" w:eastAsia="en-US" w:bidi="ar-SA"/>
      </w:rPr>
    </w:lvl>
    <w:lvl w:ilvl="8">
      <w:start w:val="0"/>
      <w:numFmt w:val="bullet"/>
      <w:lvlText w:val="•"/>
      <w:lvlJc w:val="left"/>
      <w:pPr>
        <w:ind w:left="9288" w:hanging="428"/>
      </w:pPr>
      <w:rPr>
        <w:rFonts w:hint="default"/>
        <w:lang w:val="en-US" w:eastAsia="en-US" w:bidi="ar-SA"/>
      </w:rPr>
    </w:lvl>
  </w:abstractNum>
  <w:abstractNum w:abstractNumId="21">
    <w:nsid w:val="4706BD3B"/>
    <w:multiLevelType w:val="hybridMultilevel"/>
    <w:tmpl w:val="00000000"/>
    <w:lvl w:ilvl="0">
      <w:start w:val="0"/>
      <w:numFmt w:val="decimal"/>
      <w:lvlText w:val="%1"/>
      <w:lvlJc w:val="left"/>
      <w:pPr>
        <w:ind w:left="266" w:hanging="152"/>
        <w:jc w:val="left"/>
      </w:pPr>
      <w:rPr>
        <w:rFonts w:ascii="宋体" w:eastAsia="宋体" w:hAnsi="宋体" w:cs="宋体" w:hint="default"/>
        <w:w w:val="99"/>
        <w:sz w:val="20"/>
        <w:szCs w:val="20"/>
        <w:lang w:val="en-US" w:eastAsia="en-US" w:bidi="ar-SA"/>
      </w:rPr>
    </w:lvl>
    <w:lvl w:ilvl="1">
      <w:start w:val="0"/>
      <w:numFmt w:val="bullet"/>
      <w:lvlText w:val="•"/>
      <w:lvlJc w:val="left"/>
      <w:pPr>
        <w:ind w:left="439" w:hanging="152"/>
      </w:pPr>
      <w:rPr>
        <w:rFonts w:hint="default"/>
        <w:lang w:val="en-US" w:eastAsia="en-US" w:bidi="ar-SA"/>
      </w:rPr>
    </w:lvl>
    <w:lvl w:ilvl="2">
      <w:start w:val="0"/>
      <w:numFmt w:val="bullet"/>
      <w:lvlText w:val="•"/>
      <w:lvlJc w:val="left"/>
      <w:pPr>
        <w:ind w:left="618" w:hanging="152"/>
      </w:pPr>
      <w:rPr>
        <w:rFonts w:hint="default"/>
        <w:lang w:val="en-US" w:eastAsia="en-US" w:bidi="ar-SA"/>
      </w:rPr>
    </w:lvl>
    <w:lvl w:ilvl="3">
      <w:start w:val="0"/>
      <w:numFmt w:val="bullet"/>
      <w:lvlText w:val="•"/>
      <w:lvlJc w:val="left"/>
      <w:pPr>
        <w:ind w:left="797" w:hanging="152"/>
      </w:pPr>
      <w:rPr>
        <w:rFonts w:hint="default"/>
        <w:lang w:val="en-US" w:eastAsia="en-US" w:bidi="ar-SA"/>
      </w:rPr>
    </w:lvl>
    <w:lvl w:ilvl="4">
      <w:start w:val="0"/>
      <w:numFmt w:val="bullet"/>
      <w:lvlText w:val="•"/>
      <w:lvlJc w:val="left"/>
      <w:pPr>
        <w:ind w:left="977" w:hanging="152"/>
      </w:pPr>
      <w:rPr>
        <w:rFonts w:hint="default"/>
        <w:lang w:val="en-US" w:eastAsia="en-US" w:bidi="ar-SA"/>
      </w:rPr>
    </w:lvl>
    <w:lvl w:ilvl="5">
      <w:start w:val="0"/>
      <w:numFmt w:val="bullet"/>
      <w:lvlText w:val="•"/>
      <w:lvlJc w:val="left"/>
      <w:pPr>
        <w:ind w:left="1156" w:hanging="152"/>
      </w:pPr>
      <w:rPr>
        <w:rFonts w:hint="default"/>
        <w:lang w:val="en-US" w:eastAsia="en-US" w:bidi="ar-SA"/>
      </w:rPr>
    </w:lvl>
    <w:lvl w:ilvl="6">
      <w:start w:val="0"/>
      <w:numFmt w:val="bullet"/>
      <w:lvlText w:val="•"/>
      <w:lvlJc w:val="left"/>
      <w:pPr>
        <w:ind w:left="1335" w:hanging="152"/>
      </w:pPr>
      <w:rPr>
        <w:rFonts w:hint="default"/>
        <w:lang w:val="en-US" w:eastAsia="en-US" w:bidi="ar-SA"/>
      </w:rPr>
    </w:lvl>
    <w:lvl w:ilvl="7">
      <w:start w:val="0"/>
      <w:numFmt w:val="bullet"/>
      <w:lvlText w:val="•"/>
      <w:lvlJc w:val="left"/>
      <w:pPr>
        <w:ind w:left="1515" w:hanging="152"/>
      </w:pPr>
      <w:rPr>
        <w:rFonts w:hint="default"/>
        <w:lang w:val="en-US" w:eastAsia="en-US" w:bidi="ar-SA"/>
      </w:rPr>
    </w:lvl>
    <w:lvl w:ilvl="8">
      <w:start w:val="0"/>
      <w:numFmt w:val="bullet"/>
      <w:lvlText w:val="•"/>
      <w:lvlJc w:val="left"/>
      <w:pPr>
        <w:ind w:left="1694" w:hanging="152"/>
      </w:pPr>
      <w:rPr>
        <w:rFonts w:hint="default"/>
        <w:lang w:val="en-US" w:eastAsia="en-US" w:bidi="ar-SA"/>
      </w:rPr>
    </w:lvl>
  </w:abstractNum>
  <w:abstractNum w:abstractNumId="22">
    <w:nsid w:val="471F2AAA"/>
    <w:multiLevelType w:val="hybridMultilevel"/>
    <w:tmpl w:val="00000000"/>
    <w:lvl w:ilvl="0">
      <w:start w:val="0"/>
      <w:numFmt w:val="decimal"/>
      <w:lvlText w:val="%1"/>
      <w:lvlJc w:val="left"/>
      <w:pPr>
        <w:ind w:left="266" w:hanging="152"/>
        <w:jc w:val="left"/>
      </w:pPr>
      <w:rPr>
        <w:rFonts w:ascii="宋体" w:eastAsia="宋体" w:hAnsi="宋体" w:cs="宋体" w:hint="default"/>
        <w:w w:val="99"/>
        <w:sz w:val="20"/>
        <w:szCs w:val="20"/>
        <w:lang w:val="en-US" w:eastAsia="en-US" w:bidi="ar-SA"/>
      </w:rPr>
    </w:lvl>
    <w:lvl w:ilvl="1">
      <w:start w:val="0"/>
      <w:numFmt w:val="bullet"/>
      <w:lvlText w:val="•"/>
      <w:lvlJc w:val="left"/>
      <w:pPr>
        <w:ind w:left="439" w:hanging="152"/>
      </w:pPr>
      <w:rPr>
        <w:rFonts w:hint="default"/>
        <w:lang w:val="en-US" w:eastAsia="en-US" w:bidi="ar-SA"/>
      </w:rPr>
    </w:lvl>
    <w:lvl w:ilvl="2">
      <w:start w:val="0"/>
      <w:numFmt w:val="bullet"/>
      <w:lvlText w:val="•"/>
      <w:lvlJc w:val="left"/>
      <w:pPr>
        <w:ind w:left="618" w:hanging="152"/>
      </w:pPr>
      <w:rPr>
        <w:rFonts w:hint="default"/>
        <w:lang w:val="en-US" w:eastAsia="en-US" w:bidi="ar-SA"/>
      </w:rPr>
    </w:lvl>
    <w:lvl w:ilvl="3">
      <w:start w:val="0"/>
      <w:numFmt w:val="bullet"/>
      <w:lvlText w:val="•"/>
      <w:lvlJc w:val="left"/>
      <w:pPr>
        <w:ind w:left="797" w:hanging="152"/>
      </w:pPr>
      <w:rPr>
        <w:rFonts w:hint="default"/>
        <w:lang w:val="en-US" w:eastAsia="en-US" w:bidi="ar-SA"/>
      </w:rPr>
    </w:lvl>
    <w:lvl w:ilvl="4">
      <w:start w:val="0"/>
      <w:numFmt w:val="bullet"/>
      <w:lvlText w:val="•"/>
      <w:lvlJc w:val="left"/>
      <w:pPr>
        <w:ind w:left="977" w:hanging="152"/>
      </w:pPr>
      <w:rPr>
        <w:rFonts w:hint="default"/>
        <w:lang w:val="en-US" w:eastAsia="en-US" w:bidi="ar-SA"/>
      </w:rPr>
    </w:lvl>
    <w:lvl w:ilvl="5">
      <w:start w:val="0"/>
      <w:numFmt w:val="bullet"/>
      <w:lvlText w:val="•"/>
      <w:lvlJc w:val="left"/>
      <w:pPr>
        <w:ind w:left="1156" w:hanging="152"/>
      </w:pPr>
      <w:rPr>
        <w:rFonts w:hint="default"/>
        <w:lang w:val="en-US" w:eastAsia="en-US" w:bidi="ar-SA"/>
      </w:rPr>
    </w:lvl>
    <w:lvl w:ilvl="6">
      <w:start w:val="0"/>
      <w:numFmt w:val="bullet"/>
      <w:lvlText w:val="•"/>
      <w:lvlJc w:val="left"/>
      <w:pPr>
        <w:ind w:left="1335" w:hanging="152"/>
      </w:pPr>
      <w:rPr>
        <w:rFonts w:hint="default"/>
        <w:lang w:val="en-US" w:eastAsia="en-US" w:bidi="ar-SA"/>
      </w:rPr>
    </w:lvl>
    <w:lvl w:ilvl="7">
      <w:start w:val="0"/>
      <w:numFmt w:val="bullet"/>
      <w:lvlText w:val="•"/>
      <w:lvlJc w:val="left"/>
      <w:pPr>
        <w:ind w:left="1515" w:hanging="152"/>
      </w:pPr>
      <w:rPr>
        <w:rFonts w:hint="default"/>
        <w:lang w:val="en-US" w:eastAsia="en-US" w:bidi="ar-SA"/>
      </w:rPr>
    </w:lvl>
    <w:lvl w:ilvl="8">
      <w:start w:val="0"/>
      <w:numFmt w:val="bullet"/>
      <w:lvlText w:val="•"/>
      <w:lvlJc w:val="left"/>
      <w:pPr>
        <w:ind w:left="1694" w:hanging="152"/>
      </w:pPr>
      <w:rPr>
        <w:rFonts w:hint="default"/>
        <w:lang w:val="en-US" w:eastAsia="en-US" w:bidi="ar-SA"/>
      </w:rPr>
    </w:lvl>
  </w:abstractNum>
  <w:abstractNum w:abstractNumId="23">
    <w:nsid w:val="47858526"/>
    <w:multiLevelType w:val="hybridMultilevel"/>
    <w:tmpl w:val="00000000"/>
    <w:lvl w:ilvl="0">
      <w:start w:val="0"/>
      <w:numFmt w:val="decimal"/>
      <w:lvlText w:val="%1"/>
      <w:lvlJc w:val="left"/>
      <w:pPr>
        <w:ind w:left="266" w:hanging="152"/>
        <w:jc w:val="left"/>
      </w:pPr>
      <w:rPr>
        <w:rFonts w:ascii="宋体" w:eastAsia="宋体" w:hAnsi="宋体" w:cs="宋体" w:hint="default"/>
        <w:w w:val="99"/>
        <w:sz w:val="20"/>
        <w:szCs w:val="20"/>
        <w:lang w:val="en-US" w:eastAsia="en-US" w:bidi="ar-SA"/>
      </w:rPr>
    </w:lvl>
    <w:lvl w:ilvl="1">
      <w:start w:val="0"/>
      <w:numFmt w:val="bullet"/>
      <w:lvlText w:val="•"/>
      <w:lvlJc w:val="left"/>
      <w:pPr>
        <w:ind w:left="439" w:hanging="152"/>
      </w:pPr>
      <w:rPr>
        <w:rFonts w:hint="default"/>
        <w:lang w:val="en-US" w:eastAsia="en-US" w:bidi="ar-SA"/>
      </w:rPr>
    </w:lvl>
    <w:lvl w:ilvl="2">
      <w:start w:val="0"/>
      <w:numFmt w:val="bullet"/>
      <w:lvlText w:val="•"/>
      <w:lvlJc w:val="left"/>
      <w:pPr>
        <w:ind w:left="618" w:hanging="152"/>
      </w:pPr>
      <w:rPr>
        <w:rFonts w:hint="default"/>
        <w:lang w:val="en-US" w:eastAsia="en-US" w:bidi="ar-SA"/>
      </w:rPr>
    </w:lvl>
    <w:lvl w:ilvl="3">
      <w:start w:val="0"/>
      <w:numFmt w:val="bullet"/>
      <w:lvlText w:val="•"/>
      <w:lvlJc w:val="left"/>
      <w:pPr>
        <w:ind w:left="797" w:hanging="152"/>
      </w:pPr>
      <w:rPr>
        <w:rFonts w:hint="default"/>
        <w:lang w:val="en-US" w:eastAsia="en-US" w:bidi="ar-SA"/>
      </w:rPr>
    </w:lvl>
    <w:lvl w:ilvl="4">
      <w:start w:val="0"/>
      <w:numFmt w:val="bullet"/>
      <w:lvlText w:val="•"/>
      <w:lvlJc w:val="left"/>
      <w:pPr>
        <w:ind w:left="977" w:hanging="152"/>
      </w:pPr>
      <w:rPr>
        <w:rFonts w:hint="default"/>
        <w:lang w:val="en-US" w:eastAsia="en-US" w:bidi="ar-SA"/>
      </w:rPr>
    </w:lvl>
    <w:lvl w:ilvl="5">
      <w:start w:val="0"/>
      <w:numFmt w:val="bullet"/>
      <w:lvlText w:val="•"/>
      <w:lvlJc w:val="left"/>
      <w:pPr>
        <w:ind w:left="1156" w:hanging="152"/>
      </w:pPr>
      <w:rPr>
        <w:rFonts w:hint="default"/>
        <w:lang w:val="en-US" w:eastAsia="en-US" w:bidi="ar-SA"/>
      </w:rPr>
    </w:lvl>
    <w:lvl w:ilvl="6">
      <w:start w:val="0"/>
      <w:numFmt w:val="bullet"/>
      <w:lvlText w:val="•"/>
      <w:lvlJc w:val="left"/>
      <w:pPr>
        <w:ind w:left="1335" w:hanging="152"/>
      </w:pPr>
      <w:rPr>
        <w:rFonts w:hint="default"/>
        <w:lang w:val="en-US" w:eastAsia="en-US" w:bidi="ar-SA"/>
      </w:rPr>
    </w:lvl>
    <w:lvl w:ilvl="7">
      <w:start w:val="0"/>
      <w:numFmt w:val="bullet"/>
      <w:lvlText w:val="•"/>
      <w:lvlJc w:val="left"/>
      <w:pPr>
        <w:ind w:left="1515" w:hanging="152"/>
      </w:pPr>
      <w:rPr>
        <w:rFonts w:hint="default"/>
        <w:lang w:val="en-US" w:eastAsia="en-US" w:bidi="ar-SA"/>
      </w:rPr>
    </w:lvl>
    <w:lvl w:ilvl="8">
      <w:start w:val="0"/>
      <w:numFmt w:val="bullet"/>
      <w:lvlText w:val="•"/>
      <w:lvlJc w:val="left"/>
      <w:pPr>
        <w:ind w:left="1694" w:hanging="152"/>
      </w:pPr>
      <w:rPr>
        <w:rFonts w:hint="default"/>
        <w:lang w:val="en-US" w:eastAsia="en-US" w:bidi="ar-SA"/>
      </w:rPr>
    </w:lvl>
  </w:abstractNum>
  <w:abstractNum w:abstractNumId="24">
    <w:nsid w:val="48478A23"/>
    <w:multiLevelType w:val="hybridMultilevel"/>
    <w:tmpl w:val="00000000"/>
    <w:lvl w:ilvl="0">
      <w:start w:val="10"/>
      <w:numFmt w:val="decimal"/>
      <w:lvlText w:val="%1"/>
      <w:lvlJc w:val="left"/>
      <w:pPr>
        <w:ind w:left="2018" w:hanging="841"/>
        <w:jc w:val="left"/>
      </w:pPr>
      <w:rPr>
        <w:rFonts w:hint="default"/>
        <w:lang w:val="en-US" w:eastAsia="en-US" w:bidi="ar-SA"/>
      </w:rPr>
    </w:lvl>
    <w:lvl w:ilvl="1">
      <w:start w:val="3"/>
      <w:numFmt w:val="decimal"/>
      <w:lvlText w:val="%1.%2"/>
      <w:lvlJc w:val="left"/>
      <w:pPr>
        <w:ind w:left="2018" w:hanging="841"/>
        <w:jc w:val="left"/>
      </w:pPr>
      <w:rPr>
        <w:rFonts w:hint="default"/>
        <w:lang w:val="en-US" w:eastAsia="en-US" w:bidi="ar-SA"/>
      </w:rPr>
    </w:lvl>
    <w:lvl w:ilvl="2">
      <w:start w:val="1"/>
      <w:numFmt w:val="decimal"/>
      <w:lvlText w:val="%1.%2.%3"/>
      <w:lvlJc w:val="left"/>
      <w:pPr>
        <w:ind w:left="2018" w:hanging="841"/>
        <w:jc w:val="right"/>
      </w:pPr>
      <w:rPr>
        <w:rFonts w:ascii="黑体" w:eastAsia="黑体" w:hAnsi="黑体" w:cs="黑体" w:hint="default"/>
        <w:w w:val="100"/>
        <w:sz w:val="21"/>
        <w:szCs w:val="21"/>
        <w:lang w:val="en-US" w:eastAsia="en-US" w:bidi="ar-SA"/>
      </w:rPr>
    </w:lvl>
    <w:lvl w:ilvl="3">
      <w:start w:val="1"/>
      <w:numFmt w:val="lowerLetter"/>
      <w:lvlText w:val="%4)"/>
      <w:lvlJc w:val="left"/>
      <w:pPr>
        <w:ind w:left="2030" w:hanging="428"/>
        <w:jc w:val="right"/>
      </w:pPr>
      <w:rPr>
        <w:rFonts w:ascii="宋体" w:eastAsia="宋体" w:hAnsi="宋体" w:cs="宋体" w:hint="default"/>
        <w:w w:val="100"/>
        <w:sz w:val="21"/>
        <w:szCs w:val="21"/>
        <w:lang w:val="en-US" w:eastAsia="en-US" w:bidi="ar-SA"/>
      </w:rPr>
    </w:lvl>
    <w:lvl w:ilvl="4">
      <w:start w:val="0"/>
      <w:numFmt w:val="bullet"/>
      <w:lvlText w:val="•"/>
      <w:lvlJc w:val="left"/>
      <w:pPr>
        <w:ind w:left="4381" w:hanging="428"/>
      </w:pPr>
      <w:rPr>
        <w:rFonts w:hint="default"/>
        <w:lang w:val="en-US" w:eastAsia="en-US" w:bidi="ar-SA"/>
      </w:rPr>
    </w:lvl>
    <w:lvl w:ilvl="5">
      <w:start w:val="0"/>
      <w:numFmt w:val="bullet"/>
      <w:lvlText w:val="•"/>
      <w:lvlJc w:val="left"/>
      <w:pPr>
        <w:ind w:left="5552" w:hanging="428"/>
      </w:pPr>
      <w:rPr>
        <w:rFonts w:hint="default"/>
        <w:lang w:val="en-US" w:eastAsia="en-US" w:bidi="ar-SA"/>
      </w:rPr>
    </w:lvl>
    <w:lvl w:ilvl="6">
      <w:start w:val="0"/>
      <w:numFmt w:val="bullet"/>
      <w:lvlText w:val="•"/>
      <w:lvlJc w:val="left"/>
      <w:pPr>
        <w:ind w:left="6723" w:hanging="428"/>
      </w:pPr>
      <w:rPr>
        <w:rFonts w:hint="default"/>
        <w:lang w:val="en-US" w:eastAsia="en-US" w:bidi="ar-SA"/>
      </w:rPr>
    </w:lvl>
    <w:lvl w:ilvl="7">
      <w:start w:val="0"/>
      <w:numFmt w:val="bullet"/>
      <w:lvlText w:val="•"/>
      <w:lvlJc w:val="left"/>
      <w:pPr>
        <w:ind w:left="7894" w:hanging="428"/>
      </w:pPr>
      <w:rPr>
        <w:rFonts w:hint="default"/>
        <w:lang w:val="en-US" w:eastAsia="en-US" w:bidi="ar-SA"/>
      </w:rPr>
    </w:lvl>
    <w:lvl w:ilvl="8">
      <w:start w:val="0"/>
      <w:numFmt w:val="bullet"/>
      <w:lvlText w:val="•"/>
      <w:lvlJc w:val="left"/>
      <w:pPr>
        <w:ind w:left="9064" w:hanging="428"/>
      </w:pPr>
      <w:rPr>
        <w:rFonts w:hint="default"/>
        <w:lang w:val="en-US" w:eastAsia="en-US" w:bidi="ar-SA"/>
      </w:rPr>
    </w:lvl>
  </w:abstractNum>
  <w:abstractNum w:abstractNumId="25">
    <w:nsid w:val="4C8A3D12"/>
    <w:multiLevelType w:val="hybridMultilevel"/>
    <w:tmpl w:val="00000000"/>
    <w:lvl w:ilvl="0">
      <w:start w:val="9"/>
      <w:numFmt w:val="decimal"/>
      <w:lvlText w:val="%1"/>
      <w:lvlJc w:val="left"/>
      <w:pPr>
        <w:ind w:left="893" w:hanging="735"/>
        <w:jc w:val="left"/>
      </w:pPr>
      <w:rPr>
        <w:rFonts w:hint="default"/>
        <w:lang w:val="en-US" w:eastAsia="en-US" w:bidi="ar-SA"/>
      </w:rPr>
    </w:lvl>
    <w:lvl w:ilvl="1">
      <w:start w:val="1"/>
      <w:numFmt w:val="decimal"/>
      <w:lvlText w:val="%1.%2"/>
      <w:lvlJc w:val="left"/>
      <w:pPr>
        <w:ind w:left="893" w:hanging="735"/>
        <w:jc w:val="left"/>
      </w:pPr>
      <w:rPr>
        <w:rFonts w:hint="default"/>
        <w:lang w:val="en-US" w:eastAsia="en-US" w:bidi="ar-SA"/>
      </w:rPr>
    </w:lvl>
    <w:lvl w:ilvl="2">
      <w:start w:val="1"/>
      <w:numFmt w:val="decimal"/>
      <w:lvlText w:val="%1.%2.%3"/>
      <w:lvlJc w:val="left"/>
      <w:pPr>
        <w:ind w:left="893" w:hanging="735"/>
        <w:jc w:val="left"/>
      </w:pPr>
      <w:rPr>
        <w:rFonts w:ascii="黑体" w:eastAsia="黑体" w:hAnsi="黑体" w:cs="黑体" w:hint="default"/>
        <w:w w:val="100"/>
        <w:sz w:val="21"/>
        <w:szCs w:val="21"/>
        <w:lang w:val="en-US" w:eastAsia="en-US" w:bidi="ar-SA"/>
      </w:rPr>
    </w:lvl>
    <w:lvl w:ilvl="3">
      <w:start w:val="0"/>
      <w:numFmt w:val="bullet"/>
      <w:lvlText w:val="•"/>
      <w:lvlJc w:val="left"/>
      <w:pPr>
        <w:ind w:left="4051" w:hanging="735"/>
      </w:pPr>
      <w:rPr>
        <w:rFonts w:hint="default"/>
        <w:lang w:val="en-US" w:eastAsia="en-US" w:bidi="ar-SA"/>
      </w:rPr>
    </w:lvl>
    <w:lvl w:ilvl="4">
      <w:start w:val="0"/>
      <w:numFmt w:val="bullet"/>
      <w:lvlText w:val="•"/>
      <w:lvlJc w:val="left"/>
      <w:pPr>
        <w:ind w:left="5102" w:hanging="735"/>
      </w:pPr>
      <w:rPr>
        <w:rFonts w:hint="default"/>
        <w:lang w:val="en-US" w:eastAsia="en-US" w:bidi="ar-SA"/>
      </w:rPr>
    </w:lvl>
    <w:lvl w:ilvl="5">
      <w:start w:val="0"/>
      <w:numFmt w:val="bullet"/>
      <w:lvlText w:val="•"/>
      <w:lvlJc w:val="left"/>
      <w:pPr>
        <w:ind w:left="6153" w:hanging="735"/>
      </w:pPr>
      <w:rPr>
        <w:rFonts w:hint="default"/>
        <w:lang w:val="en-US" w:eastAsia="en-US" w:bidi="ar-SA"/>
      </w:rPr>
    </w:lvl>
    <w:lvl w:ilvl="6">
      <w:start w:val="0"/>
      <w:numFmt w:val="bullet"/>
      <w:lvlText w:val="•"/>
      <w:lvlJc w:val="left"/>
      <w:pPr>
        <w:ind w:left="7203" w:hanging="735"/>
      </w:pPr>
      <w:rPr>
        <w:rFonts w:hint="default"/>
        <w:lang w:val="en-US" w:eastAsia="en-US" w:bidi="ar-SA"/>
      </w:rPr>
    </w:lvl>
    <w:lvl w:ilvl="7">
      <w:start w:val="0"/>
      <w:numFmt w:val="bullet"/>
      <w:lvlText w:val="•"/>
      <w:lvlJc w:val="left"/>
      <w:pPr>
        <w:ind w:left="8254" w:hanging="735"/>
      </w:pPr>
      <w:rPr>
        <w:rFonts w:hint="default"/>
        <w:lang w:val="en-US" w:eastAsia="en-US" w:bidi="ar-SA"/>
      </w:rPr>
    </w:lvl>
    <w:lvl w:ilvl="8">
      <w:start w:val="0"/>
      <w:numFmt w:val="bullet"/>
      <w:lvlText w:val="•"/>
      <w:lvlJc w:val="left"/>
      <w:pPr>
        <w:ind w:left="9305" w:hanging="735"/>
      </w:pPr>
      <w:rPr>
        <w:rFonts w:hint="default"/>
        <w:lang w:val="en-US" w:eastAsia="en-US" w:bidi="ar-SA"/>
      </w:rPr>
    </w:lvl>
  </w:abstractNum>
  <w:abstractNum w:abstractNumId="26">
    <w:nsid w:val="4CD6B5FC"/>
    <w:multiLevelType w:val="hybridMultilevel"/>
    <w:tmpl w:val="00000000"/>
    <w:lvl w:ilvl="0">
      <w:start w:val="6"/>
      <w:numFmt w:val="upperLetter"/>
      <w:lvlText w:val="%1"/>
      <w:lvlJc w:val="left"/>
      <w:pPr>
        <w:ind w:left="1704" w:hanging="526"/>
        <w:jc w:val="left"/>
      </w:pPr>
      <w:rPr>
        <w:rFonts w:hint="default"/>
        <w:lang w:val="en-US" w:eastAsia="en-US" w:bidi="ar-SA"/>
      </w:rPr>
    </w:lvl>
    <w:lvl w:ilvl="1">
      <w:start w:val="1"/>
      <w:numFmt w:val="decimal"/>
      <w:lvlText w:val="%1.%2"/>
      <w:lvlJc w:val="left"/>
      <w:pPr>
        <w:ind w:left="1704" w:hanging="526"/>
        <w:jc w:val="left"/>
      </w:pPr>
      <w:rPr>
        <w:rFonts w:ascii="黑体" w:eastAsia="黑体" w:hAnsi="黑体" w:cs="黑体" w:hint="default"/>
        <w:w w:val="100"/>
        <w:sz w:val="21"/>
        <w:szCs w:val="21"/>
        <w:lang w:val="en-US" w:eastAsia="en-US" w:bidi="ar-SA"/>
      </w:rPr>
    </w:lvl>
    <w:lvl w:ilvl="2">
      <w:start w:val="0"/>
      <w:numFmt w:val="bullet"/>
      <w:lvlText w:val="•"/>
      <w:lvlJc w:val="left"/>
      <w:pPr>
        <w:ind w:left="3641" w:hanging="526"/>
      </w:pPr>
      <w:rPr>
        <w:rFonts w:hint="default"/>
        <w:lang w:val="en-US" w:eastAsia="en-US" w:bidi="ar-SA"/>
      </w:rPr>
    </w:lvl>
    <w:lvl w:ilvl="3">
      <w:start w:val="0"/>
      <w:numFmt w:val="bullet"/>
      <w:lvlText w:val="•"/>
      <w:lvlJc w:val="left"/>
      <w:pPr>
        <w:ind w:left="4611" w:hanging="526"/>
      </w:pPr>
      <w:rPr>
        <w:rFonts w:hint="default"/>
        <w:lang w:val="en-US" w:eastAsia="en-US" w:bidi="ar-SA"/>
      </w:rPr>
    </w:lvl>
    <w:lvl w:ilvl="4">
      <w:start w:val="0"/>
      <w:numFmt w:val="bullet"/>
      <w:lvlText w:val="•"/>
      <w:lvlJc w:val="left"/>
      <w:pPr>
        <w:ind w:left="5582" w:hanging="526"/>
      </w:pPr>
      <w:rPr>
        <w:rFonts w:hint="default"/>
        <w:lang w:val="en-US" w:eastAsia="en-US" w:bidi="ar-SA"/>
      </w:rPr>
    </w:lvl>
    <w:lvl w:ilvl="5">
      <w:start w:val="0"/>
      <w:numFmt w:val="bullet"/>
      <w:lvlText w:val="•"/>
      <w:lvlJc w:val="left"/>
      <w:pPr>
        <w:ind w:left="6553" w:hanging="526"/>
      </w:pPr>
      <w:rPr>
        <w:rFonts w:hint="default"/>
        <w:lang w:val="en-US" w:eastAsia="en-US" w:bidi="ar-SA"/>
      </w:rPr>
    </w:lvl>
    <w:lvl w:ilvl="6">
      <w:start w:val="0"/>
      <w:numFmt w:val="bullet"/>
      <w:lvlText w:val="•"/>
      <w:lvlJc w:val="left"/>
      <w:pPr>
        <w:ind w:left="7523" w:hanging="526"/>
      </w:pPr>
      <w:rPr>
        <w:rFonts w:hint="default"/>
        <w:lang w:val="en-US" w:eastAsia="en-US" w:bidi="ar-SA"/>
      </w:rPr>
    </w:lvl>
    <w:lvl w:ilvl="7">
      <w:start w:val="0"/>
      <w:numFmt w:val="bullet"/>
      <w:lvlText w:val="•"/>
      <w:lvlJc w:val="left"/>
      <w:pPr>
        <w:ind w:left="8494" w:hanging="526"/>
      </w:pPr>
      <w:rPr>
        <w:rFonts w:hint="default"/>
        <w:lang w:val="en-US" w:eastAsia="en-US" w:bidi="ar-SA"/>
      </w:rPr>
    </w:lvl>
    <w:lvl w:ilvl="8">
      <w:start w:val="0"/>
      <w:numFmt w:val="bullet"/>
      <w:lvlText w:val="•"/>
      <w:lvlJc w:val="left"/>
      <w:pPr>
        <w:ind w:left="9465" w:hanging="526"/>
      </w:pPr>
      <w:rPr>
        <w:rFonts w:hint="default"/>
        <w:lang w:val="en-US" w:eastAsia="en-US" w:bidi="ar-SA"/>
      </w:rPr>
    </w:lvl>
  </w:abstractNum>
  <w:abstractNum w:abstractNumId="27">
    <w:nsid w:val="4D399960"/>
    <w:multiLevelType w:val="hybridMultilevel"/>
    <w:tmpl w:val="00000000"/>
    <w:lvl w:ilvl="0">
      <w:start w:val="0"/>
      <w:numFmt w:val="decimal"/>
      <w:lvlText w:val="%1"/>
      <w:lvlJc w:val="left"/>
      <w:pPr>
        <w:ind w:left="259" w:hanging="152"/>
        <w:jc w:val="left"/>
      </w:pPr>
      <w:rPr>
        <w:rFonts w:ascii="宋体" w:eastAsia="宋体" w:hAnsi="宋体" w:cs="宋体" w:hint="default"/>
        <w:w w:val="99"/>
        <w:sz w:val="20"/>
        <w:szCs w:val="20"/>
        <w:lang w:val="en-US" w:eastAsia="en-US" w:bidi="ar-SA"/>
      </w:rPr>
    </w:lvl>
    <w:lvl w:ilvl="1">
      <w:start w:val="0"/>
      <w:numFmt w:val="bullet"/>
      <w:lvlText w:val="•"/>
      <w:lvlJc w:val="left"/>
      <w:pPr>
        <w:ind w:left="379" w:hanging="152"/>
      </w:pPr>
      <w:rPr>
        <w:rFonts w:hint="default"/>
        <w:lang w:val="en-US" w:eastAsia="en-US" w:bidi="ar-SA"/>
      </w:rPr>
    </w:lvl>
    <w:lvl w:ilvl="2">
      <w:start w:val="0"/>
      <w:numFmt w:val="bullet"/>
      <w:lvlText w:val="•"/>
      <w:lvlJc w:val="left"/>
      <w:pPr>
        <w:ind w:left="499" w:hanging="152"/>
      </w:pPr>
      <w:rPr>
        <w:rFonts w:hint="default"/>
        <w:lang w:val="en-US" w:eastAsia="en-US" w:bidi="ar-SA"/>
      </w:rPr>
    </w:lvl>
    <w:lvl w:ilvl="3">
      <w:start w:val="0"/>
      <w:numFmt w:val="bullet"/>
      <w:lvlText w:val="•"/>
      <w:lvlJc w:val="left"/>
      <w:pPr>
        <w:ind w:left="618" w:hanging="152"/>
      </w:pPr>
      <w:rPr>
        <w:rFonts w:hint="default"/>
        <w:lang w:val="en-US" w:eastAsia="en-US" w:bidi="ar-SA"/>
      </w:rPr>
    </w:lvl>
    <w:lvl w:ilvl="4">
      <w:start w:val="0"/>
      <w:numFmt w:val="bullet"/>
      <w:lvlText w:val="•"/>
      <w:lvlJc w:val="left"/>
      <w:pPr>
        <w:ind w:left="738" w:hanging="152"/>
      </w:pPr>
      <w:rPr>
        <w:rFonts w:hint="default"/>
        <w:lang w:val="en-US" w:eastAsia="en-US" w:bidi="ar-SA"/>
      </w:rPr>
    </w:lvl>
    <w:lvl w:ilvl="5">
      <w:start w:val="0"/>
      <w:numFmt w:val="bullet"/>
      <w:lvlText w:val="•"/>
      <w:lvlJc w:val="left"/>
      <w:pPr>
        <w:ind w:left="857" w:hanging="152"/>
      </w:pPr>
      <w:rPr>
        <w:rFonts w:hint="default"/>
        <w:lang w:val="en-US" w:eastAsia="en-US" w:bidi="ar-SA"/>
      </w:rPr>
    </w:lvl>
    <w:lvl w:ilvl="6">
      <w:start w:val="0"/>
      <w:numFmt w:val="bullet"/>
      <w:lvlText w:val="•"/>
      <w:lvlJc w:val="left"/>
      <w:pPr>
        <w:ind w:left="977" w:hanging="152"/>
      </w:pPr>
      <w:rPr>
        <w:rFonts w:hint="default"/>
        <w:lang w:val="en-US" w:eastAsia="en-US" w:bidi="ar-SA"/>
      </w:rPr>
    </w:lvl>
    <w:lvl w:ilvl="7">
      <w:start w:val="0"/>
      <w:numFmt w:val="bullet"/>
      <w:lvlText w:val="•"/>
      <w:lvlJc w:val="left"/>
      <w:pPr>
        <w:ind w:left="1096" w:hanging="152"/>
      </w:pPr>
      <w:rPr>
        <w:rFonts w:hint="default"/>
        <w:lang w:val="en-US" w:eastAsia="en-US" w:bidi="ar-SA"/>
      </w:rPr>
    </w:lvl>
    <w:lvl w:ilvl="8">
      <w:start w:val="0"/>
      <w:numFmt w:val="bullet"/>
      <w:lvlText w:val="•"/>
      <w:lvlJc w:val="left"/>
      <w:pPr>
        <w:ind w:left="1216" w:hanging="152"/>
      </w:pPr>
      <w:rPr>
        <w:rFonts w:hint="default"/>
        <w:lang w:val="en-US" w:eastAsia="en-US" w:bidi="ar-SA"/>
      </w:rPr>
    </w:lvl>
  </w:abstractNum>
  <w:abstractNum w:abstractNumId="28">
    <w:nsid w:val="4DF796AE"/>
    <w:multiLevelType w:val="hybridMultilevel"/>
    <w:tmpl w:val="00000000"/>
    <w:lvl w:ilvl="0">
      <w:start w:val="1"/>
      <w:numFmt w:val="decimal"/>
      <w:lvlText w:val="%1)"/>
      <w:lvlJc w:val="left"/>
      <w:pPr>
        <w:ind w:left="2169" w:hanging="425"/>
        <w:jc w:val="left"/>
      </w:pPr>
      <w:rPr>
        <w:rFonts w:ascii="宋体" w:eastAsia="宋体" w:hAnsi="宋体" w:cs="宋体" w:hint="default"/>
        <w:w w:val="100"/>
        <w:sz w:val="21"/>
        <w:szCs w:val="21"/>
        <w:lang w:val="en-US" w:eastAsia="en-US" w:bidi="ar-SA"/>
      </w:rPr>
    </w:lvl>
    <w:lvl w:ilvl="1">
      <w:start w:val="0"/>
      <w:numFmt w:val="bullet"/>
      <w:lvlText w:val="•"/>
      <w:lvlJc w:val="left"/>
      <w:pPr>
        <w:ind w:left="3084" w:hanging="425"/>
      </w:pPr>
      <w:rPr>
        <w:rFonts w:hint="default"/>
        <w:lang w:val="en-US" w:eastAsia="en-US" w:bidi="ar-SA"/>
      </w:rPr>
    </w:lvl>
    <w:lvl w:ilvl="2">
      <w:start w:val="0"/>
      <w:numFmt w:val="bullet"/>
      <w:lvlText w:val="•"/>
      <w:lvlJc w:val="left"/>
      <w:pPr>
        <w:ind w:left="4009" w:hanging="425"/>
      </w:pPr>
      <w:rPr>
        <w:rFonts w:hint="default"/>
        <w:lang w:val="en-US" w:eastAsia="en-US" w:bidi="ar-SA"/>
      </w:rPr>
    </w:lvl>
    <w:lvl w:ilvl="3">
      <w:start w:val="0"/>
      <w:numFmt w:val="bullet"/>
      <w:lvlText w:val="•"/>
      <w:lvlJc w:val="left"/>
      <w:pPr>
        <w:ind w:left="4933" w:hanging="425"/>
      </w:pPr>
      <w:rPr>
        <w:rFonts w:hint="default"/>
        <w:lang w:val="en-US" w:eastAsia="en-US" w:bidi="ar-SA"/>
      </w:rPr>
    </w:lvl>
    <w:lvl w:ilvl="4">
      <w:start w:val="0"/>
      <w:numFmt w:val="bullet"/>
      <w:lvlText w:val="•"/>
      <w:lvlJc w:val="left"/>
      <w:pPr>
        <w:ind w:left="5858" w:hanging="425"/>
      </w:pPr>
      <w:rPr>
        <w:rFonts w:hint="default"/>
        <w:lang w:val="en-US" w:eastAsia="en-US" w:bidi="ar-SA"/>
      </w:rPr>
    </w:lvl>
    <w:lvl w:ilvl="5">
      <w:start w:val="0"/>
      <w:numFmt w:val="bullet"/>
      <w:lvlText w:val="•"/>
      <w:lvlJc w:val="left"/>
      <w:pPr>
        <w:ind w:left="6783" w:hanging="425"/>
      </w:pPr>
      <w:rPr>
        <w:rFonts w:hint="default"/>
        <w:lang w:val="en-US" w:eastAsia="en-US" w:bidi="ar-SA"/>
      </w:rPr>
    </w:lvl>
    <w:lvl w:ilvl="6">
      <w:start w:val="0"/>
      <w:numFmt w:val="bullet"/>
      <w:lvlText w:val="•"/>
      <w:lvlJc w:val="left"/>
      <w:pPr>
        <w:ind w:left="7707" w:hanging="425"/>
      </w:pPr>
      <w:rPr>
        <w:rFonts w:hint="default"/>
        <w:lang w:val="en-US" w:eastAsia="en-US" w:bidi="ar-SA"/>
      </w:rPr>
    </w:lvl>
    <w:lvl w:ilvl="7">
      <w:start w:val="0"/>
      <w:numFmt w:val="bullet"/>
      <w:lvlText w:val="•"/>
      <w:lvlJc w:val="left"/>
      <w:pPr>
        <w:ind w:left="8632" w:hanging="425"/>
      </w:pPr>
      <w:rPr>
        <w:rFonts w:hint="default"/>
        <w:lang w:val="en-US" w:eastAsia="en-US" w:bidi="ar-SA"/>
      </w:rPr>
    </w:lvl>
    <w:lvl w:ilvl="8">
      <w:start w:val="0"/>
      <w:numFmt w:val="bullet"/>
      <w:lvlText w:val="•"/>
      <w:lvlJc w:val="left"/>
      <w:pPr>
        <w:ind w:left="9557" w:hanging="425"/>
      </w:pPr>
      <w:rPr>
        <w:rFonts w:hint="default"/>
        <w:lang w:val="en-US" w:eastAsia="en-US" w:bidi="ar-SA"/>
      </w:rPr>
    </w:lvl>
  </w:abstractNum>
  <w:abstractNum w:abstractNumId="29">
    <w:nsid w:val="50FF9B0A"/>
    <w:multiLevelType w:val="hybridMultilevel"/>
    <w:tmpl w:val="00000000"/>
    <w:lvl w:ilvl="0">
      <w:start w:val="0"/>
      <w:numFmt w:val="decimal"/>
      <w:lvlText w:val="%1"/>
      <w:lvlJc w:val="left"/>
      <w:pPr>
        <w:ind w:left="266" w:hanging="152"/>
        <w:jc w:val="left"/>
      </w:pPr>
      <w:rPr>
        <w:rFonts w:ascii="宋体" w:eastAsia="宋体" w:hAnsi="宋体" w:cs="宋体" w:hint="default"/>
        <w:w w:val="99"/>
        <w:sz w:val="20"/>
        <w:szCs w:val="20"/>
        <w:lang w:val="en-US" w:eastAsia="en-US" w:bidi="ar-SA"/>
      </w:rPr>
    </w:lvl>
    <w:lvl w:ilvl="1">
      <w:start w:val="0"/>
      <w:numFmt w:val="bullet"/>
      <w:lvlText w:val="•"/>
      <w:lvlJc w:val="left"/>
      <w:pPr>
        <w:ind w:left="439" w:hanging="152"/>
      </w:pPr>
      <w:rPr>
        <w:rFonts w:hint="default"/>
        <w:lang w:val="en-US" w:eastAsia="en-US" w:bidi="ar-SA"/>
      </w:rPr>
    </w:lvl>
    <w:lvl w:ilvl="2">
      <w:start w:val="0"/>
      <w:numFmt w:val="bullet"/>
      <w:lvlText w:val="•"/>
      <w:lvlJc w:val="left"/>
      <w:pPr>
        <w:ind w:left="618" w:hanging="152"/>
      </w:pPr>
      <w:rPr>
        <w:rFonts w:hint="default"/>
        <w:lang w:val="en-US" w:eastAsia="en-US" w:bidi="ar-SA"/>
      </w:rPr>
    </w:lvl>
    <w:lvl w:ilvl="3">
      <w:start w:val="0"/>
      <w:numFmt w:val="bullet"/>
      <w:lvlText w:val="•"/>
      <w:lvlJc w:val="left"/>
      <w:pPr>
        <w:ind w:left="797" w:hanging="152"/>
      </w:pPr>
      <w:rPr>
        <w:rFonts w:hint="default"/>
        <w:lang w:val="en-US" w:eastAsia="en-US" w:bidi="ar-SA"/>
      </w:rPr>
    </w:lvl>
    <w:lvl w:ilvl="4">
      <w:start w:val="0"/>
      <w:numFmt w:val="bullet"/>
      <w:lvlText w:val="•"/>
      <w:lvlJc w:val="left"/>
      <w:pPr>
        <w:ind w:left="977" w:hanging="152"/>
      </w:pPr>
      <w:rPr>
        <w:rFonts w:hint="default"/>
        <w:lang w:val="en-US" w:eastAsia="en-US" w:bidi="ar-SA"/>
      </w:rPr>
    </w:lvl>
    <w:lvl w:ilvl="5">
      <w:start w:val="0"/>
      <w:numFmt w:val="bullet"/>
      <w:lvlText w:val="•"/>
      <w:lvlJc w:val="left"/>
      <w:pPr>
        <w:ind w:left="1156" w:hanging="152"/>
      </w:pPr>
      <w:rPr>
        <w:rFonts w:hint="default"/>
        <w:lang w:val="en-US" w:eastAsia="en-US" w:bidi="ar-SA"/>
      </w:rPr>
    </w:lvl>
    <w:lvl w:ilvl="6">
      <w:start w:val="0"/>
      <w:numFmt w:val="bullet"/>
      <w:lvlText w:val="•"/>
      <w:lvlJc w:val="left"/>
      <w:pPr>
        <w:ind w:left="1335" w:hanging="152"/>
      </w:pPr>
      <w:rPr>
        <w:rFonts w:hint="default"/>
        <w:lang w:val="en-US" w:eastAsia="en-US" w:bidi="ar-SA"/>
      </w:rPr>
    </w:lvl>
    <w:lvl w:ilvl="7">
      <w:start w:val="0"/>
      <w:numFmt w:val="bullet"/>
      <w:lvlText w:val="•"/>
      <w:lvlJc w:val="left"/>
      <w:pPr>
        <w:ind w:left="1515" w:hanging="152"/>
      </w:pPr>
      <w:rPr>
        <w:rFonts w:hint="default"/>
        <w:lang w:val="en-US" w:eastAsia="en-US" w:bidi="ar-SA"/>
      </w:rPr>
    </w:lvl>
    <w:lvl w:ilvl="8">
      <w:start w:val="0"/>
      <w:numFmt w:val="bullet"/>
      <w:lvlText w:val="•"/>
      <w:lvlJc w:val="left"/>
      <w:pPr>
        <w:ind w:left="1694" w:hanging="152"/>
      </w:pPr>
      <w:rPr>
        <w:rFonts w:hint="default"/>
        <w:lang w:val="en-US" w:eastAsia="en-US" w:bidi="ar-SA"/>
      </w:rPr>
    </w:lvl>
  </w:abstractNum>
  <w:abstractNum w:abstractNumId="30">
    <w:nsid w:val="54CC8973"/>
    <w:multiLevelType w:val="hybridMultilevel"/>
    <w:tmpl w:val="00000000"/>
    <w:lvl w:ilvl="0">
      <w:start w:val="0"/>
      <w:numFmt w:val="decimal"/>
      <w:lvlText w:val="%1"/>
      <w:lvlJc w:val="left"/>
      <w:pPr>
        <w:ind w:left="259" w:hanging="152"/>
        <w:jc w:val="left"/>
      </w:pPr>
      <w:rPr>
        <w:rFonts w:ascii="宋体" w:eastAsia="宋体" w:hAnsi="宋体" w:cs="宋体" w:hint="default"/>
        <w:w w:val="99"/>
        <w:sz w:val="20"/>
        <w:szCs w:val="20"/>
        <w:lang w:val="en-US" w:eastAsia="en-US" w:bidi="ar-SA"/>
      </w:rPr>
    </w:lvl>
    <w:lvl w:ilvl="1">
      <w:start w:val="0"/>
      <w:numFmt w:val="bullet"/>
      <w:lvlText w:val="•"/>
      <w:lvlJc w:val="left"/>
      <w:pPr>
        <w:ind w:left="379" w:hanging="152"/>
      </w:pPr>
      <w:rPr>
        <w:rFonts w:hint="default"/>
        <w:lang w:val="en-US" w:eastAsia="en-US" w:bidi="ar-SA"/>
      </w:rPr>
    </w:lvl>
    <w:lvl w:ilvl="2">
      <w:start w:val="0"/>
      <w:numFmt w:val="bullet"/>
      <w:lvlText w:val="•"/>
      <w:lvlJc w:val="left"/>
      <w:pPr>
        <w:ind w:left="499" w:hanging="152"/>
      </w:pPr>
      <w:rPr>
        <w:rFonts w:hint="default"/>
        <w:lang w:val="en-US" w:eastAsia="en-US" w:bidi="ar-SA"/>
      </w:rPr>
    </w:lvl>
    <w:lvl w:ilvl="3">
      <w:start w:val="0"/>
      <w:numFmt w:val="bullet"/>
      <w:lvlText w:val="•"/>
      <w:lvlJc w:val="left"/>
      <w:pPr>
        <w:ind w:left="618" w:hanging="152"/>
      </w:pPr>
      <w:rPr>
        <w:rFonts w:hint="default"/>
        <w:lang w:val="en-US" w:eastAsia="en-US" w:bidi="ar-SA"/>
      </w:rPr>
    </w:lvl>
    <w:lvl w:ilvl="4">
      <w:start w:val="0"/>
      <w:numFmt w:val="bullet"/>
      <w:lvlText w:val="•"/>
      <w:lvlJc w:val="left"/>
      <w:pPr>
        <w:ind w:left="738" w:hanging="152"/>
      </w:pPr>
      <w:rPr>
        <w:rFonts w:hint="default"/>
        <w:lang w:val="en-US" w:eastAsia="en-US" w:bidi="ar-SA"/>
      </w:rPr>
    </w:lvl>
    <w:lvl w:ilvl="5">
      <w:start w:val="0"/>
      <w:numFmt w:val="bullet"/>
      <w:lvlText w:val="•"/>
      <w:lvlJc w:val="left"/>
      <w:pPr>
        <w:ind w:left="857" w:hanging="152"/>
      </w:pPr>
      <w:rPr>
        <w:rFonts w:hint="default"/>
        <w:lang w:val="en-US" w:eastAsia="en-US" w:bidi="ar-SA"/>
      </w:rPr>
    </w:lvl>
    <w:lvl w:ilvl="6">
      <w:start w:val="0"/>
      <w:numFmt w:val="bullet"/>
      <w:lvlText w:val="•"/>
      <w:lvlJc w:val="left"/>
      <w:pPr>
        <w:ind w:left="977" w:hanging="152"/>
      </w:pPr>
      <w:rPr>
        <w:rFonts w:hint="default"/>
        <w:lang w:val="en-US" w:eastAsia="en-US" w:bidi="ar-SA"/>
      </w:rPr>
    </w:lvl>
    <w:lvl w:ilvl="7">
      <w:start w:val="0"/>
      <w:numFmt w:val="bullet"/>
      <w:lvlText w:val="•"/>
      <w:lvlJc w:val="left"/>
      <w:pPr>
        <w:ind w:left="1096" w:hanging="152"/>
      </w:pPr>
      <w:rPr>
        <w:rFonts w:hint="default"/>
        <w:lang w:val="en-US" w:eastAsia="en-US" w:bidi="ar-SA"/>
      </w:rPr>
    </w:lvl>
    <w:lvl w:ilvl="8">
      <w:start w:val="0"/>
      <w:numFmt w:val="bullet"/>
      <w:lvlText w:val="•"/>
      <w:lvlJc w:val="left"/>
      <w:pPr>
        <w:ind w:left="1216" w:hanging="152"/>
      </w:pPr>
      <w:rPr>
        <w:rFonts w:hint="default"/>
        <w:lang w:val="en-US" w:eastAsia="en-US" w:bidi="ar-SA"/>
      </w:rPr>
    </w:lvl>
  </w:abstractNum>
  <w:abstractNum w:abstractNumId="31">
    <w:nsid w:val="57BD55E1"/>
    <w:multiLevelType w:val="hybridMultilevel"/>
    <w:tmpl w:val="00000000"/>
    <w:lvl w:ilvl="0">
      <w:start w:val="6"/>
      <w:numFmt w:val="upperLetter"/>
      <w:lvlText w:val="%1"/>
      <w:lvlJc w:val="left"/>
      <w:pPr>
        <w:ind w:left="1418" w:hanging="526"/>
        <w:jc w:val="left"/>
      </w:pPr>
      <w:rPr>
        <w:rFonts w:hint="default"/>
        <w:lang w:val="en-US" w:eastAsia="en-US" w:bidi="ar-SA"/>
      </w:rPr>
    </w:lvl>
    <w:lvl w:ilvl="1">
      <w:start w:val="5"/>
      <w:numFmt w:val="decimal"/>
      <w:lvlText w:val="%1.%2"/>
      <w:lvlJc w:val="left"/>
      <w:pPr>
        <w:ind w:left="1418" w:hanging="526"/>
        <w:jc w:val="left"/>
      </w:pPr>
      <w:rPr>
        <w:rFonts w:ascii="黑体" w:eastAsia="黑体" w:hAnsi="黑体" w:cs="黑体" w:hint="default"/>
        <w:w w:val="100"/>
        <w:sz w:val="21"/>
        <w:szCs w:val="21"/>
        <w:lang w:val="en-US" w:eastAsia="en-US" w:bidi="ar-SA"/>
      </w:rPr>
    </w:lvl>
    <w:lvl w:ilvl="2">
      <w:start w:val="1"/>
      <w:numFmt w:val="decimal"/>
      <w:lvlText w:val="%3"/>
      <w:lvlJc w:val="left"/>
      <w:pPr>
        <w:ind w:left="1826" w:hanging="476"/>
        <w:jc w:val="left"/>
      </w:pPr>
      <w:rPr>
        <w:rFonts w:ascii="宋体" w:eastAsia="宋体" w:hAnsi="宋体" w:cs="宋体" w:hint="default"/>
        <w:w w:val="100"/>
        <w:position w:val="1"/>
        <w:sz w:val="18"/>
        <w:szCs w:val="18"/>
        <w:lang w:val="en-US" w:eastAsia="en-US" w:bidi="ar-SA"/>
      </w:rPr>
    </w:lvl>
    <w:lvl w:ilvl="3">
      <w:start w:val="0"/>
      <w:numFmt w:val="bullet"/>
      <w:lvlText w:val="•"/>
      <w:lvlJc w:val="left"/>
      <w:pPr>
        <w:ind w:left="1909" w:hanging="476"/>
      </w:pPr>
      <w:rPr>
        <w:rFonts w:hint="default"/>
        <w:lang w:val="en-US" w:eastAsia="en-US" w:bidi="ar-SA"/>
      </w:rPr>
    </w:lvl>
    <w:lvl w:ilvl="4">
      <w:start w:val="0"/>
      <w:numFmt w:val="bullet"/>
      <w:lvlText w:val="•"/>
      <w:lvlJc w:val="left"/>
      <w:pPr>
        <w:ind w:left="1954" w:hanging="476"/>
      </w:pPr>
      <w:rPr>
        <w:rFonts w:hint="default"/>
        <w:lang w:val="en-US" w:eastAsia="en-US" w:bidi="ar-SA"/>
      </w:rPr>
    </w:lvl>
    <w:lvl w:ilvl="5">
      <w:start w:val="0"/>
      <w:numFmt w:val="bullet"/>
      <w:lvlText w:val="•"/>
      <w:lvlJc w:val="left"/>
      <w:pPr>
        <w:ind w:left="1999" w:hanging="476"/>
      </w:pPr>
      <w:rPr>
        <w:rFonts w:hint="default"/>
        <w:lang w:val="en-US" w:eastAsia="en-US" w:bidi="ar-SA"/>
      </w:rPr>
    </w:lvl>
    <w:lvl w:ilvl="6">
      <w:start w:val="0"/>
      <w:numFmt w:val="bullet"/>
      <w:lvlText w:val="•"/>
      <w:lvlJc w:val="left"/>
      <w:pPr>
        <w:ind w:left="2044" w:hanging="476"/>
      </w:pPr>
      <w:rPr>
        <w:rFonts w:hint="default"/>
        <w:lang w:val="en-US" w:eastAsia="en-US" w:bidi="ar-SA"/>
      </w:rPr>
    </w:lvl>
    <w:lvl w:ilvl="7">
      <w:start w:val="0"/>
      <w:numFmt w:val="bullet"/>
      <w:lvlText w:val="•"/>
      <w:lvlJc w:val="left"/>
      <w:pPr>
        <w:ind w:left="2089" w:hanging="476"/>
      </w:pPr>
      <w:rPr>
        <w:rFonts w:hint="default"/>
        <w:lang w:val="en-US" w:eastAsia="en-US" w:bidi="ar-SA"/>
      </w:rPr>
    </w:lvl>
    <w:lvl w:ilvl="8">
      <w:start w:val="0"/>
      <w:numFmt w:val="bullet"/>
      <w:lvlText w:val="•"/>
      <w:lvlJc w:val="left"/>
      <w:pPr>
        <w:ind w:left="2134" w:hanging="476"/>
      </w:pPr>
      <w:rPr>
        <w:rFonts w:hint="default"/>
        <w:lang w:val="en-US" w:eastAsia="en-US" w:bidi="ar-SA"/>
      </w:rPr>
    </w:lvl>
  </w:abstractNum>
  <w:abstractNum w:abstractNumId="32">
    <w:nsid w:val="5A6DF1AB"/>
    <w:multiLevelType w:val="hybridMultilevel"/>
    <w:tmpl w:val="00000000"/>
    <w:lvl w:ilvl="0">
      <w:start w:val="1"/>
      <w:numFmt w:val="upperLetter"/>
      <w:lvlText w:val="%1"/>
      <w:lvlJc w:val="left"/>
      <w:pPr>
        <w:ind w:left="734" w:hanging="735"/>
        <w:jc w:val="left"/>
      </w:pPr>
      <w:rPr>
        <w:rFonts w:hint="default"/>
        <w:lang w:val="en-US" w:eastAsia="en-US" w:bidi="ar-SA"/>
      </w:rPr>
    </w:lvl>
    <w:lvl w:ilvl="1">
      <w:start w:val="4"/>
      <w:numFmt w:val="decimal"/>
      <w:lvlText w:val="%1.%2"/>
      <w:lvlJc w:val="left"/>
      <w:pPr>
        <w:ind w:left="734" w:hanging="735"/>
        <w:jc w:val="left"/>
      </w:pPr>
      <w:rPr>
        <w:rFonts w:hint="default"/>
        <w:lang w:val="en-US" w:eastAsia="en-US" w:bidi="ar-SA"/>
      </w:rPr>
    </w:lvl>
    <w:lvl w:ilvl="2">
      <w:start w:val="4"/>
      <w:numFmt w:val="decimal"/>
      <w:lvlText w:val="%1.%2.%3"/>
      <w:lvlJc w:val="left"/>
      <w:pPr>
        <w:ind w:left="734" w:hanging="735"/>
        <w:jc w:val="left"/>
      </w:pPr>
      <w:rPr>
        <w:rFonts w:ascii="黑体" w:eastAsia="黑体" w:hAnsi="黑体" w:cs="黑体" w:hint="default"/>
        <w:w w:val="100"/>
        <w:sz w:val="21"/>
        <w:szCs w:val="21"/>
        <w:lang w:val="en-US" w:eastAsia="en-US" w:bidi="ar-SA"/>
      </w:rPr>
    </w:lvl>
    <w:lvl w:ilvl="3">
      <w:start w:val="1"/>
      <w:numFmt w:val="decimal"/>
      <w:lvlText w:val="%1.%2.%3.%4"/>
      <w:lvlJc w:val="left"/>
      <w:pPr>
        <w:ind w:left="945" w:hanging="946"/>
        <w:jc w:val="left"/>
      </w:pPr>
      <w:rPr>
        <w:rFonts w:ascii="黑体" w:eastAsia="黑体" w:hAnsi="黑体" w:cs="黑体" w:hint="default"/>
        <w:spacing w:val="-3"/>
        <w:w w:val="100"/>
        <w:sz w:val="21"/>
        <w:szCs w:val="21"/>
        <w:lang w:val="en-US" w:eastAsia="en-US" w:bidi="ar-SA"/>
      </w:rPr>
    </w:lvl>
    <w:lvl w:ilvl="4">
      <w:start w:val="0"/>
      <w:numFmt w:val="bullet"/>
      <w:lvlText w:val="•"/>
      <w:lvlJc w:val="left"/>
      <w:pPr>
        <w:ind w:left="2980" w:hanging="946"/>
      </w:pPr>
      <w:rPr>
        <w:rFonts w:hint="default"/>
        <w:lang w:val="en-US" w:eastAsia="en-US" w:bidi="ar-SA"/>
      </w:rPr>
    </w:lvl>
    <w:lvl w:ilvl="5">
      <w:start w:val="0"/>
      <w:numFmt w:val="bullet"/>
      <w:lvlText w:val="•"/>
      <w:lvlJc w:val="left"/>
      <w:pPr>
        <w:ind w:left="3660" w:hanging="946"/>
      </w:pPr>
      <w:rPr>
        <w:rFonts w:hint="default"/>
        <w:lang w:val="en-US" w:eastAsia="en-US" w:bidi="ar-SA"/>
      </w:rPr>
    </w:lvl>
    <w:lvl w:ilvl="6">
      <w:start w:val="0"/>
      <w:numFmt w:val="bullet"/>
      <w:lvlText w:val="•"/>
      <w:lvlJc w:val="left"/>
      <w:pPr>
        <w:ind w:left="4340" w:hanging="946"/>
      </w:pPr>
      <w:rPr>
        <w:rFonts w:hint="default"/>
        <w:lang w:val="en-US" w:eastAsia="en-US" w:bidi="ar-SA"/>
      </w:rPr>
    </w:lvl>
    <w:lvl w:ilvl="7">
      <w:start w:val="0"/>
      <w:numFmt w:val="bullet"/>
      <w:lvlText w:val="•"/>
      <w:lvlJc w:val="left"/>
      <w:pPr>
        <w:ind w:left="5021" w:hanging="946"/>
      </w:pPr>
      <w:rPr>
        <w:rFonts w:hint="default"/>
        <w:lang w:val="en-US" w:eastAsia="en-US" w:bidi="ar-SA"/>
      </w:rPr>
    </w:lvl>
    <w:lvl w:ilvl="8">
      <w:start w:val="0"/>
      <w:numFmt w:val="bullet"/>
      <w:lvlText w:val="•"/>
      <w:lvlJc w:val="left"/>
      <w:pPr>
        <w:ind w:left="5701" w:hanging="946"/>
      </w:pPr>
      <w:rPr>
        <w:rFonts w:hint="default"/>
        <w:lang w:val="en-US" w:eastAsia="en-US" w:bidi="ar-SA"/>
      </w:rPr>
    </w:lvl>
  </w:abstractNum>
  <w:abstractNum w:abstractNumId="33">
    <w:nsid w:val="60CBE07C"/>
    <w:multiLevelType w:val="hybridMultilevel"/>
    <w:tmpl w:val="00000000"/>
    <w:lvl w:ilvl="0">
      <w:start w:val="1"/>
      <w:numFmt w:val="decimal"/>
      <w:lvlText w:val="%1"/>
      <w:lvlJc w:val="left"/>
      <w:pPr>
        <w:ind w:left="1492" w:hanging="315"/>
        <w:jc w:val="left"/>
      </w:pPr>
      <w:rPr>
        <w:rFonts w:ascii="黑体" w:eastAsia="黑体" w:hAnsi="黑体" w:cs="黑体" w:hint="default"/>
        <w:w w:val="100"/>
        <w:sz w:val="21"/>
        <w:szCs w:val="21"/>
        <w:lang w:val="en-US" w:eastAsia="en-US" w:bidi="ar-SA"/>
      </w:rPr>
    </w:lvl>
    <w:lvl w:ilvl="1">
      <w:start w:val="4"/>
      <w:numFmt w:val="decimal"/>
      <w:lvlText w:val="%2"/>
      <w:lvlJc w:val="left"/>
      <w:pPr>
        <w:ind w:left="1634" w:hanging="315"/>
        <w:jc w:val="right"/>
      </w:pPr>
      <w:rPr>
        <w:rFonts w:ascii="黑体" w:eastAsia="黑体" w:hAnsi="黑体" w:cs="黑体" w:hint="default"/>
        <w:w w:val="100"/>
        <w:sz w:val="21"/>
        <w:szCs w:val="21"/>
        <w:lang w:val="en-US" w:eastAsia="en-US" w:bidi="ar-SA"/>
      </w:rPr>
    </w:lvl>
    <w:lvl w:ilvl="2">
      <w:start w:val="1"/>
      <w:numFmt w:val="lowerLetter"/>
      <w:lvlText w:val="%3)"/>
      <w:lvlJc w:val="left"/>
      <w:pPr>
        <w:ind w:left="2030" w:hanging="428"/>
        <w:jc w:val="left"/>
      </w:pPr>
      <w:rPr>
        <w:rFonts w:ascii="宋体" w:eastAsia="宋体" w:hAnsi="宋体" w:cs="宋体" w:hint="default"/>
        <w:w w:val="100"/>
        <w:sz w:val="21"/>
        <w:szCs w:val="21"/>
        <w:lang w:val="en-US" w:eastAsia="en-US" w:bidi="ar-SA"/>
      </w:rPr>
    </w:lvl>
    <w:lvl w:ilvl="3">
      <w:start w:val="0"/>
      <w:numFmt w:val="bullet"/>
      <w:lvlText w:val="•"/>
      <w:lvlJc w:val="left"/>
      <w:pPr>
        <w:ind w:left="3210" w:hanging="428"/>
      </w:pPr>
      <w:rPr>
        <w:rFonts w:hint="default"/>
        <w:lang w:val="en-US" w:eastAsia="en-US" w:bidi="ar-SA"/>
      </w:rPr>
    </w:lvl>
    <w:lvl w:ilvl="4">
      <w:start w:val="0"/>
      <w:numFmt w:val="bullet"/>
      <w:lvlText w:val="•"/>
      <w:lvlJc w:val="left"/>
      <w:pPr>
        <w:ind w:left="4381" w:hanging="428"/>
      </w:pPr>
      <w:rPr>
        <w:rFonts w:hint="default"/>
        <w:lang w:val="en-US" w:eastAsia="en-US" w:bidi="ar-SA"/>
      </w:rPr>
    </w:lvl>
    <w:lvl w:ilvl="5">
      <w:start w:val="0"/>
      <w:numFmt w:val="bullet"/>
      <w:lvlText w:val="•"/>
      <w:lvlJc w:val="left"/>
      <w:pPr>
        <w:ind w:left="5552" w:hanging="428"/>
      </w:pPr>
      <w:rPr>
        <w:rFonts w:hint="default"/>
        <w:lang w:val="en-US" w:eastAsia="en-US" w:bidi="ar-SA"/>
      </w:rPr>
    </w:lvl>
    <w:lvl w:ilvl="6">
      <w:start w:val="0"/>
      <w:numFmt w:val="bullet"/>
      <w:lvlText w:val="•"/>
      <w:lvlJc w:val="left"/>
      <w:pPr>
        <w:ind w:left="6723" w:hanging="428"/>
      </w:pPr>
      <w:rPr>
        <w:rFonts w:hint="default"/>
        <w:lang w:val="en-US" w:eastAsia="en-US" w:bidi="ar-SA"/>
      </w:rPr>
    </w:lvl>
    <w:lvl w:ilvl="7">
      <w:start w:val="0"/>
      <w:numFmt w:val="bullet"/>
      <w:lvlText w:val="•"/>
      <w:lvlJc w:val="left"/>
      <w:pPr>
        <w:ind w:left="7894" w:hanging="428"/>
      </w:pPr>
      <w:rPr>
        <w:rFonts w:hint="default"/>
        <w:lang w:val="en-US" w:eastAsia="en-US" w:bidi="ar-SA"/>
      </w:rPr>
    </w:lvl>
    <w:lvl w:ilvl="8">
      <w:start w:val="0"/>
      <w:numFmt w:val="bullet"/>
      <w:lvlText w:val="•"/>
      <w:lvlJc w:val="left"/>
      <w:pPr>
        <w:ind w:left="9064" w:hanging="428"/>
      </w:pPr>
      <w:rPr>
        <w:rFonts w:hint="default"/>
        <w:lang w:val="en-US" w:eastAsia="en-US" w:bidi="ar-SA"/>
      </w:rPr>
    </w:lvl>
  </w:abstractNum>
  <w:abstractNum w:abstractNumId="34">
    <w:nsid w:val="66D0C510"/>
    <w:multiLevelType w:val="hybridMultilevel"/>
    <w:tmpl w:val="00000000"/>
    <w:lvl w:ilvl="0">
      <w:start w:val="7"/>
      <w:numFmt w:val="decimal"/>
      <w:lvlText w:val="%1"/>
      <w:lvlJc w:val="left"/>
      <w:pPr>
        <w:ind w:left="1178" w:hanging="735"/>
        <w:jc w:val="left"/>
      </w:pPr>
      <w:rPr>
        <w:rFonts w:hint="default"/>
        <w:lang w:val="en-US" w:eastAsia="en-US" w:bidi="ar-SA"/>
      </w:rPr>
    </w:lvl>
    <w:lvl w:ilvl="1">
      <w:start w:val="4"/>
      <w:numFmt w:val="decimal"/>
      <w:lvlText w:val="%1.%2"/>
      <w:lvlJc w:val="left"/>
      <w:pPr>
        <w:ind w:left="1178" w:hanging="735"/>
        <w:jc w:val="left"/>
      </w:pPr>
      <w:rPr>
        <w:rFonts w:hint="default"/>
        <w:lang w:val="en-US" w:eastAsia="en-US" w:bidi="ar-SA"/>
      </w:rPr>
    </w:lvl>
    <w:lvl w:ilvl="2">
      <w:start w:val="1"/>
      <w:numFmt w:val="decimal"/>
      <w:lvlText w:val="%1.%2.%3"/>
      <w:lvlJc w:val="left"/>
      <w:pPr>
        <w:ind w:left="1178" w:hanging="735"/>
        <w:jc w:val="left"/>
      </w:pPr>
      <w:rPr>
        <w:rFonts w:ascii="黑体" w:eastAsia="黑体" w:hAnsi="黑体" w:cs="黑体" w:hint="default"/>
        <w:w w:val="100"/>
        <w:sz w:val="21"/>
        <w:szCs w:val="21"/>
        <w:lang w:val="en-US" w:eastAsia="en-US" w:bidi="ar-SA"/>
      </w:rPr>
    </w:lvl>
    <w:lvl w:ilvl="3">
      <w:start w:val="0"/>
      <w:numFmt w:val="bullet"/>
      <w:lvlText w:val="•"/>
      <w:lvlJc w:val="left"/>
      <w:pPr>
        <w:ind w:left="4247" w:hanging="735"/>
      </w:pPr>
      <w:rPr>
        <w:rFonts w:hint="default"/>
        <w:lang w:val="en-US" w:eastAsia="en-US" w:bidi="ar-SA"/>
      </w:rPr>
    </w:lvl>
    <w:lvl w:ilvl="4">
      <w:start w:val="0"/>
      <w:numFmt w:val="bullet"/>
      <w:lvlText w:val="•"/>
      <w:lvlJc w:val="left"/>
      <w:pPr>
        <w:ind w:left="5270" w:hanging="735"/>
      </w:pPr>
      <w:rPr>
        <w:rFonts w:hint="default"/>
        <w:lang w:val="en-US" w:eastAsia="en-US" w:bidi="ar-SA"/>
      </w:rPr>
    </w:lvl>
    <w:lvl w:ilvl="5">
      <w:start w:val="0"/>
      <w:numFmt w:val="bullet"/>
      <w:lvlText w:val="•"/>
      <w:lvlJc w:val="left"/>
      <w:pPr>
        <w:ind w:left="6293" w:hanging="735"/>
      </w:pPr>
      <w:rPr>
        <w:rFonts w:hint="default"/>
        <w:lang w:val="en-US" w:eastAsia="en-US" w:bidi="ar-SA"/>
      </w:rPr>
    </w:lvl>
    <w:lvl w:ilvl="6">
      <w:start w:val="0"/>
      <w:numFmt w:val="bullet"/>
      <w:lvlText w:val="•"/>
      <w:lvlJc w:val="left"/>
      <w:pPr>
        <w:ind w:left="7315" w:hanging="735"/>
      </w:pPr>
      <w:rPr>
        <w:rFonts w:hint="default"/>
        <w:lang w:val="en-US" w:eastAsia="en-US" w:bidi="ar-SA"/>
      </w:rPr>
    </w:lvl>
    <w:lvl w:ilvl="7">
      <w:start w:val="0"/>
      <w:numFmt w:val="bullet"/>
      <w:lvlText w:val="•"/>
      <w:lvlJc w:val="left"/>
      <w:pPr>
        <w:ind w:left="8338" w:hanging="735"/>
      </w:pPr>
      <w:rPr>
        <w:rFonts w:hint="default"/>
        <w:lang w:val="en-US" w:eastAsia="en-US" w:bidi="ar-SA"/>
      </w:rPr>
    </w:lvl>
    <w:lvl w:ilvl="8">
      <w:start w:val="0"/>
      <w:numFmt w:val="bullet"/>
      <w:lvlText w:val="•"/>
      <w:lvlJc w:val="left"/>
      <w:pPr>
        <w:ind w:left="9361" w:hanging="735"/>
      </w:pPr>
      <w:rPr>
        <w:rFonts w:hint="default"/>
        <w:lang w:val="en-US" w:eastAsia="en-US" w:bidi="ar-SA"/>
      </w:rPr>
    </w:lvl>
  </w:abstractNum>
  <w:abstractNum w:abstractNumId="35">
    <w:nsid w:val="68C36B4A"/>
    <w:multiLevelType w:val="hybridMultilevel"/>
    <w:tmpl w:val="00000000"/>
    <w:lvl w:ilvl="0">
      <w:start w:val="6"/>
      <w:numFmt w:val="decimal"/>
      <w:lvlText w:val="%1"/>
      <w:lvlJc w:val="left"/>
      <w:pPr>
        <w:ind w:left="1627" w:hanging="735"/>
        <w:jc w:val="left"/>
      </w:pPr>
      <w:rPr>
        <w:rFonts w:hint="default"/>
        <w:lang w:val="en-US" w:eastAsia="en-US" w:bidi="ar-SA"/>
      </w:rPr>
    </w:lvl>
    <w:lvl w:ilvl="1">
      <w:start w:val="1"/>
      <w:numFmt w:val="decimal"/>
      <w:lvlText w:val="%1.%2"/>
      <w:lvlJc w:val="left"/>
      <w:pPr>
        <w:ind w:left="1627" w:hanging="735"/>
        <w:jc w:val="left"/>
      </w:pPr>
      <w:rPr>
        <w:rFonts w:hint="default"/>
        <w:lang w:val="en-US" w:eastAsia="en-US" w:bidi="ar-SA"/>
      </w:rPr>
    </w:lvl>
    <w:lvl w:ilvl="2">
      <w:start w:val="1"/>
      <w:numFmt w:val="decimal"/>
      <w:lvlText w:val="%1.%2.%3"/>
      <w:lvlJc w:val="left"/>
      <w:pPr>
        <w:ind w:left="1627" w:hanging="735"/>
        <w:jc w:val="right"/>
      </w:pPr>
      <w:rPr>
        <w:rFonts w:ascii="黑体" w:eastAsia="黑体" w:hAnsi="黑体" w:cs="黑体" w:hint="default"/>
        <w:w w:val="100"/>
        <w:sz w:val="21"/>
        <w:szCs w:val="21"/>
        <w:lang w:val="en-US" w:eastAsia="en-US" w:bidi="ar-SA"/>
      </w:rPr>
    </w:lvl>
    <w:lvl w:ilvl="3">
      <w:start w:val="1"/>
      <w:numFmt w:val="lowerLetter"/>
      <w:lvlText w:val="%4)"/>
      <w:lvlJc w:val="left"/>
      <w:pPr>
        <w:ind w:left="1744" w:hanging="428"/>
        <w:jc w:val="left"/>
      </w:pPr>
      <w:rPr>
        <w:rFonts w:ascii="宋体" w:eastAsia="宋体" w:hAnsi="宋体" w:cs="宋体" w:hint="default"/>
        <w:w w:val="100"/>
        <w:sz w:val="21"/>
        <w:szCs w:val="21"/>
        <w:lang w:val="en-US" w:eastAsia="en-US" w:bidi="ar-SA"/>
      </w:rPr>
    </w:lvl>
    <w:lvl w:ilvl="4">
      <w:start w:val="0"/>
      <w:numFmt w:val="bullet"/>
      <w:lvlText w:val="•"/>
      <w:lvlJc w:val="left"/>
      <w:pPr>
        <w:ind w:left="4381" w:hanging="428"/>
      </w:pPr>
      <w:rPr>
        <w:rFonts w:hint="default"/>
        <w:lang w:val="en-US" w:eastAsia="en-US" w:bidi="ar-SA"/>
      </w:rPr>
    </w:lvl>
    <w:lvl w:ilvl="5">
      <w:start w:val="0"/>
      <w:numFmt w:val="bullet"/>
      <w:lvlText w:val="•"/>
      <w:lvlJc w:val="left"/>
      <w:pPr>
        <w:ind w:left="5552" w:hanging="428"/>
      </w:pPr>
      <w:rPr>
        <w:rFonts w:hint="default"/>
        <w:lang w:val="en-US" w:eastAsia="en-US" w:bidi="ar-SA"/>
      </w:rPr>
    </w:lvl>
    <w:lvl w:ilvl="6">
      <w:start w:val="0"/>
      <w:numFmt w:val="bullet"/>
      <w:lvlText w:val="•"/>
      <w:lvlJc w:val="left"/>
      <w:pPr>
        <w:ind w:left="6723" w:hanging="428"/>
      </w:pPr>
      <w:rPr>
        <w:rFonts w:hint="default"/>
        <w:lang w:val="en-US" w:eastAsia="en-US" w:bidi="ar-SA"/>
      </w:rPr>
    </w:lvl>
    <w:lvl w:ilvl="7">
      <w:start w:val="0"/>
      <w:numFmt w:val="bullet"/>
      <w:lvlText w:val="•"/>
      <w:lvlJc w:val="left"/>
      <w:pPr>
        <w:ind w:left="7894" w:hanging="428"/>
      </w:pPr>
      <w:rPr>
        <w:rFonts w:hint="default"/>
        <w:lang w:val="en-US" w:eastAsia="en-US" w:bidi="ar-SA"/>
      </w:rPr>
    </w:lvl>
    <w:lvl w:ilvl="8">
      <w:start w:val="0"/>
      <w:numFmt w:val="bullet"/>
      <w:lvlText w:val="•"/>
      <w:lvlJc w:val="left"/>
      <w:pPr>
        <w:ind w:left="9064" w:hanging="428"/>
      </w:pPr>
      <w:rPr>
        <w:rFonts w:hint="default"/>
        <w:lang w:val="en-US" w:eastAsia="en-US" w:bidi="ar-SA"/>
      </w:rPr>
    </w:lvl>
  </w:abstractNum>
  <w:abstractNum w:abstractNumId="36">
    <w:nsid w:val="6C5F14DA"/>
    <w:multiLevelType w:val="hybridMultilevel"/>
    <w:tmpl w:val="00000000"/>
    <w:lvl w:ilvl="0">
      <w:start w:val="1"/>
      <w:numFmt w:val="upperLetter"/>
      <w:lvlText w:val="%1"/>
      <w:lvlJc w:val="left"/>
      <w:pPr>
        <w:ind w:left="734" w:hanging="735"/>
        <w:jc w:val="left"/>
      </w:pPr>
      <w:rPr>
        <w:rFonts w:hint="default"/>
        <w:lang w:val="en-US" w:eastAsia="en-US" w:bidi="ar-SA"/>
      </w:rPr>
    </w:lvl>
    <w:lvl w:ilvl="1">
      <w:start w:val="3"/>
      <w:numFmt w:val="decimal"/>
      <w:lvlText w:val="%1.%2"/>
      <w:lvlJc w:val="left"/>
      <w:pPr>
        <w:ind w:left="734" w:hanging="735"/>
        <w:jc w:val="left"/>
      </w:pPr>
      <w:rPr>
        <w:rFonts w:hint="default"/>
        <w:lang w:val="en-US" w:eastAsia="en-US" w:bidi="ar-SA"/>
      </w:rPr>
    </w:lvl>
    <w:lvl w:ilvl="2">
      <w:start w:val="2"/>
      <w:numFmt w:val="decimal"/>
      <w:lvlText w:val="%1.%2.%3"/>
      <w:lvlJc w:val="left"/>
      <w:pPr>
        <w:ind w:left="734" w:hanging="735"/>
        <w:jc w:val="left"/>
      </w:pPr>
      <w:rPr>
        <w:rFonts w:ascii="黑体" w:eastAsia="黑体" w:hAnsi="黑体" w:cs="黑体" w:hint="default"/>
        <w:w w:val="100"/>
        <w:sz w:val="21"/>
        <w:szCs w:val="21"/>
        <w:lang w:val="en-US" w:eastAsia="en-US" w:bidi="ar-SA"/>
      </w:rPr>
    </w:lvl>
    <w:lvl w:ilvl="3">
      <w:start w:val="1"/>
      <w:numFmt w:val="decimal"/>
      <w:lvlText w:val="%1.%2.%3.%4"/>
      <w:lvlJc w:val="left"/>
      <w:pPr>
        <w:ind w:left="0" w:hanging="946"/>
        <w:jc w:val="left"/>
      </w:pPr>
      <w:rPr>
        <w:rFonts w:ascii="黑体" w:eastAsia="黑体" w:hAnsi="黑体" w:cs="黑体" w:hint="default"/>
        <w:spacing w:val="-3"/>
        <w:w w:val="100"/>
        <w:sz w:val="21"/>
        <w:szCs w:val="21"/>
        <w:lang w:val="en-US" w:eastAsia="en-US" w:bidi="ar-SA"/>
      </w:rPr>
    </w:lvl>
    <w:lvl w:ilvl="4">
      <w:start w:val="0"/>
      <w:numFmt w:val="bullet"/>
      <w:lvlText w:val="•"/>
      <w:lvlJc w:val="left"/>
      <w:pPr>
        <w:ind w:left="3619" w:hanging="946"/>
      </w:pPr>
      <w:rPr>
        <w:rFonts w:hint="default"/>
        <w:lang w:val="en-US" w:eastAsia="en-US" w:bidi="ar-SA"/>
      </w:rPr>
    </w:lvl>
    <w:lvl w:ilvl="5">
      <w:start w:val="0"/>
      <w:numFmt w:val="bullet"/>
      <w:lvlText w:val="•"/>
      <w:lvlJc w:val="left"/>
      <w:pPr>
        <w:ind w:left="4579" w:hanging="946"/>
      </w:pPr>
      <w:rPr>
        <w:rFonts w:hint="default"/>
        <w:lang w:val="en-US" w:eastAsia="en-US" w:bidi="ar-SA"/>
      </w:rPr>
    </w:lvl>
    <w:lvl w:ilvl="6">
      <w:start w:val="0"/>
      <w:numFmt w:val="bullet"/>
      <w:lvlText w:val="•"/>
      <w:lvlJc w:val="left"/>
      <w:pPr>
        <w:ind w:left="5539" w:hanging="946"/>
      </w:pPr>
      <w:rPr>
        <w:rFonts w:hint="default"/>
        <w:lang w:val="en-US" w:eastAsia="en-US" w:bidi="ar-SA"/>
      </w:rPr>
    </w:lvl>
    <w:lvl w:ilvl="7">
      <w:start w:val="0"/>
      <w:numFmt w:val="bullet"/>
      <w:lvlText w:val="•"/>
      <w:lvlJc w:val="left"/>
      <w:pPr>
        <w:ind w:left="6498" w:hanging="946"/>
      </w:pPr>
      <w:rPr>
        <w:rFonts w:hint="default"/>
        <w:lang w:val="en-US" w:eastAsia="en-US" w:bidi="ar-SA"/>
      </w:rPr>
    </w:lvl>
    <w:lvl w:ilvl="8">
      <w:start w:val="0"/>
      <w:numFmt w:val="bullet"/>
      <w:lvlText w:val="•"/>
      <w:lvlJc w:val="left"/>
      <w:pPr>
        <w:ind w:left="7458" w:hanging="946"/>
      </w:pPr>
      <w:rPr>
        <w:rFonts w:hint="default"/>
        <w:lang w:val="en-US" w:eastAsia="en-US" w:bidi="ar-SA"/>
      </w:rPr>
    </w:lvl>
  </w:abstractNum>
  <w:abstractNum w:abstractNumId="37">
    <w:nsid w:val="6D600128"/>
    <w:multiLevelType w:val="hybridMultilevel"/>
    <w:tmpl w:val="00000000"/>
    <w:lvl w:ilvl="0">
      <w:start w:val="6"/>
      <w:numFmt w:val="decimal"/>
      <w:lvlText w:val="%1"/>
      <w:lvlJc w:val="left"/>
      <w:pPr>
        <w:ind w:left="1913" w:hanging="735"/>
        <w:jc w:val="left"/>
      </w:pPr>
      <w:rPr>
        <w:rFonts w:hint="default"/>
        <w:lang w:val="en-US" w:eastAsia="en-US" w:bidi="ar-SA"/>
      </w:rPr>
    </w:lvl>
    <w:lvl w:ilvl="1">
      <w:start w:val="2"/>
      <w:numFmt w:val="decimal"/>
      <w:lvlText w:val="%1.%2"/>
      <w:lvlJc w:val="left"/>
      <w:pPr>
        <w:ind w:left="1913" w:hanging="735"/>
        <w:jc w:val="left"/>
      </w:pPr>
      <w:rPr>
        <w:rFonts w:hint="default"/>
        <w:lang w:val="en-US" w:eastAsia="en-US" w:bidi="ar-SA"/>
      </w:rPr>
    </w:lvl>
    <w:lvl w:ilvl="2">
      <w:start w:val="1"/>
      <w:numFmt w:val="decimal"/>
      <w:lvlText w:val="%1.%2.%3"/>
      <w:lvlJc w:val="left"/>
      <w:pPr>
        <w:ind w:left="1913" w:hanging="735"/>
        <w:jc w:val="right"/>
      </w:pPr>
      <w:rPr>
        <w:rFonts w:ascii="黑体" w:eastAsia="黑体" w:hAnsi="黑体" w:cs="黑体" w:hint="default"/>
        <w:w w:val="100"/>
        <w:sz w:val="21"/>
        <w:szCs w:val="21"/>
        <w:lang w:val="en-US" w:eastAsia="en-US" w:bidi="ar-SA"/>
      </w:rPr>
    </w:lvl>
    <w:lvl w:ilvl="3">
      <w:start w:val="1"/>
      <w:numFmt w:val="lowerLetter"/>
      <w:lvlText w:val="%4)"/>
      <w:lvlJc w:val="left"/>
      <w:pPr>
        <w:ind w:left="2030" w:hanging="428"/>
        <w:jc w:val="right"/>
      </w:pPr>
      <w:rPr>
        <w:rFonts w:ascii="宋体" w:eastAsia="宋体" w:hAnsi="宋体" w:cs="宋体" w:hint="default"/>
        <w:w w:val="100"/>
        <w:sz w:val="21"/>
        <w:szCs w:val="21"/>
        <w:lang w:val="en-US" w:eastAsia="en-US" w:bidi="ar-SA"/>
      </w:rPr>
    </w:lvl>
    <w:lvl w:ilvl="4">
      <w:start w:val="0"/>
      <w:numFmt w:val="bullet"/>
      <w:lvlText w:val="•"/>
      <w:lvlJc w:val="left"/>
      <w:pPr>
        <w:ind w:left="4381" w:hanging="428"/>
      </w:pPr>
      <w:rPr>
        <w:rFonts w:hint="default"/>
        <w:lang w:val="en-US" w:eastAsia="en-US" w:bidi="ar-SA"/>
      </w:rPr>
    </w:lvl>
    <w:lvl w:ilvl="5">
      <w:start w:val="0"/>
      <w:numFmt w:val="bullet"/>
      <w:lvlText w:val="•"/>
      <w:lvlJc w:val="left"/>
      <w:pPr>
        <w:ind w:left="5552" w:hanging="428"/>
      </w:pPr>
      <w:rPr>
        <w:rFonts w:hint="default"/>
        <w:lang w:val="en-US" w:eastAsia="en-US" w:bidi="ar-SA"/>
      </w:rPr>
    </w:lvl>
    <w:lvl w:ilvl="6">
      <w:start w:val="0"/>
      <w:numFmt w:val="bullet"/>
      <w:lvlText w:val="•"/>
      <w:lvlJc w:val="left"/>
      <w:pPr>
        <w:ind w:left="6723" w:hanging="428"/>
      </w:pPr>
      <w:rPr>
        <w:rFonts w:hint="default"/>
        <w:lang w:val="en-US" w:eastAsia="en-US" w:bidi="ar-SA"/>
      </w:rPr>
    </w:lvl>
    <w:lvl w:ilvl="7">
      <w:start w:val="0"/>
      <w:numFmt w:val="bullet"/>
      <w:lvlText w:val="•"/>
      <w:lvlJc w:val="left"/>
      <w:pPr>
        <w:ind w:left="7894" w:hanging="428"/>
      </w:pPr>
      <w:rPr>
        <w:rFonts w:hint="default"/>
        <w:lang w:val="en-US" w:eastAsia="en-US" w:bidi="ar-SA"/>
      </w:rPr>
    </w:lvl>
    <w:lvl w:ilvl="8">
      <w:start w:val="0"/>
      <w:numFmt w:val="bullet"/>
      <w:lvlText w:val="•"/>
      <w:lvlJc w:val="left"/>
      <w:pPr>
        <w:ind w:left="9064" w:hanging="428"/>
      </w:pPr>
      <w:rPr>
        <w:rFonts w:hint="default"/>
        <w:lang w:val="en-US" w:eastAsia="en-US" w:bidi="ar-SA"/>
      </w:rPr>
    </w:lvl>
  </w:abstractNum>
  <w:abstractNum w:abstractNumId="38">
    <w:nsid w:val="79A4F395"/>
    <w:multiLevelType w:val="hybridMultilevel"/>
    <w:tmpl w:val="00000000"/>
    <w:lvl w:ilvl="0">
      <w:start w:val="1"/>
      <w:numFmt w:val="decimal"/>
      <w:lvlText w:val="%1"/>
      <w:lvlJc w:val="left"/>
      <w:pPr>
        <w:ind w:left="1495" w:hanging="317"/>
        <w:jc w:val="left"/>
      </w:pPr>
      <w:rPr>
        <w:rFonts w:ascii="宋体" w:eastAsia="宋体" w:hAnsi="宋体" w:cs="宋体" w:hint="default"/>
        <w:w w:val="100"/>
        <w:sz w:val="21"/>
        <w:szCs w:val="21"/>
        <w:lang w:val="en-US" w:eastAsia="en-US" w:bidi="ar-SA"/>
      </w:rPr>
    </w:lvl>
    <w:lvl w:ilvl="1">
      <w:start w:val="0"/>
      <w:numFmt w:val="bullet"/>
      <w:lvlText w:val="•"/>
      <w:lvlJc w:val="left"/>
      <w:pPr>
        <w:ind w:left="2490" w:hanging="317"/>
      </w:pPr>
      <w:rPr>
        <w:rFonts w:hint="default"/>
        <w:lang w:val="en-US" w:eastAsia="en-US" w:bidi="ar-SA"/>
      </w:rPr>
    </w:lvl>
    <w:lvl w:ilvl="2">
      <w:start w:val="0"/>
      <w:numFmt w:val="bullet"/>
      <w:lvlText w:val="•"/>
      <w:lvlJc w:val="left"/>
      <w:pPr>
        <w:ind w:left="3481" w:hanging="317"/>
      </w:pPr>
      <w:rPr>
        <w:rFonts w:hint="default"/>
        <w:lang w:val="en-US" w:eastAsia="en-US" w:bidi="ar-SA"/>
      </w:rPr>
    </w:lvl>
    <w:lvl w:ilvl="3">
      <w:start w:val="0"/>
      <w:numFmt w:val="bullet"/>
      <w:lvlText w:val="•"/>
      <w:lvlJc w:val="left"/>
      <w:pPr>
        <w:ind w:left="4471" w:hanging="317"/>
      </w:pPr>
      <w:rPr>
        <w:rFonts w:hint="default"/>
        <w:lang w:val="en-US" w:eastAsia="en-US" w:bidi="ar-SA"/>
      </w:rPr>
    </w:lvl>
    <w:lvl w:ilvl="4">
      <w:start w:val="0"/>
      <w:numFmt w:val="bullet"/>
      <w:lvlText w:val="•"/>
      <w:lvlJc w:val="left"/>
      <w:pPr>
        <w:ind w:left="5462" w:hanging="317"/>
      </w:pPr>
      <w:rPr>
        <w:rFonts w:hint="default"/>
        <w:lang w:val="en-US" w:eastAsia="en-US" w:bidi="ar-SA"/>
      </w:rPr>
    </w:lvl>
    <w:lvl w:ilvl="5">
      <w:start w:val="0"/>
      <w:numFmt w:val="bullet"/>
      <w:lvlText w:val="•"/>
      <w:lvlJc w:val="left"/>
      <w:pPr>
        <w:ind w:left="6453" w:hanging="317"/>
      </w:pPr>
      <w:rPr>
        <w:rFonts w:hint="default"/>
        <w:lang w:val="en-US" w:eastAsia="en-US" w:bidi="ar-SA"/>
      </w:rPr>
    </w:lvl>
    <w:lvl w:ilvl="6">
      <w:start w:val="0"/>
      <w:numFmt w:val="bullet"/>
      <w:lvlText w:val="•"/>
      <w:lvlJc w:val="left"/>
      <w:pPr>
        <w:ind w:left="7443" w:hanging="317"/>
      </w:pPr>
      <w:rPr>
        <w:rFonts w:hint="default"/>
        <w:lang w:val="en-US" w:eastAsia="en-US" w:bidi="ar-SA"/>
      </w:rPr>
    </w:lvl>
    <w:lvl w:ilvl="7">
      <w:start w:val="0"/>
      <w:numFmt w:val="bullet"/>
      <w:lvlText w:val="•"/>
      <w:lvlJc w:val="left"/>
      <w:pPr>
        <w:ind w:left="8434" w:hanging="317"/>
      </w:pPr>
      <w:rPr>
        <w:rFonts w:hint="default"/>
        <w:lang w:val="en-US" w:eastAsia="en-US" w:bidi="ar-SA"/>
      </w:rPr>
    </w:lvl>
    <w:lvl w:ilvl="8">
      <w:start w:val="0"/>
      <w:numFmt w:val="bullet"/>
      <w:lvlText w:val="•"/>
      <w:lvlJc w:val="left"/>
      <w:pPr>
        <w:ind w:left="9425" w:hanging="317"/>
      </w:pPr>
      <w:rPr>
        <w:rFonts w:hint="default"/>
        <w:lang w:val="en-US" w:eastAsia="en-US" w:bidi="ar-SA"/>
      </w:rPr>
    </w:lvl>
  </w:abstractNum>
  <w:abstractNum w:abstractNumId="39">
    <w:nsid w:val="7B123A5B"/>
    <w:multiLevelType w:val="hybridMultilevel"/>
    <w:tmpl w:val="00000000"/>
    <w:lvl w:ilvl="0">
      <w:start w:val="10"/>
      <w:numFmt w:val="decimal"/>
      <w:lvlText w:val="%1"/>
      <w:lvlJc w:val="left"/>
      <w:pPr>
        <w:ind w:left="893" w:hanging="841"/>
        <w:jc w:val="left"/>
      </w:pPr>
      <w:rPr>
        <w:rFonts w:hint="default"/>
        <w:lang w:val="en-US" w:eastAsia="en-US" w:bidi="ar-SA"/>
      </w:rPr>
    </w:lvl>
    <w:lvl w:ilvl="1">
      <w:start w:val="1"/>
      <w:numFmt w:val="decimal"/>
      <w:lvlText w:val="%1.%2"/>
      <w:lvlJc w:val="left"/>
      <w:pPr>
        <w:ind w:left="893" w:hanging="841"/>
        <w:jc w:val="left"/>
      </w:pPr>
      <w:rPr>
        <w:rFonts w:hint="default"/>
        <w:lang w:val="en-US" w:eastAsia="en-US" w:bidi="ar-SA"/>
      </w:rPr>
    </w:lvl>
    <w:lvl w:ilvl="2">
      <w:start w:val="1"/>
      <w:numFmt w:val="decimal"/>
      <w:lvlText w:val="%1.%2.%3"/>
      <w:lvlJc w:val="left"/>
      <w:pPr>
        <w:ind w:left="893" w:hanging="841"/>
        <w:jc w:val="left"/>
      </w:pPr>
      <w:rPr>
        <w:rFonts w:ascii="黑体" w:eastAsia="黑体" w:hAnsi="黑体" w:cs="黑体" w:hint="default"/>
        <w:w w:val="100"/>
        <w:sz w:val="21"/>
        <w:szCs w:val="21"/>
        <w:lang w:val="en-US" w:eastAsia="en-US" w:bidi="ar-SA"/>
      </w:rPr>
    </w:lvl>
    <w:lvl w:ilvl="3">
      <w:start w:val="0"/>
      <w:numFmt w:val="bullet"/>
      <w:lvlText w:val="•"/>
      <w:lvlJc w:val="left"/>
      <w:pPr>
        <w:ind w:left="4051" w:hanging="841"/>
      </w:pPr>
      <w:rPr>
        <w:rFonts w:hint="default"/>
        <w:lang w:val="en-US" w:eastAsia="en-US" w:bidi="ar-SA"/>
      </w:rPr>
    </w:lvl>
    <w:lvl w:ilvl="4">
      <w:start w:val="0"/>
      <w:numFmt w:val="bullet"/>
      <w:lvlText w:val="•"/>
      <w:lvlJc w:val="left"/>
      <w:pPr>
        <w:ind w:left="5102" w:hanging="841"/>
      </w:pPr>
      <w:rPr>
        <w:rFonts w:hint="default"/>
        <w:lang w:val="en-US" w:eastAsia="en-US" w:bidi="ar-SA"/>
      </w:rPr>
    </w:lvl>
    <w:lvl w:ilvl="5">
      <w:start w:val="0"/>
      <w:numFmt w:val="bullet"/>
      <w:lvlText w:val="•"/>
      <w:lvlJc w:val="left"/>
      <w:pPr>
        <w:ind w:left="6153" w:hanging="841"/>
      </w:pPr>
      <w:rPr>
        <w:rFonts w:hint="default"/>
        <w:lang w:val="en-US" w:eastAsia="en-US" w:bidi="ar-SA"/>
      </w:rPr>
    </w:lvl>
    <w:lvl w:ilvl="6">
      <w:start w:val="0"/>
      <w:numFmt w:val="bullet"/>
      <w:lvlText w:val="•"/>
      <w:lvlJc w:val="left"/>
      <w:pPr>
        <w:ind w:left="7203" w:hanging="841"/>
      </w:pPr>
      <w:rPr>
        <w:rFonts w:hint="default"/>
        <w:lang w:val="en-US" w:eastAsia="en-US" w:bidi="ar-SA"/>
      </w:rPr>
    </w:lvl>
    <w:lvl w:ilvl="7">
      <w:start w:val="0"/>
      <w:numFmt w:val="bullet"/>
      <w:lvlText w:val="•"/>
      <w:lvlJc w:val="left"/>
      <w:pPr>
        <w:ind w:left="8254" w:hanging="841"/>
      </w:pPr>
      <w:rPr>
        <w:rFonts w:hint="default"/>
        <w:lang w:val="en-US" w:eastAsia="en-US" w:bidi="ar-SA"/>
      </w:rPr>
    </w:lvl>
    <w:lvl w:ilvl="8">
      <w:start w:val="0"/>
      <w:numFmt w:val="bullet"/>
      <w:lvlText w:val="•"/>
      <w:lvlJc w:val="left"/>
      <w:pPr>
        <w:ind w:left="9305" w:hanging="841"/>
      </w:pPr>
      <w:rPr>
        <w:rFonts w:hint="default"/>
        <w:lang w:val="en-US" w:eastAsia="en-US" w:bidi="ar-SA"/>
      </w:rPr>
    </w:lvl>
  </w:abstractNum>
  <w:abstractNum w:abstractNumId="40">
    <w:nsid w:val="7D62D7AE"/>
    <w:multiLevelType w:val="hybridMultilevel"/>
    <w:tmpl w:val="00000000"/>
    <w:lvl w:ilvl="0">
      <w:start w:val="8"/>
      <w:numFmt w:val="decimal"/>
      <w:lvlText w:val="%1"/>
      <w:lvlJc w:val="left"/>
      <w:pPr>
        <w:ind w:left="1912" w:hanging="735"/>
        <w:jc w:val="left"/>
      </w:pPr>
      <w:rPr>
        <w:rFonts w:hint="default"/>
        <w:lang w:val="en-US" w:eastAsia="en-US" w:bidi="ar-SA"/>
      </w:rPr>
    </w:lvl>
    <w:lvl w:ilvl="1">
      <w:start w:val="1"/>
      <w:numFmt w:val="decimal"/>
      <w:lvlText w:val="%1.%2"/>
      <w:lvlJc w:val="left"/>
      <w:pPr>
        <w:ind w:left="1912" w:hanging="735"/>
        <w:jc w:val="left"/>
      </w:pPr>
      <w:rPr>
        <w:rFonts w:hint="default"/>
        <w:lang w:val="en-US" w:eastAsia="en-US" w:bidi="ar-SA"/>
      </w:rPr>
    </w:lvl>
    <w:lvl w:ilvl="2">
      <w:start w:val="1"/>
      <w:numFmt w:val="decimal"/>
      <w:lvlText w:val="%1.%2.%3"/>
      <w:lvlJc w:val="left"/>
      <w:pPr>
        <w:ind w:left="1912" w:hanging="735"/>
        <w:jc w:val="left"/>
      </w:pPr>
      <w:rPr>
        <w:rFonts w:ascii="黑体" w:eastAsia="黑体" w:hAnsi="黑体" w:cs="黑体" w:hint="default"/>
        <w:w w:val="100"/>
        <w:sz w:val="21"/>
        <w:szCs w:val="21"/>
        <w:lang w:val="en-US" w:eastAsia="en-US" w:bidi="ar-SA"/>
      </w:rPr>
    </w:lvl>
    <w:lvl w:ilvl="3">
      <w:start w:val="1"/>
      <w:numFmt w:val="lowerLetter"/>
      <w:lvlText w:val="%4)"/>
      <w:lvlJc w:val="left"/>
      <w:pPr>
        <w:ind w:left="2030" w:hanging="428"/>
        <w:jc w:val="left"/>
      </w:pPr>
      <w:rPr>
        <w:rFonts w:ascii="宋体" w:eastAsia="宋体" w:hAnsi="宋体" w:cs="宋体" w:hint="default"/>
        <w:w w:val="100"/>
        <w:sz w:val="21"/>
        <w:szCs w:val="21"/>
        <w:lang w:val="en-US" w:eastAsia="en-US" w:bidi="ar-SA"/>
      </w:rPr>
    </w:lvl>
    <w:lvl w:ilvl="4">
      <w:start w:val="0"/>
      <w:numFmt w:val="bullet"/>
      <w:lvlText w:val="•"/>
      <w:lvlJc w:val="left"/>
      <w:pPr>
        <w:ind w:left="5162" w:hanging="428"/>
      </w:pPr>
      <w:rPr>
        <w:rFonts w:hint="default"/>
        <w:lang w:val="en-US" w:eastAsia="en-US" w:bidi="ar-SA"/>
      </w:rPr>
    </w:lvl>
    <w:lvl w:ilvl="5">
      <w:start w:val="0"/>
      <w:numFmt w:val="bullet"/>
      <w:lvlText w:val="•"/>
      <w:lvlJc w:val="left"/>
      <w:pPr>
        <w:ind w:left="6202" w:hanging="428"/>
      </w:pPr>
      <w:rPr>
        <w:rFonts w:hint="default"/>
        <w:lang w:val="en-US" w:eastAsia="en-US" w:bidi="ar-SA"/>
      </w:rPr>
    </w:lvl>
    <w:lvl w:ilvl="6">
      <w:start w:val="0"/>
      <w:numFmt w:val="bullet"/>
      <w:lvlText w:val="•"/>
      <w:lvlJc w:val="left"/>
      <w:pPr>
        <w:ind w:left="7243" w:hanging="428"/>
      </w:pPr>
      <w:rPr>
        <w:rFonts w:hint="default"/>
        <w:lang w:val="en-US" w:eastAsia="en-US" w:bidi="ar-SA"/>
      </w:rPr>
    </w:lvl>
    <w:lvl w:ilvl="7">
      <w:start w:val="0"/>
      <w:numFmt w:val="bullet"/>
      <w:lvlText w:val="•"/>
      <w:lvlJc w:val="left"/>
      <w:pPr>
        <w:ind w:left="8284" w:hanging="428"/>
      </w:pPr>
      <w:rPr>
        <w:rFonts w:hint="default"/>
        <w:lang w:val="en-US" w:eastAsia="en-US" w:bidi="ar-SA"/>
      </w:rPr>
    </w:lvl>
    <w:lvl w:ilvl="8">
      <w:start w:val="0"/>
      <w:numFmt w:val="bullet"/>
      <w:lvlText w:val="•"/>
      <w:lvlJc w:val="left"/>
      <w:pPr>
        <w:ind w:left="9324" w:hanging="428"/>
      </w:pPr>
      <w:rPr>
        <w:rFonts w:hint="default"/>
        <w:lang w:val="en-US" w:eastAsia="en-US" w:bidi="ar-SA"/>
      </w:rPr>
    </w:lvl>
  </w:abstractNum>
  <w:abstractNum w:abstractNumId="41">
    <w:nsid w:val="7EDC6A39"/>
    <w:multiLevelType w:val="hybridMultilevel"/>
    <w:tmpl w:val="00000000"/>
    <w:lvl w:ilvl="0">
      <w:start w:val="1"/>
      <w:numFmt w:val="upperLetter"/>
      <w:lvlText w:val="%1"/>
      <w:lvlJc w:val="left"/>
      <w:pPr>
        <w:ind w:left="1913" w:hanging="735"/>
        <w:jc w:val="left"/>
      </w:pPr>
      <w:rPr>
        <w:rFonts w:hint="default"/>
        <w:lang w:val="en-US" w:eastAsia="en-US" w:bidi="ar-SA"/>
      </w:rPr>
    </w:lvl>
    <w:lvl w:ilvl="1">
      <w:start w:val="4"/>
      <w:numFmt w:val="decimal"/>
      <w:lvlText w:val="%1.%2"/>
      <w:lvlJc w:val="left"/>
      <w:pPr>
        <w:ind w:left="1913" w:hanging="735"/>
        <w:jc w:val="right"/>
      </w:pPr>
      <w:rPr>
        <w:rFonts w:hint="default"/>
        <w:lang w:val="en-US" w:eastAsia="en-US" w:bidi="ar-SA"/>
      </w:rPr>
    </w:lvl>
    <w:lvl w:ilvl="2">
      <w:start w:val="5"/>
      <w:numFmt w:val="decimal"/>
      <w:lvlText w:val="%1.%2.%3"/>
      <w:lvlJc w:val="left"/>
      <w:pPr>
        <w:ind w:left="1913" w:hanging="735"/>
        <w:jc w:val="left"/>
      </w:pPr>
      <w:rPr>
        <w:rFonts w:ascii="黑体" w:eastAsia="黑体" w:hAnsi="黑体" w:cs="黑体" w:hint="default"/>
        <w:w w:val="100"/>
        <w:sz w:val="21"/>
        <w:szCs w:val="21"/>
        <w:lang w:val="en-US" w:eastAsia="en-US" w:bidi="ar-SA"/>
      </w:rPr>
    </w:lvl>
    <w:lvl w:ilvl="3">
      <w:start w:val="1"/>
      <w:numFmt w:val="decimal"/>
      <w:lvlText w:val="%1.%2.%3.%4"/>
      <w:lvlJc w:val="left"/>
      <w:pPr>
        <w:ind w:left="1598" w:hanging="946"/>
        <w:jc w:val="left"/>
      </w:pPr>
      <w:rPr>
        <w:rFonts w:ascii="黑体" w:eastAsia="黑体" w:hAnsi="黑体" w:cs="黑体" w:hint="default"/>
        <w:spacing w:val="-3"/>
        <w:w w:val="100"/>
        <w:sz w:val="21"/>
        <w:szCs w:val="21"/>
        <w:lang w:val="en-US" w:eastAsia="en-US" w:bidi="ar-SA"/>
      </w:rPr>
    </w:lvl>
    <w:lvl w:ilvl="4">
      <w:start w:val="1"/>
      <w:numFmt w:val="decimal"/>
      <w:lvlText w:val="%5)"/>
      <w:lvlJc w:val="left"/>
      <w:pPr>
        <w:ind w:left="2455" w:hanging="425"/>
        <w:jc w:val="left"/>
      </w:pPr>
      <w:rPr>
        <w:rFonts w:ascii="宋体" w:eastAsia="宋体" w:hAnsi="宋体" w:cs="宋体" w:hint="default"/>
        <w:w w:val="100"/>
        <w:sz w:val="21"/>
        <w:szCs w:val="21"/>
        <w:lang w:val="en-US" w:eastAsia="en-US" w:bidi="ar-SA"/>
      </w:rPr>
    </w:lvl>
    <w:lvl w:ilvl="5">
      <w:start w:val="0"/>
      <w:numFmt w:val="bullet"/>
      <w:lvlText w:val="•"/>
      <w:lvlJc w:val="left"/>
      <w:pPr>
        <w:ind w:left="5814" w:hanging="425"/>
      </w:pPr>
      <w:rPr>
        <w:rFonts w:hint="default"/>
        <w:lang w:val="en-US" w:eastAsia="en-US" w:bidi="ar-SA"/>
      </w:rPr>
    </w:lvl>
    <w:lvl w:ilvl="6">
      <w:start w:val="0"/>
      <w:numFmt w:val="bullet"/>
      <w:lvlText w:val="•"/>
      <w:lvlJc w:val="left"/>
      <w:pPr>
        <w:ind w:left="6933" w:hanging="425"/>
      </w:pPr>
      <w:rPr>
        <w:rFonts w:hint="default"/>
        <w:lang w:val="en-US" w:eastAsia="en-US" w:bidi="ar-SA"/>
      </w:rPr>
    </w:lvl>
    <w:lvl w:ilvl="7">
      <w:start w:val="0"/>
      <w:numFmt w:val="bullet"/>
      <w:lvlText w:val="•"/>
      <w:lvlJc w:val="left"/>
      <w:pPr>
        <w:ind w:left="8051" w:hanging="425"/>
      </w:pPr>
      <w:rPr>
        <w:rFonts w:hint="default"/>
        <w:lang w:val="en-US" w:eastAsia="en-US" w:bidi="ar-SA"/>
      </w:rPr>
    </w:lvl>
    <w:lvl w:ilvl="8">
      <w:start w:val="0"/>
      <w:numFmt w:val="bullet"/>
      <w:lvlText w:val="•"/>
      <w:lvlJc w:val="left"/>
      <w:pPr>
        <w:ind w:left="9169" w:hanging="425"/>
      </w:pPr>
      <w:rPr>
        <w:rFonts w:hint="default"/>
        <w:lang w:val="en-US" w:eastAsia="en-US" w:bidi="ar-SA"/>
      </w:rPr>
    </w:lvl>
  </w:abstractNum>
  <w:num w:numId="1">
    <w:abstractNumId w:val="31"/>
  </w:num>
  <w:num w:numId="2">
    <w:abstractNumId w:val="26"/>
  </w:num>
  <w:num w:numId="3">
    <w:abstractNumId w:val="5"/>
  </w:num>
  <w:num w:numId="4">
    <w:abstractNumId w:val="30"/>
  </w:num>
  <w:num w:numId="5">
    <w:abstractNumId w:val="27"/>
  </w:num>
  <w:num w:numId="6">
    <w:abstractNumId w:val="22"/>
  </w:num>
  <w:num w:numId="7">
    <w:abstractNumId w:val="21"/>
  </w:num>
  <w:num w:numId="8">
    <w:abstractNumId w:val="11"/>
  </w:num>
  <w:num w:numId="9">
    <w:abstractNumId w:val="23"/>
  </w:num>
  <w:num w:numId="10">
    <w:abstractNumId w:val="29"/>
  </w:num>
  <w:num w:numId="11">
    <w:abstractNumId w:val="16"/>
  </w:num>
  <w:num w:numId="12">
    <w:abstractNumId w:val="28"/>
  </w:num>
  <w:num w:numId="13">
    <w:abstractNumId w:val="41"/>
  </w:num>
  <w:num w:numId="14">
    <w:abstractNumId w:val="32"/>
  </w:num>
  <w:num w:numId="15">
    <w:abstractNumId w:val="3"/>
  </w:num>
  <w:num w:numId="16">
    <w:abstractNumId w:val="2"/>
  </w:num>
  <w:num w:numId="17">
    <w:abstractNumId w:val="6"/>
  </w:num>
  <w:num w:numId="18">
    <w:abstractNumId w:val="18"/>
  </w:num>
  <w:num w:numId="19">
    <w:abstractNumId w:val="36"/>
  </w:num>
  <w:num w:numId="20">
    <w:abstractNumId w:val="7"/>
  </w:num>
  <w:num w:numId="21">
    <w:abstractNumId w:val="0"/>
  </w:num>
  <w:num w:numId="22">
    <w:abstractNumId w:val="9"/>
  </w:num>
  <w:num w:numId="23">
    <w:abstractNumId w:val="4"/>
  </w:num>
  <w:num w:numId="24">
    <w:abstractNumId w:val="20"/>
  </w:num>
  <w:num w:numId="25">
    <w:abstractNumId w:val="24"/>
  </w:num>
  <w:num w:numId="26">
    <w:abstractNumId w:val="12"/>
  </w:num>
  <w:num w:numId="27">
    <w:abstractNumId w:val="39"/>
  </w:num>
  <w:num w:numId="28">
    <w:abstractNumId w:val="8"/>
  </w:num>
  <w:num w:numId="29">
    <w:abstractNumId w:val="25"/>
  </w:num>
  <w:num w:numId="30">
    <w:abstractNumId w:val="14"/>
  </w:num>
  <w:num w:numId="31">
    <w:abstractNumId w:val="40"/>
  </w:num>
  <w:num w:numId="32">
    <w:abstractNumId w:val="34"/>
  </w:num>
  <w:num w:numId="33">
    <w:abstractNumId w:val="15"/>
  </w:num>
  <w:num w:numId="34">
    <w:abstractNumId w:val="19"/>
  </w:num>
  <w:num w:numId="35">
    <w:abstractNumId w:val="10"/>
  </w:num>
  <w:num w:numId="36">
    <w:abstractNumId w:val="37"/>
  </w:num>
  <w:num w:numId="37">
    <w:abstractNumId w:val="35"/>
  </w:num>
  <w:num w:numId="38">
    <w:abstractNumId w:val="1"/>
  </w:num>
  <w:num w:numId="39">
    <w:abstractNumId w:val="13"/>
  </w:num>
  <w:num w:numId="40">
    <w:abstractNumId w:val="17"/>
  </w:num>
  <w:num w:numId="41">
    <w:abstractNumId w:val="33"/>
  </w:num>
  <w:num w:numId="42">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en-US" w:eastAsia="en-US" w:bidi="ar-SA"/>
    </w:rPr>
  </w:style>
  <w:style w:type="paragraph" w:styleId="Heading1">
    <w:name w:val="heading 1"/>
    <w:basedOn w:val="Normal"/>
    <w:uiPriority w:val="1"/>
    <w:qFormat/>
    <w:pPr>
      <w:spacing w:before="54"/>
      <w:ind w:left="151"/>
      <w:jc w:val="center"/>
      <w:outlineLvl w:val="0"/>
    </w:pPr>
    <w:rPr>
      <w:rFonts w:ascii="黑体" w:eastAsia="黑体" w:hAnsi="黑体" w:cs="黑体"/>
      <w:sz w:val="32"/>
      <w:szCs w:val="32"/>
      <w:lang w:val="en-US" w:eastAsia="en-US"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21"/>
      <w:szCs w:val="21"/>
      <w:lang w:val="en-US" w:eastAsia="en-US" w:bidi="ar-SA"/>
    </w:rPr>
  </w:style>
  <w:style w:type="paragraph" w:styleId="Title">
    <w:name w:val="Title"/>
    <w:basedOn w:val="Normal"/>
    <w:uiPriority w:val="1"/>
    <w:qFormat/>
    <w:pPr>
      <w:spacing w:before="59"/>
      <w:ind w:right="1363"/>
      <w:jc w:val="right"/>
    </w:pPr>
    <w:rPr>
      <w:rFonts w:ascii="Times New Roman" w:eastAsia="Times New Roman" w:hAnsi="Times New Roman" w:cs="Times New Roman"/>
      <w:b/>
      <w:bCs/>
      <w:sz w:val="96"/>
      <w:szCs w:val="96"/>
      <w:lang w:val="en-US" w:eastAsia="en-US" w:bidi="ar-SA"/>
    </w:rPr>
  </w:style>
  <w:style w:type="paragraph" w:styleId="ListParagraph">
    <w:name w:val="List Paragraph"/>
    <w:basedOn w:val="Normal"/>
    <w:uiPriority w:val="1"/>
    <w:qFormat/>
    <w:pPr>
      <w:spacing w:before="43"/>
      <w:ind w:left="2030" w:hanging="428"/>
    </w:pPr>
    <w:rPr>
      <w:rFonts w:ascii="宋体" w:eastAsia="宋体" w:hAnsi="宋体" w:cs="宋体"/>
      <w:lang w:val="en-US" w:eastAsia="en-US" w:bidi="ar-SA"/>
    </w:rPr>
  </w:style>
  <w:style w:type="paragraph" w:customStyle="1" w:styleId="TableParagraph">
    <w:name w:val="Table Paragraph"/>
    <w:basedOn w:val="Normal"/>
    <w:uiPriority w:val="1"/>
    <w:qFormat/>
    <w:rPr>
      <w:rFonts w:ascii="宋体" w:eastAsia="宋体" w:hAnsi="宋体" w:cs="宋体"/>
      <w:lang w:val="en-US"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image" Target="media/image23.png" /><Relationship Id="rId27" Type="http://schemas.openxmlformats.org/officeDocument/2006/relationships/image" Target="media/image24.png" /><Relationship Id="rId28" Type="http://schemas.openxmlformats.org/officeDocument/2006/relationships/image" Target="media/image25.png" /><Relationship Id="rId29" Type="http://schemas.openxmlformats.org/officeDocument/2006/relationships/image" Target="media/image26.png" /><Relationship Id="rId3" Type="http://schemas.openxmlformats.org/officeDocument/2006/relationships/fontTable" Target="fontTable.xml" /><Relationship Id="rId30" Type="http://schemas.openxmlformats.org/officeDocument/2006/relationships/image" Target="media/image27.png" /><Relationship Id="rId31" Type="http://schemas.openxmlformats.org/officeDocument/2006/relationships/image" Target="media/image28.png" /><Relationship Id="rId32" Type="http://schemas.openxmlformats.org/officeDocument/2006/relationships/image" Target="media/image29.png" /><Relationship Id="rId33" Type="http://schemas.openxmlformats.org/officeDocument/2006/relationships/image" Target="media/image30.png" /><Relationship Id="rId34" Type="http://schemas.openxmlformats.org/officeDocument/2006/relationships/image" Target="media/image31.png" /><Relationship Id="rId35" Type="http://schemas.openxmlformats.org/officeDocument/2006/relationships/image" Target="media/image32.png" /><Relationship Id="rId36" Type="http://schemas.openxmlformats.org/officeDocument/2006/relationships/image" Target="media/image33.png" /><Relationship Id="rId37" Type="http://schemas.openxmlformats.org/officeDocument/2006/relationships/image" Target="media/image34.png" /><Relationship Id="rId38" Type="http://schemas.openxmlformats.org/officeDocument/2006/relationships/image" Target="media/image35.png" /><Relationship Id="rId39" Type="http://schemas.openxmlformats.org/officeDocument/2006/relationships/image" Target="media/image36.png" /><Relationship Id="rId4" Type="http://schemas.openxmlformats.org/officeDocument/2006/relationships/image" Target="media/image1.png" /><Relationship Id="rId40" Type="http://schemas.openxmlformats.org/officeDocument/2006/relationships/image" Target="media/image37.png" /><Relationship Id="rId41" Type="http://schemas.openxmlformats.org/officeDocument/2006/relationships/image" Target="media/image38.png" /><Relationship Id="rId42" Type="http://schemas.openxmlformats.org/officeDocument/2006/relationships/image" Target="media/image39.png" /><Relationship Id="rId43" Type="http://schemas.openxmlformats.org/officeDocument/2006/relationships/image" Target="media/image40.png" /><Relationship Id="rId44" Type="http://schemas.openxmlformats.org/officeDocument/2006/relationships/image" Target="media/image41.png" /><Relationship Id="rId45" Type="http://schemas.openxmlformats.org/officeDocument/2006/relationships/hyperlink" Target="https://d.book118.com/347042150106006035" TargetMode="External" /><Relationship Id="rId46" Type="http://schemas.openxmlformats.org/officeDocument/2006/relationships/theme" Target="theme/theme1.xml" /><Relationship Id="rId47" Type="http://schemas.openxmlformats.org/officeDocument/2006/relationships/numbering" Target="numbering.xml" /><Relationship Id="rId48" Type="http://schemas.openxmlformats.org/officeDocument/2006/relationships/styles" Target="styles.xml"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creator>Administrator</dc:creator>
  <cp:revision>0</cp:revision>
  <dcterms:created xsi:type="dcterms:W3CDTF">2024-01-30T07:44:25Z</dcterms:created>
  <dcterms:modified xsi:type="dcterms:W3CDTF">2024-01-30T07:44:25Z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2024-01-23T00:00:00Z</vt:filetime>
  </property>
  <property fmtid="{D5CDD505-2E9C-101B-9397-08002B2CF9AE}" pid="3" name="Creator">
    <vt:lpwstr>Acrobat PDFMaker 20 Word 版</vt:lpwstr>
  </property>
  <property fmtid="{D5CDD505-2E9C-101B-9397-08002B2CF9AE}" pid="4" name="LastSaved">
    <vt:filetime>2024-01-30T00:00:00Z</vt:filetime>
  </property>
</Properties>
</file>