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烘干机项目创业投资方案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一、烘干机项目投资主体概况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二、风险应对评估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三、运营模式分析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_Toc26445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四、烘干机行业行业产业链分析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五、建设规划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六、建筑技术方案说明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(一)、烘干机项目工程设计总体要求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七、烘干机项目建设内容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_Toc545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八、烘干机定价策略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九、烘干机项目环境影响评估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(一)、烘干机项目环境影响评估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十、项目投资情况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十一、风险因素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十二、市场营销方案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十三、烘干机整合营销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eastAsia="zh-CN"/>
          </w:rPr>
          <w:t>十四、第十四章员工健康与安全管理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7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eastAsia="zh-CN"/>
          </w:rPr>
          <w:t>十五、第四十七章全球人才流动与交流</w:t>
        </w:r>
        <w:r>
          <w:tab/>
        </w:r>
        <w:r>
          <w:fldChar w:fldCharType="begin"/>
        </w:r>
        <w:r>
          <w:instrText xml:space="preserve"> PAGEREF _Toc5459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十六、外部合作与产业联盟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十七、竞争优势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eastAsia="zh-CN"/>
          </w:rPr>
          <w:t>十八、烘干机项目管理计划</w:t>
        </w:r>
        <w:r>
          <w:tab/>
        </w:r>
        <w:r>
          <w:fldChar w:fldCharType="begin"/>
        </w:r>
        <w:r>
          <w:instrText xml:space="preserve"> PAGEREF _Toc1849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2" w:history="1">
        <w:r>
          <w:rPr>
            <w:rFonts w:ascii="仿宋" w:eastAsia="仿宋" w:hAnsi="仿宋" w:cs="仿宋" w:hint="eastAsia"/>
            <w:lang w:eastAsia="zh-CN"/>
          </w:rPr>
          <w:t>(一)、烘干机项目管理概述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(二)、烘干机项目组织结构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(三)、烘干机项目计划与进度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(四)、烘干机项目质量管理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(五)、烘干机项目风险管理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(六)、烘干机项目成本管理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(七)、烘干机项目人力资源管理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(八)、烘干机项目沟通与合作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十九、投资方案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(五)、烘干机项目总投资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二十、项目危机管理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66"/>
      <w:r>
        <w:rPr>
          <w:rFonts w:ascii="仿宋" w:eastAsia="仿宋" w:hAnsi="仿宋" w:cs="仿宋" w:hint="eastAsia"/>
          <w:sz w:val="28"/>
          <w:lang w:eastAsia="zh-CN"/>
        </w:rPr>
        <w:t>一、烘干机项目投资主体概况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58"/>
      <w:r>
        <w:rPr>
          <w:rFonts w:ascii="仿宋" w:eastAsia="仿宋" w:hAnsi="仿宋" w:cs="仿宋" w:hint="eastAsia"/>
          <w:lang w:eastAsia="zh-CN"/>
        </w:rPr>
        <w:t>(一)、公司概要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公司名为烘干机有限公司。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雇佣法官烘干机负责代表公司。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公司损失了8XXX亿人民币。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统一社会信用代码为烘干机。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公司注册在烘干机的市场监督管理机构。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公司的成立日期是在20XXX年烘干机月烘干机日。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公司的经营期限是没有特定的期限。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公司的注册位置是位于烘干机市，中心区，烘干机街道烘干机号。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https://d.book118.com/347045121033006045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9C405F"/>
    <w:rsid w:val="4593521B"/>
    <w:rsid w:val="529C405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7045121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2024-02-23T16:41:00Z</dcterms:created>
  <dcterms:modified xsi:type="dcterms:W3CDTF">2024-02-23T16:41:57Z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0888108CF42F4F47BCE20921AFB820DE_11</vt:lpwstr>
  </property>
  <property fmtid="{D5CDD505-2E9C-101B-9397-08002B2CF9AE}" pid="3" name="KSOProductBuildVer">
    <vt:lpwstr>2052-12.1.0.16250</vt:lpwstr>
  </property>
</Properties>
</file>