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0"/>
        <w:ind w:left="1176"/>
        <w:rPr>
          <w:rFonts w:ascii="黑体"/>
        </w:rPr>
      </w:pPr>
      <w:r>
        <w:rPr>
          <w:rFonts w:ascii="黑体"/>
        </w:rPr>
        <w:t>ICS 91.040.01</w:t>
      </w:r>
    </w:p>
    <w:p>
      <w:pPr>
        <w:pStyle w:val="BodyText"/>
        <w:spacing w:before="43"/>
        <w:ind w:left="1197"/>
        <w:rPr>
          <w:rFonts w:ascii="黑体"/>
        </w:rPr>
      </w:pPr>
      <w:r>
        <w:rPr>
          <w:rFonts w:ascii="黑体"/>
        </w:rPr>
        <w:t>P 36</w:t>
      </w:r>
    </w:p>
    <w:p>
      <w:pPr>
        <w:pStyle w:val="Title"/>
      </w:pPr>
      <w:r>
        <w:rPr>
          <w:b w:val="0"/>
        </w:rPr>
        <w:br w:type="column"/>
      </w:r>
      <w:r>
        <w:rPr>
          <w:w w:val="130"/>
        </w:rPr>
        <w:t>DB4201</w:t>
      </w:r>
    </w:p>
    <w:p>
      <w:pPr>
        <w:spacing w:after="0"/>
        <w:sectPr>
          <w:type w:val="continuous"/>
          <w:pgSz w:w="11910" w:h="16840"/>
          <w:pgMar w:top="520" w:right="260" w:bottom="280" w:left="240" w:header="708" w:footer="708"/>
          <w:cols w:num="2" w:space="708" w:equalWidth="0">
            <w:col w:w="2585" w:space="2335"/>
            <w:col w:w="6490" w:space="0"/>
          </w:cols>
        </w:sectPr>
      </w:pPr>
    </w:p>
    <w:p>
      <w:pPr>
        <w:pStyle w:val="BodyText"/>
        <w:spacing w:before="6"/>
        <w:rPr>
          <w:rFonts w:ascii="Times New Roman"/>
          <w:b/>
          <w:sz w:val="18"/>
        </w:rPr>
      </w:pPr>
    </w:p>
    <w:p>
      <w:pPr>
        <w:tabs>
          <w:tab w:val="left" w:pos="1879"/>
          <w:tab w:val="left" w:pos="3372"/>
          <w:tab w:val="left" w:pos="4865"/>
          <w:tab w:val="left" w:pos="6358"/>
          <w:tab w:val="left" w:pos="7851"/>
          <w:tab w:val="left" w:pos="9343"/>
        </w:tabs>
        <w:spacing w:before="33"/>
        <w:ind w:left="387" w:right="0" w:firstLine="0"/>
        <w:jc w:val="center"/>
        <w:rPr>
          <w:rFonts w:ascii="黑体" w:eastAsia="黑体" w:hint="eastAsia"/>
          <w:sz w:val="48"/>
        </w:rPr>
      </w:pPr>
      <w:r>
        <w:rPr>
          <w:rFonts w:ascii="黑体" w:eastAsia="黑体" w:hint="eastAsia"/>
          <w:sz w:val="48"/>
        </w:rPr>
        <w:t>武</w:t>
        <w:tab/>
        <w:t>汉</w:t>
        <w:tab/>
        <w:t>市</w:t>
        <w:tab/>
        <w:t>地</w:t>
        <w:tab/>
        <w:t>方</w:t>
        <w:tab/>
        <w:t>标</w:t>
        <w:tab/>
        <w:t>准</w:t>
      </w:r>
    </w:p>
    <w:p>
      <w:pPr>
        <w:spacing w:before="307"/>
        <w:ind w:left="0" w:right="963" w:firstLine="0"/>
        <w:jc w:val="right"/>
        <w:rPr>
          <w:rFonts w:ascii="黑体"/>
          <w:sz w:val="28"/>
        </w:rPr>
      </w:pPr>
      <w:r>
        <w:rPr>
          <w:rFonts w:ascii="黑体"/>
          <w:sz w:val="28"/>
        </w:rPr>
        <w:t>DB4201/T</w:t>
      </w:r>
      <w:r>
        <w:rPr>
          <w:rFonts w:ascii="黑体"/>
          <w:spacing w:val="-7"/>
          <w:sz w:val="28"/>
        </w:rPr>
        <w:t xml:space="preserve"> </w:t>
      </w:r>
      <w:r>
        <w:rPr>
          <w:rFonts w:ascii="黑体"/>
          <w:sz w:val="28"/>
        </w:rPr>
        <w:t>574-2019</w:t>
      </w:r>
    </w:p>
    <w:p>
      <w:pPr>
        <w:pStyle w:val="BodyText"/>
        <w:rPr>
          <w:rFonts w:ascii="黑体"/>
          <w:sz w:val="20"/>
        </w:rPr>
      </w:pPr>
    </w:p>
    <w:p>
      <w:pPr>
        <w:pStyle w:val="BodyText"/>
        <w:spacing w:before="11"/>
        <w:rPr>
          <w:rFonts w:ascii="黑体"/>
          <w:sz w:val="23"/>
        </w:rPr>
      </w:pPr>
      <w:r>
        <w:pict>
          <v:shape id="_x0000_s1025" style="width:481.9pt;height:0.1pt;margin-top:17.64pt;margin-left:67.8pt;mso-position-horizontal-relative:page;mso-wrap-distance-left:0;mso-wrap-distance-right:0;position:absolute;z-index:-251657216" coordorigin="1356,353" coordsize="9638,0" path="m1356,353l10994,353e" filled="f" stroked="t" strokecolor="black" strokeweight="0.75pt">
            <v:stroke dashstyle="solid"/>
            <v:path arrowok="t"/>
            <w10:wrap type="topAndBottom"/>
          </v:shape>
        </w:pict>
      </w: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rPr>
          <w:rFonts w:ascii="黑体"/>
          <w:sz w:val="28"/>
        </w:rPr>
      </w:pPr>
    </w:p>
    <w:p>
      <w:pPr>
        <w:pStyle w:val="BodyText"/>
        <w:spacing w:before="11"/>
        <w:rPr>
          <w:rFonts w:ascii="黑体"/>
          <w:sz w:val="31"/>
        </w:rPr>
      </w:pPr>
    </w:p>
    <w:p>
      <w:pPr>
        <w:spacing w:before="0"/>
        <w:ind w:left="300" w:right="0" w:firstLine="0"/>
        <w:jc w:val="center"/>
        <w:rPr>
          <w:rFonts w:ascii="黑体" w:eastAsia="黑体" w:hint="eastAsia"/>
          <w:sz w:val="52"/>
        </w:rPr>
      </w:pPr>
      <w:r>
        <w:rPr>
          <w:rFonts w:ascii="黑体" w:eastAsia="黑体" w:hint="eastAsia"/>
          <w:sz w:val="52"/>
        </w:rPr>
        <w:t>武汉市优秀历史建筑保护修缮技术规程</w:t>
      </w:r>
    </w:p>
    <w:p>
      <w:pPr>
        <w:spacing w:before="151" w:line="463" w:lineRule="auto"/>
        <w:ind w:left="1392" w:right="1088" w:firstLine="0"/>
        <w:jc w:val="center"/>
        <w:rPr>
          <w:rFonts w:ascii="Times New Roman"/>
          <w:sz w:val="28"/>
        </w:rPr>
      </w:pPr>
      <w:r>
        <w:pict>
          <v:group id="_x0000_s1026" style="width:560pt;height:384pt;margin-top:58.78pt;margin-left:17pt;mso-position-horizontal-relative:page;position:absolute;z-index:251658240" coordorigin="340,1176" coordsize="11200,7680">
            <v:line id="_x0000_s1027" style="position:absolute" from="1417,7502" to="11055,7502" stroked="t" strokecolor="black" strokeweight="0.75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1200;height:7680;left:340;position:absolute;top:1175" stroked="f">
              <v:imagedata r:id="rId4" o:title=""/>
            </v:shape>
          </v:group>
        </w:pict>
      </w:r>
      <w:r>
        <w:rPr>
          <w:rFonts w:ascii="Times New Roman"/>
          <w:sz w:val="28"/>
        </w:rPr>
        <w:t>Technical regulations of the preservation and restoration of outstanding historic buildings in Wuhan</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0"/>
        </w:rPr>
      </w:pPr>
      <w:r>
        <w:pict>
          <v:group id="_x0000_s1029" style="width:484.4pt;height:70pt;margin-top:13.56pt;margin-left:70.92pt;mso-position-horizontal-relative:page;mso-wrap-distance-left:0;mso-wrap-distance-right:0;position:absolute;z-index:-251656192" coordorigin="1418,271" coordsize="9688,1400">
            <v:shapetype id="_x0000_t202" coordsize="21600,21600" o:spt="202" path="m,l,21600r21600,l21600,xe">
              <v:stroke joinstyle="miter"/>
              <v:path gradientshapeok="t" o:connecttype="rect"/>
            </v:shapetype>
            <v:shape id="_x0000_s1030" type="#_x0000_t202" style="width:2053;height:281;left:1418;position:absolute;top:271"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2019-06-28</w:t>
                    </w:r>
                    <w:r>
                      <w:rPr>
                        <w:rFonts w:ascii="黑体" w:eastAsia="黑体" w:hint="eastAsia"/>
                        <w:spacing w:val="-25"/>
                        <w:sz w:val="28"/>
                      </w:rPr>
                      <w:t xml:space="preserve"> 发布</w:t>
                    </w:r>
                  </w:p>
                </w:txbxContent>
              </v:textbox>
            </v:shape>
            <v:shape id="_x0000_s1031" type="#_x0000_t202" style="width:2053;height:281;left:9052;position:absolute;top:271"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2019-07-26</w:t>
                    </w:r>
                    <w:r>
                      <w:rPr>
                        <w:rFonts w:ascii="黑体" w:eastAsia="黑体" w:hint="eastAsia"/>
                        <w:spacing w:val="-25"/>
                        <w:sz w:val="28"/>
                      </w:rPr>
                      <w:t xml:space="preserve"> 实施</w:t>
                    </w:r>
                  </w:p>
                </w:txbxContent>
              </v:textbox>
            </v:shape>
            <v:shape id="_x0000_s1032" type="#_x0000_t202" style="width:5291;height:312;left:3396;position:absolute;top:1358" filled="f" stroked="f">
              <v:textbox inset="0,0,0,0">
                <w:txbxContent>
                  <w:p>
                    <w:pPr>
                      <w:tabs>
                        <w:tab w:val="left" w:pos="4538"/>
                      </w:tabs>
                      <w:spacing w:before="0" w:line="312" w:lineRule="exact"/>
                      <w:ind w:left="0" w:right="0" w:firstLine="0"/>
                      <w:jc w:val="left"/>
                      <w:rPr>
                        <w:rFonts w:ascii="黑体" w:eastAsia="黑体" w:hint="eastAsia"/>
                        <w:sz w:val="28"/>
                      </w:rPr>
                    </w:pPr>
                    <w:r>
                      <w:rPr>
                        <w:rFonts w:ascii="黑体" w:eastAsia="黑体" w:hint="eastAsia"/>
                        <w:spacing w:val="41"/>
                        <w:w w:val="130"/>
                        <w:sz w:val="28"/>
                      </w:rPr>
                      <w:t>武</w:t>
                    </w:r>
                    <w:r>
                      <w:rPr>
                        <w:rFonts w:ascii="黑体" w:eastAsia="黑体" w:hint="eastAsia"/>
                        <w:spacing w:val="39"/>
                        <w:w w:val="130"/>
                        <w:sz w:val="28"/>
                      </w:rPr>
                      <w:t>汉</w:t>
                    </w:r>
                    <w:r>
                      <w:rPr>
                        <w:rFonts w:ascii="黑体" w:eastAsia="黑体" w:hint="eastAsia"/>
                        <w:spacing w:val="41"/>
                        <w:w w:val="130"/>
                        <w:sz w:val="28"/>
                      </w:rPr>
                      <w:t>市</w:t>
                    </w:r>
                    <w:r>
                      <w:rPr>
                        <w:rFonts w:ascii="黑体" w:eastAsia="黑体" w:hint="eastAsia"/>
                        <w:spacing w:val="39"/>
                        <w:w w:val="130"/>
                        <w:sz w:val="28"/>
                      </w:rPr>
                      <w:t>市场</w:t>
                    </w:r>
                    <w:r>
                      <w:rPr>
                        <w:rFonts w:ascii="黑体" w:eastAsia="黑体" w:hint="eastAsia"/>
                        <w:spacing w:val="41"/>
                        <w:w w:val="130"/>
                        <w:sz w:val="28"/>
                      </w:rPr>
                      <w:t>监</w:t>
                    </w:r>
                    <w:r>
                      <w:rPr>
                        <w:rFonts w:ascii="黑体" w:eastAsia="黑体" w:hint="eastAsia"/>
                        <w:spacing w:val="39"/>
                        <w:w w:val="130"/>
                        <w:sz w:val="28"/>
                      </w:rPr>
                      <w:t>督</w:t>
                    </w:r>
                    <w:r>
                      <w:rPr>
                        <w:rFonts w:ascii="黑体" w:eastAsia="黑体" w:hint="eastAsia"/>
                        <w:spacing w:val="41"/>
                        <w:w w:val="130"/>
                        <w:sz w:val="28"/>
                      </w:rPr>
                      <w:t>管</w:t>
                    </w:r>
                    <w:r>
                      <w:rPr>
                        <w:rFonts w:ascii="黑体" w:eastAsia="黑体" w:hint="eastAsia"/>
                        <w:spacing w:val="39"/>
                        <w:w w:val="130"/>
                        <w:sz w:val="28"/>
                      </w:rPr>
                      <w:t>理</w:t>
                    </w:r>
                    <w:r>
                      <w:rPr>
                        <w:rFonts w:ascii="黑体" w:eastAsia="黑体" w:hint="eastAsia"/>
                        <w:w w:val="130"/>
                        <w:sz w:val="28"/>
                      </w:rPr>
                      <w:t>局</w:t>
                      <w:tab/>
                    </w:r>
                    <w:r>
                      <w:rPr>
                        <w:rFonts w:ascii="黑体" w:eastAsia="黑体" w:hint="eastAsia"/>
                        <w:w w:val="120"/>
                        <w:position w:val="3"/>
                        <w:sz w:val="28"/>
                      </w:rPr>
                      <w:t>发</w:t>
                    </w:r>
                    <w:r>
                      <w:rPr>
                        <w:rFonts w:ascii="黑体" w:eastAsia="黑体" w:hint="eastAsia"/>
                        <w:spacing w:val="-97"/>
                        <w:w w:val="120"/>
                        <w:position w:val="3"/>
                        <w:sz w:val="28"/>
                      </w:rPr>
                      <w:t xml:space="preserve"> </w:t>
                    </w:r>
                    <w:r>
                      <w:rPr>
                        <w:rFonts w:ascii="黑体" w:eastAsia="黑体" w:hint="eastAsia"/>
                        <w:w w:val="120"/>
                        <w:position w:val="3"/>
                        <w:sz w:val="28"/>
                      </w:rPr>
                      <w:t>布</w:t>
                    </w:r>
                  </w:p>
                </w:txbxContent>
              </v:textbox>
            </v:shape>
            <w10:wrap type="topAndBottom"/>
          </v:group>
        </w:pict>
      </w:r>
    </w:p>
    <w:p>
      <w:pPr>
        <w:spacing w:after="0"/>
        <w:rPr>
          <w:rFonts w:ascii="Times New Roman"/>
          <w:sz w:val="20"/>
        </w:rPr>
        <w:sectPr>
          <w:type w:val="continuous"/>
          <w:pgSz w:w="11910" w:h="16840"/>
          <w:pgMar w:top="520" w:right="260" w:bottom="280" w:left="240" w:header="708" w:footer="708"/>
          <w:pgNumType w:start="2"/>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rPr>
      </w:pPr>
    </w:p>
    <w:p>
      <w:pPr>
        <w:pStyle w:val="BodyText"/>
        <w:ind w:left="2860"/>
        <w:rPr>
          <w:rFonts w:ascii="Times New Roman"/>
          <w:sz w:val="20"/>
        </w:rPr>
      </w:pPr>
      <w:r>
        <w:rPr>
          <w:rFonts w:ascii="Times New Roman"/>
          <w:sz w:val="20"/>
        </w:rPr>
        <w:drawing>
          <wp:inline distT="0" distB="0" distL="0" distR="0">
            <wp:extent cx="4028503" cy="2533650"/>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rFonts w:ascii="Times New Roman"/>
          <w:sz w:val="20"/>
        </w:rPr>
        <w:sectPr>
          <w:pgSz w:w="11910" w:h="16840"/>
          <w:pgMar w:top="1580" w:right="260" w:bottom="280" w:left="240" w:header="708" w:footer="708"/>
          <w:pgNumType w:start="3"/>
          <w:cols w:space="708"/>
        </w:sectPr>
      </w:pPr>
    </w:p>
    <w:p>
      <w:pPr>
        <w:pStyle w:val="BodyText"/>
        <w:spacing w:before="61"/>
        <w:ind w:right="870"/>
        <w:jc w:val="right"/>
        <w:rPr>
          <w:rFonts w:ascii="黑体"/>
        </w:rPr>
      </w:pPr>
      <w:r>
        <w:rPr>
          <w:rFonts w:ascii="黑体"/>
        </w:rPr>
        <w:t>DB4201/T 574-2019</w:t>
      </w:r>
    </w:p>
    <w:p>
      <w:pPr>
        <w:pStyle w:val="BodyText"/>
        <w:rPr>
          <w:rFonts w:ascii="黑体"/>
          <w:sz w:val="20"/>
        </w:rPr>
      </w:pPr>
    </w:p>
    <w:p>
      <w:pPr>
        <w:pStyle w:val="BodyText"/>
        <w:rPr>
          <w:rFonts w:ascii="黑体"/>
          <w:sz w:val="20"/>
        </w:rPr>
      </w:pPr>
    </w:p>
    <w:p>
      <w:pPr>
        <w:pStyle w:val="BodyText"/>
        <w:rPr>
          <w:rFonts w:ascii="黑体"/>
          <w:sz w:val="20"/>
        </w:rPr>
      </w:pPr>
    </w:p>
    <w:p>
      <w:pPr>
        <w:pStyle w:val="Heading1"/>
        <w:spacing w:before="198"/>
      </w:pPr>
      <w:bookmarkStart w:id="0" w:name="前  言"/>
      <w:bookmarkEnd w:id="0"/>
      <w:r>
        <w:t>前 言</w:t>
      </w:r>
    </w:p>
    <w:p>
      <w:pPr>
        <w:pStyle w:val="BodyText"/>
        <w:rPr>
          <w:rFonts w:ascii="黑体"/>
          <w:sz w:val="32"/>
        </w:rPr>
      </w:pPr>
    </w:p>
    <w:p>
      <w:pPr>
        <w:pStyle w:val="BodyText"/>
        <w:spacing w:before="282" w:line="278" w:lineRule="auto"/>
        <w:ind w:left="1596" w:right="1090"/>
      </w:pPr>
      <w:r>
        <w:t xml:space="preserve">本标准按照GB/T 1.1-2009《标准化工作导则 第1部分:标准的结构和编写》给出的规则起草。本标准由武汉市住房保障和房屋管理局提出并归口。 </w:t>
      </w:r>
    </w:p>
    <w:p>
      <w:pPr>
        <w:pStyle w:val="BodyText"/>
        <w:spacing w:line="278" w:lineRule="auto"/>
        <w:ind w:left="1176" w:right="873" w:firstLine="419"/>
        <w:jc w:val="both"/>
      </w:pPr>
      <w:r>
        <w:rPr>
          <w:spacing w:val="-3"/>
        </w:rPr>
        <w:t>本标准起草单位：武汉市住房保障和房屋管理局、中信建筑设计研究总院有限公司、同济大学、</w:t>
      </w:r>
      <w:r>
        <w:rPr>
          <w:spacing w:val="-8"/>
        </w:rPr>
        <w:t>上海建为历保科技股份有限公司、上海泰固建筑工程有限公司、武汉市房屋安全管理中心、武汉市民用</w:t>
      </w:r>
      <w:r>
        <w:rPr>
          <w:spacing w:val="-10"/>
        </w:rPr>
        <w:t>建筑设计研究院、武汉市天时建筑工程有限公司、江岸区住房保障和房屋管理局、武昌区住房保障和房</w:t>
      </w:r>
      <w:r>
        <w:rPr>
          <w:spacing w:val="-2"/>
        </w:rPr>
        <w:t>屋管理局。</w:t>
      </w:r>
      <w:r>
        <w:t xml:space="preserve"> </w:t>
      </w:r>
    </w:p>
    <w:p>
      <w:pPr>
        <w:pStyle w:val="BodyText"/>
        <w:spacing w:line="278" w:lineRule="auto"/>
        <w:ind w:left="1175" w:right="761" w:firstLine="420"/>
      </w:pPr>
      <w:r>
        <w:drawing>
          <wp:anchor distT="0" distB="0" distL="0" distR="0" simplePos="0" relativeHeight="251661312" behindDoc="0" locked="0" layoutInCell="1" allowOverlap="1">
            <wp:simplePos x="0" y="0"/>
            <wp:positionH relativeFrom="page">
              <wp:posOffset>215900</wp:posOffset>
            </wp:positionH>
            <wp:positionV relativeFrom="paragraph">
              <wp:posOffset>1669761</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15"/>
        </w:rPr>
        <w:t>本标准主要起草人：黄立、于雪松、吴彤、吴勃、丁援、吴莎冰、李杰、张文静、费小坤、姜一公、</w:t>
      </w:r>
      <w:r>
        <w:rPr>
          <w:spacing w:val="-7"/>
        </w:rPr>
        <w:t xml:space="preserve">马志亮、戴仕炳、郭伟民、蔡颖佶、陈存夫、张迎春、李跃、曾汉武、丁凇、董川、裘维亚、施萌、 </w:t>
      </w:r>
      <w:r>
        <w:rPr>
          <w:spacing w:val="-3"/>
        </w:rPr>
        <w:t>徐伟、吴立波、曹毅、周启明。</w:t>
      </w:r>
      <w:r>
        <w:t xml:space="preserve"> </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3"/>
        </w:rPr>
      </w:pPr>
      <w:r>
        <w:pict>
          <v:shape id="_x0000_s1033" type="#_x0000_t202" style="width:10.1pt;height:9pt;margin-top:10.85pt;margin-left:524.04pt;mso-position-horizontal-relative:page;mso-wrap-distance-left:0;mso-wrap-distance-right:0;position:absolute;z-index:-251654144" filled="f" stroked="f">
            <v:textbox inset="0,0,0,0">
              <w:txbxContent>
                <w:p>
                  <w:pPr>
                    <w:spacing w:before="0" w:line="180" w:lineRule="exact"/>
                    <w:ind w:left="0" w:right="0" w:firstLine="0"/>
                    <w:jc w:val="left"/>
                    <w:rPr>
                      <w:sz w:val="18"/>
                    </w:rPr>
                  </w:pPr>
                  <w:r>
                    <w:rPr>
                      <w:sz w:val="18"/>
                    </w:rPr>
                    <w:t xml:space="preserve">I </w:t>
                  </w:r>
                </w:p>
              </w:txbxContent>
            </v:textbox>
            <w10:wrap type="topAndBottom"/>
          </v:shape>
        </w:pict>
      </w:r>
    </w:p>
    <w:p>
      <w:pPr>
        <w:spacing w:after="0"/>
        <w:rPr>
          <w:sz w:val="13"/>
        </w:rPr>
        <w:sectPr>
          <w:pgSz w:w="11910" w:h="16840"/>
          <w:pgMar w:top="1340" w:right="260" w:bottom="280" w:left="240" w:header="708" w:footer="708"/>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7"/>
        </w:rPr>
      </w:pPr>
    </w:p>
    <w:p>
      <w:pPr>
        <w:pStyle w:val="BodyText"/>
        <w:ind w:left="2860"/>
        <w:rPr>
          <w:sz w:val="20"/>
        </w:rPr>
      </w:pPr>
      <w:r>
        <w:rPr>
          <w:sz w:val="20"/>
        </w:rPr>
        <w:drawing>
          <wp:inline distT="0" distB="0" distL="0" distR="0">
            <wp:extent cx="4028503" cy="2533650"/>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sz w:val="20"/>
        </w:rPr>
        <w:sectPr>
          <w:pgSz w:w="11910" w:h="16840"/>
          <w:pgMar w:top="1580" w:right="260" w:bottom="280" w:left="240" w:header="708" w:footer="708"/>
          <w:pgNumType w:start="5"/>
          <w:cols w:space="708"/>
        </w:sectPr>
      </w:pPr>
    </w:p>
    <w:p>
      <w:pPr>
        <w:pStyle w:val="BodyText"/>
        <w:spacing w:before="61"/>
        <w:ind w:right="870"/>
        <w:jc w:val="right"/>
        <w:rPr>
          <w:rFonts w:ascii="黑体"/>
        </w:rPr>
      </w:pPr>
      <w:r>
        <w:pict>
          <v:group id="_x0000_s1034" style="width:595.5pt;height:842.15pt;margin-top:-0.09pt;margin-left:-0.09pt;mso-position-horizontal-relative:page;mso-position-vertical-relative:page;position:absolute;z-index:-251653120" coordorigin="-2,-2" coordsize="11910,16843">
            <v:shape id="_x0000_s1035" type="#_x0000_t75" style="width:6067;height:8051;left:2650;position:absolute;top:4649" stroked="f">
              <v:imagedata r:id="rId6" o:title=""/>
            </v:shape>
            <v:rect id="_x0000_s1036" style="width:11906;height:16838;position:absolute" filled="f" stroked="t" strokecolor="#231916" strokeweight="0.22pt">
              <v:stroke dashstyle="solid"/>
            </v:rect>
            <v:shape id="_x0000_s1037" type="#_x0000_t75" style="width:11200;height:7680;left:340;position:absolute;top:8258" stroked="f">
              <v:imagedata r:id="rId4" o:title=""/>
            </v:shape>
          </v:group>
        </w:pict>
      </w:r>
      <w:r>
        <w:rPr>
          <w:rFonts w:ascii="黑体"/>
        </w:rPr>
        <w:t>DB4201/T 574-2019</w:t>
      </w:r>
    </w:p>
    <w:p>
      <w:pPr>
        <w:pStyle w:val="BodyText"/>
        <w:rPr>
          <w:rFonts w:ascii="黑体"/>
          <w:sz w:val="20"/>
        </w:rPr>
      </w:pPr>
    </w:p>
    <w:p>
      <w:pPr>
        <w:pStyle w:val="BodyText"/>
        <w:rPr>
          <w:rFonts w:ascii="黑体"/>
          <w:sz w:val="20"/>
        </w:rPr>
      </w:pPr>
    </w:p>
    <w:p>
      <w:pPr>
        <w:pStyle w:val="BodyText"/>
        <w:spacing w:before="10"/>
        <w:rPr>
          <w:rFonts w:ascii="黑体"/>
          <w:sz w:val="26"/>
        </w:rPr>
      </w:pPr>
    </w:p>
    <w:p>
      <w:pPr>
        <w:pStyle w:val="Heading1"/>
      </w:pPr>
      <w:bookmarkStart w:id="1" w:name="武汉市优秀历史建筑保护修缮技术规程"/>
      <w:bookmarkEnd w:id="1"/>
      <w:r>
        <w:t>武汉市优秀历史建筑保护修缮技术规程</w:t>
      </w:r>
    </w:p>
    <w:p>
      <w:pPr>
        <w:pStyle w:val="BodyText"/>
        <w:rPr>
          <w:rFonts w:ascii="黑体"/>
          <w:sz w:val="20"/>
        </w:rPr>
      </w:pPr>
    </w:p>
    <w:p>
      <w:pPr>
        <w:pStyle w:val="BodyText"/>
        <w:spacing w:before="1"/>
        <w:rPr>
          <w:rFonts w:ascii="黑体"/>
          <w:sz w:val="20"/>
        </w:rPr>
      </w:pPr>
    </w:p>
    <w:p>
      <w:pPr>
        <w:pStyle w:val="ListParagraph"/>
        <w:numPr>
          <w:ilvl w:val="0"/>
          <w:numId w:val="30"/>
        </w:numPr>
        <w:tabs>
          <w:tab w:val="left" w:pos="1493"/>
        </w:tabs>
        <w:spacing w:before="72" w:after="0" w:line="240" w:lineRule="auto"/>
        <w:ind w:left="1492" w:right="0" w:hanging="315"/>
        <w:jc w:val="left"/>
        <w:rPr>
          <w:rFonts w:ascii="黑体" w:eastAsia="黑体" w:hint="eastAsia"/>
          <w:sz w:val="21"/>
        </w:rPr>
      </w:pPr>
      <w:bookmarkStart w:id="2" w:name="范围"/>
      <w:bookmarkEnd w:id="2"/>
      <w:r>
        <w:rPr>
          <w:rFonts w:ascii="黑体" w:eastAsia="黑体" w:hint="eastAsia"/>
          <w:sz w:val="21"/>
        </w:rPr>
        <w:t>范围</w:t>
      </w:r>
    </w:p>
    <w:p>
      <w:pPr>
        <w:pStyle w:val="BodyText"/>
        <w:spacing w:before="9"/>
        <w:rPr>
          <w:rFonts w:ascii="黑体"/>
          <w:sz w:val="27"/>
        </w:rPr>
      </w:pPr>
    </w:p>
    <w:p>
      <w:pPr>
        <w:pStyle w:val="BodyText"/>
        <w:spacing w:line="278" w:lineRule="auto"/>
        <w:ind w:left="1178" w:right="762" w:firstLine="420"/>
      </w:pPr>
      <w:r>
        <w:rPr>
          <w:spacing w:val="-11"/>
        </w:rPr>
        <w:t>本规程规定了武汉市优秀历史建筑保护修缮的基本规定、保护修缮查勘与检测鉴定、保护修缮设计、</w:t>
      </w:r>
      <w:r>
        <w:rPr>
          <w:spacing w:val="-6"/>
        </w:rPr>
        <w:t>保护修缮施工、竣工验收的要求。</w:t>
      </w:r>
      <w:r>
        <w:t xml:space="preserve"> </w:t>
      </w:r>
    </w:p>
    <w:p>
      <w:pPr>
        <w:pStyle w:val="BodyText"/>
        <w:spacing w:line="278" w:lineRule="auto"/>
        <w:ind w:left="1178" w:right="870" w:firstLine="420"/>
      </w:pPr>
      <w:r>
        <w:rPr>
          <w:spacing w:val="-7"/>
        </w:rPr>
        <w:t>本规程适用于武汉市行政区域内优秀历史建筑的保护修缮工作。其他历史建筑的保护修缮在相同技</w:t>
      </w:r>
      <w:r>
        <w:rPr>
          <w:spacing w:val="-3"/>
        </w:rPr>
        <w:t>术条件下可参照本规程执行。</w:t>
      </w:r>
      <w:r>
        <w:t xml:space="preserve"> </w:t>
      </w:r>
    </w:p>
    <w:p>
      <w:pPr>
        <w:pStyle w:val="BodyText"/>
        <w:spacing w:before="6"/>
        <w:rPr>
          <w:sz w:val="24"/>
        </w:rPr>
      </w:pPr>
    </w:p>
    <w:p>
      <w:pPr>
        <w:pStyle w:val="ListParagraph"/>
        <w:numPr>
          <w:ilvl w:val="0"/>
          <w:numId w:val="30"/>
        </w:numPr>
        <w:tabs>
          <w:tab w:val="left" w:pos="1493"/>
        </w:tabs>
        <w:spacing w:before="1" w:after="0" w:line="240" w:lineRule="auto"/>
        <w:ind w:left="1492" w:right="0" w:hanging="315"/>
        <w:jc w:val="left"/>
        <w:rPr>
          <w:rFonts w:ascii="黑体" w:eastAsia="黑体" w:hint="eastAsia"/>
          <w:sz w:val="21"/>
        </w:rPr>
      </w:pPr>
      <w:bookmarkStart w:id="3" w:name="规范性引用文件"/>
      <w:bookmarkEnd w:id="3"/>
      <w:r>
        <w:rPr>
          <w:rFonts w:ascii="黑体" w:eastAsia="黑体" w:hint="eastAsia"/>
          <w:spacing w:val="-2"/>
          <w:sz w:val="21"/>
        </w:rPr>
        <w:t>规范性引用文件</w:t>
      </w:r>
    </w:p>
    <w:p>
      <w:pPr>
        <w:pStyle w:val="BodyText"/>
        <w:spacing w:before="6"/>
        <w:rPr>
          <w:rFonts w:ascii="黑体"/>
          <w:sz w:val="27"/>
        </w:rPr>
      </w:pPr>
    </w:p>
    <w:p>
      <w:pPr>
        <w:pStyle w:val="BodyText"/>
        <w:spacing w:line="278" w:lineRule="auto"/>
        <w:ind w:left="1178" w:right="869" w:firstLine="420"/>
      </w:pPr>
      <w:r>
        <w:rPr>
          <w:spacing w:val="-8"/>
        </w:rPr>
        <w:t>下列文件对于本文件的应用是必不可少的。凡是注日期的引用文件，仅所注日期的版本适用于本文</w:t>
      </w:r>
      <w:r>
        <w:rPr>
          <w:spacing w:val="-3"/>
        </w:rPr>
        <w:t>件。凡是不注日期的引用文件，其最新版本（包括所有的修改单）适用于本文件。</w:t>
      </w:r>
      <w:r>
        <w:t xml:space="preserve"> </w:t>
      </w:r>
    </w:p>
    <w:p>
      <w:pPr>
        <w:pStyle w:val="BodyText"/>
        <w:spacing w:line="278" w:lineRule="auto"/>
        <w:ind w:left="1598" w:right="6969"/>
        <w:jc w:val="both"/>
      </w:pPr>
      <w:r>
        <w:t xml:space="preserve">GB 50009  建筑结构荷载规范GB 50016  建筑设计防火规范GB 50023 建筑抗震鉴定标准 </w:t>
      </w:r>
    </w:p>
    <w:p>
      <w:pPr>
        <w:pStyle w:val="BodyText"/>
        <w:spacing w:line="269" w:lineRule="exact"/>
        <w:ind w:left="1598"/>
      </w:pPr>
      <w:r>
        <w:pict>
          <v:group id="_x0000_s1038" style="width:468.85pt;height:368.7pt;margin-top:16.25pt;margin-left:70.91pt;mso-position-horizontal-relative:page;mso-wrap-distance-left:0;mso-wrap-distance-right:0;position:absolute;z-index:-251652096" coordorigin="1418,325" coordsize="9377,7374">
            <v:shape id="_x0000_s1039" type="#_x0000_t202" style="width:6323;height:3643;left:1837;position:absolute;top:324" filled="f" stroked="f">
              <v:textbox inset="0,0,0,0">
                <w:txbxContent>
                  <w:p>
                    <w:pPr>
                      <w:spacing w:before="0" w:line="241" w:lineRule="exact"/>
                      <w:ind w:left="0" w:right="0" w:firstLine="0"/>
                      <w:jc w:val="left"/>
                      <w:rPr>
                        <w:sz w:val="21"/>
                      </w:rPr>
                    </w:pPr>
                    <w:r>
                      <w:rPr>
                        <w:sz w:val="21"/>
                      </w:rPr>
                      <w:t xml:space="preserve">GB 50367 混凝土结构加固设计规范 </w:t>
                    </w:r>
                  </w:p>
                  <w:p>
                    <w:pPr>
                      <w:spacing w:before="43"/>
                      <w:ind w:left="0" w:right="0" w:firstLine="0"/>
                      <w:jc w:val="left"/>
                      <w:rPr>
                        <w:sz w:val="21"/>
                      </w:rPr>
                    </w:pPr>
                    <w:r>
                      <w:rPr>
                        <w:sz w:val="21"/>
                      </w:rPr>
                      <w:t xml:space="preserve">WW/T 0034 古建筑保护工程施工监理规范 </w:t>
                    </w:r>
                  </w:p>
                  <w:p>
                    <w:pPr>
                      <w:spacing w:before="42"/>
                      <w:ind w:left="0" w:right="0" w:firstLine="0"/>
                      <w:jc w:val="left"/>
                      <w:rPr>
                        <w:sz w:val="21"/>
                      </w:rPr>
                    </w:pPr>
                    <w:r>
                      <w:rPr>
                        <w:sz w:val="21"/>
                      </w:rPr>
                      <w:t xml:space="preserve">WW/T 0048 近现代历史建筑结构安全性评估导则 </w:t>
                    </w:r>
                  </w:p>
                  <w:p>
                    <w:pPr>
                      <w:spacing w:before="43" w:line="278" w:lineRule="auto"/>
                      <w:ind w:left="0" w:right="1068" w:firstLine="0"/>
                      <w:jc w:val="left"/>
                      <w:rPr>
                        <w:sz w:val="21"/>
                      </w:rPr>
                    </w:pPr>
                    <w:r>
                      <w:rPr>
                        <w:sz w:val="21"/>
                      </w:rPr>
                      <w:t xml:space="preserve">WW/T 0078 近现代文物建筑保护工程设计文件编制规范JGJ 8 建筑变形测量规范 </w:t>
                    </w:r>
                  </w:p>
                  <w:p>
                    <w:pPr>
                      <w:spacing w:before="0" w:line="278" w:lineRule="auto"/>
                      <w:ind w:left="0" w:right="2960" w:firstLine="0"/>
                      <w:jc w:val="left"/>
                      <w:rPr>
                        <w:sz w:val="21"/>
                      </w:rPr>
                    </w:pPr>
                    <w:r>
                      <w:rPr>
                        <w:sz w:val="21"/>
                      </w:rPr>
                      <w:t xml:space="preserve">JGJ 116  建筑抗震加固技术规程JGJ  125   危险房屋鉴定标准JGJ/T 245 房屋白蚁预防技术规程 </w:t>
                    </w:r>
                  </w:p>
                  <w:p>
                    <w:pPr>
                      <w:spacing w:before="0" w:line="269" w:lineRule="exact"/>
                      <w:ind w:left="0" w:right="0" w:firstLine="0"/>
                      <w:jc w:val="left"/>
                      <w:rPr>
                        <w:sz w:val="21"/>
                      </w:rPr>
                    </w:pPr>
                    <w:r>
                      <w:rPr>
                        <w:sz w:val="21"/>
                      </w:rPr>
                      <w:t xml:space="preserve">DB4201/T 537-2018  武汉市房屋安全鉴定技术规程 </w:t>
                    </w:r>
                  </w:p>
                  <w:p>
                    <w:pPr>
                      <w:spacing w:before="43" w:line="278" w:lineRule="auto"/>
                      <w:ind w:left="0" w:right="18" w:firstLine="0"/>
                      <w:jc w:val="left"/>
                      <w:rPr>
                        <w:sz w:val="21"/>
                      </w:rPr>
                    </w:pPr>
                    <w:r>
                      <w:rPr>
                        <w:sz w:val="21"/>
                      </w:rPr>
                      <w:t xml:space="preserve">武政办[2013]179号  武汉市优秀历史建筑分级保护及评审管理办法文物督函[2015]371号 文物建筑防火设计导则（试行） </w:t>
                    </w:r>
                  </w:p>
                  <w:p>
                    <w:pPr>
                      <w:spacing w:before="0" w:line="239" w:lineRule="exact"/>
                      <w:ind w:left="0" w:right="0" w:firstLine="0"/>
                      <w:jc w:val="left"/>
                      <w:rPr>
                        <w:sz w:val="21"/>
                      </w:rPr>
                    </w:pPr>
                    <w:r>
                      <w:rPr>
                        <w:sz w:val="21"/>
                      </w:rPr>
                      <w:t xml:space="preserve">城住字[84]第678号 房屋完损等级评定标准 </w:t>
                    </w:r>
                  </w:p>
                </w:txbxContent>
              </v:textbox>
            </v:shape>
            <v:shape id="_x0000_s1040" type="#_x0000_t202" style="width:1389;height:212;left:1418;position:absolute;top:4382" filled="f" stroked="f">
              <v:textbox inset="0,0,0,0">
                <w:txbxContent>
                  <w:p>
                    <w:pPr>
                      <w:spacing w:before="0" w:line="211" w:lineRule="exact"/>
                      <w:ind w:left="0" w:right="0" w:firstLine="0"/>
                      <w:jc w:val="left"/>
                      <w:rPr>
                        <w:rFonts w:ascii="黑体" w:eastAsia="黑体" w:hint="eastAsia"/>
                        <w:sz w:val="21"/>
                      </w:rPr>
                    </w:pPr>
                    <w:bookmarkStart w:id="4" w:name="术语和定义"/>
                    <w:bookmarkEnd w:id="4"/>
                    <w:r>
                      <w:rPr>
                        <w:rFonts w:ascii="黑体" w:eastAsia="黑体" w:hint="eastAsia"/>
                        <w:sz w:val="21"/>
                      </w:rPr>
                      <w:t>3 术语和定义</w:t>
                    </w:r>
                  </w:p>
                </w:txbxContent>
              </v:textbox>
            </v:shape>
            <v:shape id="_x0000_s1041" type="#_x0000_t202" style="width:9376;height:1772;left:1418;position:absolute;top:5004" filled="f" stroked="f">
              <v:textbox inset="0,0,0,0">
                <w:txbxContent>
                  <w:p>
                    <w:pPr>
                      <w:spacing w:before="0" w:line="241" w:lineRule="exact"/>
                      <w:ind w:left="419" w:right="0" w:firstLine="0"/>
                      <w:jc w:val="left"/>
                      <w:rPr>
                        <w:sz w:val="21"/>
                      </w:rPr>
                    </w:pPr>
                    <w:r>
                      <w:rPr>
                        <w:sz w:val="21"/>
                      </w:rPr>
                      <w:t xml:space="preserve">下列术语和定义适用于本文件。 </w:t>
                    </w:r>
                  </w:p>
                  <w:p>
                    <w:pPr>
                      <w:spacing w:before="6" w:line="240" w:lineRule="auto"/>
                      <w:rPr>
                        <w:sz w:val="15"/>
                      </w:rPr>
                    </w:pPr>
                  </w:p>
                  <w:p>
                    <w:pPr>
                      <w:spacing w:before="0"/>
                      <w:ind w:left="0" w:right="0" w:firstLine="0"/>
                      <w:jc w:val="left"/>
                      <w:rPr>
                        <w:rFonts w:ascii="黑体"/>
                        <w:sz w:val="21"/>
                      </w:rPr>
                    </w:pPr>
                    <w:r>
                      <w:rPr>
                        <w:rFonts w:ascii="黑体"/>
                        <w:sz w:val="21"/>
                      </w:rPr>
                      <w:t>3.1</w:t>
                    </w:r>
                  </w:p>
                  <w:p>
                    <w:pPr>
                      <w:spacing w:before="7" w:line="240" w:lineRule="auto"/>
                      <w:rPr>
                        <w:rFonts w:ascii="黑体"/>
                        <w:sz w:val="15"/>
                      </w:rPr>
                    </w:pPr>
                  </w:p>
                  <w:p>
                    <w:pPr>
                      <w:spacing w:before="0"/>
                      <w:ind w:left="412" w:right="0" w:firstLine="0"/>
                      <w:jc w:val="left"/>
                      <w:rPr>
                        <w:sz w:val="21"/>
                      </w:rPr>
                    </w:pPr>
                    <w:r>
                      <w:rPr>
                        <w:rFonts w:ascii="黑体" w:eastAsia="黑体" w:hint="eastAsia"/>
                        <w:spacing w:val="-3"/>
                        <w:sz w:val="21"/>
                      </w:rPr>
                      <w:t>优秀历史建筑保护修缮</w:t>
                    </w:r>
                    <w:r>
                      <w:rPr>
                        <w:spacing w:val="102"/>
                        <w:sz w:val="21"/>
                      </w:rPr>
                      <w:t xml:space="preserve"> </w:t>
                    </w:r>
                    <w:r>
                      <w:rPr>
                        <w:sz w:val="21"/>
                      </w:rPr>
                      <w:t xml:space="preserve">preservation and restoration of outstanding historic buildings </w:t>
                    </w:r>
                  </w:p>
                  <w:p>
                    <w:pPr>
                      <w:spacing w:before="0" w:line="310" w:lineRule="atLeast"/>
                      <w:ind w:left="0" w:right="18" w:firstLine="419"/>
                      <w:jc w:val="left"/>
                      <w:rPr>
                        <w:sz w:val="21"/>
                      </w:rPr>
                    </w:pPr>
                    <w:r>
                      <w:rPr>
                        <w:spacing w:val="-10"/>
                        <w:sz w:val="21"/>
                      </w:rPr>
                      <w:t>为保护建筑价值、维护建筑安全、延长建筑使用寿命、恢复建筑风貌、提升使用功能，而对其总体</w:t>
                    </w:r>
                    <w:r>
                      <w:rPr>
                        <w:spacing w:val="-3"/>
                        <w:sz w:val="21"/>
                      </w:rPr>
                      <w:t>环境、建筑整体及组成部分的建筑、结构、设备以及专项内容进行维护修缮的工程行为。</w:t>
                    </w:r>
                    <w:r>
                      <w:rPr>
                        <w:sz w:val="21"/>
                      </w:rPr>
                      <w:t xml:space="preserve"> </w:t>
                    </w:r>
                  </w:p>
                </w:txbxContent>
              </v:textbox>
            </v:shape>
            <v:shape id="_x0000_s1042" type="#_x0000_t202" style="width:202;height:180;left:10483;position:absolute;top:7518" filled="f" stroked="f">
              <v:textbox inset="0,0,0,0">
                <w:txbxContent>
                  <w:p>
                    <w:pPr>
                      <w:spacing w:before="0" w:line="180" w:lineRule="exact"/>
                      <w:ind w:left="0" w:right="0" w:firstLine="0"/>
                      <w:jc w:val="left"/>
                      <w:rPr>
                        <w:sz w:val="18"/>
                      </w:rPr>
                    </w:pPr>
                    <w:r>
                      <w:rPr>
                        <w:sz w:val="18"/>
                      </w:rPr>
                      <w:t xml:space="preserve">1 </w:t>
                    </w:r>
                  </w:p>
                </w:txbxContent>
              </v:textbox>
            </v:shape>
            <w10:wrap type="topAndBottom"/>
          </v:group>
        </w:pict>
      </w:r>
      <w:r>
        <w:t xml:space="preserve">GB 50300 建筑工程施工质量验收统一标准 </w:t>
      </w:r>
    </w:p>
    <w:p>
      <w:pPr>
        <w:spacing w:after="0" w:line="269" w:lineRule="exact"/>
        <w:sectPr>
          <w:pgSz w:w="11910" w:h="16840"/>
          <w:pgMar w:top="1340" w:right="260" w:bottom="280" w:left="240" w:header="708" w:footer="708"/>
          <w:pgNumType w:start="6"/>
          <w:cols w:space="708"/>
        </w:sectPr>
      </w:pPr>
    </w:p>
    <w:p>
      <w:pPr>
        <w:pStyle w:val="BodyText"/>
        <w:spacing w:before="61"/>
        <w:ind w:left="892"/>
        <w:rPr>
          <w:rFonts w:ascii="黑体"/>
        </w:rPr>
      </w:pPr>
      <w:r>
        <w:rPr>
          <w:rFonts w:ascii="黑体"/>
        </w:rPr>
        <w:t>DB4201/T 574-2019</w:t>
      </w:r>
    </w:p>
    <w:p>
      <w:pPr>
        <w:pStyle w:val="BodyText"/>
        <w:spacing w:before="6"/>
        <w:rPr>
          <w:rFonts w:ascii="黑体"/>
          <w:sz w:val="13"/>
        </w:rPr>
      </w:pPr>
    </w:p>
    <w:p>
      <w:pPr>
        <w:pStyle w:val="BodyText"/>
        <w:spacing w:before="72"/>
        <w:ind w:left="892"/>
        <w:rPr>
          <w:rFonts w:ascii="黑体"/>
        </w:rPr>
      </w:pPr>
      <w:r>
        <w:rPr>
          <w:rFonts w:ascii="黑体"/>
        </w:rPr>
        <w:t>3.2</w:t>
      </w:r>
    </w:p>
    <w:p>
      <w:pPr>
        <w:pStyle w:val="BodyText"/>
        <w:spacing w:before="6"/>
        <w:rPr>
          <w:rFonts w:ascii="黑体"/>
          <w:sz w:val="15"/>
        </w:rPr>
      </w:pPr>
    </w:p>
    <w:p>
      <w:pPr>
        <w:pStyle w:val="BodyText"/>
        <w:spacing w:before="1"/>
        <w:ind w:left="1305"/>
      </w:pPr>
      <w:r>
        <w:rPr>
          <w:rFonts w:ascii="黑体" w:eastAsia="黑体" w:hint="eastAsia"/>
        </w:rPr>
        <w:t>保护等级</w:t>
      </w:r>
      <w:r>
        <w:t xml:space="preserve"> protection level </w:t>
      </w:r>
    </w:p>
    <w:p>
      <w:pPr>
        <w:pStyle w:val="BodyText"/>
        <w:spacing w:before="43" w:line="278" w:lineRule="auto"/>
        <w:ind w:left="893" w:right="1155" w:firstLine="419"/>
      </w:pPr>
      <w:r>
        <w:rPr>
          <w:spacing w:val="-9"/>
        </w:rPr>
        <w:t>根据建筑价值及其完好程度，武汉市优秀历史建筑的保护等级分为一级和二级，不同保护等级优秀</w:t>
      </w:r>
      <w:r>
        <w:rPr>
          <w:spacing w:val="-3"/>
        </w:rPr>
        <w:t>历史建筑的保护要求也有所区别。</w:t>
      </w:r>
      <w:r>
        <w:t xml:space="preserve"> </w:t>
      </w:r>
    </w:p>
    <w:p>
      <w:pPr>
        <w:pStyle w:val="BodyText"/>
        <w:spacing w:before="155"/>
        <w:ind w:left="893"/>
        <w:rPr>
          <w:rFonts w:ascii="黑体"/>
        </w:rPr>
      </w:pPr>
      <w:r>
        <w:rPr>
          <w:rFonts w:ascii="黑体"/>
        </w:rPr>
        <w:t>3.3</w:t>
      </w:r>
    </w:p>
    <w:p>
      <w:pPr>
        <w:pStyle w:val="BodyText"/>
        <w:spacing w:before="7"/>
        <w:rPr>
          <w:rFonts w:ascii="黑体"/>
          <w:sz w:val="15"/>
        </w:rPr>
      </w:pPr>
    </w:p>
    <w:p>
      <w:pPr>
        <w:pStyle w:val="BodyText"/>
        <w:spacing w:line="278" w:lineRule="auto"/>
        <w:ind w:left="893" w:right="761" w:firstLine="412"/>
      </w:pPr>
      <w:r>
        <w:rPr>
          <w:rFonts w:ascii="黑体" w:eastAsia="黑体" w:hint="eastAsia"/>
        </w:rPr>
        <w:t>武汉市优秀历史建筑保护图则</w:t>
      </w:r>
      <w:r>
        <w:t xml:space="preserve"> statutory plans of the conservation of outstanding historic buildings in wuhan </w:t>
      </w:r>
    </w:p>
    <w:p>
      <w:pPr>
        <w:pStyle w:val="BodyText"/>
        <w:spacing w:line="278" w:lineRule="auto"/>
        <w:ind w:left="893" w:right="1153" w:firstLine="420"/>
      </w:pPr>
      <w:r>
        <w:rPr>
          <w:spacing w:val="-8"/>
        </w:rPr>
        <w:t>房屋主管部门根据优秀历史建筑具体情况，委托相关工作机构逐栋编制的用以明确建筑保护范围及保护、修缮和使用的具体要求，并经专家评审后向社会公布的管理文件。以下简称《保护图则》。</w:t>
      </w:r>
    </w:p>
    <w:p>
      <w:pPr>
        <w:pStyle w:val="BodyText"/>
        <w:spacing w:before="155"/>
        <w:ind w:left="893"/>
        <w:rPr>
          <w:rFonts w:ascii="黑体"/>
        </w:rPr>
      </w:pPr>
      <w:r>
        <w:rPr>
          <w:rFonts w:ascii="黑体"/>
        </w:rPr>
        <w:t>3.4</w:t>
      </w:r>
    </w:p>
    <w:p>
      <w:pPr>
        <w:pStyle w:val="BodyText"/>
        <w:spacing w:before="7"/>
        <w:rPr>
          <w:rFonts w:ascii="黑体"/>
          <w:sz w:val="15"/>
        </w:rPr>
      </w:pPr>
    </w:p>
    <w:p>
      <w:pPr>
        <w:pStyle w:val="BodyText"/>
        <w:ind w:left="1306"/>
      </w:pPr>
      <w:r>
        <w:rPr>
          <w:rFonts w:ascii="黑体" w:eastAsia="黑体" w:hint="eastAsia"/>
        </w:rPr>
        <w:t>建筑空间格局</w:t>
      </w:r>
      <w:r>
        <w:t xml:space="preserve"> architectural spatial pattern </w:t>
      </w:r>
    </w:p>
    <w:p>
      <w:pPr>
        <w:pStyle w:val="BodyText"/>
        <w:spacing w:before="43" w:line="278" w:lineRule="auto"/>
        <w:ind w:left="893" w:right="1155" w:firstLine="419"/>
        <w:rPr>
          <w:sz w:val="24"/>
        </w:rPr>
      </w:pPr>
      <w:r>
        <w:rPr>
          <w:spacing w:val="-9"/>
        </w:rPr>
        <w:t>建筑内外空间的相互关系，包括建筑的体量、尺度、高度、层数，以及由建筑装饰和结构等所形成</w:t>
      </w:r>
      <w:r>
        <w:rPr>
          <w:spacing w:val="-3"/>
        </w:rPr>
        <w:t>的空间布局和由建筑与周边相邻建筑及街道构成的外部街景关系。</w:t>
      </w:r>
      <w:r>
        <w:rPr>
          <w:sz w:val="24"/>
        </w:rPr>
        <w:t xml:space="preserve"> </w:t>
      </w:r>
    </w:p>
    <w:p>
      <w:pPr>
        <w:pStyle w:val="BodyText"/>
        <w:spacing w:before="156"/>
        <w:ind w:left="892"/>
        <w:rPr>
          <w:rFonts w:ascii="黑体"/>
        </w:rPr>
      </w:pPr>
      <w:r>
        <w:rPr>
          <w:rFonts w:ascii="黑体"/>
        </w:rPr>
        <w:t>3.5</w:t>
      </w:r>
    </w:p>
    <w:p>
      <w:pPr>
        <w:pStyle w:val="BodyText"/>
        <w:spacing w:before="7"/>
        <w:rPr>
          <w:rFonts w:ascii="黑体"/>
          <w:sz w:val="15"/>
        </w:rPr>
      </w:pPr>
    </w:p>
    <w:p>
      <w:pPr>
        <w:pStyle w:val="BodyText"/>
        <w:ind w:left="1305"/>
      </w:pPr>
      <w:r>
        <w:rPr>
          <w:rFonts w:ascii="黑体" w:eastAsia="黑体" w:hint="eastAsia"/>
        </w:rPr>
        <w:t>重点保护部位</w:t>
      </w:r>
      <w:r>
        <w:t xml:space="preserve"> key protection area </w:t>
      </w:r>
    </w:p>
    <w:p>
      <w:pPr>
        <w:pStyle w:val="BodyText"/>
        <w:spacing w:before="43" w:line="278" w:lineRule="auto"/>
        <w:ind w:left="892" w:right="1154" w:firstLine="420"/>
      </w:pPr>
      <w:r>
        <w:pict>
          <v:shape id="_x0000_s1043" type="#_x0000_t202" style="width:560pt;height:384pt;margin-top:29.81pt;margin-left:17pt;mso-position-horizontal-relative:page;position:absolute;z-index:-251650048" filled="f" stroked="f">
            <v:textbox inset="0,0,0,0">
              <w:txbxContent>
                <w:p>
                  <w:pPr>
                    <w:pStyle w:val="BodyText"/>
                    <w:spacing w:before="70"/>
                    <w:ind w:left="793"/>
                  </w:pPr>
                  <w:r>
                    <w:t xml:space="preserve">点保护部位和相关保护要求。 </w:t>
                  </w:r>
                </w:p>
                <w:p>
                  <w:pPr>
                    <w:pStyle w:val="BodyText"/>
                    <w:spacing w:before="7"/>
                    <w:rPr>
                      <w:sz w:val="15"/>
                    </w:rPr>
                  </w:pPr>
                </w:p>
                <w:p>
                  <w:pPr>
                    <w:pStyle w:val="BodyText"/>
                    <w:ind w:left="793"/>
                    <w:rPr>
                      <w:rFonts w:ascii="黑体"/>
                    </w:rPr>
                  </w:pPr>
                  <w:r>
                    <w:rPr>
                      <w:rFonts w:ascii="黑体"/>
                    </w:rPr>
                    <w:t>3.6</w:t>
                  </w:r>
                </w:p>
                <w:p>
                  <w:pPr>
                    <w:pStyle w:val="BodyText"/>
                    <w:spacing w:before="7"/>
                    <w:rPr>
                      <w:rFonts w:ascii="黑体"/>
                      <w:sz w:val="15"/>
                    </w:rPr>
                  </w:pPr>
                </w:p>
                <w:p>
                  <w:pPr>
                    <w:pStyle w:val="BodyText"/>
                    <w:ind w:left="1205"/>
                  </w:pPr>
                  <w:r>
                    <w:rPr>
                      <w:rFonts w:ascii="黑体" w:eastAsia="黑体" w:hint="eastAsia"/>
                    </w:rPr>
                    <w:t>总体环境</w:t>
                  </w:r>
                  <w:r>
                    <w:t xml:space="preserve"> overall environment </w:t>
                  </w:r>
                </w:p>
                <w:p>
                  <w:pPr>
                    <w:pStyle w:val="BodyText"/>
                    <w:spacing w:before="43" w:line="278" w:lineRule="auto"/>
                    <w:ind w:left="793" w:right="952" w:firstLine="419"/>
                  </w:pPr>
                  <w:r>
                    <w:t xml:space="preserve">保护控制范围内各种人工与自然空间构成的总称，包括附属建（构）筑物、古树名木、园林景观、设施、设备等，其中保护控制范围由相关紫线专项规划和《保护图则》规定。 </w:t>
                  </w:r>
                </w:p>
                <w:p>
                  <w:pPr>
                    <w:pStyle w:val="BodyText"/>
                    <w:spacing w:before="156"/>
                    <w:ind w:left="793"/>
                    <w:rPr>
                      <w:rFonts w:ascii="黑体"/>
                    </w:rPr>
                  </w:pPr>
                  <w:r>
                    <w:rPr>
                      <w:rFonts w:ascii="黑体"/>
                    </w:rPr>
                    <w:t>3.7</w:t>
                  </w:r>
                </w:p>
                <w:p>
                  <w:pPr>
                    <w:pStyle w:val="BodyText"/>
                    <w:spacing w:before="6"/>
                    <w:rPr>
                      <w:rFonts w:ascii="黑体"/>
                      <w:sz w:val="15"/>
                    </w:rPr>
                  </w:pPr>
                </w:p>
                <w:p>
                  <w:pPr>
                    <w:pStyle w:val="BodyText"/>
                    <w:ind w:left="1213"/>
                  </w:pPr>
                  <w:bookmarkStart w:id="5" w:name="查勘 survey"/>
                  <w:bookmarkEnd w:id="5"/>
                  <w:r>
                    <w:rPr>
                      <w:rFonts w:ascii="黑体" w:eastAsia="黑体" w:hint="eastAsia"/>
                    </w:rPr>
                    <w:t xml:space="preserve">查勘 </w:t>
                  </w:r>
                  <w:r>
                    <w:t xml:space="preserve">survey </w:t>
                  </w:r>
                </w:p>
                <w:p>
                  <w:pPr>
                    <w:pStyle w:val="BodyText"/>
                    <w:spacing w:before="43" w:line="278" w:lineRule="auto"/>
                    <w:ind w:left="793" w:right="1046" w:firstLine="419"/>
                  </w:pPr>
                  <w:r>
                    <w:rPr>
                      <w:spacing w:val="-9"/>
                    </w:rPr>
                    <w:t>为明确优秀历史建筑病害、完损情况，确定修缮范围、修缮部位及修缮要求而进行的资料研究和实</w:t>
                  </w:r>
                  <w:r>
                    <w:rPr>
                      <w:spacing w:val="-5"/>
                    </w:rPr>
                    <w:t>地调查等活动。</w:t>
                  </w:r>
                  <w:r>
                    <w:t xml:space="preserve"> </w:t>
                  </w:r>
                </w:p>
                <w:p>
                  <w:pPr>
                    <w:pStyle w:val="BodyText"/>
                    <w:spacing w:before="156"/>
                    <w:ind w:left="793"/>
                    <w:rPr>
                      <w:rFonts w:ascii="黑体"/>
                    </w:rPr>
                  </w:pPr>
                  <w:r>
                    <w:rPr>
                      <w:rFonts w:ascii="黑体"/>
                    </w:rPr>
                    <w:t>3.8</w:t>
                  </w:r>
                </w:p>
                <w:p>
                  <w:pPr>
                    <w:pStyle w:val="BodyText"/>
                    <w:spacing w:before="6"/>
                    <w:rPr>
                      <w:rFonts w:ascii="黑体"/>
                      <w:sz w:val="15"/>
                    </w:rPr>
                  </w:pPr>
                </w:p>
                <w:p>
                  <w:pPr>
                    <w:pStyle w:val="BodyText"/>
                    <w:spacing w:before="1"/>
                    <w:ind w:left="1206"/>
                  </w:pPr>
                  <w:r>
                    <w:rPr>
                      <w:rFonts w:ascii="黑体" w:eastAsia="黑体" w:hint="eastAsia"/>
                    </w:rPr>
                    <w:t xml:space="preserve">房屋完损等级 </w:t>
                  </w:r>
                  <w:r>
                    <w:t>damage condition of houses</w:t>
                  </w:r>
                </w:p>
                <w:p>
                  <w:pPr>
                    <w:pStyle w:val="BodyText"/>
                    <w:spacing w:before="43" w:line="278" w:lineRule="auto"/>
                    <w:ind w:left="793" w:right="1047" w:firstLine="419"/>
                  </w:pPr>
                  <w:r>
                    <w:rPr>
                      <w:spacing w:val="-11"/>
                    </w:rPr>
                    <w:t>按照《房屋完损等级评定标准》，房屋完损状况根据各类房屋的结构、装修、设备等组成部分的完</w:t>
                  </w:r>
                  <w:r>
                    <w:rPr>
                      <w:spacing w:val="-6"/>
                    </w:rPr>
                    <w:t>好、损坏程度，分为完好房、基本完好房、一般损坏房、严重损坏房和危房五种类型。</w:t>
                  </w:r>
                  <w:r>
                    <w:t xml:space="preserve"> </w:t>
                  </w:r>
                </w:p>
                <w:p>
                  <w:pPr>
                    <w:pStyle w:val="BodyText"/>
                    <w:spacing w:before="155"/>
                    <w:ind w:left="793"/>
                    <w:rPr>
                      <w:rFonts w:ascii="黑体"/>
                    </w:rPr>
                  </w:pPr>
                  <w:r>
                    <w:rPr>
                      <w:rFonts w:ascii="黑体"/>
                    </w:rPr>
                    <w:t>3.9</w:t>
                  </w:r>
                </w:p>
                <w:p>
                  <w:pPr>
                    <w:pStyle w:val="BodyText"/>
                    <w:spacing w:before="7"/>
                    <w:rPr>
                      <w:rFonts w:ascii="黑体"/>
                      <w:sz w:val="15"/>
                    </w:rPr>
                  </w:pPr>
                </w:p>
                <w:p>
                  <w:pPr>
                    <w:pStyle w:val="BodyText"/>
                    <w:ind w:left="1206"/>
                  </w:pPr>
                  <w:r>
                    <w:rPr>
                      <w:rFonts w:ascii="黑体" w:eastAsia="黑体" w:hint="eastAsia"/>
                    </w:rPr>
                    <w:t xml:space="preserve">结构干预 </w:t>
                  </w:r>
                  <w:r>
                    <w:t>structure intervention</w:t>
                  </w:r>
                </w:p>
                <w:p>
                  <w:pPr>
                    <w:pStyle w:val="BodyText"/>
                    <w:spacing w:before="43"/>
                    <w:ind w:left="1213"/>
                  </w:pPr>
                  <w:r>
                    <w:t xml:space="preserve">为提高结构承载或抗变形能力及抗震性能，而对其采取的必要技术措施。 </w:t>
                  </w:r>
                </w:p>
                <w:p>
                  <w:pPr>
                    <w:pStyle w:val="BodyText"/>
                    <w:spacing w:before="43"/>
                    <w:ind w:left="1213"/>
                  </w:pPr>
                  <w:r>
                    <w:rPr>
                      <w:w w:val="100"/>
                    </w:rPr>
                    <w:t xml:space="preserve"> </w:t>
                  </w:r>
                </w:p>
                <w:p>
                  <w:pPr>
                    <w:pStyle w:val="BodyText"/>
                    <w:spacing w:before="6"/>
                    <w:rPr>
                      <w:sz w:val="15"/>
                    </w:rPr>
                  </w:pPr>
                </w:p>
                <w:p>
                  <w:pPr>
                    <w:pStyle w:val="BodyText"/>
                    <w:spacing w:before="1"/>
                    <w:ind w:left="793"/>
                    <w:rPr>
                      <w:rFonts w:ascii="黑体"/>
                    </w:rPr>
                  </w:pPr>
                  <w:r>
                    <w:rPr>
                      <w:rFonts w:ascii="黑体"/>
                    </w:rPr>
                    <w:t>3.10</w:t>
                  </w:r>
                </w:p>
                <w:p>
                  <w:pPr>
                    <w:spacing w:before="164"/>
                    <w:ind w:left="1013" w:right="0" w:firstLine="0"/>
                    <w:jc w:val="left"/>
                    <w:rPr>
                      <w:sz w:val="18"/>
                    </w:rPr>
                  </w:pPr>
                  <w:r>
                    <w:rPr>
                      <w:sz w:val="18"/>
                    </w:rPr>
                    <w:t xml:space="preserve">2 </w:t>
                  </w:r>
                </w:p>
              </w:txbxContent>
            </v:textbox>
          </v:shape>
        </w:pict>
      </w:r>
      <w:r>
        <w:drawing>
          <wp:anchor distT="0" distB="0" distL="0" distR="0" simplePos="0" relativeHeight="251665408" behindDoc="0" locked="0" layoutInCell="1" allowOverlap="1">
            <wp:simplePos x="0" y="0"/>
            <wp:positionH relativeFrom="page">
              <wp:posOffset>215900</wp:posOffset>
            </wp:positionH>
            <wp:positionV relativeFrom="paragraph">
              <wp:posOffset>378611</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8"/>
        </w:rPr>
        <w:t>集中体现建筑价值和特色的构成要素，包括主要立面，平面布局，特色构件、材料、工艺做法和装</w:t>
      </w:r>
      <w:r>
        <w:rPr>
          <w:spacing w:val="-10"/>
        </w:rPr>
        <w:t>饰，主体结构，历史环境要素等。根据历史考证和现场查勘的不断深入，经专家认定后可增加、调整重</w:t>
      </w:r>
    </w:p>
    <w:p>
      <w:pPr>
        <w:spacing w:after="0" w:line="278" w:lineRule="auto"/>
        <w:sectPr>
          <w:pgSz w:w="11910" w:h="16840"/>
          <w:pgMar w:top="1340" w:right="260" w:bottom="280" w:left="240" w:header="708" w:footer="708"/>
          <w:pgNumType w:start="7"/>
          <w:cols w:space="708"/>
        </w:sectPr>
      </w:pPr>
    </w:p>
    <w:p>
      <w:pPr>
        <w:pStyle w:val="BodyText"/>
        <w:spacing w:before="61"/>
        <w:ind w:right="870"/>
        <w:jc w:val="right"/>
        <w:rPr>
          <w:rFonts w:ascii="黑体"/>
        </w:rPr>
      </w:pPr>
      <w:r>
        <w:pict>
          <v:group id="_x0000_s1044" style="width:595.5pt;height:842.15pt;margin-top:-0.09pt;margin-left:-0.09pt;mso-position-horizontal-relative:page;mso-position-vertical-relative:page;position:absolute;z-index:-251649024" coordorigin="-2,-2" coordsize="11910,16843">
            <v:shape id="_x0000_s1045" type="#_x0000_t75" style="width:6067;height:8051;left:2650;position:absolute;top:4649" stroked="f">
              <v:imagedata r:id="rId6" o:title=""/>
            </v:shape>
            <v:rect id="_x0000_s1046" style="width:11906;height:16838;position:absolute" filled="f" stroked="t" strokecolor="#231916" strokeweight="0.22pt">
              <v:stroke dashstyle="solid"/>
            </v:rect>
            <v:shape id="_x0000_s1047" type="#_x0000_t75" style="width:11200;height:7680;left:340;position:absolute;top:8258" stroked="f">
              <v:imagedata r:id="rId4" o:title=""/>
            </v:shape>
          </v:group>
        </w:pict>
      </w:r>
      <w:r>
        <w:rPr>
          <w:rFonts w:ascii="黑体"/>
        </w:rPr>
        <w:t>DB4201/T 574-2019</w:t>
      </w:r>
    </w:p>
    <w:p>
      <w:pPr>
        <w:pStyle w:val="BodyText"/>
        <w:spacing w:before="6"/>
        <w:rPr>
          <w:rFonts w:ascii="黑体"/>
          <w:sz w:val="13"/>
        </w:rPr>
      </w:pPr>
    </w:p>
    <w:p>
      <w:pPr>
        <w:pStyle w:val="BodyText"/>
        <w:spacing w:before="72"/>
        <w:ind w:left="1591"/>
      </w:pPr>
      <w:r>
        <w:rPr>
          <w:rFonts w:ascii="黑体" w:eastAsia="黑体" w:hint="eastAsia"/>
        </w:rPr>
        <w:t xml:space="preserve">砖石增强 </w:t>
      </w:r>
      <w:r>
        <w:t>brick and masonry enhancement</w:t>
      </w:r>
    </w:p>
    <w:p>
      <w:pPr>
        <w:pStyle w:val="BodyText"/>
        <w:spacing w:before="43"/>
        <w:ind w:left="1598"/>
      </w:pPr>
      <w:r>
        <w:t xml:space="preserve">在不改变原有材料颜色及质感的前提下，对优秀历史建筑砖石材料表面的劣化进行的增强处理。 </w:t>
      </w:r>
    </w:p>
    <w:p>
      <w:pPr>
        <w:pStyle w:val="BodyText"/>
        <w:spacing w:before="6"/>
        <w:rPr>
          <w:sz w:val="15"/>
        </w:rPr>
      </w:pPr>
    </w:p>
    <w:p>
      <w:pPr>
        <w:pStyle w:val="BodyText"/>
        <w:spacing w:before="1"/>
        <w:ind w:left="1178"/>
        <w:rPr>
          <w:rFonts w:ascii="黑体"/>
        </w:rPr>
      </w:pPr>
      <w:r>
        <w:rPr>
          <w:rFonts w:ascii="黑体"/>
        </w:rPr>
        <w:t>3.11</w:t>
      </w:r>
    </w:p>
    <w:p>
      <w:pPr>
        <w:pStyle w:val="BodyText"/>
        <w:spacing w:before="6"/>
        <w:rPr>
          <w:rFonts w:ascii="黑体"/>
          <w:sz w:val="15"/>
        </w:rPr>
      </w:pPr>
    </w:p>
    <w:p>
      <w:pPr>
        <w:pStyle w:val="BodyText"/>
        <w:ind w:left="1591"/>
      </w:pPr>
      <w:r>
        <w:rPr>
          <w:rFonts w:ascii="黑体" w:eastAsia="黑体" w:hint="eastAsia"/>
        </w:rPr>
        <w:t xml:space="preserve">憎水 </w:t>
      </w:r>
      <w:r>
        <w:t>hydrophobic treatment</w:t>
      </w:r>
    </w:p>
    <w:p>
      <w:pPr>
        <w:pStyle w:val="BodyText"/>
        <w:spacing w:before="43"/>
        <w:ind w:left="1598"/>
      </w:pPr>
      <w:r>
        <w:t xml:space="preserve">利用憎水材料浸渍砖石等无机材料，提高砖石材料表面抗风化能力的处理方法。 </w:t>
      </w:r>
    </w:p>
    <w:p>
      <w:pPr>
        <w:pStyle w:val="BodyText"/>
        <w:spacing w:before="7"/>
        <w:rPr>
          <w:sz w:val="15"/>
        </w:rPr>
      </w:pPr>
    </w:p>
    <w:p>
      <w:pPr>
        <w:pStyle w:val="BodyText"/>
        <w:ind w:left="1178"/>
        <w:rPr>
          <w:rFonts w:ascii="黑体"/>
        </w:rPr>
      </w:pPr>
      <w:r>
        <w:rPr>
          <w:rFonts w:ascii="黑体"/>
        </w:rPr>
        <w:t>3.12</w:t>
      </w:r>
    </w:p>
    <w:p>
      <w:pPr>
        <w:pStyle w:val="BodyText"/>
        <w:spacing w:before="7"/>
        <w:rPr>
          <w:rFonts w:ascii="黑体"/>
          <w:sz w:val="15"/>
        </w:rPr>
      </w:pPr>
    </w:p>
    <w:p>
      <w:pPr>
        <w:pStyle w:val="BodyText"/>
        <w:ind w:left="1591"/>
      </w:pPr>
      <w:r>
        <w:rPr>
          <w:rFonts w:ascii="黑体" w:eastAsia="黑体" w:hint="eastAsia"/>
        </w:rPr>
        <w:t xml:space="preserve">排盐、脱盐 </w:t>
      </w:r>
      <w:r>
        <w:t>salt elimination and desalination</w:t>
      </w:r>
    </w:p>
    <w:p>
      <w:pPr>
        <w:pStyle w:val="BodyText"/>
        <w:spacing w:before="43" w:line="278" w:lineRule="auto"/>
        <w:ind w:left="1178" w:right="773" w:firstLine="419"/>
      </w:pPr>
      <w:r>
        <w:t xml:space="preserve">利用水溶盐在水中溶解迁移并在蒸发面结晶沉淀的原理，降低砖石等无机材料中有害水溶盐含量， 从而更好地保存历史材料的方法。 </w:t>
      </w:r>
    </w:p>
    <w:p>
      <w:pPr>
        <w:pStyle w:val="BodyText"/>
        <w:spacing w:before="155"/>
        <w:ind w:left="1178"/>
        <w:rPr>
          <w:rFonts w:ascii="黑体"/>
        </w:rPr>
      </w:pPr>
      <w:r>
        <w:rPr>
          <w:rFonts w:ascii="黑体"/>
        </w:rPr>
        <w:t>3.13</w:t>
      </w:r>
    </w:p>
    <w:p>
      <w:pPr>
        <w:pStyle w:val="BodyText"/>
        <w:spacing w:before="7"/>
        <w:rPr>
          <w:rFonts w:ascii="黑体"/>
          <w:sz w:val="15"/>
        </w:rPr>
      </w:pPr>
    </w:p>
    <w:p>
      <w:pPr>
        <w:pStyle w:val="BodyText"/>
        <w:ind w:left="1591"/>
      </w:pPr>
      <w:r>
        <w:rPr>
          <w:rFonts w:ascii="黑体" w:eastAsia="黑体" w:hint="eastAsia"/>
        </w:rPr>
        <w:t xml:space="preserve">敷贴法清洗 </w:t>
      </w:r>
      <w:r>
        <w:t>application methodof cleaning</w:t>
      </w:r>
    </w:p>
    <w:p>
      <w:pPr>
        <w:pStyle w:val="BodyText"/>
        <w:spacing w:before="43"/>
        <w:ind w:left="1599"/>
      </w:pPr>
      <w:r>
        <w:t xml:space="preserve">在砖石等多孔无机材料表面敷贴清洁敷剂，将污垢及水溶盐等吸附出来，从而清洁墙面的一种方法。 </w:t>
      </w:r>
    </w:p>
    <w:p>
      <w:pPr>
        <w:pStyle w:val="BodyText"/>
        <w:spacing w:before="7"/>
        <w:rPr>
          <w:sz w:val="15"/>
        </w:rPr>
      </w:pPr>
    </w:p>
    <w:p>
      <w:pPr>
        <w:pStyle w:val="BodyText"/>
        <w:ind w:left="1179"/>
        <w:rPr>
          <w:rFonts w:ascii="黑体"/>
        </w:rPr>
      </w:pPr>
      <w:r>
        <w:rPr>
          <w:rFonts w:ascii="黑体"/>
        </w:rPr>
        <w:t>3.14</w:t>
      </w:r>
    </w:p>
    <w:p>
      <w:pPr>
        <w:pStyle w:val="BodyText"/>
        <w:spacing w:before="6"/>
        <w:rPr>
          <w:rFonts w:ascii="黑体"/>
          <w:sz w:val="15"/>
        </w:rPr>
      </w:pPr>
    </w:p>
    <w:p>
      <w:pPr>
        <w:pStyle w:val="BodyText"/>
        <w:spacing w:before="1"/>
        <w:ind w:left="1592"/>
      </w:pPr>
      <w:r>
        <w:rPr>
          <w:rFonts w:ascii="黑体" w:eastAsia="黑体" w:hint="eastAsia"/>
        </w:rPr>
        <w:t xml:space="preserve">钻孔化学注射法 </w:t>
      </w:r>
      <w:r>
        <w:t>chemical injection method</w:t>
      </w:r>
    </w:p>
    <w:p>
      <w:pPr>
        <w:pStyle w:val="BodyText"/>
        <w:spacing w:before="42"/>
        <w:ind w:left="1599"/>
      </w:pPr>
      <w:r>
        <w:t>在砖砌体上钻孔注射硅烷类、聚氨酯等防水材料，从而在墙体中形成连续防水带的避潮层修复方法。</w:t>
      </w:r>
    </w:p>
    <w:p>
      <w:pPr>
        <w:pStyle w:val="BodyText"/>
        <w:spacing w:before="12"/>
        <w:rPr>
          <w:sz w:val="27"/>
        </w:rPr>
      </w:pPr>
    </w:p>
    <w:p>
      <w:pPr>
        <w:pStyle w:val="ListParagraph"/>
        <w:numPr>
          <w:ilvl w:val="0"/>
          <w:numId w:val="28"/>
        </w:numPr>
        <w:tabs>
          <w:tab w:val="left" w:pos="1495"/>
        </w:tabs>
        <w:spacing w:before="0" w:after="0" w:line="240" w:lineRule="auto"/>
        <w:ind w:left="1494" w:right="0" w:hanging="316"/>
        <w:jc w:val="left"/>
        <w:rPr>
          <w:rFonts w:ascii="黑体" w:eastAsia="黑体" w:hint="eastAsia"/>
          <w:sz w:val="21"/>
        </w:rPr>
      </w:pPr>
      <w:bookmarkStart w:id="6" w:name="基本规定"/>
      <w:bookmarkEnd w:id="6"/>
      <w:r>
        <w:rPr>
          <w:rFonts w:ascii="黑体" w:eastAsia="黑体" w:hint="eastAsia"/>
          <w:spacing w:val="-1"/>
          <w:sz w:val="21"/>
        </w:rPr>
        <w:t>基本规定</w:t>
      </w:r>
    </w:p>
    <w:p>
      <w:pPr>
        <w:pStyle w:val="BodyText"/>
        <w:spacing w:before="6"/>
        <w:rPr>
          <w:rFonts w:ascii="黑体"/>
          <w:sz w:val="27"/>
        </w:rPr>
      </w:pPr>
    </w:p>
    <w:p>
      <w:pPr>
        <w:pStyle w:val="ListParagraph"/>
        <w:numPr>
          <w:ilvl w:val="1"/>
          <w:numId w:val="28"/>
        </w:numPr>
        <w:tabs>
          <w:tab w:val="left" w:pos="1706"/>
        </w:tabs>
        <w:spacing w:before="0" w:after="0" w:line="240" w:lineRule="auto"/>
        <w:ind w:left="1705" w:right="0" w:hanging="527"/>
        <w:jc w:val="left"/>
        <w:rPr>
          <w:rFonts w:ascii="黑体" w:eastAsia="黑体" w:hint="eastAsia"/>
          <w:sz w:val="21"/>
        </w:rPr>
      </w:pPr>
      <w:bookmarkStart w:id="7" w:name="一般规定"/>
      <w:bookmarkEnd w:id="7"/>
      <w:r>
        <w:rPr>
          <w:rFonts w:ascii="黑体" w:eastAsia="黑体" w:hint="eastAsia"/>
          <w:spacing w:val="-1"/>
          <w:sz w:val="21"/>
        </w:rPr>
        <w:t>一般规定</w:t>
      </w:r>
    </w:p>
    <w:p>
      <w:pPr>
        <w:pStyle w:val="BodyText"/>
        <w:spacing w:before="7"/>
        <w:rPr>
          <w:rFonts w:ascii="黑体"/>
          <w:sz w:val="15"/>
        </w:rPr>
      </w:pPr>
    </w:p>
    <w:p>
      <w:pPr>
        <w:pStyle w:val="ListParagraph"/>
        <w:numPr>
          <w:ilvl w:val="2"/>
          <w:numId w:val="28"/>
        </w:numPr>
        <w:tabs>
          <w:tab w:val="left" w:pos="1915"/>
        </w:tabs>
        <w:spacing w:before="0" w:after="0" w:line="278" w:lineRule="auto"/>
        <w:ind w:left="1179" w:right="869" w:hanging="1"/>
        <w:jc w:val="both"/>
        <w:rPr>
          <w:sz w:val="21"/>
        </w:rPr>
      </w:pPr>
      <w:bookmarkStart w:id="8" w:name="优秀历史建筑的保护修缮应根据保护等级和保护要求，保护其历史文化与技术信息，遵循真"/>
      <w:bookmarkEnd w:id="8"/>
      <w:r>
        <w:rPr>
          <w:spacing w:val="-3"/>
          <w:sz w:val="21"/>
        </w:rPr>
        <w:t>优秀历史建筑的保护修缮应根据保护等级和保护要求，保护其历史文化与技术信息，遵循真实</w:t>
      </w:r>
      <w:r>
        <w:rPr>
          <w:spacing w:val="-9"/>
          <w:sz w:val="21"/>
        </w:rPr>
        <w:t>性、完整性、可识别性和最低限度干预等原则, 做到保护优先、安全适用、合理利用、技术适宜、经济</w:t>
      </w:r>
      <w:r>
        <w:rPr>
          <w:spacing w:val="-5"/>
          <w:sz w:val="21"/>
        </w:rPr>
        <w:t>可行和确保质量。</w:t>
      </w:r>
      <w:r>
        <w:rPr>
          <w:sz w:val="21"/>
        </w:rPr>
        <w:t xml:space="preserve"> </w:t>
      </w:r>
    </w:p>
    <w:p>
      <w:pPr>
        <w:pStyle w:val="ListParagraph"/>
        <w:numPr>
          <w:ilvl w:val="2"/>
          <w:numId w:val="28"/>
        </w:numPr>
        <w:tabs>
          <w:tab w:val="left" w:pos="1915"/>
        </w:tabs>
        <w:spacing w:before="50" w:after="0" w:line="278" w:lineRule="auto"/>
        <w:ind w:left="1180" w:right="873" w:hanging="1"/>
        <w:jc w:val="both"/>
        <w:rPr>
          <w:sz w:val="21"/>
        </w:rPr>
      </w:pPr>
      <w:bookmarkStart w:id="9" w:name="优秀历史建筑的保护修缮应按照房屋主管部门提供的保护修缮技术要求明确建筑的重点保护"/>
      <w:bookmarkEnd w:id="9"/>
      <w:r>
        <w:rPr>
          <w:spacing w:val="-3"/>
          <w:sz w:val="21"/>
        </w:rPr>
        <w:t>优秀历史建筑的保护修缮应按照房屋主管部门提供的保护修缮技术要求明确建筑的重点保护部</w:t>
      </w:r>
      <w:r>
        <w:rPr>
          <w:spacing w:val="-3"/>
          <w:sz w:val="21"/>
        </w:rPr>
        <w:t>位和保护要求。</w:t>
      </w:r>
      <w:r>
        <w:rPr>
          <w:sz w:val="21"/>
        </w:rPr>
        <w:t xml:space="preserve"> </w:t>
      </w:r>
    </w:p>
    <w:p>
      <w:pPr>
        <w:pStyle w:val="ListParagraph"/>
        <w:numPr>
          <w:ilvl w:val="2"/>
          <w:numId w:val="28"/>
        </w:numPr>
        <w:tabs>
          <w:tab w:val="left" w:pos="1915"/>
        </w:tabs>
        <w:spacing w:before="50" w:after="0" w:line="278" w:lineRule="auto"/>
        <w:ind w:left="1180" w:right="873" w:hanging="1"/>
        <w:jc w:val="both"/>
        <w:rPr>
          <w:sz w:val="21"/>
        </w:rPr>
      </w:pPr>
      <w:bookmarkStart w:id="10" w:name="优秀历史建筑应定期进行检测，检测周期根据房屋的建筑类型、结构类型、已使用年限、使"/>
      <w:bookmarkEnd w:id="10"/>
      <w:r>
        <w:rPr>
          <w:spacing w:val="-3"/>
          <w:sz w:val="21"/>
        </w:rPr>
        <w:t>优秀历史建筑应定期进行检测，检测周期根据房屋的建筑类型、结构类型、已使用年限、使用</w:t>
      </w:r>
      <w:r>
        <w:rPr>
          <w:spacing w:val="-3"/>
          <w:sz w:val="21"/>
        </w:rPr>
        <w:t>环境、使用功能以及保护要求等因素综合确定。</w:t>
      </w:r>
      <w:r>
        <w:rPr>
          <w:sz w:val="21"/>
        </w:rPr>
        <w:t xml:space="preserve"> </w:t>
      </w:r>
    </w:p>
    <w:p>
      <w:pPr>
        <w:pStyle w:val="ListParagraph"/>
        <w:numPr>
          <w:ilvl w:val="2"/>
          <w:numId w:val="28"/>
        </w:numPr>
        <w:tabs>
          <w:tab w:val="left" w:pos="1916"/>
        </w:tabs>
        <w:spacing w:before="48" w:after="0" w:line="278" w:lineRule="auto"/>
        <w:ind w:left="1181" w:right="762" w:hanging="1"/>
        <w:jc w:val="left"/>
        <w:rPr>
          <w:sz w:val="21"/>
        </w:rPr>
      </w:pPr>
      <w:bookmarkStart w:id="11" w:name="从事优秀历史建筑保护修缮工程的检测鉴定单位应具有主管部门颁发的专业资质，设计、施"/>
      <w:bookmarkEnd w:id="11"/>
      <w:r>
        <w:rPr>
          <w:spacing w:val="-7"/>
          <w:sz w:val="21"/>
        </w:rPr>
        <w:t>从事优秀历史建筑保护修缮工程的检测鉴定单位应具有主管部门颁发的专业资质，设计、施工、</w:t>
      </w:r>
      <w:r>
        <w:rPr>
          <w:spacing w:val="-6"/>
          <w:sz w:val="21"/>
        </w:rPr>
        <w:t>监理单位除应具有城乡建设主管部门颁发的专业资质外，还应具有文物行政主管部门颁发的专业资质。</w:t>
      </w:r>
      <w:r>
        <w:rPr>
          <w:sz w:val="21"/>
        </w:rPr>
        <w:t xml:space="preserve"> </w:t>
      </w:r>
    </w:p>
    <w:p>
      <w:pPr>
        <w:pStyle w:val="ListParagraph"/>
        <w:numPr>
          <w:ilvl w:val="2"/>
          <w:numId w:val="28"/>
        </w:numPr>
        <w:tabs>
          <w:tab w:val="left" w:pos="1916"/>
        </w:tabs>
        <w:spacing w:before="50" w:after="0" w:line="278" w:lineRule="auto"/>
        <w:ind w:left="1181" w:right="872" w:firstLine="0"/>
        <w:jc w:val="left"/>
        <w:rPr>
          <w:sz w:val="21"/>
        </w:rPr>
      </w:pPr>
      <w:bookmarkStart w:id="12" w:name="优秀历史建筑保护修缮工程的设计方案、施工组织方案、施工专项方案等应经专家论证，报"/>
      <w:bookmarkEnd w:id="12"/>
      <w:r>
        <w:rPr>
          <w:spacing w:val="-3"/>
          <w:sz w:val="21"/>
        </w:rPr>
        <w:t>优秀历史建筑保护修缮工程的设计方案、施工组织方案、施工专项方案等应经专家论证，报房</w:t>
      </w:r>
      <w:r>
        <w:rPr>
          <w:spacing w:val="-3"/>
          <w:sz w:val="21"/>
        </w:rPr>
        <w:t>屋主管部门批准后实施。</w:t>
      </w:r>
      <w:r>
        <w:rPr>
          <w:sz w:val="21"/>
        </w:rPr>
        <w:t xml:space="preserve"> </w:t>
      </w:r>
    </w:p>
    <w:p>
      <w:pPr>
        <w:pStyle w:val="ListParagraph"/>
        <w:numPr>
          <w:ilvl w:val="2"/>
          <w:numId w:val="28"/>
        </w:numPr>
        <w:tabs>
          <w:tab w:val="left" w:pos="1916"/>
        </w:tabs>
        <w:spacing w:before="50" w:after="0" w:line="278" w:lineRule="auto"/>
        <w:ind w:left="1181" w:right="872" w:hanging="1"/>
        <w:jc w:val="left"/>
        <w:rPr>
          <w:sz w:val="21"/>
        </w:rPr>
      </w:pPr>
      <w:bookmarkStart w:id="13" w:name="武汉市历史文化风貌街区和优秀历史建筑保护专家委员会（以下简称“专家委员会”），应"/>
      <w:bookmarkEnd w:id="13"/>
      <w:r>
        <w:rPr>
          <w:spacing w:val="-3"/>
          <w:sz w:val="21"/>
        </w:rPr>
        <w:t>武汉市历史文化风貌街区和优秀历史建筑保护专家委员会</w:t>
      </w:r>
      <w:r>
        <w:rPr>
          <w:sz w:val="21"/>
        </w:rPr>
        <w:t>（</w:t>
      </w:r>
      <w:r>
        <w:rPr>
          <w:spacing w:val="-3"/>
          <w:sz w:val="21"/>
        </w:rPr>
        <w:t>以下简称“专家委员会”</w:t>
      </w:r>
      <w:r>
        <w:rPr>
          <w:sz w:val="21"/>
        </w:rPr>
        <w:t>）</w:t>
      </w:r>
      <w:r>
        <w:rPr>
          <w:spacing w:val="-2"/>
          <w:sz w:val="21"/>
        </w:rPr>
        <w:t>，应对</w:t>
      </w:r>
      <w:r>
        <w:rPr>
          <w:spacing w:val="-3"/>
          <w:sz w:val="21"/>
        </w:rPr>
        <w:t>保护级别较高、功能复杂、规模较大或有重大影响的保护修缮工程提供咨询意见。</w:t>
      </w:r>
      <w:r>
        <w:rPr>
          <w:sz w:val="21"/>
        </w:rPr>
        <w:t xml:space="preserve"> </w:t>
      </w:r>
    </w:p>
    <w:p>
      <w:pPr>
        <w:pStyle w:val="ListParagraph"/>
        <w:numPr>
          <w:ilvl w:val="2"/>
          <w:numId w:val="28"/>
        </w:numPr>
        <w:tabs>
          <w:tab w:val="left" w:pos="1917"/>
        </w:tabs>
        <w:spacing w:before="50" w:after="0" w:line="240" w:lineRule="auto"/>
        <w:ind w:left="1916" w:right="0" w:hanging="736"/>
        <w:jc w:val="left"/>
        <w:rPr>
          <w:sz w:val="21"/>
        </w:rPr>
      </w:pPr>
      <w:bookmarkStart w:id="14" w:name="优秀历史建筑修缮工程资料应在竣工验收后报送房屋主管部门和城建档案馆进行备案归档。"/>
      <w:bookmarkEnd w:id="14"/>
      <w:r>
        <w:rPr>
          <w:spacing w:val="-3"/>
          <w:sz w:val="21"/>
        </w:rPr>
        <w:t>优秀历史建筑修缮工程资料应在竣工验收后报送房屋主管部门和城建档案馆进行备案归档。</w:t>
      </w:r>
      <w:r>
        <w:rPr>
          <w:sz w:val="21"/>
        </w:rPr>
        <w:t xml:space="preserve"> </w:t>
      </w:r>
    </w:p>
    <w:p>
      <w:pPr>
        <w:pStyle w:val="ListParagraph"/>
        <w:numPr>
          <w:ilvl w:val="2"/>
          <w:numId w:val="28"/>
        </w:numPr>
        <w:tabs>
          <w:tab w:val="left" w:pos="1917"/>
        </w:tabs>
        <w:spacing w:before="94" w:after="0" w:line="278" w:lineRule="auto"/>
        <w:ind w:left="1182" w:right="871" w:hanging="1"/>
        <w:jc w:val="left"/>
        <w:rPr>
          <w:sz w:val="21"/>
        </w:rPr>
      </w:pPr>
      <w:bookmarkStart w:id="15" w:name="优秀历史建筑应加强清洁卫生、防渗防漏、临时修补、维护防灾设施等日常保养，及时消除"/>
      <w:bookmarkEnd w:id="15"/>
      <w:r>
        <w:rPr>
          <w:spacing w:val="-3"/>
          <w:sz w:val="21"/>
        </w:rPr>
        <w:t>优秀历史建筑应加强清洁卫生、防渗防漏、临时修补、维护防灾设施等日常保养，及时消除隐</w:t>
      </w:r>
      <w:r>
        <w:rPr>
          <w:spacing w:val="-3"/>
          <w:sz w:val="21"/>
        </w:rPr>
        <w:t>患，提高建筑的耐久性。</w:t>
      </w:r>
      <w:r>
        <w:rPr>
          <w:sz w:val="21"/>
        </w:rPr>
        <w:t xml:space="preserve"> </w:t>
      </w:r>
    </w:p>
    <w:p>
      <w:pPr>
        <w:pStyle w:val="ListParagraph"/>
        <w:numPr>
          <w:ilvl w:val="1"/>
          <w:numId w:val="28"/>
        </w:numPr>
        <w:tabs>
          <w:tab w:val="left" w:pos="1708"/>
        </w:tabs>
        <w:spacing w:before="134" w:after="0" w:line="240" w:lineRule="auto"/>
        <w:ind w:left="1708" w:right="0" w:hanging="526"/>
        <w:jc w:val="left"/>
        <w:rPr>
          <w:rFonts w:ascii="黑体" w:eastAsia="黑体" w:hint="eastAsia"/>
          <w:sz w:val="21"/>
        </w:rPr>
      </w:pPr>
      <w:bookmarkStart w:id="16" w:name="保护修缮目标"/>
      <w:bookmarkEnd w:id="16"/>
      <w:r>
        <w:rPr>
          <w:rFonts w:ascii="黑体" w:eastAsia="黑体" w:hint="eastAsia"/>
          <w:spacing w:val="-3"/>
          <w:sz w:val="21"/>
        </w:rPr>
        <w:t>保护修缮目标</w:t>
      </w:r>
    </w:p>
    <w:p>
      <w:pPr>
        <w:pStyle w:val="BodyText"/>
        <w:rPr>
          <w:rFonts w:ascii="黑体"/>
          <w:sz w:val="20"/>
        </w:rPr>
      </w:pPr>
    </w:p>
    <w:p>
      <w:pPr>
        <w:pStyle w:val="BodyText"/>
        <w:spacing w:before="11"/>
        <w:rPr>
          <w:rFonts w:ascii="黑体"/>
          <w:sz w:val="15"/>
        </w:rPr>
      </w:pPr>
    </w:p>
    <w:p>
      <w:pPr>
        <w:spacing w:before="0"/>
        <w:ind w:left="0" w:right="979" w:firstLine="0"/>
        <w:jc w:val="right"/>
        <w:rPr>
          <w:sz w:val="18"/>
        </w:rPr>
      </w:pPr>
      <w:r>
        <w:rPr>
          <w:sz w:val="18"/>
        </w:rPr>
        <w:t xml:space="preserve">3 </w:t>
      </w:r>
    </w:p>
    <w:p>
      <w:pPr>
        <w:spacing w:after="0"/>
        <w:jc w:val="right"/>
        <w:rPr>
          <w:sz w:val="18"/>
        </w:rPr>
        <w:sectPr>
          <w:pgSz w:w="11910" w:h="16840"/>
          <w:pgMar w:top="1340" w:right="260" w:bottom="280" w:left="240" w:header="708" w:footer="708"/>
          <w:pgNumType w:start="8"/>
          <w:cols w:space="708"/>
        </w:sectPr>
      </w:pPr>
    </w:p>
    <w:p>
      <w:pPr>
        <w:pStyle w:val="BodyText"/>
        <w:spacing w:before="61"/>
        <w:ind w:left="892"/>
        <w:rPr>
          <w:rFonts w:ascii="黑体"/>
        </w:rPr>
      </w:pPr>
      <w:r>
        <w:rPr>
          <w:rFonts w:ascii="黑体"/>
        </w:rPr>
        <w:t>DB4201/T 574-2019</w:t>
      </w:r>
    </w:p>
    <w:p>
      <w:pPr>
        <w:pStyle w:val="BodyText"/>
        <w:spacing w:before="6"/>
        <w:rPr>
          <w:rFonts w:ascii="黑体"/>
          <w:sz w:val="13"/>
        </w:rPr>
      </w:pPr>
    </w:p>
    <w:p>
      <w:pPr>
        <w:pStyle w:val="ListParagraph"/>
        <w:numPr>
          <w:ilvl w:val="2"/>
          <w:numId w:val="27"/>
        </w:numPr>
        <w:tabs>
          <w:tab w:val="left" w:pos="1628"/>
        </w:tabs>
        <w:spacing w:before="72" w:after="0" w:line="240" w:lineRule="auto"/>
        <w:ind w:left="1627" w:right="0" w:hanging="736"/>
        <w:jc w:val="left"/>
        <w:rPr>
          <w:sz w:val="21"/>
        </w:rPr>
      </w:pPr>
      <w:bookmarkStart w:id="17" w:name="应保护优秀历史建筑的整体风貌并符合下列要求："/>
      <w:bookmarkEnd w:id="17"/>
      <w:r>
        <w:rPr>
          <w:spacing w:val="-3"/>
          <w:sz w:val="21"/>
        </w:rPr>
        <w:t>应保护优秀历史建筑的整体风貌并符合下列要求：</w:t>
      </w:r>
      <w:r>
        <w:rPr>
          <w:sz w:val="21"/>
        </w:rPr>
        <w:t xml:space="preserve"> </w:t>
      </w:r>
    </w:p>
    <w:p>
      <w:pPr>
        <w:pStyle w:val="ListParagraph"/>
        <w:numPr>
          <w:ilvl w:val="3"/>
          <w:numId w:val="27"/>
        </w:numPr>
        <w:tabs>
          <w:tab w:val="left" w:pos="1741"/>
        </w:tabs>
        <w:spacing w:before="93" w:after="0" w:line="240" w:lineRule="auto"/>
        <w:ind w:left="1740" w:right="0" w:hanging="421"/>
        <w:jc w:val="left"/>
        <w:rPr>
          <w:sz w:val="21"/>
        </w:rPr>
      </w:pPr>
      <w:r>
        <w:rPr>
          <w:spacing w:val="-3"/>
          <w:sz w:val="21"/>
        </w:rPr>
        <w:t xml:space="preserve">符合有关法律法规的要求； </w:t>
      </w:r>
    </w:p>
    <w:p>
      <w:pPr>
        <w:pStyle w:val="ListParagraph"/>
        <w:numPr>
          <w:ilvl w:val="3"/>
          <w:numId w:val="27"/>
        </w:numPr>
        <w:tabs>
          <w:tab w:val="left" w:pos="1741"/>
        </w:tabs>
        <w:spacing w:before="43" w:after="0" w:line="240" w:lineRule="auto"/>
        <w:ind w:left="1740" w:right="0" w:hanging="421"/>
        <w:jc w:val="left"/>
        <w:rPr>
          <w:sz w:val="21"/>
        </w:rPr>
      </w:pPr>
      <w:r>
        <w:rPr>
          <w:spacing w:val="-3"/>
          <w:sz w:val="21"/>
        </w:rPr>
        <w:t>符合所在地的历史文化名城、历史文化风貌街区、历史文化名镇名村等相关规划的要求；</w:t>
      </w:r>
      <w:r>
        <w:rPr>
          <w:sz w:val="21"/>
        </w:rPr>
        <w:t xml:space="preserve"> </w:t>
      </w:r>
    </w:p>
    <w:p>
      <w:pPr>
        <w:pStyle w:val="ListParagraph"/>
        <w:numPr>
          <w:ilvl w:val="3"/>
          <w:numId w:val="27"/>
        </w:numPr>
        <w:tabs>
          <w:tab w:val="left" w:pos="1741"/>
        </w:tabs>
        <w:spacing w:before="43" w:after="0" w:line="240" w:lineRule="auto"/>
        <w:ind w:left="1740" w:right="0" w:hanging="421"/>
        <w:jc w:val="left"/>
        <w:rPr>
          <w:sz w:val="21"/>
        </w:rPr>
      </w:pPr>
      <w:r>
        <w:rPr>
          <w:spacing w:val="-3"/>
          <w:sz w:val="21"/>
        </w:rPr>
        <w:t>符合《保护图则》及其他相关管理文件的要求。</w:t>
      </w:r>
      <w:r>
        <w:rPr>
          <w:sz w:val="21"/>
        </w:rPr>
        <w:t xml:space="preserve"> </w:t>
      </w:r>
    </w:p>
    <w:p>
      <w:pPr>
        <w:pStyle w:val="ListParagraph"/>
        <w:numPr>
          <w:ilvl w:val="2"/>
          <w:numId w:val="27"/>
        </w:numPr>
        <w:tabs>
          <w:tab w:val="left" w:pos="1628"/>
        </w:tabs>
        <w:spacing w:before="93" w:after="0" w:line="278" w:lineRule="auto"/>
        <w:ind w:left="893" w:right="1157" w:hanging="1"/>
        <w:jc w:val="both"/>
        <w:rPr>
          <w:sz w:val="21"/>
        </w:rPr>
      </w:pPr>
      <w:bookmarkStart w:id="18" w:name="维护优秀历史建筑安全，包括结构安全、消防安全、设备设施安全、日常安全防范等方面的"/>
      <w:bookmarkEnd w:id="18"/>
      <w:r>
        <w:rPr>
          <w:spacing w:val="-3"/>
          <w:sz w:val="21"/>
        </w:rPr>
        <w:t>维护优秀历史建筑安全，包括结构安全、消防安全、设备设施安全、日常安全防范等方面的内</w:t>
      </w:r>
      <w:r>
        <w:rPr>
          <w:spacing w:val="-10"/>
          <w:sz w:val="21"/>
        </w:rPr>
        <w:t>容。在不改变优秀历史建筑风貌的前提下，可合理调整和完善建筑内部布局，提升结构的可靠性和建筑</w:t>
      </w:r>
      <w:r>
        <w:rPr>
          <w:spacing w:val="-3"/>
          <w:sz w:val="21"/>
        </w:rPr>
        <w:t>的抗震能力、消防能力。</w:t>
      </w:r>
      <w:r>
        <w:rPr>
          <w:sz w:val="21"/>
        </w:rPr>
        <w:t xml:space="preserve"> </w:t>
      </w:r>
    </w:p>
    <w:p>
      <w:pPr>
        <w:pStyle w:val="ListParagraph"/>
        <w:numPr>
          <w:ilvl w:val="2"/>
          <w:numId w:val="27"/>
        </w:numPr>
        <w:tabs>
          <w:tab w:val="left" w:pos="1628"/>
        </w:tabs>
        <w:spacing w:before="48" w:after="0" w:line="240" w:lineRule="auto"/>
        <w:ind w:left="1627" w:right="0" w:hanging="735"/>
        <w:jc w:val="both"/>
        <w:rPr>
          <w:sz w:val="21"/>
        </w:rPr>
      </w:pPr>
      <w:bookmarkStart w:id="19" w:name="提升优秀历史建筑使用功能，改善使用条件，并应符合下列要求："/>
      <w:bookmarkEnd w:id="19"/>
      <w:r>
        <w:rPr>
          <w:spacing w:val="-3"/>
          <w:sz w:val="21"/>
        </w:rPr>
        <w:t>提升优秀历史建筑使用功能，改善使用条件，并应符合下列要求：</w:t>
      </w:r>
      <w:r>
        <w:rPr>
          <w:sz w:val="21"/>
        </w:rPr>
        <w:t xml:space="preserve"> </w:t>
      </w:r>
    </w:p>
    <w:p>
      <w:pPr>
        <w:pStyle w:val="ListParagraph"/>
        <w:numPr>
          <w:ilvl w:val="3"/>
          <w:numId w:val="27"/>
        </w:numPr>
        <w:tabs>
          <w:tab w:val="left" w:pos="1734"/>
        </w:tabs>
        <w:spacing w:before="93" w:after="0" w:line="278" w:lineRule="auto"/>
        <w:ind w:left="1733" w:right="1154" w:hanging="421"/>
        <w:jc w:val="both"/>
        <w:rPr>
          <w:sz w:val="21"/>
        </w:rPr>
      </w:pPr>
      <w:r>
        <w:rPr>
          <w:spacing w:val="-7"/>
          <w:sz w:val="21"/>
        </w:rPr>
        <w:t>宜延续或恢复建筑原使用功能，若需改变建筑原使用功能，应由业主</w:t>
      </w:r>
      <w:r>
        <w:rPr>
          <w:spacing w:val="-3"/>
          <w:sz w:val="21"/>
        </w:rPr>
        <w:t>（</w:t>
      </w:r>
      <w:r>
        <w:rPr>
          <w:spacing w:val="-7"/>
          <w:sz w:val="21"/>
        </w:rPr>
        <w:t>指建筑产权人、经营管</w:t>
      </w:r>
      <w:r>
        <w:rPr>
          <w:spacing w:val="-3"/>
          <w:sz w:val="21"/>
        </w:rPr>
        <w:t>理人及使用人等</w:t>
      </w:r>
      <w:r>
        <w:rPr>
          <w:sz w:val="21"/>
        </w:rPr>
        <w:t>）</w:t>
      </w:r>
      <w:r>
        <w:rPr>
          <w:spacing w:val="-3"/>
          <w:sz w:val="21"/>
        </w:rPr>
        <w:t>向市房屋主管部门提出申请，经专家论证后方可实施；</w:t>
      </w:r>
      <w:r>
        <w:rPr>
          <w:sz w:val="21"/>
        </w:rPr>
        <w:t xml:space="preserve"> </w:t>
      </w:r>
    </w:p>
    <w:p>
      <w:pPr>
        <w:pStyle w:val="ListParagraph"/>
        <w:numPr>
          <w:ilvl w:val="3"/>
          <w:numId w:val="27"/>
        </w:numPr>
        <w:tabs>
          <w:tab w:val="left" w:pos="1734"/>
        </w:tabs>
        <w:spacing w:before="0" w:after="0" w:line="269" w:lineRule="exact"/>
        <w:ind w:left="1733" w:right="0" w:hanging="421"/>
        <w:jc w:val="both"/>
        <w:rPr>
          <w:sz w:val="21"/>
        </w:rPr>
      </w:pPr>
      <w:r>
        <w:rPr>
          <w:spacing w:val="-3"/>
          <w:sz w:val="21"/>
        </w:rPr>
        <w:t>结构加固及设备更新不得改变重点保护部位。</w:t>
      </w:r>
      <w:r>
        <w:rPr>
          <w:sz w:val="21"/>
        </w:rPr>
        <w:t xml:space="preserve"> </w:t>
      </w:r>
    </w:p>
    <w:p>
      <w:pPr>
        <w:pStyle w:val="BodyText"/>
        <w:spacing w:before="7"/>
        <w:rPr>
          <w:sz w:val="15"/>
        </w:rPr>
      </w:pPr>
    </w:p>
    <w:p>
      <w:pPr>
        <w:pStyle w:val="ListParagraph"/>
        <w:numPr>
          <w:ilvl w:val="1"/>
          <w:numId w:val="28"/>
        </w:numPr>
        <w:tabs>
          <w:tab w:val="left" w:pos="1420"/>
        </w:tabs>
        <w:spacing w:before="0" w:after="0" w:line="240" w:lineRule="auto"/>
        <w:ind w:left="1419" w:right="0" w:hanging="527"/>
        <w:jc w:val="both"/>
        <w:rPr>
          <w:rFonts w:ascii="黑体" w:eastAsia="黑体" w:hint="eastAsia"/>
          <w:sz w:val="21"/>
        </w:rPr>
      </w:pPr>
      <w:bookmarkStart w:id="20" w:name="保护修缮原则"/>
      <w:bookmarkEnd w:id="20"/>
      <w:r>
        <w:rPr>
          <w:rFonts w:ascii="黑体" w:eastAsia="黑体" w:hint="eastAsia"/>
          <w:spacing w:val="-3"/>
          <w:sz w:val="21"/>
        </w:rPr>
        <w:t>保护修缮原则</w:t>
      </w:r>
    </w:p>
    <w:p>
      <w:pPr>
        <w:pStyle w:val="BodyText"/>
        <w:spacing w:before="7"/>
        <w:rPr>
          <w:rFonts w:ascii="黑体"/>
          <w:sz w:val="15"/>
        </w:rPr>
      </w:pPr>
    </w:p>
    <w:p>
      <w:pPr>
        <w:pStyle w:val="ListParagraph"/>
        <w:numPr>
          <w:ilvl w:val="2"/>
          <w:numId w:val="28"/>
        </w:numPr>
        <w:tabs>
          <w:tab w:val="left" w:pos="1629"/>
        </w:tabs>
        <w:spacing w:before="0" w:after="0" w:line="278" w:lineRule="auto"/>
        <w:ind w:left="894" w:right="1161" w:hanging="1"/>
        <w:jc w:val="both"/>
        <w:rPr>
          <w:sz w:val="21"/>
        </w:rPr>
      </w:pPr>
      <w:bookmarkStart w:id="21" w:name="优秀历史建筑保护修缮应兼顾保护与利用，在保护建筑价值的前提下，合理使用建筑功能，"/>
      <w:bookmarkEnd w:id="21"/>
      <w:r>
        <w:rPr>
          <w:spacing w:val="-3"/>
          <w:sz w:val="21"/>
        </w:rPr>
        <w:t>优秀历史建筑保护修缮应兼顾保护与利用，在保护建筑价值的前提下，合理使用建筑功能，实</w:t>
      </w:r>
      <w:r>
        <w:rPr>
          <w:spacing w:val="-3"/>
          <w:sz w:val="21"/>
        </w:rPr>
        <w:t>现可持续利用。</w:t>
      </w:r>
      <w:r>
        <w:rPr>
          <w:sz w:val="21"/>
        </w:rPr>
        <w:t xml:space="preserve"> </w:t>
      </w:r>
    </w:p>
    <w:p>
      <w:pPr>
        <w:pStyle w:val="ListParagraph"/>
        <w:numPr>
          <w:ilvl w:val="2"/>
          <w:numId w:val="28"/>
        </w:numPr>
        <w:tabs>
          <w:tab w:val="left" w:pos="1630"/>
        </w:tabs>
        <w:spacing w:before="50" w:after="0" w:line="278" w:lineRule="auto"/>
        <w:ind w:left="894" w:right="1161" w:hanging="1"/>
        <w:jc w:val="both"/>
        <w:rPr>
          <w:sz w:val="21"/>
        </w:rPr>
      </w:pPr>
      <w:bookmarkStart w:id="22" w:name="优秀历史建筑保护修缮应遵循真实性、完整性、可识别性及最低限度干预等保护原则，尊重"/>
      <w:bookmarkEnd w:id="22"/>
      <w:r>
        <w:rPr>
          <w:spacing w:val="-3"/>
          <w:sz w:val="21"/>
        </w:rPr>
        <w:t>优秀历史建筑保护修缮应遵循真实性、完整性、可识别性及最低限度干预等保护原则，尊重历</w:t>
      </w:r>
      <w:r>
        <w:rPr>
          <w:spacing w:val="-3"/>
          <w:sz w:val="21"/>
        </w:rPr>
        <w:t>年合理修缮的历史信息，保护建筑历史风貌。</w:t>
      </w:r>
      <w:r>
        <w:rPr>
          <w:sz w:val="21"/>
        </w:rPr>
        <w:t xml:space="preserve"> </w:t>
      </w:r>
    </w:p>
    <w:p>
      <w:pPr>
        <w:pStyle w:val="ListParagraph"/>
        <w:numPr>
          <w:ilvl w:val="1"/>
          <w:numId w:val="28"/>
        </w:numPr>
        <w:tabs>
          <w:tab w:val="left" w:pos="1421"/>
        </w:tabs>
        <w:spacing w:before="158" w:after="0" w:line="240" w:lineRule="auto"/>
        <w:ind w:left="1420" w:right="0" w:hanging="527"/>
        <w:jc w:val="both"/>
        <w:rPr>
          <w:rFonts w:ascii="黑体" w:eastAsia="黑体" w:hint="eastAsia"/>
          <w:sz w:val="21"/>
        </w:rPr>
      </w:pPr>
      <w:r>
        <w:pict>
          <v:group id="_x0000_s1048" style="width:468.55pt;height:376.85pt;margin-top:32.61pt;margin-left:56.76pt;mso-position-horizontal-relative:page;position:absolute;z-index:-251646976" coordorigin="1135,652" coordsize="9371,7537">
            <v:shape id="_x0000_s1049" type="#_x0000_t202" style="width:9371;height:4313;left:1135;position:absolute;top:652" filled="f" stroked="f">
              <v:textbox inset="0,0,0,0">
                <w:txbxContent>
                  <w:p>
                    <w:pPr>
                      <w:numPr>
                        <w:ilvl w:val="2"/>
                        <w:numId w:val="26"/>
                      </w:numPr>
                      <w:tabs>
                        <w:tab w:val="left" w:pos="735"/>
                      </w:tabs>
                      <w:spacing w:before="0" w:line="241" w:lineRule="exact"/>
                      <w:ind w:left="734" w:right="0" w:hanging="735"/>
                      <w:jc w:val="left"/>
                      <w:rPr>
                        <w:sz w:val="21"/>
                      </w:rPr>
                    </w:pPr>
                    <w:r>
                      <w:rPr>
                        <w:spacing w:val="-3"/>
                        <w:sz w:val="21"/>
                      </w:rPr>
                      <w:t>根据城市发展要求，需要进行修缮改造的优秀历史建筑及其保护控制范围内的周边环境。</w:t>
                    </w:r>
                    <w:r>
                      <w:rPr>
                        <w:sz w:val="21"/>
                      </w:rPr>
                      <w:t xml:space="preserve"> </w:t>
                    </w:r>
                  </w:p>
                  <w:p>
                    <w:pPr>
                      <w:numPr>
                        <w:ilvl w:val="2"/>
                        <w:numId w:val="26"/>
                      </w:numPr>
                      <w:tabs>
                        <w:tab w:val="left" w:pos="735"/>
                      </w:tabs>
                      <w:spacing w:before="93" w:line="278" w:lineRule="auto"/>
                      <w:ind w:left="0" w:right="18" w:hanging="1"/>
                      <w:jc w:val="left"/>
                      <w:rPr>
                        <w:sz w:val="21"/>
                      </w:rPr>
                    </w:pPr>
                    <w:r>
                      <w:rPr>
                        <w:spacing w:val="-3"/>
                        <w:sz w:val="21"/>
                      </w:rPr>
                      <w:t>优秀历史建筑内发现或经检测存在安全隐患需要进行结构加固，或因使用功能发生改变需要进行改造的结构构件。</w:t>
                    </w:r>
                    <w:r>
                      <w:rPr>
                        <w:sz w:val="21"/>
                      </w:rPr>
                      <w:t xml:space="preserve"> </w:t>
                    </w:r>
                  </w:p>
                  <w:p>
                    <w:pPr>
                      <w:numPr>
                        <w:ilvl w:val="2"/>
                        <w:numId w:val="26"/>
                      </w:numPr>
                      <w:tabs>
                        <w:tab w:val="left" w:pos="735"/>
                      </w:tabs>
                      <w:spacing w:before="50" w:line="278" w:lineRule="auto"/>
                      <w:ind w:left="0" w:right="18" w:hanging="1"/>
                      <w:jc w:val="left"/>
                      <w:rPr>
                        <w:sz w:val="21"/>
                      </w:rPr>
                    </w:pPr>
                    <w:r>
                      <w:rPr>
                        <w:spacing w:val="-3"/>
                        <w:sz w:val="21"/>
                      </w:rPr>
                      <w:t>根据安全或功能使用需求，需要进行更新调整的优秀历史建筑室内外装饰、设备设施及总体布局。</w:t>
                    </w:r>
                    <w:r>
                      <w:rPr>
                        <w:sz w:val="21"/>
                      </w:rPr>
                      <w:t xml:space="preserve"> </w:t>
                    </w:r>
                  </w:p>
                  <w:p>
                    <w:pPr>
                      <w:numPr>
                        <w:ilvl w:val="2"/>
                        <w:numId w:val="26"/>
                      </w:numPr>
                      <w:tabs>
                        <w:tab w:val="left" w:pos="735"/>
                      </w:tabs>
                      <w:spacing w:before="50"/>
                      <w:ind w:left="734" w:right="0" w:hanging="735"/>
                      <w:jc w:val="left"/>
                      <w:rPr>
                        <w:sz w:val="21"/>
                      </w:rPr>
                    </w:pPr>
                    <w:r>
                      <w:rPr>
                        <w:spacing w:val="-3"/>
                        <w:sz w:val="21"/>
                      </w:rPr>
                      <w:t>根据优秀历史建筑的保护要求，需要修缮的重点保护部位和保护项目。</w:t>
                    </w:r>
                    <w:r>
                      <w:rPr>
                        <w:sz w:val="21"/>
                      </w:rPr>
                      <w:t xml:space="preserve"> </w:t>
                    </w:r>
                  </w:p>
                  <w:p>
                    <w:pPr>
                      <w:spacing w:before="7" w:line="240" w:lineRule="auto"/>
                      <w:rPr>
                        <w:sz w:val="15"/>
                      </w:rPr>
                    </w:pPr>
                  </w:p>
                  <w:p>
                    <w:pPr>
                      <w:numPr>
                        <w:ilvl w:val="1"/>
                        <w:numId w:val="25"/>
                      </w:numPr>
                      <w:tabs>
                        <w:tab w:val="left" w:pos="527"/>
                      </w:tabs>
                      <w:spacing w:before="0"/>
                      <w:ind w:left="526" w:right="0" w:hanging="527"/>
                      <w:jc w:val="left"/>
                      <w:rPr>
                        <w:rFonts w:ascii="黑体" w:eastAsia="黑体" w:hint="eastAsia"/>
                        <w:sz w:val="21"/>
                      </w:rPr>
                    </w:pPr>
                    <w:r>
                      <w:rPr>
                        <w:rFonts w:ascii="黑体" w:eastAsia="黑体" w:hint="eastAsia"/>
                        <w:spacing w:val="-3"/>
                        <w:sz w:val="21"/>
                      </w:rPr>
                      <w:t>保护修缮类型</w:t>
                    </w:r>
                  </w:p>
                  <w:p>
                    <w:pPr>
                      <w:spacing w:before="7" w:line="240" w:lineRule="auto"/>
                      <w:rPr>
                        <w:rFonts w:ascii="黑体"/>
                        <w:sz w:val="15"/>
                      </w:rPr>
                    </w:pPr>
                  </w:p>
                  <w:p>
                    <w:pPr>
                      <w:numPr>
                        <w:ilvl w:val="2"/>
                        <w:numId w:val="25"/>
                      </w:numPr>
                      <w:tabs>
                        <w:tab w:val="left" w:pos="736"/>
                      </w:tabs>
                      <w:spacing w:before="0" w:line="278" w:lineRule="auto"/>
                      <w:ind w:left="1" w:right="19" w:hanging="1"/>
                      <w:jc w:val="left"/>
                      <w:rPr>
                        <w:sz w:val="21"/>
                      </w:rPr>
                    </w:pPr>
                    <w:r>
                      <w:rPr>
                        <w:spacing w:val="-3"/>
                        <w:sz w:val="21"/>
                      </w:rPr>
                      <w:t xml:space="preserve">优秀历史建筑保护修缮类型的确定应以最低限度干预为前提，综合考虑建筑的保护等级、保护要求、保护价值、损坏状况、功能提升需求等因素。 </w:t>
                    </w:r>
                  </w:p>
                  <w:p>
                    <w:pPr>
                      <w:numPr>
                        <w:ilvl w:val="2"/>
                        <w:numId w:val="25"/>
                      </w:numPr>
                      <w:tabs>
                        <w:tab w:val="left" w:pos="736"/>
                      </w:tabs>
                      <w:spacing w:before="48" w:line="278" w:lineRule="auto"/>
                      <w:ind w:left="1" w:right="18" w:hanging="1"/>
                      <w:jc w:val="left"/>
                      <w:rPr>
                        <w:sz w:val="21"/>
                      </w:rPr>
                    </w:pPr>
                    <w:r>
                      <w:rPr>
                        <w:spacing w:val="-3"/>
                        <w:sz w:val="21"/>
                      </w:rPr>
                      <w:t>优秀历史建筑保护修缮的类型分为综合性保护修缮工程、局部性保护修缮工程和专项保护修缮</w:t>
                    </w:r>
                    <w:r>
                      <w:rPr>
                        <w:spacing w:val="-7"/>
                        <w:sz w:val="21"/>
                      </w:rPr>
                      <w:t xml:space="preserve">工程，其修缮范围、内容应符合表 </w:t>
                    </w:r>
                    <w:r>
                      <w:rPr>
                        <w:sz w:val="21"/>
                      </w:rPr>
                      <w:t>1</w:t>
                    </w:r>
                    <w:r>
                      <w:rPr>
                        <w:spacing w:val="-13"/>
                        <w:sz w:val="21"/>
                      </w:rPr>
                      <w:t xml:space="preserve"> 的规定。</w:t>
                    </w:r>
                    <w:r>
                      <w:rPr>
                        <w:sz w:val="21"/>
                      </w:rPr>
                      <w:t xml:space="preserve"> </w:t>
                    </w:r>
                  </w:p>
                  <w:p>
                    <w:pPr>
                      <w:spacing w:before="158" w:line="240" w:lineRule="exact"/>
                      <w:ind w:left="3187" w:right="3203" w:firstLine="0"/>
                      <w:jc w:val="center"/>
                      <w:rPr>
                        <w:rFonts w:ascii="黑体" w:eastAsia="黑体" w:hint="eastAsia"/>
                        <w:sz w:val="21"/>
                      </w:rPr>
                    </w:pPr>
                    <w:r>
                      <w:rPr>
                        <w:rFonts w:ascii="黑体" w:eastAsia="黑体" w:hint="eastAsia"/>
                        <w:sz w:val="21"/>
                      </w:rPr>
                      <w:t>表1 优秀历史建筑保护修缮类型</w:t>
                    </w:r>
                  </w:p>
                </w:txbxContent>
              </v:textbox>
            </v:shape>
            <v:shape id="_x0000_s1050" type="#_x0000_t202" style="width:202;height:180;left:1353;position:absolute;top:8008" filled="f" stroked="f">
              <v:textbox inset="0,0,0,0">
                <w:txbxContent>
                  <w:p>
                    <w:pPr>
                      <w:spacing w:before="0" w:line="180" w:lineRule="exact"/>
                      <w:ind w:left="0" w:right="0" w:firstLine="0"/>
                      <w:jc w:val="left"/>
                      <w:rPr>
                        <w:sz w:val="18"/>
                      </w:rPr>
                    </w:pPr>
                    <w:r>
                      <w:rPr>
                        <w:sz w:val="18"/>
                      </w:rPr>
                      <w:t xml:space="preserve">4 </w:t>
                    </w:r>
                  </w:p>
                </w:txbxContent>
              </v:textbox>
            </v:shape>
          </v:group>
        </w:pict>
      </w:r>
      <w:r>
        <w:drawing>
          <wp:anchor distT="0" distB="0" distL="0" distR="0" simplePos="0" relativeHeight="251668480" behindDoc="0" locked="0" layoutInCell="1" allowOverlap="1">
            <wp:simplePos x="0" y="0"/>
            <wp:positionH relativeFrom="page">
              <wp:posOffset>215900</wp:posOffset>
            </wp:positionH>
            <wp:positionV relativeFrom="paragraph">
              <wp:posOffset>489907</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23" w:name="保护修缮范围"/>
      <w:bookmarkEnd w:id="23"/>
      <w:r>
        <w:rPr>
          <w:rFonts w:ascii="黑体" w:eastAsia="黑体" w:hint="eastAsia"/>
          <w:spacing w:val="-3"/>
          <w:sz w:val="21"/>
        </w:rPr>
        <w:t>保护修缮范围</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
        <w:rPr>
          <w:rFonts w:ascii="黑体"/>
          <w:sz w:val="10"/>
        </w:rPr>
      </w:pPr>
    </w:p>
    <w:tbl>
      <w:tblPr>
        <w:tblStyle w:val="TableNormal0"/>
        <w:tblW w:w="0" w:type="auto"/>
        <w:jc w:val="left"/>
        <w:tblInd w:w="76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028"/>
        <w:gridCol w:w="7613"/>
      </w:tblGrid>
      <w:tr>
        <w:tblPrEx>
          <w:tblW w:w="0" w:type="auto"/>
          <w:jc w:val="left"/>
          <w:tblInd w:w="76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773"/>
          <w:jc w:val="left"/>
        </w:trPr>
        <w:tc>
          <w:tcPr>
            <w:tcW w:w="2028" w:type="dxa"/>
            <w:tcBorders>
              <w:right w:val="single" w:sz="6" w:space="0" w:color="000000"/>
            </w:tcBorders>
          </w:tcPr>
          <w:p>
            <w:pPr>
              <w:pStyle w:val="TableParagraph"/>
              <w:spacing w:before="1"/>
              <w:rPr>
                <w:rFonts w:ascii="黑体"/>
                <w:sz w:val="21"/>
              </w:rPr>
            </w:pPr>
          </w:p>
          <w:p>
            <w:pPr>
              <w:pStyle w:val="TableParagraph"/>
              <w:ind w:left="496" w:right="380"/>
              <w:jc w:val="center"/>
              <w:rPr>
                <w:b/>
                <w:sz w:val="18"/>
              </w:rPr>
            </w:pPr>
            <w:bookmarkStart w:id="24" w:name="根据城市发展要求，需要进行修缮改造的优秀历史建筑及其保护控制范围内的周边环境。"/>
            <w:bookmarkEnd w:id="24"/>
            <w:bookmarkStart w:id="25" w:name="优秀历史建筑内发现或经检测存在安全隐患需要进行结构加固，或因使用功能发生改变需要"/>
            <w:bookmarkEnd w:id="25"/>
            <w:bookmarkStart w:id="26" w:name="根据安全或功能使用需求，需要进行更新调整的优秀历史建筑室内外装饰、设备设施及总体"/>
            <w:bookmarkEnd w:id="26"/>
            <w:bookmarkStart w:id="27" w:name="根据优秀历史建筑的保护要求，需要修缮的重点保护部位和保护项目。"/>
            <w:bookmarkEnd w:id="27"/>
            <w:bookmarkStart w:id="28" w:name="保护修缮类型"/>
            <w:bookmarkEnd w:id="28"/>
            <w:bookmarkStart w:id="29" w:name="优秀历史建筑保护修缮类型的确定应以最低限度干预为前提，综合考虑建筑的保护等级、保"/>
            <w:bookmarkEnd w:id="29"/>
            <w:bookmarkStart w:id="30" w:name="优秀历史建筑保护修缮的类型分为综合性保护修缮工程、局部性保护修缮工程和专项保护修"/>
            <w:bookmarkEnd w:id="30"/>
            <w:r>
              <w:rPr>
                <w:b/>
                <w:sz w:val="18"/>
              </w:rPr>
              <w:t>类型</w:t>
            </w:r>
            <w:r>
              <w:rPr>
                <w:b/>
                <w:w w:val="99"/>
                <w:sz w:val="18"/>
              </w:rPr>
              <w:t xml:space="preserve"> </w:t>
            </w:r>
          </w:p>
        </w:tc>
        <w:tc>
          <w:tcPr>
            <w:tcW w:w="7613" w:type="dxa"/>
            <w:tcBorders>
              <w:left w:val="single" w:sz="6" w:space="0" w:color="000000"/>
            </w:tcBorders>
          </w:tcPr>
          <w:p>
            <w:pPr>
              <w:pStyle w:val="TableParagraph"/>
              <w:spacing w:before="1"/>
              <w:rPr>
                <w:rFonts w:ascii="黑体"/>
                <w:sz w:val="21"/>
              </w:rPr>
            </w:pPr>
          </w:p>
          <w:p>
            <w:pPr>
              <w:pStyle w:val="TableParagraph"/>
              <w:ind w:left="3386" w:right="3256"/>
              <w:jc w:val="center"/>
              <w:rPr>
                <w:b/>
                <w:sz w:val="18"/>
              </w:rPr>
            </w:pPr>
            <w:r>
              <w:rPr>
                <w:b/>
                <w:sz w:val="18"/>
              </w:rPr>
              <w:t>范围和内容</w:t>
            </w:r>
            <w:r>
              <w:rPr>
                <w:b/>
                <w:w w:val="99"/>
                <w:sz w:val="18"/>
              </w:rPr>
              <w:t xml:space="preserve"> </w:t>
            </w:r>
          </w:p>
        </w:tc>
      </w:tr>
      <w:tr>
        <w:tblPrEx>
          <w:tblW w:w="0" w:type="auto"/>
          <w:jc w:val="left"/>
          <w:tblInd w:w="764" w:type="dxa"/>
          <w:tblLayout w:type="fixed"/>
          <w:tblCellMar>
            <w:top w:w="0" w:type="dxa"/>
            <w:left w:w="0" w:type="dxa"/>
            <w:bottom w:w="0" w:type="dxa"/>
            <w:right w:w="0" w:type="dxa"/>
          </w:tblCellMar>
          <w:tblLook w:val="01E0"/>
        </w:tblPrEx>
        <w:trPr>
          <w:trHeight w:val="719"/>
          <w:jc w:val="left"/>
        </w:trPr>
        <w:tc>
          <w:tcPr>
            <w:tcW w:w="2028" w:type="dxa"/>
            <w:tcBorders>
              <w:bottom w:val="single" w:sz="6" w:space="0" w:color="000000"/>
              <w:right w:val="single" w:sz="6" w:space="0" w:color="000000"/>
            </w:tcBorders>
          </w:tcPr>
          <w:p>
            <w:pPr>
              <w:pStyle w:val="TableParagraph"/>
              <w:spacing w:before="64"/>
              <w:ind w:left="496" w:right="380"/>
              <w:jc w:val="center"/>
              <w:rPr>
                <w:sz w:val="18"/>
              </w:rPr>
            </w:pPr>
            <w:r>
              <w:rPr>
                <w:sz w:val="18"/>
              </w:rPr>
              <w:t xml:space="preserve">综合性 </w:t>
            </w:r>
          </w:p>
          <w:p>
            <w:pPr>
              <w:pStyle w:val="TableParagraph"/>
              <w:spacing w:before="127"/>
              <w:ind w:left="496" w:right="383"/>
              <w:jc w:val="center"/>
              <w:rPr>
                <w:sz w:val="18"/>
              </w:rPr>
            </w:pPr>
            <w:r>
              <w:rPr>
                <w:sz w:val="18"/>
              </w:rPr>
              <w:t xml:space="preserve">保护修缮工程 </w:t>
            </w:r>
          </w:p>
        </w:tc>
        <w:tc>
          <w:tcPr>
            <w:tcW w:w="7613" w:type="dxa"/>
            <w:tcBorders>
              <w:left w:val="single" w:sz="6" w:space="0" w:color="000000"/>
              <w:bottom w:val="single" w:sz="6" w:space="0" w:color="000000"/>
            </w:tcBorders>
          </w:tcPr>
          <w:p>
            <w:pPr>
              <w:pStyle w:val="TableParagraph"/>
              <w:spacing w:before="64"/>
              <w:ind w:left="117"/>
              <w:rPr>
                <w:sz w:val="18"/>
              </w:rPr>
            </w:pPr>
            <w:r>
              <w:rPr>
                <w:sz w:val="18"/>
              </w:rPr>
              <w:t>对优秀历史建筑进行恢复建筑历史原貌、改善使用功能（包括建筑、结构、设备等多子项）的</w:t>
            </w:r>
          </w:p>
          <w:p>
            <w:pPr>
              <w:pStyle w:val="TableParagraph"/>
              <w:spacing w:before="127"/>
              <w:ind w:left="117"/>
              <w:rPr>
                <w:sz w:val="18"/>
              </w:rPr>
            </w:pPr>
            <w:r>
              <w:rPr>
                <w:sz w:val="18"/>
              </w:rPr>
              <w:t xml:space="preserve">整体、全面、系统性保护修缮工程。 </w:t>
            </w:r>
          </w:p>
        </w:tc>
      </w:tr>
      <w:tr>
        <w:tblPrEx>
          <w:tblW w:w="0" w:type="auto"/>
          <w:jc w:val="left"/>
          <w:tblInd w:w="764" w:type="dxa"/>
          <w:tblLayout w:type="fixed"/>
          <w:tblCellMar>
            <w:top w:w="0" w:type="dxa"/>
            <w:left w:w="0" w:type="dxa"/>
            <w:bottom w:w="0" w:type="dxa"/>
            <w:right w:w="0" w:type="dxa"/>
          </w:tblCellMar>
          <w:tblLook w:val="01E0"/>
        </w:tblPrEx>
        <w:trPr>
          <w:trHeight w:val="716"/>
          <w:jc w:val="left"/>
        </w:trPr>
        <w:tc>
          <w:tcPr>
            <w:tcW w:w="2028" w:type="dxa"/>
            <w:tcBorders>
              <w:top w:val="single" w:sz="6" w:space="0" w:color="000000"/>
              <w:right w:val="single" w:sz="6" w:space="0" w:color="000000"/>
            </w:tcBorders>
          </w:tcPr>
          <w:p>
            <w:pPr>
              <w:pStyle w:val="TableParagraph"/>
              <w:spacing w:before="62"/>
              <w:ind w:left="496" w:right="380"/>
              <w:jc w:val="center"/>
              <w:rPr>
                <w:sz w:val="18"/>
              </w:rPr>
            </w:pPr>
            <w:r>
              <w:rPr>
                <w:sz w:val="18"/>
              </w:rPr>
              <w:t xml:space="preserve">局部性 </w:t>
            </w:r>
          </w:p>
          <w:p>
            <w:pPr>
              <w:pStyle w:val="TableParagraph"/>
              <w:spacing w:before="127"/>
              <w:ind w:left="496" w:right="383"/>
              <w:jc w:val="center"/>
              <w:rPr>
                <w:sz w:val="18"/>
              </w:rPr>
            </w:pPr>
            <w:r>
              <w:rPr>
                <w:sz w:val="18"/>
              </w:rPr>
              <w:t xml:space="preserve">保护修缮工程 </w:t>
            </w:r>
          </w:p>
        </w:tc>
        <w:tc>
          <w:tcPr>
            <w:tcW w:w="7613" w:type="dxa"/>
            <w:tcBorders>
              <w:top w:val="single" w:sz="6" w:space="0" w:color="000000"/>
              <w:left w:val="single" w:sz="6" w:space="0" w:color="000000"/>
            </w:tcBorders>
          </w:tcPr>
          <w:p>
            <w:pPr>
              <w:pStyle w:val="TableParagraph"/>
              <w:spacing w:before="62"/>
              <w:ind w:left="117"/>
              <w:rPr>
                <w:sz w:val="18"/>
              </w:rPr>
            </w:pPr>
            <w:r>
              <w:rPr>
                <w:sz w:val="18"/>
              </w:rPr>
              <w:t>在现状基础上，对优秀历史建筑进行外立面整治、局部损坏修复或结构构件加固、局部楼层室</w:t>
            </w:r>
          </w:p>
          <w:p>
            <w:pPr>
              <w:pStyle w:val="TableParagraph"/>
              <w:spacing w:before="127"/>
              <w:ind w:left="117"/>
              <w:rPr>
                <w:sz w:val="18"/>
              </w:rPr>
            </w:pPr>
            <w:r>
              <w:rPr>
                <w:sz w:val="18"/>
              </w:rPr>
              <w:t xml:space="preserve">内装修、局部区域内平面调整等局部性保护修缮工程。 </w:t>
            </w:r>
          </w:p>
        </w:tc>
      </w:tr>
    </w:tbl>
    <w:p>
      <w:pPr>
        <w:spacing w:after="0"/>
        <w:rPr>
          <w:sz w:val="18"/>
        </w:rPr>
        <w:sectPr>
          <w:pgSz w:w="11910" w:h="16840"/>
          <w:pgMar w:top="1340" w:right="260" w:bottom="280" w:left="240" w:header="708" w:footer="708"/>
          <w:pgNumType w:start="9"/>
          <w:cols w:space="708"/>
        </w:sectPr>
      </w:pPr>
    </w:p>
    <w:p>
      <w:pPr>
        <w:pStyle w:val="BodyText"/>
        <w:spacing w:before="61"/>
        <w:ind w:right="870"/>
        <w:jc w:val="right"/>
        <w:rPr>
          <w:rFonts w:ascii="黑体"/>
        </w:rPr>
      </w:pPr>
      <w:r>
        <w:pict>
          <v:group id="_x0000_s1051" style="width:595.5pt;height:842.15pt;margin-top:-0.09pt;margin-left:-0.09pt;mso-position-horizontal-relative:page;mso-position-vertical-relative:page;position:absolute;z-index:-251645952" coordorigin="-2,-2" coordsize="11910,16843">
            <v:shape id="_x0000_s1052" type="#_x0000_t75" style="width:6067;height:8051;left:2650;position:absolute;top:4649" stroked="f">
              <v:imagedata r:id="rId6" o:title=""/>
            </v:shape>
            <v:rect id="_x0000_s1053" style="width:11906;height:16838;position:absolute" filled="f" stroked="t" strokecolor="#231916" strokeweight="0.22pt">
              <v:stroke dashstyle="solid"/>
            </v:rect>
            <v:shape id="_x0000_s1054" type="#_x0000_t75" style="width:11200;height:7680;left:340;position:absolute;top:8258" stroked="f">
              <v:imagedata r:id="rId4" o:title=""/>
            </v:shape>
          </v:group>
        </w:pict>
      </w:r>
      <w:r>
        <w:rPr>
          <w:rFonts w:ascii="黑体"/>
        </w:rPr>
        <w:t>DB4201/T 574-2019</w:t>
      </w:r>
    </w:p>
    <w:p>
      <w:pPr>
        <w:pStyle w:val="BodyText"/>
        <w:spacing w:before="10"/>
        <w:rPr>
          <w:rFonts w:ascii="黑体"/>
          <w:sz w:val="25"/>
        </w:rPr>
      </w:pPr>
    </w:p>
    <w:tbl>
      <w:tblPr>
        <w:tblStyle w:val="TableNormal1"/>
        <w:tblW w:w="0" w:type="auto"/>
        <w:jc w:val="left"/>
        <w:tblInd w:w="10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028"/>
        <w:gridCol w:w="7613"/>
      </w:tblGrid>
      <w:tr>
        <w:tblPrEx>
          <w:tblW w:w="0" w:type="auto"/>
          <w:jc w:val="left"/>
          <w:tblInd w:w="10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317"/>
          <w:jc w:val="left"/>
        </w:trPr>
        <w:tc>
          <w:tcPr>
            <w:tcW w:w="9641" w:type="dxa"/>
            <w:gridSpan w:val="2"/>
            <w:tcBorders>
              <w:top w:val="nil"/>
              <w:left w:val="nil"/>
              <w:right w:val="nil"/>
            </w:tcBorders>
          </w:tcPr>
          <w:p>
            <w:pPr>
              <w:pStyle w:val="TableParagraph"/>
              <w:spacing w:line="241" w:lineRule="exact"/>
              <w:ind w:left="4236" w:right="4210"/>
              <w:jc w:val="center"/>
              <w:rPr>
                <w:rFonts w:ascii="黑体" w:eastAsia="黑体" w:hint="eastAsia"/>
                <w:sz w:val="21"/>
              </w:rPr>
            </w:pPr>
            <w:r>
              <w:rPr>
                <w:rFonts w:ascii="黑体" w:eastAsia="黑体" w:hint="eastAsia"/>
                <w:sz w:val="21"/>
              </w:rPr>
              <w:t>表 1 （</w:t>
            </w:r>
            <w:r>
              <w:rPr>
                <w:sz w:val="21"/>
              </w:rPr>
              <w:t>续</w:t>
            </w:r>
            <w:r>
              <w:rPr>
                <w:rFonts w:ascii="黑体" w:eastAsia="黑体" w:hint="eastAsia"/>
                <w:sz w:val="21"/>
              </w:rPr>
              <w:t>）</w:t>
            </w:r>
          </w:p>
        </w:tc>
      </w:tr>
      <w:tr>
        <w:tblPrEx>
          <w:tblW w:w="0" w:type="auto"/>
          <w:jc w:val="left"/>
          <w:tblInd w:w="1050" w:type="dxa"/>
          <w:tblLayout w:type="fixed"/>
          <w:tblCellMar>
            <w:top w:w="0" w:type="dxa"/>
            <w:left w:w="0" w:type="dxa"/>
            <w:bottom w:w="0" w:type="dxa"/>
            <w:right w:w="0" w:type="dxa"/>
          </w:tblCellMar>
          <w:tblLook w:val="01E0"/>
        </w:tblPrEx>
        <w:trPr>
          <w:trHeight w:val="670"/>
          <w:jc w:val="left"/>
        </w:trPr>
        <w:tc>
          <w:tcPr>
            <w:tcW w:w="2028" w:type="dxa"/>
            <w:tcBorders>
              <w:right w:val="single" w:sz="6" w:space="0" w:color="000000"/>
            </w:tcBorders>
          </w:tcPr>
          <w:p>
            <w:pPr>
              <w:pStyle w:val="TableParagraph"/>
              <w:spacing w:before="12"/>
              <w:rPr>
                <w:rFonts w:ascii="黑体"/>
                <w:sz w:val="16"/>
              </w:rPr>
            </w:pPr>
          </w:p>
          <w:p>
            <w:pPr>
              <w:pStyle w:val="TableParagraph"/>
              <w:spacing w:before="1"/>
              <w:ind w:left="496" w:right="385"/>
              <w:jc w:val="center"/>
              <w:rPr>
                <w:b/>
                <w:sz w:val="18"/>
              </w:rPr>
            </w:pPr>
            <w:r>
              <w:rPr>
                <w:b/>
                <w:sz w:val="18"/>
              </w:rPr>
              <w:t>类型</w:t>
            </w:r>
            <w:r>
              <w:rPr>
                <w:b/>
                <w:w w:val="99"/>
                <w:sz w:val="18"/>
              </w:rPr>
              <w:t xml:space="preserve"> </w:t>
            </w:r>
          </w:p>
        </w:tc>
        <w:tc>
          <w:tcPr>
            <w:tcW w:w="7613" w:type="dxa"/>
            <w:tcBorders>
              <w:left w:val="single" w:sz="6" w:space="0" w:color="000000"/>
            </w:tcBorders>
          </w:tcPr>
          <w:p>
            <w:pPr>
              <w:pStyle w:val="TableParagraph"/>
              <w:spacing w:before="12"/>
              <w:rPr>
                <w:rFonts w:ascii="黑体"/>
                <w:sz w:val="16"/>
              </w:rPr>
            </w:pPr>
          </w:p>
          <w:p>
            <w:pPr>
              <w:pStyle w:val="TableParagraph"/>
              <w:spacing w:before="1"/>
              <w:ind w:left="3384" w:right="3258"/>
              <w:jc w:val="center"/>
              <w:rPr>
                <w:b/>
                <w:sz w:val="18"/>
              </w:rPr>
            </w:pPr>
            <w:r>
              <w:rPr>
                <w:b/>
                <w:sz w:val="18"/>
              </w:rPr>
              <w:t>范围和内容</w:t>
            </w:r>
            <w:r>
              <w:rPr>
                <w:b/>
                <w:w w:val="99"/>
                <w:sz w:val="18"/>
              </w:rPr>
              <w:t xml:space="preserve"> </w:t>
            </w:r>
          </w:p>
        </w:tc>
      </w:tr>
      <w:tr>
        <w:tblPrEx>
          <w:tblW w:w="0" w:type="auto"/>
          <w:jc w:val="left"/>
          <w:tblInd w:w="1050" w:type="dxa"/>
          <w:tblLayout w:type="fixed"/>
          <w:tblCellMar>
            <w:top w:w="0" w:type="dxa"/>
            <w:left w:w="0" w:type="dxa"/>
            <w:bottom w:w="0" w:type="dxa"/>
            <w:right w:w="0" w:type="dxa"/>
          </w:tblCellMar>
          <w:tblLook w:val="01E0"/>
        </w:tblPrEx>
        <w:trPr>
          <w:trHeight w:val="1793"/>
          <w:jc w:val="left"/>
        </w:trPr>
        <w:tc>
          <w:tcPr>
            <w:tcW w:w="2028" w:type="dxa"/>
            <w:tcBorders>
              <w:right w:val="single" w:sz="6" w:space="0" w:color="000000"/>
            </w:tcBorders>
          </w:tcPr>
          <w:p>
            <w:pPr>
              <w:pStyle w:val="TableParagraph"/>
              <w:rPr>
                <w:rFonts w:ascii="黑体"/>
                <w:sz w:val="18"/>
              </w:rPr>
            </w:pPr>
          </w:p>
          <w:p>
            <w:pPr>
              <w:pStyle w:val="TableParagraph"/>
              <w:rPr>
                <w:rFonts w:ascii="黑体"/>
                <w:sz w:val="18"/>
              </w:rPr>
            </w:pPr>
          </w:p>
          <w:p>
            <w:pPr>
              <w:pStyle w:val="TableParagraph"/>
              <w:spacing w:before="140"/>
              <w:ind w:left="494" w:right="386"/>
              <w:jc w:val="center"/>
              <w:rPr>
                <w:sz w:val="18"/>
              </w:rPr>
            </w:pPr>
            <w:r>
              <w:rPr>
                <w:sz w:val="18"/>
              </w:rPr>
              <w:t xml:space="preserve">专项 </w:t>
            </w:r>
          </w:p>
          <w:p>
            <w:pPr>
              <w:pStyle w:val="TableParagraph"/>
              <w:spacing w:before="127"/>
              <w:ind w:left="494" w:right="386"/>
              <w:jc w:val="center"/>
              <w:rPr>
                <w:sz w:val="18"/>
              </w:rPr>
            </w:pPr>
            <w:r>
              <w:rPr>
                <w:sz w:val="18"/>
              </w:rPr>
              <w:t xml:space="preserve">保护修缮工程 </w:t>
            </w:r>
          </w:p>
        </w:tc>
        <w:tc>
          <w:tcPr>
            <w:tcW w:w="7613" w:type="dxa"/>
            <w:tcBorders>
              <w:left w:val="single" w:sz="6" w:space="0" w:color="000000"/>
            </w:tcBorders>
          </w:tcPr>
          <w:p>
            <w:pPr>
              <w:pStyle w:val="TableParagraph"/>
              <w:spacing w:before="61" w:line="374" w:lineRule="auto"/>
              <w:ind w:left="114" w:right="93"/>
              <w:rPr>
                <w:sz w:val="18"/>
              </w:rPr>
            </w:pPr>
            <w:r>
              <w:rPr>
                <w:sz w:val="18"/>
              </w:rPr>
              <w:t xml:space="preserve">建筑突发严重危险时，由于时间、技术、经费等条件的限制，不能进行彻底修缮而采取具有可逆性的临时抢险加固措施的保护修缮工程； </w:t>
            </w:r>
          </w:p>
          <w:p>
            <w:pPr>
              <w:pStyle w:val="TableParagraph"/>
              <w:spacing w:line="229" w:lineRule="exact"/>
              <w:ind w:left="114"/>
              <w:rPr>
                <w:sz w:val="18"/>
              </w:rPr>
            </w:pPr>
            <w:r>
              <w:rPr>
                <w:sz w:val="18"/>
              </w:rPr>
              <w:t xml:space="preserve">为满足建筑使用需求而进行的完善某专项功能、专项设备系统的保护修缮工程； </w:t>
            </w:r>
          </w:p>
          <w:p>
            <w:pPr>
              <w:pStyle w:val="TableParagraph"/>
              <w:spacing w:before="10" w:line="350" w:lineRule="atLeast"/>
              <w:ind w:left="114" w:right="93"/>
              <w:rPr>
                <w:sz w:val="18"/>
              </w:rPr>
            </w:pPr>
            <w:r>
              <w:rPr>
                <w:sz w:val="18"/>
              </w:rPr>
              <w:t xml:space="preserve">在特定条件下必须采用基础托换、顶升、平移、落地重建等特定方法对建筑进行结构干预，并在此基础上对受影响部位进行复原和全面修缮的保护修缮工程。 </w:t>
            </w:r>
          </w:p>
        </w:tc>
      </w:tr>
    </w:tbl>
    <w:p>
      <w:pPr>
        <w:pStyle w:val="BodyText"/>
        <w:rPr>
          <w:rFonts w:ascii="黑体"/>
          <w:sz w:val="20"/>
        </w:rPr>
      </w:pPr>
    </w:p>
    <w:p>
      <w:pPr>
        <w:pStyle w:val="BodyText"/>
        <w:spacing w:before="3"/>
        <w:rPr>
          <w:rFonts w:ascii="黑体"/>
          <w:sz w:val="18"/>
        </w:rPr>
      </w:pPr>
    </w:p>
    <w:p>
      <w:pPr>
        <w:pStyle w:val="ListParagraph"/>
        <w:numPr>
          <w:ilvl w:val="1"/>
          <w:numId w:val="31"/>
        </w:numPr>
        <w:tabs>
          <w:tab w:val="left" w:pos="1704"/>
        </w:tabs>
        <w:spacing w:before="1" w:after="0" w:line="240" w:lineRule="auto"/>
        <w:ind w:left="1704" w:right="0" w:hanging="526"/>
        <w:jc w:val="left"/>
        <w:rPr>
          <w:rFonts w:ascii="黑体" w:eastAsia="黑体" w:hint="eastAsia"/>
          <w:sz w:val="21"/>
        </w:rPr>
      </w:pPr>
      <w:bookmarkStart w:id="31" w:name="保护修缮工程的基本流程"/>
      <w:bookmarkEnd w:id="31"/>
      <w:r>
        <w:rPr>
          <w:rFonts w:ascii="黑体" w:eastAsia="黑体" w:hint="eastAsia"/>
          <w:spacing w:val="-3"/>
          <w:sz w:val="21"/>
        </w:rPr>
        <w:t>保护修缮工程的基本流程</w:t>
      </w:r>
    </w:p>
    <w:p>
      <w:pPr>
        <w:pStyle w:val="BodyText"/>
        <w:spacing w:before="6"/>
        <w:rPr>
          <w:rFonts w:ascii="黑体"/>
          <w:sz w:val="15"/>
        </w:rPr>
      </w:pPr>
    </w:p>
    <w:p>
      <w:pPr>
        <w:pStyle w:val="ListParagraph"/>
        <w:numPr>
          <w:ilvl w:val="2"/>
          <w:numId w:val="31"/>
        </w:numPr>
        <w:tabs>
          <w:tab w:val="left" w:pos="1914"/>
        </w:tabs>
        <w:spacing w:before="0" w:after="0" w:line="278" w:lineRule="auto"/>
        <w:ind w:left="1179" w:right="876" w:hanging="2"/>
        <w:jc w:val="left"/>
        <w:rPr>
          <w:sz w:val="21"/>
        </w:rPr>
      </w:pPr>
      <w:bookmarkStart w:id="32" w:name="优秀历史建筑保护修缮一般包括修缮实施准备、查勘与检测鉴定、修缮设计、修缮施工和修"/>
      <w:bookmarkEnd w:id="32"/>
      <w:r>
        <w:rPr>
          <w:spacing w:val="-3"/>
          <w:sz w:val="21"/>
        </w:rPr>
        <w:t>优秀历史建筑保护修缮一般包括修缮实施准备、查勘与检测鉴定、修缮设计、修缮施工和修缮</w:t>
      </w:r>
      <w:r>
        <w:rPr>
          <w:spacing w:val="-5"/>
          <w:sz w:val="21"/>
        </w:rPr>
        <w:t xml:space="preserve">验收五个阶段。优秀历史建筑保护修缮工程的基本流程见附录 </w:t>
      </w:r>
      <w:r>
        <w:rPr>
          <w:sz w:val="21"/>
        </w:rPr>
        <w:t>A</w:t>
      </w:r>
      <w:r>
        <w:rPr>
          <w:spacing w:val="-3"/>
          <w:sz w:val="21"/>
        </w:rPr>
        <w:t>。</w:t>
      </w:r>
      <w:r>
        <w:rPr>
          <w:sz w:val="21"/>
        </w:rPr>
        <w:t xml:space="preserve"> </w:t>
      </w:r>
    </w:p>
    <w:p>
      <w:pPr>
        <w:pStyle w:val="ListParagraph"/>
        <w:numPr>
          <w:ilvl w:val="2"/>
          <w:numId w:val="31"/>
        </w:numPr>
        <w:tabs>
          <w:tab w:val="left" w:pos="1915"/>
        </w:tabs>
        <w:spacing w:before="51" w:after="0" w:line="240" w:lineRule="auto"/>
        <w:ind w:left="1914" w:right="0" w:hanging="736"/>
        <w:jc w:val="left"/>
        <w:rPr>
          <w:sz w:val="21"/>
        </w:rPr>
      </w:pPr>
      <w:bookmarkStart w:id="33" w:name="修缮实施准备阶段应包括下列内容："/>
      <w:bookmarkEnd w:id="33"/>
      <w:r>
        <w:rPr>
          <w:spacing w:val="-3"/>
          <w:sz w:val="21"/>
        </w:rPr>
        <w:t>修缮实施准备阶段应包括下列内容：</w:t>
      </w:r>
      <w:r>
        <w:rPr>
          <w:sz w:val="21"/>
        </w:rPr>
        <w:t xml:space="preserve"> </w:t>
      </w:r>
    </w:p>
    <w:p>
      <w:pPr>
        <w:pStyle w:val="ListParagraph"/>
        <w:numPr>
          <w:ilvl w:val="3"/>
          <w:numId w:val="31"/>
        </w:numPr>
        <w:tabs>
          <w:tab w:val="left" w:pos="2020"/>
        </w:tabs>
        <w:spacing w:before="93" w:after="0" w:line="240" w:lineRule="auto"/>
        <w:ind w:left="2019" w:right="0" w:hanging="421"/>
        <w:jc w:val="left"/>
        <w:rPr>
          <w:sz w:val="21"/>
        </w:rPr>
      </w:pPr>
      <w:r>
        <w:rPr>
          <w:spacing w:val="-3"/>
          <w:sz w:val="21"/>
        </w:rPr>
        <w:t>提出符合保护要求的保护修缮工程项目申请；</w:t>
      </w:r>
      <w:r>
        <w:rPr>
          <w:sz w:val="21"/>
        </w:rPr>
        <w:t xml:space="preserve"> </w:t>
      </w:r>
    </w:p>
    <w:p>
      <w:pPr>
        <w:pStyle w:val="ListParagraph"/>
        <w:numPr>
          <w:ilvl w:val="3"/>
          <w:numId w:val="31"/>
        </w:numPr>
        <w:tabs>
          <w:tab w:val="left" w:pos="2021"/>
        </w:tabs>
        <w:spacing w:before="43" w:after="0" w:line="240" w:lineRule="auto"/>
        <w:ind w:left="2020" w:right="0" w:hanging="421"/>
        <w:jc w:val="left"/>
        <w:rPr>
          <w:sz w:val="21"/>
        </w:rPr>
      </w:pPr>
      <w:r>
        <w:rPr>
          <w:spacing w:val="-3"/>
          <w:sz w:val="21"/>
        </w:rPr>
        <w:t>获知房屋主管部门提出的保护修缮技术要求。</w:t>
      </w:r>
      <w:r>
        <w:rPr>
          <w:sz w:val="21"/>
        </w:rPr>
        <w:t xml:space="preserve"> </w:t>
      </w:r>
    </w:p>
    <w:p>
      <w:pPr>
        <w:pStyle w:val="ListParagraph"/>
        <w:numPr>
          <w:ilvl w:val="2"/>
          <w:numId w:val="31"/>
        </w:numPr>
        <w:tabs>
          <w:tab w:val="left" w:pos="1915"/>
        </w:tabs>
        <w:spacing w:before="93" w:after="0" w:line="240" w:lineRule="auto"/>
        <w:ind w:left="1914" w:right="0" w:hanging="735"/>
        <w:jc w:val="left"/>
        <w:rPr>
          <w:sz w:val="21"/>
        </w:rPr>
      </w:pPr>
      <w:bookmarkStart w:id="34" w:name="查勘与检测鉴定阶段应包括下列内容："/>
      <w:bookmarkEnd w:id="34"/>
      <w:r>
        <w:rPr>
          <w:spacing w:val="-3"/>
          <w:sz w:val="21"/>
        </w:rPr>
        <w:t>查勘与检测鉴定阶段应包括下列内容：</w:t>
      </w:r>
      <w:r>
        <w:rPr>
          <w:sz w:val="21"/>
        </w:rPr>
        <w:t xml:space="preserve"> </w:t>
      </w:r>
    </w:p>
    <w:p>
      <w:pPr>
        <w:pStyle w:val="ListParagraph"/>
        <w:numPr>
          <w:ilvl w:val="3"/>
          <w:numId w:val="31"/>
        </w:numPr>
        <w:tabs>
          <w:tab w:val="left" w:pos="2021"/>
        </w:tabs>
        <w:spacing w:before="94" w:after="0" w:line="240" w:lineRule="auto"/>
        <w:ind w:left="2020" w:right="0" w:hanging="421"/>
        <w:jc w:val="left"/>
        <w:rPr>
          <w:sz w:val="21"/>
        </w:rPr>
      </w:pPr>
      <w:r>
        <w:rPr>
          <w:spacing w:val="-3"/>
          <w:sz w:val="21"/>
        </w:rPr>
        <w:t>进行资料搜集与现场查勘，形成查勘报告。</w:t>
      </w:r>
      <w:r>
        <w:rPr>
          <w:sz w:val="21"/>
        </w:rPr>
        <w:t xml:space="preserve"> </w:t>
      </w:r>
    </w:p>
    <w:p>
      <w:pPr>
        <w:pStyle w:val="ListParagraph"/>
        <w:numPr>
          <w:ilvl w:val="3"/>
          <w:numId w:val="31"/>
        </w:numPr>
        <w:tabs>
          <w:tab w:val="left" w:pos="2021"/>
        </w:tabs>
        <w:spacing w:before="42" w:after="0" w:line="240" w:lineRule="auto"/>
        <w:ind w:left="2020" w:right="0" w:hanging="421"/>
        <w:jc w:val="left"/>
        <w:rPr>
          <w:sz w:val="21"/>
        </w:rPr>
      </w:pPr>
      <w:r>
        <w:rPr>
          <w:spacing w:val="-3"/>
          <w:sz w:val="21"/>
        </w:rPr>
        <w:t>进行专项测绘，形成建筑测绘资料；</w:t>
      </w:r>
      <w:r>
        <w:rPr>
          <w:sz w:val="21"/>
        </w:rPr>
        <w:t xml:space="preserve"> </w:t>
      </w:r>
    </w:p>
    <w:p>
      <w:pPr>
        <w:pStyle w:val="ListParagraph"/>
        <w:numPr>
          <w:ilvl w:val="3"/>
          <w:numId w:val="31"/>
        </w:numPr>
        <w:tabs>
          <w:tab w:val="left" w:pos="2021"/>
        </w:tabs>
        <w:spacing w:before="43" w:after="0" w:line="240" w:lineRule="auto"/>
        <w:ind w:left="2020" w:right="0" w:hanging="421"/>
        <w:jc w:val="left"/>
        <w:rPr>
          <w:sz w:val="21"/>
        </w:rPr>
      </w:pPr>
      <w:r>
        <w:rPr>
          <w:spacing w:val="-3"/>
          <w:sz w:val="21"/>
        </w:rPr>
        <w:t>进行检测鉴定，形成检测鉴定报告；</w:t>
      </w:r>
      <w:r>
        <w:rPr>
          <w:sz w:val="21"/>
        </w:rPr>
        <w:t xml:space="preserve"> </w:t>
      </w:r>
    </w:p>
    <w:p>
      <w:pPr>
        <w:pStyle w:val="ListParagraph"/>
        <w:numPr>
          <w:ilvl w:val="3"/>
          <w:numId w:val="31"/>
        </w:numPr>
        <w:tabs>
          <w:tab w:val="left" w:pos="2021"/>
        </w:tabs>
        <w:spacing w:before="43" w:after="0" w:line="278" w:lineRule="auto"/>
        <w:ind w:left="2020" w:right="864" w:hanging="421"/>
        <w:jc w:val="left"/>
        <w:rPr>
          <w:sz w:val="21"/>
        </w:rPr>
      </w:pPr>
      <w:r>
        <w:rPr>
          <w:spacing w:val="-10"/>
          <w:sz w:val="21"/>
        </w:rPr>
        <w:t>根据修缮设计要求，进行特色材料的性能检测鉴定、主要材料类型及施工工艺的检测鉴定、白</w:t>
      </w:r>
      <w:r>
        <w:rPr>
          <w:spacing w:val="-5"/>
          <w:sz w:val="21"/>
        </w:rPr>
        <w:t>蚁危害状况检测、节能检测评估、抗震能力评估、消防能力评估等专项检测鉴定。</w:t>
      </w:r>
      <w:r>
        <w:rPr>
          <w:sz w:val="21"/>
        </w:rPr>
        <w:t xml:space="preserve"> </w:t>
      </w:r>
    </w:p>
    <w:p>
      <w:pPr>
        <w:pStyle w:val="ListParagraph"/>
        <w:numPr>
          <w:ilvl w:val="2"/>
          <w:numId w:val="31"/>
        </w:numPr>
        <w:tabs>
          <w:tab w:val="left" w:pos="1916"/>
        </w:tabs>
        <w:spacing w:before="50" w:after="0" w:line="278" w:lineRule="auto"/>
        <w:ind w:left="1181" w:right="875" w:hanging="1"/>
        <w:jc w:val="left"/>
        <w:rPr>
          <w:sz w:val="21"/>
        </w:rPr>
      </w:pPr>
      <w:bookmarkStart w:id="35" w:name="修缮设计阶段一般包括方案设计和施工图设计阶段，针对保护级别较高、功能复杂、规模较"/>
      <w:bookmarkEnd w:id="35"/>
      <w:r>
        <w:rPr>
          <w:spacing w:val="-3"/>
          <w:sz w:val="21"/>
        </w:rPr>
        <w:t>修缮设计阶段一般包括方案设计和施工图设计阶段，针对保护级别较高、功能复杂、规模较大</w:t>
      </w:r>
      <w:r>
        <w:rPr>
          <w:spacing w:val="-3"/>
          <w:sz w:val="21"/>
        </w:rPr>
        <w:t>或有重大影响的保护修缮工程，还应增加初步设计阶段。各阶段应分别包括下列内容：</w:t>
      </w:r>
      <w:r>
        <w:rPr>
          <w:sz w:val="21"/>
        </w:rPr>
        <w:t xml:space="preserve"> </w:t>
      </w:r>
    </w:p>
    <w:p>
      <w:pPr>
        <w:pStyle w:val="ListParagraph"/>
        <w:numPr>
          <w:ilvl w:val="3"/>
          <w:numId w:val="31"/>
        </w:numPr>
        <w:tabs>
          <w:tab w:val="left" w:pos="2022"/>
        </w:tabs>
        <w:spacing w:before="48" w:after="0" w:line="240" w:lineRule="auto"/>
        <w:ind w:left="2021" w:right="0" w:hanging="421"/>
        <w:jc w:val="left"/>
        <w:rPr>
          <w:sz w:val="21"/>
        </w:rPr>
      </w:pPr>
      <w:r>
        <w:rPr>
          <w:spacing w:val="-3"/>
          <w:sz w:val="21"/>
        </w:rPr>
        <w:t>方案设计阶段包括：</w:t>
      </w:r>
      <w:r>
        <w:rPr>
          <w:sz w:val="21"/>
        </w:rPr>
        <w:t xml:space="preserve"> </w:t>
      </w:r>
    </w:p>
    <w:p>
      <w:pPr>
        <w:pStyle w:val="ListParagraph"/>
        <w:numPr>
          <w:ilvl w:val="4"/>
          <w:numId w:val="31"/>
        </w:numPr>
        <w:tabs>
          <w:tab w:val="left" w:pos="2442"/>
        </w:tabs>
        <w:spacing w:before="43" w:after="0" w:line="240" w:lineRule="auto"/>
        <w:ind w:left="2441" w:right="0" w:hanging="421"/>
        <w:jc w:val="left"/>
        <w:rPr>
          <w:sz w:val="21"/>
        </w:rPr>
      </w:pPr>
      <w:r>
        <w:rPr>
          <w:spacing w:val="-3"/>
          <w:sz w:val="21"/>
        </w:rPr>
        <w:t>明确修缮目的、范围和保护技术要求；</w:t>
      </w:r>
      <w:r>
        <w:rPr>
          <w:sz w:val="21"/>
        </w:rPr>
        <w:t xml:space="preserve"> </w:t>
      </w:r>
    </w:p>
    <w:p>
      <w:pPr>
        <w:pStyle w:val="ListParagraph"/>
        <w:numPr>
          <w:ilvl w:val="4"/>
          <w:numId w:val="31"/>
        </w:numPr>
        <w:tabs>
          <w:tab w:val="left" w:pos="2442"/>
        </w:tabs>
        <w:spacing w:before="43" w:after="0" w:line="240" w:lineRule="auto"/>
        <w:ind w:left="2441" w:right="0" w:hanging="421"/>
        <w:jc w:val="left"/>
        <w:rPr>
          <w:sz w:val="21"/>
        </w:rPr>
      </w:pPr>
      <w:r>
        <w:rPr>
          <w:spacing w:val="-3"/>
          <w:sz w:val="21"/>
        </w:rPr>
        <w:t xml:space="preserve">研究历史资料与相关记录； </w:t>
      </w:r>
    </w:p>
    <w:p>
      <w:pPr>
        <w:pStyle w:val="ListParagraph"/>
        <w:numPr>
          <w:ilvl w:val="4"/>
          <w:numId w:val="31"/>
        </w:numPr>
        <w:tabs>
          <w:tab w:val="left" w:pos="2442"/>
        </w:tabs>
        <w:spacing w:before="43" w:after="0" w:line="240" w:lineRule="auto"/>
        <w:ind w:left="2441" w:right="0" w:hanging="421"/>
        <w:jc w:val="left"/>
        <w:rPr>
          <w:sz w:val="21"/>
        </w:rPr>
      </w:pPr>
      <w:r>
        <w:rPr>
          <w:spacing w:val="-3"/>
          <w:sz w:val="21"/>
        </w:rPr>
        <w:t>综合价值评估；</w:t>
      </w:r>
      <w:r>
        <w:rPr>
          <w:sz w:val="21"/>
        </w:rPr>
        <w:t xml:space="preserve"> </w:t>
      </w:r>
    </w:p>
    <w:p>
      <w:pPr>
        <w:pStyle w:val="ListParagraph"/>
        <w:numPr>
          <w:ilvl w:val="4"/>
          <w:numId w:val="31"/>
        </w:numPr>
        <w:tabs>
          <w:tab w:val="left" w:pos="2442"/>
        </w:tabs>
        <w:spacing w:before="43" w:after="0" w:line="240" w:lineRule="auto"/>
        <w:ind w:left="2441" w:right="0" w:hanging="421"/>
        <w:jc w:val="left"/>
        <w:rPr>
          <w:sz w:val="21"/>
        </w:rPr>
      </w:pPr>
      <w:r>
        <w:rPr>
          <w:spacing w:val="-3"/>
          <w:sz w:val="21"/>
        </w:rPr>
        <w:t>分析建筑病害分布情况和原因；</w:t>
      </w:r>
      <w:r>
        <w:rPr>
          <w:sz w:val="21"/>
        </w:rPr>
        <w:t xml:space="preserve"> </w:t>
      </w:r>
    </w:p>
    <w:p>
      <w:pPr>
        <w:pStyle w:val="ListParagraph"/>
        <w:numPr>
          <w:ilvl w:val="4"/>
          <w:numId w:val="31"/>
        </w:numPr>
        <w:tabs>
          <w:tab w:val="left" w:pos="2443"/>
        </w:tabs>
        <w:spacing w:before="42" w:after="0" w:line="240" w:lineRule="auto"/>
        <w:ind w:left="2442" w:right="0" w:hanging="421"/>
        <w:jc w:val="left"/>
        <w:rPr>
          <w:sz w:val="21"/>
        </w:rPr>
      </w:pPr>
      <w:r>
        <w:rPr>
          <w:spacing w:val="-3"/>
          <w:sz w:val="21"/>
        </w:rPr>
        <w:t>编制修缮设计方案；</w:t>
      </w:r>
      <w:r>
        <w:rPr>
          <w:sz w:val="21"/>
        </w:rPr>
        <w:t xml:space="preserve"> </w:t>
      </w:r>
    </w:p>
    <w:p>
      <w:pPr>
        <w:pStyle w:val="ListParagraph"/>
        <w:numPr>
          <w:ilvl w:val="4"/>
          <w:numId w:val="31"/>
        </w:numPr>
        <w:tabs>
          <w:tab w:val="left" w:pos="2443"/>
        </w:tabs>
        <w:spacing w:before="43" w:after="0" w:line="240" w:lineRule="auto"/>
        <w:ind w:left="2442" w:right="0" w:hanging="421"/>
        <w:jc w:val="left"/>
        <w:rPr>
          <w:sz w:val="21"/>
        </w:rPr>
      </w:pPr>
      <w:r>
        <w:rPr>
          <w:spacing w:val="-3"/>
          <w:sz w:val="21"/>
        </w:rPr>
        <w:t>提交方案文本，获得房屋主管部门的审查意见。</w:t>
      </w:r>
      <w:r>
        <w:rPr>
          <w:sz w:val="21"/>
        </w:rPr>
        <w:t xml:space="preserve"> </w:t>
      </w:r>
    </w:p>
    <w:p>
      <w:pPr>
        <w:pStyle w:val="ListParagraph"/>
        <w:numPr>
          <w:ilvl w:val="3"/>
          <w:numId w:val="31"/>
        </w:numPr>
        <w:tabs>
          <w:tab w:val="left" w:pos="2023"/>
        </w:tabs>
        <w:spacing w:before="43" w:after="0" w:line="240" w:lineRule="auto"/>
        <w:ind w:left="2022" w:right="0" w:hanging="421"/>
        <w:jc w:val="left"/>
        <w:rPr>
          <w:sz w:val="21"/>
        </w:rPr>
      </w:pPr>
      <w:r>
        <w:rPr>
          <w:spacing w:val="-3"/>
          <w:sz w:val="21"/>
        </w:rPr>
        <w:t>初步设计阶段，应根据出具的设计方案审查意见，深化设计内容，兼顾施工的可行性；</w:t>
      </w:r>
      <w:r>
        <w:rPr>
          <w:sz w:val="21"/>
        </w:rPr>
        <w:t xml:space="preserve"> </w:t>
      </w:r>
    </w:p>
    <w:p>
      <w:pPr>
        <w:pStyle w:val="ListParagraph"/>
        <w:numPr>
          <w:ilvl w:val="3"/>
          <w:numId w:val="31"/>
        </w:numPr>
        <w:tabs>
          <w:tab w:val="left" w:pos="2024"/>
        </w:tabs>
        <w:spacing w:before="43" w:after="0" w:line="240" w:lineRule="auto"/>
        <w:ind w:left="2023" w:right="0" w:hanging="421"/>
        <w:jc w:val="left"/>
        <w:rPr>
          <w:sz w:val="21"/>
        </w:rPr>
      </w:pPr>
      <w:r>
        <w:rPr>
          <w:spacing w:val="-3"/>
          <w:sz w:val="21"/>
        </w:rPr>
        <w:t>施工图设计阶段包括：</w:t>
      </w:r>
      <w:r>
        <w:rPr>
          <w:sz w:val="21"/>
        </w:rPr>
        <w:t xml:space="preserve"> </w:t>
      </w:r>
    </w:p>
    <w:p>
      <w:pPr>
        <w:pStyle w:val="ListParagraph"/>
        <w:numPr>
          <w:ilvl w:val="4"/>
          <w:numId w:val="31"/>
        </w:numPr>
        <w:tabs>
          <w:tab w:val="left" w:pos="2444"/>
        </w:tabs>
        <w:spacing w:before="43" w:after="0" w:line="240" w:lineRule="auto"/>
        <w:ind w:left="2443" w:right="0" w:hanging="421"/>
        <w:jc w:val="left"/>
        <w:rPr>
          <w:sz w:val="21"/>
        </w:rPr>
      </w:pPr>
      <w:r>
        <w:rPr>
          <w:spacing w:val="-3"/>
          <w:sz w:val="21"/>
        </w:rPr>
        <w:t>进一步深化设计内容；</w:t>
      </w:r>
      <w:r>
        <w:rPr>
          <w:sz w:val="21"/>
        </w:rPr>
        <w:t xml:space="preserve"> </w:t>
      </w:r>
    </w:p>
    <w:p>
      <w:pPr>
        <w:pStyle w:val="ListParagraph"/>
        <w:numPr>
          <w:ilvl w:val="4"/>
          <w:numId w:val="31"/>
        </w:numPr>
        <w:tabs>
          <w:tab w:val="left" w:pos="2444"/>
        </w:tabs>
        <w:spacing w:before="43" w:after="0" w:line="240" w:lineRule="auto"/>
        <w:ind w:left="2443" w:right="0" w:hanging="421"/>
        <w:jc w:val="left"/>
        <w:rPr>
          <w:sz w:val="21"/>
        </w:rPr>
      </w:pPr>
      <w:r>
        <w:rPr>
          <w:spacing w:val="-3"/>
          <w:sz w:val="21"/>
        </w:rPr>
        <w:t>确定重点保护部位的施工工艺要求和材料标准；</w:t>
      </w:r>
      <w:r>
        <w:rPr>
          <w:sz w:val="21"/>
        </w:rPr>
        <w:t xml:space="preserve"> </w:t>
      </w:r>
    </w:p>
    <w:p>
      <w:pPr>
        <w:pStyle w:val="ListParagraph"/>
        <w:numPr>
          <w:ilvl w:val="4"/>
          <w:numId w:val="31"/>
        </w:numPr>
        <w:tabs>
          <w:tab w:val="left" w:pos="2444"/>
        </w:tabs>
        <w:spacing w:before="43" w:after="0" w:line="240" w:lineRule="auto"/>
        <w:ind w:left="2443" w:right="0" w:hanging="421"/>
        <w:jc w:val="left"/>
        <w:rPr>
          <w:sz w:val="21"/>
        </w:rPr>
      </w:pPr>
      <w:r>
        <w:rPr>
          <w:spacing w:val="-3"/>
          <w:sz w:val="21"/>
        </w:rPr>
        <w:t>编制修缮工艺设计，完善并形成施工图文件；</w:t>
      </w:r>
      <w:r>
        <w:rPr>
          <w:sz w:val="21"/>
        </w:rPr>
        <w:t xml:space="preserve"> </w:t>
      </w:r>
    </w:p>
    <w:p>
      <w:pPr>
        <w:pStyle w:val="ListParagraph"/>
        <w:numPr>
          <w:ilvl w:val="4"/>
          <w:numId w:val="31"/>
        </w:numPr>
        <w:tabs>
          <w:tab w:val="left" w:pos="2444"/>
        </w:tabs>
        <w:spacing w:before="43" w:after="0" w:line="240" w:lineRule="auto"/>
        <w:ind w:left="2443" w:right="0" w:hanging="421"/>
        <w:jc w:val="left"/>
        <w:rPr>
          <w:sz w:val="21"/>
        </w:rPr>
      </w:pPr>
      <w:r>
        <w:rPr>
          <w:spacing w:val="-3"/>
          <w:sz w:val="21"/>
        </w:rPr>
        <w:t>编制修缮工程预算。</w:t>
      </w:r>
      <w:r>
        <w:rPr>
          <w:sz w:val="21"/>
        </w:rPr>
        <w:t xml:space="preserve"> </w:t>
      </w:r>
    </w:p>
    <w:p>
      <w:pPr>
        <w:pStyle w:val="ListParagraph"/>
        <w:numPr>
          <w:ilvl w:val="2"/>
          <w:numId w:val="31"/>
        </w:numPr>
        <w:tabs>
          <w:tab w:val="left" w:pos="1919"/>
        </w:tabs>
        <w:spacing w:before="93" w:after="0" w:line="240" w:lineRule="auto"/>
        <w:ind w:left="1918" w:right="0" w:hanging="736"/>
        <w:jc w:val="left"/>
        <w:rPr>
          <w:sz w:val="21"/>
        </w:rPr>
      </w:pPr>
      <w:bookmarkStart w:id="36" w:name="修缮施工阶段应包括下列内容："/>
      <w:bookmarkEnd w:id="36"/>
      <w:r>
        <w:rPr>
          <w:spacing w:val="-3"/>
          <w:sz w:val="21"/>
        </w:rPr>
        <w:t>修缮施工阶段应包括下列内容：</w:t>
      </w:r>
      <w:r>
        <w:rPr>
          <w:sz w:val="21"/>
        </w:rPr>
        <w:t xml:space="preserve"> </w:t>
      </w:r>
    </w:p>
    <w:p>
      <w:pPr>
        <w:pStyle w:val="ListParagraph"/>
        <w:numPr>
          <w:ilvl w:val="3"/>
          <w:numId w:val="31"/>
        </w:numPr>
        <w:tabs>
          <w:tab w:val="left" w:pos="2024"/>
        </w:tabs>
        <w:spacing w:before="93" w:after="0" w:line="240" w:lineRule="auto"/>
        <w:ind w:left="2023" w:right="0" w:hanging="421"/>
        <w:jc w:val="left"/>
        <w:rPr>
          <w:sz w:val="21"/>
        </w:rPr>
      </w:pPr>
      <w:r>
        <w:rPr>
          <w:spacing w:val="-2"/>
          <w:sz w:val="21"/>
        </w:rPr>
        <w:t>施工准备；</w:t>
      </w:r>
      <w:r>
        <w:rPr>
          <w:sz w:val="21"/>
        </w:rPr>
        <w:t xml:space="preserve"> </w:t>
      </w:r>
    </w:p>
    <w:p>
      <w:pPr>
        <w:pStyle w:val="ListParagraph"/>
        <w:numPr>
          <w:ilvl w:val="3"/>
          <w:numId w:val="31"/>
        </w:numPr>
        <w:tabs>
          <w:tab w:val="left" w:pos="2024"/>
        </w:tabs>
        <w:spacing w:before="43" w:after="0" w:line="240" w:lineRule="auto"/>
        <w:ind w:left="2023" w:right="0" w:hanging="421"/>
        <w:jc w:val="left"/>
        <w:rPr>
          <w:sz w:val="21"/>
        </w:rPr>
      </w:pPr>
      <w:r>
        <w:rPr>
          <w:spacing w:val="-3"/>
          <w:sz w:val="21"/>
        </w:rPr>
        <w:t xml:space="preserve">施工单位根据施工图设计方案，制定施工组织方案； </w:t>
      </w:r>
    </w:p>
    <w:p>
      <w:pPr>
        <w:pStyle w:val="BodyText"/>
        <w:rPr>
          <w:sz w:val="11"/>
        </w:rPr>
      </w:pPr>
    </w:p>
    <w:p>
      <w:pPr>
        <w:spacing w:before="75"/>
        <w:ind w:left="0" w:right="979" w:firstLine="0"/>
        <w:jc w:val="right"/>
        <w:rPr>
          <w:sz w:val="18"/>
        </w:rPr>
      </w:pPr>
      <w:r>
        <w:rPr>
          <w:sz w:val="18"/>
        </w:rPr>
        <w:t xml:space="preserve">5 </w:t>
      </w:r>
    </w:p>
    <w:p>
      <w:pPr>
        <w:spacing w:after="0"/>
        <w:jc w:val="right"/>
        <w:rPr>
          <w:sz w:val="18"/>
        </w:rPr>
        <w:sectPr>
          <w:pgSz w:w="11910" w:h="16840"/>
          <w:pgMar w:top="1340" w:right="260" w:bottom="280" w:left="240" w:header="708" w:footer="708"/>
          <w:pgNumType w:start="10"/>
          <w:cols w:space="708"/>
        </w:sectPr>
      </w:pPr>
    </w:p>
    <w:p>
      <w:pPr>
        <w:pStyle w:val="BodyText"/>
        <w:spacing w:before="61"/>
        <w:ind w:left="892"/>
        <w:rPr>
          <w:rFonts w:ascii="黑体"/>
        </w:rPr>
      </w:pPr>
      <w:r>
        <w:rPr>
          <w:rFonts w:ascii="黑体"/>
        </w:rPr>
        <w:t>DB4201/T 574-2019</w:t>
      </w:r>
    </w:p>
    <w:p>
      <w:pPr>
        <w:pStyle w:val="BodyText"/>
        <w:spacing w:before="6"/>
        <w:rPr>
          <w:rFonts w:ascii="黑体"/>
          <w:sz w:val="13"/>
        </w:rPr>
      </w:pPr>
    </w:p>
    <w:p>
      <w:pPr>
        <w:pStyle w:val="ListParagraph"/>
        <w:numPr>
          <w:ilvl w:val="3"/>
          <w:numId w:val="32"/>
        </w:numPr>
        <w:tabs>
          <w:tab w:val="left" w:pos="1733"/>
        </w:tabs>
        <w:spacing w:before="72" w:after="0" w:line="240" w:lineRule="auto"/>
        <w:ind w:left="1732" w:right="0" w:hanging="421"/>
        <w:jc w:val="left"/>
        <w:rPr>
          <w:sz w:val="21"/>
        </w:rPr>
      </w:pPr>
      <w:r>
        <w:rPr>
          <w:spacing w:val="-3"/>
          <w:sz w:val="21"/>
        </w:rPr>
        <w:t>提交方案文本，获得房屋主管部门的审查意见；</w:t>
      </w:r>
      <w:r>
        <w:rPr>
          <w:sz w:val="21"/>
        </w:rPr>
        <w:t xml:space="preserve"> </w:t>
      </w:r>
    </w:p>
    <w:p>
      <w:pPr>
        <w:pStyle w:val="ListParagraph"/>
        <w:numPr>
          <w:ilvl w:val="3"/>
          <w:numId w:val="32"/>
        </w:numPr>
        <w:tabs>
          <w:tab w:val="left" w:pos="1733"/>
        </w:tabs>
        <w:spacing w:before="43" w:after="0" w:line="240" w:lineRule="auto"/>
        <w:ind w:left="1732" w:right="0" w:hanging="421"/>
        <w:jc w:val="left"/>
        <w:rPr>
          <w:sz w:val="21"/>
        </w:rPr>
      </w:pPr>
      <w:r>
        <w:rPr>
          <w:spacing w:val="-3"/>
          <w:sz w:val="21"/>
        </w:rPr>
        <w:t>施工单位组织工程施工，施工前应对施工人员进行专业培训；</w:t>
      </w:r>
      <w:r>
        <w:rPr>
          <w:sz w:val="21"/>
        </w:rPr>
        <w:t xml:space="preserve"> </w:t>
      </w:r>
    </w:p>
    <w:p>
      <w:pPr>
        <w:pStyle w:val="ListParagraph"/>
        <w:numPr>
          <w:ilvl w:val="3"/>
          <w:numId w:val="32"/>
        </w:numPr>
        <w:tabs>
          <w:tab w:val="left" w:pos="1734"/>
        </w:tabs>
        <w:spacing w:before="43" w:after="0" w:line="240" w:lineRule="auto"/>
        <w:ind w:left="1733" w:right="0" w:hanging="421"/>
        <w:jc w:val="left"/>
        <w:rPr>
          <w:sz w:val="21"/>
        </w:rPr>
      </w:pPr>
      <w:r>
        <w:rPr>
          <w:spacing w:val="-3"/>
          <w:sz w:val="21"/>
        </w:rPr>
        <w:t>施工过程深入勘察，必要时补充检测鉴定、深化或补充施工图设计；</w:t>
      </w:r>
      <w:r>
        <w:rPr>
          <w:sz w:val="21"/>
        </w:rPr>
        <w:t xml:space="preserve"> </w:t>
      </w:r>
    </w:p>
    <w:p>
      <w:pPr>
        <w:pStyle w:val="ListParagraph"/>
        <w:numPr>
          <w:ilvl w:val="3"/>
          <w:numId w:val="32"/>
        </w:numPr>
        <w:tabs>
          <w:tab w:val="left" w:pos="1734"/>
        </w:tabs>
        <w:spacing w:before="43" w:after="0" w:line="278" w:lineRule="auto"/>
        <w:ind w:left="1732" w:right="1153" w:hanging="420"/>
        <w:jc w:val="both"/>
        <w:rPr>
          <w:sz w:val="21"/>
        </w:rPr>
      </w:pPr>
      <w:r>
        <w:rPr>
          <w:spacing w:val="-7"/>
          <w:sz w:val="21"/>
        </w:rPr>
        <w:t>施工过程中因隐蔽工程等造成重大设计调整的应组织设计、施工方案评审专家进行会审，并报</w:t>
      </w:r>
      <w:r>
        <w:rPr>
          <w:spacing w:val="-11"/>
          <w:sz w:val="21"/>
        </w:rPr>
        <w:t>送房屋主管部门确认；重要做法、色彩试验等可根据需要组织设计、施工方案评审专家进行现</w:t>
      </w:r>
      <w:r>
        <w:rPr>
          <w:spacing w:val="-2"/>
          <w:sz w:val="21"/>
        </w:rPr>
        <w:t>场确认；</w:t>
      </w:r>
      <w:r>
        <w:rPr>
          <w:sz w:val="21"/>
        </w:rPr>
        <w:t xml:space="preserve"> </w:t>
      </w:r>
    </w:p>
    <w:p>
      <w:pPr>
        <w:pStyle w:val="ListParagraph"/>
        <w:numPr>
          <w:ilvl w:val="3"/>
          <w:numId w:val="32"/>
        </w:numPr>
        <w:tabs>
          <w:tab w:val="left" w:pos="1733"/>
        </w:tabs>
        <w:spacing w:before="0" w:after="0" w:line="269" w:lineRule="exact"/>
        <w:ind w:left="1732" w:right="0" w:hanging="421"/>
        <w:jc w:val="both"/>
        <w:rPr>
          <w:sz w:val="21"/>
        </w:rPr>
      </w:pPr>
      <w:r>
        <w:rPr>
          <w:spacing w:val="-3"/>
          <w:sz w:val="21"/>
        </w:rPr>
        <w:t>施工人员进场后，应对建筑物内具有历史保护价值和信息的部位及构件采取保护措施。</w:t>
      </w:r>
      <w:r>
        <w:rPr>
          <w:sz w:val="21"/>
        </w:rPr>
        <w:t xml:space="preserve"> </w:t>
      </w:r>
    </w:p>
    <w:p>
      <w:pPr>
        <w:pStyle w:val="ListParagraph"/>
        <w:numPr>
          <w:ilvl w:val="2"/>
          <w:numId w:val="32"/>
        </w:numPr>
        <w:tabs>
          <w:tab w:val="left" w:pos="1628"/>
        </w:tabs>
        <w:spacing w:before="93" w:after="0" w:line="240" w:lineRule="auto"/>
        <w:ind w:left="1627" w:right="0" w:hanging="736"/>
        <w:jc w:val="both"/>
        <w:rPr>
          <w:sz w:val="21"/>
        </w:rPr>
      </w:pPr>
      <w:bookmarkStart w:id="37" w:name="竣工验收阶段应包括下列内容："/>
      <w:bookmarkEnd w:id="37"/>
      <w:r>
        <w:rPr>
          <w:spacing w:val="-3"/>
          <w:sz w:val="21"/>
        </w:rPr>
        <w:t>竣工验收阶段应包括下列内容：</w:t>
      </w:r>
      <w:r>
        <w:rPr>
          <w:sz w:val="21"/>
        </w:rPr>
        <w:t xml:space="preserve"> </w:t>
      </w:r>
    </w:p>
    <w:p>
      <w:pPr>
        <w:pStyle w:val="ListParagraph"/>
        <w:numPr>
          <w:ilvl w:val="3"/>
          <w:numId w:val="32"/>
        </w:numPr>
        <w:tabs>
          <w:tab w:val="left" w:pos="1734"/>
        </w:tabs>
        <w:spacing w:before="93" w:after="0" w:line="240" w:lineRule="auto"/>
        <w:ind w:left="1733" w:right="0" w:hanging="421"/>
        <w:jc w:val="left"/>
        <w:rPr>
          <w:sz w:val="21"/>
        </w:rPr>
      </w:pPr>
      <w:r>
        <w:rPr>
          <w:spacing w:val="-3"/>
          <w:sz w:val="21"/>
        </w:rPr>
        <w:t>编写验收报告、整理竣工图档资料，形成竣工报告书；</w:t>
      </w:r>
      <w:r>
        <w:rPr>
          <w:sz w:val="21"/>
        </w:rPr>
        <w:t xml:space="preserve"> </w:t>
      </w:r>
    </w:p>
    <w:p>
      <w:pPr>
        <w:pStyle w:val="ListParagraph"/>
        <w:numPr>
          <w:ilvl w:val="3"/>
          <w:numId w:val="32"/>
        </w:numPr>
        <w:tabs>
          <w:tab w:val="left" w:pos="1734"/>
        </w:tabs>
        <w:spacing w:before="43" w:after="0" w:line="240" w:lineRule="auto"/>
        <w:ind w:left="1733" w:right="0" w:hanging="421"/>
        <w:jc w:val="left"/>
        <w:rPr>
          <w:sz w:val="21"/>
        </w:rPr>
      </w:pPr>
      <w:r>
        <w:rPr>
          <w:spacing w:val="-3"/>
          <w:sz w:val="21"/>
        </w:rPr>
        <w:t>组织工程竣工验收；</w:t>
      </w:r>
      <w:r>
        <w:rPr>
          <w:sz w:val="21"/>
        </w:rPr>
        <w:t xml:space="preserve"> </w:t>
      </w:r>
    </w:p>
    <w:p>
      <w:pPr>
        <w:pStyle w:val="ListParagraph"/>
        <w:numPr>
          <w:ilvl w:val="3"/>
          <w:numId w:val="32"/>
        </w:numPr>
        <w:tabs>
          <w:tab w:val="left" w:pos="1734"/>
        </w:tabs>
        <w:spacing w:before="43" w:after="0" w:line="240" w:lineRule="auto"/>
        <w:ind w:left="1733" w:right="0" w:hanging="421"/>
        <w:jc w:val="left"/>
        <w:rPr>
          <w:b/>
          <w:sz w:val="21"/>
        </w:rPr>
      </w:pPr>
      <w:r>
        <w:rPr>
          <w:spacing w:val="-3"/>
          <w:sz w:val="21"/>
        </w:rPr>
        <w:t>竣工资料报送房屋主管部门和城建档案馆备案归档。</w:t>
      </w:r>
      <w:r>
        <w:rPr>
          <w:b/>
          <w:spacing w:val="-3"/>
          <w:w w:val="99"/>
          <w:sz w:val="21"/>
        </w:rPr>
        <w:t xml:space="preserve"> </w:t>
      </w:r>
    </w:p>
    <w:p>
      <w:pPr>
        <w:pStyle w:val="BodyText"/>
        <w:spacing w:before="7"/>
        <w:rPr>
          <w:b/>
          <w:sz w:val="15"/>
        </w:rPr>
      </w:pPr>
    </w:p>
    <w:p>
      <w:pPr>
        <w:pStyle w:val="ListParagraph"/>
        <w:numPr>
          <w:ilvl w:val="1"/>
          <w:numId w:val="32"/>
        </w:numPr>
        <w:tabs>
          <w:tab w:val="left" w:pos="1419"/>
        </w:tabs>
        <w:spacing w:before="0" w:after="0" w:line="240" w:lineRule="auto"/>
        <w:ind w:left="1418" w:right="0" w:hanging="527"/>
        <w:jc w:val="left"/>
        <w:rPr>
          <w:rFonts w:ascii="黑体" w:eastAsia="黑体" w:hint="eastAsia"/>
          <w:sz w:val="21"/>
        </w:rPr>
      </w:pPr>
      <w:bookmarkStart w:id="38" w:name="保护修缮材料和工艺的选用"/>
      <w:bookmarkEnd w:id="38"/>
      <w:r>
        <w:rPr>
          <w:rFonts w:ascii="黑体" w:eastAsia="黑体" w:hint="eastAsia"/>
          <w:spacing w:val="-3"/>
          <w:sz w:val="21"/>
        </w:rPr>
        <w:t>保护修缮材料和工艺的选用</w:t>
      </w:r>
    </w:p>
    <w:p>
      <w:pPr>
        <w:pStyle w:val="BodyText"/>
        <w:spacing w:before="7"/>
        <w:rPr>
          <w:rFonts w:ascii="黑体"/>
          <w:sz w:val="15"/>
        </w:rPr>
      </w:pPr>
    </w:p>
    <w:p>
      <w:pPr>
        <w:pStyle w:val="ListParagraph"/>
        <w:numPr>
          <w:ilvl w:val="2"/>
          <w:numId w:val="32"/>
        </w:numPr>
        <w:tabs>
          <w:tab w:val="left" w:pos="1628"/>
        </w:tabs>
        <w:spacing w:before="0" w:after="0" w:line="240" w:lineRule="auto"/>
        <w:ind w:left="1627" w:right="0" w:hanging="735"/>
        <w:jc w:val="left"/>
        <w:rPr>
          <w:sz w:val="21"/>
        </w:rPr>
      </w:pPr>
      <w:bookmarkStart w:id="39" w:name="优秀历史建筑保护修缮材料和工艺的选用应符合保护要求。"/>
      <w:bookmarkEnd w:id="39"/>
      <w:r>
        <w:rPr>
          <w:spacing w:val="-3"/>
          <w:sz w:val="21"/>
        </w:rPr>
        <w:t>优秀历史建筑保护修缮材料和工艺的选用应符合保护要求。</w:t>
      </w:r>
      <w:r>
        <w:rPr>
          <w:sz w:val="21"/>
        </w:rPr>
        <w:t xml:space="preserve"> </w:t>
      </w:r>
    </w:p>
    <w:p>
      <w:pPr>
        <w:pStyle w:val="ListParagraph"/>
        <w:numPr>
          <w:ilvl w:val="2"/>
          <w:numId w:val="32"/>
        </w:numPr>
        <w:tabs>
          <w:tab w:val="left" w:pos="1628"/>
        </w:tabs>
        <w:spacing w:before="91" w:after="0" w:line="240" w:lineRule="auto"/>
        <w:ind w:left="1627" w:right="0" w:hanging="735"/>
        <w:jc w:val="left"/>
        <w:rPr>
          <w:sz w:val="21"/>
        </w:rPr>
      </w:pPr>
      <w:bookmarkStart w:id="40" w:name="优秀历史建筑保护修缮材料的利用与选用应符合下列要求："/>
      <w:bookmarkEnd w:id="40"/>
      <w:r>
        <w:rPr>
          <w:spacing w:val="-3"/>
          <w:sz w:val="21"/>
        </w:rPr>
        <w:t>优秀历史建筑保护修缮材料的利用与选用应符合下列要求：</w:t>
      </w:r>
      <w:r>
        <w:rPr>
          <w:sz w:val="21"/>
        </w:rPr>
        <w:t xml:space="preserve"> </w:t>
      </w:r>
    </w:p>
    <w:p>
      <w:pPr>
        <w:pStyle w:val="ListParagraph"/>
        <w:numPr>
          <w:ilvl w:val="3"/>
          <w:numId w:val="32"/>
        </w:numPr>
        <w:tabs>
          <w:tab w:val="left" w:pos="1734"/>
        </w:tabs>
        <w:spacing w:before="93" w:after="0" w:line="278" w:lineRule="auto"/>
        <w:ind w:left="1733" w:right="1153" w:hanging="421"/>
        <w:jc w:val="left"/>
        <w:rPr>
          <w:sz w:val="21"/>
        </w:rPr>
      </w:pPr>
      <w:r>
        <w:rPr>
          <w:spacing w:val="-7"/>
          <w:sz w:val="21"/>
        </w:rPr>
        <w:t>保护修缮应充分合理利用原有材料和构件，宜集中使用于显著部位。需添加新材料时，应选用</w:t>
      </w:r>
      <w:r>
        <w:rPr>
          <w:spacing w:val="-5"/>
          <w:sz w:val="21"/>
        </w:rPr>
        <w:t>成熟可靠、与原有品质相同或相近的替代材料进行复制；</w:t>
      </w:r>
      <w:r>
        <w:rPr>
          <w:sz w:val="21"/>
        </w:rPr>
        <w:t xml:space="preserve"> </w:t>
      </w:r>
    </w:p>
    <w:p>
      <w:pPr>
        <w:pStyle w:val="ListParagraph"/>
        <w:numPr>
          <w:ilvl w:val="3"/>
          <w:numId w:val="32"/>
        </w:numPr>
        <w:tabs>
          <w:tab w:val="left" w:pos="1734"/>
        </w:tabs>
        <w:spacing w:before="0" w:after="0" w:line="269" w:lineRule="exact"/>
        <w:ind w:left="1733" w:right="0" w:hanging="421"/>
        <w:jc w:val="left"/>
        <w:rPr>
          <w:sz w:val="21"/>
        </w:rPr>
      </w:pPr>
      <w:r>
        <w:rPr>
          <w:spacing w:val="-3"/>
          <w:sz w:val="21"/>
        </w:rPr>
        <w:t>修缮材料选用前应先通过现场鉴定或材料专项检测鉴定，充分了解和评估原有材料的特征；</w:t>
      </w:r>
      <w:r>
        <w:rPr>
          <w:sz w:val="21"/>
        </w:rPr>
        <w:t xml:space="preserve"> </w:t>
      </w:r>
    </w:p>
    <w:p>
      <w:pPr>
        <w:pStyle w:val="ListParagraph"/>
        <w:numPr>
          <w:ilvl w:val="3"/>
          <w:numId w:val="32"/>
        </w:numPr>
        <w:tabs>
          <w:tab w:val="left" w:pos="1734"/>
        </w:tabs>
        <w:spacing w:before="43" w:after="0" w:line="278" w:lineRule="auto"/>
        <w:ind w:left="1734" w:right="1151" w:hanging="421"/>
        <w:jc w:val="left"/>
        <w:rPr>
          <w:sz w:val="21"/>
        </w:rPr>
      </w:pPr>
      <w:r>
        <w:drawing>
          <wp:anchor distT="0" distB="0" distL="0" distR="0" simplePos="0" relativeHeight="251671552" behindDoc="0" locked="0" layoutInCell="1" allowOverlap="1">
            <wp:simplePos x="0" y="0"/>
            <wp:positionH relativeFrom="page">
              <wp:posOffset>215900</wp:posOffset>
            </wp:positionH>
            <wp:positionV relativeFrom="paragraph">
              <wp:posOffset>351178</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8"/>
          <w:sz w:val="21"/>
        </w:rPr>
        <w:t>修补类材料的强度不应高于原始材料，新旧材料要有物理、化学兼容性，在保证整体风貌相协</w:t>
      </w:r>
      <w:r>
        <w:rPr>
          <w:spacing w:val="-5"/>
          <w:sz w:val="21"/>
        </w:rPr>
        <w:t>调的前提下，做到近距离观察时新旧材料可识别。</w:t>
      </w:r>
      <w:r>
        <w:rPr>
          <w:sz w:val="21"/>
        </w:rPr>
        <w:t xml:space="preserve"> </w:t>
      </w:r>
    </w:p>
    <w:p>
      <w:pPr>
        <w:pStyle w:val="ListParagraph"/>
        <w:numPr>
          <w:ilvl w:val="2"/>
          <w:numId w:val="32"/>
        </w:numPr>
        <w:tabs>
          <w:tab w:val="left" w:pos="1423"/>
        </w:tabs>
        <w:spacing w:before="24" w:after="0" w:line="321" w:lineRule="auto"/>
        <w:ind w:left="892" w:right="1158" w:firstLine="0"/>
        <w:jc w:val="left"/>
        <w:rPr>
          <w:sz w:val="21"/>
        </w:rPr>
      </w:pPr>
      <w:bookmarkStart w:id="41" w:name="4.7.3　优秀历史建筑的保护修缮应保留具有特殊价值的传统材料和工艺，宜采用原材"/>
      <w:bookmarkEnd w:id="41"/>
      <w:r>
        <w:rPr>
          <w:spacing w:val="-3"/>
          <w:sz w:val="21"/>
        </w:rPr>
        <w:t>优秀历史建筑的保护修缮应保留具有特殊价值的传统材料和工艺，宜采用原材料和原工艺进行修</w:t>
      </w:r>
      <w:r>
        <w:rPr>
          <w:spacing w:val="-3"/>
          <w:sz w:val="21"/>
        </w:rPr>
        <w:t>缮。在条件不满足的情况下，可采用相近材料和工艺进行修缮。</w:t>
      </w:r>
      <w:r>
        <w:rPr>
          <w:sz w:val="21"/>
        </w:rPr>
        <w:t xml:space="preserve"> </w:t>
      </w:r>
    </w:p>
    <w:p>
      <w:pPr>
        <w:pStyle w:val="ListParagraph"/>
        <w:numPr>
          <w:ilvl w:val="2"/>
          <w:numId w:val="32"/>
        </w:numPr>
        <w:tabs>
          <w:tab w:val="left" w:pos="1422"/>
        </w:tabs>
        <w:spacing w:before="0" w:after="0" w:line="266" w:lineRule="exact"/>
        <w:ind w:left="1421" w:right="0" w:hanging="530"/>
        <w:jc w:val="left"/>
        <w:rPr>
          <w:sz w:val="21"/>
        </w:rPr>
      </w:pPr>
      <w:bookmarkStart w:id="42" w:name="4.7.4　优秀历史建筑保护修缮采用新材料和新工艺时必须经过试验或试样，并符合下"/>
      <w:bookmarkEnd w:id="42"/>
      <w:r>
        <w:rPr>
          <w:spacing w:val="-3"/>
          <w:sz w:val="21"/>
        </w:rPr>
        <w:t>优秀历史建筑保护修缮采用新材料和新工艺时必须经过试验或试样，并符合下列要求：</w:t>
      </w:r>
      <w:r>
        <w:rPr>
          <w:sz w:val="21"/>
        </w:rPr>
        <w:t xml:space="preserve"> </w:t>
      </w:r>
    </w:p>
    <w:p>
      <w:pPr>
        <w:pStyle w:val="ListParagraph"/>
        <w:numPr>
          <w:ilvl w:val="3"/>
          <w:numId w:val="32"/>
        </w:numPr>
        <w:tabs>
          <w:tab w:val="left" w:pos="1733"/>
        </w:tabs>
        <w:spacing w:before="67" w:after="0" w:line="240" w:lineRule="auto"/>
        <w:ind w:left="1732" w:right="0" w:hanging="421"/>
        <w:jc w:val="left"/>
        <w:rPr>
          <w:sz w:val="21"/>
        </w:rPr>
      </w:pPr>
      <w:r>
        <w:rPr>
          <w:spacing w:val="-3"/>
          <w:sz w:val="21"/>
        </w:rPr>
        <w:t>结构和功能性的修缮所用新材料和新工艺应满足尺度合理、连接可靠、安全耐久的要求。</w:t>
      </w:r>
      <w:r>
        <w:rPr>
          <w:sz w:val="21"/>
        </w:rPr>
        <w:t xml:space="preserve"> </w:t>
      </w:r>
    </w:p>
    <w:p>
      <w:pPr>
        <w:pStyle w:val="ListParagraph"/>
        <w:numPr>
          <w:ilvl w:val="3"/>
          <w:numId w:val="32"/>
        </w:numPr>
        <w:tabs>
          <w:tab w:val="left" w:pos="1734"/>
        </w:tabs>
        <w:spacing w:before="43" w:after="0" w:line="240" w:lineRule="auto"/>
        <w:ind w:left="1733" w:right="0" w:hanging="421"/>
        <w:jc w:val="left"/>
        <w:rPr>
          <w:sz w:val="21"/>
        </w:rPr>
      </w:pPr>
      <w:r>
        <w:rPr>
          <w:spacing w:val="-3"/>
          <w:sz w:val="21"/>
        </w:rPr>
        <w:t>室内外装饰工程所用新材料的质感、色彩、肌理等总体效果应与原建筑相协调。</w:t>
      </w:r>
      <w:r>
        <w:rPr>
          <w:sz w:val="21"/>
        </w:rPr>
        <w:t xml:space="preserve"> </w:t>
      </w:r>
    </w:p>
    <w:p>
      <w:pPr>
        <w:pStyle w:val="BodyText"/>
        <w:spacing w:before="11"/>
        <w:rPr>
          <w:sz w:val="27"/>
        </w:rPr>
      </w:pPr>
    </w:p>
    <w:p>
      <w:pPr>
        <w:pStyle w:val="ListParagraph"/>
        <w:numPr>
          <w:ilvl w:val="0"/>
          <w:numId w:val="28"/>
        </w:numPr>
        <w:tabs>
          <w:tab w:val="left" w:pos="1208"/>
        </w:tabs>
        <w:spacing w:before="0" w:after="0" w:line="240" w:lineRule="auto"/>
        <w:ind w:left="1207" w:right="0" w:hanging="315"/>
        <w:jc w:val="left"/>
        <w:rPr>
          <w:rFonts w:ascii="黑体" w:eastAsia="黑体" w:hint="eastAsia"/>
          <w:sz w:val="21"/>
        </w:rPr>
      </w:pPr>
      <w:bookmarkStart w:id="43" w:name="保护修缮查勘与检测鉴定"/>
      <w:bookmarkEnd w:id="43"/>
      <w:r>
        <w:rPr>
          <w:rFonts w:ascii="黑体" w:eastAsia="黑体" w:hint="eastAsia"/>
          <w:spacing w:val="-3"/>
          <w:sz w:val="21"/>
        </w:rPr>
        <w:t>保护修缮查勘与检测鉴定</w:t>
      </w:r>
    </w:p>
    <w:p>
      <w:pPr>
        <w:pStyle w:val="BodyText"/>
        <w:spacing w:before="7"/>
        <w:rPr>
          <w:rFonts w:ascii="黑体"/>
          <w:sz w:val="27"/>
        </w:rPr>
      </w:pPr>
    </w:p>
    <w:p>
      <w:pPr>
        <w:pStyle w:val="ListParagraph"/>
        <w:numPr>
          <w:ilvl w:val="1"/>
          <w:numId w:val="28"/>
        </w:numPr>
        <w:tabs>
          <w:tab w:val="left" w:pos="1420"/>
        </w:tabs>
        <w:spacing w:before="0" w:after="0" w:line="240" w:lineRule="auto"/>
        <w:ind w:left="1419" w:right="0" w:hanging="527"/>
        <w:jc w:val="left"/>
        <w:rPr>
          <w:rFonts w:ascii="黑体" w:eastAsia="黑体" w:hint="eastAsia"/>
          <w:sz w:val="21"/>
        </w:rPr>
      </w:pPr>
      <w:r>
        <w:rPr>
          <w:rFonts w:ascii="黑体" w:eastAsia="黑体" w:hint="eastAsia"/>
          <w:spacing w:val="-1"/>
          <w:sz w:val="21"/>
        </w:rPr>
        <w:t>一般规定</w:t>
      </w:r>
    </w:p>
    <w:p>
      <w:pPr>
        <w:pStyle w:val="BodyText"/>
        <w:spacing w:before="6"/>
        <w:rPr>
          <w:rFonts w:ascii="黑体"/>
          <w:sz w:val="15"/>
        </w:rPr>
      </w:pPr>
    </w:p>
    <w:p>
      <w:pPr>
        <w:pStyle w:val="ListParagraph"/>
        <w:numPr>
          <w:ilvl w:val="2"/>
          <w:numId w:val="28"/>
        </w:numPr>
        <w:tabs>
          <w:tab w:val="left" w:pos="1629"/>
        </w:tabs>
        <w:spacing w:before="1" w:after="0" w:line="278" w:lineRule="auto"/>
        <w:ind w:left="893" w:right="1049" w:hanging="1"/>
        <w:jc w:val="left"/>
        <w:rPr>
          <w:sz w:val="21"/>
        </w:rPr>
      </w:pPr>
      <w:bookmarkStart w:id="44" w:name="优秀历史建筑保护修缮工程应先进行现场查勘、专项测绘与检测鉴定，及时收集相应历史资"/>
      <w:bookmarkEnd w:id="44"/>
      <w:r>
        <w:rPr>
          <w:spacing w:val="-8"/>
          <w:sz w:val="21"/>
        </w:rPr>
        <w:t>优秀历史建筑保护修缮工程应先进行现场查勘、专项测绘与检测鉴定，及时收集相应历史资料，</w:t>
      </w:r>
      <w:r>
        <w:rPr>
          <w:spacing w:val="-8"/>
          <w:sz w:val="21"/>
        </w:rPr>
        <w:t xml:space="preserve"> </w:t>
      </w:r>
      <w:r>
        <w:rPr>
          <w:spacing w:val="-3"/>
          <w:sz w:val="21"/>
        </w:rPr>
        <w:t>并根据需要开展专项检测鉴定。</w:t>
      </w:r>
      <w:r>
        <w:rPr>
          <w:sz w:val="21"/>
        </w:rPr>
        <w:t xml:space="preserve"> </w:t>
      </w:r>
    </w:p>
    <w:p>
      <w:pPr>
        <w:pStyle w:val="ListParagraph"/>
        <w:numPr>
          <w:ilvl w:val="2"/>
          <w:numId w:val="28"/>
        </w:numPr>
        <w:tabs>
          <w:tab w:val="left" w:pos="1629"/>
        </w:tabs>
        <w:spacing w:before="50" w:after="0" w:line="240" w:lineRule="auto"/>
        <w:ind w:left="1628" w:right="0" w:hanging="736"/>
        <w:jc w:val="left"/>
        <w:rPr>
          <w:sz w:val="21"/>
        </w:rPr>
      </w:pPr>
      <w:bookmarkStart w:id="45" w:name="查勘与检测鉴定应符合下列要求："/>
      <w:bookmarkEnd w:id="45"/>
      <w:r>
        <w:rPr>
          <w:spacing w:val="-3"/>
          <w:sz w:val="21"/>
        </w:rPr>
        <w:t>查勘与检测鉴定应符合下列要求：</w:t>
      </w:r>
      <w:r>
        <w:rPr>
          <w:sz w:val="21"/>
        </w:rPr>
        <w:t xml:space="preserve"> </w:t>
      </w:r>
    </w:p>
    <w:p>
      <w:pPr>
        <w:pStyle w:val="ListParagraph"/>
        <w:numPr>
          <w:ilvl w:val="3"/>
          <w:numId w:val="28"/>
        </w:numPr>
        <w:tabs>
          <w:tab w:val="left" w:pos="1735"/>
        </w:tabs>
        <w:spacing w:before="91" w:after="0" w:line="278" w:lineRule="auto"/>
        <w:ind w:left="1734" w:right="1154" w:hanging="421"/>
        <w:jc w:val="left"/>
        <w:rPr>
          <w:sz w:val="21"/>
        </w:rPr>
      </w:pPr>
      <w:r>
        <w:rPr>
          <w:spacing w:val="-11"/>
          <w:sz w:val="21"/>
        </w:rPr>
        <w:t>根据修缮设计要求，若需要考证和勘察优秀历史建筑的原状和现状、分析和推断优秀历史建筑</w:t>
      </w:r>
      <w:r>
        <w:rPr>
          <w:spacing w:val="-3"/>
          <w:sz w:val="21"/>
        </w:rPr>
        <w:t>的设计尺寸和特征，应进行房屋修缮专项测绘；</w:t>
      </w:r>
      <w:r>
        <w:rPr>
          <w:sz w:val="21"/>
        </w:rPr>
        <w:t xml:space="preserve"> </w:t>
      </w:r>
    </w:p>
    <w:p>
      <w:pPr>
        <w:pStyle w:val="ListParagraph"/>
        <w:numPr>
          <w:ilvl w:val="3"/>
          <w:numId w:val="28"/>
        </w:numPr>
        <w:tabs>
          <w:tab w:val="left" w:pos="1735"/>
        </w:tabs>
        <w:spacing w:before="0" w:after="0" w:line="269" w:lineRule="exact"/>
        <w:ind w:left="1734" w:right="0" w:hanging="421"/>
        <w:jc w:val="left"/>
        <w:rPr>
          <w:sz w:val="21"/>
        </w:rPr>
      </w:pPr>
      <w:r>
        <w:rPr>
          <w:spacing w:val="-3"/>
          <w:sz w:val="21"/>
        </w:rPr>
        <w:t>出现下列情况之一时应进行检测鉴定：</w:t>
      </w:r>
      <w:r>
        <w:rPr>
          <w:sz w:val="21"/>
        </w:rPr>
        <w:t xml:space="preserve"> </w:t>
      </w:r>
    </w:p>
    <w:p>
      <w:pPr>
        <w:pStyle w:val="ListParagraph"/>
        <w:numPr>
          <w:ilvl w:val="4"/>
          <w:numId w:val="28"/>
        </w:numPr>
        <w:tabs>
          <w:tab w:val="left" w:pos="2155"/>
        </w:tabs>
        <w:spacing w:before="43" w:after="0" w:line="240" w:lineRule="auto"/>
        <w:ind w:left="2154" w:right="0" w:hanging="421"/>
        <w:jc w:val="left"/>
        <w:rPr>
          <w:sz w:val="21"/>
        </w:rPr>
      </w:pPr>
      <w:r>
        <w:rPr>
          <w:spacing w:val="-3"/>
          <w:sz w:val="21"/>
        </w:rPr>
        <w:t>进行综合性、局部性或专项保护修缮工程；</w:t>
      </w:r>
      <w:r>
        <w:rPr>
          <w:sz w:val="21"/>
        </w:rPr>
        <w:t xml:space="preserve"> </w:t>
      </w:r>
    </w:p>
    <w:p>
      <w:pPr>
        <w:pStyle w:val="ListParagraph"/>
        <w:numPr>
          <w:ilvl w:val="4"/>
          <w:numId w:val="28"/>
        </w:numPr>
        <w:tabs>
          <w:tab w:val="left" w:pos="2155"/>
        </w:tabs>
        <w:spacing w:before="42" w:after="0" w:line="240" w:lineRule="auto"/>
        <w:ind w:left="2154" w:right="0" w:hanging="421"/>
        <w:jc w:val="left"/>
        <w:rPr>
          <w:sz w:val="21"/>
        </w:rPr>
      </w:pPr>
      <w:r>
        <w:rPr>
          <w:spacing w:val="-3"/>
          <w:sz w:val="21"/>
        </w:rPr>
        <w:t>改变使用功能、使用条件或使用要求；</w:t>
      </w:r>
      <w:r>
        <w:rPr>
          <w:sz w:val="21"/>
        </w:rPr>
        <w:t xml:space="preserve"> </w:t>
      </w:r>
    </w:p>
    <w:p>
      <w:pPr>
        <w:pStyle w:val="ListParagraph"/>
        <w:numPr>
          <w:ilvl w:val="4"/>
          <w:numId w:val="28"/>
        </w:numPr>
        <w:tabs>
          <w:tab w:val="left" w:pos="2155"/>
        </w:tabs>
        <w:spacing w:before="43" w:after="0" w:line="240" w:lineRule="auto"/>
        <w:ind w:left="2154" w:right="0" w:hanging="421"/>
        <w:jc w:val="left"/>
        <w:rPr>
          <w:sz w:val="21"/>
        </w:rPr>
      </w:pPr>
      <w:r>
        <w:rPr>
          <w:spacing w:val="-3"/>
          <w:sz w:val="21"/>
        </w:rPr>
        <w:t>常规年检发现建筑局部或整体结构构件老化、存在重大安全隐患；</w:t>
      </w:r>
      <w:r>
        <w:rPr>
          <w:sz w:val="21"/>
        </w:rPr>
        <w:t xml:space="preserve"> </w:t>
      </w:r>
    </w:p>
    <w:p>
      <w:pPr>
        <w:pStyle w:val="ListParagraph"/>
        <w:numPr>
          <w:ilvl w:val="4"/>
          <w:numId w:val="28"/>
        </w:numPr>
        <w:tabs>
          <w:tab w:val="left" w:pos="2155"/>
        </w:tabs>
        <w:spacing w:before="43" w:after="0" w:line="278" w:lineRule="auto"/>
        <w:ind w:left="2154" w:right="1055" w:hanging="421"/>
        <w:jc w:val="left"/>
        <w:rPr>
          <w:sz w:val="21"/>
        </w:rPr>
      </w:pPr>
      <w:r>
        <w:rPr>
          <w:spacing w:val="-3"/>
          <w:sz w:val="21"/>
        </w:rPr>
        <w:t>在火灾、自然灾害侵袭等偶然作用下或受相邻新建工程等施工影响，建筑出现明显损伤、变形或其他功能退化等现象。</w:t>
      </w:r>
      <w:r>
        <w:rPr>
          <w:sz w:val="21"/>
        </w:rPr>
        <w:t xml:space="preserve"> </w:t>
      </w:r>
    </w:p>
    <w:p>
      <w:pPr>
        <w:pStyle w:val="BodyText"/>
        <w:rPr>
          <w:sz w:val="20"/>
        </w:rPr>
      </w:pPr>
    </w:p>
    <w:p>
      <w:pPr>
        <w:pStyle w:val="BodyText"/>
        <w:spacing w:before="1"/>
        <w:rPr>
          <w:sz w:val="16"/>
        </w:rPr>
      </w:pPr>
    </w:p>
    <w:p>
      <w:pPr>
        <w:spacing w:before="0"/>
        <w:ind w:left="1113" w:right="0" w:firstLine="0"/>
        <w:jc w:val="left"/>
        <w:rPr>
          <w:sz w:val="18"/>
        </w:rPr>
      </w:pPr>
      <w:r>
        <w:rPr>
          <w:sz w:val="18"/>
        </w:rPr>
        <w:t xml:space="preserve">6 </w:t>
      </w:r>
    </w:p>
    <w:p>
      <w:pPr>
        <w:spacing w:after="0"/>
        <w:jc w:val="left"/>
        <w:rPr>
          <w:sz w:val="18"/>
        </w:rPr>
        <w:sectPr>
          <w:pgSz w:w="11910" w:h="16840"/>
          <w:pgMar w:top="1340" w:right="260" w:bottom="280" w:left="240" w:header="708" w:footer="708"/>
          <w:pgNumType w:start="11"/>
          <w:cols w:space="708"/>
        </w:sectPr>
      </w:pPr>
    </w:p>
    <w:p>
      <w:pPr>
        <w:pStyle w:val="BodyText"/>
        <w:spacing w:before="61"/>
        <w:ind w:right="870"/>
        <w:jc w:val="right"/>
        <w:rPr>
          <w:rFonts w:ascii="黑体"/>
        </w:rPr>
      </w:pPr>
      <w:r>
        <w:pict>
          <v:group id="_x0000_s1055" style="width:595.5pt;height:842.15pt;margin-top:-0.09pt;margin-left:-0.09pt;mso-position-horizontal-relative:page;mso-position-vertical-relative:page;position:absolute;z-index:-251643904" coordorigin="-2,-2" coordsize="11910,16843">
            <v:shape id="_x0000_s1056" type="#_x0000_t75" style="width:6067;height:8051;left:2650;position:absolute;top:4649" stroked="f">
              <v:imagedata r:id="rId6" o:title=""/>
            </v:shape>
            <v:rect id="_x0000_s1057" style="width:11906;height:16838;position:absolute" filled="f" stroked="t" strokecolor="#231916" strokeweight="0.22pt">
              <v:stroke dashstyle="solid"/>
            </v:rect>
            <v:shape id="_x0000_s1058" type="#_x0000_t75" style="width:11200;height:7680;left:340;position:absolute;top:8258" stroked="f">
              <v:imagedata r:id="rId4" o:title=""/>
            </v:shape>
          </v:group>
        </w:pict>
      </w:r>
      <w:r>
        <w:rPr>
          <w:rFonts w:ascii="黑体"/>
        </w:rPr>
        <w:t>DB4201/T 574-2019</w:t>
      </w:r>
    </w:p>
    <w:p>
      <w:pPr>
        <w:pStyle w:val="BodyText"/>
        <w:spacing w:before="6"/>
        <w:rPr>
          <w:rFonts w:ascii="黑体"/>
          <w:sz w:val="13"/>
        </w:rPr>
      </w:pPr>
    </w:p>
    <w:p>
      <w:pPr>
        <w:pStyle w:val="ListParagraph"/>
        <w:numPr>
          <w:ilvl w:val="2"/>
          <w:numId w:val="33"/>
        </w:numPr>
        <w:tabs>
          <w:tab w:val="left" w:pos="1913"/>
        </w:tabs>
        <w:spacing w:before="72" w:after="0" w:line="278" w:lineRule="auto"/>
        <w:ind w:left="1178" w:right="875" w:hanging="1"/>
        <w:jc w:val="left"/>
        <w:rPr>
          <w:sz w:val="21"/>
        </w:rPr>
      </w:pPr>
      <w:bookmarkStart w:id="46" w:name="检测鉴定的范围与深度应根据修缮工程的类型和建筑的保存情况进行确定，必要时应扩大检"/>
      <w:bookmarkEnd w:id="46"/>
      <w:r>
        <w:rPr>
          <w:spacing w:val="-3"/>
          <w:sz w:val="21"/>
        </w:rPr>
        <w:t>检测鉴定的范围与深度应根据修缮工程的类型和建筑的保存情况进行确定，必要时应扩大检测</w:t>
      </w:r>
      <w:r>
        <w:rPr>
          <w:spacing w:val="-3"/>
          <w:sz w:val="21"/>
        </w:rPr>
        <w:t>鉴定范围。</w:t>
      </w:r>
      <w:r>
        <w:rPr>
          <w:sz w:val="21"/>
        </w:rPr>
        <w:t xml:space="preserve"> </w:t>
      </w:r>
    </w:p>
    <w:p>
      <w:pPr>
        <w:pStyle w:val="ListParagraph"/>
        <w:numPr>
          <w:ilvl w:val="2"/>
          <w:numId w:val="33"/>
        </w:numPr>
        <w:tabs>
          <w:tab w:val="left" w:pos="1914"/>
        </w:tabs>
        <w:spacing w:before="50" w:after="0" w:line="278" w:lineRule="auto"/>
        <w:ind w:left="1178" w:right="877" w:hanging="1"/>
        <w:jc w:val="left"/>
        <w:rPr>
          <w:sz w:val="21"/>
        </w:rPr>
      </w:pPr>
      <w:bookmarkStart w:id="47" w:name="检测鉴定方法应遵循国家相关规范、规程的要求，以无损方法为主，必要时可采用半破损检"/>
      <w:bookmarkEnd w:id="47"/>
      <w:r>
        <w:rPr>
          <w:spacing w:val="-3"/>
          <w:sz w:val="21"/>
        </w:rPr>
        <w:t>检测鉴定方法应遵循国家相关规范、规程的要求，以无损方法为主，必要时可采用半破损检测</w:t>
      </w:r>
      <w:r>
        <w:rPr>
          <w:spacing w:val="-3"/>
          <w:sz w:val="21"/>
        </w:rPr>
        <w:t>鉴定的成果对无损检测数据进行校核。</w:t>
      </w:r>
      <w:r>
        <w:rPr>
          <w:sz w:val="21"/>
        </w:rPr>
        <w:t xml:space="preserve"> </w:t>
      </w:r>
    </w:p>
    <w:p>
      <w:pPr>
        <w:pStyle w:val="ListParagraph"/>
        <w:numPr>
          <w:ilvl w:val="2"/>
          <w:numId w:val="33"/>
        </w:numPr>
        <w:tabs>
          <w:tab w:val="left" w:pos="1914"/>
        </w:tabs>
        <w:spacing w:before="50" w:after="0" w:line="278" w:lineRule="auto"/>
        <w:ind w:left="1179" w:right="764" w:hanging="1"/>
        <w:jc w:val="left"/>
        <w:rPr>
          <w:sz w:val="21"/>
        </w:rPr>
      </w:pPr>
      <w:bookmarkStart w:id="48" w:name="查勘与检测鉴定的内容应完整，提供的数据和评价结论应全面、客观、准确。受现场条件限"/>
      <w:bookmarkEnd w:id="48"/>
      <w:r>
        <w:rPr>
          <w:spacing w:val="-8"/>
          <w:sz w:val="21"/>
        </w:rPr>
        <w:t>查勘与检测鉴定的内容应完整，提供的数据和评价结论应全面、客观、准确。受现场条件限制、</w:t>
      </w:r>
      <w:r>
        <w:rPr>
          <w:spacing w:val="-3"/>
          <w:sz w:val="21"/>
        </w:rPr>
        <w:t>难以一次性完成的，应在修缮施工过程中由原单位分期补充查勘和检测鉴定，并作出评价。</w:t>
      </w:r>
      <w:r>
        <w:rPr>
          <w:sz w:val="21"/>
        </w:rPr>
        <w:t xml:space="preserve"> </w:t>
      </w:r>
    </w:p>
    <w:p>
      <w:pPr>
        <w:pStyle w:val="ListParagraph"/>
        <w:numPr>
          <w:ilvl w:val="2"/>
          <w:numId w:val="33"/>
        </w:numPr>
        <w:tabs>
          <w:tab w:val="left" w:pos="1914"/>
        </w:tabs>
        <w:spacing w:before="48" w:after="0" w:line="240" w:lineRule="auto"/>
        <w:ind w:left="1914" w:right="0" w:hanging="735"/>
        <w:jc w:val="left"/>
        <w:rPr>
          <w:sz w:val="21"/>
        </w:rPr>
      </w:pPr>
      <w:bookmarkStart w:id="49" w:name="修缮工程中同类项目的查勘与检测鉴定应执行同一标准。"/>
      <w:bookmarkEnd w:id="49"/>
      <w:r>
        <w:rPr>
          <w:spacing w:val="-3"/>
          <w:sz w:val="21"/>
        </w:rPr>
        <w:t>修缮工程中同类项目的查勘与检测鉴定应执行同一标准。</w:t>
      </w:r>
      <w:r>
        <w:rPr>
          <w:sz w:val="21"/>
        </w:rPr>
        <w:t xml:space="preserve"> </w:t>
      </w:r>
    </w:p>
    <w:p>
      <w:pPr>
        <w:pStyle w:val="ListParagraph"/>
        <w:numPr>
          <w:ilvl w:val="2"/>
          <w:numId w:val="33"/>
        </w:numPr>
        <w:tabs>
          <w:tab w:val="left" w:pos="1915"/>
        </w:tabs>
        <w:spacing w:before="93" w:after="0" w:line="240" w:lineRule="auto"/>
        <w:ind w:left="1914" w:right="0" w:hanging="736"/>
        <w:jc w:val="left"/>
        <w:rPr>
          <w:sz w:val="21"/>
        </w:rPr>
      </w:pPr>
      <w:bookmarkStart w:id="50" w:name="修缮工程应根据检测鉴定结果，对建筑价值和保存状况进行进一步评估。"/>
      <w:bookmarkEnd w:id="50"/>
      <w:r>
        <w:rPr>
          <w:spacing w:val="-3"/>
          <w:sz w:val="21"/>
        </w:rPr>
        <w:t>修缮工程应根据检测鉴定结果，对建筑价值和保存状况进行进一步评估。</w:t>
      </w:r>
      <w:r>
        <w:rPr>
          <w:sz w:val="21"/>
        </w:rPr>
        <w:t xml:space="preserve"> </w:t>
      </w:r>
    </w:p>
    <w:p>
      <w:pPr>
        <w:pStyle w:val="BodyText"/>
        <w:spacing w:before="9"/>
        <w:rPr>
          <w:sz w:val="15"/>
        </w:rPr>
      </w:pPr>
    </w:p>
    <w:p>
      <w:pPr>
        <w:pStyle w:val="ListParagraph"/>
        <w:numPr>
          <w:ilvl w:val="1"/>
          <w:numId w:val="33"/>
        </w:numPr>
        <w:tabs>
          <w:tab w:val="left" w:pos="1706"/>
        </w:tabs>
        <w:spacing w:before="0" w:after="0" w:line="240" w:lineRule="auto"/>
        <w:ind w:left="1705" w:right="0" w:hanging="526"/>
        <w:jc w:val="left"/>
        <w:rPr>
          <w:rFonts w:ascii="黑体" w:eastAsia="黑体" w:hint="eastAsia"/>
          <w:sz w:val="21"/>
        </w:rPr>
      </w:pPr>
      <w:bookmarkStart w:id="51" w:name="建筑查勘"/>
      <w:bookmarkEnd w:id="51"/>
      <w:r>
        <w:rPr>
          <w:rFonts w:ascii="黑体" w:eastAsia="黑体" w:hint="eastAsia"/>
          <w:spacing w:val="-1"/>
          <w:sz w:val="21"/>
        </w:rPr>
        <w:t>建筑查勘</w:t>
      </w:r>
    </w:p>
    <w:p>
      <w:pPr>
        <w:pStyle w:val="BodyText"/>
        <w:spacing w:before="5"/>
        <w:rPr>
          <w:rFonts w:ascii="黑体"/>
          <w:sz w:val="15"/>
        </w:rPr>
      </w:pPr>
    </w:p>
    <w:p>
      <w:pPr>
        <w:pStyle w:val="ListParagraph"/>
        <w:numPr>
          <w:ilvl w:val="2"/>
          <w:numId w:val="33"/>
        </w:numPr>
        <w:tabs>
          <w:tab w:val="left" w:pos="1915"/>
        </w:tabs>
        <w:spacing w:before="0" w:after="0" w:line="278" w:lineRule="auto"/>
        <w:ind w:left="1180" w:right="873" w:firstLine="0"/>
        <w:jc w:val="left"/>
        <w:rPr>
          <w:sz w:val="21"/>
        </w:rPr>
      </w:pPr>
      <w:bookmarkStart w:id="52" w:name="优秀历史建筑查勘应包括资料调查与收集、建筑与结构概况调查、重点保护部位调查、建筑"/>
      <w:bookmarkEnd w:id="52"/>
      <w:r>
        <w:rPr>
          <w:spacing w:val="-3"/>
          <w:sz w:val="21"/>
        </w:rPr>
        <w:t>优秀历史建筑查勘应包括资料调查与收集、建筑与结构概况调查、重点保护部位调查、建筑功</w:t>
      </w:r>
      <w:r>
        <w:rPr>
          <w:spacing w:val="-3"/>
          <w:sz w:val="21"/>
        </w:rPr>
        <w:t>能与布局调查、完损检查等，根据查勘结果初步明确修缮范围、修缮部位及修缮要求。</w:t>
      </w:r>
      <w:r>
        <w:rPr>
          <w:sz w:val="21"/>
        </w:rPr>
        <w:t xml:space="preserve"> </w:t>
      </w:r>
    </w:p>
    <w:p>
      <w:pPr>
        <w:pStyle w:val="ListParagraph"/>
        <w:numPr>
          <w:ilvl w:val="2"/>
          <w:numId w:val="33"/>
        </w:numPr>
        <w:tabs>
          <w:tab w:val="left" w:pos="1915"/>
        </w:tabs>
        <w:spacing w:before="50" w:after="0" w:line="240" w:lineRule="auto"/>
        <w:ind w:left="1914" w:right="0" w:hanging="735"/>
        <w:jc w:val="left"/>
        <w:rPr>
          <w:sz w:val="21"/>
        </w:rPr>
      </w:pPr>
      <w:bookmarkStart w:id="53" w:name="资料调查与收集应包括下列内容："/>
      <w:bookmarkEnd w:id="53"/>
      <w:r>
        <w:rPr>
          <w:spacing w:val="-3"/>
          <w:sz w:val="21"/>
        </w:rPr>
        <w:t>资料调查与收集应包括下列内容：</w:t>
      </w:r>
      <w:r>
        <w:rPr>
          <w:sz w:val="21"/>
        </w:rPr>
        <w:t xml:space="preserve"> </w:t>
      </w:r>
    </w:p>
    <w:p>
      <w:pPr>
        <w:pStyle w:val="ListParagraph"/>
        <w:numPr>
          <w:ilvl w:val="3"/>
          <w:numId w:val="33"/>
        </w:numPr>
        <w:tabs>
          <w:tab w:val="left" w:pos="2021"/>
        </w:tabs>
        <w:spacing w:before="93" w:after="0" w:line="240" w:lineRule="auto"/>
        <w:ind w:left="2020" w:right="0" w:hanging="421"/>
        <w:jc w:val="left"/>
        <w:rPr>
          <w:sz w:val="21"/>
        </w:rPr>
      </w:pPr>
      <w:r>
        <w:rPr>
          <w:spacing w:val="-2"/>
          <w:sz w:val="21"/>
        </w:rPr>
        <w:t>历史资料。</w:t>
      </w:r>
      <w:r>
        <w:rPr>
          <w:sz w:val="21"/>
        </w:rPr>
        <w:t xml:space="preserve"> </w:t>
      </w:r>
    </w:p>
    <w:p>
      <w:pPr>
        <w:pStyle w:val="ListParagraph"/>
        <w:numPr>
          <w:ilvl w:val="3"/>
          <w:numId w:val="33"/>
        </w:numPr>
        <w:tabs>
          <w:tab w:val="left" w:pos="2021"/>
        </w:tabs>
        <w:spacing w:before="43" w:after="0" w:line="240" w:lineRule="auto"/>
        <w:ind w:left="2020" w:right="0" w:hanging="421"/>
        <w:jc w:val="left"/>
        <w:rPr>
          <w:sz w:val="21"/>
        </w:rPr>
      </w:pPr>
      <w:r>
        <w:rPr>
          <w:spacing w:val="-3"/>
          <w:sz w:val="21"/>
        </w:rPr>
        <w:t>建筑使用、管理及规划资料；</w:t>
      </w:r>
      <w:r>
        <w:rPr>
          <w:sz w:val="21"/>
        </w:rPr>
        <w:t xml:space="preserve"> </w:t>
      </w:r>
    </w:p>
    <w:p>
      <w:pPr>
        <w:pStyle w:val="ListParagraph"/>
        <w:numPr>
          <w:ilvl w:val="3"/>
          <w:numId w:val="33"/>
        </w:numPr>
        <w:tabs>
          <w:tab w:val="left" w:pos="2021"/>
        </w:tabs>
        <w:spacing w:before="43" w:after="0" w:line="240" w:lineRule="auto"/>
        <w:ind w:left="2020" w:right="0" w:hanging="421"/>
        <w:jc w:val="left"/>
        <w:rPr>
          <w:sz w:val="21"/>
        </w:rPr>
      </w:pPr>
      <w:r>
        <w:rPr>
          <w:spacing w:val="-3"/>
          <w:sz w:val="21"/>
        </w:rPr>
        <w:t>建筑研究成果及资料；</w:t>
      </w:r>
      <w:r>
        <w:rPr>
          <w:sz w:val="21"/>
        </w:rPr>
        <w:t xml:space="preserve"> </w:t>
      </w:r>
    </w:p>
    <w:p>
      <w:pPr>
        <w:pStyle w:val="ListParagraph"/>
        <w:numPr>
          <w:ilvl w:val="3"/>
          <w:numId w:val="33"/>
        </w:numPr>
        <w:tabs>
          <w:tab w:val="left" w:pos="2021"/>
        </w:tabs>
        <w:spacing w:before="43" w:after="0" w:line="240" w:lineRule="auto"/>
        <w:ind w:left="2020" w:right="0" w:hanging="421"/>
        <w:jc w:val="left"/>
        <w:rPr>
          <w:sz w:val="21"/>
        </w:rPr>
      </w:pPr>
      <w:r>
        <w:rPr>
          <w:spacing w:val="-3"/>
          <w:sz w:val="21"/>
        </w:rPr>
        <w:t>历次工程档案资料；</w:t>
      </w:r>
      <w:r>
        <w:rPr>
          <w:sz w:val="21"/>
        </w:rPr>
        <w:t xml:space="preserve"> </w:t>
      </w:r>
    </w:p>
    <w:p>
      <w:pPr>
        <w:pStyle w:val="ListParagraph"/>
        <w:numPr>
          <w:ilvl w:val="3"/>
          <w:numId w:val="33"/>
        </w:numPr>
        <w:tabs>
          <w:tab w:val="left" w:pos="2021"/>
        </w:tabs>
        <w:spacing w:before="43" w:after="0" w:line="240" w:lineRule="auto"/>
        <w:ind w:left="2020" w:right="0" w:hanging="421"/>
        <w:jc w:val="left"/>
        <w:rPr>
          <w:sz w:val="21"/>
        </w:rPr>
      </w:pPr>
      <w:r>
        <w:rPr>
          <w:spacing w:val="-3"/>
          <w:sz w:val="21"/>
        </w:rPr>
        <w:t>设备设施资料；</w:t>
      </w:r>
      <w:r>
        <w:rPr>
          <w:sz w:val="21"/>
        </w:rPr>
        <w:t xml:space="preserve"> </w:t>
      </w:r>
    </w:p>
    <w:p>
      <w:pPr>
        <w:pStyle w:val="ListParagraph"/>
        <w:numPr>
          <w:ilvl w:val="3"/>
          <w:numId w:val="33"/>
        </w:numPr>
        <w:tabs>
          <w:tab w:val="left" w:pos="2021"/>
        </w:tabs>
        <w:spacing w:before="43" w:after="0" w:line="240" w:lineRule="auto"/>
        <w:ind w:left="2020" w:right="0" w:hanging="421"/>
        <w:jc w:val="left"/>
        <w:rPr>
          <w:sz w:val="21"/>
        </w:rPr>
      </w:pPr>
      <w:r>
        <w:rPr>
          <w:spacing w:val="-3"/>
          <w:sz w:val="21"/>
        </w:rPr>
        <w:t>建筑周边环境、市政管网及道路资料；</w:t>
      </w:r>
      <w:r>
        <w:rPr>
          <w:sz w:val="21"/>
        </w:rPr>
        <w:t xml:space="preserve"> </w:t>
      </w:r>
    </w:p>
    <w:p>
      <w:pPr>
        <w:pStyle w:val="ListParagraph"/>
        <w:numPr>
          <w:ilvl w:val="3"/>
          <w:numId w:val="33"/>
        </w:numPr>
        <w:tabs>
          <w:tab w:val="left" w:pos="2021"/>
        </w:tabs>
        <w:spacing w:before="43" w:after="0" w:line="240" w:lineRule="auto"/>
        <w:ind w:left="2020" w:right="0" w:hanging="421"/>
        <w:jc w:val="left"/>
        <w:rPr>
          <w:sz w:val="21"/>
        </w:rPr>
      </w:pPr>
      <w:r>
        <w:rPr>
          <w:spacing w:val="-3"/>
          <w:sz w:val="21"/>
        </w:rPr>
        <w:t>其他相关资料。</w:t>
      </w:r>
      <w:r>
        <w:rPr>
          <w:sz w:val="21"/>
        </w:rPr>
        <w:t xml:space="preserve"> </w:t>
      </w:r>
    </w:p>
    <w:p>
      <w:pPr>
        <w:pStyle w:val="ListParagraph"/>
        <w:numPr>
          <w:ilvl w:val="2"/>
          <w:numId w:val="33"/>
        </w:numPr>
        <w:tabs>
          <w:tab w:val="left" w:pos="1916"/>
        </w:tabs>
        <w:spacing w:before="93" w:after="0" w:line="278" w:lineRule="auto"/>
        <w:ind w:left="1180" w:right="873" w:hanging="1"/>
        <w:jc w:val="left"/>
        <w:rPr>
          <w:sz w:val="21"/>
        </w:rPr>
      </w:pPr>
      <w:bookmarkStart w:id="54" w:name="建筑与结构概况调查应包括建筑的建造年代、面积、高度、层数、结构形式、风格、特点等"/>
      <w:bookmarkEnd w:id="54"/>
      <w:r>
        <w:rPr>
          <w:spacing w:val="-3"/>
          <w:sz w:val="21"/>
        </w:rPr>
        <w:t>建筑与结构概况调查应包括建筑的建造年代、面积、高度、层数、结构形式、风格、特点等内</w:t>
      </w:r>
      <w:r>
        <w:rPr>
          <w:spacing w:val="-3"/>
          <w:sz w:val="21"/>
        </w:rPr>
        <w:t>容。</w:t>
      </w:r>
      <w:r>
        <w:rPr>
          <w:sz w:val="21"/>
        </w:rPr>
        <w:t xml:space="preserve"> </w:t>
      </w:r>
    </w:p>
    <w:p>
      <w:pPr>
        <w:pStyle w:val="ListParagraph"/>
        <w:numPr>
          <w:ilvl w:val="2"/>
          <w:numId w:val="33"/>
        </w:numPr>
        <w:tabs>
          <w:tab w:val="left" w:pos="1916"/>
        </w:tabs>
        <w:spacing w:before="50" w:after="0" w:line="278" w:lineRule="auto"/>
        <w:ind w:left="1181" w:right="875" w:hanging="1"/>
        <w:jc w:val="left"/>
        <w:rPr>
          <w:sz w:val="21"/>
        </w:rPr>
      </w:pPr>
      <w:bookmarkStart w:id="55" w:name="重点保护部位调查应复核优秀历史建筑的保护要求和重点保护部位，检查重点保护部位的残"/>
      <w:bookmarkEnd w:id="55"/>
      <w:r>
        <w:rPr>
          <w:spacing w:val="-3"/>
          <w:sz w:val="21"/>
        </w:rPr>
        <w:t>重点保护部位调查应复核优秀历史建筑的保护要求和重点保护部位，检查重点保护部位的残损</w:t>
      </w:r>
      <w:r>
        <w:rPr>
          <w:spacing w:val="-3"/>
          <w:sz w:val="21"/>
        </w:rPr>
        <w:t>及病害情况。</w:t>
      </w:r>
      <w:r>
        <w:rPr>
          <w:sz w:val="21"/>
        </w:rPr>
        <w:t xml:space="preserve"> </w:t>
      </w:r>
    </w:p>
    <w:p>
      <w:pPr>
        <w:pStyle w:val="ListParagraph"/>
        <w:numPr>
          <w:ilvl w:val="2"/>
          <w:numId w:val="33"/>
        </w:numPr>
        <w:tabs>
          <w:tab w:val="left" w:pos="1916"/>
        </w:tabs>
        <w:spacing w:before="48" w:after="0" w:line="278" w:lineRule="auto"/>
        <w:ind w:left="1181" w:right="761" w:hanging="1"/>
        <w:jc w:val="left"/>
        <w:rPr>
          <w:sz w:val="21"/>
        </w:rPr>
      </w:pPr>
      <w:bookmarkStart w:id="56" w:name="建筑功能与布局调查应明确优秀历史建筑使用现状。当原始建造图纸、修缮图纸等资料尚存"/>
      <w:bookmarkEnd w:id="56"/>
      <w:r>
        <w:rPr>
          <w:spacing w:val="-7"/>
          <w:sz w:val="21"/>
        </w:rPr>
        <w:t>建筑功能与布局调查应明确优秀历史建筑使用现状。当原始建造图纸、修缮图纸等资料尚存时，</w:t>
      </w:r>
      <w:r>
        <w:rPr>
          <w:spacing w:val="-7"/>
          <w:sz w:val="21"/>
        </w:rPr>
        <w:t xml:space="preserve"> </w:t>
      </w:r>
      <w:r>
        <w:rPr>
          <w:spacing w:val="-3"/>
          <w:sz w:val="21"/>
        </w:rPr>
        <w:t>宜对图纸和建筑现状进行复核，了解建筑使用荷载和使用条件的变化。</w:t>
      </w:r>
      <w:r>
        <w:rPr>
          <w:sz w:val="21"/>
        </w:rPr>
        <w:t xml:space="preserve"> </w:t>
      </w:r>
    </w:p>
    <w:p>
      <w:pPr>
        <w:pStyle w:val="ListParagraph"/>
        <w:numPr>
          <w:ilvl w:val="2"/>
          <w:numId w:val="33"/>
        </w:numPr>
        <w:tabs>
          <w:tab w:val="left" w:pos="1916"/>
        </w:tabs>
        <w:spacing w:before="50" w:after="0" w:line="278" w:lineRule="auto"/>
        <w:ind w:left="1181" w:right="927" w:hanging="1"/>
        <w:jc w:val="left"/>
        <w:rPr>
          <w:sz w:val="21"/>
        </w:rPr>
      </w:pPr>
      <w:bookmarkStart w:id="57" w:name="完损检查应包括建筑完损检查、结构完损检查和设备设施完损检查等内容（见附录B），并"/>
      <w:bookmarkEnd w:id="57"/>
      <w:r>
        <w:rPr>
          <w:spacing w:val="-3"/>
          <w:sz w:val="21"/>
        </w:rPr>
        <w:t>完损检查应包括建筑完损检查、结构完损检查和设备设施完损检查等内容</w:t>
      </w:r>
      <w:r>
        <w:rPr>
          <w:spacing w:val="-3"/>
          <w:sz w:val="21"/>
        </w:rPr>
        <w:t>（</w:t>
      </w:r>
      <w:r>
        <w:rPr>
          <w:spacing w:val="-7"/>
          <w:sz w:val="21"/>
        </w:rPr>
        <w:t xml:space="preserve">见附录 </w:t>
      </w:r>
      <w:r>
        <w:rPr>
          <w:sz w:val="21"/>
        </w:rPr>
        <w:t>B）</w:t>
      </w:r>
      <w:r>
        <w:rPr>
          <w:spacing w:val="-3"/>
          <w:sz w:val="21"/>
        </w:rPr>
        <w:t>，并符合下列规定：</w:t>
      </w:r>
      <w:r>
        <w:rPr>
          <w:sz w:val="21"/>
        </w:rPr>
        <w:t xml:space="preserve"> </w:t>
      </w:r>
    </w:p>
    <w:p>
      <w:pPr>
        <w:pStyle w:val="ListParagraph"/>
        <w:numPr>
          <w:ilvl w:val="3"/>
          <w:numId w:val="33"/>
        </w:numPr>
        <w:tabs>
          <w:tab w:val="left" w:pos="2022"/>
        </w:tabs>
        <w:spacing w:before="50" w:after="0" w:line="240" w:lineRule="auto"/>
        <w:ind w:left="2021" w:right="0" w:hanging="421"/>
        <w:jc w:val="left"/>
        <w:rPr>
          <w:sz w:val="21"/>
        </w:rPr>
      </w:pPr>
      <w:r>
        <w:rPr>
          <w:spacing w:val="-3"/>
          <w:sz w:val="21"/>
        </w:rPr>
        <w:t>建筑完损检查应查明屋面、外立面的渗漏损坏情况，室内装饰装修的损坏情况；</w:t>
      </w:r>
      <w:r>
        <w:rPr>
          <w:sz w:val="21"/>
        </w:rPr>
        <w:t xml:space="preserve"> </w:t>
      </w:r>
    </w:p>
    <w:p>
      <w:pPr>
        <w:pStyle w:val="ListParagraph"/>
        <w:numPr>
          <w:ilvl w:val="3"/>
          <w:numId w:val="33"/>
        </w:numPr>
        <w:tabs>
          <w:tab w:val="left" w:pos="2022"/>
        </w:tabs>
        <w:spacing w:before="43" w:after="0" w:line="278" w:lineRule="auto"/>
        <w:ind w:left="2021" w:right="866" w:hanging="421"/>
        <w:jc w:val="left"/>
        <w:rPr>
          <w:sz w:val="21"/>
        </w:rPr>
      </w:pPr>
      <w:r>
        <w:rPr>
          <w:spacing w:val="-8"/>
          <w:sz w:val="21"/>
        </w:rPr>
        <w:t>结构完损检查应检查结构构件的锈蚀、碳化、风化、开裂、变形、松动等可能影响结构受力性</w:t>
      </w:r>
      <w:r>
        <w:rPr>
          <w:spacing w:val="-3"/>
          <w:sz w:val="21"/>
        </w:rPr>
        <w:t>能的损坏情况；</w:t>
      </w:r>
      <w:r>
        <w:rPr>
          <w:sz w:val="21"/>
        </w:rPr>
        <w:t xml:space="preserve"> </w:t>
      </w:r>
    </w:p>
    <w:p>
      <w:pPr>
        <w:pStyle w:val="ListParagraph"/>
        <w:numPr>
          <w:ilvl w:val="3"/>
          <w:numId w:val="33"/>
        </w:numPr>
        <w:tabs>
          <w:tab w:val="left" w:pos="2022"/>
        </w:tabs>
        <w:spacing w:before="0" w:after="0" w:line="269" w:lineRule="exact"/>
        <w:ind w:left="2021" w:right="0" w:hanging="421"/>
        <w:jc w:val="left"/>
        <w:rPr>
          <w:sz w:val="21"/>
        </w:rPr>
      </w:pPr>
      <w:r>
        <w:rPr>
          <w:spacing w:val="-3"/>
          <w:sz w:val="21"/>
        </w:rPr>
        <w:t>设备设施完损检查应检查设备设施的老化、缺失及使用状况。</w:t>
      </w:r>
      <w:r>
        <w:rPr>
          <w:sz w:val="21"/>
        </w:rPr>
        <w:t xml:space="preserve"> </w:t>
      </w:r>
    </w:p>
    <w:p>
      <w:pPr>
        <w:pStyle w:val="ListParagraph"/>
        <w:numPr>
          <w:ilvl w:val="2"/>
          <w:numId w:val="33"/>
        </w:numPr>
        <w:tabs>
          <w:tab w:val="left" w:pos="1917"/>
        </w:tabs>
        <w:spacing w:before="93" w:after="0" w:line="278" w:lineRule="auto"/>
        <w:ind w:left="1181" w:right="874" w:hanging="1"/>
        <w:jc w:val="left"/>
        <w:rPr>
          <w:sz w:val="21"/>
        </w:rPr>
      </w:pPr>
      <w:bookmarkStart w:id="58" w:name="查勘报告应采用文字描述与图纸、照片相结合的方式，综合性保护修缮工程的查勘报告应包"/>
      <w:bookmarkEnd w:id="58"/>
      <w:r>
        <w:rPr>
          <w:spacing w:val="-3"/>
          <w:sz w:val="21"/>
        </w:rPr>
        <w:t>查勘报告应采用文字描述与图纸、照片相结合的方式，综合性保护修缮工程的查勘报告应包括</w:t>
      </w:r>
      <w:r>
        <w:rPr>
          <w:spacing w:val="-2"/>
          <w:sz w:val="21"/>
        </w:rPr>
        <w:t>下列内容：</w:t>
      </w:r>
      <w:r>
        <w:rPr>
          <w:sz w:val="21"/>
        </w:rPr>
        <w:t xml:space="preserve"> </w:t>
      </w:r>
    </w:p>
    <w:p>
      <w:pPr>
        <w:pStyle w:val="ListParagraph"/>
        <w:numPr>
          <w:ilvl w:val="3"/>
          <w:numId w:val="33"/>
        </w:numPr>
        <w:tabs>
          <w:tab w:val="left" w:pos="2030"/>
        </w:tabs>
        <w:spacing w:before="51" w:after="0" w:line="240" w:lineRule="auto"/>
        <w:ind w:left="2029" w:right="0" w:hanging="421"/>
        <w:jc w:val="left"/>
        <w:rPr>
          <w:sz w:val="21"/>
        </w:rPr>
      </w:pPr>
      <w:r>
        <w:rPr>
          <w:spacing w:val="-2"/>
          <w:sz w:val="21"/>
        </w:rPr>
        <w:t>工程概况；</w:t>
      </w:r>
      <w:r>
        <w:rPr>
          <w:sz w:val="21"/>
        </w:rPr>
        <w:t xml:space="preserve"> </w:t>
      </w:r>
    </w:p>
    <w:p>
      <w:pPr>
        <w:pStyle w:val="ListParagraph"/>
        <w:numPr>
          <w:ilvl w:val="3"/>
          <w:numId w:val="33"/>
        </w:numPr>
        <w:tabs>
          <w:tab w:val="left" w:pos="2030"/>
        </w:tabs>
        <w:spacing w:before="42" w:after="0" w:line="240" w:lineRule="auto"/>
        <w:ind w:left="2029" w:right="0" w:hanging="421"/>
        <w:jc w:val="left"/>
        <w:rPr>
          <w:sz w:val="21"/>
        </w:rPr>
      </w:pPr>
      <w:r>
        <w:rPr>
          <w:spacing w:val="-3"/>
          <w:sz w:val="21"/>
        </w:rPr>
        <w:t>查勘目的和要求；</w:t>
      </w:r>
      <w:r>
        <w:rPr>
          <w:sz w:val="21"/>
        </w:rPr>
        <w:t xml:space="preserve"> </w:t>
      </w:r>
    </w:p>
    <w:p>
      <w:pPr>
        <w:pStyle w:val="ListParagraph"/>
        <w:numPr>
          <w:ilvl w:val="3"/>
          <w:numId w:val="33"/>
        </w:numPr>
        <w:tabs>
          <w:tab w:val="left" w:pos="2030"/>
        </w:tabs>
        <w:spacing w:before="43" w:after="0" w:line="240" w:lineRule="auto"/>
        <w:ind w:left="2029" w:right="0" w:hanging="421"/>
        <w:jc w:val="left"/>
        <w:rPr>
          <w:sz w:val="21"/>
        </w:rPr>
      </w:pPr>
      <w:r>
        <w:rPr>
          <w:spacing w:val="-3"/>
          <w:sz w:val="21"/>
        </w:rPr>
        <w:t xml:space="preserve">历史资料调查与收集成果； </w:t>
      </w:r>
    </w:p>
    <w:p>
      <w:pPr>
        <w:pStyle w:val="ListParagraph"/>
        <w:numPr>
          <w:ilvl w:val="3"/>
          <w:numId w:val="33"/>
        </w:numPr>
        <w:tabs>
          <w:tab w:val="left" w:pos="2030"/>
        </w:tabs>
        <w:spacing w:before="43" w:after="0" w:line="240" w:lineRule="auto"/>
        <w:ind w:left="2029" w:right="0" w:hanging="421"/>
        <w:jc w:val="left"/>
        <w:rPr>
          <w:sz w:val="21"/>
        </w:rPr>
      </w:pPr>
      <w:r>
        <w:rPr>
          <w:spacing w:val="-3"/>
          <w:sz w:val="21"/>
        </w:rPr>
        <w:t>建筑、结构与机电设备概况；</w:t>
      </w:r>
      <w:r>
        <w:rPr>
          <w:sz w:val="21"/>
        </w:rPr>
        <w:t xml:space="preserve"> </w:t>
      </w:r>
    </w:p>
    <w:p>
      <w:pPr>
        <w:pStyle w:val="ListParagraph"/>
        <w:numPr>
          <w:ilvl w:val="3"/>
          <w:numId w:val="33"/>
        </w:numPr>
        <w:tabs>
          <w:tab w:val="left" w:pos="2030"/>
        </w:tabs>
        <w:spacing w:before="43" w:after="0" w:line="240" w:lineRule="auto"/>
        <w:ind w:left="2029" w:right="0" w:hanging="421"/>
        <w:jc w:val="left"/>
        <w:rPr>
          <w:sz w:val="21"/>
        </w:rPr>
      </w:pPr>
      <w:r>
        <w:rPr>
          <w:spacing w:val="-2"/>
          <w:sz w:val="21"/>
        </w:rPr>
        <w:t>保护要求；</w:t>
      </w:r>
      <w:r>
        <w:rPr>
          <w:sz w:val="21"/>
        </w:rPr>
        <w:t xml:space="preserve"> </w:t>
      </w:r>
    </w:p>
    <w:p>
      <w:pPr>
        <w:pStyle w:val="ListParagraph"/>
        <w:numPr>
          <w:ilvl w:val="3"/>
          <w:numId w:val="33"/>
        </w:numPr>
        <w:tabs>
          <w:tab w:val="left" w:pos="2026"/>
        </w:tabs>
        <w:spacing w:before="44" w:after="0" w:line="240" w:lineRule="auto"/>
        <w:ind w:left="2025" w:right="0" w:hanging="421"/>
        <w:jc w:val="left"/>
        <w:rPr>
          <w:sz w:val="21"/>
        </w:rPr>
      </w:pPr>
      <w:r>
        <w:rPr>
          <w:spacing w:val="-3"/>
          <w:sz w:val="21"/>
        </w:rPr>
        <w:t>重点保护部位；</w:t>
      </w:r>
      <w:r>
        <w:rPr>
          <w:sz w:val="21"/>
        </w:rPr>
        <w:t xml:space="preserve"> </w:t>
      </w:r>
    </w:p>
    <w:p>
      <w:pPr>
        <w:pStyle w:val="ListParagraph"/>
        <w:numPr>
          <w:ilvl w:val="3"/>
          <w:numId w:val="33"/>
        </w:numPr>
        <w:tabs>
          <w:tab w:val="left" w:pos="2026"/>
        </w:tabs>
        <w:spacing w:before="43" w:after="0" w:line="240" w:lineRule="auto"/>
        <w:ind w:left="2025" w:right="0" w:hanging="421"/>
        <w:jc w:val="left"/>
        <w:rPr>
          <w:sz w:val="21"/>
        </w:rPr>
      </w:pPr>
      <w:r>
        <w:rPr>
          <w:spacing w:val="-3"/>
          <w:sz w:val="21"/>
        </w:rPr>
        <w:t>建筑使用功能；</w:t>
      </w:r>
      <w:r>
        <w:rPr>
          <w:sz w:val="21"/>
        </w:rPr>
        <w:t xml:space="preserve"> </w:t>
      </w:r>
    </w:p>
    <w:p>
      <w:pPr>
        <w:spacing w:before="138"/>
        <w:ind w:left="0" w:right="979" w:firstLine="0"/>
        <w:jc w:val="right"/>
        <w:rPr>
          <w:sz w:val="18"/>
        </w:rPr>
      </w:pPr>
      <w:r>
        <w:rPr>
          <w:sz w:val="18"/>
        </w:rPr>
        <w:t xml:space="preserve">7 </w:t>
      </w:r>
    </w:p>
    <w:p>
      <w:pPr>
        <w:spacing w:after="0"/>
        <w:jc w:val="right"/>
        <w:rPr>
          <w:sz w:val="18"/>
        </w:rPr>
        <w:sectPr>
          <w:pgSz w:w="11910" w:h="16840"/>
          <w:pgMar w:top="1340" w:right="260" w:bottom="280" w:left="240" w:header="708" w:footer="708"/>
          <w:pgNumType w:start="12"/>
          <w:cols w:space="708"/>
        </w:sectPr>
      </w:pPr>
    </w:p>
    <w:p>
      <w:pPr>
        <w:pStyle w:val="BodyText"/>
        <w:spacing w:before="61"/>
        <w:ind w:left="892"/>
        <w:rPr>
          <w:rFonts w:ascii="黑体"/>
        </w:rPr>
      </w:pPr>
      <w:r>
        <w:rPr>
          <w:rFonts w:ascii="黑体"/>
        </w:rPr>
        <w:t>DB4201/T 574-2019</w:t>
      </w:r>
    </w:p>
    <w:p>
      <w:pPr>
        <w:pStyle w:val="BodyText"/>
        <w:spacing w:before="6"/>
        <w:rPr>
          <w:rFonts w:ascii="黑体"/>
          <w:sz w:val="13"/>
        </w:rPr>
      </w:pPr>
    </w:p>
    <w:p>
      <w:pPr>
        <w:pStyle w:val="ListParagraph"/>
        <w:numPr>
          <w:ilvl w:val="3"/>
          <w:numId w:val="34"/>
        </w:numPr>
        <w:tabs>
          <w:tab w:val="left" w:pos="1741"/>
        </w:tabs>
        <w:spacing w:before="72" w:after="0" w:line="240" w:lineRule="auto"/>
        <w:ind w:left="1740" w:right="0" w:hanging="421"/>
        <w:jc w:val="left"/>
        <w:rPr>
          <w:sz w:val="21"/>
        </w:rPr>
      </w:pPr>
      <w:r>
        <w:rPr>
          <w:spacing w:val="-2"/>
          <w:sz w:val="21"/>
        </w:rPr>
        <w:t>完损检查；</w:t>
      </w:r>
      <w:r>
        <w:rPr>
          <w:sz w:val="21"/>
        </w:rPr>
        <w:t xml:space="preserve"> </w:t>
      </w:r>
    </w:p>
    <w:p>
      <w:pPr>
        <w:pStyle w:val="ListParagraph"/>
        <w:numPr>
          <w:ilvl w:val="3"/>
          <w:numId w:val="34"/>
        </w:numPr>
        <w:tabs>
          <w:tab w:val="left" w:pos="1741"/>
        </w:tabs>
        <w:spacing w:before="43" w:after="0" w:line="240" w:lineRule="auto"/>
        <w:ind w:left="1740" w:right="0" w:hanging="422"/>
        <w:jc w:val="left"/>
        <w:rPr>
          <w:sz w:val="21"/>
        </w:rPr>
      </w:pPr>
      <w:r>
        <w:rPr>
          <w:spacing w:val="-2"/>
          <w:sz w:val="21"/>
        </w:rPr>
        <w:t>查勘结论；</w:t>
      </w:r>
      <w:r>
        <w:rPr>
          <w:sz w:val="21"/>
        </w:rPr>
        <w:t xml:space="preserve"> </w:t>
      </w:r>
    </w:p>
    <w:p>
      <w:pPr>
        <w:pStyle w:val="ListParagraph"/>
        <w:numPr>
          <w:ilvl w:val="3"/>
          <w:numId w:val="34"/>
        </w:numPr>
        <w:tabs>
          <w:tab w:val="left" w:pos="1741"/>
        </w:tabs>
        <w:spacing w:before="43" w:after="0" w:line="240" w:lineRule="auto"/>
        <w:ind w:left="1740" w:right="0" w:hanging="422"/>
        <w:jc w:val="left"/>
        <w:rPr>
          <w:sz w:val="21"/>
        </w:rPr>
      </w:pPr>
      <w:r>
        <w:rPr>
          <w:spacing w:val="-2"/>
          <w:sz w:val="21"/>
        </w:rPr>
        <w:t>修缮建议。</w:t>
      </w:r>
      <w:r>
        <w:rPr>
          <w:sz w:val="21"/>
        </w:rPr>
        <w:t xml:space="preserve"> </w:t>
      </w:r>
    </w:p>
    <w:p>
      <w:pPr>
        <w:pStyle w:val="ListParagraph"/>
        <w:numPr>
          <w:ilvl w:val="2"/>
          <w:numId w:val="34"/>
        </w:numPr>
        <w:tabs>
          <w:tab w:val="left" w:pos="1628"/>
        </w:tabs>
        <w:spacing w:before="93" w:after="0" w:line="240" w:lineRule="auto"/>
        <w:ind w:left="1627" w:right="0" w:hanging="736"/>
        <w:jc w:val="left"/>
        <w:rPr>
          <w:sz w:val="21"/>
        </w:rPr>
      </w:pPr>
      <w:bookmarkStart w:id="59" w:name="局部性和专项保护修缮工程的查勘报告，可根据工程实际需要合理确定查勘报告的内容要求"/>
      <w:bookmarkEnd w:id="59"/>
      <w:r>
        <w:rPr>
          <w:spacing w:val="-3"/>
          <w:sz w:val="21"/>
        </w:rPr>
        <w:t>局部性和专项保护修缮工程的查勘报告，可根据工程实际需要合理确定查勘报告的内容要求。</w:t>
      </w:r>
      <w:r>
        <w:rPr>
          <w:sz w:val="21"/>
        </w:rPr>
        <w:t xml:space="preserve"> </w:t>
      </w:r>
    </w:p>
    <w:p>
      <w:pPr>
        <w:pStyle w:val="BodyText"/>
        <w:spacing w:before="9"/>
        <w:rPr>
          <w:sz w:val="15"/>
        </w:rPr>
      </w:pPr>
    </w:p>
    <w:p>
      <w:pPr>
        <w:pStyle w:val="ListParagraph"/>
        <w:numPr>
          <w:ilvl w:val="1"/>
          <w:numId w:val="34"/>
        </w:numPr>
        <w:tabs>
          <w:tab w:val="left" w:pos="1419"/>
        </w:tabs>
        <w:spacing w:before="0" w:after="0" w:line="240" w:lineRule="auto"/>
        <w:ind w:left="1418" w:right="0" w:hanging="526"/>
        <w:jc w:val="left"/>
        <w:rPr>
          <w:rFonts w:ascii="黑体" w:eastAsia="黑体" w:hint="eastAsia"/>
          <w:sz w:val="21"/>
        </w:rPr>
      </w:pPr>
      <w:bookmarkStart w:id="60" w:name="建筑专项测绘"/>
      <w:bookmarkEnd w:id="60"/>
      <w:r>
        <w:rPr>
          <w:rFonts w:ascii="黑体" w:eastAsia="黑体" w:hint="eastAsia"/>
          <w:spacing w:val="-2"/>
          <w:sz w:val="21"/>
        </w:rPr>
        <w:t>建筑专项测绘</w:t>
      </w:r>
    </w:p>
    <w:p>
      <w:pPr>
        <w:pStyle w:val="BodyText"/>
        <w:spacing w:before="4"/>
        <w:rPr>
          <w:rFonts w:ascii="黑体"/>
          <w:sz w:val="15"/>
        </w:rPr>
      </w:pPr>
    </w:p>
    <w:p>
      <w:pPr>
        <w:pStyle w:val="ListParagraph"/>
        <w:numPr>
          <w:ilvl w:val="2"/>
          <w:numId w:val="34"/>
        </w:numPr>
        <w:tabs>
          <w:tab w:val="left" w:pos="1628"/>
        </w:tabs>
        <w:spacing w:before="1" w:after="0" w:line="240" w:lineRule="auto"/>
        <w:ind w:left="1627" w:right="0" w:hanging="735"/>
        <w:jc w:val="left"/>
        <w:rPr>
          <w:sz w:val="21"/>
        </w:rPr>
      </w:pPr>
      <w:bookmarkStart w:id="61" w:name="优秀历史建筑专项测绘应符合下列要求："/>
      <w:bookmarkEnd w:id="61"/>
      <w:r>
        <w:rPr>
          <w:spacing w:val="-3"/>
          <w:sz w:val="21"/>
        </w:rPr>
        <w:t>优秀历史建筑专项测绘应符合下列要求：</w:t>
      </w:r>
      <w:r>
        <w:rPr>
          <w:sz w:val="21"/>
        </w:rPr>
        <w:t xml:space="preserve"> </w:t>
      </w:r>
    </w:p>
    <w:p>
      <w:pPr>
        <w:pStyle w:val="ListParagraph"/>
        <w:numPr>
          <w:ilvl w:val="3"/>
          <w:numId w:val="34"/>
        </w:numPr>
        <w:tabs>
          <w:tab w:val="left" w:pos="1734"/>
        </w:tabs>
        <w:spacing w:before="117" w:after="0" w:line="240" w:lineRule="auto"/>
        <w:ind w:left="1733" w:right="0" w:hanging="421"/>
        <w:jc w:val="left"/>
        <w:rPr>
          <w:b/>
          <w:sz w:val="21"/>
        </w:rPr>
      </w:pPr>
      <w:r>
        <w:rPr>
          <w:spacing w:val="-11"/>
          <w:sz w:val="21"/>
        </w:rPr>
        <w:t>遵循布局上“从整体到局部”、次序上“先控制后细部”的原则；</w:t>
      </w:r>
      <w:r>
        <w:rPr>
          <w:b/>
          <w:w w:val="99"/>
          <w:sz w:val="21"/>
        </w:rPr>
        <w:t xml:space="preserve"> </w:t>
      </w:r>
    </w:p>
    <w:p>
      <w:pPr>
        <w:pStyle w:val="ListParagraph"/>
        <w:numPr>
          <w:ilvl w:val="3"/>
          <w:numId w:val="34"/>
        </w:numPr>
        <w:tabs>
          <w:tab w:val="left" w:pos="1733"/>
        </w:tabs>
        <w:spacing w:before="88" w:after="0" w:line="240" w:lineRule="auto"/>
        <w:ind w:left="1732" w:right="0" w:hanging="421"/>
        <w:jc w:val="left"/>
        <w:rPr>
          <w:b/>
          <w:sz w:val="21"/>
        </w:rPr>
      </w:pPr>
      <w:r>
        <w:rPr>
          <w:spacing w:val="-3"/>
          <w:sz w:val="21"/>
        </w:rPr>
        <w:t>选取典型构件测量时，应注意构件或部位的同一性；</w:t>
      </w:r>
      <w:r>
        <w:rPr>
          <w:b/>
          <w:spacing w:val="-3"/>
          <w:w w:val="99"/>
          <w:sz w:val="21"/>
        </w:rPr>
        <w:t xml:space="preserve"> </w:t>
      </w:r>
    </w:p>
    <w:p>
      <w:pPr>
        <w:pStyle w:val="ListParagraph"/>
        <w:numPr>
          <w:ilvl w:val="3"/>
          <w:numId w:val="34"/>
        </w:numPr>
        <w:tabs>
          <w:tab w:val="left" w:pos="1733"/>
        </w:tabs>
        <w:spacing w:before="91" w:after="0" w:line="319" w:lineRule="auto"/>
        <w:ind w:left="1732" w:right="1153" w:hanging="421"/>
        <w:jc w:val="left"/>
        <w:rPr>
          <w:b/>
          <w:sz w:val="21"/>
        </w:rPr>
      </w:pPr>
      <w:r>
        <w:rPr>
          <w:spacing w:val="-9"/>
          <w:sz w:val="21"/>
        </w:rPr>
        <w:t>测绘成果应真实传递建筑信息，未探明部分应在测绘成果中作留白处理；部分隐蔽部位测绘应</w:t>
      </w:r>
      <w:r>
        <w:rPr>
          <w:spacing w:val="-5"/>
          <w:sz w:val="21"/>
        </w:rPr>
        <w:t>在施工阶段具备条件时补充；</w:t>
      </w:r>
      <w:r>
        <w:rPr>
          <w:b/>
          <w:w w:val="99"/>
          <w:sz w:val="21"/>
        </w:rPr>
        <w:t xml:space="preserve"> </w:t>
      </w:r>
    </w:p>
    <w:p>
      <w:pPr>
        <w:pStyle w:val="ListParagraph"/>
        <w:numPr>
          <w:ilvl w:val="3"/>
          <w:numId w:val="34"/>
        </w:numPr>
        <w:tabs>
          <w:tab w:val="left" w:pos="1733"/>
        </w:tabs>
        <w:spacing w:before="2" w:after="0" w:line="240" w:lineRule="auto"/>
        <w:ind w:left="1732" w:right="0" w:hanging="421"/>
        <w:jc w:val="left"/>
        <w:rPr>
          <w:b/>
          <w:sz w:val="21"/>
        </w:rPr>
      </w:pPr>
      <w:r>
        <w:rPr>
          <w:spacing w:val="-3"/>
          <w:sz w:val="21"/>
        </w:rPr>
        <w:t>建筑专项的测绘成果应符合国家或地方相关技术标准的要求。</w:t>
      </w:r>
      <w:r>
        <w:rPr>
          <w:b/>
          <w:w w:val="99"/>
          <w:sz w:val="21"/>
        </w:rPr>
        <w:t xml:space="preserve"> </w:t>
      </w:r>
    </w:p>
    <w:p>
      <w:pPr>
        <w:pStyle w:val="ListParagraph"/>
        <w:numPr>
          <w:ilvl w:val="2"/>
          <w:numId w:val="34"/>
        </w:numPr>
        <w:tabs>
          <w:tab w:val="left" w:pos="1628"/>
        </w:tabs>
        <w:spacing w:before="115" w:after="0" w:line="278" w:lineRule="auto"/>
        <w:ind w:left="893" w:right="1048" w:hanging="1"/>
        <w:jc w:val="left"/>
        <w:rPr>
          <w:sz w:val="21"/>
        </w:rPr>
      </w:pPr>
      <w:bookmarkStart w:id="62" w:name="测绘人员应根据工程实际需要合理结合使用测量工具、测量仪器、测量辅助工具和绘图工具"/>
      <w:bookmarkEnd w:id="62"/>
      <w:r>
        <w:rPr>
          <w:spacing w:val="-7"/>
          <w:sz w:val="21"/>
        </w:rPr>
        <w:t>测绘人员应根据工程实际需要合理结合使用测量工具、测量仪器、测量辅助工具和绘图工具等，</w:t>
      </w:r>
      <w:r>
        <w:rPr>
          <w:spacing w:val="-7"/>
          <w:sz w:val="21"/>
        </w:rPr>
        <w:t xml:space="preserve"> </w:t>
      </w:r>
      <w:r>
        <w:rPr>
          <w:spacing w:val="-5"/>
          <w:sz w:val="21"/>
        </w:rPr>
        <w:t xml:space="preserve">参照相关测量规程进行操作，并合理控制测量误差。 </w:t>
      </w:r>
    </w:p>
    <w:p>
      <w:pPr>
        <w:pStyle w:val="ListParagraph"/>
        <w:numPr>
          <w:ilvl w:val="2"/>
          <w:numId w:val="34"/>
        </w:numPr>
        <w:tabs>
          <w:tab w:val="left" w:pos="1628"/>
        </w:tabs>
        <w:spacing w:before="50" w:after="0" w:line="240" w:lineRule="auto"/>
        <w:ind w:left="1627" w:right="0" w:hanging="735"/>
        <w:jc w:val="left"/>
        <w:rPr>
          <w:sz w:val="21"/>
        </w:rPr>
      </w:pPr>
      <w:bookmarkStart w:id="63" w:name="优秀历史建筑专项测绘应符合下列基本流程："/>
      <w:bookmarkEnd w:id="63"/>
      <w:r>
        <w:rPr>
          <w:spacing w:val="-3"/>
          <w:sz w:val="21"/>
        </w:rPr>
        <w:t>优秀历史建筑专项测绘应符合下列基本流程：</w:t>
      </w:r>
      <w:r>
        <w:rPr>
          <w:sz w:val="21"/>
        </w:rPr>
        <w:t xml:space="preserve"> </w:t>
      </w:r>
    </w:p>
    <w:p>
      <w:pPr>
        <w:pStyle w:val="ListParagraph"/>
        <w:numPr>
          <w:ilvl w:val="3"/>
          <w:numId w:val="34"/>
        </w:numPr>
        <w:tabs>
          <w:tab w:val="left" w:pos="1734"/>
        </w:tabs>
        <w:spacing w:before="118" w:after="0" w:line="240" w:lineRule="auto"/>
        <w:ind w:left="1733" w:right="0" w:hanging="421"/>
        <w:jc w:val="left"/>
        <w:rPr>
          <w:sz w:val="21"/>
        </w:rPr>
      </w:pPr>
      <w:r>
        <w:rPr>
          <w:spacing w:val="-2"/>
          <w:sz w:val="21"/>
        </w:rPr>
        <w:t>准备工作；</w:t>
      </w:r>
      <w:r>
        <w:rPr>
          <w:sz w:val="21"/>
        </w:rPr>
        <w:t xml:space="preserve"> </w:t>
      </w:r>
    </w:p>
    <w:p>
      <w:pPr>
        <w:pStyle w:val="ListParagraph"/>
        <w:numPr>
          <w:ilvl w:val="3"/>
          <w:numId w:val="34"/>
        </w:numPr>
        <w:tabs>
          <w:tab w:val="left" w:pos="1734"/>
        </w:tabs>
        <w:spacing w:before="88" w:after="0" w:line="240" w:lineRule="auto"/>
        <w:ind w:left="1733" w:right="0" w:hanging="421"/>
        <w:jc w:val="left"/>
        <w:rPr>
          <w:b/>
          <w:sz w:val="21"/>
        </w:rPr>
      </w:pPr>
      <w:r>
        <w:rPr>
          <w:spacing w:val="-2"/>
          <w:sz w:val="21"/>
        </w:rPr>
        <w:t>现场测绘；</w:t>
      </w:r>
      <w:r>
        <w:rPr>
          <w:b/>
          <w:w w:val="99"/>
          <w:sz w:val="21"/>
        </w:rPr>
        <w:t xml:space="preserve"> </w:t>
      </w:r>
    </w:p>
    <w:p>
      <w:pPr>
        <w:pStyle w:val="ListParagraph"/>
        <w:numPr>
          <w:ilvl w:val="3"/>
          <w:numId w:val="34"/>
        </w:numPr>
        <w:tabs>
          <w:tab w:val="left" w:pos="1733"/>
        </w:tabs>
        <w:spacing w:before="91" w:after="0" w:line="240" w:lineRule="auto"/>
        <w:ind w:left="1732" w:right="0" w:hanging="421"/>
        <w:jc w:val="left"/>
        <w:rPr>
          <w:sz w:val="21"/>
        </w:rPr>
      </w:pPr>
      <w:r>
        <w:rPr>
          <w:spacing w:val="-3"/>
          <w:sz w:val="21"/>
        </w:rPr>
        <w:t>绘制成果图；</w:t>
      </w:r>
      <w:r>
        <w:rPr>
          <w:sz w:val="21"/>
        </w:rPr>
        <w:t xml:space="preserve"> </w:t>
      </w:r>
    </w:p>
    <w:p>
      <w:pPr>
        <w:pStyle w:val="ListParagraph"/>
        <w:numPr>
          <w:ilvl w:val="3"/>
          <w:numId w:val="34"/>
        </w:numPr>
        <w:tabs>
          <w:tab w:val="left" w:pos="1733"/>
        </w:tabs>
        <w:spacing w:before="89" w:after="0" w:line="240" w:lineRule="auto"/>
        <w:ind w:left="1732" w:right="0" w:hanging="421"/>
        <w:jc w:val="left"/>
        <w:rPr>
          <w:sz w:val="21"/>
        </w:rPr>
      </w:pPr>
      <w:r>
        <w:drawing>
          <wp:anchor distT="0" distB="0" distL="0" distR="0" simplePos="0" relativeHeight="251673600" behindDoc="0" locked="0" layoutInCell="1" allowOverlap="1">
            <wp:simplePos x="0" y="0"/>
            <wp:positionH relativeFrom="page">
              <wp:posOffset>215900</wp:posOffset>
            </wp:positionH>
            <wp:positionV relativeFrom="paragraph">
              <wp:posOffset>95401</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2"/>
          <w:sz w:val="21"/>
        </w:rPr>
        <w:t>审核校对；</w:t>
      </w:r>
      <w:r>
        <w:rPr>
          <w:sz w:val="21"/>
        </w:rPr>
        <w:t xml:space="preserve"> </w:t>
      </w:r>
    </w:p>
    <w:p>
      <w:pPr>
        <w:pStyle w:val="ListParagraph"/>
        <w:numPr>
          <w:ilvl w:val="3"/>
          <w:numId w:val="34"/>
        </w:numPr>
        <w:tabs>
          <w:tab w:val="left" w:pos="1733"/>
        </w:tabs>
        <w:spacing w:before="91" w:after="0" w:line="240" w:lineRule="auto"/>
        <w:ind w:left="1732" w:right="0" w:hanging="421"/>
        <w:jc w:val="left"/>
        <w:rPr>
          <w:sz w:val="21"/>
        </w:rPr>
      </w:pPr>
      <w:r>
        <w:rPr>
          <w:spacing w:val="-2"/>
          <w:sz w:val="21"/>
        </w:rPr>
        <w:t>交付成果。</w:t>
      </w:r>
      <w:r>
        <w:rPr>
          <w:sz w:val="21"/>
        </w:rPr>
        <w:t xml:space="preserve"> </w:t>
      </w:r>
    </w:p>
    <w:p>
      <w:pPr>
        <w:pStyle w:val="ListParagraph"/>
        <w:numPr>
          <w:ilvl w:val="2"/>
          <w:numId w:val="34"/>
        </w:numPr>
        <w:tabs>
          <w:tab w:val="left" w:pos="1628"/>
        </w:tabs>
        <w:spacing w:before="115" w:after="0" w:line="278" w:lineRule="auto"/>
        <w:ind w:left="892" w:right="1161" w:hanging="1"/>
        <w:jc w:val="both"/>
        <w:rPr>
          <w:sz w:val="21"/>
        </w:rPr>
      </w:pPr>
      <w:bookmarkStart w:id="64" w:name="综合性保护修缮工程的专项现场测绘应包括平面控制测量、高程控制测量、总平面及建筑单"/>
      <w:bookmarkEnd w:id="64"/>
      <w:r>
        <w:rPr>
          <w:spacing w:val="-3"/>
          <w:sz w:val="21"/>
        </w:rPr>
        <w:t>综合性保护修缮工程的专项现场测绘应包括平面控制测量、高程控制测量、总平面及建筑单体</w:t>
      </w:r>
      <w:r>
        <w:rPr>
          <w:spacing w:val="-3"/>
          <w:sz w:val="21"/>
        </w:rPr>
        <w:t>测绘、重点保护部位的细部测绘等。</w:t>
      </w:r>
      <w:r>
        <w:rPr>
          <w:sz w:val="21"/>
        </w:rPr>
        <w:t xml:space="preserve"> </w:t>
      </w:r>
    </w:p>
    <w:p>
      <w:pPr>
        <w:pStyle w:val="ListParagraph"/>
        <w:numPr>
          <w:ilvl w:val="2"/>
          <w:numId w:val="34"/>
        </w:numPr>
        <w:tabs>
          <w:tab w:val="left" w:pos="1628"/>
        </w:tabs>
        <w:spacing w:before="50" w:after="0" w:line="278" w:lineRule="auto"/>
        <w:ind w:left="893" w:right="1156" w:hanging="1"/>
        <w:jc w:val="both"/>
        <w:rPr>
          <w:sz w:val="21"/>
        </w:rPr>
      </w:pPr>
      <w:bookmarkStart w:id="65" w:name="综合性保护修缮工程的专项测绘成果应包括建筑总平面图、各层平面图（包括屋顶、天花、"/>
      <w:bookmarkEnd w:id="65"/>
      <w:r>
        <w:rPr>
          <w:spacing w:val="-3"/>
          <w:sz w:val="21"/>
        </w:rPr>
        <w:t>综合性保护修缮工程的专项测绘成果应包括建筑总平面图、各层平面图</w:t>
      </w:r>
      <w:r>
        <w:rPr>
          <w:sz w:val="21"/>
        </w:rPr>
        <w:t>（</w:t>
      </w:r>
      <w:r>
        <w:rPr>
          <w:spacing w:val="-3"/>
          <w:sz w:val="21"/>
        </w:rPr>
        <w:t>包括屋顶、天花、地</w:t>
      </w:r>
      <w:r>
        <w:rPr>
          <w:spacing w:val="-6"/>
          <w:sz w:val="21"/>
        </w:rPr>
        <w:t>坪、架空层或防潮层、地下室</w:t>
      </w:r>
      <w:r>
        <w:rPr>
          <w:spacing w:val="-15"/>
          <w:sz w:val="21"/>
        </w:rPr>
        <w:t>）</w:t>
      </w:r>
      <w:r>
        <w:rPr>
          <w:spacing w:val="-8"/>
          <w:sz w:val="21"/>
        </w:rPr>
        <w:t>、各立面图</w:t>
      </w:r>
      <w:r>
        <w:rPr>
          <w:spacing w:val="-3"/>
          <w:sz w:val="21"/>
        </w:rPr>
        <w:t>（后加物及残损现状</w:t>
      </w:r>
      <w:r>
        <w:rPr>
          <w:spacing w:val="-15"/>
          <w:sz w:val="21"/>
        </w:rPr>
        <w:t>）</w:t>
      </w:r>
      <w:r>
        <w:rPr>
          <w:spacing w:val="-7"/>
          <w:sz w:val="21"/>
        </w:rPr>
        <w:t>、主要剖面图、重点保护部位细部大</w:t>
      </w:r>
      <w:r>
        <w:rPr>
          <w:spacing w:val="-3"/>
          <w:sz w:val="21"/>
        </w:rPr>
        <w:t>样图、原始测量数据和照片、文字报告资料等。</w:t>
      </w:r>
      <w:r>
        <w:rPr>
          <w:sz w:val="21"/>
        </w:rPr>
        <w:t xml:space="preserve"> </w:t>
      </w:r>
    </w:p>
    <w:p>
      <w:pPr>
        <w:pStyle w:val="ListParagraph"/>
        <w:numPr>
          <w:ilvl w:val="2"/>
          <w:numId w:val="34"/>
        </w:numPr>
        <w:tabs>
          <w:tab w:val="left" w:pos="1628"/>
        </w:tabs>
        <w:spacing w:before="50" w:after="0" w:line="240" w:lineRule="auto"/>
        <w:ind w:left="1627" w:right="0" w:hanging="735"/>
        <w:jc w:val="both"/>
        <w:rPr>
          <w:sz w:val="21"/>
        </w:rPr>
      </w:pPr>
      <w:bookmarkStart w:id="66" w:name="局部性和专项保护修缮工程可根据实际工程需要确定专项测绘的内容，并完成相应测绘成果"/>
      <w:bookmarkEnd w:id="66"/>
      <w:r>
        <w:rPr>
          <w:spacing w:val="-3"/>
          <w:sz w:val="21"/>
        </w:rPr>
        <w:t>局部性和专项保护修缮工程可根据实际工程需要确定专项测绘的内容，并完成相应测绘成果。</w:t>
      </w:r>
      <w:r>
        <w:rPr>
          <w:sz w:val="21"/>
        </w:rPr>
        <w:t xml:space="preserve"> </w:t>
      </w:r>
    </w:p>
    <w:p>
      <w:pPr>
        <w:pStyle w:val="ListParagraph"/>
        <w:numPr>
          <w:ilvl w:val="2"/>
          <w:numId w:val="34"/>
        </w:numPr>
        <w:tabs>
          <w:tab w:val="left" w:pos="1628"/>
        </w:tabs>
        <w:spacing w:before="91" w:after="0" w:line="278" w:lineRule="auto"/>
        <w:ind w:left="893" w:right="1215" w:hanging="1"/>
        <w:jc w:val="both"/>
        <w:rPr>
          <w:sz w:val="21"/>
        </w:rPr>
      </w:pPr>
      <w:bookmarkStart w:id="67" w:name="保护级别较高、功能复杂、规模较大或有重大影响的建筑可采用BIM信息模型、GIS数"/>
      <w:bookmarkEnd w:id="67"/>
      <w:r>
        <w:rPr>
          <w:spacing w:val="-5"/>
          <w:sz w:val="21"/>
        </w:rPr>
        <w:t xml:space="preserve">保护级别较高、功能复杂、规模较大或有重大影响的建筑可采用 </w:t>
      </w:r>
      <w:r>
        <w:rPr>
          <w:sz w:val="21"/>
        </w:rPr>
        <w:t>BIM</w:t>
      </w:r>
      <w:r>
        <w:rPr>
          <w:spacing w:val="-9"/>
          <w:sz w:val="21"/>
        </w:rPr>
        <w:t xml:space="preserve"> 信息模型、</w:t>
      </w:r>
      <w:r>
        <w:rPr>
          <w:sz w:val="21"/>
        </w:rPr>
        <w:t>GIS</w:t>
      </w:r>
      <w:r>
        <w:rPr>
          <w:spacing w:val="-11"/>
          <w:sz w:val="21"/>
        </w:rPr>
        <w:t xml:space="preserve"> 数据库及</w:t>
      </w:r>
      <w:r>
        <w:rPr>
          <w:spacing w:val="-2"/>
          <w:sz w:val="21"/>
        </w:rPr>
        <w:t>应用系统、</w:t>
      </w:r>
      <w:r>
        <w:rPr>
          <w:sz w:val="21"/>
        </w:rPr>
        <w:t>3Dscan</w:t>
      </w:r>
      <w:r>
        <w:rPr>
          <w:spacing w:val="-3"/>
          <w:sz w:val="21"/>
        </w:rPr>
        <w:t>、三维图像模型和多媒体视频录像等成果作为测绘的辅助资料。</w:t>
      </w:r>
      <w:r>
        <w:rPr>
          <w:sz w:val="21"/>
        </w:rPr>
        <w:t xml:space="preserve"> </w:t>
      </w:r>
    </w:p>
    <w:p>
      <w:pPr>
        <w:pStyle w:val="ListParagraph"/>
        <w:numPr>
          <w:ilvl w:val="1"/>
          <w:numId w:val="34"/>
        </w:numPr>
        <w:tabs>
          <w:tab w:val="left" w:pos="1420"/>
        </w:tabs>
        <w:spacing w:before="158" w:after="0" w:line="240" w:lineRule="auto"/>
        <w:ind w:left="1419" w:right="0" w:hanging="527"/>
        <w:jc w:val="both"/>
        <w:rPr>
          <w:rFonts w:ascii="黑体" w:eastAsia="黑体" w:hint="eastAsia"/>
          <w:sz w:val="21"/>
        </w:rPr>
      </w:pPr>
      <w:bookmarkStart w:id="68" w:name="建筑检测鉴定"/>
      <w:bookmarkEnd w:id="68"/>
      <w:r>
        <w:rPr>
          <w:rFonts w:ascii="黑体" w:eastAsia="黑体" w:hint="eastAsia"/>
          <w:spacing w:val="-3"/>
          <w:sz w:val="21"/>
        </w:rPr>
        <w:t>建筑检测鉴定</w:t>
      </w:r>
    </w:p>
    <w:p>
      <w:pPr>
        <w:pStyle w:val="BodyText"/>
        <w:spacing w:before="4"/>
        <w:rPr>
          <w:rFonts w:ascii="黑体"/>
          <w:sz w:val="15"/>
        </w:rPr>
      </w:pPr>
    </w:p>
    <w:p>
      <w:pPr>
        <w:pStyle w:val="ListParagraph"/>
        <w:numPr>
          <w:ilvl w:val="2"/>
          <w:numId w:val="34"/>
        </w:numPr>
        <w:tabs>
          <w:tab w:val="left" w:pos="1629"/>
        </w:tabs>
        <w:spacing w:before="0" w:after="0" w:line="240" w:lineRule="auto"/>
        <w:ind w:left="1628" w:right="0" w:hanging="736"/>
        <w:jc w:val="left"/>
        <w:rPr>
          <w:sz w:val="21"/>
        </w:rPr>
      </w:pPr>
      <w:bookmarkStart w:id="69" w:name="优秀历史建筑检测鉴定包括完损状况评定、危险性鉴定、结构可靠性鉴定三种类型。"/>
      <w:bookmarkEnd w:id="69"/>
      <w:r>
        <w:rPr>
          <w:spacing w:val="-3"/>
          <w:sz w:val="21"/>
        </w:rPr>
        <w:t>优秀历史建筑检测鉴定包括完损状况评定、危险性鉴定、结构可靠性鉴定三种类型。</w:t>
      </w:r>
      <w:r>
        <w:rPr>
          <w:sz w:val="21"/>
        </w:rPr>
        <w:t xml:space="preserve"> </w:t>
      </w:r>
    </w:p>
    <w:p>
      <w:pPr>
        <w:pStyle w:val="ListParagraph"/>
        <w:numPr>
          <w:ilvl w:val="2"/>
          <w:numId w:val="34"/>
        </w:numPr>
        <w:tabs>
          <w:tab w:val="left" w:pos="1629"/>
        </w:tabs>
        <w:spacing w:before="94" w:after="0" w:line="240" w:lineRule="auto"/>
        <w:ind w:left="1628" w:right="0" w:hanging="736"/>
        <w:jc w:val="left"/>
        <w:rPr>
          <w:sz w:val="21"/>
        </w:rPr>
      </w:pPr>
      <w:bookmarkStart w:id="70" w:name="针对使用功能未发生改变、不需要对建筑结构进行干预的局部性、专项保护修缮工程，应参"/>
      <w:bookmarkEnd w:id="70"/>
      <w:r>
        <w:rPr>
          <w:spacing w:val="-3"/>
          <w:sz w:val="21"/>
        </w:rPr>
        <w:t>针对使用功能未发生改变、不需要对建筑结构进行干预的局部性、专项保护修缮工程，应参照</w:t>
      </w:r>
    </w:p>
    <w:p>
      <w:pPr>
        <w:pStyle w:val="BodyText"/>
        <w:spacing w:before="43" w:line="278" w:lineRule="auto"/>
        <w:ind w:left="893" w:right="1047"/>
      </w:pPr>
      <w:r>
        <w:rPr>
          <w:spacing w:val="-3"/>
        </w:rPr>
        <w:t>《房屋完损等级评定标准》的相关规定，进行建筑完损状况评定。具体内容包括屋面和外立面的裂缝、</w:t>
      </w:r>
      <w:r>
        <w:rPr>
          <w:spacing w:val="-11"/>
        </w:rPr>
        <w:t>渗漏和损伤，特色装饰部位损伤，混凝土碳化、龟裂，钢筋外露数量，钢材锈蚀程度，砖墙风化，砌筑</w:t>
      </w:r>
      <w:r>
        <w:rPr>
          <w:spacing w:val="-17"/>
        </w:rPr>
        <w:t xml:space="preserve">砂浆酥化，木材虫蚀、腐朽，木结构节点松脱失效等。检测宜采用无损检测与半破损检测相结合的方法， </w:t>
      </w:r>
      <w:r>
        <w:rPr>
          <w:spacing w:val="-7"/>
        </w:rPr>
        <w:t>重点保护部位应采用无损检测的方法。</w:t>
      </w:r>
      <w:r>
        <w:t xml:space="preserve"> </w:t>
      </w:r>
    </w:p>
    <w:p>
      <w:pPr>
        <w:pStyle w:val="ListParagraph"/>
        <w:numPr>
          <w:ilvl w:val="2"/>
          <w:numId w:val="34"/>
        </w:numPr>
        <w:tabs>
          <w:tab w:val="left" w:pos="1629"/>
        </w:tabs>
        <w:spacing w:before="49" w:after="0" w:line="278" w:lineRule="auto"/>
        <w:ind w:left="894" w:right="1155" w:hanging="1"/>
        <w:jc w:val="both"/>
        <w:rPr>
          <w:sz w:val="21"/>
        </w:rPr>
      </w:pPr>
      <w:bookmarkStart w:id="71" w:name="建筑经常规年检发现局部或整体结构构件老化、存在重大安全隐患，或完损状况评定结论为"/>
      <w:bookmarkEnd w:id="71"/>
      <w:r>
        <w:rPr>
          <w:spacing w:val="-3"/>
          <w:sz w:val="21"/>
        </w:rPr>
        <w:t>建筑经常规年检发现局部或整体结构构件老化、存在重大安全隐患，或完损状况评定结论为危</w:t>
      </w:r>
      <w:r>
        <w:rPr>
          <w:spacing w:val="-9"/>
          <w:sz w:val="21"/>
        </w:rPr>
        <w:t xml:space="preserve">险房时，还应参照 </w:t>
      </w:r>
      <w:r>
        <w:rPr>
          <w:sz w:val="21"/>
        </w:rPr>
        <w:t>JGJ</w:t>
      </w:r>
      <w:r>
        <w:rPr>
          <w:spacing w:val="-41"/>
          <w:sz w:val="21"/>
        </w:rPr>
        <w:t xml:space="preserve"> </w:t>
      </w:r>
      <w:r>
        <w:rPr>
          <w:sz w:val="21"/>
        </w:rPr>
        <w:t>125</w:t>
      </w:r>
      <w:r>
        <w:rPr>
          <w:spacing w:val="-11"/>
          <w:sz w:val="21"/>
        </w:rPr>
        <w:t xml:space="preserve"> 的相关规定，进行危险性鉴定。具体内容包括建筑结构图纸复核、使用荷载</w:t>
      </w:r>
      <w:r>
        <w:rPr>
          <w:spacing w:val="-6"/>
          <w:sz w:val="21"/>
        </w:rPr>
        <w:t>调查、变形检测等，必要时应采用仪器进行测试、结构分析和验算，并符合下列要求：</w:t>
      </w:r>
      <w:r>
        <w:rPr>
          <w:sz w:val="21"/>
        </w:rPr>
        <w:t xml:space="preserve"> </w:t>
      </w:r>
    </w:p>
    <w:p>
      <w:pPr>
        <w:pStyle w:val="BodyText"/>
        <w:spacing w:before="8"/>
      </w:pPr>
    </w:p>
    <w:p>
      <w:pPr>
        <w:spacing w:before="75"/>
        <w:ind w:left="1113" w:right="0" w:firstLine="0"/>
        <w:jc w:val="left"/>
        <w:rPr>
          <w:sz w:val="18"/>
        </w:rPr>
      </w:pPr>
      <w:r>
        <w:rPr>
          <w:sz w:val="18"/>
        </w:rPr>
        <w:t xml:space="preserve">8 </w:t>
      </w:r>
    </w:p>
    <w:p>
      <w:pPr>
        <w:spacing w:after="0"/>
        <w:jc w:val="left"/>
        <w:rPr>
          <w:sz w:val="18"/>
        </w:rPr>
        <w:sectPr>
          <w:pgSz w:w="11910" w:h="16840"/>
          <w:pgMar w:top="1340" w:right="260" w:bottom="280" w:left="240" w:header="708" w:footer="708"/>
          <w:pgNumType w:start="13"/>
          <w:cols w:space="708"/>
        </w:sectPr>
      </w:pPr>
    </w:p>
    <w:p>
      <w:pPr>
        <w:pStyle w:val="BodyText"/>
        <w:spacing w:before="61"/>
        <w:ind w:right="870"/>
        <w:jc w:val="right"/>
        <w:rPr>
          <w:rFonts w:ascii="黑体"/>
        </w:rPr>
      </w:pPr>
      <w:r>
        <w:pict>
          <v:group id="_x0000_s1059" style="width:595.5pt;height:842.15pt;margin-top:-0.09pt;margin-left:-0.09pt;mso-position-horizontal-relative:page;mso-position-vertical-relative:page;position:absolute;z-index:-251641856" coordorigin="-2,-2" coordsize="11910,16843">
            <v:shape id="_x0000_s1060" type="#_x0000_t75" style="width:6067;height:8051;left:2650;position:absolute;top:4649" stroked="f">
              <v:imagedata r:id="rId6" o:title=""/>
            </v:shape>
            <v:rect id="_x0000_s1061" style="width:11906;height:16838;position:absolute" filled="f" stroked="t" strokecolor="#231916" strokeweight="0.22pt">
              <v:stroke dashstyle="solid"/>
            </v:rect>
            <v:shape id="_x0000_s1062" type="#_x0000_t75" style="width:11200;height:7680;left:340;position:absolute;top:8258" stroked="f">
              <v:imagedata r:id="rId4" o:title=""/>
            </v:shape>
          </v:group>
        </w:pict>
      </w:r>
      <w:r>
        <w:rPr>
          <w:rFonts w:ascii="黑体"/>
        </w:rPr>
        <w:t>DB4201/T 574-2019</w:t>
      </w:r>
    </w:p>
    <w:p>
      <w:pPr>
        <w:pStyle w:val="BodyText"/>
        <w:spacing w:before="5"/>
        <w:rPr>
          <w:rFonts w:ascii="黑体"/>
          <w:sz w:val="15"/>
        </w:rPr>
      </w:pPr>
    </w:p>
    <w:p>
      <w:pPr>
        <w:pStyle w:val="ListParagraph"/>
        <w:numPr>
          <w:ilvl w:val="3"/>
          <w:numId w:val="35"/>
        </w:numPr>
        <w:tabs>
          <w:tab w:val="left" w:pos="2019"/>
        </w:tabs>
        <w:spacing w:before="71" w:after="0" w:line="319" w:lineRule="auto"/>
        <w:ind w:left="2018" w:right="868" w:hanging="421"/>
        <w:jc w:val="both"/>
        <w:rPr>
          <w:sz w:val="21"/>
        </w:rPr>
      </w:pPr>
      <w:r>
        <w:rPr>
          <w:spacing w:val="-8"/>
          <w:sz w:val="21"/>
        </w:rPr>
        <w:t>鉴定实施前应对建筑结构图纸进行调查、收集与分析复核，包括结构平面布置、构件尺寸、代</w:t>
      </w:r>
      <w:r>
        <w:rPr>
          <w:spacing w:val="-11"/>
          <w:sz w:val="21"/>
        </w:rPr>
        <w:t>表性构件的截面尺寸、配筋构造、节点连接构造等内容，并应对建筑结构的原始状况和后期修</w:t>
      </w:r>
      <w:r>
        <w:rPr>
          <w:spacing w:val="-3"/>
          <w:sz w:val="21"/>
        </w:rPr>
        <w:t>补、加固和改建的痕迹进行区分；</w:t>
      </w:r>
      <w:r>
        <w:rPr>
          <w:sz w:val="21"/>
        </w:rPr>
        <w:t xml:space="preserve"> </w:t>
      </w:r>
    </w:p>
    <w:p>
      <w:pPr>
        <w:pStyle w:val="ListParagraph"/>
        <w:numPr>
          <w:ilvl w:val="3"/>
          <w:numId w:val="35"/>
        </w:numPr>
        <w:tabs>
          <w:tab w:val="left" w:pos="2019"/>
        </w:tabs>
        <w:spacing w:before="2" w:after="0" w:line="319" w:lineRule="auto"/>
        <w:ind w:left="2018" w:right="762" w:hanging="421"/>
        <w:jc w:val="left"/>
        <w:rPr>
          <w:sz w:val="21"/>
        </w:rPr>
      </w:pPr>
      <w:r>
        <w:rPr>
          <w:spacing w:val="-8"/>
          <w:sz w:val="21"/>
        </w:rPr>
        <w:t>建筑恒荷载的调查应采用抽样实测的方法，重点检测楼面找平、装饰层的材料与厚度，以及填</w:t>
      </w:r>
      <w:r>
        <w:rPr>
          <w:spacing w:val="-10"/>
          <w:sz w:val="21"/>
        </w:rPr>
        <w:t xml:space="preserve">充围护墙的材料与厚度；活荷载的调查应根据实际使用功能，参照 </w:t>
      </w:r>
      <w:r>
        <w:rPr>
          <w:sz w:val="21"/>
        </w:rPr>
        <w:t>GB</w:t>
      </w:r>
      <w:r>
        <w:rPr>
          <w:spacing w:val="-42"/>
          <w:sz w:val="21"/>
        </w:rPr>
        <w:t xml:space="preserve"> </w:t>
      </w:r>
      <w:r>
        <w:rPr>
          <w:sz w:val="21"/>
        </w:rPr>
        <w:t>50009</w:t>
      </w:r>
      <w:r>
        <w:rPr>
          <w:spacing w:val="-8"/>
          <w:sz w:val="21"/>
        </w:rPr>
        <w:t xml:space="preserve"> 的相关规定执行。</w:t>
      </w:r>
      <w:r>
        <w:rPr>
          <w:spacing w:val="-5"/>
          <w:sz w:val="21"/>
        </w:rPr>
        <w:t xml:space="preserve">必要时应对活荷载较大的设备房、档案资料室等房间进行荷载能力现场检测； </w:t>
      </w:r>
    </w:p>
    <w:p>
      <w:pPr>
        <w:pStyle w:val="ListParagraph"/>
        <w:numPr>
          <w:ilvl w:val="3"/>
          <w:numId w:val="35"/>
        </w:numPr>
        <w:tabs>
          <w:tab w:val="left" w:pos="2019"/>
        </w:tabs>
        <w:spacing w:before="4" w:after="0" w:line="240" w:lineRule="auto"/>
        <w:ind w:left="2018" w:right="0" w:hanging="421"/>
        <w:jc w:val="left"/>
        <w:rPr>
          <w:sz w:val="21"/>
        </w:rPr>
      </w:pPr>
      <w:r>
        <w:rPr>
          <w:spacing w:val="-8"/>
          <w:sz w:val="21"/>
        </w:rPr>
        <w:t xml:space="preserve">建筑变形测量应参照 </w:t>
      </w:r>
      <w:r>
        <w:rPr>
          <w:sz w:val="21"/>
        </w:rPr>
        <w:t>JGJ 8</w:t>
      </w:r>
      <w:r>
        <w:rPr>
          <w:spacing w:val="-9"/>
          <w:sz w:val="21"/>
        </w:rPr>
        <w:t xml:space="preserve"> 执行，包括相对沉降、倾斜检测、裂缝和挠度观测等内容。</w:t>
      </w:r>
      <w:r>
        <w:rPr>
          <w:sz w:val="21"/>
        </w:rPr>
        <w:t xml:space="preserve"> </w:t>
      </w:r>
    </w:p>
    <w:p>
      <w:pPr>
        <w:pStyle w:val="ListParagraph"/>
        <w:numPr>
          <w:ilvl w:val="2"/>
          <w:numId w:val="35"/>
        </w:numPr>
        <w:tabs>
          <w:tab w:val="left" w:pos="1914"/>
        </w:tabs>
        <w:spacing w:before="115" w:after="0" w:line="240" w:lineRule="auto"/>
        <w:ind w:left="1913" w:right="0" w:hanging="736"/>
        <w:jc w:val="left"/>
        <w:rPr>
          <w:b/>
          <w:sz w:val="21"/>
        </w:rPr>
      </w:pPr>
      <w:bookmarkStart w:id="72" w:name="建筑出现下列情况之一时应进行结构可靠性鉴定："/>
      <w:bookmarkEnd w:id="72"/>
      <w:r>
        <w:rPr>
          <w:spacing w:val="-3"/>
          <w:sz w:val="21"/>
        </w:rPr>
        <w:t>建筑出现下列情况之一时应进行结构可靠性鉴定：</w:t>
      </w:r>
      <w:r>
        <w:rPr>
          <w:b/>
          <w:w w:val="99"/>
          <w:sz w:val="21"/>
        </w:rPr>
        <w:t xml:space="preserve"> </w:t>
      </w:r>
    </w:p>
    <w:p>
      <w:pPr>
        <w:pStyle w:val="ListParagraph"/>
        <w:numPr>
          <w:ilvl w:val="3"/>
          <w:numId w:val="35"/>
        </w:numPr>
        <w:tabs>
          <w:tab w:val="left" w:pos="2019"/>
        </w:tabs>
        <w:spacing w:before="117" w:after="0" w:line="240" w:lineRule="auto"/>
        <w:ind w:left="2018" w:right="0" w:hanging="421"/>
        <w:jc w:val="left"/>
        <w:rPr>
          <w:b/>
          <w:sz w:val="21"/>
        </w:rPr>
      </w:pPr>
      <w:r>
        <w:rPr>
          <w:spacing w:val="-3"/>
          <w:sz w:val="21"/>
        </w:rPr>
        <w:t>进行综合性保护修缮工程，或对原结构进行干预的局部性、专项保护修缮工程；</w:t>
      </w:r>
      <w:r>
        <w:rPr>
          <w:b/>
          <w:w w:val="99"/>
          <w:sz w:val="21"/>
        </w:rPr>
        <w:t xml:space="preserve"> </w:t>
      </w:r>
    </w:p>
    <w:p>
      <w:pPr>
        <w:pStyle w:val="ListParagraph"/>
        <w:numPr>
          <w:ilvl w:val="3"/>
          <w:numId w:val="35"/>
        </w:numPr>
        <w:tabs>
          <w:tab w:val="left" w:pos="2019"/>
        </w:tabs>
        <w:spacing w:before="91" w:after="0" w:line="240" w:lineRule="auto"/>
        <w:ind w:left="2018" w:right="0" w:hanging="421"/>
        <w:jc w:val="left"/>
        <w:rPr>
          <w:b/>
          <w:sz w:val="21"/>
        </w:rPr>
      </w:pPr>
      <w:r>
        <w:rPr>
          <w:spacing w:val="-3"/>
          <w:sz w:val="21"/>
        </w:rPr>
        <w:t>改变使用功能、使用条件或使用要求；</w:t>
      </w:r>
      <w:r>
        <w:rPr>
          <w:b/>
          <w:w w:val="99"/>
          <w:sz w:val="21"/>
        </w:rPr>
        <w:t xml:space="preserve"> </w:t>
      </w:r>
    </w:p>
    <w:p>
      <w:pPr>
        <w:pStyle w:val="ListParagraph"/>
        <w:numPr>
          <w:ilvl w:val="3"/>
          <w:numId w:val="35"/>
        </w:numPr>
        <w:tabs>
          <w:tab w:val="left" w:pos="2019"/>
        </w:tabs>
        <w:spacing w:before="89" w:after="0" w:line="321" w:lineRule="auto"/>
        <w:ind w:left="2018" w:right="868" w:hanging="421"/>
        <w:jc w:val="left"/>
        <w:rPr>
          <w:sz w:val="21"/>
        </w:rPr>
      </w:pPr>
      <w:r>
        <w:rPr>
          <w:spacing w:val="-9"/>
          <w:sz w:val="21"/>
        </w:rPr>
        <w:t>在火灾、自然灾害侵袭等偶然作用下或受相邻新建工程等施工影响，建筑出现明显损伤、变形</w:t>
      </w:r>
      <w:r>
        <w:rPr>
          <w:spacing w:val="-5"/>
          <w:sz w:val="21"/>
        </w:rPr>
        <w:t>或其他功能退化。</w:t>
      </w:r>
      <w:r>
        <w:rPr>
          <w:sz w:val="21"/>
        </w:rPr>
        <w:t xml:space="preserve"> </w:t>
      </w:r>
    </w:p>
    <w:p>
      <w:pPr>
        <w:pStyle w:val="ListParagraph"/>
        <w:numPr>
          <w:ilvl w:val="2"/>
          <w:numId w:val="35"/>
        </w:numPr>
        <w:tabs>
          <w:tab w:val="left" w:pos="1914"/>
        </w:tabs>
        <w:spacing w:before="23" w:after="0" w:line="240" w:lineRule="auto"/>
        <w:ind w:left="1913" w:right="0" w:hanging="736"/>
        <w:jc w:val="left"/>
        <w:rPr>
          <w:sz w:val="21"/>
        </w:rPr>
      </w:pPr>
      <w:bookmarkStart w:id="73" w:name="建筑结构可靠性鉴定应参照GB50292和GB 50144的相关规定执行，并应符合"/>
      <w:bookmarkEnd w:id="73"/>
      <w:r>
        <w:rPr>
          <w:spacing w:val="-7"/>
          <w:sz w:val="21"/>
        </w:rPr>
        <w:t xml:space="preserve">建筑结构可靠性鉴定应参照 </w:t>
      </w:r>
      <w:r>
        <w:rPr>
          <w:sz w:val="21"/>
        </w:rPr>
        <w:t>GB</w:t>
      </w:r>
      <w:r>
        <w:rPr>
          <w:spacing w:val="-25"/>
          <w:sz w:val="21"/>
        </w:rPr>
        <w:t xml:space="preserve"> </w:t>
      </w:r>
      <w:r>
        <w:rPr>
          <w:sz w:val="21"/>
        </w:rPr>
        <w:t>50292</w:t>
      </w:r>
      <w:r>
        <w:rPr>
          <w:spacing w:val="-36"/>
          <w:sz w:val="21"/>
        </w:rPr>
        <w:t xml:space="preserve"> 和 </w:t>
      </w:r>
      <w:r>
        <w:rPr>
          <w:sz w:val="21"/>
        </w:rPr>
        <w:t>GB 50144</w:t>
      </w:r>
      <w:r>
        <w:rPr>
          <w:spacing w:val="-9"/>
          <w:sz w:val="21"/>
        </w:rPr>
        <w:t xml:space="preserve"> 的相关规定执行，并应符合下列要求：</w:t>
      </w:r>
      <w:r>
        <w:rPr>
          <w:sz w:val="21"/>
        </w:rPr>
        <w:t xml:space="preserve"> </w:t>
      </w:r>
    </w:p>
    <w:p>
      <w:pPr>
        <w:pStyle w:val="ListParagraph"/>
        <w:numPr>
          <w:ilvl w:val="3"/>
          <w:numId w:val="35"/>
        </w:numPr>
        <w:tabs>
          <w:tab w:val="left" w:pos="2019"/>
        </w:tabs>
        <w:spacing w:before="117" w:after="0" w:line="319" w:lineRule="auto"/>
        <w:ind w:left="2018" w:right="868" w:hanging="421"/>
        <w:jc w:val="left"/>
        <w:rPr>
          <w:sz w:val="21"/>
        </w:rPr>
      </w:pPr>
      <w:r>
        <w:rPr>
          <w:spacing w:val="-9"/>
          <w:sz w:val="21"/>
        </w:rPr>
        <w:t>应分析优秀历史建筑的特点，客观评价其结构体系、构造连接方法、工艺特点及其设计施工所</w:t>
      </w:r>
      <w:r>
        <w:rPr>
          <w:spacing w:val="-5"/>
          <w:sz w:val="21"/>
        </w:rPr>
        <w:t>依据的标准，建立合理的计算模型；</w:t>
      </w:r>
      <w:r>
        <w:rPr>
          <w:sz w:val="21"/>
        </w:rPr>
        <w:t xml:space="preserve"> </w:t>
      </w:r>
    </w:p>
    <w:p>
      <w:pPr>
        <w:pStyle w:val="ListParagraph"/>
        <w:numPr>
          <w:ilvl w:val="3"/>
          <w:numId w:val="35"/>
        </w:numPr>
        <w:tabs>
          <w:tab w:val="left" w:pos="2019"/>
        </w:tabs>
        <w:spacing w:before="2" w:after="0" w:line="319" w:lineRule="auto"/>
        <w:ind w:left="2018" w:right="764" w:hanging="421"/>
        <w:jc w:val="left"/>
        <w:rPr>
          <w:sz w:val="21"/>
        </w:rPr>
      </w:pPr>
      <w:r>
        <w:pict>
          <v:shape id="_x0000_s1063" type="#_x0000_t202" style="width:560pt;height:387.35pt;margin-top:37.02pt;margin-left:17pt;mso-position-horizontal-relative:page;mso-wrap-distance-left:0;mso-wrap-distance-right:0;position:absolute;z-index:-251640832" filled="f" stroked="f">
            <v:textbox inset="0,0,0,0">
              <w:txbxContent>
                <w:p>
                  <w:pPr>
                    <w:pStyle w:val="BodyText"/>
                    <w:numPr>
                      <w:ilvl w:val="0"/>
                      <w:numId w:val="23"/>
                    </w:numPr>
                    <w:tabs>
                      <w:tab w:val="left" w:pos="1919"/>
                    </w:tabs>
                    <w:spacing w:before="0" w:after="0" w:line="241" w:lineRule="exact"/>
                    <w:ind w:left="1918" w:right="0" w:hanging="421"/>
                    <w:jc w:val="left"/>
                  </w:pPr>
                  <w:r>
                    <w:rPr>
                      <w:spacing w:val="-7"/>
                    </w:rPr>
                    <w:t>当建筑实际荷载超出原设计标准或建筑结构构件出现明显破损时，应对建筑进行结构可靠性的</w:t>
                  </w:r>
                </w:p>
                <w:p>
                  <w:pPr>
                    <w:pStyle w:val="BodyText"/>
                    <w:spacing w:before="88" w:line="321" w:lineRule="auto"/>
                    <w:ind w:left="1918" w:right="761"/>
                  </w:pPr>
                  <w:r>
                    <w:rPr>
                      <w:spacing w:val="-10"/>
                    </w:rPr>
                    <w:t>复核验算。采用计算机分析软件进行复核验算时，应严格判断软件的设定条件与建筑实际情况</w:t>
                  </w:r>
                  <w:r>
                    <w:rPr>
                      <w:spacing w:val="-5"/>
                    </w:rPr>
                    <w:t>的符合程度，对验算结果应进行综合分析和合理评价；</w:t>
                  </w:r>
                  <w:r>
                    <w:t xml:space="preserve"> </w:t>
                  </w:r>
                </w:p>
                <w:p>
                  <w:pPr>
                    <w:pStyle w:val="BodyText"/>
                    <w:numPr>
                      <w:ilvl w:val="0"/>
                      <w:numId w:val="23"/>
                    </w:numPr>
                    <w:tabs>
                      <w:tab w:val="left" w:pos="1919"/>
                    </w:tabs>
                    <w:spacing w:before="0" w:after="0" w:line="321" w:lineRule="auto"/>
                    <w:ind w:left="1918" w:right="761" w:hanging="421"/>
                    <w:jc w:val="left"/>
                    <w:rPr>
                      <w:b/>
                    </w:rPr>
                  </w:pPr>
                  <w:r>
                    <w:rPr>
                      <w:spacing w:val="-9"/>
                    </w:rPr>
                    <w:t>必要时进行结构抗震性能评定，包括结构构造措施和整体抗震性能的评定、抗震承载能力验算</w:t>
                  </w:r>
                  <w:r>
                    <w:rPr>
                      <w:spacing w:val="-5"/>
                    </w:rPr>
                    <w:t>及抗震变形验算。</w:t>
                  </w:r>
                  <w:r>
                    <w:rPr>
                      <w:b/>
                      <w:w w:val="99"/>
                    </w:rPr>
                    <w:t xml:space="preserve"> </w:t>
                  </w:r>
                </w:p>
                <w:p>
                  <w:pPr>
                    <w:pStyle w:val="BodyText"/>
                    <w:numPr>
                      <w:ilvl w:val="2"/>
                      <w:numId w:val="22"/>
                    </w:numPr>
                    <w:tabs>
                      <w:tab w:val="left" w:pos="1813"/>
                    </w:tabs>
                    <w:spacing w:before="19" w:after="0" w:line="240" w:lineRule="auto"/>
                    <w:ind w:left="1812" w:right="0" w:hanging="735"/>
                    <w:jc w:val="left"/>
                  </w:pPr>
                  <w:bookmarkStart w:id="74" w:name="优秀历史建筑检测鉴定报告宜包括下列主要内容："/>
                  <w:bookmarkEnd w:id="74"/>
                  <w:r>
                    <w:rPr>
                      <w:spacing w:val="-3"/>
                    </w:rPr>
                    <w:t>优秀历史建筑检测鉴定报告宜包括下列主要内容：</w:t>
                  </w:r>
                  <w:r>
                    <w:t xml:space="preserve"> </w:t>
                  </w:r>
                </w:p>
                <w:p>
                  <w:pPr>
                    <w:pStyle w:val="BodyText"/>
                    <w:numPr>
                      <w:ilvl w:val="3"/>
                      <w:numId w:val="22"/>
                    </w:numPr>
                    <w:tabs>
                      <w:tab w:val="left" w:pos="1919"/>
                    </w:tabs>
                    <w:spacing w:before="118" w:after="0" w:line="240" w:lineRule="auto"/>
                    <w:ind w:left="1918" w:right="0" w:hanging="421"/>
                    <w:jc w:val="left"/>
                  </w:pPr>
                  <w:r>
                    <w:rPr>
                      <w:spacing w:val="-2"/>
                    </w:rPr>
                    <w:t>项目概况；</w:t>
                  </w:r>
                  <w:r>
                    <w:t xml:space="preserve"> </w:t>
                  </w:r>
                </w:p>
                <w:p>
                  <w:pPr>
                    <w:pStyle w:val="BodyText"/>
                    <w:numPr>
                      <w:ilvl w:val="3"/>
                      <w:numId w:val="22"/>
                    </w:numPr>
                    <w:tabs>
                      <w:tab w:val="left" w:pos="1919"/>
                    </w:tabs>
                    <w:spacing w:before="88" w:after="0" w:line="240" w:lineRule="auto"/>
                    <w:ind w:left="1918" w:right="0" w:hanging="421"/>
                    <w:jc w:val="left"/>
                  </w:pPr>
                  <w:r>
                    <w:rPr>
                      <w:spacing w:val="-3"/>
                    </w:rPr>
                    <w:t>检测鉴定目的和要求；</w:t>
                  </w:r>
                  <w:r>
                    <w:t xml:space="preserve"> </w:t>
                  </w:r>
                </w:p>
                <w:p>
                  <w:pPr>
                    <w:pStyle w:val="BodyText"/>
                    <w:numPr>
                      <w:ilvl w:val="3"/>
                      <w:numId w:val="22"/>
                    </w:numPr>
                    <w:tabs>
                      <w:tab w:val="left" w:pos="1919"/>
                    </w:tabs>
                    <w:spacing w:before="91" w:after="0" w:line="240" w:lineRule="auto"/>
                    <w:ind w:left="1918" w:right="0" w:hanging="421"/>
                    <w:jc w:val="left"/>
                  </w:pPr>
                  <w:r>
                    <w:rPr>
                      <w:spacing w:val="-3"/>
                    </w:rPr>
                    <w:t>检测鉴定仪器设备；</w:t>
                  </w:r>
                  <w:r>
                    <w:t xml:space="preserve"> </w:t>
                  </w:r>
                </w:p>
                <w:p>
                  <w:pPr>
                    <w:pStyle w:val="BodyText"/>
                    <w:numPr>
                      <w:ilvl w:val="3"/>
                      <w:numId w:val="22"/>
                    </w:numPr>
                    <w:tabs>
                      <w:tab w:val="left" w:pos="1919"/>
                    </w:tabs>
                    <w:spacing w:before="89" w:after="0" w:line="240" w:lineRule="auto"/>
                    <w:ind w:left="1918" w:right="0" w:hanging="421"/>
                    <w:jc w:val="left"/>
                  </w:pPr>
                  <w:r>
                    <w:rPr>
                      <w:spacing w:val="-3"/>
                    </w:rPr>
                    <w:t>检测鉴定依据；</w:t>
                  </w:r>
                  <w:r>
                    <w:t xml:space="preserve"> </w:t>
                  </w:r>
                </w:p>
                <w:p>
                  <w:pPr>
                    <w:pStyle w:val="BodyText"/>
                    <w:numPr>
                      <w:ilvl w:val="3"/>
                      <w:numId w:val="22"/>
                    </w:numPr>
                    <w:tabs>
                      <w:tab w:val="left" w:pos="1919"/>
                    </w:tabs>
                    <w:spacing w:before="91" w:after="0" w:line="240" w:lineRule="auto"/>
                    <w:ind w:left="1918" w:right="0" w:hanging="421"/>
                    <w:jc w:val="left"/>
                  </w:pPr>
                  <w:r>
                    <w:rPr>
                      <w:spacing w:val="-3"/>
                    </w:rPr>
                    <w:t>房屋的保护要求和保护范围、内容；</w:t>
                  </w:r>
                  <w:r>
                    <w:t xml:space="preserve"> </w:t>
                  </w:r>
                </w:p>
                <w:p>
                  <w:pPr>
                    <w:pStyle w:val="BodyText"/>
                    <w:numPr>
                      <w:ilvl w:val="3"/>
                      <w:numId w:val="22"/>
                    </w:numPr>
                    <w:tabs>
                      <w:tab w:val="left" w:pos="1919"/>
                    </w:tabs>
                    <w:spacing w:before="88" w:after="0" w:line="240" w:lineRule="auto"/>
                    <w:ind w:left="1918" w:right="0" w:hanging="421"/>
                    <w:jc w:val="left"/>
                  </w:pPr>
                  <w:r>
                    <w:rPr>
                      <w:spacing w:val="-3"/>
                    </w:rPr>
                    <w:t>建筑与结构概况；</w:t>
                  </w:r>
                  <w:r>
                    <w:t xml:space="preserve"> </w:t>
                  </w:r>
                </w:p>
                <w:p>
                  <w:pPr>
                    <w:pStyle w:val="BodyText"/>
                    <w:numPr>
                      <w:ilvl w:val="3"/>
                      <w:numId w:val="22"/>
                    </w:numPr>
                    <w:tabs>
                      <w:tab w:val="left" w:pos="1919"/>
                    </w:tabs>
                    <w:spacing w:before="91" w:after="0" w:line="240" w:lineRule="auto"/>
                    <w:ind w:left="1918" w:right="0" w:hanging="421"/>
                    <w:jc w:val="left"/>
                  </w:pPr>
                  <w:r>
                    <w:rPr>
                      <w:spacing w:val="-3"/>
                    </w:rPr>
                    <w:t>历史沿革和使用、维修改造情况；</w:t>
                  </w:r>
                  <w:r>
                    <w:t xml:space="preserve"> </w:t>
                  </w:r>
                </w:p>
                <w:p>
                  <w:pPr>
                    <w:pStyle w:val="BodyText"/>
                    <w:numPr>
                      <w:ilvl w:val="3"/>
                      <w:numId w:val="22"/>
                    </w:numPr>
                    <w:tabs>
                      <w:tab w:val="left" w:pos="1919"/>
                    </w:tabs>
                    <w:spacing w:before="89" w:after="0" w:line="240" w:lineRule="auto"/>
                    <w:ind w:left="1918" w:right="0" w:hanging="421"/>
                    <w:jc w:val="left"/>
                  </w:pPr>
                  <w:r>
                    <w:rPr>
                      <w:spacing w:val="-3"/>
                    </w:rPr>
                    <w:t>建筑结构图纸的复核与测绘；</w:t>
                  </w:r>
                  <w:r>
                    <w:t xml:space="preserve"> </w:t>
                  </w:r>
                </w:p>
                <w:p>
                  <w:pPr>
                    <w:pStyle w:val="BodyText"/>
                    <w:numPr>
                      <w:ilvl w:val="3"/>
                      <w:numId w:val="22"/>
                    </w:numPr>
                    <w:tabs>
                      <w:tab w:val="left" w:pos="1920"/>
                    </w:tabs>
                    <w:spacing w:before="91" w:after="0" w:line="240" w:lineRule="auto"/>
                    <w:ind w:left="1919" w:right="0" w:hanging="421"/>
                    <w:jc w:val="left"/>
                  </w:pPr>
                  <w:r>
                    <w:rPr>
                      <w:spacing w:val="-3"/>
                    </w:rPr>
                    <w:t>使用荷载的调查分析；</w:t>
                  </w:r>
                  <w:r>
                    <w:t xml:space="preserve"> </w:t>
                  </w:r>
                </w:p>
                <w:p>
                  <w:pPr>
                    <w:pStyle w:val="BodyText"/>
                    <w:numPr>
                      <w:ilvl w:val="3"/>
                      <w:numId w:val="22"/>
                    </w:numPr>
                    <w:tabs>
                      <w:tab w:val="left" w:pos="1920"/>
                    </w:tabs>
                    <w:spacing w:before="88" w:after="0" w:line="240" w:lineRule="auto"/>
                    <w:ind w:left="1919" w:right="0" w:hanging="421"/>
                    <w:jc w:val="left"/>
                  </w:pPr>
                  <w:r>
                    <w:rPr>
                      <w:spacing w:val="-3"/>
                    </w:rPr>
                    <w:t>结构材料力学性能的检测鉴定；</w:t>
                  </w:r>
                  <w:r>
                    <w:t xml:space="preserve"> </w:t>
                  </w:r>
                </w:p>
                <w:p>
                  <w:pPr>
                    <w:pStyle w:val="BodyText"/>
                    <w:numPr>
                      <w:ilvl w:val="3"/>
                      <w:numId w:val="22"/>
                    </w:numPr>
                    <w:tabs>
                      <w:tab w:val="left" w:pos="1920"/>
                    </w:tabs>
                    <w:spacing w:before="91" w:after="0" w:line="240" w:lineRule="auto"/>
                    <w:ind w:left="1919" w:right="0" w:hanging="421"/>
                    <w:jc w:val="left"/>
                  </w:pPr>
                  <w:r>
                    <w:rPr>
                      <w:spacing w:val="-3"/>
                    </w:rPr>
                    <w:t>房屋变形的测量；</w:t>
                  </w:r>
                  <w:r>
                    <w:t xml:space="preserve"> </w:t>
                  </w:r>
                </w:p>
                <w:p>
                  <w:pPr>
                    <w:pStyle w:val="BodyText"/>
                    <w:numPr>
                      <w:ilvl w:val="3"/>
                      <w:numId w:val="22"/>
                    </w:numPr>
                    <w:tabs>
                      <w:tab w:val="left" w:pos="1920"/>
                    </w:tabs>
                    <w:spacing w:before="89" w:after="0" w:line="240" w:lineRule="auto"/>
                    <w:ind w:left="1919" w:right="0" w:hanging="421"/>
                    <w:jc w:val="left"/>
                  </w:pPr>
                  <w:r>
                    <w:rPr>
                      <w:spacing w:val="-3"/>
                    </w:rPr>
                    <w:t>损伤状况的检测鉴定；</w:t>
                  </w:r>
                  <w:r>
                    <w:t xml:space="preserve"> </w:t>
                  </w:r>
                </w:p>
                <w:p>
                  <w:pPr>
                    <w:pStyle w:val="BodyText"/>
                    <w:numPr>
                      <w:ilvl w:val="3"/>
                      <w:numId w:val="22"/>
                    </w:numPr>
                    <w:tabs>
                      <w:tab w:val="left" w:pos="1920"/>
                    </w:tabs>
                    <w:spacing w:before="91" w:after="0" w:line="240" w:lineRule="auto"/>
                    <w:ind w:left="1919" w:right="0" w:hanging="421"/>
                    <w:jc w:val="left"/>
                  </w:pPr>
                  <w:r>
                    <w:rPr>
                      <w:spacing w:val="-3"/>
                    </w:rPr>
                    <w:t>结构计算分析；</w:t>
                  </w:r>
                  <w:r>
                    <w:t xml:space="preserve"> </w:t>
                  </w:r>
                </w:p>
                <w:p>
                  <w:pPr>
                    <w:pStyle w:val="BodyText"/>
                    <w:numPr>
                      <w:ilvl w:val="3"/>
                      <w:numId w:val="22"/>
                    </w:numPr>
                    <w:tabs>
                      <w:tab w:val="left" w:pos="1920"/>
                    </w:tabs>
                    <w:spacing w:before="89" w:after="0" w:line="240" w:lineRule="auto"/>
                    <w:ind w:left="1919" w:right="0" w:hanging="421"/>
                    <w:jc w:val="left"/>
                  </w:pPr>
                  <w:r>
                    <w:rPr>
                      <w:spacing w:val="-3"/>
                    </w:rPr>
                    <w:t>检测鉴定成果及分析；</w:t>
                  </w:r>
                  <w:r>
                    <w:t xml:space="preserve"> </w:t>
                  </w:r>
                </w:p>
                <w:p>
                  <w:pPr>
                    <w:spacing w:before="168"/>
                    <w:ind w:left="0" w:right="873" w:firstLine="0"/>
                    <w:jc w:val="right"/>
                    <w:rPr>
                      <w:sz w:val="18"/>
                    </w:rPr>
                  </w:pPr>
                  <w:r>
                    <w:rPr>
                      <w:sz w:val="18"/>
                    </w:rPr>
                    <w:t xml:space="preserve">9 </w:t>
                  </w:r>
                </w:p>
              </w:txbxContent>
            </v:textbox>
            <w10:wrap type="topAndBottom"/>
          </v:shape>
        </w:pict>
      </w:r>
      <w:r>
        <w:rPr>
          <w:spacing w:val="-15"/>
          <w:sz w:val="21"/>
        </w:rPr>
        <w:t xml:space="preserve">可靠性鉴定所用的资料、数据应反映建筑的实际状况，并应考虑结构、构件及材料的损坏影响， </w:t>
      </w:r>
      <w:r>
        <w:rPr>
          <w:spacing w:val="-7"/>
          <w:sz w:val="21"/>
        </w:rPr>
        <w:t xml:space="preserve">以及非承重结构的作用等； </w:t>
      </w:r>
    </w:p>
    <w:p>
      <w:pPr>
        <w:spacing w:after="0" w:line="319" w:lineRule="auto"/>
        <w:jc w:val="left"/>
        <w:rPr>
          <w:sz w:val="21"/>
        </w:rPr>
        <w:sectPr>
          <w:pgSz w:w="11910" w:h="16840"/>
          <w:pgMar w:top="1340" w:right="260" w:bottom="280" w:left="240" w:header="708" w:footer="708"/>
          <w:pgNumType w:start="14"/>
          <w:cols w:space="708"/>
        </w:sectPr>
      </w:pPr>
    </w:p>
    <w:p>
      <w:pPr>
        <w:pStyle w:val="BodyText"/>
        <w:spacing w:before="61"/>
        <w:ind w:left="892"/>
        <w:rPr>
          <w:rFonts w:ascii="黑体"/>
        </w:rPr>
      </w:pPr>
      <w:r>
        <w:rPr>
          <w:rFonts w:ascii="黑体"/>
        </w:rPr>
        <w:t>DB4201/T 574-2019</w:t>
      </w:r>
    </w:p>
    <w:p>
      <w:pPr>
        <w:pStyle w:val="BodyText"/>
        <w:spacing w:before="5"/>
        <w:rPr>
          <w:rFonts w:ascii="黑体"/>
          <w:sz w:val="15"/>
        </w:rPr>
      </w:pPr>
    </w:p>
    <w:p>
      <w:pPr>
        <w:pStyle w:val="ListParagraph"/>
        <w:numPr>
          <w:ilvl w:val="0"/>
          <w:numId w:val="36"/>
        </w:numPr>
        <w:tabs>
          <w:tab w:val="left" w:pos="1733"/>
        </w:tabs>
        <w:spacing w:before="71" w:after="0" w:line="240" w:lineRule="auto"/>
        <w:ind w:left="1732" w:right="0" w:hanging="421"/>
        <w:jc w:val="left"/>
        <w:rPr>
          <w:sz w:val="21"/>
        </w:rPr>
      </w:pPr>
      <w:r>
        <w:rPr>
          <w:spacing w:val="-3"/>
          <w:sz w:val="21"/>
        </w:rPr>
        <w:t>检测鉴定结论；</w:t>
      </w:r>
      <w:r>
        <w:rPr>
          <w:sz w:val="21"/>
        </w:rPr>
        <w:t xml:space="preserve"> </w:t>
      </w:r>
    </w:p>
    <w:p>
      <w:pPr>
        <w:pStyle w:val="ListParagraph"/>
        <w:numPr>
          <w:ilvl w:val="0"/>
          <w:numId w:val="36"/>
        </w:numPr>
        <w:tabs>
          <w:tab w:val="left" w:pos="1733"/>
        </w:tabs>
        <w:spacing w:before="89" w:after="0" w:line="240" w:lineRule="auto"/>
        <w:ind w:left="1732" w:right="0" w:hanging="421"/>
        <w:jc w:val="left"/>
        <w:rPr>
          <w:sz w:val="21"/>
        </w:rPr>
      </w:pPr>
      <w:r>
        <w:rPr>
          <w:spacing w:val="-3"/>
          <w:sz w:val="21"/>
        </w:rPr>
        <w:t>建筑修缮后的使用要求和建筑结构改造设想；</w:t>
      </w:r>
      <w:r>
        <w:rPr>
          <w:sz w:val="21"/>
        </w:rPr>
        <w:t xml:space="preserve"> </w:t>
      </w:r>
    </w:p>
    <w:p>
      <w:pPr>
        <w:pStyle w:val="ListParagraph"/>
        <w:numPr>
          <w:ilvl w:val="0"/>
          <w:numId w:val="36"/>
        </w:numPr>
        <w:tabs>
          <w:tab w:val="left" w:pos="1734"/>
        </w:tabs>
        <w:spacing w:before="91" w:after="0" w:line="240" w:lineRule="auto"/>
        <w:ind w:left="1733" w:right="0" w:hanging="421"/>
        <w:jc w:val="left"/>
        <w:rPr>
          <w:sz w:val="21"/>
        </w:rPr>
      </w:pPr>
      <w:r>
        <w:rPr>
          <w:spacing w:val="-3"/>
          <w:sz w:val="21"/>
        </w:rPr>
        <w:t>结构加固设计和专项检测鉴定建议。</w:t>
      </w:r>
      <w:r>
        <w:rPr>
          <w:sz w:val="21"/>
        </w:rPr>
        <w:t xml:space="preserve"> </w:t>
      </w:r>
    </w:p>
    <w:p>
      <w:pPr>
        <w:pStyle w:val="BodyText"/>
        <w:spacing w:before="2"/>
        <w:rPr>
          <w:sz w:val="17"/>
        </w:rPr>
      </w:pPr>
    </w:p>
    <w:p>
      <w:pPr>
        <w:pStyle w:val="ListParagraph"/>
        <w:numPr>
          <w:ilvl w:val="1"/>
          <w:numId w:val="28"/>
        </w:numPr>
        <w:tabs>
          <w:tab w:val="left" w:pos="1419"/>
        </w:tabs>
        <w:spacing w:before="0" w:after="0" w:line="240" w:lineRule="auto"/>
        <w:ind w:left="1418" w:right="0" w:hanging="527"/>
        <w:jc w:val="left"/>
        <w:rPr>
          <w:rFonts w:ascii="黑体" w:eastAsia="黑体" w:hint="eastAsia"/>
          <w:sz w:val="21"/>
        </w:rPr>
      </w:pPr>
      <w:bookmarkStart w:id="75" w:name="建筑专项检测鉴定"/>
      <w:bookmarkEnd w:id="75"/>
      <w:r>
        <w:rPr>
          <w:rFonts w:ascii="黑体" w:eastAsia="黑体" w:hint="eastAsia"/>
          <w:spacing w:val="-3"/>
          <w:sz w:val="21"/>
        </w:rPr>
        <w:t>建筑专项检测鉴定</w:t>
      </w:r>
    </w:p>
    <w:p>
      <w:pPr>
        <w:pStyle w:val="BodyText"/>
        <w:spacing w:before="7"/>
        <w:rPr>
          <w:rFonts w:ascii="黑体"/>
          <w:sz w:val="15"/>
        </w:rPr>
      </w:pPr>
    </w:p>
    <w:p>
      <w:pPr>
        <w:pStyle w:val="ListParagraph"/>
        <w:numPr>
          <w:ilvl w:val="2"/>
          <w:numId w:val="28"/>
        </w:numPr>
        <w:tabs>
          <w:tab w:val="left" w:pos="1628"/>
        </w:tabs>
        <w:spacing w:before="0" w:after="0" w:line="278" w:lineRule="auto"/>
        <w:ind w:left="893" w:right="1156" w:hanging="1"/>
        <w:jc w:val="both"/>
        <w:rPr>
          <w:sz w:val="21"/>
        </w:rPr>
      </w:pPr>
      <w:bookmarkStart w:id="76" w:name="根据修缮设计的要求，需要深入了解和掌握优秀历史建筑的相关特定信息时，应对其进行专"/>
      <w:bookmarkEnd w:id="76"/>
      <w:r>
        <w:rPr>
          <w:spacing w:val="-3"/>
          <w:sz w:val="21"/>
        </w:rPr>
        <w:t>根据修缮设计的要求，需要深入了解和掌握优秀历史建筑的相关特定信息时，应对其进行专项</w:t>
      </w:r>
      <w:r>
        <w:rPr>
          <w:spacing w:val="-10"/>
          <w:sz w:val="21"/>
        </w:rPr>
        <w:t>检测鉴定，内容包括特色材料的性能检测鉴定、主要材料类型及施工工艺的检测鉴定、白蚁危害状况调</w:t>
      </w:r>
      <w:r>
        <w:rPr>
          <w:spacing w:val="-3"/>
          <w:sz w:val="21"/>
        </w:rPr>
        <w:t>查、节能检测评估、抗震能力评估、消防能力评估等。</w:t>
      </w:r>
      <w:r>
        <w:rPr>
          <w:sz w:val="21"/>
        </w:rPr>
        <w:t xml:space="preserve"> </w:t>
      </w:r>
    </w:p>
    <w:p>
      <w:pPr>
        <w:pStyle w:val="ListParagraph"/>
        <w:numPr>
          <w:ilvl w:val="2"/>
          <w:numId w:val="28"/>
        </w:numPr>
        <w:tabs>
          <w:tab w:val="left" w:pos="1628"/>
        </w:tabs>
        <w:spacing w:before="50" w:after="0" w:line="278" w:lineRule="auto"/>
        <w:ind w:left="893" w:right="1160" w:hanging="1"/>
        <w:jc w:val="both"/>
        <w:rPr>
          <w:sz w:val="21"/>
        </w:rPr>
      </w:pPr>
      <w:bookmarkStart w:id="77" w:name="特色材料的专项材性检测鉴定，是针对优秀历史建筑中的特色材料在按原样修复、替换前进"/>
      <w:bookmarkEnd w:id="77"/>
      <w:r>
        <w:rPr>
          <w:spacing w:val="-3"/>
          <w:sz w:val="21"/>
        </w:rPr>
        <w:t>特色材料的专项材性检测鉴定，是针对优秀历史建筑中的特色材料在按原样修复、替换前进行</w:t>
      </w:r>
      <w:r>
        <w:rPr>
          <w:spacing w:val="-3"/>
          <w:sz w:val="21"/>
        </w:rPr>
        <w:t>的检测鉴定；可通过采样测试、化学成分分析等方法确定其组分、产地、材料性能等。</w:t>
      </w:r>
      <w:r>
        <w:rPr>
          <w:sz w:val="21"/>
        </w:rPr>
        <w:t xml:space="preserve"> </w:t>
      </w:r>
    </w:p>
    <w:p>
      <w:pPr>
        <w:pStyle w:val="ListParagraph"/>
        <w:numPr>
          <w:ilvl w:val="2"/>
          <w:numId w:val="28"/>
        </w:numPr>
        <w:tabs>
          <w:tab w:val="left" w:pos="1628"/>
        </w:tabs>
        <w:spacing w:before="50" w:after="0" w:line="278" w:lineRule="auto"/>
        <w:ind w:left="893" w:right="1160" w:hanging="1"/>
        <w:jc w:val="both"/>
        <w:rPr>
          <w:sz w:val="21"/>
        </w:rPr>
      </w:pPr>
      <w:bookmarkStart w:id="78" w:name="外墙材料类型及施工工艺的检测鉴定包括外墙石材的类型、粘贴工艺，清水墙的灰缝形式，"/>
      <w:bookmarkEnd w:id="78"/>
      <w:r>
        <w:rPr>
          <w:spacing w:val="-3"/>
          <w:sz w:val="21"/>
        </w:rPr>
        <w:t>外墙材料类型及施工工艺的检测鉴定包括外墙石材的类型、粘贴工艺，清水墙的灰缝形式，外</w:t>
      </w:r>
      <w:r>
        <w:rPr>
          <w:spacing w:val="-3"/>
          <w:sz w:val="21"/>
        </w:rPr>
        <w:t>墙抹灰和集石类饰面的组成、施工工艺等；可采用取样检测的方法鉴定其矿物组成结构。</w:t>
      </w:r>
      <w:r>
        <w:rPr>
          <w:sz w:val="21"/>
        </w:rPr>
        <w:t xml:space="preserve"> </w:t>
      </w:r>
    </w:p>
    <w:p>
      <w:pPr>
        <w:pStyle w:val="ListParagraph"/>
        <w:numPr>
          <w:ilvl w:val="2"/>
          <w:numId w:val="28"/>
        </w:numPr>
        <w:tabs>
          <w:tab w:val="left" w:pos="1629"/>
        </w:tabs>
        <w:spacing w:before="50" w:after="0" w:line="278" w:lineRule="auto"/>
        <w:ind w:left="893" w:right="1160" w:hanging="1"/>
        <w:jc w:val="both"/>
        <w:rPr>
          <w:sz w:val="21"/>
        </w:rPr>
      </w:pPr>
      <w:bookmarkStart w:id="79" w:name="材性的检测鉴定除常规的材性检测鉴定外，还可根据修缮需要进行外墙毛细吸水系数检测、"/>
      <w:bookmarkEnd w:id="79"/>
      <w:r>
        <w:rPr>
          <w:spacing w:val="-3"/>
          <w:sz w:val="21"/>
        </w:rPr>
        <w:t>材性的检测鉴定除常规的材性检测鉴定外，还可根据修缮需要进行外墙毛细吸水系数检测、外</w:t>
      </w:r>
      <w:r>
        <w:rPr>
          <w:spacing w:val="-3"/>
          <w:sz w:val="21"/>
        </w:rPr>
        <w:t>墙材料红外热像检测和材料的有害盐分析等。</w:t>
      </w:r>
      <w:r>
        <w:rPr>
          <w:sz w:val="21"/>
        </w:rPr>
        <w:t xml:space="preserve"> </w:t>
      </w:r>
    </w:p>
    <w:p>
      <w:pPr>
        <w:pStyle w:val="ListParagraph"/>
        <w:numPr>
          <w:ilvl w:val="2"/>
          <w:numId w:val="28"/>
        </w:numPr>
        <w:tabs>
          <w:tab w:val="left" w:pos="1629"/>
        </w:tabs>
        <w:spacing w:before="51" w:after="0" w:line="278" w:lineRule="auto"/>
        <w:ind w:left="893" w:right="1160" w:hanging="1"/>
        <w:jc w:val="both"/>
        <w:rPr>
          <w:sz w:val="21"/>
        </w:rPr>
      </w:pPr>
      <w:bookmarkStart w:id="80" w:name="有白蚁侵害危险的建筑应进行白蚁危害状况调查，调查应满足现行相关技术标准的要求。主"/>
      <w:bookmarkEnd w:id="80"/>
      <w:r>
        <w:rPr>
          <w:spacing w:val="-3"/>
          <w:sz w:val="21"/>
        </w:rPr>
        <w:t>有白蚁侵害危险的建筑应进行白蚁危害状况调查，调查应满足现行相关技术标准的要求。主要</w:t>
      </w:r>
      <w:r>
        <w:rPr>
          <w:spacing w:val="-3"/>
          <w:sz w:val="21"/>
        </w:rPr>
        <w:t>内容包括白蚁危害受损的程度、范围，白蚁危害状况的调查结论，白蚁防治方法的建议或措施等。</w:t>
      </w:r>
      <w:r>
        <w:rPr>
          <w:sz w:val="21"/>
        </w:rPr>
        <w:t xml:space="preserve"> </w:t>
      </w:r>
    </w:p>
    <w:p>
      <w:pPr>
        <w:pStyle w:val="ListParagraph"/>
        <w:numPr>
          <w:ilvl w:val="2"/>
          <w:numId w:val="28"/>
        </w:numPr>
        <w:tabs>
          <w:tab w:val="left" w:pos="1629"/>
        </w:tabs>
        <w:spacing w:before="50" w:after="0" w:line="240" w:lineRule="auto"/>
        <w:ind w:left="1628" w:right="0" w:hanging="736"/>
        <w:jc w:val="both"/>
        <w:rPr>
          <w:sz w:val="21"/>
        </w:rPr>
      </w:pPr>
      <w:bookmarkStart w:id="81" w:name="有节能改造需求或需了解节能状况的建筑应进行节能检测评估。"/>
      <w:bookmarkEnd w:id="81"/>
      <w:r>
        <w:rPr>
          <w:spacing w:val="-3"/>
          <w:sz w:val="21"/>
        </w:rPr>
        <w:t>有节能改造需求或需了解节能状况的建筑应进行节能检测评估。</w:t>
      </w:r>
      <w:r>
        <w:rPr>
          <w:sz w:val="21"/>
        </w:rPr>
        <w:t xml:space="preserve"> </w:t>
      </w:r>
    </w:p>
    <w:p>
      <w:pPr>
        <w:pStyle w:val="ListParagraph"/>
        <w:numPr>
          <w:ilvl w:val="2"/>
          <w:numId w:val="28"/>
        </w:numPr>
        <w:tabs>
          <w:tab w:val="left" w:pos="1629"/>
        </w:tabs>
        <w:spacing w:before="91" w:after="0" w:line="278" w:lineRule="auto"/>
        <w:ind w:left="893" w:right="1159" w:firstLine="0"/>
        <w:jc w:val="both"/>
        <w:rPr>
          <w:sz w:val="21"/>
        </w:rPr>
      </w:pPr>
      <w:r>
        <w:drawing>
          <wp:anchor distT="0" distB="0" distL="0" distR="0" simplePos="0" relativeHeight="251676672" behindDoc="0" locked="0" layoutInCell="1" allowOverlap="1">
            <wp:simplePos x="0" y="0"/>
            <wp:positionH relativeFrom="page">
              <wp:posOffset>215900</wp:posOffset>
            </wp:positionH>
            <wp:positionV relativeFrom="paragraph">
              <wp:posOffset>427428</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bookmarkStart w:id="82" w:name="保护级别较高、功能复杂、规模较大或有重大影响的建筑，在技术、经济可行的情况下宜进"/>
      <w:bookmarkEnd w:id="82"/>
      <w:r>
        <w:rPr>
          <w:spacing w:val="-3"/>
          <w:sz w:val="21"/>
        </w:rPr>
        <w:t>保护级别较高、功能复杂、规模较大或有重大影响的建筑，在技术、经济可行的情况下宜进行</w:t>
      </w:r>
      <w:r>
        <w:rPr>
          <w:spacing w:val="-5"/>
          <w:sz w:val="21"/>
        </w:rPr>
        <w:t xml:space="preserve">抗震能力评估和消防能力评估，其中抗震鉴定应参照 </w:t>
      </w:r>
      <w:r>
        <w:rPr>
          <w:sz w:val="21"/>
        </w:rPr>
        <w:t>GB</w:t>
      </w:r>
      <w:r>
        <w:rPr>
          <w:spacing w:val="20"/>
          <w:sz w:val="21"/>
        </w:rPr>
        <w:t xml:space="preserve"> </w:t>
      </w:r>
      <w:r>
        <w:rPr>
          <w:sz w:val="21"/>
        </w:rPr>
        <w:t>50023</w:t>
      </w:r>
      <w:r>
        <w:rPr>
          <w:spacing w:val="-8"/>
          <w:sz w:val="21"/>
        </w:rPr>
        <w:t xml:space="preserve"> 执行，消防安全评估应参照《文物建筑</w:t>
      </w:r>
      <w:r>
        <w:rPr>
          <w:spacing w:val="-5"/>
          <w:sz w:val="21"/>
        </w:rPr>
        <w:t>防火设计导则</w:t>
      </w:r>
      <w:r>
        <w:rPr>
          <w:spacing w:val="-3"/>
          <w:sz w:val="21"/>
        </w:rPr>
        <w:t>（</w:t>
      </w:r>
      <w:r>
        <w:rPr>
          <w:spacing w:val="-2"/>
          <w:sz w:val="21"/>
        </w:rPr>
        <w:t>试行</w:t>
      </w:r>
      <w:r>
        <w:rPr>
          <w:sz w:val="21"/>
        </w:rPr>
        <w:t>）</w:t>
      </w:r>
      <w:r>
        <w:rPr>
          <w:spacing w:val="-3"/>
          <w:sz w:val="21"/>
        </w:rPr>
        <w:t>》执行。</w:t>
      </w:r>
      <w:r>
        <w:rPr>
          <w:sz w:val="21"/>
        </w:rPr>
        <w:t xml:space="preserve"> </w:t>
      </w:r>
    </w:p>
    <w:p>
      <w:pPr>
        <w:pStyle w:val="BodyText"/>
        <w:spacing w:before="6"/>
        <w:rPr>
          <w:sz w:val="24"/>
        </w:rPr>
      </w:pPr>
    </w:p>
    <w:p>
      <w:pPr>
        <w:pStyle w:val="ListParagraph"/>
        <w:numPr>
          <w:ilvl w:val="0"/>
          <w:numId w:val="28"/>
        </w:numPr>
        <w:tabs>
          <w:tab w:val="left" w:pos="1209"/>
        </w:tabs>
        <w:spacing w:before="0" w:after="0" w:line="240" w:lineRule="auto"/>
        <w:ind w:left="1208" w:right="0" w:hanging="316"/>
        <w:jc w:val="left"/>
        <w:rPr>
          <w:rFonts w:ascii="黑体" w:eastAsia="黑体" w:hint="eastAsia"/>
          <w:sz w:val="21"/>
        </w:rPr>
      </w:pPr>
      <w:bookmarkStart w:id="83" w:name="保护修缮设计"/>
      <w:bookmarkEnd w:id="83"/>
      <w:r>
        <w:rPr>
          <w:rFonts w:ascii="黑体" w:eastAsia="黑体" w:hint="eastAsia"/>
          <w:spacing w:val="-3"/>
          <w:sz w:val="21"/>
        </w:rPr>
        <w:t>保护修缮设计</w:t>
      </w:r>
    </w:p>
    <w:p>
      <w:pPr>
        <w:pStyle w:val="BodyText"/>
        <w:spacing w:before="7"/>
        <w:rPr>
          <w:rFonts w:ascii="黑体"/>
          <w:sz w:val="27"/>
        </w:rPr>
      </w:pPr>
    </w:p>
    <w:p>
      <w:pPr>
        <w:pStyle w:val="ListParagraph"/>
        <w:numPr>
          <w:ilvl w:val="1"/>
          <w:numId w:val="28"/>
        </w:numPr>
        <w:tabs>
          <w:tab w:val="left" w:pos="1420"/>
        </w:tabs>
        <w:spacing w:before="0" w:after="0" w:line="240" w:lineRule="auto"/>
        <w:ind w:left="1419" w:right="0" w:hanging="527"/>
        <w:jc w:val="left"/>
        <w:rPr>
          <w:rFonts w:ascii="黑体" w:eastAsia="黑体" w:hint="eastAsia"/>
          <w:sz w:val="21"/>
        </w:rPr>
      </w:pPr>
      <w:r>
        <w:rPr>
          <w:rFonts w:ascii="黑体" w:eastAsia="黑体" w:hint="eastAsia"/>
          <w:spacing w:val="-1"/>
          <w:sz w:val="21"/>
        </w:rPr>
        <w:t>一般规定</w:t>
      </w:r>
    </w:p>
    <w:p>
      <w:pPr>
        <w:pStyle w:val="BodyText"/>
        <w:spacing w:before="6"/>
        <w:rPr>
          <w:rFonts w:ascii="黑体"/>
          <w:sz w:val="15"/>
        </w:rPr>
      </w:pPr>
    </w:p>
    <w:p>
      <w:pPr>
        <w:pStyle w:val="ListParagraph"/>
        <w:numPr>
          <w:ilvl w:val="2"/>
          <w:numId w:val="28"/>
        </w:numPr>
        <w:tabs>
          <w:tab w:val="left" w:pos="1629"/>
        </w:tabs>
        <w:spacing w:before="1" w:after="0" w:line="278" w:lineRule="auto"/>
        <w:ind w:left="893" w:right="1047" w:hanging="1"/>
        <w:jc w:val="left"/>
        <w:rPr>
          <w:sz w:val="21"/>
        </w:rPr>
      </w:pPr>
      <w:bookmarkStart w:id="84" w:name="优秀历史建筑修缮工程必须按照修缮设计实施。修缮设计应以国家法律法规、设计规范及研"/>
      <w:bookmarkEnd w:id="84"/>
      <w:r>
        <w:rPr>
          <w:spacing w:val="-8"/>
          <w:sz w:val="21"/>
        </w:rPr>
        <w:t>优秀历史建筑修缮工程必须按照修缮设计实施。修缮设计应以国家法律法规、设计规范及研究、</w:t>
      </w:r>
      <w:r>
        <w:rPr>
          <w:spacing w:val="-5"/>
          <w:sz w:val="21"/>
        </w:rPr>
        <w:t>查勘、检测鉴定报告为依据。</w:t>
      </w:r>
      <w:r>
        <w:rPr>
          <w:sz w:val="21"/>
        </w:rPr>
        <w:t xml:space="preserve"> </w:t>
      </w:r>
    </w:p>
    <w:p>
      <w:pPr>
        <w:pStyle w:val="ListParagraph"/>
        <w:numPr>
          <w:ilvl w:val="2"/>
          <w:numId w:val="28"/>
        </w:numPr>
        <w:tabs>
          <w:tab w:val="left" w:pos="1629"/>
        </w:tabs>
        <w:spacing w:before="50" w:after="0" w:line="240" w:lineRule="auto"/>
        <w:ind w:left="1628" w:right="0" w:hanging="736"/>
        <w:jc w:val="left"/>
        <w:rPr>
          <w:sz w:val="21"/>
        </w:rPr>
      </w:pPr>
      <w:bookmarkStart w:id="85" w:name="修缮设计应重点保护下列要素："/>
      <w:bookmarkEnd w:id="85"/>
      <w:r>
        <w:rPr>
          <w:spacing w:val="-3"/>
          <w:sz w:val="21"/>
        </w:rPr>
        <w:t>修缮设计应重点保护下列要素：</w:t>
      </w:r>
      <w:r>
        <w:rPr>
          <w:sz w:val="21"/>
        </w:rPr>
        <w:t xml:space="preserve"> </w:t>
      </w:r>
    </w:p>
    <w:p>
      <w:pPr>
        <w:pStyle w:val="ListParagraph"/>
        <w:numPr>
          <w:ilvl w:val="3"/>
          <w:numId w:val="28"/>
        </w:numPr>
        <w:tabs>
          <w:tab w:val="left" w:pos="1735"/>
        </w:tabs>
        <w:spacing w:before="117" w:after="0" w:line="240" w:lineRule="auto"/>
        <w:ind w:left="1734" w:right="0" w:hanging="421"/>
        <w:jc w:val="left"/>
        <w:rPr>
          <w:sz w:val="21"/>
        </w:rPr>
      </w:pPr>
      <w:r>
        <w:rPr>
          <w:spacing w:val="-3"/>
          <w:sz w:val="21"/>
        </w:rPr>
        <w:t>反映武汉地域建筑历史文化特点的建筑要素；</w:t>
      </w:r>
      <w:r>
        <w:rPr>
          <w:sz w:val="21"/>
        </w:rPr>
        <w:t xml:space="preserve"> </w:t>
      </w:r>
    </w:p>
    <w:p>
      <w:pPr>
        <w:pStyle w:val="ListParagraph"/>
        <w:numPr>
          <w:ilvl w:val="3"/>
          <w:numId w:val="28"/>
        </w:numPr>
        <w:tabs>
          <w:tab w:val="left" w:pos="1735"/>
        </w:tabs>
        <w:spacing w:before="91" w:after="0" w:line="240" w:lineRule="auto"/>
        <w:ind w:left="1734" w:right="0" w:hanging="421"/>
        <w:jc w:val="left"/>
        <w:rPr>
          <w:sz w:val="21"/>
        </w:rPr>
      </w:pPr>
      <w:r>
        <w:rPr>
          <w:spacing w:val="-3"/>
          <w:sz w:val="21"/>
        </w:rPr>
        <w:t>具有代表性的使用功能及特征；</w:t>
      </w:r>
      <w:r>
        <w:rPr>
          <w:sz w:val="21"/>
        </w:rPr>
        <w:t xml:space="preserve"> </w:t>
      </w:r>
    </w:p>
    <w:p>
      <w:pPr>
        <w:pStyle w:val="ListParagraph"/>
        <w:numPr>
          <w:ilvl w:val="3"/>
          <w:numId w:val="28"/>
        </w:numPr>
        <w:tabs>
          <w:tab w:val="left" w:pos="1735"/>
        </w:tabs>
        <w:spacing w:before="89" w:after="0" w:line="240" w:lineRule="auto"/>
        <w:ind w:left="1734" w:right="0" w:hanging="421"/>
        <w:jc w:val="left"/>
        <w:rPr>
          <w:sz w:val="21"/>
        </w:rPr>
      </w:pPr>
      <w:r>
        <w:rPr>
          <w:spacing w:val="-3"/>
          <w:sz w:val="21"/>
        </w:rPr>
        <w:t>体现时代特点的建筑样式、工艺和工程技术；</w:t>
      </w:r>
      <w:r>
        <w:rPr>
          <w:sz w:val="21"/>
        </w:rPr>
        <w:t xml:space="preserve"> </w:t>
      </w:r>
    </w:p>
    <w:p>
      <w:pPr>
        <w:pStyle w:val="ListParagraph"/>
        <w:numPr>
          <w:ilvl w:val="3"/>
          <w:numId w:val="28"/>
        </w:numPr>
        <w:tabs>
          <w:tab w:val="left" w:pos="1736"/>
        </w:tabs>
        <w:spacing w:before="91" w:after="0" w:line="240" w:lineRule="auto"/>
        <w:ind w:left="1735" w:right="0" w:hanging="421"/>
        <w:jc w:val="left"/>
        <w:rPr>
          <w:sz w:val="21"/>
        </w:rPr>
      </w:pPr>
      <w:r>
        <w:rPr>
          <w:spacing w:val="-3"/>
          <w:sz w:val="21"/>
        </w:rPr>
        <w:t>体现著名建筑师特色的设计手法；</w:t>
      </w:r>
      <w:r>
        <w:rPr>
          <w:sz w:val="21"/>
        </w:rPr>
        <w:t xml:space="preserve"> </w:t>
      </w:r>
    </w:p>
    <w:p>
      <w:pPr>
        <w:pStyle w:val="ListParagraph"/>
        <w:numPr>
          <w:ilvl w:val="3"/>
          <w:numId w:val="28"/>
        </w:numPr>
        <w:tabs>
          <w:tab w:val="left" w:pos="1736"/>
        </w:tabs>
        <w:spacing w:before="88" w:after="0" w:line="240" w:lineRule="auto"/>
        <w:ind w:left="1735" w:right="0" w:hanging="421"/>
        <w:jc w:val="left"/>
        <w:rPr>
          <w:sz w:val="21"/>
        </w:rPr>
      </w:pPr>
      <w:r>
        <w:rPr>
          <w:spacing w:val="-3"/>
          <w:sz w:val="21"/>
        </w:rPr>
        <w:t xml:space="preserve">反映历史人物、历史事件和活动等历史信息的载体； </w:t>
      </w:r>
    </w:p>
    <w:p>
      <w:pPr>
        <w:pStyle w:val="ListParagraph"/>
        <w:numPr>
          <w:ilvl w:val="3"/>
          <w:numId w:val="28"/>
        </w:numPr>
        <w:tabs>
          <w:tab w:val="left" w:pos="1736"/>
        </w:tabs>
        <w:spacing w:before="91" w:after="0" w:line="240" w:lineRule="auto"/>
        <w:ind w:left="1735" w:right="0" w:hanging="421"/>
        <w:jc w:val="left"/>
        <w:rPr>
          <w:sz w:val="21"/>
        </w:rPr>
      </w:pPr>
      <w:r>
        <w:rPr>
          <w:spacing w:val="-3"/>
          <w:sz w:val="21"/>
        </w:rPr>
        <w:t xml:space="preserve">其他体现建筑价值的要素。 </w:t>
      </w:r>
    </w:p>
    <w:p>
      <w:pPr>
        <w:pStyle w:val="ListParagraph"/>
        <w:numPr>
          <w:ilvl w:val="2"/>
          <w:numId w:val="28"/>
        </w:numPr>
        <w:tabs>
          <w:tab w:val="left" w:pos="1631"/>
        </w:tabs>
        <w:spacing w:before="115" w:after="0" w:line="240" w:lineRule="auto"/>
        <w:ind w:left="1630" w:right="0" w:hanging="736"/>
        <w:jc w:val="left"/>
        <w:rPr>
          <w:sz w:val="21"/>
        </w:rPr>
      </w:pPr>
      <w:bookmarkStart w:id="86" w:name="重点保护部位的修缮应根据优秀历史建筑价值评估结果确定下列修缮效果："/>
      <w:bookmarkEnd w:id="86"/>
      <w:r>
        <w:rPr>
          <w:spacing w:val="-3"/>
          <w:sz w:val="21"/>
        </w:rPr>
        <w:t>重点保护部位的修缮应根据优秀历史建筑价值评估结果确定下列修缮效果：</w:t>
      </w:r>
      <w:r>
        <w:rPr>
          <w:sz w:val="21"/>
        </w:rPr>
        <w:t xml:space="preserve"> </w:t>
      </w:r>
    </w:p>
    <w:p>
      <w:pPr>
        <w:pStyle w:val="ListParagraph"/>
        <w:numPr>
          <w:ilvl w:val="3"/>
          <w:numId w:val="28"/>
        </w:numPr>
        <w:tabs>
          <w:tab w:val="left" w:pos="1737"/>
        </w:tabs>
        <w:spacing w:before="118" w:after="0" w:line="240" w:lineRule="auto"/>
        <w:ind w:left="1736" w:right="0" w:hanging="422"/>
        <w:jc w:val="left"/>
        <w:rPr>
          <w:b/>
          <w:sz w:val="21"/>
        </w:rPr>
      </w:pPr>
      <w:r>
        <w:rPr>
          <w:spacing w:val="-4"/>
          <w:sz w:val="21"/>
        </w:rPr>
        <w:t>原样保留：历史依据充分、保存情况较好时，对优秀历史建筑按原样保留；</w:t>
      </w:r>
      <w:r>
        <w:rPr>
          <w:b/>
          <w:w w:val="99"/>
          <w:sz w:val="21"/>
        </w:rPr>
        <w:t xml:space="preserve"> </w:t>
      </w:r>
    </w:p>
    <w:p>
      <w:pPr>
        <w:pStyle w:val="ListParagraph"/>
        <w:numPr>
          <w:ilvl w:val="3"/>
          <w:numId w:val="28"/>
        </w:numPr>
        <w:tabs>
          <w:tab w:val="left" w:pos="1733"/>
        </w:tabs>
        <w:spacing w:before="88" w:after="0" w:line="321" w:lineRule="auto"/>
        <w:ind w:left="1732" w:right="1158" w:hanging="420"/>
        <w:jc w:val="left"/>
        <w:rPr>
          <w:sz w:val="21"/>
        </w:rPr>
      </w:pPr>
      <w:r>
        <w:rPr>
          <w:spacing w:val="-11"/>
          <w:sz w:val="21"/>
        </w:rPr>
        <w:t>原状修复：历史依据充分时，按原状恢复优秀历史建筑残缺部分，现存的历史修缮已降低优秀</w:t>
      </w:r>
      <w:r>
        <w:rPr>
          <w:spacing w:val="-3"/>
          <w:sz w:val="21"/>
        </w:rPr>
        <w:t>历史建筑价值时，对优秀历史建筑按原状恢复。进行原状修复时，应注意可识别性；</w:t>
      </w:r>
      <w:r>
        <w:rPr>
          <w:sz w:val="21"/>
        </w:rPr>
        <w:t xml:space="preserve"> </w:t>
      </w:r>
    </w:p>
    <w:p>
      <w:pPr>
        <w:pStyle w:val="ListParagraph"/>
        <w:numPr>
          <w:ilvl w:val="3"/>
          <w:numId w:val="28"/>
        </w:numPr>
        <w:tabs>
          <w:tab w:val="left" w:pos="1733"/>
        </w:tabs>
        <w:spacing w:before="0" w:after="0" w:line="321" w:lineRule="auto"/>
        <w:ind w:left="1733" w:right="1153" w:hanging="421"/>
        <w:jc w:val="left"/>
        <w:rPr>
          <w:sz w:val="21"/>
        </w:rPr>
      </w:pPr>
      <w:r>
        <w:rPr>
          <w:spacing w:val="-10"/>
          <w:sz w:val="21"/>
        </w:rPr>
        <w:t>现状维修：历史依据尚不充分时，应在确保安全的前提下保留优秀历史建筑现状，并进行维护</w:t>
      </w:r>
      <w:r>
        <w:rPr>
          <w:spacing w:val="-12"/>
          <w:sz w:val="21"/>
        </w:rPr>
        <w:t>性修缮；对不影响结构安全的破损处应遵循最低限度干预原则，保留历史材料并采取措施提高</w:t>
      </w:r>
    </w:p>
    <w:p>
      <w:pPr>
        <w:spacing w:before="28"/>
        <w:ind w:left="1113" w:right="0" w:firstLine="0"/>
        <w:jc w:val="left"/>
        <w:rPr>
          <w:sz w:val="18"/>
        </w:rPr>
      </w:pPr>
      <w:r>
        <w:rPr>
          <w:sz w:val="18"/>
        </w:rPr>
        <w:t xml:space="preserve">10 </w:t>
      </w:r>
    </w:p>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https://d.book118.com/347105003032006034</w:t>
        </w:r>
      </w:hyperlink>
    </w:p>
    <w:p>
      <w:pPr>
        <w:spacing w:after="0"/>
        <w:jc w:val="left"/>
        <w:rPr>
          <w:sz w:val="18"/>
        </w:rPr>
      </w:pPr>
    </w:p>
    <w:sectPr>
      <w:pgSz w:w="11910" w:h="16840"/>
      <w:pgMar w:top="1340" w:right="260" w:bottom="280" w:left="24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D6306"/>
    <w:multiLevelType w:val="hybridMultilevel"/>
    <w:tmpl w:val="00000000"/>
    <w:lvl w:ilvl="0">
      <w:start w:val="15"/>
      <w:numFmt w:val="lowerLetter"/>
      <w:lvlText w:val="%1)"/>
      <w:lvlJc w:val="left"/>
      <w:pPr>
        <w:ind w:left="1732" w:hanging="421"/>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1"/>
      </w:pPr>
      <w:rPr>
        <w:rFonts w:hint="default"/>
        <w:lang w:val="en-US" w:eastAsia="en-US" w:bidi="ar-SA"/>
      </w:rPr>
    </w:lvl>
    <w:lvl w:ilvl="2">
      <w:start w:val="0"/>
      <w:numFmt w:val="bullet"/>
      <w:lvlText w:val="•"/>
      <w:lvlJc w:val="left"/>
      <w:pPr>
        <w:ind w:left="3673" w:hanging="421"/>
      </w:pPr>
      <w:rPr>
        <w:rFonts w:hint="default"/>
        <w:lang w:val="en-US" w:eastAsia="en-US" w:bidi="ar-SA"/>
      </w:rPr>
    </w:lvl>
    <w:lvl w:ilvl="3">
      <w:start w:val="0"/>
      <w:numFmt w:val="bullet"/>
      <w:lvlText w:val="•"/>
      <w:lvlJc w:val="left"/>
      <w:pPr>
        <w:ind w:left="4639" w:hanging="421"/>
      </w:pPr>
      <w:rPr>
        <w:rFonts w:hint="default"/>
        <w:lang w:val="en-US" w:eastAsia="en-US" w:bidi="ar-SA"/>
      </w:rPr>
    </w:lvl>
    <w:lvl w:ilvl="4">
      <w:start w:val="0"/>
      <w:numFmt w:val="bullet"/>
      <w:lvlText w:val="•"/>
      <w:lvlJc w:val="left"/>
      <w:pPr>
        <w:ind w:left="5606" w:hanging="421"/>
      </w:pPr>
      <w:rPr>
        <w:rFonts w:hint="default"/>
        <w:lang w:val="en-US" w:eastAsia="en-US" w:bidi="ar-SA"/>
      </w:rPr>
    </w:lvl>
    <w:lvl w:ilvl="5">
      <w:start w:val="0"/>
      <w:numFmt w:val="bullet"/>
      <w:lvlText w:val="•"/>
      <w:lvlJc w:val="left"/>
      <w:pPr>
        <w:ind w:left="6573" w:hanging="421"/>
      </w:pPr>
      <w:rPr>
        <w:rFonts w:hint="default"/>
        <w:lang w:val="en-US" w:eastAsia="en-US" w:bidi="ar-SA"/>
      </w:rPr>
    </w:lvl>
    <w:lvl w:ilvl="6">
      <w:start w:val="0"/>
      <w:numFmt w:val="bullet"/>
      <w:lvlText w:val="•"/>
      <w:lvlJc w:val="left"/>
      <w:pPr>
        <w:ind w:left="7539" w:hanging="421"/>
      </w:pPr>
      <w:rPr>
        <w:rFonts w:hint="default"/>
        <w:lang w:val="en-US" w:eastAsia="en-US" w:bidi="ar-SA"/>
      </w:rPr>
    </w:lvl>
    <w:lvl w:ilvl="7">
      <w:start w:val="0"/>
      <w:numFmt w:val="bullet"/>
      <w:lvlText w:val="•"/>
      <w:lvlJc w:val="left"/>
      <w:pPr>
        <w:ind w:left="8506" w:hanging="421"/>
      </w:pPr>
      <w:rPr>
        <w:rFonts w:hint="default"/>
        <w:lang w:val="en-US" w:eastAsia="en-US" w:bidi="ar-SA"/>
      </w:rPr>
    </w:lvl>
    <w:lvl w:ilvl="8">
      <w:start w:val="0"/>
      <w:numFmt w:val="bullet"/>
      <w:lvlText w:val="•"/>
      <w:lvlJc w:val="left"/>
      <w:pPr>
        <w:ind w:left="9473" w:hanging="421"/>
      </w:pPr>
      <w:rPr>
        <w:rFonts w:hint="default"/>
        <w:lang w:val="en-US" w:eastAsia="en-US" w:bidi="ar-SA"/>
      </w:rPr>
    </w:lvl>
  </w:abstractNum>
  <w:abstractNum w:abstractNumId="1">
    <w:nsid w:val="07BE1500"/>
    <w:multiLevelType w:val="hybridMultilevel"/>
    <w:tmpl w:val="00000000"/>
    <w:lvl w:ilvl="0">
      <w:start w:val="1"/>
      <w:numFmt w:val="decimal"/>
      <w:lvlText w:val="%1."/>
      <w:lvlJc w:val="left"/>
      <w:pPr>
        <w:ind w:left="390"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24" w:hanging="274"/>
      </w:pPr>
      <w:rPr>
        <w:rFonts w:hint="default"/>
        <w:lang w:val="en-US" w:eastAsia="en-US" w:bidi="ar-SA"/>
      </w:rPr>
    </w:lvl>
    <w:lvl w:ilvl="2">
      <w:start w:val="0"/>
      <w:numFmt w:val="bullet"/>
      <w:lvlText w:val="•"/>
      <w:lvlJc w:val="left"/>
      <w:pPr>
        <w:ind w:left="1649" w:hanging="274"/>
      </w:pPr>
      <w:rPr>
        <w:rFonts w:hint="default"/>
        <w:lang w:val="en-US" w:eastAsia="en-US" w:bidi="ar-SA"/>
      </w:rPr>
    </w:lvl>
    <w:lvl w:ilvl="3">
      <w:start w:val="0"/>
      <w:numFmt w:val="bullet"/>
      <w:lvlText w:val="•"/>
      <w:lvlJc w:val="left"/>
      <w:pPr>
        <w:ind w:left="2274" w:hanging="274"/>
      </w:pPr>
      <w:rPr>
        <w:rFonts w:hint="default"/>
        <w:lang w:val="en-US" w:eastAsia="en-US" w:bidi="ar-SA"/>
      </w:rPr>
    </w:lvl>
    <w:lvl w:ilvl="4">
      <w:start w:val="0"/>
      <w:numFmt w:val="bullet"/>
      <w:lvlText w:val="•"/>
      <w:lvlJc w:val="left"/>
      <w:pPr>
        <w:ind w:left="2899" w:hanging="274"/>
      </w:pPr>
      <w:rPr>
        <w:rFonts w:hint="default"/>
        <w:lang w:val="en-US" w:eastAsia="en-US" w:bidi="ar-SA"/>
      </w:rPr>
    </w:lvl>
    <w:lvl w:ilvl="5">
      <w:start w:val="0"/>
      <w:numFmt w:val="bullet"/>
      <w:lvlText w:val="•"/>
      <w:lvlJc w:val="left"/>
      <w:pPr>
        <w:ind w:left="3523" w:hanging="274"/>
      </w:pPr>
      <w:rPr>
        <w:rFonts w:hint="default"/>
        <w:lang w:val="en-US" w:eastAsia="en-US" w:bidi="ar-SA"/>
      </w:rPr>
    </w:lvl>
    <w:lvl w:ilvl="6">
      <w:start w:val="0"/>
      <w:numFmt w:val="bullet"/>
      <w:lvlText w:val="•"/>
      <w:lvlJc w:val="left"/>
      <w:pPr>
        <w:ind w:left="4148" w:hanging="274"/>
      </w:pPr>
      <w:rPr>
        <w:rFonts w:hint="default"/>
        <w:lang w:val="en-US" w:eastAsia="en-US" w:bidi="ar-SA"/>
      </w:rPr>
    </w:lvl>
    <w:lvl w:ilvl="7">
      <w:start w:val="0"/>
      <w:numFmt w:val="bullet"/>
      <w:lvlText w:val="•"/>
      <w:lvlJc w:val="left"/>
      <w:pPr>
        <w:ind w:left="4773" w:hanging="274"/>
      </w:pPr>
      <w:rPr>
        <w:rFonts w:hint="default"/>
        <w:lang w:val="en-US" w:eastAsia="en-US" w:bidi="ar-SA"/>
      </w:rPr>
    </w:lvl>
    <w:lvl w:ilvl="8">
      <w:start w:val="0"/>
      <w:numFmt w:val="bullet"/>
      <w:lvlText w:val="•"/>
      <w:lvlJc w:val="left"/>
      <w:pPr>
        <w:ind w:left="5398" w:hanging="274"/>
      </w:pPr>
      <w:rPr>
        <w:rFonts w:hint="default"/>
        <w:lang w:val="en-US" w:eastAsia="en-US" w:bidi="ar-SA"/>
      </w:rPr>
    </w:lvl>
  </w:abstractNum>
  <w:abstractNum w:abstractNumId="2">
    <w:nsid w:val="08FA7524"/>
    <w:multiLevelType w:val="hybridMultilevel"/>
    <w:tmpl w:val="00000000"/>
    <w:lvl w:ilvl="0">
      <w:start w:val="1"/>
      <w:numFmt w:val="decimal"/>
      <w:lvlText w:val="%1."/>
      <w:lvlJc w:val="left"/>
      <w:pPr>
        <w:ind w:left="390"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24" w:hanging="274"/>
      </w:pPr>
      <w:rPr>
        <w:rFonts w:hint="default"/>
        <w:lang w:val="en-US" w:eastAsia="en-US" w:bidi="ar-SA"/>
      </w:rPr>
    </w:lvl>
    <w:lvl w:ilvl="2">
      <w:start w:val="0"/>
      <w:numFmt w:val="bullet"/>
      <w:lvlText w:val="•"/>
      <w:lvlJc w:val="left"/>
      <w:pPr>
        <w:ind w:left="1649" w:hanging="274"/>
      </w:pPr>
      <w:rPr>
        <w:rFonts w:hint="default"/>
        <w:lang w:val="en-US" w:eastAsia="en-US" w:bidi="ar-SA"/>
      </w:rPr>
    </w:lvl>
    <w:lvl w:ilvl="3">
      <w:start w:val="0"/>
      <w:numFmt w:val="bullet"/>
      <w:lvlText w:val="•"/>
      <w:lvlJc w:val="left"/>
      <w:pPr>
        <w:ind w:left="2274" w:hanging="274"/>
      </w:pPr>
      <w:rPr>
        <w:rFonts w:hint="default"/>
        <w:lang w:val="en-US" w:eastAsia="en-US" w:bidi="ar-SA"/>
      </w:rPr>
    </w:lvl>
    <w:lvl w:ilvl="4">
      <w:start w:val="0"/>
      <w:numFmt w:val="bullet"/>
      <w:lvlText w:val="•"/>
      <w:lvlJc w:val="left"/>
      <w:pPr>
        <w:ind w:left="2899" w:hanging="274"/>
      </w:pPr>
      <w:rPr>
        <w:rFonts w:hint="default"/>
        <w:lang w:val="en-US" w:eastAsia="en-US" w:bidi="ar-SA"/>
      </w:rPr>
    </w:lvl>
    <w:lvl w:ilvl="5">
      <w:start w:val="0"/>
      <w:numFmt w:val="bullet"/>
      <w:lvlText w:val="•"/>
      <w:lvlJc w:val="left"/>
      <w:pPr>
        <w:ind w:left="3523" w:hanging="274"/>
      </w:pPr>
      <w:rPr>
        <w:rFonts w:hint="default"/>
        <w:lang w:val="en-US" w:eastAsia="en-US" w:bidi="ar-SA"/>
      </w:rPr>
    </w:lvl>
    <w:lvl w:ilvl="6">
      <w:start w:val="0"/>
      <w:numFmt w:val="bullet"/>
      <w:lvlText w:val="•"/>
      <w:lvlJc w:val="left"/>
      <w:pPr>
        <w:ind w:left="4148" w:hanging="274"/>
      </w:pPr>
      <w:rPr>
        <w:rFonts w:hint="default"/>
        <w:lang w:val="en-US" w:eastAsia="en-US" w:bidi="ar-SA"/>
      </w:rPr>
    </w:lvl>
    <w:lvl w:ilvl="7">
      <w:start w:val="0"/>
      <w:numFmt w:val="bullet"/>
      <w:lvlText w:val="•"/>
      <w:lvlJc w:val="left"/>
      <w:pPr>
        <w:ind w:left="4773" w:hanging="274"/>
      </w:pPr>
      <w:rPr>
        <w:rFonts w:hint="default"/>
        <w:lang w:val="en-US" w:eastAsia="en-US" w:bidi="ar-SA"/>
      </w:rPr>
    </w:lvl>
    <w:lvl w:ilvl="8">
      <w:start w:val="0"/>
      <w:numFmt w:val="bullet"/>
      <w:lvlText w:val="•"/>
      <w:lvlJc w:val="left"/>
      <w:pPr>
        <w:ind w:left="5398" w:hanging="274"/>
      </w:pPr>
      <w:rPr>
        <w:rFonts w:hint="default"/>
        <w:lang w:val="en-US" w:eastAsia="en-US" w:bidi="ar-SA"/>
      </w:rPr>
    </w:lvl>
  </w:abstractNum>
  <w:abstractNum w:abstractNumId="3">
    <w:nsid w:val="0D03DAB3"/>
    <w:multiLevelType w:val="hybridMultilevel"/>
    <w:tmpl w:val="00000000"/>
    <w:lvl w:ilvl="0">
      <w:start w:val="1"/>
      <w:numFmt w:val="decimal"/>
      <w:lvlText w:val="%1."/>
      <w:lvlJc w:val="left"/>
      <w:pPr>
        <w:ind w:left="299" w:hanging="183"/>
        <w:jc w:val="left"/>
      </w:pPr>
      <w:rPr>
        <w:rFonts w:ascii="宋体" w:eastAsia="宋体" w:hAnsi="宋体" w:cs="宋体" w:hint="default"/>
        <w:spacing w:val="1"/>
        <w:w w:val="100"/>
        <w:sz w:val="16"/>
        <w:szCs w:val="16"/>
        <w:lang w:val="en-US" w:eastAsia="en-US" w:bidi="ar-SA"/>
      </w:rPr>
    </w:lvl>
    <w:lvl w:ilvl="1">
      <w:start w:val="0"/>
      <w:numFmt w:val="bullet"/>
      <w:lvlText w:val="•"/>
      <w:lvlJc w:val="left"/>
      <w:pPr>
        <w:ind w:left="934" w:hanging="183"/>
      </w:pPr>
      <w:rPr>
        <w:rFonts w:hint="default"/>
        <w:lang w:val="en-US" w:eastAsia="en-US" w:bidi="ar-SA"/>
      </w:rPr>
    </w:lvl>
    <w:lvl w:ilvl="2">
      <w:start w:val="0"/>
      <w:numFmt w:val="bullet"/>
      <w:lvlText w:val="•"/>
      <w:lvlJc w:val="left"/>
      <w:pPr>
        <w:ind w:left="1569" w:hanging="183"/>
      </w:pPr>
      <w:rPr>
        <w:rFonts w:hint="default"/>
        <w:lang w:val="en-US" w:eastAsia="en-US" w:bidi="ar-SA"/>
      </w:rPr>
    </w:lvl>
    <w:lvl w:ilvl="3">
      <w:start w:val="0"/>
      <w:numFmt w:val="bullet"/>
      <w:lvlText w:val="•"/>
      <w:lvlJc w:val="left"/>
      <w:pPr>
        <w:ind w:left="2204" w:hanging="183"/>
      </w:pPr>
      <w:rPr>
        <w:rFonts w:hint="default"/>
        <w:lang w:val="en-US" w:eastAsia="en-US" w:bidi="ar-SA"/>
      </w:rPr>
    </w:lvl>
    <w:lvl w:ilvl="4">
      <w:start w:val="0"/>
      <w:numFmt w:val="bullet"/>
      <w:lvlText w:val="•"/>
      <w:lvlJc w:val="left"/>
      <w:pPr>
        <w:ind w:left="2839" w:hanging="183"/>
      </w:pPr>
      <w:rPr>
        <w:rFonts w:hint="default"/>
        <w:lang w:val="en-US" w:eastAsia="en-US" w:bidi="ar-SA"/>
      </w:rPr>
    </w:lvl>
    <w:lvl w:ilvl="5">
      <w:start w:val="0"/>
      <w:numFmt w:val="bullet"/>
      <w:lvlText w:val="•"/>
      <w:lvlJc w:val="left"/>
      <w:pPr>
        <w:ind w:left="3473" w:hanging="183"/>
      </w:pPr>
      <w:rPr>
        <w:rFonts w:hint="default"/>
        <w:lang w:val="en-US" w:eastAsia="en-US" w:bidi="ar-SA"/>
      </w:rPr>
    </w:lvl>
    <w:lvl w:ilvl="6">
      <w:start w:val="0"/>
      <w:numFmt w:val="bullet"/>
      <w:lvlText w:val="•"/>
      <w:lvlJc w:val="left"/>
      <w:pPr>
        <w:ind w:left="4108" w:hanging="183"/>
      </w:pPr>
      <w:rPr>
        <w:rFonts w:hint="default"/>
        <w:lang w:val="en-US" w:eastAsia="en-US" w:bidi="ar-SA"/>
      </w:rPr>
    </w:lvl>
    <w:lvl w:ilvl="7">
      <w:start w:val="0"/>
      <w:numFmt w:val="bullet"/>
      <w:lvlText w:val="•"/>
      <w:lvlJc w:val="left"/>
      <w:pPr>
        <w:ind w:left="4743" w:hanging="183"/>
      </w:pPr>
      <w:rPr>
        <w:rFonts w:hint="default"/>
        <w:lang w:val="en-US" w:eastAsia="en-US" w:bidi="ar-SA"/>
      </w:rPr>
    </w:lvl>
    <w:lvl w:ilvl="8">
      <w:start w:val="0"/>
      <w:numFmt w:val="bullet"/>
      <w:lvlText w:val="•"/>
      <w:lvlJc w:val="left"/>
      <w:pPr>
        <w:ind w:left="5378" w:hanging="183"/>
      </w:pPr>
      <w:rPr>
        <w:rFonts w:hint="default"/>
        <w:lang w:val="en-US" w:eastAsia="en-US" w:bidi="ar-SA"/>
      </w:rPr>
    </w:lvl>
  </w:abstractNum>
  <w:abstractNum w:abstractNumId="4">
    <w:nsid w:val="139E9013"/>
    <w:multiLevelType w:val="hybridMultilevel"/>
    <w:tmpl w:val="00000000"/>
    <w:lvl w:ilvl="0">
      <w:start w:val="4"/>
      <w:numFmt w:val="decimal"/>
      <w:lvlText w:val="%1"/>
      <w:lvlJc w:val="left"/>
      <w:pPr>
        <w:ind w:left="1704" w:hanging="526"/>
        <w:jc w:val="left"/>
      </w:pPr>
      <w:rPr>
        <w:rFonts w:hint="default"/>
        <w:lang w:val="en-US" w:eastAsia="en-US" w:bidi="ar-SA"/>
      </w:rPr>
    </w:lvl>
    <w:lvl w:ilvl="1">
      <w:start w:val="6"/>
      <w:numFmt w:val="decimal"/>
      <w:lvlText w:val="%1.%2"/>
      <w:lvlJc w:val="left"/>
      <w:pPr>
        <w:ind w:left="1704"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right"/>
      </w:pPr>
      <w:rPr>
        <w:rFonts w:ascii="黑体" w:eastAsia="黑体" w:hAnsi="黑体" w:cs="黑体" w:hint="default"/>
        <w:w w:val="100"/>
        <w:sz w:val="21"/>
        <w:szCs w:val="21"/>
        <w:lang w:val="en-US" w:eastAsia="en-US" w:bidi="ar-SA"/>
      </w:rPr>
    </w:lvl>
    <w:lvl w:ilvl="3">
      <w:start w:val="1"/>
      <w:numFmt w:val="lowerLetter"/>
      <w:lvlText w:val="%4)"/>
      <w:lvlJc w:val="left"/>
      <w:pPr>
        <w:ind w:left="2019"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441"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2440" w:hanging="421"/>
      </w:pPr>
      <w:rPr>
        <w:rFonts w:hint="default"/>
        <w:lang w:val="en-US" w:eastAsia="en-US" w:bidi="ar-SA"/>
      </w:rPr>
    </w:lvl>
    <w:lvl w:ilvl="6">
      <w:start w:val="0"/>
      <w:numFmt w:val="bullet"/>
      <w:lvlText w:val="•"/>
      <w:lvlJc w:val="left"/>
      <w:pPr>
        <w:ind w:left="4233" w:hanging="421"/>
      </w:pPr>
      <w:rPr>
        <w:rFonts w:hint="default"/>
        <w:lang w:val="en-US" w:eastAsia="en-US" w:bidi="ar-SA"/>
      </w:rPr>
    </w:lvl>
    <w:lvl w:ilvl="7">
      <w:start w:val="0"/>
      <w:numFmt w:val="bullet"/>
      <w:lvlText w:val="•"/>
      <w:lvlJc w:val="left"/>
      <w:pPr>
        <w:ind w:left="6026" w:hanging="421"/>
      </w:pPr>
      <w:rPr>
        <w:rFonts w:hint="default"/>
        <w:lang w:val="en-US" w:eastAsia="en-US" w:bidi="ar-SA"/>
      </w:rPr>
    </w:lvl>
    <w:lvl w:ilvl="8">
      <w:start w:val="0"/>
      <w:numFmt w:val="bullet"/>
      <w:lvlText w:val="•"/>
      <w:lvlJc w:val="left"/>
      <w:pPr>
        <w:ind w:left="7819" w:hanging="421"/>
      </w:pPr>
      <w:rPr>
        <w:rFonts w:hint="default"/>
        <w:lang w:val="en-US" w:eastAsia="en-US" w:bidi="ar-SA"/>
      </w:rPr>
    </w:lvl>
  </w:abstractNum>
  <w:abstractNum w:abstractNumId="5">
    <w:nsid w:val="19745B2E"/>
    <w:multiLevelType w:val="hybridMultilevel"/>
    <w:tmpl w:val="00000000"/>
    <w:lvl w:ilvl="0">
      <w:start w:val="1"/>
      <w:numFmt w:val="decimal"/>
      <w:lvlText w:val="%1."/>
      <w:lvlJc w:val="left"/>
      <w:pPr>
        <w:ind w:left="387"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06" w:hanging="274"/>
      </w:pPr>
      <w:rPr>
        <w:rFonts w:hint="default"/>
        <w:lang w:val="en-US" w:eastAsia="en-US" w:bidi="ar-SA"/>
      </w:rPr>
    </w:lvl>
    <w:lvl w:ilvl="2">
      <w:start w:val="0"/>
      <w:numFmt w:val="bullet"/>
      <w:lvlText w:val="•"/>
      <w:lvlJc w:val="left"/>
      <w:pPr>
        <w:ind w:left="1633" w:hanging="274"/>
      </w:pPr>
      <w:rPr>
        <w:rFonts w:hint="default"/>
        <w:lang w:val="en-US" w:eastAsia="en-US" w:bidi="ar-SA"/>
      </w:rPr>
    </w:lvl>
    <w:lvl w:ilvl="3">
      <w:start w:val="0"/>
      <w:numFmt w:val="bullet"/>
      <w:lvlText w:val="•"/>
      <w:lvlJc w:val="left"/>
      <w:pPr>
        <w:ind w:left="2260" w:hanging="274"/>
      </w:pPr>
      <w:rPr>
        <w:rFonts w:hint="default"/>
        <w:lang w:val="en-US" w:eastAsia="en-US" w:bidi="ar-SA"/>
      </w:rPr>
    </w:lvl>
    <w:lvl w:ilvl="4">
      <w:start w:val="0"/>
      <w:numFmt w:val="bullet"/>
      <w:lvlText w:val="•"/>
      <w:lvlJc w:val="left"/>
      <w:pPr>
        <w:ind w:left="2887" w:hanging="274"/>
      </w:pPr>
      <w:rPr>
        <w:rFonts w:hint="default"/>
        <w:lang w:val="en-US" w:eastAsia="en-US" w:bidi="ar-SA"/>
      </w:rPr>
    </w:lvl>
    <w:lvl w:ilvl="5">
      <w:start w:val="0"/>
      <w:numFmt w:val="bullet"/>
      <w:lvlText w:val="•"/>
      <w:lvlJc w:val="left"/>
      <w:pPr>
        <w:ind w:left="3513" w:hanging="274"/>
      </w:pPr>
      <w:rPr>
        <w:rFonts w:hint="default"/>
        <w:lang w:val="en-US" w:eastAsia="en-US" w:bidi="ar-SA"/>
      </w:rPr>
    </w:lvl>
    <w:lvl w:ilvl="6">
      <w:start w:val="0"/>
      <w:numFmt w:val="bullet"/>
      <w:lvlText w:val="•"/>
      <w:lvlJc w:val="left"/>
      <w:pPr>
        <w:ind w:left="4140" w:hanging="274"/>
      </w:pPr>
      <w:rPr>
        <w:rFonts w:hint="default"/>
        <w:lang w:val="en-US" w:eastAsia="en-US" w:bidi="ar-SA"/>
      </w:rPr>
    </w:lvl>
    <w:lvl w:ilvl="7">
      <w:start w:val="0"/>
      <w:numFmt w:val="bullet"/>
      <w:lvlText w:val="•"/>
      <w:lvlJc w:val="left"/>
      <w:pPr>
        <w:ind w:left="4767" w:hanging="274"/>
      </w:pPr>
      <w:rPr>
        <w:rFonts w:hint="default"/>
        <w:lang w:val="en-US" w:eastAsia="en-US" w:bidi="ar-SA"/>
      </w:rPr>
    </w:lvl>
    <w:lvl w:ilvl="8">
      <w:start w:val="0"/>
      <w:numFmt w:val="bullet"/>
      <w:lvlText w:val="•"/>
      <w:lvlJc w:val="left"/>
      <w:pPr>
        <w:ind w:left="5394" w:hanging="274"/>
      </w:pPr>
      <w:rPr>
        <w:rFonts w:hint="default"/>
        <w:lang w:val="en-US" w:eastAsia="en-US" w:bidi="ar-SA"/>
      </w:rPr>
    </w:lvl>
  </w:abstractNum>
  <w:abstractNum w:abstractNumId="6">
    <w:nsid w:val="19BF043C"/>
    <w:multiLevelType w:val="hybridMultilevel"/>
    <w:tmpl w:val="00000000"/>
    <w:lvl w:ilvl="0">
      <w:start w:val="4"/>
      <w:numFmt w:val="decimal"/>
      <w:lvlText w:val="%1"/>
      <w:lvlJc w:val="left"/>
      <w:pPr>
        <w:ind w:left="1704" w:hanging="526"/>
        <w:jc w:val="left"/>
      </w:pPr>
      <w:rPr>
        <w:rFonts w:hint="default"/>
        <w:lang w:val="en-US" w:eastAsia="en-US" w:bidi="ar-SA"/>
      </w:rPr>
    </w:lvl>
    <w:lvl w:ilvl="1">
      <w:start w:val="6"/>
      <w:numFmt w:val="decimal"/>
      <w:lvlText w:val="%1.%2"/>
      <w:lvlJc w:val="left"/>
      <w:pPr>
        <w:ind w:left="1704"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right"/>
      </w:pPr>
      <w:rPr>
        <w:rFonts w:ascii="黑体" w:eastAsia="黑体" w:hAnsi="黑体" w:cs="黑体" w:hint="default"/>
        <w:w w:val="100"/>
        <w:sz w:val="21"/>
        <w:szCs w:val="21"/>
        <w:lang w:val="en-US" w:eastAsia="en-US" w:bidi="ar-SA"/>
      </w:rPr>
    </w:lvl>
    <w:lvl w:ilvl="3">
      <w:start w:val="1"/>
      <w:numFmt w:val="lowerLetter"/>
      <w:lvlText w:val="%4)"/>
      <w:lvlJc w:val="left"/>
      <w:pPr>
        <w:ind w:left="2019"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441"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2440" w:hanging="421"/>
      </w:pPr>
      <w:rPr>
        <w:rFonts w:hint="default"/>
        <w:lang w:val="en-US" w:eastAsia="en-US" w:bidi="ar-SA"/>
      </w:rPr>
    </w:lvl>
    <w:lvl w:ilvl="6">
      <w:start w:val="0"/>
      <w:numFmt w:val="bullet"/>
      <w:lvlText w:val="•"/>
      <w:lvlJc w:val="left"/>
      <w:pPr>
        <w:ind w:left="4233" w:hanging="421"/>
      </w:pPr>
      <w:rPr>
        <w:rFonts w:hint="default"/>
        <w:lang w:val="en-US" w:eastAsia="en-US" w:bidi="ar-SA"/>
      </w:rPr>
    </w:lvl>
    <w:lvl w:ilvl="7">
      <w:start w:val="0"/>
      <w:numFmt w:val="bullet"/>
      <w:lvlText w:val="•"/>
      <w:lvlJc w:val="left"/>
      <w:pPr>
        <w:ind w:left="6026" w:hanging="421"/>
      </w:pPr>
      <w:rPr>
        <w:rFonts w:hint="default"/>
        <w:lang w:val="en-US" w:eastAsia="en-US" w:bidi="ar-SA"/>
      </w:rPr>
    </w:lvl>
    <w:lvl w:ilvl="8">
      <w:start w:val="0"/>
      <w:numFmt w:val="bullet"/>
      <w:lvlText w:val="•"/>
      <w:lvlJc w:val="left"/>
      <w:pPr>
        <w:ind w:left="7819" w:hanging="421"/>
      </w:pPr>
      <w:rPr>
        <w:rFonts w:hint="default"/>
        <w:lang w:val="en-US" w:eastAsia="en-US" w:bidi="ar-SA"/>
      </w:rPr>
    </w:lvl>
  </w:abstractNum>
  <w:abstractNum w:abstractNumId="7">
    <w:nsid w:val="1A20B0E6"/>
    <w:multiLevelType w:val="hybridMultilevel"/>
    <w:tmpl w:val="00000000"/>
    <w:lvl w:ilvl="0">
      <w:start w:val="7"/>
      <w:numFmt w:val="decimal"/>
      <w:lvlText w:val="%1"/>
      <w:lvlJc w:val="left"/>
      <w:pPr>
        <w:ind w:left="1838" w:hanging="946"/>
        <w:jc w:val="left"/>
      </w:pPr>
      <w:rPr>
        <w:rFonts w:hint="default"/>
        <w:lang w:val="en-US" w:eastAsia="en-US" w:bidi="ar-SA"/>
      </w:rPr>
    </w:lvl>
    <w:lvl w:ilvl="1">
      <w:start w:val="4"/>
      <w:numFmt w:val="decimal"/>
      <w:lvlText w:val="%1.%2"/>
      <w:lvlJc w:val="left"/>
      <w:pPr>
        <w:ind w:left="1838" w:hanging="946"/>
        <w:jc w:val="left"/>
      </w:pPr>
      <w:rPr>
        <w:rFonts w:hint="default"/>
        <w:lang w:val="en-US" w:eastAsia="en-US" w:bidi="ar-SA"/>
      </w:rPr>
    </w:lvl>
    <w:lvl w:ilvl="2">
      <w:start w:val="1"/>
      <w:numFmt w:val="decimal"/>
      <w:lvlText w:val="%1.%2.%3"/>
      <w:lvlJc w:val="left"/>
      <w:pPr>
        <w:ind w:left="1838" w:hanging="946"/>
        <w:jc w:val="left"/>
      </w:pPr>
      <w:rPr>
        <w:rFonts w:hint="default"/>
        <w:lang w:val="en-US" w:eastAsia="en-US" w:bidi="ar-SA"/>
      </w:rPr>
    </w:lvl>
    <w:lvl w:ilvl="3">
      <w:start w:val="1"/>
      <w:numFmt w:val="decimal"/>
      <w:lvlText w:val="%1.%2.%3.%4"/>
      <w:lvlJc w:val="left"/>
      <w:pPr>
        <w:ind w:left="1838" w:hanging="946"/>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1733"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6091" w:hanging="421"/>
      </w:pPr>
      <w:rPr>
        <w:rFonts w:hint="default"/>
        <w:lang w:val="en-US" w:eastAsia="en-US" w:bidi="ar-SA"/>
      </w:rPr>
    </w:lvl>
    <w:lvl w:ilvl="6">
      <w:start w:val="0"/>
      <w:numFmt w:val="bullet"/>
      <w:lvlText w:val="•"/>
      <w:lvlJc w:val="left"/>
      <w:pPr>
        <w:ind w:left="7154" w:hanging="421"/>
      </w:pPr>
      <w:rPr>
        <w:rFonts w:hint="default"/>
        <w:lang w:val="en-US" w:eastAsia="en-US" w:bidi="ar-SA"/>
      </w:rPr>
    </w:lvl>
    <w:lvl w:ilvl="7">
      <w:start w:val="0"/>
      <w:numFmt w:val="bullet"/>
      <w:lvlText w:val="•"/>
      <w:lvlJc w:val="left"/>
      <w:pPr>
        <w:ind w:left="8217" w:hanging="421"/>
      </w:pPr>
      <w:rPr>
        <w:rFonts w:hint="default"/>
        <w:lang w:val="en-US" w:eastAsia="en-US" w:bidi="ar-SA"/>
      </w:rPr>
    </w:lvl>
    <w:lvl w:ilvl="8">
      <w:start w:val="0"/>
      <w:numFmt w:val="bullet"/>
      <w:lvlText w:val="•"/>
      <w:lvlJc w:val="left"/>
      <w:pPr>
        <w:ind w:left="9280" w:hanging="421"/>
      </w:pPr>
      <w:rPr>
        <w:rFonts w:hint="default"/>
        <w:lang w:val="en-US" w:eastAsia="en-US" w:bidi="ar-SA"/>
      </w:rPr>
    </w:lvl>
  </w:abstractNum>
  <w:abstractNum w:abstractNumId="8">
    <w:nsid w:val="1D443A80"/>
    <w:multiLevelType w:val="hybridMultilevel"/>
    <w:tmpl w:val="00000000"/>
    <w:lvl w:ilvl="0">
      <w:start w:val="1"/>
      <w:numFmt w:val="decimal"/>
      <w:lvlText w:val="%1."/>
      <w:lvlJc w:val="left"/>
      <w:pPr>
        <w:ind w:left="387"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06" w:hanging="274"/>
      </w:pPr>
      <w:rPr>
        <w:rFonts w:hint="default"/>
        <w:lang w:val="en-US" w:eastAsia="en-US" w:bidi="ar-SA"/>
      </w:rPr>
    </w:lvl>
    <w:lvl w:ilvl="2">
      <w:start w:val="0"/>
      <w:numFmt w:val="bullet"/>
      <w:lvlText w:val="•"/>
      <w:lvlJc w:val="left"/>
      <w:pPr>
        <w:ind w:left="1633" w:hanging="274"/>
      </w:pPr>
      <w:rPr>
        <w:rFonts w:hint="default"/>
        <w:lang w:val="en-US" w:eastAsia="en-US" w:bidi="ar-SA"/>
      </w:rPr>
    </w:lvl>
    <w:lvl w:ilvl="3">
      <w:start w:val="0"/>
      <w:numFmt w:val="bullet"/>
      <w:lvlText w:val="•"/>
      <w:lvlJc w:val="left"/>
      <w:pPr>
        <w:ind w:left="2260" w:hanging="274"/>
      </w:pPr>
      <w:rPr>
        <w:rFonts w:hint="default"/>
        <w:lang w:val="en-US" w:eastAsia="en-US" w:bidi="ar-SA"/>
      </w:rPr>
    </w:lvl>
    <w:lvl w:ilvl="4">
      <w:start w:val="0"/>
      <w:numFmt w:val="bullet"/>
      <w:lvlText w:val="•"/>
      <w:lvlJc w:val="left"/>
      <w:pPr>
        <w:ind w:left="2887" w:hanging="274"/>
      </w:pPr>
      <w:rPr>
        <w:rFonts w:hint="default"/>
        <w:lang w:val="en-US" w:eastAsia="en-US" w:bidi="ar-SA"/>
      </w:rPr>
    </w:lvl>
    <w:lvl w:ilvl="5">
      <w:start w:val="0"/>
      <w:numFmt w:val="bullet"/>
      <w:lvlText w:val="•"/>
      <w:lvlJc w:val="left"/>
      <w:pPr>
        <w:ind w:left="3513" w:hanging="274"/>
      </w:pPr>
      <w:rPr>
        <w:rFonts w:hint="default"/>
        <w:lang w:val="en-US" w:eastAsia="en-US" w:bidi="ar-SA"/>
      </w:rPr>
    </w:lvl>
    <w:lvl w:ilvl="6">
      <w:start w:val="0"/>
      <w:numFmt w:val="bullet"/>
      <w:lvlText w:val="•"/>
      <w:lvlJc w:val="left"/>
      <w:pPr>
        <w:ind w:left="4140" w:hanging="274"/>
      </w:pPr>
      <w:rPr>
        <w:rFonts w:hint="default"/>
        <w:lang w:val="en-US" w:eastAsia="en-US" w:bidi="ar-SA"/>
      </w:rPr>
    </w:lvl>
    <w:lvl w:ilvl="7">
      <w:start w:val="0"/>
      <w:numFmt w:val="bullet"/>
      <w:lvlText w:val="•"/>
      <w:lvlJc w:val="left"/>
      <w:pPr>
        <w:ind w:left="4767" w:hanging="274"/>
      </w:pPr>
      <w:rPr>
        <w:rFonts w:hint="default"/>
        <w:lang w:val="en-US" w:eastAsia="en-US" w:bidi="ar-SA"/>
      </w:rPr>
    </w:lvl>
    <w:lvl w:ilvl="8">
      <w:start w:val="0"/>
      <w:numFmt w:val="bullet"/>
      <w:lvlText w:val="•"/>
      <w:lvlJc w:val="left"/>
      <w:pPr>
        <w:ind w:left="5394" w:hanging="274"/>
      </w:pPr>
      <w:rPr>
        <w:rFonts w:hint="default"/>
        <w:lang w:val="en-US" w:eastAsia="en-US" w:bidi="ar-SA"/>
      </w:rPr>
    </w:lvl>
  </w:abstractNum>
  <w:abstractNum w:abstractNumId="9">
    <w:nsid w:val="22AA1D17"/>
    <w:multiLevelType w:val="hybridMultilevel"/>
    <w:tmpl w:val="00000000"/>
    <w:lvl w:ilvl="0">
      <w:start w:val="7"/>
      <w:numFmt w:val="decimal"/>
      <w:lvlText w:val="%1"/>
      <w:lvlJc w:val="left"/>
      <w:pPr>
        <w:ind w:left="1178" w:hanging="946"/>
        <w:jc w:val="left"/>
      </w:pPr>
      <w:rPr>
        <w:rFonts w:hint="default"/>
        <w:lang w:val="en-US" w:eastAsia="en-US" w:bidi="ar-SA"/>
      </w:rPr>
    </w:lvl>
    <w:lvl w:ilvl="1">
      <w:start w:val="4"/>
      <w:numFmt w:val="decimal"/>
      <w:lvlText w:val="%1.%2"/>
      <w:lvlJc w:val="left"/>
      <w:pPr>
        <w:ind w:left="1178" w:hanging="946"/>
        <w:jc w:val="left"/>
      </w:pPr>
      <w:rPr>
        <w:rFonts w:hint="default"/>
        <w:lang w:val="en-US" w:eastAsia="en-US" w:bidi="ar-SA"/>
      </w:rPr>
    </w:lvl>
    <w:lvl w:ilvl="2">
      <w:start w:val="4"/>
      <w:numFmt w:val="decimal"/>
      <w:lvlText w:val="%1.%2.%3"/>
      <w:lvlJc w:val="left"/>
      <w:pPr>
        <w:ind w:left="1178" w:hanging="946"/>
        <w:jc w:val="left"/>
      </w:pPr>
      <w:rPr>
        <w:rFonts w:hint="default"/>
        <w:lang w:val="en-US" w:eastAsia="en-US" w:bidi="ar-SA"/>
      </w:rPr>
    </w:lvl>
    <w:lvl w:ilvl="3">
      <w:start w:val="1"/>
      <w:numFmt w:val="decimal"/>
      <w:lvlText w:val="%1.%2.%3.%4"/>
      <w:lvlJc w:val="left"/>
      <w:pPr>
        <w:ind w:left="1178"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270" w:hanging="946"/>
      </w:pPr>
      <w:rPr>
        <w:rFonts w:hint="default"/>
        <w:lang w:val="en-US" w:eastAsia="en-US" w:bidi="ar-SA"/>
      </w:rPr>
    </w:lvl>
    <w:lvl w:ilvl="5">
      <w:start w:val="0"/>
      <w:numFmt w:val="bullet"/>
      <w:lvlText w:val="•"/>
      <w:lvlJc w:val="left"/>
      <w:pPr>
        <w:ind w:left="6293" w:hanging="946"/>
      </w:pPr>
      <w:rPr>
        <w:rFonts w:hint="default"/>
        <w:lang w:val="en-US" w:eastAsia="en-US" w:bidi="ar-SA"/>
      </w:rPr>
    </w:lvl>
    <w:lvl w:ilvl="6">
      <w:start w:val="0"/>
      <w:numFmt w:val="bullet"/>
      <w:lvlText w:val="•"/>
      <w:lvlJc w:val="left"/>
      <w:pPr>
        <w:ind w:left="7315" w:hanging="946"/>
      </w:pPr>
      <w:rPr>
        <w:rFonts w:hint="default"/>
        <w:lang w:val="en-US" w:eastAsia="en-US" w:bidi="ar-SA"/>
      </w:rPr>
    </w:lvl>
    <w:lvl w:ilvl="7">
      <w:start w:val="0"/>
      <w:numFmt w:val="bullet"/>
      <w:lvlText w:val="•"/>
      <w:lvlJc w:val="left"/>
      <w:pPr>
        <w:ind w:left="8338" w:hanging="946"/>
      </w:pPr>
      <w:rPr>
        <w:rFonts w:hint="default"/>
        <w:lang w:val="en-US" w:eastAsia="en-US" w:bidi="ar-SA"/>
      </w:rPr>
    </w:lvl>
    <w:lvl w:ilvl="8">
      <w:start w:val="0"/>
      <w:numFmt w:val="bullet"/>
      <w:lvlText w:val="•"/>
      <w:lvlJc w:val="left"/>
      <w:pPr>
        <w:ind w:left="9361" w:hanging="946"/>
      </w:pPr>
      <w:rPr>
        <w:rFonts w:hint="default"/>
        <w:lang w:val="en-US" w:eastAsia="en-US" w:bidi="ar-SA"/>
      </w:rPr>
    </w:lvl>
  </w:abstractNum>
  <w:abstractNum w:abstractNumId="10">
    <w:nsid w:val="2574F5FE"/>
    <w:multiLevelType w:val="hybridMultilevel"/>
    <w:tmpl w:val="00000000"/>
    <w:lvl w:ilvl="0">
      <w:start w:val="4"/>
      <w:numFmt w:val="decimal"/>
      <w:lvlText w:val="%1"/>
      <w:lvlJc w:val="left"/>
      <w:pPr>
        <w:ind w:left="1494"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705"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34"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154"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640" w:hanging="421"/>
      </w:pPr>
      <w:rPr>
        <w:rFonts w:hint="default"/>
        <w:lang w:val="en-US" w:eastAsia="en-US" w:bidi="ar-SA"/>
      </w:rPr>
    </w:lvl>
    <w:lvl w:ilvl="6">
      <w:start w:val="0"/>
      <w:numFmt w:val="bullet"/>
      <w:lvlText w:val="•"/>
      <w:lvlJc w:val="left"/>
      <w:pPr>
        <w:ind w:left="1700" w:hanging="421"/>
      </w:pPr>
      <w:rPr>
        <w:rFonts w:hint="default"/>
        <w:lang w:val="en-US" w:eastAsia="en-US" w:bidi="ar-SA"/>
      </w:rPr>
    </w:lvl>
    <w:lvl w:ilvl="7">
      <w:start w:val="0"/>
      <w:numFmt w:val="bullet"/>
      <w:lvlText w:val="•"/>
      <w:lvlJc w:val="left"/>
      <w:pPr>
        <w:ind w:left="1740" w:hanging="421"/>
      </w:pPr>
      <w:rPr>
        <w:rFonts w:hint="default"/>
        <w:lang w:val="en-US" w:eastAsia="en-US" w:bidi="ar-SA"/>
      </w:rPr>
    </w:lvl>
    <w:lvl w:ilvl="8">
      <w:start w:val="0"/>
      <w:numFmt w:val="bullet"/>
      <w:lvlText w:val="•"/>
      <w:lvlJc w:val="left"/>
      <w:pPr>
        <w:ind w:left="1920" w:hanging="421"/>
      </w:pPr>
      <w:rPr>
        <w:rFonts w:hint="default"/>
        <w:lang w:val="en-US" w:eastAsia="en-US" w:bidi="ar-SA"/>
      </w:rPr>
    </w:lvl>
  </w:abstractNum>
  <w:abstractNum w:abstractNumId="11">
    <w:nsid w:val="26452F11"/>
    <w:multiLevelType w:val="hybridMultilevel"/>
    <w:tmpl w:val="00000000"/>
    <w:lvl w:ilvl="0">
      <w:start w:val="7"/>
      <w:numFmt w:val="decimal"/>
      <w:lvlText w:val="%1"/>
      <w:lvlJc w:val="left"/>
      <w:pPr>
        <w:ind w:left="893" w:hanging="946"/>
        <w:jc w:val="left"/>
      </w:pPr>
      <w:rPr>
        <w:rFonts w:hint="default"/>
        <w:lang w:val="en-US" w:eastAsia="en-US" w:bidi="ar-SA"/>
      </w:rPr>
    </w:lvl>
    <w:lvl w:ilvl="1">
      <w:start w:val="4"/>
      <w:numFmt w:val="decimal"/>
      <w:lvlText w:val="%1.%2"/>
      <w:lvlJc w:val="left"/>
      <w:pPr>
        <w:ind w:left="893" w:hanging="946"/>
        <w:jc w:val="left"/>
      </w:pPr>
      <w:rPr>
        <w:rFonts w:hint="default"/>
        <w:lang w:val="en-US" w:eastAsia="en-US" w:bidi="ar-SA"/>
      </w:rPr>
    </w:lvl>
    <w:lvl w:ilvl="2">
      <w:start w:val="2"/>
      <w:numFmt w:val="decimal"/>
      <w:lvlText w:val="%1.%2.%3"/>
      <w:lvlJc w:val="left"/>
      <w:pPr>
        <w:ind w:left="893" w:hanging="946"/>
        <w:jc w:val="left"/>
      </w:pPr>
      <w:rPr>
        <w:rFonts w:hint="default"/>
        <w:lang w:val="en-US" w:eastAsia="en-US" w:bidi="ar-SA"/>
      </w:rPr>
    </w:lvl>
    <w:lvl w:ilvl="3">
      <w:start w:val="1"/>
      <w:numFmt w:val="decimal"/>
      <w:lvlText w:val="%1.%2.%3.%4"/>
      <w:lvlJc w:val="left"/>
      <w:pPr>
        <w:ind w:left="893"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946"/>
      </w:pPr>
      <w:rPr>
        <w:rFonts w:hint="default"/>
        <w:lang w:val="en-US" w:eastAsia="en-US" w:bidi="ar-SA"/>
      </w:rPr>
    </w:lvl>
    <w:lvl w:ilvl="5">
      <w:start w:val="0"/>
      <w:numFmt w:val="bullet"/>
      <w:lvlText w:val="•"/>
      <w:lvlJc w:val="left"/>
      <w:pPr>
        <w:ind w:left="6153" w:hanging="946"/>
      </w:pPr>
      <w:rPr>
        <w:rFonts w:hint="default"/>
        <w:lang w:val="en-US" w:eastAsia="en-US" w:bidi="ar-SA"/>
      </w:rPr>
    </w:lvl>
    <w:lvl w:ilvl="6">
      <w:start w:val="0"/>
      <w:numFmt w:val="bullet"/>
      <w:lvlText w:val="•"/>
      <w:lvlJc w:val="left"/>
      <w:pPr>
        <w:ind w:left="7203" w:hanging="946"/>
      </w:pPr>
      <w:rPr>
        <w:rFonts w:hint="default"/>
        <w:lang w:val="en-US" w:eastAsia="en-US" w:bidi="ar-SA"/>
      </w:rPr>
    </w:lvl>
    <w:lvl w:ilvl="7">
      <w:start w:val="0"/>
      <w:numFmt w:val="bullet"/>
      <w:lvlText w:val="•"/>
      <w:lvlJc w:val="left"/>
      <w:pPr>
        <w:ind w:left="8254" w:hanging="946"/>
      </w:pPr>
      <w:rPr>
        <w:rFonts w:hint="default"/>
        <w:lang w:val="en-US" w:eastAsia="en-US" w:bidi="ar-SA"/>
      </w:rPr>
    </w:lvl>
    <w:lvl w:ilvl="8">
      <w:start w:val="0"/>
      <w:numFmt w:val="bullet"/>
      <w:lvlText w:val="•"/>
      <w:lvlJc w:val="left"/>
      <w:pPr>
        <w:ind w:left="9305" w:hanging="946"/>
      </w:pPr>
      <w:rPr>
        <w:rFonts w:hint="default"/>
        <w:lang w:val="en-US" w:eastAsia="en-US" w:bidi="ar-SA"/>
      </w:rPr>
    </w:lvl>
  </w:abstractNum>
  <w:abstractNum w:abstractNumId="12">
    <w:nsid w:val="273D2A94"/>
    <w:multiLevelType w:val="hybridMultilevel"/>
    <w:tmpl w:val="00000000"/>
    <w:lvl w:ilvl="0">
      <w:start w:val="1"/>
      <w:numFmt w:val="decimal"/>
      <w:lvlText w:val="%1."/>
      <w:lvlJc w:val="left"/>
      <w:pPr>
        <w:ind w:left="390"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24" w:hanging="274"/>
      </w:pPr>
      <w:rPr>
        <w:rFonts w:hint="default"/>
        <w:lang w:val="en-US" w:eastAsia="en-US" w:bidi="ar-SA"/>
      </w:rPr>
    </w:lvl>
    <w:lvl w:ilvl="2">
      <w:start w:val="0"/>
      <w:numFmt w:val="bullet"/>
      <w:lvlText w:val="•"/>
      <w:lvlJc w:val="left"/>
      <w:pPr>
        <w:ind w:left="1649" w:hanging="274"/>
      </w:pPr>
      <w:rPr>
        <w:rFonts w:hint="default"/>
        <w:lang w:val="en-US" w:eastAsia="en-US" w:bidi="ar-SA"/>
      </w:rPr>
    </w:lvl>
    <w:lvl w:ilvl="3">
      <w:start w:val="0"/>
      <w:numFmt w:val="bullet"/>
      <w:lvlText w:val="•"/>
      <w:lvlJc w:val="left"/>
      <w:pPr>
        <w:ind w:left="2274" w:hanging="274"/>
      </w:pPr>
      <w:rPr>
        <w:rFonts w:hint="default"/>
        <w:lang w:val="en-US" w:eastAsia="en-US" w:bidi="ar-SA"/>
      </w:rPr>
    </w:lvl>
    <w:lvl w:ilvl="4">
      <w:start w:val="0"/>
      <w:numFmt w:val="bullet"/>
      <w:lvlText w:val="•"/>
      <w:lvlJc w:val="left"/>
      <w:pPr>
        <w:ind w:left="2899" w:hanging="274"/>
      </w:pPr>
      <w:rPr>
        <w:rFonts w:hint="default"/>
        <w:lang w:val="en-US" w:eastAsia="en-US" w:bidi="ar-SA"/>
      </w:rPr>
    </w:lvl>
    <w:lvl w:ilvl="5">
      <w:start w:val="0"/>
      <w:numFmt w:val="bullet"/>
      <w:lvlText w:val="•"/>
      <w:lvlJc w:val="left"/>
      <w:pPr>
        <w:ind w:left="3523" w:hanging="274"/>
      </w:pPr>
      <w:rPr>
        <w:rFonts w:hint="default"/>
        <w:lang w:val="en-US" w:eastAsia="en-US" w:bidi="ar-SA"/>
      </w:rPr>
    </w:lvl>
    <w:lvl w:ilvl="6">
      <w:start w:val="0"/>
      <w:numFmt w:val="bullet"/>
      <w:lvlText w:val="•"/>
      <w:lvlJc w:val="left"/>
      <w:pPr>
        <w:ind w:left="4148" w:hanging="274"/>
      </w:pPr>
      <w:rPr>
        <w:rFonts w:hint="default"/>
        <w:lang w:val="en-US" w:eastAsia="en-US" w:bidi="ar-SA"/>
      </w:rPr>
    </w:lvl>
    <w:lvl w:ilvl="7">
      <w:start w:val="0"/>
      <w:numFmt w:val="bullet"/>
      <w:lvlText w:val="•"/>
      <w:lvlJc w:val="left"/>
      <w:pPr>
        <w:ind w:left="4773" w:hanging="274"/>
      </w:pPr>
      <w:rPr>
        <w:rFonts w:hint="default"/>
        <w:lang w:val="en-US" w:eastAsia="en-US" w:bidi="ar-SA"/>
      </w:rPr>
    </w:lvl>
    <w:lvl w:ilvl="8">
      <w:start w:val="0"/>
      <w:numFmt w:val="bullet"/>
      <w:lvlText w:val="•"/>
      <w:lvlJc w:val="left"/>
      <w:pPr>
        <w:ind w:left="5398" w:hanging="274"/>
      </w:pPr>
      <w:rPr>
        <w:rFonts w:hint="default"/>
        <w:lang w:val="en-US" w:eastAsia="en-US" w:bidi="ar-SA"/>
      </w:rPr>
    </w:lvl>
  </w:abstractNum>
  <w:abstractNum w:abstractNumId="13">
    <w:nsid w:val="29837AAC"/>
    <w:multiLevelType w:val="hybridMultilevel"/>
    <w:tmpl w:val="00000000"/>
    <w:lvl w:ilvl="0">
      <w:start w:val="4"/>
      <w:numFmt w:val="decimal"/>
      <w:lvlText w:val="%1"/>
      <w:lvlJc w:val="left"/>
      <w:pPr>
        <w:ind w:left="1494"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705"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34"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154"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640" w:hanging="421"/>
      </w:pPr>
      <w:rPr>
        <w:rFonts w:hint="default"/>
        <w:lang w:val="en-US" w:eastAsia="en-US" w:bidi="ar-SA"/>
      </w:rPr>
    </w:lvl>
    <w:lvl w:ilvl="6">
      <w:start w:val="0"/>
      <w:numFmt w:val="bullet"/>
      <w:lvlText w:val="•"/>
      <w:lvlJc w:val="left"/>
      <w:pPr>
        <w:ind w:left="1700" w:hanging="421"/>
      </w:pPr>
      <w:rPr>
        <w:rFonts w:hint="default"/>
        <w:lang w:val="en-US" w:eastAsia="en-US" w:bidi="ar-SA"/>
      </w:rPr>
    </w:lvl>
    <w:lvl w:ilvl="7">
      <w:start w:val="0"/>
      <w:numFmt w:val="bullet"/>
      <w:lvlText w:val="•"/>
      <w:lvlJc w:val="left"/>
      <w:pPr>
        <w:ind w:left="1740" w:hanging="421"/>
      </w:pPr>
      <w:rPr>
        <w:rFonts w:hint="default"/>
        <w:lang w:val="en-US" w:eastAsia="en-US" w:bidi="ar-SA"/>
      </w:rPr>
    </w:lvl>
    <w:lvl w:ilvl="8">
      <w:start w:val="0"/>
      <w:numFmt w:val="bullet"/>
      <w:lvlText w:val="•"/>
      <w:lvlJc w:val="left"/>
      <w:pPr>
        <w:ind w:left="1920" w:hanging="421"/>
      </w:pPr>
      <w:rPr>
        <w:rFonts w:hint="default"/>
        <w:lang w:val="en-US" w:eastAsia="en-US" w:bidi="ar-SA"/>
      </w:rPr>
    </w:lvl>
  </w:abstractNum>
  <w:abstractNum w:abstractNumId="14">
    <w:nsid w:val="29D5A5BD"/>
    <w:multiLevelType w:val="hybridMultilevel"/>
    <w:tmpl w:val="00000000"/>
    <w:lvl w:ilvl="0">
      <w:start w:val="4"/>
      <w:numFmt w:val="decimal"/>
      <w:lvlText w:val="%1"/>
      <w:lvlJc w:val="left"/>
      <w:pPr>
        <w:ind w:left="734" w:hanging="735"/>
        <w:jc w:val="left"/>
      </w:pPr>
      <w:rPr>
        <w:rFonts w:hint="default"/>
        <w:lang w:val="en-US" w:eastAsia="en-US" w:bidi="ar-SA"/>
      </w:rPr>
    </w:lvl>
    <w:lvl w:ilvl="1">
      <w:start w:val="4"/>
      <w:numFmt w:val="decimal"/>
      <w:lvlText w:val="%1.%2"/>
      <w:lvlJc w:val="left"/>
      <w:pPr>
        <w:ind w:left="734" w:hanging="735"/>
        <w:jc w:val="left"/>
      </w:pPr>
      <w:rPr>
        <w:rFonts w:hint="default"/>
        <w:lang w:val="en-US" w:eastAsia="en-US"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3329" w:hanging="735"/>
      </w:pPr>
      <w:rPr>
        <w:rFonts w:hint="default"/>
        <w:lang w:val="en-US" w:eastAsia="en-US" w:bidi="ar-SA"/>
      </w:rPr>
    </w:lvl>
    <w:lvl w:ilvl="4">
      <w:start w:val="0"/>
      <w:numFmt w:val="bullet"/>
      <w:lvlText w:val="•"/>
      <w:lvlJc w:val="left"/>
      <w:pPr>
        <w:ind w:left="4192" w:hanging="735"/>
      </w:pPr>
      <w:rPr>
        <w:rFonts w:hint="default"/>
        <w:lang w:val="en-US" w:eastAsia="en-US" w:bidi="ar-SA"/>
      </w:rPr>
    </w:lvl>
    <w:lvl w:ilvl="5">
      <w:start w:val="0"/>
      <w:numFmt w:val="bullet"/>
      <w:lvlText w:val="•"/>
      <w:lvlJc w:val="left"/>
      <w:pPr>
        <w:ind w:left="5055" w:hanging="735"/>
      </w:pPr>
      <w:rPr>
        <w:rFonts w:hint="default"/>
        <w:lang w:val="en-US" w:eastAsia="en-US" w:bidi="ar-SA"/>
      </w:rPr>
    </w:lvl>
    <w:lvl w:ilvl="6">
      <w:start w:val="0"/>
      <w:numFmt w:val="bullet"/>
      <w:lvlText w:val="•"/>
      <w:lvlJc w:val="left"/>
      <w:pPr>
        <w:ind w:left="5918" w:hanging="735"/>
      </w:pPr>
      <w:rPr>
        <w:rFonts w:hint="default"/>
        <w:lang w:val="en-US" w:eastAsia="en-US" w:bidi="ar-SA"/>
      </w:rPr>
    </w:lvl>
    <w:lvl w:ilvl="7">
      <w:start w:val="0"/>
      <w:numFmt w:val="bullet"/>
      <w:lvlText w:val="•"/>
      <w:lvlJc w:val="left"/>
      <w:pPr>
        <w:ind w:left="6781" w:hanging="735"/>
      </w:pPr>
      <w:rPr>
        <w:rFonts w:hint="default"/>
        <w:lang w:val="en-US" w:eastAsia="en-US" w:bidi="ar-SA"/>
      </w:rPr>
    </w:lvl>
    <w:lvl w:ilvl="8">
      <w:start w:val="0"/>
      <w:numFmt w:val="bullet"/>
      <w:lvlText w:val="•"/>
      <w:lvlJc w:val="left"/>
      <w:pPr>
        <w:ind w:left="7644" w:hanging="735"/>
      </w:pPr>
      <w:rPr>
        <w:rFonts w:hint="default"/>
        <w:lang w:val="en-US" w:eastAsia="en-US" w:bidi="ar-SA"/>
      </w:rPr>
    </w:lvl>
  </w:abstractNum>
  <w:abstractNum w:abstractNumId="15">
    <w:nsid w:val="2B210CC3"/>
    <w:multiLevelType w:val="hybridMultilevel"/>
    <w:tmpl w:val="00000000"/>
    <w:lvl w:ilvl="0">
      <w:start w:val="4"/>
      <w:numFmt w:val="decimal"/>
      <w:lvlText w:val="%1"/>
      <w:lvlJc w:val="left"/>
      <w:pPr>
        <w:ind w:left="1494"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705"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34"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154"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640" w:hanging="421"/>
      </w:pPr>
      <w:rPr>
        <w:rFonts w:hint="default"/>
        <w:lang w:val="en-US" w:eastAsia="en-US" w:bidi="ar-SA"/>
      </w:rPr>
    </w:lvl>
    <w:lvl w:ilvl="6">
      <w:start w:val="0"/>
      <w:numFmt w:val="bullet"/>
      <w:lvlText w:val="•"/>
      <w:lvlJc w:val="left"/>
      <w:pPr>
        <w:ind w:left="1700" w:hanging="421"/>
      </w:pPr>
      <w:rPr>
        <w:rFonts w:hint="default"/>
        <w:lang w:val="en-US" w:eastAsia="en-US" w:bidi="ar-SA"/>
      </w:rPr>
    </w:lvl>
    <w:lvl w:ilvl="7">
      <w:start w:val="0"/>
      <w:numFmt w:val="bullet"/>
      <w:lvlText w:val="•"/>
      <w:lvlJc w:val="left"/>
      <w:pPr>
        <w:ind w:left="1740" w:hanging="421"/>
      </w:pPr>
      <w:rPr>
        <w:rFonts w:hint="default"/>
        <w:lang w:val="en-US" w:eastAsia="en-US" w:bidi="ar-SA"/>
      </w:rPr>
    </w:lvl>
    <w:lvl w:ilvl="8">
      <w:start w:val="0"/>
      <w:numFmt w:val="bullet"/>
      <w:lvlText w:val="•"/>
      <w:lvlJc w:val="left"/>
      <w:pPr>
        <w:ind w:left="1920" w:hanging="421"/>
      </w:pPr>
      <w:rPr>
        <w:rFonts w:hint="default"/>
        <w:lang w:val="en-US" w:eastAsia="en-US" w:bidi="ar-SA"/>
      </w:rPr>
    </w:lvl>
  </w:abstractNum>
  <w:abstractNum w:abstractNumId="16">
    <w:nsid w:val="2F0ECD4B"/>
    <w:multiLevelType w:val="hybridMultilevel"/>
    <w:tmpl w:val="00000000"/>
    <w:lvl w:ilvl="0">
      <w:start w:val="1"/>
      <w:numFmt w:val="decimal"/>
      <w:lvlText w:val="%1."/>
      <w:lvlJc w:val="left"/>
      <w:pPr>
        <w:ind w:left="387"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06" w:hanging="274"/>
      </w:pPr>
      <w:rPr>
        <w:rFonts w:hint="default"/>
        <w:lang w:val="en-US" w:eastAsia="en-US" w:bidi="ar-SA"/>
      </w:rPr>
    </w:lvl>
    <w:lvl w:ilvl="2">
      <w:start w:val="0"/>
      <w:numFmt w:val="bullet"/>
      <w:lvlText w:val="•"/>
      <w:lvlJc w:val="left"/>
      <w:pPr>
        <w:ind w:left="1633" w:hanging="274"/>
      </w:pPr>
      <w:rPr>
        <w:rFonts w:hint="default"/>
        <w:lang w:val="en-US" w:eastAsia="en-US" w:bidi="ar-SA"/>
      </w:rPr>
    </w:lvl>
    <w:lvl w:ilvl="3">
      <w:start w:val="0"/>
      <w:numFmt w:val="bullet"/>
      <w:lvlText w:val="•"/>
      <w:lvlJc w:val="left"/>
      <w:pPr>
        <w:ind w:left="2260" w:hanging="274"/>
      </w:pPr>
      <w:rPr>
        <w:rFonts w:hint="default"/>
        <w:lang w:val="en-US" w:eastAsia="en-US" w:bidi="ar-SA"/>
      </w:rPr>
    </w:lvl>
    <w:lvl w:ilvl="4">
      <w:start w:val="0"/>
      <w:numFmt w:val="bullet"/>
      <w:lvlText w:val="•"/>
      <w:lvlJc w:val="left"/>
      <w:pPr>
        <w:ind w:left="2887" w:hanging="274"/>
      </w:pPr>
      <w:rPr>
        <w:rFonts w:hint="default"/>
        <w:lang w:val="en-US" w:eastAsia="en-US" w:bidi="ar-SA"/>
      </w:rPr>
    </w:lvl>
    <w:lvl w:ilvl="5">
      <w:start w:val="0"/>
      <w:numFmt w:val="bullet"/>
      <w:lvlText w:val="•"/>
      <w:lvlJc w:val="left"/>
      <w:pPr>
        <w:ind w:left="3513" w:hanging="274"/>
      </w:pPr>
      <w:rPr>
        <w:rFonts w:hint="default"/>
        <w:lang w:val="en-US" w:eastAsia="en-US" w:bidi="ar-SA"/>
      </w:rPr>
    </w:lvl>
    <w:lvl w:ilvl="6">
      <w:start w:val="0"/>
      <w:numFmt w:val="bullet"/>
      <w:lvlText w:val="•"/>
      <w:lvlJc w:val="left"/>
      <w:pPr>
        <w:ind w:left="4140" w:hanging="274"/>
      </w:pPr>
      <w:rPr>
        <w:rFonts w:hint="default"/>
        <w:lang w:val="en-US" w:eastAsia="en-US" w:bidi="ar-SA"/>
      </w:rPr>
    </w:lvl>
    <w:lvl w:ilvl="7">
      <w:start w:val="0"/>
      <w:numFmt w:val="bullet"/>
      <w:lvlText w:val="•"/>
      <w:lvlJc w:val="left"/>
      <w:pPr>
        <w:ind w:left="4767" w:hanging="274"/>
      </w:pPr>
      <w:rPr>
        <w:rFonts w:hint="default"/>
        <w:lang w:val="en-US" w:eastAsia="en-US" w:bidi="ar-SA"/>
      </w:rPr>
    </w:lvl>
    <w:lvl w:ilvl="8">
      <w:start w:val="0"/>
      <w:numFmt w:val="bullet"/>
      <w:lvlText w:val="•"/>
      <w:lvlJc w:val="left"/>
      <w:pPr>
        <w:ind w:left="5394" w:hanging="274"/>
      </w:pPr>
      <w:rPr>
        <w:rFonts w:hint="default"/>
        <w:lang w:val="en-US" w:eastAsia="en-US" w:bidi="ar-SA"/>
      </w:rPr>
    </w:lvl>
  </w:abstractNum>
  <w:abstractNum w:abstractNumId="17">
    <w:nsid w:val="2FEA36CB"/>
    <w:multiLevelType w:val="hybridMultilevel"/>
    <w:tmpl w:val="00000000"/>
    <w:lvl w:ilvl="0">
      <w:start w:val="1"/>
      <w:numFmt w:val="decimal"/>
      <w:lvlText w:val="%1."/>
      <w:lvlJc w:val="left"/>
      <w:pPr>
        <w:ind w:left="387"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06" w:hanging="274"/>
      </w:pPr>
      <w:rPr>
        <w:rFonts w:hint="default"/>
        <w:lang w:val="en-US" w:eastAsia="en-US" w:bidi="ar-SA"/>
      </w:rPr>
    </w:lvl>
    <w:lvl w:ilvl="2">
      <w:start w:val="0"/>
      <w:numFmt w:val="bullet"/>
      <w:lvlText w:val="•"/>
      <w:lvlJc w:val="left"/>
      <w:pPr>
        <w:ind w:left="1633" w:hanging="274"/>
      </w:pPr>
      <w:rPr>
        <w:rFonts w:hint="default"/>
        <w:lang w:val="en-US" w:eastAsia="en-US" w:bidi="ar-SA"/>
      </w:rPr>
    </w:lvl>
    <w:lvl w:ilvl="3">
      <w:start w:val="0"/>
      <w:numFmt w:val="bullet"/>
      <w:lvlText w:val="•"/>
      <w:lvlJc w:val="left"/>
      <w:pPr>
        <w:ind w:left="2260" w:hanging="274"/>
      </w:pPr>
      <w:rPr>
        <w:rFonts w:hint="default"/>
        <w:lang w:val="en-US" w:eastAsia="en-US" w:bidi="ar-SA"/>
      </w:rPr>
    </w:lvl>
    <w:lvl w:ilvl="4">
      <w:start w:val="0"/>
      <w:numFmt w:val="bullet"/>
      <w:lvlText w:val="•"/>
      <w:lvlJc w:val="left"/>
      <w:pPr>
        <w:ind w:left="2887" w:hanging="274"/>
      </w:pPr>
      <w:rPr>
        <w:rFonts w:hint="default"/>
        <w:lang w:val="en-US" w:eastAsia="en-US" w:bidi="ar-SA"/>
      </w:rPr>
    </w:lvl>
    <w:lvl w:ilvl="5">
      <w:start w:val="0"/>
      <w:numFmt w:val="bullet"/>
      <w:lvlText w:val="•"/>
      <w:lvlJc w:val="left"/>
      <w:pPr>
        <w:ind w:left="3513" w:hanging="274"/>
      </w:pPr>
      <w:rPr>
        <w:rFonts w:hint="default"/>
        <w:lang w:val="en-US" w:eastAsia="en-US" w:bidi="ar-SA"/>
      </w:rPr>
    </w:lvl>
    <w:lvl w:ilvl="6">
      <w:start w:val="0"/>
      <w:numFmt w:val="bullet"/>
      <w:lvlText w:val="•"/>
      <w:lvlJc w:val="left"/>
      <w:pPr>
        <w:ind w:left="4140" w:hanging="274"/>
      </w:pPr>
      <w:rPr>
        <w:rFonts w:hint="default"/>
        <w:lang w:val="en-US" w:eastAsia="en-US" w:bidi="ar-SA"/>
      </w:rPr>
    </w:lvl>
    <w:lvl w:ilvl="7">
      <w:start w:val="0"/>
      <w:numFmt w:val="bullet"/>
      <w:lvlText w:val="•"/>
      <w:lvlJc w:val="left"/>
      <w:pPr>
        <w:ind w:left="4767" w:hanging="274"/>
      </w:pPr>
      <w:rPr>
        <w:rFonts w:hint="default"/>
        <w:lang w:val="en-US" w:eastAsia="en-US" w:bidi="ar-SA"/>
      </w:rPr>
    </w:lvl>
    <w:lvl w:ilvl="8">
      <w:start w:val="0"/>
      <w:numFmt w:val="bullet"/>
      <w:lvlText w:val="•"/>
      <w:lvlJc w:val="left"/>
      <w:pPr>
        <w:ind w:left="5394" w:hanging="274"/>
      </w:pPr>
      <w:rPr>
        <w:rFonts w:hint="default"/>
        <w:lang w:val="en-US" w:eastAsia="en-US" w:bidi="ar-SA"/>
      </w:rPr>
    </w:lvl>
  </w:abstractNum>
  <w:abstractNum w:abstractNumId="18">
    <w:nsid w:val="345C5486"/>
    <w:multiLevelType w:val="hybridMultilevel"/>
    <w:tmpl w:val="00000000"/>
    <w:lvl w:ilvl="0">
      <w:start w:val="1"/>
      <w:numFmt w:val="decimal"/>
      <w:lvlText w:val="%1."/>
      <w:lvlJc w:val="left"/>
      <w:pPr>
        <w:ind w:left="390"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24" w:hanging="274"/>
      </w:pPr>
      <w:rPr>
        <w:rFonts w:hint="default"/>
        <w:lang w:val="en-US" w:eastAsia="en-US" w:bidi="ar-SA"/>
      </w:rPr>
    </w:lvl>
    <w:lvl w:ilvl="2">
      <w:start w:val="0"/>
      <w:numFmt w:val="bullet"/>
      <w:lvlText w:val="•"/>
      <w:lvlJc w:val="left"/>
      <w:pPr>
        <w:ind w:left="1649" w:hanging="274"/>
      </w:pPr>
      <w:rPr>
        <w:rFonts w:hint="default"/>
        <w:lang w:val="en-US" w:eastAsia="en-US" w:bidi="ar-SA"/>
      </w:rPr>
    </w:lvl>
    <w:lvl w:ilvl="3">
      <w:start w:val="0"/>
      <w:numFmt w:val="bullet"/>
      <w:lvlText w:val="•"/>
      <w:lvlJc w:val="left"/>
      <w:pPr>
        <w:ind w:left="2274" w:hanging="274"/>
      </w:pPr>
      <w:rPr>
        <w:rFonts w:hint="default"/>
        <w:lang w:val="en-US" w:eastAsia="en-US" w:bidi="ar-SA"/>
      </w:rPr>
    </w:lvl>
    <w:lvl w:ilvl="4">
      <w:start w:val="0"/>
      <w:numFmt w:val="bullet"/>
      <w:lvlText w:val="•"/>
      <w:lvlJc w:val="left"/>
      <w:pPr>
        <w:ind w:left="2899" w:hanging="274"/>
      </w:pPr>
      <w:rPr>
        <w:rFonts w:hint="default"/>
        <w:lang w:val="en-US" w:eastAsia="en-US" w:bidi="ar-SA"/>
      </w:rPr>
    </w:lvl>
    <w:lvl w:ilvl="5">
      <w:start w:val="0"/>
      <w:numFmt w:val="bullet"/>
      <w:lvlText w:val="•"/>
      <w:lvlJc w:val="left"/>
      <w:pPr>
        <w:ind w:left="3523" w:hanging="274"/>
      </w:pPr>
      <w:rPr>
        <w:rFonts w:hint="default"/>
        <w:lang w:val="en-US" w:eastAsia="en-US" w:bidi="ar-SA"/>
      </w:rPr>
    </w:lvl>
    <w:lvl w:ilvl="6">
      <w:start w:val="0"/>
      <w:numFmt w:val="bullet"/>
      <w:lvlText w:val="•"/>
      <w:lvlJc w:val="left"/>
      <w:pPr>
        <w:ind w:left="4148" w:hanging="274"/>
      </w:pPr>
      <w:rPr>
        <w:rFonts w:hint="default"/>
        <w:lang w:val="en-US" w:eastAsia="en-US" w:bidi="ar-SA"/>
      </w:rPr>
    </w:lvl>
    <w:lvl w:ilvl="7">
      <w:start w:val="0"/>
      <w:numFmt w:val="bullet"/>
      <w:lvlText w:val="•"/>
      <w:lvlJc w:val="left"/>
      <w:pPr>
        <w:ind w:left="4773" w:hanging="274"/>
      </w:pPr>
      <w:rPr>
        <w:rFonts w:hint="default"/>
        <w:lang w:val="en-US" w:eastAsia="en-US" w:bidi="ar-SA"/>
      </w:rPr>
    </w:lvl>
    <w:lvl w:ilvl="8">
      <w:start w:val="0"/>
      <w:numFmt w:val="bullet"/>
      <w:lvlText w:val="•"/>
      <w:lvlJc w:val="left"/>
      <w:pPr>
        <w:ind w:left="5398" w:hanging="274"/>
      </w:pPr>
      <w:rPr>
        <w:rFonts w:hint="default"/>
        <w:lang w:val="en-US" w:eastAsia="en-US" w:bidi="ar-SA"/>
      </w:rPr>
    </w:lvl>
  </w:abstractNum>
  <w:abstractNum w:abstractNumId="19">
    <w:nsid w:val="38ED88BB"/>
    <w:multiLevelType w:val="hybridMultilevel"/>
    <w:tmpl w:val="00000000"/>
    <w:lvl w:ilvl="0">
      <w:start w:val="1"/>
      <w:numFmt w:val="decimal"/>
      <w:lvlText w:val="%1."/>
      <w:lvlJc w:val="left"/>
      <w:pPr>
        <w:ind w:left="390"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24" w:hanging="274"/>
      </w:pPr>
      <w:rPr>
        <w:rFonts w:hint="default"/>
        <w:lang w:val="en-US" w:eastAsia="en-US" w:bidi="ar-SA"/>
      </w:rPr>
    </w:lvl>
    <w:lvl w:ilvl="2">
      <w:start w:val="0"/>
      <w:numFmt w:val="bullet"/>
      <w:lvlText w:val="•"/>
      <w:lvlJc w:val="left"/>
      <w:pPr>
        <w:ind w:left="1649" w:hanging="274"/>
      </w:pPr>
      <w:rPr>
        <w:rFonts w:hint="default"/>
        <w:lang w:val="en-US" w:eastAsia="en-US" w:bidi="ar-SA"/>
      </w:rPr>
    </w:lvl>
    <w:lvl w:ilvl="3">
      <w:start w:val="0"/>
      <w:numFmt w:val="bullet"/>
      <w:lvlText w:val="•"/>
      <w:lvlJc w:val="left"/>
      <w:pPr>
        <w:ind w:left="2274" w:hanging="274"/>
      </w:pPr>
      <w:rPr>
        <w:rFonts w:hint="default"/>
        <w:lang w:val="en-US" w:eastAsia="en-US" w:bidi="ar-SA"/>
      </w:rPr>
    </w:lvl>
    <w:lvl w:ilvl="4">
      <w:start w:val="0"/>
      <w:numFmt w:val="bullet"/>
      <w:lvlText w:val="•"/>
      <w:lvlJc w:val="left"/>
      <w:pPr>
        <w:ind w:left="2899" w:hanging="274"/>
      </w:pPr>
      <w:rPr>
        <w:rFonts w:hint="default"/>
        <w:lang w:val="en-US" w:eastAsia="en-US" w:bidi="ar-SA"/>
      </w:rPr>
    </w:lvl>
    <w:lvl w:ilvl="5">
      <w:start w:val="0"/>
      <w:numFmt w:val="bullet"/>
      <w:lvlText w:val="•"/>
      <w:lvlJc w:val="left"/>
      <w:pPr>
        <w:ind w:left="3523" w:hanging="274"/>
      </w:pPr>
      <w:rPr>
        <w:rFonts w:hint="default"/>
        <w:lang w:val="en-US" w:eastAsia="en-US" w:bidi="ar-SA"/>
      </w:rPr>
    </w:lvl>
    <w:lvl w:ilvl="6">
      <w:start w:val="0"/>
      <w:numFmt w:val="bullet"/>
      <w:lvlText w:val="•"/>
      <w:lvlJc w:val="left"/>
      <w:pPr>
        <w:ind w:left="4148" w:hanging="274"/>
      </w:pPr>
      <w:rPr>
        <w:rFonts w:hint="default"/>
        <w:lang w:val="en-US" w:eastAsia="en-US" w:bidi="ar-SA"/>
      </w:rPr>
    </w:lvl>
    <w:lvl w:ilvl="7">
      <w:start w:val="0"/>
      <w:numFmt w:val="bullet"/>
      <w:lvlText w:val="•"/>
      <w:lvlJc w:val="left"/>
      <w:pPr>
        <w:ind w:left="4773" w:hanging="274"/>
      </w:pPr>
      <w:rPr>
        <w:rFonts w:hint="default"/>
        <w:lang w:val="en-US" w:eastAsia="en-US" w:bidi="ar-SA"/>
      </w:rPr>
    </w:lvl>
    <w:lvl w:ilvl="8">
      <w:start w:val="0"/>
      <w:numFmt w:val="bullet"/>
      <w:lvlText w:val="•"/>
      <w:lvlJc w:val="left"/>
      <w:pPr>
        <w:ind w:left="5398" w:hanging="274"/>
      </w:pPr>
      <w:rPr>
        <w:rFonts w:hint="default"/>
        <w:lang w:val="en-US" w:eastAsia="en-US" w:bidi="ar-SA"/>
      </w:rPr>
    </w:lvl>
  </w:abstractNum>
  <w:abstractNum w:abstractNumId="20">
    <w:nsid w:val="390B306A"/>
    <w:multiLevelType w:val="hybridMultilevel"/>
    <w:tmpl w:val="00000000"/>
    <w:lvl w:ilvl="0">
      <w:start w:val="1"/>
      <w:numFmt w:val="decimal"/>
      <w:lvlText w:val="%1"/>
      <w:lvlJc w:val="left"/>
      <w:pPr>
        <w:ind w:left="1492"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21">
    <w:nsid w:val="3D8F3E9B"/>
    <w:multiLevelType w:val="hybridMultilevel"/>
    <w:tmpl w:val="00000000"/>
    <w:lvl w:ilvl="0">
      <w:start w:val="1"/>
      <w:numFmt w:val="decimal"/>
      <w:lvlText w:val="%1."/>
      <w:lvlJc w:val="left"/>
      <w:pPr>
        <w:ind w:left="114"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772" w:hanging="274"/>
      </w:pPr>
      <w:rPr>
        <w:rFonts w:hint="default"/>
        <w:lang w:val="en-US" w:eastAsia="en-US" w:bidi="ar-SA"/>
      </w:rPr>
    </w:lvl>
    <w:lvl w:ilvl="2">
      <w:start w:val="0"/>
      <w:numFmt w:val="bullet"/>
      <w:lvlText w:val="•"/>
      <w:lvlJc w:val="left"/>
      <w:pPr>
        <w:ind w:left="1425" w:hanging="274"/>
      </w:pPr>
      <w:rPr>
        <w:rFonts w:hint="default"/>
        <w:lang w:val="en-US" w:eastAsia="en-US" w:bidi="ar-SA"/>
      </w:rPr>
    </w:lvl>
    <w:lvl w:ilvl="3">
      <w:start w:val="0"/>
      <w:numFmt w:val="bullet"/>
      <w:lvlText w:val="•"/>
      <w:lvlJc w:val="left"/>
      <w:pPr>
        <w:ind w:left="2078" w:hanging="274"/>
      </w:pPr>
      <w:rPr>
        <w:rFonts w:hint="default"/>
        <w:lang w:val="en-US" w:eastAsia="en-US" w:bidi="ar-SA"/>
      </w:rPr>
    </w:lvl>
    <w:lvl w:ilvl="4">
      <w:start w:val="0"/>
      <w:numFmt w:val="bullet"/>
      <w:lvlText w:val="•"/>
      <w:lvlJc w:val="left"/>
      <w:pPr>
        <w:ind w:left="2731" w:hanging="274"/>
      </w:pPr>
      <w:rPr>
        <w:rFonts w:hint="default"/>
        <w:lang w:val="en-US" w:eastAsia="en-US" w:bidi="ar-SA"/>
      </w:rPr>
    </w:lvl>
    <w:lvl w:ilvl="5">
      <w:start w:val="0"/>
      <w:numFmt w:val="bullet"/>
      <w:lvlText w:val="•"/>
      <w:lvlJc w:val="left"/>
      <w:pPr>
        <w:ind w:left="3383" w:hanging="274"/>
      </w:pPr>
      <w:rPr>
        <w:rFonts w:hint="default"/>
        <w:lang w:val="en-US" w:eastAsia="en-US" w:bidi="ar-SA"/>
      </w:rPr>
    </w:lvl>
    <w:lvl w:ilvl="6">
      <w:start w:val="0"/>
      <w:numFmt w:val="bullet"/>
      <w:lvlText w:val="•"/>
      <w:lvlJc w:val="left"/>
      <w:pPr>
        <w:ind w:left="4036" w:hanging="274"/>
      </w:pPr>
      <w:rPr>
        <w:rFonts w:hint="default"/>
        <w:lang w:val="en-US" w:eastAsia="en-US" w:bidi="ar-SA"/>
      </w:rPr>
    </w:lvl>
    <w:lvl w:ilvl="7">
      <w:start w:val="0"/>
      <w:numFmt w:val="bullet"/>
      <w:lvlText w:val="•"/>
      <w:lvlJc w:val="left"/>
      <w:pPr>
        <w:ind w:left="4689" w:hanging="274"/>
      </w:pPr>
      <w:rPr>
        <w:rFonts w:hint="default"/>
        <w:lang w:val="en-US" w:eastAsia="en-US" w:bidi="ar-SA"/>
      </w:rPr>
    </w:lvl>
    <w:lvl w:ilvl="8">
      <w:start w:val="0"/>
      <w:numFmt w:val="bullet"/>
      <w:lvlText w:val="•"/>
      <w:lvlJc w:val="left"/>
      <w:pPr>
        <w:ind w:left="5342" w:hanging="274"/>
      </w:pPr>
      <w:rPr>
        <w:rFonts w:hint="default"/>
        <w:lang w:val="en-US" w:eastAsia="en-US" w:bidi="ar-SA"/>
      </w:rPr>
    </w:lvl>
  </w:abstractNum>
  <w:abstractNum w:abstractNumId="22">
    <w:nsid w:val="3EAB1B77"/>
    <w:multiLevelType w:val="hybridMultilevel"/>
    <w:tmpl w:val="00000000"/>
    <w:lvl w:ilvl="0">
      <w:start w:val="1"/>
      <w:numFmt w:val="decimal"/>
      <w:lvlText w:val="%1."/>
      <w:lvlJc w:val="left"/>
      <w:pPr>
        <w:ind w:left="387"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06" w:hanging="274"/>
      </w:pPr>
      <w:rPr>
        <w:rFonts w:hint="default"/>
        <w:lang w:val="en-US" w:eastAsia="en-US" w:bidi="ar-SA"/>
      </w:rPr>
    </w:lvl>
    <w:lvl w:ilvl="2">
      <w:start w:val="0"/>
      <w:numFmt w:val="bullet"/>
      <w:lvlText w:val="•"/>
      <w:lvlJc w:val="left"/>
      <w:pPr>
        <w:ind w:left="1633" w:hanging="274"/>
      </w:pPr>
      <w:rPr>
        <w:rFonts w:hint="default"/>
        <w:lang w:val="en-US" w:eastAsia="en-US" w:bidi="ar-SA"/>
      </w:rPr>
    </w:lvl>
    <w:lvl w:ilvl="3">
      <w:start w:val="0"/>
      <w:numFmt w:val="bullet"/>
      <w:lvlText w:val="•"/>
      <w:lvlJc w:val="left"/>
      <w:pPr>
        <w:ind w:left="2260" w:hanging="274"/>
      </w:pPr>
      <w:rPr>
        <w:rFonts w:hint="default"/>
        <w:lang w:val="en-US" w:eastAsia="en-US" w:bidi="ar-SA"/>
      </w:rPr>
    </w:lvl>
    <w:lvl w:ilvl="4">
      <w:start w:val="0"/>
      <w:numFmt w:val="bullet"/>
      <w:lvlText w:val="•"/>
      <w:lvlJc w:val="left"/>
      <w:pPr>
        <w:ind w:left="2887" w:hanging="274"/>
      </w:pPr>
      <w:rPr>
        <w:rFonts w:hint="default"/>
        <w:lang w:val="en-US" w:eastAsia="en-US" w:bidi="ar-SA"/>
      </w:rPr>
    </w:lvl>
    <w:lvl w:ilvl="5">
      <w:start w:val="0"/>
      <w:numFmt w:val="bullet"/>
      <w:lvlText w:val="•"/>
      <w:lvlJc w:val="left"/>
      <w:pPr>
        <w:ind w:left="3513" w:hanging="274"/>
      </w:pPr>
      <w:rPr>
        <w:rFonts w:hint="default"/>
        <w:lang w:val="en-US" w:eastAsia="en-US" w:bidi="ar-SA"/>
      </w:rPr>
    </w:lvl>
    <w:lvl w:ilvl="6">
      <w:start w:val="0"/>
      <w:numFmt w:val="bullet"/>
      <w:lvlText w:val="•"/>
      <w:lvlJc w:val="left"/>
      <w:pPr>
        <w:ind w:left="4140" w:hanging="274"/>
      </w:pPr>
      <w:rPr>
        <w:rFonts w:hint="default"/>
        <w:lang w:val="en-US" w:eastAsia="en-US" w:bidi="ar-SA"/>
      </w:rPr>
    </w:lvl>
    <w:lvl w:ilvl="7">
      <w:start w:val="0"/>
      <w:numFmt w:val="bullet"/>
      <w:lvlText w:val="•"/>
      <w:lvlJc w:val="left"/>
      <w:pPr>
        <w:ind w:left="4767" w:hanging="274"/>
      </w:pPr>
      <w:rPr>
        <w:rFonts w:hint="default"/>
        <w:lang w:val="en-US" w:eastAsia="en-US" w:bidi="ar-SA"/>
      </w:rPr>
    </w:lvl>
    <w:lvl w:ilvl="8">
      <w:start w:val="0"/>
      <w:numFmt w:val="bullet"/>
      <w:lvlText w:val="•"/>
      <w:lvlJc w:val="left"/>
      <w:pPr>
        <w:ind w:left="5394" w:hanging="274"/>
      </w:pPr>
      <w:rPr>
        <w:rFonts w:hint="default"/>
        <w:lang w:val="en-US" w:eastAsia="en-US" w:bidi="ar-SA"/>
      </w:rPr>
    </w:lvl>
  </w:abstractNum>
  <w:abstractNum w:abstractNumId="23">
    <w:nsid w:val="41F732BC"/>
    <w:multiLevelType w:val="hybridMultilevel"/>
    <w:tmpl w:val="00000000"/>
    <w:lvl w:ilvl="0">
      <w:start w:val="7"/>
      <w:numFmt w:val="decimal"/>
      <w:lvlText w:val="%1"/>
      <w:lvlJc w:val="left"/>
      <w:pPr>
        <w:ind w:left="894" w:hanging="946"/>
        <w:jc w:val="left"/>
      </w:pPr>
      <w:rPr>
        <w:rFonts w:hint="default"/>
        <w:lang w:val="en-US" w:eastAsia="en-US" w:bidi="ar-SA"/>
      </w:rPr>
    </w:lvl>
    <w:lvl w:ilvl="1">
      <w:start w:val="4"/>
      <w:numFmt w:val="decimal"/>
      <w:lvlText w:val="%1.%2"/>
      <w:lvlJc w:val="left"/>
      <w:pPr>
        <w:ind w:left="894" w:hanging="946"/>
        <w:jc w:val="left"/>
      </w:pPr>
      <w:rPr>
        <w:rFonts w:hint="default"/>
        <w:lang w:val="en-US" w:eastAsia="en-US" w:bidi="ar-SA"/>
      </w:rPr>
    </w:lvl>
    <w:lvl w:ilvl="2">
      <w:start w:val="3"/>
      <w:numFmt w:val="decimal"/>
      <w:lvlText w:val="%1.%2.%3"/>
      <w:lvlJc w:val="left"/>
      <w:pPr>
        <w:ind w:left="894" w:hanging="946"/>
        <w:jc w:val="left"/>
      </w:pPr>
      <w:rPr>
        <w:rFonts w:hint="default"/>
        <w:lang w:val="en-US" w:eastAsia="en-US" w:bidi="ar-SA"/>
      </w:rPr>
    </w:lvl>
    <w:lvl w:ilvl="3">
      <w:start w:val="1"/>
      <w:numFmt w:val="decimal"/>
      <w:lvlText w:val="%1.%2.%3.%4"/>
      <w:lvlJc w:val="left"/>
      <w:pPr>
        <w:ind w:left="894" w:hanging="946"/>
        <w:jc w:val="righ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946"/>
      </w:pPr>
      <w:rPr>
        <w:rFonts w:hint="default"/>
        <w:lang w:val="en-US" w:eastAsia="en-US" w:bidi="ar-SA"/>
      </w:rPr>
    </w:lvl>
    <w:lvl w:ilvl="5">
      <w:start w:val="0"/>
      <w:numFmt w:val="bullet"/>
      <w:lvlText w:val="•"/>
      <w:lvlJc w:val="left"/>
      <w:pPr>
        <w:ind w:left="6153" w:hanging="946"/>
      </w:pPr>
      <w:rPr>
        <w:rFonts w:hint="default"/>
        <w:lang w:val="en-US" w:eastAsia="en-US" w:bidi="ar-SA"/>
      </w:rPr>
    </w:lvl>
    <w:lvl w:ilvl="6">
      <w:start w:val="0"/>
      <w:numFmt w:val="bullet"/>
      <w:lvlText w:val="•"/>
      <w:lvlJc w:val="left"/>
      <w:pPr>
        <w:ind w:left="7203" w:hanging="946"/>
      </w:pPr>
      <w:rPr>
        <w:rFonts w:hint="default"/>
        <w:lang w:val="en-US" w:eastAsia="en-US" w:bidi="ar-SA"/>
      </w:rPr>
    </w:lvl>
    <w:lvl w:ilvl="7">
      <w:start w:val="0"/>
      <w:numFmt w:val="bullet"/>
      <w:lvlText w:val="•"/>
      <w:lvlJc w:val="left"/>
      <w:pPr>
        <w:ind w:left="8254" w:hanging="946"/>
      </w:pPr>
      <w:rPr>
        <w:rFonts w:hint="default"/>
        <w:lang w:val="en-US" w:eastAsia="en-US" w:bidi="ar-SA"/>
      </w:rPr>
    </w:lvl>
    <w:lvl w:ilvl="8">
      <w:start w:val="0"/>
      <w:numFmt w:val="bullet"/>
      <w:lvlText w:val="•"/>
      <w:lvlJc w:val="left"/>
      <w:pPr>
        <w:ind w:left="9305" w:hanging="946"/>
      </w:pPr>
      <w:rPr>
        <w:rFonts w:hint="default"/>
        <w:lang w:val="en-US" w:eastAsia="en-US" w:bidi="ar-SA"/>
      </w:rPr>
    </w:lvl>
  </w:abstractNum>
  <w:abstractNum w:abstractNumId="24">
    <w:nsid w:val="44650705"/>
    <w:multiLevelType w:val="hybridMultilevel"/>
    <w:tmpl w:val="00000000"/>
    <w:lvl w:ilvl="0">
      <w:start w:val="1"/>
      <w:numFmt w:val="decimal"/>
      <w:lvlText w:val="%1"/>
      <w:lvlJc w:val="left"/>
      <w:pPr>
        <w:ind w:left="1492"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25">
    <w:nsid w:val="454155F9"/>
    <w:multiLevelType w:val="hybridMultilevel"/>
    <w:tmpl w:val="00000000"/>
    <w:lvl w:ilvl="0">
      <w:start w:val="1"/>
      <w:numFmt w:val="decimal"/>
      <w:lvlText w:val="%1."/>
      <w:lvlJc w:val="left"/>
      <w:pPr>
        <w:ind w:left="387"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06" w:hanging="274"/>
      </w:pPr>
      <w:rPr>
        <w:rFonts w:hint="default"/>
        <w:lang w:val="en-US" w:eastAsia="en-US" w:bidi="ar-SA"/>
      </w:rPr>
    </w:lvl>
    <w:lvl w:ilvl="2">
      <w:start w:val="0"/>
      <w:numFmt w:val="bullet"/>
      <w:lvlText w:val="•"/>
      <w:lvlJc w:val="left"/>
      <w:pPr>
        <w:ind w:left="1633" w:hanging="274"/>
      </w:pPr>
      <w:rPr>
        <w:rFonts w:hint="default"/>
        <w:lang w:val="en-US" w:eastAsia="en-US" w:bidi="ar-SA"/>
      </w:rPr>
    </w:lvl>
    <w:lvl w:ilvl="3">
      <w:start w:val="0"/>
      <w:numFmt w:val="bullet"/>
      <w:lvlText w:val="•"/>
      <w:lvlJc w:val="left"/>
      <w:pPr>
        <w:ind w:left="2260" w:hanging="274"/>
      </w:pPr>
      <w:rPr>
        <w:rFonts w:hint="default"/>
        <w:lang w:val="en-US" w:eastAsia="en-US" w:bidi="ar-SA"/>
      </w:rPr>
    </w:lvl>
    <w:lvl w:ilvl="4">
      <w:start w:val="0"/>
      <w:numFmt w:val="bullet"/>
      <w:lvlText w:val="•"/>
      <w:lvlJc w:val="left"/>
      <w:pPr>
        <w:ind w:left="2887" w:hanging="274"/>
      </w:pPr>
      <w:rPr>
        <w:rFonts w:hint="default"/>
        <w:lang w:val="en-US" w:eastAsia="en-US" w:bidi="ar-SA"/>
      </w:rPr>
    </w:lvl>
    <w:lvl w:ilvl="5">
      <w:start w:val="0"/>
      <w:numFmt w:val="bullet"/>
      <w:lvlText w:val="•"/>
      <w:lvlJc w:val="left"/>
      <w:pPr>
        <w:ind w:left="3513" w:hanging="274"/>
      </w:pPr>
      <w:rPr>
        <w:rFonts w:hint="default"/>
        <w:lang w:val="en-US" w:eastAsia="en-US" w:bidi="ar-SA"/>
      </w:rPr>
    </w:lvl>
    <w:lvl w:ilvl="6">
      <w:start w:val="0"/>
      <w:numFmt w:val="bullet"/>
      <w:lvlText w:val="•"/>
      <w:lvlJc w:val="left"/>
      <w:pPr>
        <w:ind w:left="4140" w:hanging="274"/>
      </w:pPr>
      <w:rPr>
        <w:rFonts w:hint="default"/>
        <w:lang w:val="en-US" w:eastAsia="en-US" w:bidi="ar-SA"/>
      </w:rPr>
    </w:lvl>
    <w:lvl w:ilvl="7">
      <w:start w:val="0"/>
      <w:numFmt w:val="bullet"/>
      <w:lvlText w:val="•"/>
      <w:lvlJc w:val="left"/>
      <w:pPr>
        <w:ind w:left="4767" w:hanging="274"/>
      </w:pPr>
      <w:rPr>
        <w:rFonts w:hint="default"/>
        <w:lang w:val="en-US" w:eastAsia="en-US" w:bidi="ar-SA"/>
      </w:rPr>
    </w:lvl>
    <w:lvl w:ilvl="8">
      <w:start w:val="0"/>
      <w:numFmt w:val="bullet"/>
      <w:lvlText w:val="•"/>
      <w:lvlJc w:val="left"/>
      <w:pPr>
        <w:ind w:left="5394" w:hanging="274"/>
      </w:pPr>
      <w:rPr>
        <w:rFonts w:hint="default"/>
        <w:lang w:val="en-US" w:eastAsia="en-US" w:bidi="ar-SA"/>
      </w:rPr>
    </w:lvl>
  </w:abstractNum>
  <w:abstractNum w:abstractNumId="26">
    <w:nsid w:val="45DCC17B"/>
    <w:multiLevelType w:val="hybridMultilevel"/>
    <w:tmpl w:val="00000000"/>
    <w:lvl w:ilvl="0">
      <w:start w:val="4"/>
      <w:numFmt w:val="decimal"/>
      <w:lvlText w:val="%1"/>
      <w:lvlJc w:val="left"/>
      <w:pPr>
        <w:ind w:left="1704" w:hanging="526"/>
        <w:jc w:val="left"/>
      </w:pPr>
      <w:rPr>
        <w:rFonts w:hint="default"/>
        <w:lang w:val="en-US" w:eastAsia="en-US" w:bidi="ar-SA"/>
      </w:rPr>
    </w:lvl>
    <w:lvl w:ilvl="1">
      <w:start w:val="6"/>
      <w:numFmt w:val="decimal"/>
      <w:lvlText w:val="%1.%2"/>
      <w:lvlJc w:val="left"/>
      <w:pPr>
        <w:ind w:left="1704"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right"/>
      </w:pPr>
      <w:rPr>
        <w:rFonts w:ascii="黑体" w:eastAsia="黑体" w:hAnsi="黑体" w:cs="黑体" w:hint="default"/>
        <w:w w:val="100"/>
        <w:sz w:val="21"/>
        <w:szCs w:val="21"/>
        <w:lang w:val="en-US" w:eastAsia="en-US" w:bidi="ar-SA"/>
      </w:rPr>
    </w:lvl>
    <w:lvl w:ilvl="3">
      <w:start w:val="1"/>
      <w:numFmt w:val="lowerLetter"/>
      <w:lvlText w:val="%4)"/>
      <w:lvlJc w:val="left"/>
      <w:pPr>
        <w:ind w:left="2019"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441"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2440" w:hanging="421"/>
      </w:pPr>
      <w:rPr>
        <w:rFonts w:hint="default"/>
        <w:lang w:val="en-US" w:eastAsia="en-US" w:bidi="ar-SA"/>
      </w:rPr>
    </w:lvl>
    <w:lvl w:ilvl="6">
      <w:start w:val="0"/>
      <w:numFmt w:val="bullet"/>
      <w:lvlText w:val="•"/>
      <w:lvlJc w:val="left"/>
      <w:pPr>
        <w:ind w:left="4233" w:hanging="421"/>
      </w:pPr>
      <w:rPr>
        <w:rFonts w:hint="default"/>
        <w:lang w:val="en-US" w:eastAsia="en-US" w:bidi="ar-SA"/>
      </w:rPr>
    </w:lvl>
    <w:lvl w:ilvl="7">
      <w:start w:val="0"/>
      <w:numFmt w:val="bullet"/>
      <w:lvlText w:val="•"/>
      <w:lvlJc w:val="left"/>
      <w:pPr>
        <w:ind w:left="6026" w:hanging="421"/>
      </w:pPr>
      <w:rPr>
        <w:rFonts w:hint="default"/>
        <w:lang w:val="en-US" w:eastAsia="en-US" w:bidi="ar-SA"/>
      </w:rPr>
    </w:lvl>
    <w:lvl w:ilvl="8">
      <w:start w:val="0"/>
      <w:numFmt w:val="bullet"/>
      <w:lvlText w:val="•"/>
      <w:lvlJc w:val="left"/>
      <w:pPr>
        <w:ind w:left="7819" w:hanging="421"/>
      </w:pPr>
      <w:rPr>
        <w:rFonts w:hint="default"/>
        <w:lang w:val="en-US" w:eastAsia="en-US" w:bidi="ar-SA"/>
      </w:rPr>
    </w:lvl>
  </w:abstractNum>
  <w:abstractNum w:abstractNumId="27">
    <w:nsid w:val="49342AB1"/>
    <w:multiLevelType w:val="hybridMultilevel"/>
    <w:tmpl w:val="00000000"/>
    <w:lvl w:ilvl="0">
      <w:start w:val="4"/>
      <w:numFmt w:val="decimal"/>
      <w:lvlText w:val="%1"/>
      <w:lvlJc w:val="left"/>
      <w:pPr>
        <w:ind w:left="526" w:hanging="526"/>
        <w:jc w:val="left"/>
      </w:pPr>
      <w:rPr>
        <w:rFonts w:hint="default"/>
        <w:lang w:val="en-US" w:eastAsia="en-US" w:bidi="ar-SA"/>
      </w:rPr>
    </w:lvl>
    <w:lvl w:ilvl="1">
      <w:start w:val="5"/>
      <w:numFmt w:val="decimal"/>
      <w:lvlText w:val="%1.%2"/>
      <w:lvlJc w:val="left"/>
      <w:pPr>
        <w:ind w:left="526"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2486" w:hanging="735"/>
      </w:pPr>
      <w:rPr>
        <w:rFonts w:hint="default"/>
        <w:lang w:val="en-US" w:eastAsia="en-US" w:bidi="ar-SA"/>
      </w:rPr>
    </w:lvl>
    <w:lvl w:ilvl="4">
      <w:start w:val="0"/>
      <w:numFmt w:val="bullet"/>
      <w:lvlText w:val="•"/>
      <w:lvlJc w:val="left"/>
      <w:pPr>
        <w:ind w:left="3470" w:hanging="735"/>
      </w:pPr>
      <w:rPr>
        <w:rFonts w:hint="default"/>
        <w:lang w:val="en-US" w:eastAsia="en-US" w:bidi="ar-SA"/>
      </w:rPr>
    </w:lvl>
    <w:lvl w:ilvl="5">
      <w:start w:val="0"/>
      <w:numFmt w:val="bullet"/>
      <w:lvlText w:val="•"/>
      <w:lvlJc w:val="left"/>
      <w:pPr>
        <w:ind w:left="4453" w:hanging="735"/>
      </w:pPr>
      <w:rPr>
        <w:rFonts w:hint="default"/>
        <w:lang w:val="en-US" w:eastAsia="en-US" w:bidi="ar-SA"/>
      </w:rPr>
    </w:lvl>
    <w:lvl w:ilvl="6">
      <w:start w:val="0"/>
      <w:numFmt w:val="bullet"/>
      <w:lvlText w:val="•"/>
      <w:lvlJc w:val="left"/>
      <w:pPr>
        <w:ind w:left="5437" w:hanging="735"/>
      </w:pPr>
      <w:rPr>
        <w:rFonts w:hint="default"/>
        <w:lang w:val="en-US" w:eastAsia="en-US" w:bidi="ar-SA"/>
      </w:rPr>
    </w:lvl>
    <w:lvl w:ilvl="7">
      <w:start w:val="0"/>
      <w:numFmt w:val="bullet"/>
      <w:lvlText w:val="•"/>
      <w:lvlJc w:val="left"/>
      <w:pPr>
        <w:ind w:left="6420" w:hanging="735"/>
      </w:pPr>
      <w:rPr>
        <w:rFonts w:hint="default"/>
        <w:lang w:val="en-US" w:eastAsia="en-US" w:bidi="ar-SA"/>
      </w:rPr>
    </w:lvl>
    <w:lvl w:ilvl="8">
      <w:start w:val="0"/>
      <w:numFmt w:val="bullet"/>
      <w:lvlText w:val="•"/>
      <w:lvlJc w:val="left"/>
      <w:pPr>
        <w:ind w:left="7403" w:hanging="735"/>
      </w:pPr>
      <w:rPr>
        <w:rFonts w:hint="default"/>
        <w:lang w:val="en-US" w:eastAsia="en-US" w:bidi="ar-SA"/>
      </w:rPr>
    </w:lvl>
  </w:abstractNum>
  <w:abstractNum w:abstractNumId="28">
    <w:nsid w:val="4A6BDDCB"/>
    <w:multiLevelType w:val="hybridMultilevel"/>
    <w:tmpl w:val="00000000"/>
    <w:lvl w:ilvl="0">
      <w:start w:val="4"/>
      <w:numFmt w:val="decimal"/>
      <w:lvlText w:val="%1"/>
      <w:lvlJc w:val="left"/>
      <w:pPr>
        <w:ind w:left="1494"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705" w:hanging="526"/>
        <w:jc w:val="right"/>
      </w:pPr>
      <w:rPr>
        <w:rFonts w:ascii="黑体" w:eastAsia="黑体" w:hAnsi="黑体" w:cs="黑体" w:hint="default"/>
        <w:w w:val="100"/>
        <w:sz w:val="21"/>
        <w:szCs w:val="21"/>
        <w:lang w:val="en-US" w:eastAsia="en-US" w:bidi="ar-SA"/>
      </w:rPr>
    </w:lvl>
    <w:lvl w:ilvl="2">
      <w:start w:val="1"/>
      <w:numFmt w:val="decimal"/>
      <w:lvlText w:val="%1.%2.%3"/>
      <w:lvlJc w:val="left"/>
      <w:pPr>
        <w:ind w:left="1179"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34" w:hanging="421"/>
        <w:jc w:val="left"/>
      </w:pPr>
      <w:rPr>
        <w:rFonts w:ascii="宋体" w:eastAsia="宋体" w:hAnsi="宋体" w:cs="宋体" w:hint="default"/>
        <w:w w:val="100"/>
        <w:sz w:val="21"/>
        <w:szCs w:val="21"/>
        <w:lang w:val="en-US" w:eastAsia="en-US" w:bidi="ar-SA"/>
      </w:rPr>
    </w:lvl>
    <w:lvl w:ilvl="4">
      <w:start w:val="1"/>
      <w:numFmt w:val="decimal"/>
      <w:lvlText w:val="%5)"/>
      <w:lvlJc w:val="left"/>
      <w:pPr>
        <w:ind w:left="2154" w:hanging="421"/>
        <w:jc w:val="left"/>
      </w:pPr>
      <w:rPr>
        <w:rFonts w:ascii="宋体" w:eastAsia="宋体" w:hAnsi="宋体" w:cs="宋体" w:hint="default"/>
        <w:w w:val="100"/>
        <w:sz w:val="21"/>
        <w:szCs w:val="21"/>
        <w:lang w:val="en-US" w:eastAsia="en-US" w:bidi="ar-SA"/>
      </w:rPr>
    </w:lvl>
    <w:lvl w:ilvl="5">
      <w:start w:val="0"/>
      <w:numFmt w:val="bullet"/>
      <w:lvlText w:val="•"/>
      <w:lvlJc w:val="left"/>
      <w:pPr>
        <w:ind w:left="1640" w:hanging="421"/>
      </w:pPr>
      <w:rPr>
        <w:rFonts w:hint="default"/>
        <w:lang w:val="en-US" w:eastAsia="en-US" w:bidi="ar-SA"/>
      </w:rPr>
    </w:lvl>
    <w:lvl w:ilvl="6">
      <w:start w:val="0"/>
      <w:numFmt w:val="bullet"/>
      <w:lvlText w:val="•"/>
      <w:lvlJc w:val="left"/>
      <w:pPr>
        <w:ind w:left="1700" w:hanging="421"/>
      </w:pPr>
      <w:rPr>
        <w:rFonts w:hint="default"/>
        <w:lang w:val="en-US" w:eastAsia="en-US" w:bidi="ar-SA"/>
      </w:rPr>
    </w:lvl>
    <w:lvl w:ilvl="7">
      <w:start w:val="0"/>
      <w:numFmt w:val="bullet"/>
      <w:lvlText w:val="•"/>
      <w:lvlJc w:val="left"/>
      <w:pPr>
        <w:ind w:left="1740" w:hanging="421"/>
      </w:pPr>
      <w:rPr>
        <w:rFonts w:hint="default"/>
        <w:lang w:val="en-US" w:eastAsia="en-US" w:bidi="ar-SA"/>
      </w:rPr>
    </w:lvl>
    <w:lvl w:ilvl="8">
      <w:start w:val="0"/>
      <w:numFmt w:val="bullet"/>
      <w:lvlText w:val="•"/>
      <w:lvlJc w:val="left"/>
      <w:pPr>
        <w:ind w:left="1920" w:hanging="421"/>
      </w:pPr>
      <w:rPr>
        <w:rFonts w:hint="default"/>
        <w:lang w:val="en-US" w:eastAsia="en-US" w:bidi="ar-SA"/>
      </w:rPr>
    </w:lvl>
  </w:abstractNum>
  <w:abstractNum w:abstractNumId="29">
    <w:nsid w:val="4EC4BF20"/>
    <w:multiLevelType w:val="hybridMultilevel"/>
    <w:tmpl w:val="00000000"/>
    <w:lvl w:ilvl="0">
      <w:start w:val="15"/>
      <w:numFmt w:val="lowerLetter"/>
      <w:lvlText w:val="%1)"/>
      <w:lvlJc w:val="left"/>
      <w:pPr>
        <w:ind w:left="1732" w:hanging="421"/>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1"/>
      </w:pPr>
      <w:rPr>
        <w:rFonts w:hint="default"/>
        <w:lang w:val="en-US" w:eastAsia="en-US" w:bidi="ar-SA"/>
      </w:rPr>
    </w:lvl>
    <w:lvl w:ilvl="2">
      <w:start w:val="0"/>
      <w:numFmt w:val="bullet"/>
      <w:lvlText w:val="•"/>
      <w:lvlJc w:val="left"/>
      <w:pPr>
        <w:ind w:left="3673" w:hanging="421"/>
      </w:pPr>
      <w:rPr>
        <w:rFonts w:hint="default"/>
        <w:lang w:val="en-US" w:eastAsia="en-US" w:bidi="ar-SA"/>
      </w:rPr>
    </w:lvl>
    <w:lvl w:ilvl="3">
      <w:start w:val="0"/>
      <w:numFmt w:val="bullet"/>
      <w:lvlText w:val="•"/>
      <w:lvlJc w:val="left"/>
      <w:pPr>
        <w:ind w:left="4639" w:hanging="421"/>
      </w:pPr>
      <w:rPr>
        <w:rFonts w:hint="default"/>
        <w:lang w:val="en-US" w:eastAsia="en-US" w:bidi="ar-SA"/>
      </w:rPr>
    </w:lvl>
    <w:lvl w:ilvl="4">
      <w:start w:val="0"/>
      <w:numFmt w:val="bullet"/>
      <w:lvlText w:val="•"/>
      <w:lvlJc w:val="left"/>
      <w:pPr>
        <w:ind w:left="5606" w:hanging="421"/>
      </w:pPr>
      <w:rPr>
        <w:rFonts w:hint="default"/>
        <w:lang w:val="en-US" w:eastAsia="en-US" w:bidi="ar-SA"/>
      </w:rPr>
    </w:lvl>
    <w:lvl w:ilvl="5">
      <w:start w:val="0"/>
      <w:numFmt w:val="bullet"/>
      <w:lvlText w:val="•"/>
      <w:lvlJc w:val="left"/>
      <w:pPr>
        <w:ind w:left="6573" w:hanging="421"/>
      </w:pPr>
      <w:rPr>
        <w:rFonts w:hint="default"/>
        <w:lang w:val="en-US" w:eastAsia="en-US" w:bidi="ar-SA"/>
      </w:rPr>
    </w:lvl>
    <w:lvl w:ilvl="6">
      <w:start w:val="0"/>
      <w:numFmt w:val="bullet"/>
      <w:lvlText w:val="•"/>
      <w:lvlJc w:val="left"/>
      <w:pPr>
        <w:ind w:left="7539" w:hanging="421"/>
      </w:pPr>
      <w:rPr>
        <w:rFonts w:hint="default"/>
        <w:lang w:val="en-US" w:eastAsia="en-US" w:bidi="ar-SA"/>
      </w:rPr>
    </w:lvl>
    <w:lvl w:ilvl="7">
      <w:start w:val="0"/>
      <w:numFmt w:val="bullet"/>
      <w:lvlText w:val="•"/>
      <w:lvlJc w:val="left"/>
      <w:pPr>
        <w:ind w:left="8506" w:hanging="421"/>
      </w:pPr>
      <w:rPr>
        <w:rFonts w:hint="default"/>
        <w:lang w:val="en-US" w:eastAsia="en-US" w:bidi="ar-SA"/>
      </w:rPr>
    </w:lvl>
    <w:lvl w:ilvl="8">
      <w:start w:val="0"/>
      <w:numFmt w:val="bullet"/>
      <w:lvlText w:val="•"/>
      <w:lvlJc w:val="left"/>
      <w:pPr>
        <w:ind w:left="9473" w:hanging="421"/>
      </w:pPr>
      <w:rPr>
        <w:rFonts w:hint="default"/>
        <w:lang w:val="en-US" w:eastAsia="en-US" w:bidi="ar-SA"/>
      </w:rPr>
    </w:lvl>
  </w:abstractNum>
  <w:abstractNum w:abstractNumId="30">
    <w:nsid w:val="540CB5E4"/>
    <w:multiLevelType w:val="hybridMultilevel"/>
    <w:tmpl w:val="00000000"/>
    <w:lvl w:ilvl="0">
      <w:start w:val="4"/>
      <w:numFmt w:val="decimal"/>
      <w:lvlText w:val="%1"/>
      <w:lvlJc w:val="left"/>
      <w:pPr>
        <w:ind w:left="1627" w:hanging="735"/>
        <w:jc w:val="left"/>
      </w:pPr>
      <w:rPr>
        <w:rFonts w:hint="default"/>
        <w:lang w:val="en-US" w:eastAsia="en-US" w:bidi="ar-SA"/>
      </w:rPr>
    </w:lvl>
    <w:lvl w:ilvl="1">
      <w:start w:val="2"/>
      <w:numFmt w:val="decimal"/>
      <w:lvlText w:val="%1.%2"/>
      <w:lvlJc w:val="left"/>
      <w:pPr>
        <w:ind w:left="1627" w:hanging="735"/>
        <w:jc w:val="left"/>
      </w:pPr>
      <w:rPr>
        <w:rFonts w:hint="default"/>
        <w:lang w:val="en-US" w:eastAsia="en-US"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40" w:hanging="421"/>
        <w:jc w:val="left"/>
      </w:pPr>
      <w:rPr>
        <w:rFonts w:ascii="宋体" w:eastAsia="宋体" w:hAnsi="宋体" w:cs="宋体" w:hint="default"/>
        <w:w w:val="100"/>
        <w:sz w:val="21"/>
        <w:szCs w:val="21"/>
        <w:lang w:val="en-US" w:eastAsia="en-US" w:bidi="ar-SA"/>
      </w:rPr>
    </w:lvl>
    <w:lvl w:ilvl="4">
      <w:start w:val="0"/>
      <w:numFmt w:val="bullet"/>
      <w:lvlText w:val="•"/>
      <w:lvlJc w:val="left"/>
      <w:pPr>
        <w:ind w:left="4962" w:hanging="421"/>
      </w:pPr>
      <w:rPr>
        <w:rFonts w:hint="default"/>
        <w:lang w:val="en-US" w:eastAsia="en-US" w:bidi="ar-SA"/>
      </w:rPr>
    </w:lvl>
    <w:lvl w:ilvl="5">
      <w:start w:val="0"/>
      <w:numFmt w:val="bullet"/>
      <w:lvlText w:val="•"/>
      <w:lvlJc w:val="left"/>
      <w:pPr>
        <w:ind w:left="6036" w:hanging="421"/>
      </w:pPr>
      <w:rPr>
        <w:rFonts w:hint="default"/>
        <w:lang w:val="en-US" w:eastAsia="en-US" w:bidi="ar-SA"/>
      </w:rPr>
    </w:lvl>
    <w:lvl w:ilvl="6">
      <w:start w:val="0"/>
      <w:numFmt w:val="bullet"/>
      <w:lvlText w:val="•"/>
      <w:lvlJc w:val="left"/>
      <w:pPr>
        <w:ind w:left="7110" w:hanging="421"/>
      </w:pPr>
      <w:rPr>
        <w:rFonts w:hint="default"/>
        <w:lang w:val="en-US" w:eastAsia="en-US" w:bidi="ar-SA"/>
      </w:rPr>
    </w:lvl>
    <w:lvl w:ilvl="7">
      <w:start w:val="0"/>
      <w:numFmt w:val="bullet"/>
      <w:lvlText w:val="•"/>
      <w:lvlJc w:val="left"/>
      <w:pPr>
        <w:ind w:left="8184" w:hanging="421"/>
      </w:pPr>
      <w:rPr>
        <w:rFonts w:hint="default"/>
        <w:lang w:val="en-US" w:eastAsia="en-US" w:bidi="ar-SA"/>
      </w:rPr>
    </w:lvl>
    <w:lvl w:ilvl="8">
      <w:start w:val="0"/>
      <w:numFmt w:val="bullet"/>
      <w:lvlText w:val="•"/>
      <w:lvlJc w:val="left"/>
      <w:pPr>
        <w:ind w:left="9258" w:hanging="421"/>
      </w:pPr>
      <w:rPr>
        <w:rFonts w:hint="default"/>
        <w:lang w:val="en-US" w:eastAsia="en-US" w:bidi="ar-SA"/>
      </w:rPr>
    </w:lvl>
  </w:abstractNum>
  <w:abstractNum w:abstractNumId="31">
    <w:nsid w:val="57543F9C"/>
    <w:multiLevelType w:val="hybridMultilevel"/>
    <w:tmpl w:val="00000000"/>
    <w:lvl w:ilvl="0">
      <w:start w:val="1"/>
      <w:numFmt w:val="decimal"/>
      <w:lvlText w:val="%1."/>
      <w:lvlJc w:val="left"/>
      <w:pPr>
        <w:ind w:left="387"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06" w:hanging="274"/>
      </w:pPr>
      <w:rPr>
        <w:rFonts w:hint="default"/>
        <w:lang w:val="en-US" w:eastAsia="en-US" w:bidi="ar-SA"/>
      </w:rPr>
    </w:lvl>
    <w:lvl w:ilvl="2">
      <w:start w:val="0"/>
      <w:numFmt w:val="bullet"/>
      <w:lvlText w:val="•"/>
      <w:lvlJc w:val="left"/>
      <w:pPr>
        <w:ind w:left="1633" w:hanging="274"/>
      </w:pPr>
      <w:rPr>
        <w:rFonts w:hint="default"/>
        <w:lang w:val="en-US" w:eastAsia="en-US" w:bidi="ar-SA"/>
      </w:rPr>
    </w:lvl>
    <w:lvl w:ilvl="3">
      <w:start w:val="0"/>
      <w:numFmt w:val="bullet"/>
      <w:lvlText w:val="•"/>
      <w:lvlJc w:val="left"/>
      <w:pPr>
        <w:ind w:left="2260" w:hanging="274"/>
      </w:pPr>
      <w:rPr>
        <w:rFonts w:hint="default"/>
        <w:lang w:val="en-US" w:eastAsia="en-US" w:bidi="ar-SA"/>
      </w:rPr>
    </w:lvl>
    <w:lvl w:ilvl="4">
      <w:start w:val="0"/>
      <w:numFmt w:val="bullet"/>
      <w:lvlText w:val="•"/>
      <w:lvlJc w:val="left"/>
      <w:pPr>
        <w:ind w:left="2887" w:hanging="274"/>
      </w:pPr>
      <w:rPr>
        <w:rFonts w:hint="default"/>
        <w:lang w:val="en-US" w:eastAsia="en-US" w:bidi="ar-SA"/>
      </w:rPr>
    </w:lvl>
    <w:lvl w:ilvl="5">
      <w:start w:val="0"/>
      <w:numFmt w:val="bullet"/>
      <w:lvlText w:val="•"/>
      <w:lvlJc w:val="left"/>
      <w:pPr>
        <w:ind w:left="3513" w:hanging="274"/>
      </w:pPr>
      <w:rPr>
        <w:rFonts w:hint="default"/>
        <w:lang w:val="en-US" w:eastAsia="en-US" w:bidi="ar-SA"/>
      </w:rPr>
    </w:lvl>
    <w:lvl w:ilvl="6">
      <w:start w:val="0"/>
      <w:numFmt w:val="bullet"/>
      <w:lvlText w:val="•"/>
      <w:lvlJc w:val="left"/>
      <w:pPr>
        <w:ind w:left="4140" w:hanging="274"/>
      </w:pPr>
      <w:rPr>
        <w:rFonts w:hint="default"/>
        <w:lang w:val="en-US" w:eastAsia="en-US" w:bidi="ar-SA"/>
      </w:rPr>
    </w:lvl>
    <w:lvl w:ilvl="7">
      <w:start w:val="0"/>
      <w:numFmt w:val="bullet"/>
      <w:lvlText w:val="•"/>
      <w:lvlJc w:val="left"/>
      <w:pPr>
        <w:ind w:left="4767" w:hanging="274"/>
      </w:pPr>
      <w:rPr>
        <w:rFonts w:hint="default"/>
        <w:lang w:val="en-US" w:eastAsia="en-US" w:bidi="ar-SA"/>
      </w:rPr>
    </w:lvl>
    <w:lvl w:ilvl="8">
      <w:start w:val="0"/>
      <w:numFmt w:val="bullet"/>
      <w:lvlText w:val="•"/>
      <w:lvlJc w:val="left"/>
      <w:pPr>
        <w:ind w:left="5394" w:hanging="274"/>
      </w:pPr>
      <w:rPr>
        <w:rFonts w:hint="default"/>
        <w:lang w:val="en-US" w:eastAsia="en-US" w:bidi="ar-SA"/>
      </w:rPr>
    </w:lvl>
  </w:abstractNum>
  <w:abstractNum w:abstractNumId="32">
    <w:nsid w:val="67321234"/>
    <w:multiLevelType w:val="hybridMultilevel"/>
    <w:tmpl w:val="00000000"/>
    <w:lvl w:ilvl="0">
      <w:start w:val="1"/>
      <w:numFmt w:val="decimal"/>
      <w:lvlText w:val="%1."/>
      <w:lvlJc w:val="left"/>
      <w:pPr>
        <w:ind w:left="390"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24" w:hanging="274"/>
      </w:pPr>
      <w:rPr>
        <w:rFonts w:hint="default"/>
        <w:lang w:val="en-US" w:eastAsia="en-US" w:bidi="ar-SA"/>
      </w:rPr>
    </w:lvl>
    <w:lvl w:ilvl="2">
      <w:start w:val="0"/>
      <w:numFmt w:val="bullet"/>
      <w:lvlText w:val="•"/>
      <w:lvlJc w:val="left"/>
      <w:pPr>
        <w:ind w:left="1649" w:hanging="274"/>
      </w:pPr>
      <w:rPr>
        <w:rFonts w:hint="default"/>
        <w:lang w:val="en-US" w:eastAsia="en-US" w:bidi="ar-SA"/>
      </w:rPr>
    </w:lvl>
    <w:lvl w:ilvl="3">
      <w:start w:val="0"/>
      <w:numFmt w:val="bullet"/>
      <w:lvlText w:val="•"/>
      <w:lvlJc w:val="left"/>
      <w:pPr>
        <w:ind w:left="2274" w:hanging="274"/>
      </w:pPr>
      <w:rPr>
        <w:rFonts w:hint="default"/>
        <w:lang w:val="en-US" w:eastAsia="en-US" w:bidi="ar-SA"/>
      </w:rPr>
    </w:lvl>
    <w:lvl w:ilvl="4">
      <w:start w:val="0"/>
      <w:numFmt w:val="bullet"/>
      <w:lvlText w:val="•"/>
      <w:lvlJc w:val="left"/>
      <w:pPr>
        <w:ind w:left="2899" w:hanging="274"/>
      </w:pPr>
      <w:rPr>
        <w:rFonts w:hint="default"/>
        <w:lang w:val="en-US" w:eastAsia="en-US" w:bidi="ar-SA"/>
      </w:rPr>
    </w:lvl>
    <w:lvl w:ilvl="5">
      <w:start w:val="0"/>
      <w:numFmt w:val="bullet"/>
      <w:lvlText w:val="•"/>
      <w:lvlJc w:val="left"/>
      <w:pPr>
        <w:ind w:left="3523" w:hanging="274"/>
      </w:pPr>
      <w:rPr>
        <w:rFonts w:hint="default"/>
        <w:lang w:val="en-US" w:eastAsia="en-US" w:bidi="ar-SA"/>
      </w:rPr>
    </w:lvl>
    <w:lvl w:ilvl="6">
      <w:start w:val="0"/>
      <w:numFmt w:val="bullet"/>
      <w:lvlText w:val="•"/>
      <w:lvlJc w:val="left"/>
      <w:pPr>
        <w:ind w:left="4148" w:hanging="274"/>
      </w:pPr>
      <w:rPr>
        <w:rFonts w:hint="default"/>
        <w:lang w:val="en-US" w:eastAsia="en-US" w:bidi="ar-SA"/>
      </w:rPr>
    </w:lvl>
    <w:lvl w:ilvl="7">
      <w:start w:val="0"/>
      <w:numFmt w:val="bullet"/>
      <w:lvlText w:val="•"/>
      <w:lvlJc w:val="left"/>
      <w:pPr>
        <w:ind w:left="4773" w:hanging="274"/>
      </w:pPr>
      <w:rPr>
        <w:rFonts w:hint="default"/>
        <w:lang w:val="en-US" w:eastAsia="en-US" w:bidi="ar-SA"/>
      </w:rPr>
    </w:lvl>
    <w:lvl w:ilvl="8">
      <w:start w:val="0"/>
      <w:numFmt w:val="bullet"/>
      <w:lvlText w:val="•"/>
      <w:lvlJc w:val="left"/>
      <w:pPr>
        <w:ind w:left="5398" w:hanging="274"/>
      </w:pPr>
      <w:rPr>
        <w:rFonts w:hint="default"/>
        <w:lang w:val="en-US" w:eastAsia="en-US" w:bidi="ar-SA"/>
      </w:rPr>
    </w:lvl>
  </w:abstractNum>
  <w:abstractNum w:abstractNumId="33">
    <w:nsid w:val="6868A2D4"/>
    <w:multiLevelType w:val="hybridMultilevel"/>
    <w:tmpl w:val="00000000"/>
    <w:lvl w:ilvl="0">
      <w:start w:val="1"/>
      <w:numFmt w:val="decimal"/>
      <w:lvlText w:val="%1."/>
      <w:lvlJc w:val="left"/>
      <w:pPr>
        <w:ind w:left="390" w:hanging="274"/>
        <w:jc w:val="left"/>
      </w:pPr>
      <w:rPr>
        <w:rFonts w:ascii="宋体" w:eastAsia="宋体" w:hAnsi="宋体" w:cs="宋体" w:hint="default"/>
        <w:spacing w:val="0"/>
        <w:w w:val="100"/>
        <w:sz w:val="18"/>
        <w:szCs w:val="18"/>
        <w:lang w:val="en-US" w:eastAsia="en-US" w:bidi="ar-SA"/>
      </w:rPr>
    </w:lvl>
    <w:lvl w:ilvl="1">
      <w:start w:val="0"/>
      <w:numFmt w:val="bullet"/>
      <w:lvlText w:val="•"/>
      <w:lvlJc w:val="left"/>
      <w:pPr>
        <w:ind w:left="1024" w:hanging="274"/>
      </w:pPr>
      <w:rPr>
        <w:rFonts w:hint="default"/>
        <w:lang w:val="en-US" w:eastAsia="en-US" w:bidi="ar-SA"/>
      </w:rPr>
    </w:lvl>
    <w:lvl w:ilvl="2">
      <w:start w:val="0"/>
      <w:numFmt w:val="bullet"/>
      <w:lvlText w:val="•"/>
      <w:lvlJc w:val="left"/>
      <w:pPr>
        <w:ind w:left="1649" w:hanging="274"/>
      </w:pPr>
      <w:rPr>
        <w:rFonts w:hint="default"/>
        <w:lang w:val="en-US" w:eastAsia="en-US" w:bidi="ar-SA"/>
      </w:rPr>
    </w:lvl>
    <w:lvl w:ilvl="3">
      <w:start w:val="0"/>
      <w:numFmt w:val="bullet"/>
      <w:lvlText w:val="•"/>
      <w:lvlJc w:val="left"/>
      <w:pPr>
        <w:ind w:left="2274" w:hanging="274"/>
      </w:pPr>
      <w:rPr>
        <w:rFonts w:hint="default"/>
        <w:lang w:val="en-US" w:eastAsia="en-US" w:bidi="ar-SA"/>
      </w:rPr>
    </w:lvl>
    <w:lvl w:ilvl="4">
      <w:start w:val="0"/>
      <w:numFmt w:val="bullet"/>
      <w:lvlText w:val="•"/>
      <w:lvlJc w:val="left"/>
      <w:pPr>
        <w:ind w:left="2899" w:hanging="274"/>
      </w:pPr>
      <w:rPr>
        <w:rFonts w:hint="default"/>
        <w:lang w:val="en-US" w:eastAsia="en-US" w:bidi="ar-SA"/>
      </w:rPr>
    </w:lvl>
    <w:lvl w:ilvl="5">
      <w:start w:val="0"/>
      <w:numFmt w:val="bullet"/>
      <w:lvlText w:val="•"/>
      <w:lvlJc w:val="left"/>
      <w:pPr>
        <w:ind w:left="3523" w:hanging="274"/>
      </w:pPr>
      <w:rPr>
        <w:rFonts w:hint="default"/>
        <w:lang w:val="en-US" w:eastAsia="en-US" w:bidi="ar-SA"/>
      </w:rPr>
    </w:lvl>
    <w:lvl w:ilvl="6">
      <w:start w:val="0"/>
      <w:numFmt w:val="bullet"/>
      <w:lvlText w:val="•"/>
      <w:lvlJc w:val="left"/>
      <w:pPr>
        <w:ind w:left="4148" w:hanging="274"/>
      </w:pPr>
      <w:rPr>
        <w:rFonts w:hint="default"/>
        <w:lang w:val="en-US" w:eastAsia="en-US" w:bidi="ar-SA"/>
      </w:rPr>
    </w:lvl>
    <w:lvl w:ilvl="7">
      <w:start w:val="0"/>
      <w:numFmt w:val="bullet"/>
      <w:lvlText w:val="•"/>
      <w:lvlJc w:val="left"/>
      <w:pPr>
        <w:ind w:left="4773" w:hanging="274"/>
      </w:pPr>
      <w:rPr>
        <w:rFonts w:hint="default"/>
        <w:lang w:val="en-US" w:eastAsia="en-US" w:bidi="ar-SA"/>
      </w:rPr>
    </w:lvl>
    <w:lvl w:ilvl="8">
      <w:start w:val="0"/>
      <w:numFmt w:val="bullet"/>
      <w:lvlText w:val="•"/>
      <w:lvlJc w:val="left"/>
      <w:pPr>
        <w:ind w:left="5398" w:hanging="274"/>
      </w:pPr>
      <w:rPr>
        <w:rFonts w:hint="default"/>
        <w:lang w:val="en-US" w:eastAsia="en-US" w:bidi="ar-SA"/>
      </w:rPr>
    </w:lvl>
  </w:abstractNum>
  <w:abstractNum w:abstractNumId="34">
    <w:nsid w:val="737C0765"/>
    <w:multiLevelType w:val="hybridMultilevel"/>
    <w:tmpl w:val="00000000"/>
    <w:lvl w:ilvl="0">
      <w:start w:val="3"/>
      <w:numFmt w:val="lowerLetter"/>
      <w:lvlText w:val="%1)"/>
      <w:lvlJc w:val="left"/>
      <w:pPr>
        <w:ind w:left="1918" w:hanging="421"/>
        <w:jc w:val="left"/>
      </w:pPr>
      <w:rPr>
        <w:rFonts w:ascii="宋体" w:eastAsia="宋体" w:hAnsi="宋体" w:cs="宋体" w:hint="default"/>
        <w:w w:val="100"/>
        <w:sz w:val="21"/>
        <w:szCs w:val="21"/>
        <w:lang w:val="en-US" w:eastAsia="en-US" w:bidi="ar-SA"/>
      </w:rPr>
    </w:lvl>
    <w:lvl w:ilvl="1">
      <w:start w:val="0"/>
      <w:numFmt w:val="bullet"/>
      <w:lvlText w:val="•"/>
      <w:lvlJc w:val="left"/>
      <w:pPr>
        <w:ind w:left="2848" w:hanging="421"/>
      </w:pPr>
      <w:rPr>
        <w:rFonts w:hint="default"/>
        <w:lang w:val="en-US" w:eastAsia="en-US" w:bidi="ar-SA"/>
      </w:rPr>
    </w:lvl>
    <w:lvl w:ilvl="2">
      <w:start w:val="0"/>
      <w:numFmt w:val="bullet"/>
      <w:lvlText w:val="•"/>
      <w:lvlJc w:val="left"/>
      <w:pPr>
        <w:ind w:left="3776" w:hanging="421"/>
      </w:pPr>
      <w:rPr>
        <w:rFonts w:hint="default"/>
        <w:lang w:val="en-US" w:eastAsia="en-US" w:bidi="ar-SA"/>
      </w:rPr>
    </w:lvl>
    <w:lvl w:ilvl="3">
      <w:start w:val="0"/>
      <w:numFmt w:val="bullet"/>
      <w:lvlText w:val="•"/>
      <w:lvlJc w:val="left"/>
      <w:pPr>
        <w:ind w:left="4704" w:hanging="421"/>
      </w:pPr>
      <w:rPr>
        <w:rFonts w:hint="default"/>
        <w:lang w:val="en-US" w:eastAsia="en-US" w:bidi="ar-SA"/>
      </w:rPr>
    </w:lvl>
    <w:lvl w:ilvl="4">
      <w:start w:val="0"/>
      <w:numFmt w:val="bullet"/>
      <w:lvlText w:val="•"/>
      <w:lvlJc w:val="left"/>
      <w:pPr>
        <w:ind w:left="5632" w:hanging="421"/>
      </w:pPr>
      <w:rPr>
        <w:rFonts w:hint="default"/>
        <w:lang w:val="en-US" w:eastAsia="en-US" w:bidi="ar-SA"/>
      </w:rPr>
    </w:lvl>
    <w:lvl w:ilvl="5">
      <w:start w:val="0"/>
      <w:numFmt w:val="bullet"/>
      <w:lvlText w:val="•"/>
      <w:lvlJc w:val="left"/>
      <w:pPr>
        <w:ind w:left="6560" w:hanging="421"/>
      </w:pPr>
      <w:rPr>
        <w:rFonts w:hint="default"/>
        <w:lang w:val="en-US" w:eastAsia="en-US" w:bidi="ar-SA"/>
      </w:rPr>
    </w:lvl>
    <w:lvl w:ilvl="6">
      <w:start w:val="0"/>
      <w:numFmt w:val="bullet"/>
      <w:lvlText w:val="•"/>
      <w:lvlJc w:val="left"/>
      <w:pPr>
        <w:ind w:left="7488" w:hanging="421"/>
      </w:pPr>
      <w:rPr>
        <w:rFonts w:hint="default"/>
        <w:lang w:val="en-US" w:eastAsia="en-US" w:bidi="ar-SA"/>
      </w:rPr>
    </w:lvl>
    <w:lvl w:ilvl="7">
      <w:start w:val="0"/>
      <w:numFmt w:val="bullet"/>
      <w:lvlText w:val="•"/>
      <w:lvlJc w:val="left"/>
      <w:pPr>
        <w:ind w:left="8416" w:hanging="421"/>
      </w:pPr>
      <w:rPr>
        <w:rFonts w:hint="default"/>
        <w:lang w:val="en-US" w:eastAsia="en-US" w:bidi="ar-SA"/>
      </w:rPr>
    </w:lvl>
    <w:lvl w:ilvl="8">
      <w:start w:val="0"/>
      <w:numFmt w:val="bullet"/>
      <w:lvlText w:val="•"/>
      <w:lvlJc w:val="left"/>
      <w:pPr>
        <w:ind w:left="9344" w:hanging="421"/>
      </w:pPr>
      <w:rPr>
        <w:rFonts w:hint="default"/>
        <w:lang w:val="en-US" w:eastAsia="en-US" w:bidi="ar-SA"/>
      </w:rPr>
    </w:lvl>
  </w:abstractNum>
  <w:abstractNum w:abstractNumId="35">
    <w:nsid w:val="7917C3A4"/>
    <w:multiLevelType w:val="hybridMultilevel"/>
    <w:tmpl w:val="00000000"/>
    <w:lvl w:ilvl="0">
      <w:start w:val="5"/>
      <w:numFmt w:val="decimal"/>
      <w:lvlText w:val="%1"/>
      <w:lvlJc w:val="left"/>
      <w:pPr>
        <w:ind w:left="1812" w:hanging="735"/>
        <w:jc w:val="left"/>
      </w:pPr>
      <w:rPr>
        <w:rFonts w:hint="default"/>
        <w:lang w:val="en-US" w:eastAsia="en-US" w:bidi="ar-SA"/>
      </w:rPr>
    </w:lvl>
    <w:lvl w:ilvl="1">
      <w:start w:val="4"/>
      <w:numFmt w:val="decimal"/>
      <w:lvlText w:val="%1.%2"/>
      <w:lvlJc w:val="left"/>
      <w:pPr>
        <w:ind w:left="1812" w:hanging="735"/>
        <w:jc w:val="left"/>
      </w:pPr>
      <w:rPr>
        <w:rFonts w:hint="default"/>
        <w:lang w:val="en-US" w:eastAsia="en-US" w:bidi="ar-SA"/>
      </w:rPr>
    </w:lvl>
    <w:lvl w:ilvl="2">
      <w:start w:val="6"/>
      <w:numFmt w:val="decimal"/>
      <w:lvlText w:val="%1.%2.%3"/>
      <w:lvlJc w:val="left"/>
      <w:pPr>
        <w:ind w:left="1812"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918" w:hanging="421"/>
        <w:jc w:val="left"/>
      </w:pPr>
      <w:rPr>
        <w:rFonts w:ascii="宋体" w:eastAsia="宋体" w:hAnsi="宋体" w:cs="宋体" w:hint="default"/>
        <w:w w:val="100"/>
        <w:sz w:val="21"/>
        <w:szCs w:val="21"/>
        <w:lang w:val="en-US" w:eastAsia="en-US" w:bidi="ar-SA"/>
      </w:rPr>
    </w:lvl>
    <w:lvl w:ilvl="4">
      <w:start w:val="0"/>
      <w:numFmt w:val="bullet"/>
      <w:lvlText w:val="•"/>
      <w:lvlJc w:val="left"/>
      <w:pPr>
        <w:ind w:left="5013" w:hanging="421"/>
      </w:pPr>
      <w:rPr>
        <w:rFonts w:hint="default"/>
        <w:lang w:val="en-US" w:eastAsia="en-US" w:bidi="ar-SA"/>
      </w:rPr>
    </w:lvl>
    <w:lvl w:ilvl="5">
      <w:start w:val="0"/>
      <w:numFmt w:val="bullet"/>
      <w:lvlText w:val="•"/>
      <w:lvlJc w:val="left"/>
      <w:pPr>
        <w:ind w:left="6044" w:hanging="421"/>
      </w:pPr>
      <w:rPr>
        <w:rFonts w:hint="default"/>
        <w:lang w:val="en-US" w:eastAsia="en-US" w:bidi="ar-SA"/>
      </w:rPr>
    </w:lvl>
    <w:lvl w:ilvl="6">
      <w:start w:val="0"/>
      <w:numFmt w:val="bullet"/>
      <w:lvlText w:val="•"/>
      <w:lvlJc w:val="left"/>
      <w:pPr>
        <w:ind w:left="7075" w:hanging="421"/>
      </w:pPr>
      <w:rPr>
        <w:rFonts w:hint="default"/>
        <w:lang w:val="en-US" w:eastAsia="en-US" w:bidi="ar-SA"/>
      </w:rPr>
    </w:lvl>
    <w:lvl w:ilvl="7">
      <w:start w:val="0"/>
      <w:numFmt w:val="bullet"/>
      <w:lvlText w:val="•"/>
      <w:lvlJc w:val="left"/>
      <w:pPr>
        <w:ind w:left="8106" w:hanging="421"/>
      </w:pPr>
      <w:rPr>
        <w:rFonts w:hint="default"/>
        <w:lang w:val="en-US" w:eastAsia="en-US" w:bidi="ar-SA"/>
      </w:rPr>
    </w:lvl>
    <w:lvl w:ilvl="8">
      <w:start w:val="0"/>
      <w:numFmt w:val="bullet"/>
      <w:lvlText w:val="•"/>
      <w:lvlJc w:val="left"/>
      <w:pPr>
        <w:ind w:left="9137" w:hanging="421"/>
      </w:pPr>
      <w:rPr>
        <w:rFonts w:hint="default"/>
        <w:lang w:val="en-US" w:eastAsia="en-US" w:bidi="ar-SA"/>
      </w:rPr>
    </w:lvl>
  </w:abstractNum>
  <w:num w:numId="1">
    <w:abstractNumId w:val="33"/>
  </w:num>
  <w:num w:numId="2">
    <w:abstractNumId w:val="18"/>
  </w:num>
  <w:num w:numId="3">
    <w:abstractNumId w:val="3"/>
  </w:num>
  <w:num w:numId="4">
    <w:abstractNumId w:val="32"/>
  </w:num>
  <w:num w:numId="5">
    <w:abstractNumId w:val="19"/>
  </w:num>
  <w:num w:numId="6">
    <w:abstractNumId w:val="1"/>
  </w:num>
  <w:num w:numId="7">
    <w:abstractNumId w:val="2"/>
  </w:num>
  <w:num w:numId="8">
    <w:abstractNumId w:val="12"/>
  </w:num>
  <w:num w:numId="9">
    <w:abstractNumId w:val="8"/>
  </w:num>
  <w:num w:numId="10">
    <w:abstractNumId w:val="16"/>
  </w:num>
  <w:num w:numId="11">
    <w:abstractNumId w:val="5"/>
  </w:num>
  <w:num w:numId="12">
    <w:abstractNumId w:val="31"/>
  </w:num>
  <w:num w:numId="13">
    <w:abstractNumId w:val="21"/>
  </w:num>
  <w:num w:numId="14">
    <w:abstractNumId w:val="22"/>
  </w:num>
  <w:num w:numId="15">
    <w:abstractNumId w:val="17"/>
  </w:num>
  <w:num w:numId="16">
    <w:abstractNumId w:val="25"/>
  </w:num>
  <w:num w:numId="17">
    <w:abstractNumId w:val="9"/>
  </w:num>
  <w:num w:numId="18">
    <w:abstractNumId w:val="23"/>
  </w:num>
  <w:num w:numId="19">
    <w:abstractNumId w:val="11"/>
  </w:num>
  <w:num w:numId="20">
    <w:abstractNumId w:val="7"/>
  </w:num>
  <w:num w:numId="21">
    <w:abstractNumId w:val="0"/>
  </w:num>
  <w:num w:numId="22">
    <w:abstractNumId w:val="35"/>
  </w:num>
  <w:num w:numId="23">
    <w:abstractNumId w:val="34"/>
  </w:num>
  <w:num w:numId="24">
    <w:abstractNumId w:val="4"/>
  </w:num>
  <w:num w:numId="25">
    <w:abstractNumId w:val="27"/>
  </w:num>
  <w:num w:numId="26">
    <w:abstractNumId w:val="14"/>
  </w:num>
  <w:num w:numId="27">
    <w:abstractNumId w:val="30"/>
  </w:num>
  <w:num w:numId="28">
    <w:abstractNumId w:val="15"/>
  </w:num>
  <w:num w:numId="29">
    <w:abstractNumId w:val="24"/>
  </w:num>
  <w:num w:numId="30">
    <w:abstractNumId w:val="20"/>
  </w:num>
  <w:num w:numId="31">
    <w:abstractNumId w:val="6"/>
  </w:num>
  <w:num w:numId="32">
    <w:abstractNumId w:val="26"/>
  </w:num>
  <w:num w:numId="33">
    <w:abstractNumId w:val="10"/>
  </w:num>
  <w:num w:numId="34">
    <w:abstractNumId w:val="13"/>
  </w:num>
  <w:num w:numId="35">
    <w:abstractNumId w:val="28"/>
  </w:num>
  <w:num w:numId="36">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4"/>
      <w:ind w:left="300"/>
      <w:jc w:val="center"/>
      <w:outlineLvl w:val="0"/>
    </w:pPr>
    <w:rPr>
      <w:rFonts w:ascii="黑体" w:eastAsia="黑体" w:hAnsi="黑体" w:cs="黑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before="399"/>
      <w:ind w:left="1157" w:right="1062"/>
      <w:jc w:val="center"/>
    </w:pPr>
    <w:rPr>
      <w:rFonts w:ascii="Times New Roman" w:eastAsia="Times New Roman" w:hAnsi="Times New Roman" w:cs="Times New Roman"/>
      <w:b/>
      <w:bCs/>
      <w:sz w:val="96"/>
      <w:szCs w:val="96"/>
      <w:lang w:val="en-US" w:eastAsia="en-US" w:bidi="ar-SA"/>
    </w:rPr>
  </w:style>
  <w:style w:type="paragraph" w:styleId="ListParagraph">
    <w:name w:val="List Paragraph"/>
    <w:basedOn w:val="Normal"/>
    <w:uiPriority w:val="1"/>
    <w:qFormat/>
    <w:pPr>
      <w:ind w:left="2018" w:hanging="421"/>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347105003032006034"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0</cp:revision>
  <dcterms:created xsi:type="dcterms:W3CDTF">2024-01-24T09:08:35Z</dcterms:created>
  <dcterms:modified xsi:type="dcterms:W3CDTF">2024-01-24T09:08:35Z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2019-08-07T00:00:00Z</vt:filetime>
  </property>
  <property fmtid="{D5CDD505-2E9C-101B-9397-08002B2CF9AE}" pid="3" name="Creator">
    <vt:lpwstr>Acrobat PDFMaker 15 Word 版</vt:lpwstr>
  </property>
  <property fmtid="{D5CDD505-2E9C-101B-9397-08002B2CF9AE}" pid="4" name="LastSaved">
    <vt:filetime>2024-01-24T00:00:00Z</vt:filetime>
  </property>
</Properties>
</file>