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72" w:lineRule="auto"/>
        <w:rPr>
          <w:rFonts w:ascii="Arial"/>
          <w:sz w:val="21"/>
        </w:rPr>
      </w:pPr>
      <w:r>
        <w:pict>
          <v:shape id="_x0000_s1025" style="width:524.65pt;height:0.5pt;margin-top:65.16pt;margin-left:35.4pt;mso-position-horizontal-relative:page;mso-position-vertical-relative:page;position:absolute;z-index:251659264" coordorigin="0,0" coordsize="10493,10" o:allowincell="f" path="m,9l10492,9l10492,l,l,9xe" filled="t" fillcolor="#e31c22" stroked="f"/>
        </w:pict>
      </w:r>
      <w:r>
        <w:pict>
          <v:shape id="_x0000_s1026" style="width:152.85pt;height:0.5pt;margin-top:107.66pt;margin-left:43.2pt;mso-position-horizontal-relative:page;mso-position-vertical-relative:page;position:absolute;z-index:251660288" coordorigin="0,0" coordsize="3057,10" o:allowincell="f" path="m,9l3056,9l3056,l,l,9xe" filled="t" fillcolor="#a6a6a6" stroked="f"/>
        </w:pict>
      </w:r>
      <w:r>
        <w:pict>
          <v:shape id="_x0000_s1027" style="width:524.65pt;height:0.75pt;margin-top:170.06pt;margin-left:35.4pt;mso-position-horizontal-relative:page;mso-position-vertical-relative:page;position:absolute;z-index:251658240" coordorigin="0,0" coordsize="10493,15" o:allowincell="f" path="m,14l10492,14l10492,l,l,14xe" filled="t" fillcolor="#e31c22" stroked="f"/>
        </w:pict>
      </w:r>
    </w:p>
    <w:p>
      <w:pPr>
        <w:pStyle w:val="BodyText"/>
        <w:spacing w:before="98" w:line="218" w:lineRule="auto"/>
        <w:ind w:left="209"/>
        <w:rPr>
          <w:sz w:val="30"/>
          <w:szCs w:val="30"/>
        </w:rPr>
      </w:pPr>
      <w:r>
        <w:rPr>
          <w:color w:val="EE1D23"/>
          <w:spacing w:val="70"/>
          <w:sz w:val="30"/>
          <w:szCs w:val="30"/>
        </w:rPr>
        <w:t>汽车行业专题报告</w:t>
      </w:r>
    </w:p>
    <w:p>
      <w:pPr>
        <w:pStyle w:val="BodyText"/>
        <w:spacing w:before="259" w:line="216" w:lineRule="auto"/>
        <w:ind w:left="203"/>
        <w:outlineLvl w:val="0"/>
        <w:rPr>
          <w:sz w:val="31"/>
          <w:szCs w:val="31"/>
        </w:rPr>
      </w:pPr>
      <w:r>
        <w:rPr>
          <w:sz w:val="31"/>
          <w:szCs w:val="31"/>
        </w:rPr>
        <w:t>AITO</w:t>
      </w:r>
      <w:r>
        <w:rPr>
          <w:spacing w:val="-33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问界</w:t>
      </w:r>
      <w:r>
        <w:rPr>
          <w:spacing w:val="-64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M9</w:t>
      </w:r>
      <w:r>
        <w:rPr>
          <w:spacing w:val="-64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黑科技创新，产品向上驱动产业链上行</w:t>
      </w:r>
    </w:p>
    <w:p>
      <w:pPr>
        <w:spacing w:line="344" w:lineRule="auto"/>
        <w:rPr>
          <w:rFonts w:ascii="Arial"/>
          <w:sz w:val="21"/>
        </w:rPr>
      </w:pPr>
    </w:p>
    <w:p>
      <w:pPr>
        <w:pStyle w:val="BodyText"/>
        <w:spacing w:before="62" w:line="227" w:lineRule="auto"/>
        <w:ind w:left="232"/>
        <w:rPr>
          <w:sz w:val="19"/>
          <w:szCs w:val="19"/>
        </w:rPr>
      </w:pPr>
      <w:r>
        <w:rPr>
          <w:color w:val="FFFFFF"/>
          <w:spacing w:val="2"/>
          <w:sz w:val="19"/>
          <w:szCs w:val="19"/>
        </w:rPr>
        <w:t>方</w:t>
      </w:r>
      <w:r>
        <w:rPr>
          <w:color w:val="FFFFFF"/>
          <w:spacing w:val="2"/>
          <w:sz w:val="19"/>
          <w:szCs w:val="19"/>
        </w:rPr>
        <w:t xml:space="preserve">  </w:t>
      </w:r>
      <w:r>
        <w:rPr>
          <w:color w:val="FFFFFF"/>
          <w:spacing w:val="2"/>
          <w:sz w:val="19"/>
          <w:szCs w:val="19"/>
        </w:rPr>
        <w:t>正</w:t>
      </w:r>
      <w:r>
        <w:rPr>
          <w:color w:val="FFFFFF"/>
          <w:spacing w:val="9"/>
          <w:sz w:val="19"/>
          <w:szCs w:val="19"/>
        </w:rPr>
        <w:t xml:space="preserve">  </w:t>
      </w:r>
      <w:r>
        <w:rPr>
          <w:color w:val="FFFFFF"/>
          <w:spacing w:val="2"/>
          <w:sz w:val="19"/>
          <w:szCs w:val="19"/>
        </w:rPr>
        <w:t>证</w:t>
      </w:r>
      <w:r>
        <w:rPr>
          <w:color w:val="FFFFFF"/>
          <w:spacing w:val="12"/>
          <w:sz w:val="19"/>
          <w:szCs w:val="19"/>
        </w:rPr>
        <w:t xml:space="preserve">  </w:t>
      </w:r>
      <w:r>
        <w:rPr>
          <w:color w:val="FFFFFF"/>
          <w:spacing w:val="2"/>
          <w:sz w:val="19"/>
          <w:szCs w:val="19"/>
        </w:rPr>
        <w:t>券</w:t>
      </w:r>
      <w:r>
        <w:rPr>
          <w:color w:val="FFFFFF"/>
          <w:spacing w:val="9"/>
          <w:sz w:val="19"/>
          <w:szCs w:val="19"/>
        </w:rPr>
        <w:t xml:space="preserve">  </w:t>
      </w:r>
      <w:r>
        <w:rPr>
          <w:color w:val="FFFFFF"/>
          <w:spacing w:val="2"/>
          <w:sz w:val="19"/>
          <w:szCs w:val="19"/>
        </w:rPr>
        <w:t>研</w:t>
      </w:r>
      <w:r>
        <w:rPr>
          <w:color w:val="FFFFFF"/>
          <w:spacing w:val="8"/>
          <w:sz w:val="19"/>
          <w:szCs w:val="19"/>
        </w:rPr>
        <w:t xml:space="preserve">  </w:t>
      </w:r>
      <w:r>
        <w:rPr>
          <w:color w:val="FFFFFF"/>
          <w:spacing w:val="2"/>
          <w:sz w:val="19"/>
          <w:szCs w:val="19"/>
        </w:rPr>
        <w:t>究</w:t>
      </w:r>
      <w:r>
        <w:rPr>
          <w:color w:val="FFFFFF"/>
          <w:spacing w:val="9"/>
          <w:sz w:val="19"/>
          <w:szCs w:val="19"/>
        </w:rPr>
        <w:t xml:space="preserve">  </w:t>
      </w:r>
      <w:r>
        <w:rPr>
          <w:color w:val="FFFFFF"/>
          <w:spacing w:val="2"/>
          <w:sz w:val="19"/>
          <w:szCs w:val="19"/>
        </w:rPr>
        <w:t>所</w:t>
      </w:r>
      <w:r>
        <w:rPr>
          <w:color w:val="FFFFFF"/>
          <w:spacing w:val="10"/>
          <w:sz w:val="19"/>
          <w:szCs w:val="19"/>
        </w:rPr>
        <w:t xml:space="preserve">  </w:t>
      </w:r>
      <w:r>
        <w:rPr>
          <w:color w:val="FFFFFF"/>
          <w:spacing w:val="2"/>
          <w:sz w:val="19"/>
          <w:szCs w:val="19"/>
        </w:rPr>
        <w:t>证</w:t>
      </w:r>
      <w:r>
        <w:rPr>
          <w:color w:val="FFFFFF"/>
          <w:spacing w:val="12"/>
          <w:sz w:val="19"/>
          <w:szCs w:val="19"/>
        </w:rPr>
        <w:t xml:space="preserve">  </w:t>
      </w:r>
      <w:r>
        <w:rPr>
          <w:color w:val="FFFFFF"/>
          <w:spacing w:val="2"/>
          <w:sz w:val="19"/>
          <w:szCs w:val="19"/>
        </w:rPr>
        <w:t>券</w:t>
      </w:r>
      <w:r>
        <w:rPr>
          <w:color w:val="FFFFFF"/>
          <w:spacing w:val="8"/>
          <w:sz w:val="19"/>
          <w:szCs w:val="19"/>
        </w:rPr>
        <w:t xml:space="preserve">  </w:t>
      </w:r>
      <w:r>
        <w:rPr>
          <w:color w:val="FFFFFF"/>
          <w:spacing w:val="2"/>
          <w:sz w:val="19"/>
          <w:szCs w:val="19"/>
        </w:rPr>
        <w:t>研</w:t>
      </w:r>
      <w:r>
        <w:rPr>
          <w:color w:val="FFFFFF"/>
          <w:spacing w:val="9"/>
          <w:sz w:val="19"/>
          <w:szCs w:val="19"/>
        </w:rPr>
        <w:t xml:space="preserve">  </w:t>
      </w:r>
      <w:r>
        <w:rPr>
          <w:color w:val="FFFFFF"/>
          <w:spacing w:val="2"/>
          <w:sz w:val="19"/>
          <w:szCs w:val="19"/>
        </w:rPr>
        <w:t>究</w:t>
      </w:r>
      <w:r>
        <w:rPr>
          <w:color w:val="FFFFFF"/>
          <w:spacing w:val="8"/>
          <w:sz w:val="19"/>
          <w:szCs w:val="19"/>
        </w:rPr>
        <w:t xml:space="preserve">  </w:t>
      </w:r>
      <w:r>
        <w:rPr>
          <w:color w:val="FFFFFF"/>
          <w:spacing w:val="2"/>
          <w:sz w:val="19"/>
          <w:szCs w:val="19"/>
        </w:rPr>
        <w:t>报</w:t>
      </w:r>
      <w:r>
        <w:rPr>
          <w:color w:val="FFFFFF"/>
          <w:spacing w:val="10"/>
          <w:sz w:val="19"/>
          <w:szCs w:val="19"/>
        </w:rPr>
        <w:t xml:space="preserve">  </w:t>
      </w:r>
      <w:r>
        <w:rPr>
          <w:color w:val="FFFFFF"/>
          <w:spacing w:val="2"/>
          <w:sz w:val="19"/>
          <w:szCs w:val="19"/>
        </w:rPr>
        <w:t>告</w:t>
      </w:r>
    </w:p>
    <w:p>
      <w:pPr>
        <w:spacing w:before="164"/>
      </w:pPr>
    </w:p>
    <w:p>
      <w:pPr>
        <w:sectPr>
          <w:headerReference w:type="default" r:id="rId4"/>
          <w:footerReference w:type="default" r:id="rId5"/>
          <w:pgSz w:w="11907" w:h="16839"/>
          <w:pgMar w:top="1219" w:right="634" w:bottom="707" w:left="679" w:header="454" w:footer="405" w:gutter="0"/>
          <w:cols w:num="1" w:space="708" w:equalWidth="0">
            <w:col w:w="10593" w:space="0"/>
          </w:cols>
        </w:sectPr>
      </w:pPr>
    </w:p>
    <w:p>
      <w:pPr>
        <w:pStyle w:val="BodyText"/>
        <w:spacing w:before="42" w:line="228" w:lineRule="auto"/>
        <w:ind w:left="41"/>
        <w:rPr>
          <w:sz w:val="19"/>
          <w:szCs w:val="19"/>
        </w:rPr>
      </w:pPr>
      <w:r>
        <w:rPr>
          <w:color w:val="E31C22"/>
          <w:spacing w:val="5"/>
          <w:sz w:val="19"/>
          <w:szCs w:val="19"/>
        </w:rPr>
        <w:t>分析师</w:t>
      </w:r>
    </w:p>
    <w:p>
      <w:pPr>
        <w:pStyle w:val="BodyText"/>
        <w:spacing w:before="161"/>
        <w:rPr>
          <w:sz w:val="16"/>
          <w:szCs w:val="16"/>
        </w:rPr>
      </w:pPr>
      <w:r>
        <w:rPr>
          <w:position w:val="-8"/>
          <w:sz w:val="19"/>
          <w:szCs w:val="19"/>
        </w:rPr>
        <w:drawing>
          <wp:inline distT="0" distB="0" distL="0" distR="0">
            <wp:extent cx="38100" cy="198119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98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sz w:val="19"/>
          <w:szCs w:val="19"/>
        </w:rPr>
        <w:t>文姬</w:t>
      </w:r>
      <w:r>
        <w:rPr>
          <w:spacing w:val="2"/>
          <w:sz w:val="19"/>
          <w:szCs w:val="19"/>
        </w:rPr>
        <w:t xml:space="preserve">        </w:t>
      </w:r>
      <w:r>
        <w:rPr>
          <w:color w:val="4B4C4D"/>
          <w:spacing w:val="2"/>
          <w:sz w:val="16"/>
          <w:szCs w:val="16"/>
        </w:rPr>
        <w:t>登记编号：S1220523120002</w:t>
      </w:r>
    </w:p>
    <w:tbl>
      <w:tblPr>
        <w:tblStyle w:val="TableNormal"/>
        <w:tblW w:w="3274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588"/>
        <w:gridCol w:w="320"/>
        <w:gridCol w:w="420"/>
        <w:gridCol w:w="946"/>
      </w:tblGrid>
      <w:tr>
        <w:tblPrEx>
          <w:tblW w:w="3274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938"/>
        </w:trPr>
        <w:tc>
          <w:tcPr>
            <w:tcW w:w="3274" w:type="dxa"/>
            <w:gridSpan w:val="4"/>
            <w:tcBorders>
              <w:top w:val="single" w:sz="2" w:space="0" w:color="BFBFBF"/>
              <w:bottom w:val="single" w:sz="4" w:space="0" w:color="EE1D23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1" w:line="228" w:lineRule="auto"/>
              <w:ind w:left="37"/>
              <w:rPr>
                <w:sz w:val="19"/>
                <w:szCs w:val="19"/>
              </w:rPr>
            </w:pPr>
            <w:r>
              <w:rPr>
                <w:color w:val="E31C22"/>
                <w:spacing w:val="6"/>
                <w:sz w:val="19"/>
                <w:szCs w:val="19"/>
              </w:rPr>
              <w:t>联系人</w:t>
            </w:r>
            <w:r>
              <w:rPr>
                <w:color w:val="E31C22"/>
                <w:spacing w:val="18"/>
                <w:sz w:val="19"/>
                <w:szCs w:val="19"/>
              </w:rPr>
              <w:t xml:space="preserve">   </w:t>
            </w:r>
            <w:r>
              <w:rPr>
                <w:spacing w:val="6"/>
                <w:sz w:val="19"/>
                <w:szCs w:val="19"/>
              </w:rPr>
              <w:t>钟鸣</w:t>
            </w:r>
          </w:p>
        </w:tc>
      </w:tr>
      <w:tr>
        <w:tblPrEx>
          <w:tblW w:w="3274" w:type="dxa"/>
          <w:tblInd w:w="0" w:type="dxa"/>
          <w:tblLayout w:type="fixed"/>
        </w:tblPrEx>
        <w:trPr>
          <w:trHeight w:val="424"/>
        </w:trPr>
        <w:tc>
          <w:tcPr>
            <w:tcW w:w="3274" w:type="dxa"/>
            <w:gridSpan w:val="4"/>
            <w:tcBorders>
              <w:top w:val="single" w:sz="4" w:space="0" w:color="EE1D23"/>
              <w:bottom w:val="single" w:sz="4" w:space="0" w:color="EE1D23"/>
            </w:tcBorders>
            <w:vAlign w:val="top"/>
          </w:tcPr>
          <w:p>
            <w:pPr>
              <w:pStyle w:val="TableText"/>
              <w:spacing w:before="96" w:line="219" w:lineRule="auto"/>
              <w:ind w:left="683"/>
              <w:rPr>
                <w:sz w:val="22"/>
                <w:szCs w:val="22"/>
              </w:rPr>
            </w:pPr>
            <w:r>
              <w:rPr>
                <w:spacing w:val="-12"/>
                <w:sz w:val="22"/>
                <w:szCs w:val="22"/>
              </w:rPr>
              <w:t>行</w:t>
            </w:r>
            <w:r>
              <w:rPr>
                <w:spacing w:val="-20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业</w:t>
            </w:r>
            <w:r>
              <w:rPr>
                <w:spacing w:val="-24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评</w:t>
            </w:r>
            <w:r>
              <w:rPr>
                <w:spacing w:val="-20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级</w:t>
            </w:r>
            <w:r>
              <w:rPr>
                <w:spacing w:val="15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:</w:t>
            </w:r>
            <w:r>
              <w:rPr>
                <w:spacing w:val="-65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推</w:t>
            </w:r>
            <w:r>
              <w:rPr>
                <w:spacing w:val="-22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荐</w:t>
            </w:r>
          </w:p>
        </w:tc>
      </w:tr>
      <w:tr>
        <w:tblPrEx>
          <w:tblW w:w="3274" w:type="dxa"/>
          <w:tblInd w:w="0" w:type="dxa"/>
          <w:tblLayout w:type="fixed"/>
        </w:tblPrEx>
        <w:trPr>
          <w:trHeight w:val="311"/>
        </w:trPr>
        <w:tc>
          <w:tcPr>
            <w:tcW w:w="1588" w:type="dxa"/>
            <w:tcBorders>
              <w:top w:val="single" w:sz="4" w:space="0" w:color="EE1D23"/>
            </w:tcBorders>
            <w:shd w:val="clear" w:color="auto" w:fill="9C9A9B"/>
            <w:vAlign w:val="top"/>
          </w:tcPr>
          <w:p>
            <w:pPr>
              <w:pStyle w:val="TableText"/>
              <w:spacing w:before="57" w:line="228" w:lineRule="auto"/>
              <w:ind w:left="1018"/>
              <w:rPr>
                <w:sz w:val="19"/>
                <w:szCs w:val="19"/>
              </w:rPr>
            </w:pPr>
            <w:r>
              <w:rPr>
                <w:color w:val="FFFFFF"/>
                <w:sz w:val="19"/>
                <w:szCs w:val="19"/>
              </w:rPr>
              <w:t>行</w:t>
            </w:r>
            <w:r>
              <w:rPr>
                <w:color w:val="FFFFFF"/>
                <w:spacing w:val="35"/>
                <w:sz w:val="19"/>
                <w:szCs w:val="19"/>
              </w:rPr>
              <w:t xml:space="preserve"> </w:t>
            </w:r>
            <w:r>
              <w:rPr>
                <w:color w:val="FFFFFF"/>
                <w:sz w:val="19"/>
                <w:szCs w:val="19"/>
              </w:rPr>
              <w:t>业</w:t>
            </w:r>
          </w:p>
        </w:tc>
        <w:tc>
          <w:tcPr>
            <w:tcW w:w="320" w:type="dxa"/>
            <w:tcBorders>
              <w:top w:val="single" w:sz="4" w:space="0" w:color="EE1D23"/>
            </w:tcBorders>
            <w:shd w:val="clear" w:color="auto" w:fill="9C9A9B"/>
            <w:vAlign w:val="top"/>
          </w:tcPr>
          <w:p>
            <w:pPr>
              <w:pStyle w:val="TableText"/>
              <w:spacing w:before="57" w:line="229" w:lineRule="auto"/>
              <w:ind w:left="68"/>
              <w:rPr>
                <w:sz w:val="19"/>
                <w:szCs w:val="19"/>
              </w:rPr>
            </w:pPr>
            <w:r>
              <w:rPr>
                <w:color w:val="FFFFFF"/>
                <w:spacing w:val="1"/>
                <w:sz w:val="19"/>
                <w:szCs w:val="19"/>
              </w:rPr>
              <w:t>信</w:t>
            </w:r>
          </w:p>
        </w:tc>
        <w:tc>
          <w:tcPr>
            <w:tcW w:w="420" w:type="dxa"/>
            <w:tcBorders>
              <w:top w:val="single" w:sz="4" w:space="0" w:color="EE1D23"/>
            </w:tcBorders>
            <w:shd w:val="clear" w:color="auto" w:fill="9C9A9B"/>
            <w:vAlign w:val="top"/>
          </w:tcPr>
          <w:p>
            <w:pPr>
              <w:pStyle w:val="TableText"/>
              <w:spacing w:before="57" w:line="235" w:lineRule="auto"/>
              <w:ind w:left="69"/>
              <w:rPr>
                <w:sz w:val="19"/>
                <w:szCs w:val="19"/>
              </w:rPr>
            </w:pPr>
            <w:r>
              <w:rPr>
                <w:color w:val="FFFFFF"/>
                <w:sz w:val="19"/>
                <w:szCs w:val="19"/>
              </w:rPr>
              <w:t>息</w:t>
            </w:r>
          </w:p>
        </w:tc>
        <w:tc>
          <w:tcPr>
            <w:tcW w:w="946" w:type="dxa"/>
            <w:tcBorders>
              <w:top w:val="single" w:sz="4" w:space="0" w:color="EE1D23"/>
            </w:tcBorders>
            <w:shd w:val="clear" w:color="auto" w:fill="9C9A9B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3274" w:type="dxa"/>
          <w:tblInd w:w="0" w:type="dxa"/>
          <w:tblLayout w:type="fixed"/>
        </w:tblPrEx>
        <w:trPr>
          <w:trHeight w:val="340"/>
        </w:trPr>
        <w:tc>
          <w:tcPr>
            <w:tcW w:w="1588" w:type="dxa"/>
            <w:tcBorders>
              <w:bottom w:val="single" w:sz="2" w:space="0" w:color="BFBFBF"/>
            </w:tcBorders>
            <w:vAlign w:val="top"/>
          </w:tcPr>
          <w:p>
            <w:pPr>
              <w:pStyle w:val="TableText"/>
              <w:spacing w:before="105" w:line="220" w:lineRule="auto"/>
              <w:ind w:left="152"/>
            </w:pPr>
            <w:r>
              <w:rPr>
                <w:spacing w:val="-1"/>
              </w:rPr>
              <w:t>上市公司总家数</w:t>
            </w:r>
          </w:p>
        </w:tc>
        <w:tc>
          <w:tcPr>
            <w:tcW w:w="320" w:type="dxa"/>
            <w:tcBorders>
              <w:bottom w:val="single" w:sz="2" w:space="0" w:color="BFBFB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tcBorders>
              <w:bottom w:val="single" w:sz="2" w:space="0" w:color="BFBFB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tcBorders>
              <w:bottom w:val="single" w:sz="2" w:space="0" w:color="BFBFBF"/>
            </w:tcBorders>
            <w:vAlign w:val="top"/>
          </w:tcPr>
          <w:p>
            <w:pPr>
              <w:pStyle w:val="TableText"/>
              <w:spacing w:before="131" w:line="184" w:lineRule="auto"/>
              <w:ind w:left="655"/>
            </w:pPr>
            <w:r>
              <w:rPr>
                <w:color w:val="4A4C4F"/>
                <w:spacing w:val="-2"/>
              </w:rPr>
              <w:t>318</w:t>
            </w:r>
          </w:p>
        </w:tc>
      </w:tr>
      <w:tr>
        <w:tblPrEx>
          <w:tblW w:w="3274" w:type="dxa"/>
          <w:tblInd w:w="0" w:type="dxa"/>
          <w:tblLayout w:type="fixed"/>
        </w:tblPrEx>
        <w:trPr>
          <w:trHeight w:val="340"/>
        </w:trPr>
        <w:tc>
          <w:tcPr>
            <w:tcW w:w="1588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pStyle w:val="TableText"/>
              <w:spacing w:before="104" w:line="219" w:lineRule="auto"/>
              <w:ind w:left="153"/>
            </w:pPr>
            <w:r>
              <w:rPr>
                <w:spacing w:val="-1"/>
              </w:rPr>
              <w:t>总股本(亿股)</w:t>
            </w:r>
          </w:p>
        </w:tc>
        <w:tc>
          <w:tcPr>
            <w:tcW w:w="320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pStyle w:val="TableText"/>
              <w:spacing w:before="129" w:line="184" w:lineRule="auto"/>
              <w:ind w:left="253"/>
            </w:pPr>
            <w:r>
              <w:rPr>
                <w:color w:val="4A4C4F"/>
                <w:spacing w:val="-1"/>
              </w:rPr>
              <w:t>3,663.86</w:t>
            </w:r>
          </w:p>
        </w:tc>
      </w:tr>
      <w:tr>
        <w:tblPrEx>
          <w:tblW w:w="3274" w:type="dxa"/>
          <w:tblInd w:w="0" w:type="dxa"/>
          <w:tblLayout w:type="fixed"/>
        </w:tblPrEx>
        <w:trPr>
          <w:trHeight w:val="340"/>
        </w:trPr>
        <w:tc>
          <w:tcPr>
            <w:tcW w:w="1588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pStyle w:val="TableText"/>
              <w:spacing w:before="104" w:line="220" w:lineRule="auto"/>
              <w:ind w:left="149"/>
            </w:pPr>
            <w:r>
              <w:rPr>
                <w:spacing w:val="-1"/>
              </w:rPr>
              <w:t>销售收入(亿元)</w:t>
            </w:r>
          </w:p>
        </w:tc>
        <w:tc>
          <w:tcPr>
            <w:tcW w:w="320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pStyle w:val="TableText"/>
              <w:spacing w:before="130" w:line="183" w:lineRule="auto"/>
              <w:ind w:left="170"/>
            </w:pPr>
            <w:r>
              <w:rPr>
                <w:color w:val="4A4C4F"/>
                <w:spacing w:val="-1"/>
              </w:rPr>
              <w:t>46,484.55</w:t>
            </w:r>
          </w:p>
        </w:tc>
      </w:tr>
      <w:tr>
        <w:tblPrEx>
          <w:tblW w:w="3274" w:type="dxa"/>
          <w:tblInd w:w="0" w:type="dxa"/>
          <w:tblLayout w:type="fixed"/>
        </w:tblPrEx>
        <w:trPr>
          <w:trHeight w:val="340"/>
        </w:trPr>
        <w:tc>
          <w:tcPr>
            <w:tcW w:w="1588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pStyle w:val="TableText"/>
              <w:spacing w:before="105" w:line="219" w:lineRule="auto"/>
              <w:ind w:left="151"/>
            </w:pPr>
            <w:r>
              <w:rPr>
                <w:spacing w:val="-1"/>
              </w:rPr>
              <w:t>利润总额(亿元)</w:t>
            </w:r>
          </w:p>
        </w:tc>
        <w:tc>
          <w:tcPr>
            <w:tcW w:w="320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pStyle w:val="TableText"/>
              <w:spacing w:before="130" w:line="184" w:lineRule="auto"/>
              <w:ind w:left="262"/>
            </w:pPr>
            <w:r>
              <w:rPr>
                <w:color w:val="4A4C4F"/>
                <w:spacing w:val="-2"/>
              </w:rPr>
              <w:t>1,942.18</w:t>
            </w:r>
          </w:p>
        </w:tc>
      </w:tr>
      <w:tr>
        <w:tblPrEx>
          <w:tblW w:w="3274" w:type="dxa"/>
          <w:tblInd w:w="0" w:type="dxa"/>
          <w:tblLayout w:type="fixed"/>
        </w:tblPrEx>
        <w:trPr>
          <w:trHeight w:val="338"/>
        </w:trPr>
        <w:tc>
          <w:tcPr>
            <w:tcW w:w="1588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pStyle w:val="TableText"/>
              <w:spacing w:before="106" w:line="220" w:lineRule="auto"/>
              <w:ind w:left="150"/>
            </w:pPr>
            <w:r>
              <w:rPr>
                <w:spacing w:val="-2"/>
              </w:rPr>
              <w:t>行业平均</w:t>
            </w:r>
            <w:r>
              <w:rPr>
                <w:spacing w:val="-30"/>
              </w:rPr>
              <w:t xml:space="preserve"> </w:t>
            </w:r>
            <w:r>
              <w:rPr>
                <w:spacing w:val="-2"/>
              </w:rPr>
              <w:t>PE</w:t>
            </w:r>
          </w:p>
        </w:tc>
        <w:tc>
          <w:tcPr>
            <w:tcW w:w="320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pStyle w:val="TableText"/>
              <w:spacing w:before="132" w:line="183" w:lineRule="auto"/>
              <w:ind w:left="423"/>
            </w:pPr>
            <w:r>
              <w:rPr>
                <w:color w:val="4A4C4F"/>
                <w:spacing w:val="-3"/>
              </w:rPr>
              <w:t>190.89</w:t>
            </w:r>
          </w:p>
        </w:tc>
      </w:tr>
      <w:tr>
        <w:tblPrEx>
          <w:tblW w:w="3274" w:type="dxa"/>
          <w:tblInd w:w="0" w:type="dxa"/>
          <w:tblLayout w:type="fixed"/>
        </w:tblPrEx>
        <w:trPr>
          <w:trHeight w:val="342"/>
        </w:trPr>
        <w:tc>
          <w:tcPr>
            <w:tcW w:w="1588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pStyle w:val="TableText"/>
              <w:spacing w:before="106" w:line="219" w:lineRule="auto"/>
              <w:ind w:left="153"/>
            </w:pPr>
            <w:r>
              <w:rPr>
                <w:spacing w:val="-1"/>
              </w:rPr>
              <w:t>平均股价(元)</w:t>
            </w:r>
          </w:p>
        </w:tc>
        <w:tc>
          <w:tcPr>
            <w:tcW w:w="320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6" w:type="dxa"/>
            <w:tcBorders>
              <w:top w:val="single" w:sz="2" w:space="0" w:color="BFBFBF"/>
              <w:bottom w:val="single" w:sz="2" w:space="0" w:color="BFBFBF"/>
            </w:tcBorders>
            <w:vAlign w:val="top"/>
          </w:tcPr>
          <w:p>
            <w:pPr>
              <w:pStyle w:val="TableText"/>
              <w:spacing w:before="132" w:line="183" w:lineRule="auto"/>
              <w:ind w:left="502"/>
            </w:pPr>
            <w:r>
              <w:rPr>
                <w:color w:val="4A4C4F"/>
                <w:spacing w:val="-3"/>
              </w:rPr>
              <w:t>19.86</w:t>
            </w:r>
          </w:p>
        </w:tc>
      </w:tr>
    </w:tbl>
    <w:p>
      <w:pPr>
        <w:spacing w:line="324" w:lineRule="auto"/>
        <w:rPr>
          <w:rFonts w:ascii="Arial"/>
          <w:sz w:val="21"/>
        </w:rPr>
      </w:pPr>
    </w:p>
    <w:p>
      <w:pPr>
        <w:pStyle w:val="BodyText"/>
        <w:spacing w:line="2508" w:lineRule="exact"/>
        <w:ind w:firstLine="28"/>
      </w:pPr>
      <w:r>
        <w:rPr>
          <w:position w:val="-50"/>
        </w:rPr>
        <w:pict>
          <v:group id="_x0000_i1028" style="width:162.3pt;height:125.4pt;mso-position-horizontal-relative:char;mso-position-vertical-relative:line" coordorigin="0,0" coordsize="3246,2508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width:3246;height:2493;position:absolute;top:14" filled="f" stroked="f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3281;height:2471;left:-20;position:absolute;top:51" filled="f" stroked="f">
              <o:lock v:ext="edit" aspectratio="f"/>
              <v:textbox inset="0,0,0,0">
                <w:txbxContent>
                  <w:p>
                    <w:pPr>
                      <w:spacing w:before="19" w:line="228" w:lineRule="auto"/>
                      <w:ind w:left="368"/>
                      <w:rPr>
                        <w:rFonts w:ascii="SimHei" w:eastAsia="SimHei" w:hAnsi="SimHei" w:cs="SimHei"/>
                        <w:sz w:val="19"/>
                        <w:szCs w:val="19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z w:val="19"/>
                        <w:szCs w:val="19"/>
                      </w:rPr>
                      <w:t>行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39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FFFFFF"/>
                        <w:sz w:val="19"/>
                        <w:szCs w:val="19"/>
                      </w:rPr>
                      <w:t>业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34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FFFFFF"/>
                        <w:sz w:val="19"/>
                        <w:szCs w:val="19"/>
                      </w:rPr>
                      <w:t>相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31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FFFFFF"/>
                        <w:sz w:val="19"/>
                        <w:szCs w:val="19"/>
                      </w:rPr>
                      <w:t>对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34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FFFFFF"/>
                        <w:sz w:val="19"/>
                        <w:szCs w:val="19"/>
                      </w:rPr>
                      <w:t>指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34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FFFFFF"/>
                        <w:sz w:val="19"/>
                        <w:szCs w:val="19"/>
                      </w:rPr>
                      <w:t>数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35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FFFFFF"/>
                        <w:sz w:val="19"/>
                        <w:szCs w:val="19"/>
                      </w:rPr>
                      <w:t>表</w:t>
                    </w:r>
                    <w:r>
                      <w:rPr>
                        <w:rFonts w:ascii="SimHei" w:eastAsia="SimHei" w:hAnsi="SimHei" w:cs="SimHei"/>
                        <w:color w:val="FFFFFF"/>
                        <w:spacing w:val="35"/>
                        <w:sz w:val="19"/>
                        <w:szCs w:val="19"/>
                      </w:rPr>
                      <w:t xml:space="preserve"> </w:t>
                    </w:r>
                    <w:r>
                      <w:rPr>
                        <w:rFonts w:ascii="SimHei" w:eastAsia="SimHei" w:hAnsi="SimHei" w:cs="SimHei"/>
                        <w:color w:val="FFFFFF"/>
                        <w:sz w:val="19"/>
                        <w:szCs w:val="19"/>
                      </w:rPr>
                      <w:t>现</w:t>
                    </w:r>
                  </w:p>
                  <w:p>
                    <w:pPr>
                      <w:spacing w:line="33" w:lineRule="exact"/>
                    </w:pPr>
                  </w:p>
                  <w:tbl>
                    <w:tblPr>
                      <w:tblStyle w:val="TableNormal"/>
                      <w:tblW w:w="3230" w:type="dxa"/>
                      <w:tblInd w:w="22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>
                    <w:tblGrid>
                      <w:gridCol w:w="386"/>
                      <w:gridCol w:w="2844"/>
                    </w:tblGrid>
                    <w:tr>
                      <w:tblPrEx>
                        <w:tblW w:w="3230" w:type="dxa"/>
                        <w:tblInd w:w="22" w:type="dxa"/>
                        <w:tblBorders>
                          <w:top w:val="nil"/>
                          <w:left w:val="nil"/>
                          <w:bottom w:val="nil"/>
                          <w:right w:val="nil"/>
                          <w:insideH w:val="nil"/>
                          <w:insideV w:val="nil"/>
                        </w:tblBorders>
                        <w:tblLayout w:type="fixed"/>
                      </w:tblPrEx>
                      <w:trPr>
                        <w:trHeight w:val="1691"/>
                      </w:trPr>
                      <w:tc>
                        <w:tcPr>
                          <w:tcW w:w="386" w:type="dxa"/>
                          <w:tcBorders>
                            <w:top w:val="single" w:sz="2" w:space="0" w:color="D9D9D9"/>
                            <w:left w:val="single" w:sz="2" w:space="0" w:color="D9D9D9"/>
                          </w:tcBorders>
                          <w:vAlign w:val="top"/>
                        </w:tcPr>
                        <w:p>
                          <w:pPr>
                            <w:tabs>
                              <w:tab w:val="left" w:pos="150"/>
                              <w:tab w:val="left" w:pos="186"/>
                              <w:tab w:val="left" w:pos="187"/>
                            </w:tabs>
                            <w:spacing w:before="223" w:line="373" w:lineRule="auto"/>
                            <w:ind w:left="89" w:right="53" w:firstLine="42"/>
                            <w:jc w:val="right"/>
                            <w:rPr>
                              <w:rFonts w:ascii="Calibri" w:eastAsia="Calibri" w:hAnsi="Calibri" w:cs="Calibri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color w:val="595959"/>
                              <w:spacing w:val="-4"/>
                              <w:sz w:val="12"/>
                              <w:szCs w:val="12"/>
                            </w:rPr>
                            <w:t>15%</w:t>
                          </w:r>
                          <w:r>
                            <w:rPr>
                              <w:rFonts w:ascii="Calibri" w:eastAsia="Calibri" w:hAnsi="Calibri" w:cs="Calibri"/>
                              <w:color w:val="595959"/>
                              <w:spacing w:val="1"/>
                              <w:sz w:val="12"/>
                              <w:szCs w:val="12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color w:val="595959"/>
                              <w:spacing w:val="11"/>
                              <w:sz w:val="12"/>
                              <w:szCs w:val="12"/>
                            </w:rPr>
                            <w:t>10%</w:t>
                          </w:r>
                          <w:r>
                            <w:rPr>
                              <w:rFonts w:ascii="Calibri" w:eastAsia="Calibri" w:hAnsi="Calibri" w:cs="Calibri"/>
                              <w:color w:val="595959"/>
                              <w:sz w:val="12"/>
                              <w:szCs w:val="12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color w:val="595959"/>
                              <w:sz w:val="12"/>
                              <w:szCs w:val="12"/>
                            </w:rPr>
                            <w:tab/>
                          </w:r>
                          <w:r>
                            <w:rPr>
                              <w:rFonts w:ascii="Calibri" w:eastAsia="Calibri" w:hAnsi="Calibri" w:cs="Calibri"/>
                              <w:color w:val="595959"/>
                              <w:sz w:val="12"/>
                              <w:szCs w:val="12"/>
                            </w:rPr>
                            <w:tab/>
                          </w:r>
                          <w:r>
                            <w:rPr>
                              <w:rFonts w:ascii="Calibri" w:eastAsia="Calibri" w:hAnsi="Calibri" w:cs="Calibri"/>
                              <w:color w:val="595959"/>
                              <w:sz w:val="12"/>
                              <w:szCs w:val="12"/>
                            </w:rPr>
                            <w:tab/>
                          </w:r>
                          <w:r>
                            <w:rPr>
                              <w:rFonts w:ascii="Calibri" w:eastAsia="Calibri" w:hAnsi="Calibri" w:cs="Calibri"/>
                              <w:color w:val="595959"/>
                              <w:spacing w:val="-4"/>
                              <w:sz w:val="12"/>
                              <w:szCs w:val="12"/>
                            </w:rPr>
                            <w:t>5%</w:t>
                          </w:r>
                          <w:r>
                            <w:rPr>
                              <w:rFonts w:ascii="Calibri" w:eastAsia="Calibri" w:hAnsi="Calibri" w:cs="Calibri"/>
                              <w:color w:val="595959"/>
                              <w:sz w:val="12"/>
                              <w:szCs w:val="12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color w:val="595959"/>
                              <w:sz w:val="12"/>
                              <w:szCs w:val="12"/>
                            </w:rPr>
                            <w:tab/>
                          </w:r>
                          <w:r>
                            <w:rPr>
                              <w:rFonts w:ascii="Calibri" w:eastAsia="Calibri" w:hAnsi="Calibri" w:cs="Calibri"/>
                              <w:color w:val="595959"/>
                              <w:sz w:val="12"/>
                              <w:szCs w:val="12"/>
                            </w:rPr>
                            <w:tab/>
                          </w:r>
                          <w:r>
                            <w:rPr>
                              <w:rFonts w:ascii="Calibri" w:eastAsia="Calibri" w:hAnsi="Calibri" w:cs="Calibri"/>
                              <w:color w:val="595959"/>
                              <w:spacing w:val="-3"/>
                              <w:sz w:val="12"/>
                              <w:szCs w:val="12"/>
                            </w:rPr>
                            <w:t>0%</w:t>
                          </w:r>
                          <w:r>
                            <w:rPr>
                              <w:rFonts w:ascii="Calibri" w:eastAsia="Calibri" w:hAnsi="Calibri" w:cs="Calibri"/>
                              <w:color w:val="595959"/>
                              <w:sz w:val="12"/>
                              <w:szCs w:val="12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color w:val="595959"/>
                              <w:sz w:val="12"/>
                              <w:szCs w:val="12"/>
                            </w:rPr>
                            <w:tab/>
                          </w:r>
                          <w:r>
                            <w:rPr>
                              <w:rFonts w:ascii="Calibri" w:eastAsia="Calibri" w:hAnsi="Calibri" w:cs="Calibri"/>
                              <w:color w:val="595959"/>
                              <w:spacing w:val="-2"/>
                              <w:sz w:val="12"/>
                              <w:szCs w:val="12"/>
                            </w:rPr>
                            <w:t>-5%</w:t>
                          </w:r>
                          <w:r>
                            <w:rPr>
                              <w:rFonts w:ascii="Calibri" w:eastAsia="Calibri" w:hAnsi="Calibri" w:cs="Calibri"/>
                              <w:color w:val="595959"/>
                              <w:spacing w:val="1"/>
                              <w:sz w:val="12"/>
                              <w:szCs w:val="12"/>
                            </w:rPr>
                            <w:t xml:space="preserve"> </w:t>
                          </w:r>
                          <w:r>
                            <w:rPr>
                              <w:rFonts w:ascii="Calibri" w:eastAsia="Calibri" w:hAnsi="Calibri" w:cs="Calibri"/>
                              <w:color w:val="595959"/>
                              <w:spacing w:val="-2"/>
                              <w:sz w:val="12"/>
                              <w:szCs w:val="12"/>
                            </w:rPr>
                            <w:t>-10%</w:t>
                          </w:r>
                        </w:p>
                        <w:p>
                          <w:pPr>
                            <w:spacing w:line="91" w:lineRule="exact"/>
                            <w:ind w:left="89"/>
                            <w:rPr>
                              <w:rFonts w:ascii="Calibri" w:eastAsia="Calibri" w:hAnsi="Calibri" w:cs="Calibri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color w:val="595959"/>
                              <w:spacing w:val="-1"/>
                              <w:position w:val="-1"/>
                              <w:sz w:val="12"/>
                              <w:szCs w:val="12"/>
                            </w:rPr>
                            <w:t>-15%</w:t>
                          </w:r>
                        </w:p>
                      </w:tc>
                      <w:tc>
                        <w:tcPr>
                          <w:tcW w:w="2844" w:type="dxa"/>
                          <w:tcBorders>
                            <w:top w:val="single" w:sz="2" w:space="0" w:color="D9D9D9"/>
                            <w:right w:val="single" w:sz="6" w:space="0" w:color="D9D9D9"/>
                          </w:tcBorders>
                          <w:vAlign w:val="top"/>
                        </w:tcPr>
                        <w:p>
                          <w:pPr>
                            <w:spacing w:before="174" w:line="1499" w:lineRule="exact"/>
                            <w:ind w:firstLine="51"/>
                          </w:pPr>
                          <w:r>
                            <w:rPr>
                              <w:position w:val="-29"/>
                            </w:rPr>
                            <w:drawing>
                              <wp:inline distT="0" distB="0" distL="0" distR="0">
                                <wp:extent cx="1532115" cy="952245"/>
                                <wp:effectExtent l="0" t="0" r="0" b="0"/>
                                <wp:docPr id="8" name="IM 8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8" name="IM 8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8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532115" cy="95224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c>
                    </w:tr>
                    <w:tr>
                      <w:tblPrEx>
                        <w:tblW w:w="3230" w:type="dxa"/>
                        <w:tblInd w:w="22" w:type="dxa"/>
                        <w:tblLayout w:type="fixed"/>
                      </w:tblPrEx>
                      <w:trPr>
                        <w:trHeight w:val="450"/>
                      </w:trPr>
                      <w:tc>
                        <w:tcPr>
                          <w:tcW w:w="3230" w:type="dxa"/>
                          <w:gridSpan w:val="2"/>
                          <w:tcBorders>
                            <w:left w:val="single" w:sz="2" w:space="0" w:color="D9D9D9"/>
                            <w:bottom w:val="single" w:sz="6" w:space="0" w:color="D9D9D9"/>
                            <w:right w:val="single" w:sz="6" w:space="0" w:color="D9D9D9"/>
                          </w:tcBorders>
                          <w:vAlign w:val="top"/>
                        </w:tcPr>
                        <w:p>
                          <w:pPr>
                            <w:spacing w:before="43" w:line="222" w:lineRule="auto"/>
                            <w:ind w:left="218"/>
                            <w:rPr>
                              <w:rFonts w:ascii="Calibri" w:eastAsia="Calibri" w:hAnsi="Calibri" w:cs="Calibri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color w:val="595959"/>
                              <w:sz w:val="12"/>
                              <w:szCs w:val="12"/>
                            </w:rPr>
                            <w:t>22/12/27  23/3/10   23/</w:t>
                          </w:r>
                          <w:r>
                            <w:rPr>
                              <w:rFonts w:ascii="Calibri" w:eastAsia="Calibri" w:hAnsi="Calibri" w:cs="Calibri"/>
                              <w:color w:val="595959"/>
                              <w:spacing w:val="-1"/>
                              <w:sz w:val="12"/>
                              <w:szCs w:val="12"/>
                            </w:rPr>
                            <w:t>5/22     23/8/3   23/10/15 23/12/27</w:t>
                          </w:r>
                        </w:p>
                        <w:p>
                          <w:pPr>
                            <w:spacing w:before="55" w:line="220" w:lineRule="auto"/>
                            <w:ind w:left="611"/>
                            <w:rPr>
                              <w:rFonts w:ascii="Calibri" w:eastAsia="Calibri" w:hAnsi="Calibri" w:cs="Calibri"/>
                              <w:sz w:val="10"/>
                              <w:szCs w:val="10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color w:val="595959"/>
                              <w:position w:val="2"/>
                              <w:sz w:val="10"/>
                              <w:szCs w:val="10"/>
                            </w:rPr>
                            <w:drawing>
                              <wp:inline distT="0" distB="0" distL="0" distR="0">
                                <wp:extent cx="256540" cy="12700"/>
                                <wp:effectExtent l="0" t="0" r="0" b="0"/>
                                <wp:docPr id="10" name="IM 10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0" name="IM 10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9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56540" cy="127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SimHei" w:eastAsia="SimHei" w:hAnsi="SimHei" w:cs="SimHei"/>
                              <w:color w:val="595959"/>
                              <w:spacing w:val="-14"/>
                              <w:sz w:val="10"/>
                              <w:szCs w:val="10"/>
                            </w:rPr>
                            <w:t xml:space="preserve"> </w:t>
                          </w:r>
                          <w:r>
                            <w:rPr>
                              <w:rFonts w:ascii="SimHei" w:eastAsia="SimHei" w:hAnsi="SimHei" w:cs="SimHei"/>
                              <w:color w:val="595959"/>
                              <w:spacing w:val="-1"/>
                              <w:sz w:val="10"/>
                              <w:szCs w:val="10"/>
                            </w:rPr>
                            <w:t>汽车</w:t>
                          </w:r>
                          <w:r>
                            <w:rPr>
                              <w:rFonts w:ascii="SimHei" w:eastAsia="SimHei" w:hAnsi="SimHei" w:cs="SimHei"/>
                              <w:color w:val="595959"/>
                              <w:sz w:val="10"/>
                              <w:szCs w:val="10"/>
                            </w:rPr>
                            <w:t xml:space="preserve">          </w:t>
                          </w:r>
                          <w:r>
                            <w:rPr>
                              <w:position w:val="2"/>
                              <w:sz w:val="10"/>
                              <w:szCs w:val="10"/>
                            </w:rPr>
                            <w:drawing>
                              <wp:inline distT="0" distB="0" distL="0" distR="0">
                                <wp:extent cx="256539" cy="12700"/>
                                <wp:effectExtent l="0" t="0" r="0" b="0"/>
                                <wp:docPr id="12" name="IM 12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2" name="IM 12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10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56539" cy="127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SimHei" w:eastAsia="SimHei" w:hAnsi="SimHei" w:cs="SimHei"/>
                              <w:color w:val="595959"/>
                              <w:spacing w:val="-6"/>
                              <w:sz w:val="10"/>
                              <w:szCs w:val="10"/>
                            </w:rPr>
                            <w:t xml:space="preserve"> </w:t>
                          </w:r>
                          <w:r>
                            <w:rPr>
                              <w:rFonts w:ascii="SimHei" w:eastAsia="SimHei" w:hAnsi="SimHei" w:cs="SimHei"/>
                              <w:color w:val="595959"/>
                              <w:spacing w:val="-1"/>
                              <w:sz w:val="10"/>
                              <w:szCs w:val="10"/>
                            </w:rPr>
                            <w:t>沪深</w:t>
                          </w:r>
                          <w:r>
                            <w:rPr>
                              <w:rFonts w:ascii="Calibri" w:eastAsia="Calibri" w:hAnsi="Calibri" w:cs="Calibri"/>
                              <w:color w:val="595959"/>
                              <w:spacing w:val="-1"/>
                              <w:sz w:val="10"/>
                              <w:szCs w:val="10"/>
                            </w:rPr>
                            <w:t>300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031" style="width:3243;height:15;position:absolute" coordorigin="0,0" coordsize="3243,15" path="m,14l3243,14l3243,l,l,14xe" filled="t" fillcolor="#ee1d23" stroked="f"/>
            <w10:wrap type="none"/>
          </v:group>
        </w:pict>
      </w:r>
    </w:p>
    <w:p>
      <w:pPr>
        <w:pStyle w:val="BodyText"/>
        <w:spacing w:before="91" w:line="219" w:lineRule="auto"/>
        <w:ind w:left="28"/>
        <w:rPr>
          <w:sz w:val="16"/>
          <w:szCs w:val="16"/>
        </w:rPr>
      </w:pPr>
      <w:r>
        <w:rPr>
          <w:i/>
          <w:iCs/>
          <w:spacing w:val="7"/>
          <w:sz w:val="16"/>
          <w:szCs w:val="16"/>
        </w:rPr>
        <w:t>数据来源：</w:t>
      </w:r>
      <w:r>
        <w:rPr>
          <w:i/>
          <w:iCs/>
          <w:sz w:val="16"/>
          <w:szCs w:val="16"/>
        </w:rPr>
        <w:t>wind</w:t>
      </w:r>
      <w:r>
        <w:rPr>
          <w:i/>
          <w:iCs/>
          <w:spacing w:val="7"/>
          <w:sz w:val="16"/>
          <w:szCs w:val="16"/>
        </w:rPr>
        <w:t>方正证券研究所</w:t>
      </w:r>
    </w:p>
    <w:p>
      <w:pPr>
        <w:spacing w:before="117"/>
      </w:pPr>
    </w:p>
    <w:tbl>
      <w:tblPr>
        <w:tblStyle w:val="TableNormal"/>
        <w:tblW w:w="3260" w:type="dxa"/>
        <w:tblInd w:w="1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260"/>
      </w:tblGrid>
      <w:tr>
        <w:tblPrEx>
          <w:tblW w:w="3260" w:type="dxa"/>
          <w:tblInd w:w="1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18"/>
        </w:trPr>
        <w:tc>
          <w:tcPr>
            <w:tcW w:w="3260" w:type="dxa"/>
            <w:tcBorders>
              <w:top w:val="single" w:sz="4" w:space="0" w:color="EE1D23"/>
            </w:tcBorders>
            <w:shd w:val="clear" w:color="auto" w:fill="9C9A9B"/>
            <w:vAlign w:val="top"/>
          </w:tcPr>
          <w:p>
            <w:pPr>
              <w:pStyle w:val="TableText"/>
              <w:spacing w:before="63" w:line="228" w:lineRule="auto"/>
              <w:ind w:left="1005"/>
              <w:rPr>
                <w:sz w:val="19"/>
                <w:szCs w:val="19"/>
              </w:rPr>
            </w:pPr>
            <w:r>
              <w:rPr>
                <w:color w:val="FFFFFF"/>
                <w:spacing w:val="-1"/>
                <w:sz w:val="19"/>
                <w:szCs w:val="19"/>
              </w:rPr>
              <w:t>相</w:t>
            </w:r>
            <w:r>
              <w:rPr>
                <w:color w:val="FFFFFF"/>
                <w:spacing w:val="43"/>
                <w:sz w:val="19"/>
                <w:szCs w:val="19"/>
              </w:rPr>
              <w:t xml:space="preserve"> </w:t>
            </w:r>
            <w:r>
              <w:rPr>
                <w:color w:val="FFFFFF"/>
                <w:spacing w:val="-1"/>
                <w:sz w:val="19"/>
                <w:szCs w:val="19"/>
              </w:rPr>
              <w:t>关</w:t>
            </w:r>
            <w:r>
              <w:rPr>
                <w:color w:val="FFFFFF"/>
                <w:spacing w:val="30"/>
                <w:sz w:val="19"/>
                <w:szCs w:val="19"/>
              </w:rPr>
              <w:t xml:space="preserve"> </w:t>
            </w:r>
            <w:r>
              <w:rPr>
                <w:color w:val="FFFFFF"/>
                <w:spacing w:val="-1"/>
                <w:sz w:val="19"/>
                <w:szCs w:val="19"/>
              </w:rPr>
              <w:t>研</w:t>
            </w:r>
            <w:r>
              <w:rPr>
                <w:color w:val="FFFFFF"/>
                <w:spacing w:val="32"/>
                <w:sz w:val="19"/>
                <w:szCs w:val="19"/>
              </w:rPr>
              <w:t xml:space="preserve"> </w:t>
            </w:r>
            <w:r>
              <w:rPr>
                <w:color w:val="FFFFFF"/>
                <w:spacing w:val="-1"/>
                <w:sz w:val="19"/>
                <w:szCs w:val="19"/>
              </w:rPr>
              <w:t>究</w:t>
            </w:r>
          </w:p>
        </w:tc>
      </w:tr>
      <w:tr>
        <w:tblPrEx>
          <w:tblW w:w="3260" w:type="dxa"/>
          <w:tblInd w:w="14" w:type="dxa"/>
          <w:tblLayout w:type="fixed"/>
        </w:tblPrEx>
        <w:trPr>
          <w:trHeight w:val="520"/>
        </w:trPr>
        <w:tc>
          <w:tcPr>
            <w:tcW w:w="3260" w:type="dxa"/>
            <w:tcBorders>
              <w:bottom w:val="single" w:sz="2" w:space="0" w:color="D9D9D9"/>
            </w:tcBorders>
            <w:vAlign w:val="top"/>
          </w:tcPr>
          <w:p>
            <w:pPr>
              <w:pStyle w:val="TableText"/>
              <w:spacing w:before="80" w:line="226" w:lineRule="auto"/>
              <w:ind w:left="19" w:right="84" w:hanging="5"/>
            </w:pPr>
            <w:r>
              <w:rPr>
                <w:spacing w:val="-8"/>
              </w:rPr>
              <w:t>《汽车销量：</w:t>
            </w:r>
            <w:r>
              <w:rPr>
                <w:spacing w:val="-4"/>
              </w:rPr>
              <w:t xml:space="preserve"> </w:t>
            </w:r>
            <w:r>
              <w:rPr>
                <w:spacing w:val="-8"/>
              </w:rPr>
              <w:t>5</w:t>
            </w:r>
            <w:r>
              <w:rPr>
                <w:spacing w:val="-28"/>
              </w:rPr>
              <w:t xml:space="preserve"> </w:t>
            </w:r>
            <w:r>
              <w:rPr>
                <w:spacing w:val="-8"/>
              </w:rPr>
              <w:t>月同环比双升，</w:t>
            </w:r>
            <w:r>
              <w:rPr>
                <w:spacing w:val="-8"/>
              </w:rPr>
              <w:t xml:space="preserve"> </w:t>
            </w:r>
            <w:r>
              <w:rPr>
                <w:spacing w:val="-8"/>
              </w:rPr>
              <w:t>政策发力助力</w:t>
            </w:r>
            <w:r>
              <w:t xml:space="preserve"> </w:t>
            </w:r>
            <w:r>
              <w:rPr>
                <w:spacing w:val="-1"/>
              </w:rPr>
              <w:t>汽车消费》2023.06.20</w:t>
            </w:r>
          </w:p>
        </w:tc>
      </w:tr>
      <w:tr>
        <w:tblPrEx>
          <w:tblW w:w="3260" w:type="dxa"/>
          <w:tblInd w:w="14" w:type="dxa"/>
          <w:tblLayout w:type="fixed"/>
        </w:tblPrEx>
        <w:trPr>
          <w:trHeight w:val="519"/>
        </w:trPr>
        <w:tc>
          <w:tcPr>
            <w:tcW w:w="3260" w:type="dxa"/>
            <w:tcBorders>
              <w:top w:val="single" w:sz="2" w:space="0" w:color="D9D9D9"/>
              <w:bottom w:val="single" w:sz="2" w:space="0" w:color="D9D9D9"/>
            </w:tcBorders>
            <w:vAlign w:val="top"/>
          </w:tcPr>
          <w:p>
            <w:pPr>
              <w:pStyle w:val="TableText"/>
              <w:spacing w:before="79" w:line="224" w:lineRule="auto"/>
              <w:ind w:left="19" w:right="364" w:hanging="5"/>
            </w:pPr>
            <w:r>
              <w:t>《汽车专题：新能源汽车是这样开发的》</w:t>
            </w:r>
            <w:r>
              <w:t xml:space="preserve"> </w:t>
            </w:r>
            <w:r>
              <w:rPr>
                <w:spacing w:val="-1"/>
              </w:rPr>
              <w:t>2023.04.10</w:t>
            </w:r>
          </w:p>
        </w:tc>
      </w:tr>
      <w:tr>
        <w:tblPrEx>
          <w:tblW w:w="3260" w:type="dxa"/>
          <w:tblInd w:w="14" w:type="dxa"/>
          <w:tblLayout w:type="fixed"/>
        </w:tblPrEx>
        <w:trPr>
          <w:trHeight w:val="519"/>
        </w:trPr>
        <w:tc>
          <w:tcPr>
            <w:tcW w:w="3260" w:type="dxa"/>
            <w:tcBorders>
              <w:top w:val="single" w:sz="2" w:space="0" w:color="D9D9D9"/>
              <w:bottom w:val="single" w:sz="2" w:space="0" w:color="D9D9D9"/>
            </w:tcBorders>
            <w:vAlign w:val="top"/>
          </w:tcPr>
          <w:p>
            <w:pPr>
              <w:pStyle w:val="TableText"/>
              <w:spacing w:before="80" w:line="223" w:lineRule="auto"/>
              <w:ind w:left="19" w:right="203" w:hanging="5"/>
            </w:pPr>
            <w:r>
              <w:rPr>
                <w:spacing w:val="-4"/>
              </w:rPr>
              <w:t>《混动技术百舸争流，</w:t>
            </w:r>
            <w:r>
              <w:rPr>
                <w:spacing w:val="-4"/>
              </w:rPr>
              <w:t xml:space="preserve"> </w:t>
            </w:r>
            <w:r>
              <w:rPr>
                <w:spacing w:val="-4"/>
              </w:rPr>
              <w:t>品牌格局迎来重塑》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2023.01.03</w:t>
            </w:r>
          </w:p>
        </w:tc>
      </w:tr>
      <w:tr>
        <w:tblPrEx>
          <w:tblW w:w="3260" w:type="dxa"/>
          <w:tblInd w:w="14" w:type="dxa"/>
          <w:tblLayout w:type="fixed"/>
        </w:tblPrEx>
        <w:trPr>
          <w:trHeight w:val="721"/>
        </w:trPr>
        <w:tc>
          <w:tcPr>
            <w:tcW w:w="3260" w:type="dxa"/>
            <w:tcBorders>
              <w:top w:val="single" w:sz="2" w:space="0" w:color="D9D9D9"/>
              <w:bottom w:val="single" w:sz="2" w:space="0" w:color="D9D9D9"/>
            </w:tcBorders>
            <w:vAlign w:val="top"/>
          </w:tcPr>
          <w:p>
            <w:pPr>
              <w:pStyle w:val="TableText"/>
              <w:spacing w:before="83" w:line="227" w:lineRule="auto"/>
              <w:ind w:left="19" w:right="44" w:hanging="5"/>
              <w:jc w:val="both"/>
            </w:pPr>
            <w:r>
              <w:rPr>
                <w:spacing w:val="-4"/>
              </w:rPr>
              <w:t>《【方正汽车·行业深度】汽车总量研究框架</w:t>
            </w:r>
            <w:r>
              <w:t xml:space="preserve">  </w:t>
            </w:r>
            <w:r>
              <w:rPr>
                <w:spacing w:val="-4"/>
              </w:rPr>
              <w:t>及周期复盘，行业周期景气上行，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保有量有望</w:t>
            </w:r>
            <w:r>
              <w:t xml:space="preserve"> </w:t>
            </w:r>
            <w:r>
              <w:rPr>
                <w:spacing w:val="-1"/>
              </w:rPr>
              <w:t>持续增长》2022.09.15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  <w:sectPr>
          <w:headerReference w:type="default" r:id="rId11"/>
          <w:footerReference w:type="default" r:id="rId12"/>
          <w:type w:val="continuous"/>
          <w:pgSz w:w="11907" w:h="16839"/>
          <w:pgMar w:top="1219" w:right="634" w:bottom="707" w:left="679" w:header="454" w:footer="405" w:gutter="0"/>
          <w:pgNumType w:start="2"/>
          <w:cols w:num="2" w:space="708" w:equalWidth="0">
            <w:col w:w="3619" w:space="100"/>
            <w:col w:w="6874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85" w:line="236" w:lineRule="auto"/>
        <w:ind w:left="4" w:hanging="4"/>
        <w:jc w:val="both"/>
      </w:pPr>
      <w:r>
        <w:rPr>
          <w:color w:val="231F20"/>
          <w:spacing w:val="-5"/>
          <w14:textOutline w14:w="3831">
            <w14:solidFill>
              <w14:srgbClr w14:val="231F20"/>
            </w14:solidFill>
            <w14:prstDash w14:val="solid"/>
            <w14:miter w14:lim="10"/>
          </w14:textOutline>
        </w:rPr>
        <w:t>AITO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5"/>
          <w14:textOutline w14:w="3831">
            <w14:solidFill>
              <w14:srgbClr w14:val="231F20"/>
            </w14:solidFill>
            <w14:prstDash w14:val="solid"/>
            <w14:miter w14:lim="10"/>
          </w14:textOutline>
        </w:rPr>
        <w:t>问界</w:t>
      </w:r>
      <w:r>
        <w:rPr>
          <w:color w:val="231F20"/>
          <w:spacing w:val="-45"/>
        </w:rPr>
        <w:t xml:space="preserve"> </w:t>
      </w:r>
      <w:r>
        <w:rPr>
          <w:color w:val="231F20"/>
          <w:spacing w:val="-5"/>
          <w14:textOutline w14:w="3831">
            <w14:solidFill>
              <w14:srgbClr w14:val="231F20"/>
            </w14:solidFill>
            <w14:prstDash w14:val="solid"/>
            <w14:miter w14:lim="10"/>
          </w14:textOutline>
        </w:rPr>
        <w:t>M9</w:t>
      </w:r>
      <w:r>
        <w:rPr>
          <w:color w:val="231F20"/>
          <w:spacing w:val="-39"/>
        </w:rPr>
        <w:t xml:space="preserve"> </w:t>
      </w:r>
      <w:r>
        <w:rPr>
          <w:color w:val="231F20"/>
          <w:spacing w:val="-5"/>
          <w14:textOutline w14:w="3831">
            <w14:solidFill>
              <w14:srgbClr w14:val="231F20"/>
            </w14:solidFill>
            <w14:prstDash w14:val="solid"/>
            <w14:miter w14:lim="10"/>
          </w14:textOutline>
        </w:rPr>
        <w:t>为赛力斯魔方平台打造首款车型：</w:t>
      </w:r>
      <w:r>
        <w:rPr>
          <w:color w:val="231F20"/>
          <w:spacing w:val="-5"/>
        </w:rPr>
        <w:t>AITO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5"/>
        </w:rPr>
        <w:t>问界</w:t>
      </w:r>
      <w:r>
        <w:rPr>
          <w:color w:val="231F20"/>
          <w:spacing w:val="-47"/>
        </w:rPr>
        <w:t xml:space="preserve"> </w:t>
      </w:r>
      <w:r>
        <w:rPr>
          <w:color w:val="231F20"/>
          <w:spacing w:val="-5"/>
        </w:rPr>
        <w:t>M9</w:t>
      </w:r>
      <w:r>
        <w:rPr>
          <w:color w:val="231F20"/>
          <w:spacing w:val="-46"/>
        </w:rPr>
        <w:t xml:space="preserve"> </w:t>
      </w:r>
      <w:r>
        <w:rPr>
          <w:color w:val="231F20"/>
          <w:spacing w:val="-5"/>
        </w:rPr>
        <w:t>于</w:t>
      </w:r>
      <w:r>
        <w:rPr>
          <w:color w:val="231F20"/>
          <w:spacing w:val="-33"/>
        </w:rPr>
        <w:t xml:space="preserve"> </w:t>
      </w:r>
      <w:r>
        <w:rPr>
          <w:color w:val="231F20"/>
          <w:spacing w:val="-5"/>
        </w:rPr>
        <w:t>12</w:t>
      </w:r>
      <w:r>
        <w:rPr>
          <w:color w:val="231F20"/>
          <w:spacing w:val="-41"/>
        </w:rPr>
        <w:t xml:space="preserve"> </w:t>
      </w:r>
      <w:r>
        <w:rPr>
          <w:color w:val="231F20"/>
          <w:spacing w:val="-5"/>
        </w:rPr>
        <w:t>月</w:t>
      </w:r>
      <w:r>
        <w:rPr>
          <w:color w:val="231F20"/>
          <w:spacing w:val="-46"/>
        </w:rPr>
        <w:t xml:space="preserve"> </w:t>
      </w:r>
      <w:r>
        <w:rPr>
          <w:color w:val="231F20"/>
          <w:spacing w:val="-5"/>
        </w:rPr>
        <w:t>26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6"/>
        </w:rPr>
        <w:t>日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7"/>
        </w:rPr>
        <w:t>首发上市，</w:t>
      </w:r>
      <w:r>
        <w:rPr>
          <w:color w:val="231F20"/>
          <w:spacing w:val="-48"/>
        </w:rPr>
        <w:t xml:space="preserve"> </w:t>
      </w:r>
      <w:r>
        <w:rPr>
          <w:color w:val="231F20"/>
          <w:spacing w:val="-7"/>
        </w:rPr>
        <w:t>车型由赛力斯魔方平台打造，采用</w:t>
      </w:r>
      <w:r>
        <w:rPr>
          <w:color w:val="231F20"/>
          <w:spacing w:val="-47"/>
        </w:rPr>
        <w:t xml:space="preserve"> </w:t>
      </w:r>
      <w:r>
        <w:rPr>
          <w:color w:val="231F20"/>
          <w:spacing w:val="-7"/>
        </w:rPr>
        <w:t>CCA+Vehicle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7"/>
        </w:rPr>
        <w:t>Stack</w:t>
      </w:r>
      <w:r>
        <w:rPr>
          <w:color w:val="231F20"/>
          <w:spacing w:val="-44"/>
        </w:rPr>
        <w:t xml:space="preserve"> </w:t>
      </w:r>
      <w:r>
        <w:rPr>
          <w:color w:val="231F20"/>
          <w:spacing w:val="-7"/>
        </w:rPr>
        <w:t>架构，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7"/>
        </w:rPr>
        <w:t>可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实现不同的域控制器之间交互</w:t>
      </w:r>
      <w:r>
        <w:rPr>
          <w:color w:val="231F20"/>
          <w:spacing w:val="-4"/>
          <w14:textOutline w14:w="3831">
            <w14:solidFill>
              <w14:srgbClr w14:val="231F20"/>
            </w14:solidFill>
            <w14:prstDash w14:val="solid"/>
            <w14:miter w14:lim="10"/>
          </w14:textOutline>
        </w:rPr>
        <w:t>；核心配置：</w:t>
      </w:r>
      <w:r>
        <w:rPr>
          <w:color w:val="231F20"/>
          <w:spacing w:val="-4"/>
        </w:rPr>
        <w:t>途灵智</w:t>
      </w:r>
      <w:r>
        <w:rPr>
          <w:color w:val="231F20"/>
          <w:spacing w:val="-5"/>
        </w:rPr>
        <w:t>能底盘拥有四大核心智能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1"/>
        </w:rPr>
        <w:t>技术的加持，大幅提升行车动态安全性与舒适性，首搭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1"/>
        </w:rPr>
        <w:t>9000T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1"/>
        </w:rPr>
        <w:t>一体化压铸</w:t>
      </w:r>
      <w:r>
        <w:rPr>
          <w:color w:val="231F20"/>
          <w:spacing w:val="12"/>
        </w:rPr>
        <w:t xml:space="preserve"> </w:t>
      </w:r>
      <w:r>
        <w:rPr>
          <w:color w:val="231F20"/>
          <w:spacing w:val="-4"/>
        </w:rPr>
        <w:t>后地板部件，车身结构强度与轻量化兼具，全车满配可达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4"/>
        </w:rPr>
        <w:t>10</w:t>
      </w:r>
      <w:r>
        <w:rPr>
          <w:color w:val="231F20"/>
          <w:spacing w:val="-48"/>
        </w:rPr>
        <w:t xml:space="preserve"> </w:t>
      </w:r>
      <w:r>
        <w:rPr>
          <w:color w:val="231F20"/>
          <w:spacing w:val="-4"/>
        </w:rPr>
        <w:t>块屏</w:t>
      </w:r>
      <w:r>
        <w:rPr>
          <w:color w:val="231F20"/>
          <w:spacing w:val="-5"/>
        </w:rPr>
        <w:t>幕，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5"/>
        </w:rPr>
        <w:t>搭载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4"/>
        </w:rPr>
        <w:t>女王副驾与零重力座椅，TMS</w:t>
      </w:r>
      <w:r>
        <w:rPr>
          <w:color w:val="231F20"/>
          <w:spacing w:val="-41"/>
        </w:rPr>
        <w:t xml:space="preserve"> </w:t>
      </w:r>
      <w:r>
        <w:rPr>
          <w:color w:val="231F20"/>
          <w:spacing w:val="-4"/>
        </w:rPr>
        <w:t>热管理与</w:t>
      </w:r>
      <w:r>
        <w:rPr>
          <w:color w:val="231F20"/>
          <w:spacing w:val="-46"/>
        </w:rPr>
        <w:t xml:space="preserve"> </w:t>
      </w:r>
      <w:r>
        <w:rPr>
          <w:color w:val="231F20"/>
          <w:spacing w:val="-4"/>
        </w:rPr>
        <w:t>BMS</w:t>
      </w:r>
      <w:r>
        <w:rPr>
          <w:color w:val="231F20"/>
          <w:spacing w:val="-33"/>
        </w:rPr>
        <w:t xml:space="preserve"> </w:t>
      </w:r>
      <w:r>
        <w:rPr>
          <w:color w:val="231F20"/>
          <w:spacing w:val="-4"/>
        </w:rPr>
        <w:t>电池管理使得安全与能效提升</w:t>
      </w:r>
      <w:r>
        <w:rPr>
          <w:color w:val="231F20"/>
          <w:spacing w:val="-61"/>
        </w:rPr>
        <w:t>，；</w:t>
      </w:r>
      <w:r>
        <w:rPr>
          <w:color w:val="231F20"/>
        </w:rPr>
        <w:t xml:space="preserve"> </w:t>
      </w:r>
      <w:r>
        <w:rPr>
          <w:color w:val="231F20"/>
          <w:spacing w:val="-6"/>
          <w14:textOutline w14:w="3831">
            <w14:solidFill>
              <w14:srgbClr w14:val="231F20"/>
            </w14:solidFill>
            <w14:prstDash w14:val="solid"/>
            <w14:miter w14:lim="10"/>
          </w14:textOutline>
        </w:rPr>
        <w:t>智能化黑科技：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-6"/>
        </w:rPr>
        <w:t>AITO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6"/>
        </w:rPr>
        <w:t>问界</w:t>
      </w:r>
      <w:r>
        <w:rPr>
          <w:color w:val="231F20"/>
          <w:spacing w:val="-47"/>
        </w:rPr>
        <w:t xml:space="preserve"> </w:t>
      </w:r>
      <w:r>
        <w:rPr>
          <w:color w:val="231F20"/>
          <w:spacing w:val="-6"/>
        </w:rPr>
        <w:t>M9</w:t>
      </w:r>
      <w:r>
        <w:rPr>
          <w:color w:val="231F20"/>
          <w:spacing w:val="-39"/>
        </w:rPr>
        <w:t xml:space="preserve"> </w:t>
      </w:r>
      <w:r>
        <w:rPr>
          <w:color w:val="231F20"/>
          <w:spacing w:val="-6"/>
        </w:rPr>
        <w:t>首发搭载多项华为汽车业务黑科技，包括</w:t>
      </w:r>
      <w:r>
        <w:rPr>
          <w:color w:val="231F20"/>
          <w:spacing w:val="-50"/>
        </w:rPr>
        <w:t xml:space="preserve"> </w:t>
      </w:r>
      <w:r>
        <w:rPr>
          <w:color w:val="231F20"/>
          <w:spacing w:val="-6"/>
        </w:rPr>
        <w:t>AR-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10"/>
        </w:rPr>
        <w:t>HUD、智慧车灯、华为</w:t>
      </w:r>
      <w:r>
        <w:rPr>
          <w:color w:val="231F20"/>
          <w:spacing w:val="-45"/>
        </w:rPr>
        <w:t xml:space="preserve"> </w:t>
      </w:r>
      <w:r>
        <w:rPr>
          <w:color w:val="231F20"/>
          <w:spacing w:val="-10"/>
        </w:rPr>
        <w:t>SOUND</w:t>
      </w:r>
      <w:r>
        <w:rPr>
          <w:color w:val="231F20"/>
          <w:spacing w:val="-46"/>
        </w:rPr>
        <w:t xml:space="preserve"> </w:t>
      </w:r>
      <w:r>
        <w:rPr>
          <w:color w:val="231F20"/>
          <w:spacing w:val="-10"/>
        </w:rPr>
        <w:t>等高端智能化配置。</w:t>
      </w:r>
      <w:r>
        <w:rPr>
          <w:color w:val="231F20"/>
          <w:spacing w:val="-10"/>
          <w14:textOutline w14:w="3831">
            <w14:solidFill>
              <w14:srgbClr w14:val="231F20"/>
            </w14:solidFill>
            <w14:prstDash w14:val="solid"/>
            <w14:miter w14:lim="10"/>
          </w14:textOutline>
        </w:rPr>
        <w:t>自动驾驶：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10"/>
        </w:rPr>
        <w:t>华为</w:t>
      </w:r>
      <w:r>
        <w:rPr>
          <w:color w:val="231F20"/>
          <w:spacing w:val="-11"/>
        </w:rPr>
        <w:t>预计在</w:t>
      </w:r>
      <w:r>
        <w:rPr>
          <w:color w:val="231F20"/>
          <w:spacing w:val="-46"/>
        </w:rPr>
        <w:t xml:space="preserve"> </w:t>
      </w:r>
      <w:r>
        <w:rPr>
          <w:color w:val="231F20"/>
          <w:spacing w:val="-11"/>
        </w:rPr>
        <w:t>2023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3"/>
        </w:rPr>
        <w:t>年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3"/>
        </w:rPr>
        <w:t>12</w:t>
      </w:r>
      <w:r>
        <w:rPr>
          <w:color w:val="231F20"/>
          <w:spacing w:val="-41"/>
        </w:rPr>
        <w:t xml:space="preserve"> </w:t>
      </w:r>
      <w:r>
        <w:rPr>
          <w:color w:val="231F20"/>
          <w:spacing w:val="-3"/>
        </w:rPr>
        <w:t>月开放全国无图城市</w:t>
      </w:r>
      <w:r>
        <w:rPr>
          <w:color w:val="231F20"/>
          <w:spacing w:val="-44"/>
        </w:rPr>
        <w:t xml:space="preserve"> </w:t>
      </w:r>
      <w:r>
        <w:rPr>
          <w:color w:val="231F20"/>
          <w:spacing w:val="-3"/>
        </w:rPr>
        <w:t>NCA，智驾能力行业领先。</w:t>
      </w:r>
    </w:p>
    <w:p>
      <w:pPr>
        <w:pStyle w:val="BodyText"/>
        <w:spacing w:before="186" w:line="235" w:lineRule="auto"/>
        <w:ind w:left="4" w:right="66"/>
        <w:jc w:val="both"/>
      </w:pPr>
      <w:r>
        <w:rPr>
          <w:color w:val="231F20"/>
          <w:spacing w:val="2"/>
          <w14:textOutline w14:w="3831">
            <w14:solidFill>
              <w14:srgbClr w14:val="231F20"/>
            </w14:solidFill>
            <w14:prstDash w14:val="solid"/>
            <w14:miter w14:lim="10"/>
          </w14:textOutline>
        </w:rPr>
        <w:t>新兴技术定义车企竞争，成为汽车智能化关键赛道：</w:t>
      </w:r>
      <w:r>
        <w:rPr>
          <w:color w:val="231F20"/>
          <w:spacing w:val="2"/>
        </w:rPr>
        <w:t>我们认为汽车行业中</w:t>
      </w:r>
      <w:r>
        <w:rPr>
          <w:color w:val="231F20"/>
          <w:spacing w:val="15"/>
        </w:rPr>
        <w:t xml:space="preserve"> </w:t>
      </w:r>
      <w:r>
        <w:rPr>
          <w:color w:val="231F20"/>
          <w:spacing w:val="-3"/>
        </w:rPr>
        <w:t>提升车型竞争力的新兴技术对消费者购买决策将起到关键性作用，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3"/>
        </w:rPr>
        <w:t>AITO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问</w:t>
      </w:r>
      <w:r>
        <w:rPr>
          <w:color w:val="231F20"/>
        </w:rPr>
        <w:t xml:space="preserve"> </w:t>
      </w:r>
      <w:r>
        <w:rPr>
          <w:color w:val="231F20"/>
          <w:spacing w:val="-9"/>
        </w:rPr>
        <w:t>界</w:t>
      </w:r>
      <w:r>
        <w:rPr>
          <w:color w:val="231F20"/>
          <w:spacing w:val="-38"/>
        </w:rPr>
        <w:t xml:space="preserve"> </w:t>
      </w:r>
      <w:r>
        <w:rPr>
          <w:color w:val="231F20"/>
          <w:spacing w:val="-9"/>
        </w:rPr>
        <w:t>M9</w:t>
      </w:r>
      <w:r>
        <w:rPr>
          <w:color w:val="231F20"/>
          <w:spacing w:val="-37"/>
        </w:rPr>
        <w:t xml:space="preserve"> </w:t>
      </w:r>
      <w:r>
        <w:rPr>
          <w:color w:val="231F20"/>
          <w:spacing w:val="-9"/>
        </w:rPr>
        <w:t>搭载多项核心技术，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9"/>
        </w:rPr>
        <w:t>具备综合优势。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9"/>
        </w:rPr>
        <w:t>充电平</w:t>
      </w:r>
      <w:r>
        <w:rPr>
          <w:color w:val="231F20"/>
          <w:spacing w:val="-10"/>
        </w:rPr>
        <w:t>台层面，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10"/>
        </w:rPr>
        <w:t>AITO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10"/>
        </w:rPr>
        <w:t>问界</w:t>
      </w:r>
      <w:r>
        <w:rPr>
          <w:color w:val="231F20"/>
          <w:spacing w:val="-40"/>
        </w:rPr>
        <w:t xml:space="preserve"> </w:t>
      </w:r>
      <w:r>
        <w:rPr>
          <w:color w:val="231F20"/>
          <w:spacing w:val="-10"/>
        </w:rPr>
        <w:t>M9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10"/>
        </w:rPr>
        <w:t>具</w:t>
      </w:r>
      <w:r>
        <w:rPr>
          <w:color w:val="231F20"/>
        </w:rPr>
        <w:t xml:space="preserve"> </w:t>
      </w:r>
      <w:r>
        <w:rPr>
          <w:color w:val="231F20"/>
          <w:spacing w:val="-7"/>
        </w:rPr>
        <w:t>备</w:t>
      </w:r>
      <w:r>
        <w:rPr>
          <w:color w:val="231F20"/>
          <w:spacing w:val="-47"/>
        </w:rPr>
        <w:t xml:space="preserve"> </w:t>
      </w:r>
      <w:r>
        <w:rPr>
          <w:color w:val="231F20"/>
          <w:spacing w:val="-7"/>
        </w:rPr>
        <w:t>800V</w:t>
      </w:r>
      <w:r>
        <w:rPr>
          <w:color w:val="231F20"/>
          <w:spacing w:val="-45"/>
        </w:rPr>
        <w:t xml:space="preserve"> </w:t>
      </w:r>
      <w:r>
        <w:rPr>
          <w:color w:val="231F20"/>
          <w:spacing w:val="-7"/>
        </w:rPr>
        <w:t>快充架构，</w:t>
      </w:r>
      <w:r>
        <w:rPr>
          <w:color w:val="231F20"/>
          <w:spacing w:val="-44"/>
        </w:rPr>
        <w:t xml:space="preserve"> </w:t>
      </w:r>
      <w:r>
        <w:rPr>
          <w:color w:val="231F20"/>
          <w:spacing w:val="-7"/>
        </w:rPr>
        <w:t>拥有</w:t>
      </w:r>
      <w:r>
        <w:rPr>
          <w:color w:val="231F20"/>
          <w:spacing w:val="-50"/>
        </w:rPr>
        <w:t xml:space="preserve"> </w:t>
      </w:r>
      <w:r>
        <w:rPr>
          <w:color w:val="231F20"/>
          <w:spacing w:val="-7"/>
        </w:rPr>
        <w:t>4C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7"/>
        </w:rPr>
        <w:t>的充电效率。自动驾驶层面，</w:t>
      </w:r>
      <w:r>
        <w:rPr>
          <w:color w:val="231F20"/>
          <w:spacing w:val="-50"/>
        </w:rPr>
        <w:t xml:space="preserve"> </w:t>
      </w:r>
      <w:r>
        <w:rPr>
          <w:color w:val="231F20"/>
          <w:spacing w:val="-7"/>
        </w:rPr>
        <w:t>AITO</w:t>
      </w:r>
      <w:r>
        <w:rPr>
          <w:color w:val="231F20"/>
          <w:spacing w:val="-35"/>
        </w:rPr>
        <w:t xml:space="preserve"> </w:t>
      </w:r>
      <w:r>
        <w:rPr>
          <w:color w:val="231F20"/>
          <w:spacing w:val="-7"/>
        </w:rPr>
        <w:t>问界</w:t>
      </w:r>
      <w:r>
        <w:rPr>
          <w:color w:val="231F20"/>
          <w:spacing w:val="-47"/>
        </w:rPr>
        <w:t xml:space="preserve"> </w:t>
      </w:r>
      <w:r>
        <w:rPr>
          <w:color w:val="231F20"/>
          <w:spacing w:val="-7"/>
        </w:rPr>
        <w:t>M9</w:t>
      </w:r>
      <w:r>
        <w:rPr>
          <w:color w:val="231F20"/>
          <w:spacing w:val="-46"/>
        </w:rPr>
        <w:t xml:space="preserve"> </w:t>
      </w:r>
      <w:r>
        <w:rPr>
          <w:color w:val="231F20"/>
          <w:spacing w:val="-7"/>
        </w:rPr>
        <w:t>搭载</w:t>
      </w:r>
      <w:r>
        <w:rPr>
          <w:color w:val="231F20"/>
        </w:rPr>
        <w:t xml:space="preserve"> </w:t>
      </w:r>
      <w:r>
        <w:rPr>
          <w:color w:val="231F20"/>
          <w:spacing w:val="-6"/>
        </w:rPr>
        <w:t>华为</w:t>
      </w:r>
      <w:r>
        <w:rPr>
          <w:color w:val="231F20"/>
          <w:spacing w:val="-50"/>
        </w:rPr>
        <w:t xml:space="preserve"> </w:t>
      </w:r>
      <w:r>
        <w:rPr>
          <w:color w:val="231F20"/>
          <w:spacing w:val="-6"/>
        </w:rPr>
        <w:t>ADS2.0</w:t>
      </w:r>
      <w:r>
        <w:rPr>
          <w:color w:val="231F20"/>
          <w:spacing w:val="-36"/>
        </w:rPr>
        <w:t xml:space="preserve"> </w:t>
      </w:r>
      <w:r>
        <w:rPr>
          <w:color w:val="231F20"/>
          <w:spacing w:val="-6"/>
        </w:rPr>
        <w:t>智驾系统，</w:t>
      </w:r>
      <w:r>
        <w:rPr>
          <w:color w:val="231F20"/>
          <w:spacing w:val="-58"/>
        </w:rPr>
        <w:t xml:space="preserve"> </w:t>
      </w:r>
      <w:r>
        <w:rPr>
          <w:color w:val="231F20"/>
          <w:spacing w:val="-6"/>
        </w:rPr>
        <w:t>实现城区</w:t>
      </w:r>
      <w:r>
        <w:rPr>
          <w:color w:val="231F20"/>
          <w:spacing w:val="-43"/>
        </w:rPr>
        <w:t xml:space="preserve"> </w:t>
      </w:r>
      <w:r>
        <w:rPr>
          <w:color w:val="231F20"/>
          <w:spacing w:val="-6"/>
        </w:rPr>
        <w:t>NOA</w:t>
      </w:r>
      <w:r>
        <w:rPr>
          <w:color w:val="231F20"/>
          <w:spacing w:val="-45"/>
        </w:rPr>
        <w:t xml:space="preserve"> </w:t>
      </w:r>
      <w:r>
        <w:rPr>
          <w:color w:val="231F20"/>
          <w:spacing w:val="-6"/>
        </w:rPr>
        <w:t>功能。座舱大模型层面，AIT</w:t>
      </w:r>
      <w:r>
        <w:rPr>
          <w:color w:val="231F20"/>
          <w:spacing w:val="-7"/>
        </w:rPr>
        <w:t>O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7"/>
        </w:rPr>
        <w:t>问界</w:t>
      </w:r>
      <w:r>
        <w:rPr>
          <w:color w:val="231F20"/>
          <w:spacing w:val="-45"/>
        </w:rPr>
        <w:t xml:space="preserve"> </w:t>
      </w:r>
      <w:r>
        <w:rPr>
          <w:color w:val="231F20"/>
          <w:spacing w:val="-7"/>
        </w:rPr>
        <w:t>M9</w:t>
      </w:r>
      <w:r>
        <w:rPr>
          <w:color w:val="231F20"/>
        </w:rPr>
        <w:t xml:space="preserve"> </w:t>
      </w:r>
      <w:r>
        <w:rPr>
          <w:color w:val="231F20"/>
          <w:spacing w:val="-5"/>
        </w:rPr>
        <w:t>搭载华为鸿蒙座舱，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5"/>
        </w:rPr>
        <w:t>盘古</w:t>
      </w:r>
      <w:r>
        <w:rPr>
          <w:color w:val="231F20"/>
          <w:spacing w:val="-53"/>
        </w:rPr>
        <w:t xml:space="preserve"> </w:t>
      </w:r>
      <w:r>
        <w:rPr>
          <w:color w:val="231F20"/>
          <w:spacing w:val="-5"/>
        </w:rPr>
        <w:t>A</w:t>
      </w:r>
      <w:r>
        <w:rPr>
          <w:color w:val="231F20"/>
          <w:spacing w:val="-63"/>
        </w:rPr>
        <w:t xml:space="preserve"> </w:t>
      </w:r>
      <w:r>
        <w:rPr>
          <w:color w:val="231F20"/>
          <w:spacing w:val="-5"/>
        </w:rPr>
        <w:t>I</w:t>
      </w:r>
      <w:r>
        <w:rPr>
          <w:color w:val="231F20"/>
          <w:spacing w:val="-44"/>
        </w:rPr>
        <w:t xml:space="preserve"> </w:t>
      </w:r>
      <w:r>
        <w:rPr>
          <w:color w:val="231F20"/>
          <w:spacing w:val="-5"/>
        </w:rPr>
        <w:t>大模型上车让小艺座舱交互更智能。</w:t>
      </w:r>
    </w:p>
    <w:p>
      <w:pPr>
        <w:pStyle w:val="BodyText"/>
        <w:spacing w:before="188" w:line="237" w:lineRule="auto"/>
        <w:ind w:right="66" w:firstLine="11"/>
        <w:jc w:val="both"/>
      </w:pPr>
      <w:r>
        <w:rPr>
          <w:color w:val="231F20"/>
          <w:spacing w:val="-10"/>
          <w14:textOutline w14:w="3831">
            <w14:solidFill>
              <w14:srgbClr w14:val="231F20"/>
            </w14:solidFill>
            <w14:prstDash w14:val="solid"/>
            <w14:miter w14:lim="10"/>
          </w14:textOutline>
        </w:rPr>
        <w:t>高端新能源空间广阔，</w:t>
      </w:r>
      <w:r>
        <w:rPr>
          <w:color w:val="231F20"/>
          <w:spacing w:val="36"/>
        </w:rPr>
        <w:t xml:space="preserve"> </w:t>
      </w:r>
      <w:r>
        <w:rPr>
          <w:color w:val="231F20"/>
          <w:spacing w:val="-10"/>
          <w14:textOutline w14:w="3831">
            <w14:solidFill>
              <w14:srgbClr w14:val="231F20"/>
            </w14:solidFill>
            <w14:prstDash w14:val="solid"/>
            <w14:miter w14:lim="10"/>
          </w14:textOutline>
        </w:rPr>
        <w:t>AITO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10"/>
          <w14:textOutline w14:w="3831">
            <w14:solidFill>
              <w14:srgbClr w14:val="231F20"/>
            </w14:solidFill>
            <w14:prstDash w14:val="solid"/>
            <w14:miter w14:lim="10"/>
          </w14:textOutline>
        </w:rPr>
        <w:t>问界</w:t>
      </w:r>
      <w:r>
        <w:rPr>
          <w:color w:val="231F20"/>
          <w:spacing w:val="-45"/>
        </w:rPr>
        <w:t xml:space="preserve"> </w:t>
      </w:r>
      <w:r>
        <w:rPr>
          <w:color w:val="231F20"/>
          <w:spacing w:val="-10"/>
          <w14:textOutline w14:w="3831">
            <w14:solidFill>
              <w14:srgbClr w14:val="231F20"/>
            </w14:solidFill>
            <w14:prstDash w14:val="solid"/>
            <w14:miter w14:lim="10"/>
          </w14:textOutline>
        </w:rPr>
        <w:t>M9</w:t>
      </w:r>
      <w:r>
        <w:rPr>
          <w:color w:val="231F20"/>
          <w:spacing w:val="-39"/>
        </w:rPr>
        <w:t xml:space="preserve"> </w:t>
      </w:r>
      <w:r>
        <w:rPr>
          <w:color w:val="231F20"/>
          <w:spacing w:val="-10"/>
          <w14:textOutline w14:w="3831">
            <w14:solidFill>
              <w14:srgbClr w14:val="231F20"/>
            </w14:solidFill>
            <w14:prstDash w14:val="solid"/>
            <w14:miter w14:lim="10"/>
          </w14:textOutline>
        </w:rPr>
        <w:t>具备爆款基因：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-10"/>
        </w:rPr>
        <w:t>202</w:t>
      </w:r>
      <w:r>
        <w:rPr>
          <w:color w:val="231F20"/>
          <w:spacing w:val="-11"/>
        </w:rPr>
        <w:t>3</w:t>
      </w:r>
      <w:r>
        <w:rPr>
          <w:color w:val="231F20"/>
          <w:spacing w:val="-46"/>
        </w:rPr>
        <w:t xml:space="preserve"> </w:t>
      </w:r>
      <w:r>
        <w:rPr>
          <w:color w:val="231F20"/>
          <w:spacing w:val="-11"/>
        </w:rPr>
        <w:t>年</w:t>
      </w:r>
      <w:r>
        <w:rPr>
          <w:color w:val="231F20"/>
          <w:spacing w:val="-33"/>
        </w:rPr>
        <w:t xml:space="preserve"> </w:t>
      </w:r>
      <w:r>
        <w:rPr>
          <w:color w:val="231F20"/>
          <w:spacing w:val="-11"/>
        </w:rPr>
        <w:t>1-11</w:t>
      </w:r>
      <w:r>
        <w:rPr>
          <w:color w:val="231F20"/>
          <w:spacing w:val="-38"/>
        </w:rPr>
        <w:t xml:space="preserve"> </w:t>
      </w:r>
      <w:r>
        <w:rPr>
          <w:color w:val="231F20"/>
          <w:spacing w:val="-11"/>
        </w:rPr>
        <w:t>月，国内</w:t>
      </w:r>
      <w:r>
        <w:rPr>
          <w:color w:val="231F20"/>
        </w:rPr>
        <w:t xml:space="preserve"> </w:t>
      </w:r>
      <w:r>
        <w:rPr>
          <w:color w:val="231F20"/>
          <w:spacing w:val="2"/>
        </w:rPr>
        <w:t>40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2"/>
        </w:rPr>
        <w:t>万元以上乘用车市场销量达到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2"/>
        </w:rPr>
        <w:t>132.5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2"/>
        </w:rPr>
        <w:t>万台，其中新能源乘用车销量为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7"/>
        </w:rPr>
        <w:t>38.3</w:t>
      </w:r>
      <w:r>
        <w:rPr>
          <w:color w:val="231F20"/>
          <w:spacing w:val="-41"/>
        </w:rPr>
        <w:t xml:space="preserve"> </w:t>
      </w:r>
      <w:r>
        <w:rPr>
          <w:color w:val="231F20"/>
          <w:spacing w:val="-7"/>
        </w:rPr>
        <w:t>万台，</w:t>
      </w:r>
      <w:r>
        <w:rPr>
          <w:color w:val="231F20"/>
          <w:spacing w:val="-45"/>
        </w:rPr>
        <w:t xml:space="preserve"> </w:t>
      </w:r>
      <w:r>
        <w:rPr>
          <w:color w:val="231F20"/>
          <w:spacing w:val="-7"/>
        </w:rPr>
        <w:t>渗透率达到</w:t>
      </w:r>
      <w:r>
        <w:rPr>
          <w:color w:val="231F20"/>
          <w:spacing w:val="-45"/>
        </w:rPr>
        <w:t xml:space="preserve"> </w:t>
      </w:r>
      <w:r>
        <w:rPr>
          <w:color w:val="231F20"/>
          <w:spacing w:val="-7"/>
        </w:rPr>
        <w:t>28.9%，较新能源乘用车整体渗透</w:t>
      </w:r>
      <w:r>
        <w:rPr>
          <w:color w:val="231F20"/>
          <w:spacing w:val="-8"/>
        </w:rPr>
        <w:t>率依旧偏低，</w:t>
      </w:r>
      <w:r>
        <w:rPr>
          <w:color w:val="231F20"/>
          <w:spacing w:val="-41"/>
        </w:rPr>
        <w:t xml:space="preserve"> </w:t>
      </w:r>
      <w:r>
        <w:rPr>
          <w:color w:val="231F20"/>
          <w:spacing w:val="-8"/>
        </w:rPr>
        <w:t>后续</w:t>
      </w:r>
      <w:r>
        <w:rPr>
          <w:color w:val="231F20"/>
        </w:rPr>
        <w:t xml:space="preserve"> </w:t>
      </w:r>
      <w:r>
        <w:rPr>
          <w:color w:val="231F20"/>
          <w:spacing w:val="-5"/>
        </w:rPr>
        <w:t>市场空间广阔。AITO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5"/>
        </w:rPr>
        <w:t>问界</w:t>
      </w:r>
      <w:r>
        <w:rPr>
          <w:color w:val="231F20"/>
          <w:spacing w:val="-47"/>
        </w:rPr>
        <w:t xml:space="preserve"> </w:t>
      </w:r>
      <w:r>
        <w:rPr>
          <w:color w:val="231F20"/>
          <w:spacing w:val="-5"/>
        </w:rPr>
        <w:t>M9</w:t>
      </w:r>
      <w:r>
        <w:rPr>
          <w:color w:val="231F20"/>
          <w:spacing w:val="-41"/>
        </w:rPr>
        <w:t xml:space="preserve"> </w:t>
      </w:r>
      <w:r>
        <w:rPr>
          <w:color w:val="231F20"/>
          <w:spacing w:val="-5"/>
        </w:rPr>
        <w:t>车型首发上市</w:t>
      </w:r>
      <w:r>
        <w:rPr>
          <w:color w:val="231F20"/>
          <w:spacing w:val="-45"/>
        </w:rPr>
        <w:t xml:space="preserve"> </w:t>
      </w:r>
      <w:r>
        <w:rPr>
          <w:color w:val="231F20"/>
          <w:spacing w:val="-5"/>
        </w:rPr>
        <w:t>2</w:t>
      </w:r>
      <w:r>
        <w:rPr>
          <w:color w:val="231F20"/>
          <w:spacing w:val="-38"/>
        </w:rPr>
        <w:t xml:space="preserve"> </w:t>
      </w:r>
      <w:r>
        <w:rPr>
          <w:color w:val="231F20"/>
          <w:spacing w:val="-5"/>
        </w:rPr>
        <w:t>小时大定数量突破</w:t>
      </w:r>
      <w:r>
        <w:rPr>
          <w:color w:val="231F20"/>
          <w:spacing w:val="-33"/>
        </w:rPr>
        <w:t xml:space="preserve"> </w:t>
      </w:r>
      <w:r>
        <w:rPr>
          <w:color w:val="231F20"/>
          <w:spacing w:val="-5"/>
        </w:rPr>
        <w:t>1</w:t>
      </w:r>
      <w:r>
        <w:rPr>
          <w:color w:val="231F20"/>
          <w:spacing w:val="-39"/>
        </w:rPr>
        <w:t xml:space="preserve"> </w:t>
      </w:r>
      <w:r>
        <w:rPr>
          <w:color w:val="231F20"/>
          <w:spacing w:val="-5"/>
        </w:rPr>
        <w:t>万台，在</w:t>
      </w:r>
      <w:r>
        <w:rPr>
          <w:color w:val="231F20"/>
        </w:rPr>
        <w:t xml:space="preserve"> </w:t>
      </w:r>
      <w:r>
        <w:rPr>
          <w:color w:val="231F20"/>
          <w:spacing w:val="-4"/>
        </w:rPr>
        <w:t>智能化的领先优势下，车型有望在不同价格带、车型级别等领域产生销量端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-1"/>
        </w:rPr>
        <w:t>的虹吸能力，叠加高端新能源市场扩容带来的行业销量增幅</w:t>
      </w:r>
      <w:r>
        <w:rPr>
          <w:color w:val="231F20"/>
          <w:spacing w:val="-2"/>
        </w:rPr>
        <w:t>，预计</w:t>
      </w:r>
      <w:r>
        <w:rPr>
          <w:color w:val="231F20"/>
          <w:spacing w:val="-49"/>
        </w:rPr>
        <w:t xml:space="preserve"> </w:t>
      </w:r>
      <w:r>
        <w:rPr>
          <w:color w:val="231F20"/>
          <w:spacing w:val="-2"/>
        </w:rPr>
        <w:t>AITO</w:t>
      </w:r>
      <w:r>
        <w:rPr>
          <w:color w:val="231F20"/>
          <w:spacing w:val="-35"/>
        </w:rPr>
        <w:t xml:space="preserve"> </w:t>
      </w:r>
      <w:r>
        <w:rPr>
          <w:color w:val="231F20"/>
          <w:spacing w:val="-2"/>
        </w:rPr>
        <w:t>问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界</w:t>
      </w:r>
      <w:r>
        <w:rPr>
          <w:color w:val="231F20"/>
          <w:spacing w:val="-40"/>
        </w:rPr>
        <w:t xml:space="preserve"> </w:t>
      </w:r>
      <w:r>
        <w:rPr>
          <w:color w:val="231F20"/>
          <w:spacing w:val="-2"/>
        </w:rPr>
        <w:t>M9</w:t>
      </w:r>
      <w:r>
        <w:rPr>
          <w:color w:val="231F20"/>
          <w:spacing w:val="-49"/>
        </w:rPr>
        <w:t xml:space="preserve"> </w:t>
      </w:r>
      <w:r>
        <w:rPr>
          <w:color w:val="231F20"/>
          <w:spacing w:val="-2"/>
        </w:rPr>
        <w:t>稳态月度销量有望达到</w:t>
      </w:r>
      <w:r>
        <w:rPr>
          <w:color w:val="231F20"/>
          <w:spacing w:val="-33"/>
        </w:rPr>
        <w:t xml:space="preserve"> </w:t>
      </w:r>
      <w:r>
        <w:rPr>
          <w:color w:val="231F20"/>
          <w:spacing w:val="-2"/>
        </w:rPr>
        <w:t>1.0</w:t>
      </w:r>
      <w:r>
        <w:rPr>
          <w:color w:val="231F20"/>
          <w:spacing w:val="-42"/>
        </w:rPr>
        <w:t xml:space="preserve"> </w:t>
      </w:r>
      <w:r>
        <w:rPr>
          <w:color w:val="231F20"/>
          <w:spacing w:val="-2"/>
        </w:rPr>
        <w:t>万辆，在一众高端竞品中脱颖而出，依托</w:t>
      </w:r>
      <w:r>
        <w:rPr>
          <w:color w:val="231F20"/>
        </w:rPr>
        <w:t xml:space="preserve"> </w:t>
      </w:r>
      <w:r>
        <w:rPr>
          <w:color w:val="231F20"/>
          <w:spacing w:val="-1"/>
        </w:rPr>
        <w:t>强大产品力成为</w:t>
      </w:r>
      <w:r>
        <w:rPr>
          <w:color w:val="231F20"/>
          <w:spacing w:val="-49"/>
        </w:rPr>
        <w:t xml:space="preserve"> </w:t>
      </w:r>
      <w:r>
        <w:rPr>
          <w:color w:val="231F20"/>
          <w:spacing w:val="-1"/>
        </w:rPr>
        <w:t>AITO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1"/>
        </w:rPr>
        <w:t>问界品牌另一爆款</w:t>
      </w:r>
      <w:r>
        <w:rPr>
          <w:color w:val="231F20"/>
          <w:spacing w:val="-2"/>
        </w:rPr>
        <w:t>车型。</w:t>
      </w:r>
    </w:p>
    <w:p>
      <w:pPr>
        <w:pStyle w:val="BodyText"/>
        <w:spacing w:before="175" w:line="237" w:lineRule="auto"/>
        <w:ind w:left="4" w:right="66" w:hanging="4"/>
        <w:jc w:val="both"/>
      </w:pPr>
      <w:r>
        <w:rPr>
          <w:color w:val="231F20"/>
          <w:spacing w:val="-4"/>
          <w14:textOutline w14:w="3831">
            <w14:solidFill>
              <w14:srgbClr w14:val="231F20"/>
            </w14:solidFill>
            <w14:prstDash w14:val="solid"/>
            <w14:miter w14:lim="10"/>
          </w14:textOutline>
        </w:rPr>
        <w:t>AITO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4"/>
          <w14:textOutline w14:w="3831">
            <w14:solidFill>
              <w14:srgbClr w14:val="231F20"/>
            </w14:solidFill>
            <w14:prstDash w14:val="solid"/>
            <w14:miter w14:lim="10"/>
          </w14:textOutline>
        </w:rPr>
        <w:t>问界</w:t>
      </w:r>
      <w:r>
        <w:rPr>
          <w:color w:val="231F20"/>
          <w:spacing w:val="-45"/>
        </w:rPr>
        <w:t xml:space="preserve"> </w:t>
      </w:r>
      <w:r>
        <w:rPr>
          <w:color w:val="231F20"/>
          <w:spacing w:val="-4"/>
          <w14:textOutline w14:w="3831">
            <w14:solidFill>
              <w14:srgbClr w14:val="231F20"/>
            </w14:solidFill>
            <w14:prstDash w14:val="solid"/>
            <w14:miter w14:lim="10"/>
          </w14:textOutline>
        </w:rPr>
        <w:t>M9</w:t>
      </w:r>
      <w:r>
        <w:rPr>
          <w:color w:val="231F20"/>
          <w:spacing w:val="-44"/>
        </w:rPr>
        <w:t xml:space="preserve"> </w:t>
      </w:r>
      <w:r>
        <w:rPr>
          <w:color w:val="231F20"/>
          <w:spacing w:val="-4"/>
          <w14:textOutline w14:w="3831">
            <w14:solidFill>
              <w14:srgbClr w14:val="231F20"/>
            </w14:solidFill>
            <w14:prstDash w14:val="solid"/>
            <w14:miter w14:lim="10"/>
          </w14:textOutline>
        </w:rPr>
        <w:t>从</w:t>
      </w:r>
      <w:r>
        <w:rPr>
          <w:color w:val="231F20"/>
          <w:spacing w:val="-45"/>
        </w:rPr>
        <w:t xml:space="preserve"> </w:t>
      </w:r>
      <w:r>
        <w:rPr>
          <w:color w:val="231F20"/>
          <w:spacing w:val="-4"/>
          <w14:textOutline w14:w="3831">
            <w14:solidFill>
              <w14:srgbClr w14:val="231F20"/>
            </w14:solidFill>
            <w14:prstDash w14:val="solid"/>
            <w14:miter w14:lim="10"/>
          </w14:textOutline>
        </w:rPr>
        <w:t>0</w:t>
      </w:r>
      <w:r>
        <w:rPr>
          <w:color w:val="231F20"/>
          <w:spacing w:val="-39"/>
        </w:rPr>
        <w:t xml:space="preserve"> </w:t>
      </w:r>
      <w:r>
        <w:rPr>
          <w:color w:val="231F20"/>
          <w:spacing w:val="-4"/>
          <w14:textOutline w14:w="3831">
            <w14:solidFill>
              <w14:srgbClr w14:val="231F20"/>
            </w14:solidFill>
            <w14:prstDash w14:val="solid"/>
            <w14:miter w14:lim="10"/>
          </w14:textOutline>
        </w:rPr>
        <w:t>到</w:t>
      </w:r>
      <w:r>
        <w:rPr>
          <w:color w:val="231F20"/>
          <w:spacing w:val="-33"/>
        </w:rPr>
        <w:t xml:space="preserve"> </w:t>
      </w:r>
      <w:r>
        <w:rPr>
          <w:color w:val="231F20"/>
          <w:spacing w:val="-4"/>
          <w14:textOutline w14:w="3831">
            <w14:solidFill>
              <w14:srgbClr w14:val="231F20"/>
            </w14:solidFill>
            <w14:prstDash w14:val="solid"/>
            <w14:miter w14:lim="10"/>
          </w14:textOutline>
        </w:rPr>
        <w:t>1，产业链公司有望深度受益：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4"/>
        </w:rPr>
        <w:t>AI</w:t>
      </w:r>
      <w:r>
        <w:rPr>
          <w:color w:val="231F20"/>
          <w:spacing w:val="-5"/>
        </w:rPr>
        <w:t>TO</w:t>
      </w:r>
      <w:r>
        <w:rPr>
          <w:color w:val="231F20"/>
          <w:spacing w:val="-33"/>
        </w:rPr>
        <w:t xml:space="preserve"> </w:t>
      </w:r>
      <w:r>
        <w:rPr>
          <w:color w:val="231F20"/>
          <w:spacing w:val="-5"/>
        </w:rPr>
        <w:t>问界</w:t>
      </w:r>
      <w:r>
        <w:rPr>
          <w:color w:val="231F20"/>
          <w:spacing w:val="-45"/>
        </w:rPr>
        <w:t xml:space="preserve"> </w:t>
      </w:r>
      <w:r>
        <w:rPr>
          <w:color w:val="231F20"/>
          <w:spacing w:val="-5"/>
        </w:rPr>
        <w:t>M9</w:t>
      </w:r>
      <w:r>
        <w:rPr>
          <w:color w:val="231F20"/>
          <w:spacing w:val="-42"/>
        </w:rPr>
        <w:t xml:space="preserve"> </w:t>
      </w:r>
      <w:r>
        <w:rPr>
          <w:color w:val="231F20"/>
          <w:spacing w:val="-5"/>
        </w:rPr>
        <w:t>车型在智</w:t>
      </w:r>
      <w:r>
        <w:rPr>
          <w:color w:val="231F20"/>
        </w:rPr>
        <w:t xml:space="preserve"> </w:t>
      </w:r>
      <w:r>
        <w:rPr>
          <w:color w:val="231F20"/>
          <w:spacing w:val="-5"/>
        </w:rPr>
        <w:t>能化、鸿蒙生态、销售渠道等多个方面具备优势，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5"/>
        </w:rPr>
        <w:t>有望实现从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5"/>
        </w:rPr>
        <w:t>0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5"/>
        </w:rPr>
        <w:t>到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5"/>
        </w:rPr>
        <w:t>1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5"/>
        </w:rPr>
        <w:t>的突</w:t>
      </w:r>
      <w:r>
        <w:rPr>
          <w:color w:val="231F20"/>
        </w:rPr>
        <w:t xml:space="preserve"> </w:t>
      </w:r>
      <w:r>
        <w:rPr>
          <w:color w:val="231F20"/>
          <w:spacing w:val="-3"/>
        </w:rPr>
        <w:t>破。AITO</w:t>
      </w:r>
      <w:r>
        <w:rPr>
          <w:color w:val="231F20"/>
          <w:spacing w:val="-35"/>
        </w:rPr>
        <w:t xml:space="preserve"> </w:t>
      </w:r>
      <w:r>
        <w:rPr>
          <w:color w:val="231F20"/>
          <w:spacing w:val="-3"/>
        </w:rPr>
        <w:t>问界</w:t>
      </w:r>
      <w:r>
        <w:rPr>
          <w:color w:val="231F20"/>
          <w:spacing w:val="-47"/>
        </w:rPr>
        <w:t xml:space="preserve"> </w:t>
      </w:r>
      <w:r>
        <w:rPr>
          <w:color w:val="231F20"/>
          <w:spacing w:val="-3"/>
        </w:rPr>
        <w:t>M9</w:t>
      </w:r>
      <w:r>
        <w:rPr>
          <w:color w:val="231F20"/>
          <w:spacing w:val="-41"/>
        </w:rPr>
        <w:t xml:space="preserve"> </w:t>
      </w:r>
      <w:r>
        <w:rPr>
          <w:color w:val="231F20"/>
          <w:spacing w:val="-3"/>
        </w:rPr>
        <w:t>车型的智能座舱、智能驾驶、三电系统</w:t>
      </w:r>
      <w:r>
        <w:rPr>
          <w:color w:val="231F20"/>
          <w:spacing w:val="-4"/>
        </w:rPr>
        <w:t>、车身、底盘等多</w:t>
      </w:r>
      <w:r>
        <w:rPr>
          <w:color w:val="231F20"/>
        </w:rPr>
        <w:t xml:space="preserve"> </w:t>
      </w:r>
      <w:r>
        <w:rPr>
          <w:color w:val="231F20"/>
          <w:spacing w:val="2"/>
        </w:rPr>
        <w:t>个零部件领域与主流供应商保持着紧密合作，建议关注产业链相关重点标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-6"/>
        </w:rPr>
        <w:t>的，</w:t>
      </w:r>
      <w:r>
        <w:rPr>
          <w:color w:val="231F20"/>
          <w:spacing w:val="-40"/>
        </w:rPr>
        <w:t xml:space="preserve"> </w:t>
      </w:r>
      <w:r>
        <w:rPr>
          <w:color w:val="231F20"/>
          <w:spacing w:val="-6"/>
        </w:rPr>
        <w:t>例如智能座舱及智能驾驶领域公司光峰科技、星宇股份、上海沿浦、明</w:t>
      </w:r>
      <w:r>
        <w:rPr>
          <w:color w:val="231F20"/>
        </w:rPr>
        <w:t xml:space="preserve"> </w:t>
      </w:r>
      <w:r>
        <w:rPr>
          <w:color w:val="231F20"/>
          <w:spacing w:val="-9"/>
        </w:rPr>
        <w:t>新旭腾，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9"/>
        </w:rPr>
        <w:t>三电系统领域公司信质集团、沪光股份，</w:t>
      </w:r>
      <w:r>
        <w:rPr>
          <w:color w:val="231F20"/>
          <w:spacing w:val="-37"/>
        </w:rPr>
        <w:t xml:space="preserve"> </w:t>
      </w:r>
      <w:r>
        <w:rPr>
          <w:color w:val="231F20"/>
          <w:spacing w:val="-9"/>
        </w:rPr>
        <w:t>车身及底盘领域公司文灿</w:t>
      </w:r>
      <w:r>
        <w:rPr>
          <w:color w:val="231F20"/>
        </w:rPr>
        <w:t xml:space="preserve"> </w:t>
      </w:r>
      <w:r>
        <w:rPr>
          <w:color w:val="231F20"/>
          <w:spacing w:val="-1"/>
        </w:rPr>
        <w:t>股份、博俊科技、拓普集团等。</w:t>
      </w:r>
    </w:p>
    <w:p>
      <w:pPr>
        <w:pStyle w:val="BodyText"/>
        <w:spacing w:before="180" w:line="229" w:lineRule="auto"/>
        <w:ind w:left="15" w:right="32" w:hanging="9"/>
      </w:pPr>
      <w:r>
        <w:rPr>
          <w:color w:val="231F20"/>
          <w:spacing w:val="-9"/>
          <w14:textOutline w14:w="3831">
            <w14:solidFill>
              <w14:srgbClr w14:val="231F20"/>
            </w14:solidFill>
            <w14:prstDash w14:val="solid"/>
            <w14:miter w14:lim="10"/>
          </w14:textOutline>
        </w:rPr>
        <w:t>风险提示：</w:t>
      </w:r>
      <w:r>
        <w:rPr>
          <w:color w:val="231F20"/>
          <w:spacing w:val="42"/>
        </w:rPr>
        <w:t xml:space="preserve"> </w:t>
      </w:r>
      <w:r>
        <w:rPr>
          <w:color w:val="231F20"/>
          <w:spacing w:val="-9"/>
          <w14:textOutline w14:w="3831">
            <w14:solidFill>
              <w14:srgbClr w14:val="231F20"/>
            </w14:solidFill>
            <w14:prstDash w14:val="solid"/>
            <w14:miter w14:lim="10"/>
          </w14:textOutline>
        </w:rPr>
        <w:t>AITO</w:t>
      </w:r>
      <w:r>
        <w:rPr>
          <w:color w:val="231F20"/>
          <w:spacing w:val="-31"/>
        </w:rPr>
        <w:t xml:space="preserve"> </w:t>
      </w:r>
      <w:r>
        <w:rPr>
          <w:color w:val="231F20"/>
          <w:spacing w:val="-9"/>
        </w:rPr>
        <w:t>问界</w:t>
      </w:r>
      <w:r>
        <w:rPr>
          <w:color w:val="231F20"/>
          <w:spacing w:val="-45"/>
        </w:rPr>
        <w:t xml:space="preserve"> </w:t>
      </w:r>
      <w:r>
        <w:rPr>
          <w:color w:val="231F20"/>
          <w:spacing w:val="-9"/>
        </w:rPr>
        <w:t>M9</w:t>
      </w:r>
      <w:r>
        <w:rPr>
          <w:color w:val="231F20"/>
          <w:spacing w:val="-47"/>
        </w:rPr>
        <w:t xml:space="preserve"> </w:t>
      </w:r>
      <w:r>
        <w:rPr>
          <w:color w:val="231F20"/>
          <w:spacing w:val="-9"/>
        </w:rPr>
        <w:t>销量不及预期，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9"/>
        </w:rPr>
        <w:t>高端新能源市场渗透</w:t>
      </w:r>
      <w:r>
        <w:rPr>
          <w:color w:val="231F20"/>
          <w:spacing w:val="-10"/>
        </w:rPr>
        <w:t>率不及预期，</w:t>
      </w:r>
      <w:r>
        <w:rPr>
          <w:color w:val="231F20"/>
        </w:rPr>
        <w:t xml:space="preserve"> </w:t>
      </w:r>
      <w:r>
        <w:rPr>
          <w:color w:val="231F20"/>
          <w:spacing w:val="-1"/>
        </w:rPr>
        <w:t>多品牌车型发布导致行业竞争加剧等。</w:t>
      </w:r>
    </w:p>
    <w:p>
      <w:pPr>
        <w:spacing w:line="229" w:lineRule="auto"/>
        <w:sectPr>
          <w:headerReference w:type="default" r:id="rId13"/>
          <w:footerReference w:type="default" r:id="rId14"/>
          <w:type w:val="nextPage"/>
          <w:pgSz w:w="11907" w:h="16839"/>
          <w:pgMar w:top="1219" w:right="634" w:bottom="707" w:left="679" w:header="454" w:footer="405" w:gutter="0"/>
          <w:pgNumType w:start="3"/>
          <w:cols w:num="2" w:space="708" w:equalWidth="0">
            <w:col w:w="3619" w:space="100"/>
            <w:col w:w="6874" w:space="0"/>
          </w:cols>
          <w:titlePg w:val="0"/>
        </w:sectPr>
      </w:pPr>
    </w:p>
    <w:p>
      <w:pPr>
        <w:spacing w:before="264" w:line="226" w:lineRule="auto"/>
        <w:ind w:left="4764"/>
        <w:rPr>
          <w:rFonts w:ascii="KaiTi" w:eastAsia="KaiTi" w:hAnsi="KaiTi" w:cs="KaiTi"/>
          <w:sz w:val="25"/>
          <w:szCs w:val="25"/>
        </w:rPr>
      </w:pPr>
      <w:r>
        <w:rPr>
          <w:rFonts w:ascii="KaiTi" w:eastAsia="KaiTi" w:hAnsi="KaiTi" w:cs="KaiTi"/>
          <w:spacing w:val="6"/>
          <w:sz w:val="25"/>
          <w:szCs w:val="25"/>
        </w:rPr>
        <w:t>正文目录</w:t>
      </w:r>
    </w:p>
    <w:sdt>
      <w:sdtPr>
        <w:rPr>
          <w:rFonts w:ascii="KaiTi" w:eastAsia="KaiTi" w:hAnsi="KaiTi" w:cs="KaiTi"/>
          <w:sz w:val="21"/>
          <w:szCs w:val="21"/>
        </w:rPr>
        <w:id w:val="1712966833"/>
        <w:docPartObj>
          <w:docPartGallery w:val="Table of Contents"/>
          <w:docPartUnique/>
        </w:docPartObj>
      </w:sdtPr>
      <w:sdtEndPr>
        <w:rPr>
          <w:rFonts w:ascii="KaiTi" w:eastAsia="KaiTi" w:hAnsi="KaiTi" w:cs="KaiTi"/>
          <w:sz w:val="21"/>
          <w:szCs w:val="21"/>
        </w:rPr>
      </w:sdtEndPr>
      <w:sdtContent>
        <w:p>
          <w:pPr>
            <w:tabs>
              <w:tab w:val="right" w:leader="dot" w:pos="10519"/>
            </w:tabs>
            <w:spacing w:before="187" w:line="213" w:lineRule="auto"/>
            <w:ind w:left="47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5"/>
              <w:sz w:val="21"/>
              <w:szCs w:val="21"/>
            </w:rPr>
            <w:t>1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AITO</w:t>
          </w:r>
          <w:r>
            <w:rPr>
              <w:rFonts w:ascii="KaiTi" w:eastAsia="KaiTi" w:hAnsi="KaiTi" w:cs="KaiTi"/>
              <w:spacing w:val="-1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问界</w:t>
          </w:r>
          <w:r>
            <w:rPr>
              <w:rFonts w:ascii="KaiTi" w:eastAsia="KaiTi" w:hAnsi="KaiTi" w:cs="KaiTi"/>
              <w:spacing w:val="-4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M9</w:t>
          </w:r>
          <w:r>
            <w:rPr>
              <w:rFonts w:ascii="KaiTi" w:eastAsia="KaiTi" w:hAnsi="KaiTi" w:cs="KaiTi"/>
              <w:spacing w:val="-4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配置梳理：黑科技满满，</w:t>
          </w:r>
          <w:r>
            <w:rPr>
              <w:rFonts w:ascii="KaiTi" w:eastAsia="KaiTi" w:hAnsi="KaiTi" w:cs="KaiTi"/>
              <w:spacing w:val="-2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搭载多项核心技术</w:t>
          </w:r>
          <w:r>
            <w:rPr>
              <w:rFonts w:ascii="KaiTi" w:eastAsia="KaiTi" w:hAnsi="KaiTi" w:cs="KaiTi"/>
              <w:spacing w:val="-8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hyperlink w:anchor="bookmark1" w:history="1">
            <w:r>
              <w:rPr>
                <w:rFonts w:ascii="KaiTi" w:eastAsia="KaiTi" w:hAnsi="KaiTi" w:cs="KaiTi"/>
                <w:spacing w:val="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10509"/>
            </w:tabs>
            <w:spacing w:before="69" w:line="216" w:lineRule="auto"/>
            <w:ind w:left="468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1.1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魔方平台产生质变</w:t>
          </w:r>
          <w:r>
            <w:rPr>
              <w:rFonts w:ascii="KaiTi" w:eastAsia="KaiTi" w:hAnsi="KaiTi" w:cs="KaiTi"/>
              <w:spacing w:val="-4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hyperlink w:anchor="bookmark2" w:history="1">
            <w:r>
              <w:rPr>
                <w:rFonts w:ascii="KaiTi" w:eastAsia="KaiTi" w:hAnsi="KaiTi" w:cs="KaiTi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10509"/>
            </w:tabs>
            <w:spacing w:before="66" w:line="213" w:lineRule="auto"/>
            <w:ind w:left="468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1.2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通信协议大幅改进，</w:t>
          </w:r>
          <w:r>
            <w:rPr>
              <w:rFonts w:ascii="KaiTi" w:eastAsia="KaiTi" w:hAnsi="KaiTi" w:cs="KaiTi"/>
              <w:spacing w:val="-2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CCA+Vehicle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Sta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ck</w:t>
          </w:r>
          <w:r>
            <w:rPr>
              <w:rFonts w:ascii="KaiTi" w:eastAsia="KaiTi" w:hAnsi="KaiTi" w:cs="KaiTi"/>
              <w:spacing w:val="-4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构建优势</w:t>
          </w:r>
          <w:r>
            <w:rPr>
              <w:rFonts w:ascii="KaiTi" w:eastAsia="KaiTi" w:hAnsi="KaiTi" w:cs="KaiTi"/>
              <w:spacing w:val="-8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hyperlink w:anchor="bookmark3" w:history="1">
            <w:r>
              <w:rPr>
                <w:rFonts w:ascii="KaiTi" w:eastAsia="KaiTi" w:hAnsi="KaiTi" w:cs="KaiTi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10509"/>
            </w:tabs>
            <w:spacing w:before="69" w:line="213" w:lineRule="auto"/>
            <w:ind w:left="468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6"/>
              <w:sz w:val="21"/>
              <w:szCs w:val="21"/>
            </w:rPr>
            <w:t>1.3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车型性能表现优异，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多款领先配置上车</w:t>
          </w:r>
          <w:r>
            <w:rPr>
              <w:rFonts w:ascii="KaiTi" w:eastAsia="KaiTi" w:hAnsi="KaiTi" w:cs="KaiTi"/>
              <w:spacing w:val="-2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3"/>
              <w:sz w:val="21"/>
              <w:szCs w:val="21"/>
            </w:rPr>
            <w:t xml:space="preserve"> </w:t>
          </w:r>
          <w:hyperlink w:anchor="bookmark4" w:history="1">
            <w:r>
              <w:rPr>
                <w:rFonts w:ascii="KaiTi" w:eastAsia="KaiTi" w:hAnsi="KaiTi" w:cs="KaiTi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10509"/>
            </w:tabs>
            <w:spacing w:before="70" w:line="213" w:lineRule="auto"/>
            <w:ind w:left="888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5"/>
              <w:sz w:val="21"/>
              <w:szCs w:val="21"/>
            </w:rPr>
            <w:t>1.3.1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途灵底盘核心技术加持，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安全与舒适性兼具</w:t>
          </w:r>
          <w:r>
            <w:rPr>
              <w:rFonts w:ascii="KaiTi" w:eastAsia="KaiTi" w:hAnsi="KaiTi" w:cs="KaiTi"/>
              <w:spacing w:val="-2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3"/>
              <w:sz w:val="21"/>
              <w:szCs w:val="21"/>
            </w:rPr>
            <w:t xml:space="preserve"> </w:t>
          </w:r>
          <w:hyperlink w:anchor="bookmark5" w:history="1">
            <w:r>
              <w:rPr>
                <w:rFonts w:ascii="KaiTi" w:eastAsia="KaiTi" w:hAnsi="KaiTi" w:cs="KaiTi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10509"/>
            </w:tabs>
            <w:spacing w:before="69" w:line="218" w:lineRule="auto"/>
            <w:ind w:left="888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5"/>
              <w:sz w:val="21"/>
              <w:szCs w:val="21"/>
            </w:rPr>
            <w:t>1.3.2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动力&amp;高压快充：</w:t>
          </w:r>
          <w:r>
            <w:rPr>
              <w:rFonts w:ascii="KaiTi" w:eastAsia="KaiTi" w:hAnsi="KaiTi" w:cs="KaiTi"/>
              <w:spacing w:val="-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性能与充电效率增强</w:t>
          </w:r>
          <w:r>
            <w:rPr>
              <w:rFonts w:ascii="KaiTi" w:eastAsia="KaiTi" w:hAnsi="KaiTi" w:cs="KaiTi"/>
              <w:spacing w:val="-3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 xml:space="preserve"> </w:t>
          </w:r>
          <w:hyperlink w:anchor="bookmark6" w:history="1">
            <w:r>
              <w:rPr>
                <w:rFonts w:ascii="KaiTi" w:eastAsia="KaiTi" w:hAnsi="KaiTi" w:cs="KaiTi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10509"/>
            </w:tabs>
            <w:spacing w:before="64" w:line="213" w:lineRule="auto"/>
            <w:ind w:left="888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1.3.3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玄武车身：一体化压铸集成，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车身轻量化效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果显著</w:t>
          </w:r>
          <w:r>
            <w:rPr>
              <w:rFonts w:ascii="KaiTi" w:eastAsia="KaiTi" w:hAnsi="KaiTi" w:cs="KaiTi"/>
              <w:spacing w:val="-3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 xml:space="preserve"> </w:t>
          </w:r>
          <w:hyperlink w:anchor="bookmark7" w:history="1">
            <w:r>
              <w:rPr>
                <w:rFonts w:ascii="KaiTi" w:eastAsia="KaiTi" w:hAnsi="KaiTi" w:cs="KaiTi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10509"/>
            </w:tabs>
            <w:spacing w:before="70" w:line="216" w:lineRule="auto"/>
            <w:ind w:left="888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1.3.4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华为热管理&amp;电池管理：安全与能效提升</w:t>
          </w:r>
          <w:r>
            <w:rPr>
              <w:rFonts w:ascii="KaiTi" w:eastAsia="KaiTi" w:hAnsi="KaiTi" w:cs="KaiTi"/>
              <w:spacing w:val="-2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3"/>
              <w:sz w:val="21"/>
              <w:szCs w:val="21"/>
            </w:rPr>
            <w:t xml:space="preserve"> </w:t>
          </w:r>
          <w:hyperlink w:anchor="bookmark8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10509"/>
            </w:tabs>
            <w:spacing w:before="67" w:line="217" w:lineRule="auto"/>
            <w:ind w:left="888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1.3.5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智能座舱：娱乐与舒适化配置提升</w:t>
          </w:r>
          <w:r>
            <w:rPr>
              <w:rFonts w:ascii="KaiTi" w:eastAsia="KaiTi" w:hAnsi="KaiTi" w:cs="KaiTi"/>
              <w:spacing w:val="-3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3"/>
              <w:sz w:val="21"/>
              <w:szCs w:val="21"/>
            </w:rPr>
            <w:t xml:space="preserve"> </w:t>
          </w:r>
          <w:hyperlink w:anchor="bookmark9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10509"/>
            </w:tabs>
            <w:spacing w:before="64" w:line="221" w:lineRule="auto"/>
            <w:ind w:left="888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1.3.6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汽车安全：主/被动安全更进一步</w:t>
          </w:r>
          <w:r>
            <w:rPr>
              <w:rFonts w:ascii="KaiTi" w:eastAsia="KaiTi" w:hAnsi="KaiTi" w:cs="KaiTi"/>
              <w:spacing w:val="-3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3"/>
              <w:sz w:val="21"/>
              <w:szCs w:val="21"/>
            </w:rPr>
            <w:t xml:space="preserve"> </w:t>
          </w:r>
          <w:hyperlink w:anchor="bookmark10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10509"/>
            </w:tabs>
            <w:spacing w:before="61" w:line="217" w:lineRule="auto"/>
            <w:ind w:left="468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1.4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多项智能化黑科技领先行业</w:t>
          </w:r>
          <w:r>
            <w:rPr>
              <w:rFonts w:ascii="KaiTi" w:eastAsia="KaiTi" w:hAnsi="KaiTi" w:cs="KaiTi"/>
              <w:spacing w:val="-4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4"/>
              <w:sz w:val="21"/>
              <w:szCs w:val="21"/>
            </w:rPr>
            <w:t xml:space="preserve"> </w:t>
          </w:r>
          <w:hyperlink w:anchor="bookmark11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10509"/>
            </w:tabs>
            <w:spacing w:before="66" w:line="216" w:lineRule="auto"/>
            <w:ind w:left="888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1.4.1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光学角度：AutOptiX</w:t>
          </w:r>
          <w:r>
            <w:rPr>
              <w:rFonts w:ascii="KaiTi" w:eastAsia="KaiTi" w:hAnsi="KaiTi" w:cs="KaiTi"/>
              <w:spacing w:val="-4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智能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车载光技术</w:t>
          </w:r>
          <w:r>
            <w:rPr>
              <w:rFonts w:ascii="KaiTi" w:eastAsia="KaiTi" w:hAnsi="KaiTi" w:cs="KaiTi"/>
              <w:spacing w:val="-8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3"/>
              <w:sz w:val="21"/>
              <w:szCs w:val="21"/>
            </w:rPr>
            <w:t xml:space="preserve"> </w:t>
          </w:r>
          <w:hyperlink w:anchor="bookmark12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10509"/>
            </w:tabs>
            <w:spacing w:before="66" w:line="216" w:lineRule="auto"/>
            <w:ind w:left="888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1.4.2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灯学角度：智慧投影车灯</w:t>
          </w:r>
          <w:r>
            <w:rPr>
              <w:rFonts w:ascii="KaiTi" w:eastAsia="KaiTi" w:hAnsi="KaiTi" w:cs="KaiTi"/>
              <w:spacing w:val="-4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4"/>
              <w:sz w:val="21"/>
              <w:szCs w:val="21"/>
            </w:rPr>
            <w:t xml:space="preserve"> </w:t>
          </w:r>
          <w:hyperlink w:anchor="bookmark13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10509"/>
            </w:tabs>
            <w:spacing w:before="66" w:line="216" w:lineRule="auto"/>
            <w:ind w:left="888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1.4.3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声学角度：华为</w:t>
          </w:r>
          <w:r>
            <w:rPr>
              <w:rFonts w:ascii="KaiTi" w:eastAsia="KaiTi" w:hAnsi="KaiTi" w:cs="KaiTi"/>
              <w:spacing w:val="-4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SOUND</w:t>
          </w:r>
          <w:r>
            <w:rPr>
              <w:rFonts w:ascii="KaiTi" w:eastAsia="KaiTi" w:hAnsi="KaiTi" w:cs="KaiTi"/>
              <w:spacing w:val="-3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音响系统</w:t>
          </w:r>
          <w:r>
            <w:rPr>
              <w:rFonts w:ascii="KaiTi" w:eastAsia="KaiTi" w:hAnsi="KaiTi" w:cs="KaiTi"/>
              <w:spacing w:val="-3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3"/>
              <w:sz w:val="21"/>
              <w:szCs w:val="21"/>
            </w:rPr>
            <w:t xml:space="preserve"> </w:t>
          </w:r>
          <w:hyperlink w:anchor="bookmark14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10509"/>
            </w:tabs>
            <w:spacing w:before="67" w:line="213" w:lineRule="auto"/>
            <w:ind w:left="468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6"/>
              <w:sz w:val="21"/>
              <w:szCs w:val="21"/>
            </w:rPr>
            <w:t>1.5</w:t>
          </w:r>
          <w:r>
            <w:rPr>
              <w:rFonts w:ascii="KaiTi" w:eastAsia="KaiTi" w:hAnsi="KaiTi" w:cs="KaiTi"/>
              <w:spacing w:val="6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自动驾驶：</w:t>
          </w:r>
          <w:r>
            <w:rPr>
              <w:rFonts w:ascii="KaiTi" w:eastAsia="KaiTi" w:hAnsi="KaiTi" w:cs="KaiTi"/>
              <w:spacing w:val="-3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ADS2.0</w:t>
          </w:r>
          <w:r>
            <w:rPr>
              <w:rFonts w:ascii="KaiTi" w:eastAsia="KaiTi" w:hAnsi="KaiTi" w:cs="KaiTi"/>
              <w:spacing w:val="-4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全新升级，华为智驾能力领先</w:t>
          </w:r>
          <w:r>
            <w:rPr>
              <w:rFonts w:ascii="KaiTi" w:eastAsia="KaiTi" w:hAnsi="KaiTi" w:cs="KaiTi"/>
              <w:spacing w:val="-8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3"/>
              <w:sz w:val="21"/>
              <w:szCs w:val="21"/>
            </w:rPr>
            <w:t xml:space="preserve"> </w:t>
          </w:r>
          <w:hyperlink w:anchor="bookmark15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10519"/>
            </w:tabs>
            <w:spacing w:before="70" w:line="213" w:lineRule="auto"/>
            <w:ind w:left="35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5"/>
              <w:sz w:val="21"/>
              <w:szCs w:val="21"/>
            </w:rPr>
            <w:t>2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M9</w:t>
          </w:r>
          <w:r>
            <w:rPr>
              <w:rFonts w:ascii="KaiTi" w:eastAsia="KaiTi" w:hAnsi="KaiTi" w:cs="KaiTi"/>
              <w:spacing w:val="-3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发布问界车型布局再跨越，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布局全面化再下一城</w:t>
          </w:r>
          <w:r>
            <w:rPr>
              <w:rFonts w:ascii="KaiTi" w:eastAsia="KaiTi" w:hAnsi="KaiTi" w:cs="KaiTi"/>
              <w:spacing w:val="-8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hyperlink w:anchor="bookmark16" w:history="1">
            <w:r>
              <w:rPr>
                <w:rFonts w:ascii="KaiTi" w:eastAsia="KaiTi" w:hAnsi="KaiTi" w:cs="KaiTi"/>
                <w:spacing w:val="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10509"/>
            </w:tabs>
            <w:spacing w:before="69" w:line="218" w:lineRule="auto"/>
            <w:ind w:left="455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2.1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40</w:t>
          </w:r>
          <w:r>
            <w:rPr>
              <w:rFonts w:ascii="KaiTi" w:eastAsia="KaiTi" w:hAnsi="KaiTi" w:cs="KaiTi"/>
              <w:spacing w:val="-1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万以上新能源汽车市场蓝海竞争</w:t>
          </w:r>
          <w:r>
            <w:rPr>
              <w:rFonts w:ascii="KaiTi" w:eastAsia="KaiTi" w:hAnsi="KaiTi" w:cs="KaiTi"/>
              <w:spacing w:val="-9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3"/>
              <w:sz w:val="21"/>
              <w:szCs w:val="21"/>
            </w:rPr>
            <w:t xml:space="preserve"> </w:t>
          </w:r>
          <w:hyperlink w:anchor="bookmark17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10509"/>
            </w:tabs>
            <w:spacing w:before="64" w:line="213" w:lineRule="auto"/>
            <w:ind w:left="455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5"/>
              <w:sz w:val="21"/>
              <w:szCs w:val="21"/>
            </w:rPr>
            <w:t>2.2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M9</w:t>
          </w:r>
          <w:r>
            <w:rPr>
              <w:rFonts w:ascii="KaiTi" w:eastAsia="KaiTi" w:hAnsi="KaiTi" w:cs="KaiTi"/>
              <w:spacing w:val="-2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驱动</w:t>
          </w:r>
          <w:r>
            <w:rPr>
              <w:rFonts w:ascii="KaiTi" w:eastAsia="KaiTi" w:hAnsi="KaiTi" w:cs="KaiTi"/>
              <w:spacing w:val="-5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AITO</w:t>
          </w:r>
          <w:r>
            <w:rPr>
              <w:rFonts w:ascii="KaiTi" w:eastAsia="KaiTi" w:hAnsi="KaiTi" w:cs="KaiTi"/>
              <w:spacing w:val="-2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问界品牌高端化矩阵完善布局，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品牌向上持续</w:t>
          </w:r>
          <w:r>
            <w:rPr>
              <w:rFonts w:ascii="KaiTi" w:eastAsia="KaiTi" w:hAnsi="KaiTi" w:cs="KaiTi"/>
              <w:spacing w:val="-8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2"/>
              <w:sz w:val="21"/>
              <w:szCs w:val="21"/>
            </w:rPr>
            <w:t xml:space="preserve"> </w:t>
          </w:r>
          <w:hyperlink w:anchor="bookmark18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10509"/>
            </w:tabs>
            <w:spacing w:before="69" w:line="216" w:lineRule="auto"/>
            <w:ind w:left="875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2.2.1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产品布局：AITO</w:t>
          </w:r>
          <w:r>
            <w:rPr>
              <w:rFonts w:ascii="KaiTi" w:eastAsia="KaiTi" w:hAnsi="KaiTi" w:cs="KaiTi"/>
              <w:spacing w:val="-1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问界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M9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上市完善品牌高端布局</w:t>
          </w:r>
          <w:r>
            <w:rPr>
              <w:rFonts w:ascii="KaiTi" w:eastAsia="KaiTi" w:hAnsi="KaiTi" w:cs="KaiTi"/>
              <w:spacing w:val="-7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3"/>
              <w:sz w:val="21"/>
              <w:szCs w:val="21"/>
            </w:rPr>
            <w:t xml:space="preserve"> </w:t>
          </w:r>
          <w:hyperlink w:anchor="bookmark19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10509"/>
            </w:tabs>
            <w:spacing w:before="68" w:line="216" w:lineRule="auto"/>
            <w:ind w:left="875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2.2.2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竞品分析：AITO</w:t>
          </w:r>
          <w:r>
            <w:rPr>
              <w:rFonts w:ascii="KaiTi" w:eastAsia="KaiTi" w:hAnsi="KaiTi" w:cs="KaiTi"/>
              <w:spacing w:val="-2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问界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M9</w:t>
          </w:r>
          <w:r>
            <w:rPr>
              <w:rFonts w:ascii="KaiTi" w:eastAsia="KaiTi" w:hAnsi="KaiTi" w:cs="KaiTi"/>
              <w:spacing w:val="-4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竞争优势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显著</w:t>
          </w:r>
          <w:r>
            <w:rPr>
              <w:rFonts w:ascii="KaiTi" w:eastAsia="KaiTi" w:hAnsi="KaiTi" w:cs="KaiTi"/>
              <w:spacing w:val="-8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3"/>
              <w:sz w:val="21"/>
              <w:szCs w:val="21"/>
            </w:rPr>
            <w:t xml:space="preserve"> </w:t>
          </w:r>
          <w:hyperlink w:anchor="bookmark20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10519"/>
            </w:tabs>
            <w:spacing w:before="66" w:line="213" w:lineRule="auto"/>
            <w:ind w:left="37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3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AITO</w:t>
          </w:r>
          <w:r>
            <w:rPr>
              <w:rFonts w:ascii="KaiTi" w:eastAsia="KaiTi" w:hAnsi="KaiTi" w:cs="KaiTi"/>
              <w:spacing w:val="-2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问界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M9</w:t>
          </w:r>
          <w:r>
            <w:rPr>
              <w:rFonts w:ascii="KaiTi" w:eastAsia="KaiTi" w:hAnsi="KaiTi" w:cs="KaiTi"/>
              <w:spacing w:val="-5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产品力强大，销量有望实现突破</w:t>
          </w:r>
          <w:r>
            <w:rPr>
              <w:rFonts w:ascii="KaiTi" w:eastAsia="KaiTi" w:hAnsi="KaiTi" w:cs="KaiTi"/>
              <w:spacing w:val="-9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hyperlink w:anchor="bookmark21" w:history="1">
            <w:r>
              <w:rPr>
                <w:rFonts w:ascii="KaiTi" w:eastAsia="KaiTi" w:hAnsi="KaiTi" w:cs="KaiTi"/>
                <w:spacing w:val="2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10509"/>
            </w:tabs>
            <w:spacing w:before="70" w:line="213" w:lineRule="auto"/>
            <w:ind w:left="457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3.1</w:t>
          </w:r>
          <w:r>
            <w:rPr>
              <w:rFonts w:ascii="KaiTi" w:eastAsia="KaiTi" w:hAnsi="KaiTi" w:cs="KaiTi"/>
              <w:spacing w:val="3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豪华车市场竞争激烈，AITO</w:t>
          </w:r>
          <w:r>
            <w:rPr>
              <w:rFonts w:ascii="KaiTi" w:eastAsia="KaiTi" w:hAnsi="KaiTi" w:cs="KaiTi"/>
              <w:spacing w:val="-2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问界配置优异</w:t>
          </w:r>
          <w:r>
            <w:rPr>
              <w:rFonts w:ascii="KaiTi" w:eastAsia="KaiTi" w:hAnsi="KaiTi" w:cs="KaiTi"/>
              <w:spacing w:val="-8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"/>
              <w:sz w:val="21"/>
              <w:szCs w:val="21"/>
            </w:rPr>
            <w:t xml:space="preserve"> </w:t>
          </w:r>
          <w:hyperlink w:anchor="bookmark22" w:history="1"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10509"/>
            </w:tabs>
            <w:spacing w:before="69" w:line="213" w:lineRule="auto"/>
            <w:ind w:left="457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5"/>
              <w:sz w:val="21"/>
              <w:szCs w:val="21"/>
            </w:rPr>
            <w:t>3.2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AITO</w:t>
          </w:r>
          <w:r>
            <w:rPr>
              <w:rFonts w:ascii="KaiTi" w:eastAsia="KaiTi" w:hAnsi="KaiTi" w:cs="KaiTi"/>
              <w:spacing w:val="-1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问界</w:t>
          </w:r>
          <w:r>
            <w:rPr>
              <w:rFonts w:ascii="KaiTi" w:eastAsia="KaiTi" w:hAnsi="KaiTi" w:cs="KaiTi"/>
              <w:spacing w:val="-4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M9</w:t>
          </w:r>
          <w:r>
            <w:rPr>
              <w:rFonts w:ascii="KaiTi" w:eastAsia="KaiTi" w:hAnsi="KaiTi" w:cs="KaiTi"/>
              <w:spacing w:val="-4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智能化优势明显，</w:t>
          </w:r>
          <w:r>
            <w:rPr>
              <w:rFonts w:ascii="KaiTi" w:eastAsia="KaiTi" w:hAnsi="KaiTi" w:cs="KaiTi"/>
              <w:spacing w:val="-2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有望打开销量空间</w:t>
          </w:r>
          <w:r>
            <w:rPr>
              <w:rFonts w:ascii="KaiTi" w:eastAsia="KaiTi" w:hAnsi="KaiTi" w:cs="KaiTi"/>
              <w:spacing w:val="-8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"/>
              <w:sz w:val="21"/>
              <w:szCs w:val="21"/>
            </w:rPr>
            <w:t xml:space="preserve"> </w:t>
          </w:r>
          <w:hyperlink w:anchor="bookmark23" w:history="1"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10519"/>
            </w:tabs>
            <w:spacing w:before="70" w:line="213" w:lineRule="auto"/>
            <w:ind w:left="31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4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AITO</w:t>
          </w:r>
          <w:r>
            <w:rPr>
              <w:rFonts w:ascii="KaiTi" w:eastAsia="KaiTi" w:hAnsi="KaiTi" w:cs="KaiTi"/>
              <w:spacing w:val="-1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问界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M9</w:t>
          </w:r>
          <w:r>
            <w:rPr>
              <w:rFonts w:ascii="KaiTi" w:eastAsia="KaiTi" w:hAnsi="KaiTi" w:cs="KaiTi"/>
              <w:spacing w:val="-5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破圈而出，关注产业链配套公司</w:t>
          </w:r>
          <w:r>
            <w:rPr>
              <w:rFonts w:ascii="KaiTi" w:eastAsia="KaiTi" w:hAnsi="KaiTi" w:cs="KaiTi"/>
              <w:spacing w:val="-9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hyperlink w:anchor="bookmark24" w:history="1">
            <w:r>
              <w:rPr>
                <w:rFonts w:ascii="KaiTi" w:eastAsia="KaiTi" w:hAnsi="KaiTi" w:cs="KaiTi"/>
                <w:spacing w:val="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10509"/>
            </w:tabs>
            <w:spacing w:before="70" w:line="213" w:lineRule="auto"/>
            <w:ind w:left="451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4.1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关注</w:t>
          </w:r>
          <w:r>
            <w:rPr>
              <w:rFonts w:ascii="KaiTi" w:eastAsia="KaiTi" w:hAnsi="KaiTi" w:cs="KaiTi"/>
              <w:spacing w:val="-3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M9</w:t>
          </w:r>
          <w:r>
            <w:rPr>
              <w:rFonts w:ascii="KaiTi" w:eastAsia="KaiTi" w:hAnsi="KaiTi" w:cs="KaiTi"/>
              <w:spacing w:val="-4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从</w:t>
          </w:r>
          <w:r>
            <w:rPr>
              <w:rFonts w:ascii="KaiTi" w:eastAsia="KaiTi" w:hAnsi="KaiTi" w:cs="KaiTi"/>
              <w:spacing w:val="-4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0</w:t>
          </w:r>
          <w:r>
            <w:rPr>
              <w:rFonts w:ascii="KaiTi" w:eastAsia="KaiTi" w:hAnsi="KaiTi" w:cs="KaiTi"/>
              <w:spacing w:val="-3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到</w:t>
          </w:r>
          <w:r>
            <w:rPr>
              <w:rFonts w:ascii="KaiTi" w:eastAsia="KaiTi" w:hAnsi="KaiTi" w:cs="KaiTi"/>
              <w:spacing w:val="-3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1，多零部件有望进阶</w:t>
          </w:r>
          <w:r>
            <w:rPr>
              <w:rFonts w:ascii="KaiTi" w:eastAsia="KaiTi" w:hAnsi="KaiTi" w:cs="KaiTi"/>
              <w:spacing w:val="-9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"/>
              <w:sz w:val="21"/>
              <w:szCs w:val="21"/>
            </w:rPr>
            <w:t xml:space="preserve"> </w:t>
          </w:r>
          <w:hyperlink w:anchor="bookmark25" w:history="1"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10509"/>
            </w:tabs>
            <w:spacing w:before="69" w:line="217" w:lineRule="auto"/>
            <w:ind w:left="451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z w:val="21"/>
              <w:szCs w:val="21"/>
            </w:rPr>
            <w:t>4.2</w:t>
          </w:r>
          <w:r>
            <w:rPr>
              <w:rFonts w:ascii="KaiTi" w:eastAsia="KaiTi" w:hAnsi="KaiTi" w:cs="KaiTi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>后续有望持续提升</w:t>
          </w:r>
          <w:r>
            <w:rPr>
              <w:rFonts w:ascii="KaiTi" w:eastAsia="KaiTi" w:hAnsi="KaiTi" w:cs="KaiTi"/>
              <w:spacing w:val="-4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"/>
              <w:sz w:val="21"/>
              <w:szCs w:val="21"/>
            </w:rPr>
            <w:t xml:space="preserve"> </w:t>
          </w:r>
          <w:hyperlink w:anchor="bookmark26" w:history="1"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10519"/>
            </w:tabs>
            <w:spacing w:before="66" w:line="223" w:lineRule="auto"/>
            <w:ind w:left="32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z w:val="21"/>
              <w:szCs w:val="21"/>
            </w:rPr>
            <w:t>5</w:t>
          </w:r>
          <w:r>
            <w:rPr>
              <w:rFonts w:ascii="KaiTi" w:eastAsia="KaiTi" w:hAnsi="KaiTi" w:cs="KaiTi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>风险提示</w:t>
          </w:r>
          <w:r>
            <w:rPr>
              <w:rFonts w:ascii="KaiTi" w:eastAsia="KaiTi" w:hAnsi="KaiTi" w:cs="KaiTi"/>
              <w:spacing w:val="-5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hyperlink w:anchor="bookmark27" w:history="1">
            <w:r>
              <w:rPr>
                <w:rFonts w:ascii="KaiTi" w:eastAsia="KaiTi" w:hAnsi="KaiTi" w:cs="KaiTi"/>
                <w:spacing w:val="2"/>
                <w:sz w:val="21"/>
                <w:szCs w:val="21"/>
              </w:rPr>
              <w:t>24</w:t>
            </w:r>
          </w:hyperlink>
        </w:p>
      </w:sdtContent>
    </w:sdt>
    <w:p>
      <w:pPr>
        <w:spacing w:line="223" w:lineRule="auto"/>
        <w:rPr>
          <w:rFonts w:ascii="KaiTi" w:eastAsia="KaiTi" w:hAnsi="KaiTi" w:cs="KaiTi"/>
          <w:sz w:val="21"/>
          <w:szCs w:val="21"/>
        </w:rPr>
        <w:sectPr>
          <w:headerReference w:type="default" r:id="rId15"/>
          <w:footerReference w:type="default" r:id="rId16"/>
          <w:pgSz w:w="11907" w:h="16839"/>
          <w:pgMar w:top="1221" w:right="679" w:bottom="710" w:left="679" w:header="454" w:footer="405" w:gutter="0"/>
          <w:pgNumType w:start="4"/>
          <w:cols w:space="708"/>
        </w:sectPr>
      </w:pPr>
    </w:p>
    <w:sdt>
      <w:sdtPr>
        <w:rPr>
          <w:rFonts w:ascii="Arial" w:eastAsia="Arial" w:hAnsi="Arial" w:cs="Arial"/>
          <w:sz w:val="21"/>
          <w:szCs w:val="21"/>
        </w:rPr>
        <w:id w:val="756909396"/>
        <w:docPartObj>
          <w:docPartGallery w:val="Table of Contents"/>
          <w:docPartUnique/>
        </w:docPartObj>
      </w:sdtPr>
      <w:sdtEndPr>
        <w:rPr>
          <w:rFonts w:ascii="KaiTi" w:eastAsia="KaiTi" w:hAnsi="KaiTi" w:cs="KaiTi"/>
          <w:sz w:val="21"/>
          <w:szCs w:val="21"/>
        </w:rPr>
      </w:sdtEndPr>
      <w:sdtContent>
        <w:p>
          <w:pPr>
            <w:spacing w:before="264" w:line="226" w:lineRule="auto"/>
            <w:ind w:left="4794"/>
            <w:rPr>
              <w:rFonts w:ascii="KaiTi" w:eastAsia="KaiTi" w:hAnsi="KaiTi" w:cs="KaiTi"/>
              <w:sz w:val="25"/>
              <w:szCs w:val="25"/>
            </w:rPr>
          </w:pPr>
          <w:r>
            <w:rPr>
              <w:rFonts w:ascii="KaiTi" w:eastAsia="KaiTi" w:hAnsi="KaiTi" w:cs="KaiTi"/>
              <w:spacing w:val="-1"/>
              <w:sz w:val="25"/>
              <w:szCs w:val="25"/>
            </w:rPr>
            <w:t>图表目录</w:t>
          </w:r>
        </w:p>
        <w:p>
          <w:pPr>
            <w:tabs>
              <w:tab w:val="right" w:leader="dot" w:pos="10509"/>
            </w:tabs>
            <w:spacing w:before="186" w:line="220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6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2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1:</w:t>
          </w:r>
          <w:r>
            <w:rPr>
              <w:rFonts w:ascii="KaiTi" w:eastAsia="KaiTi" w:hAnsi="KaiTi" w:cs="KaiTi"/>
              <w:spacing w:val="2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宁德时代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CTP3.0</w:t>
          </w:r>
          <w:r>
            <w:rPr>
              <w:rFonts w:ascii="KaiTi" w:eastAsia="KaiTi" w:hAnsi="KaiTi" w:cs="KaiTi"/>
              <w:spacing w:val="-2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电池模块图示</w:t>
          </w:r>
          <w:r>
            <w:rPr>
              <w:rFonts w:ascii="KaiTi" w:eastAsia="KaiTi" w:hAnsi="KaiTi" w:cs="KaiTi"/>
              <w:spacing w:val="-9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hyperlink w:anchor="bookmark1" w:history="1">
            <w:r>
              <w:rPr>
                <w:rFonts w:ascii="KaiTi" w:eastAsia="KaiTi" w:hAnsi="KaiTi" w:cs="KaiTi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10509"/>
            </w:tabs>
            <w:spacing w:before="62" w:line="216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3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2:</w:t>
          </w:r>
          <w:r>
            <w:rPr>
              <w:rFonts w:ascii="KaiTi" w:eastAsia="KaiTi" w:hAnsi="KaiTi" w:cs="KaiTi"/>
              <w:spacing w:val="2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高压快充架构下电池系统成本更优</w:t>
          </w:r>
          <w:r>
            <w:rPr>
              <w:rFonts w:ascii="KaiTi" w:eastAsia="KaiTi" w:hAnsi="KaiTi" w:cs="KaiTi"/>
              <w:spacing w:val="-9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hyperlink w:anchor="bookmark2" w:history="1">
            <w:r>
              <w:rPr>
                <w:rFonts w:ascii="KaiTi" w:eastAsia="KaiTi" w:hAnsi="KaiTi" w:cs="KaiTi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10509"/>
            </w:tabs>
            <w:spacing w:before="65" w:line="220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4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3:</w:t>
          </w:r>
          <w:r>
            <w:rPr>
              <w:rFonts w:ascii="KaiTi" w:eastAsia="KaiTi" w:hAnsi="KaiTi" w:cs="KaiTi"/>
              <w:spacing w:val="3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以太网技术具备多种优势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hyperlink w:anchor="bookmark3" w:history="1">
            <w:r>
              <w:rPr>
                <w:rFonts w:ascii="KaiTi" w:eastAsia="KaiTi" w:hAnsi="KaiTi" w:cs="KaiTi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10509"/>
            </w:tabs>
            <w:spacing w:before="62" w:line="217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4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4: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华为智能汽车解决方案布局示意图</w:t>
          </w:r>
          <w:r>
            <w:rPr>
              <w:rFonts w:ascii="KaiTi" w:eastAsia="KaiTi" w:hAnsi="KaiTi" w:cs="KaiTi"/>
              <w:spacing w:val="-9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"/>
              <w:sz w:val="21"/>
              <w:szCs w:val="21"/>
            </w:rPr>
            <w:t xml:space="preserve"> </w:t>
          </w:r>
          <w:hyperlink w:anchor="bookmark28" w:history="1">
            <w:r>
              <w:rPr>
                <w:rFonts w:ascii="KaiTi" w:eastAsia="KaiTi" w:hAnsi="KaiTi" w:cs="KaiTi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10509"/>
            </w:tabs>
            <w:spacing w:before="64" w:line="218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4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5: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华为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CCA+Vehicle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Stack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优势</w:t>
          </w:r>
          <w:r>
            <w:rPr>
              <w:rFonts w:ascii="KaiTi" w:eastAsia="KaiTi" w:hAnsi="KaiTi" w:cs="KaiTi"/>
              <w:spacing w:val="-9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"/>
              <w:sz w:val="21"/>
              <w:szCs w:val="21"/>
            </w:rPr>
            <w:t xml:space="preserve"> </w:t>
          </w:r>
          <w:hyperlink w:anchor="bookmark29" w:history="1">
            <w:r>
              <w:rPr>
                <w:rFonts w:ascii="KaiTi" w:eastAsia="KaiTi" w:hAnsi="KaiTi" w:cs="KaiTi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10509"/>
            </w:tabs>
            <w:spacing w:before="65" w:line="216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3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6: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不同悬架类型对比</w:t>
          </w:r>
          <w:r>
            <w:rPr>
              <w:rFonts w:ascii="KaiTi" w:eastAsia="KaiTi" w:hAnsi="KaiTi" w:cs="KaiTi"/>
              <w:spacing w:val="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3"/>
              <w:sz w:val="21"/>
              <w:szCs w:val="21"/>
            </w:rPr>
            <w:t xml:space="preserve"> </w:t>
          </w:r>
          <w:hyperlink w:anchor="bookmark30" w:history="1">
            <w:r>
              <w:rPr>
                <w:rFonts w:ascii="KaiTi" w:eastAsia="KaiTi" w:hAnsi="KaiTi" w:cs="KaiTi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10509"/>
            </w:tabs>
            <w:spacing w:before="66" w:line="216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5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3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7: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华为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iDVP</w:t>
          </w:r>
          <w:r>
            <w:rPr>
              <w:rFonts w:ascii="KaiTi" w:eastAsia="KaiTi" w:hAnsi="KaiTi" w:cs="KaiTi"/>
              <w:spacing w:val="-4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数字底座图示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z w:val="21"/>
              <w:szCs w:val="21"/>
            </w:rPr>
            <w:t xml:space="preserve"> </w:t>
          </w:r>
          <w:hyperlink w:anchor="bookmark31" w:history="1">
            <w:r>
              <w:rPr>
                <w:rFonts w:ascii="KaiTi" w:eastAsia="KaiTi" w:hAnsi="KaiTi" w:cs="KaiTi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10509"/>
            </w:tabs>
            <w:spacing w:before="66" w:line="217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5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4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8: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华为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iDVP</w:t>
          </w:r>
          <w:r>
            <w:rPr>
              <w:rFonts w:ascii="KaiTi" w:eastAsia="KaiTi" w:hAnsi="KaiTi" w:cs="KaiTi"/>
              <w:spacing w:val="-4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平台结构图示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z w:val="21"/>
              <w:szCs w:val="21"/>
            </w:rPr>
            <w:t xml:space="preserve"> </w:t>
          </w:r>
          <w:hyperlink w:anchor="bookmark32" w:history="1">
            <w:r>
              <w:rPr>
                <w:rFonts w:ascii="KaiTi" w:eastAsia="KaiTi" w:hAnsi="KaiTi" w:cs="KaiTi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10509"/>
            </w:tabs>
            <w:spacing w:before="66" w:line="218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4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9: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华为途灵底盘四大核心技术</w:t>
          </w:r>
          <w:r>
            <w:rPr>
              <w:rFonts w:ascii="KaiTi" w:eastAsia="KaiTi" w:hAnsi="KaiTi" w:cs="KaiTi"/>
              <w:spacing w:val="1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z w:val="21"/>
              <w:szCs w:val="21"/>
            </w:rPr>
            <w:t xml:space="preserve"> </w:t>
          </w:r>
          <w:hyperlink w:anchor="bookmark33" w:history="1">
            <w:r>
              <w:rPr>
                <w:rFonts w:ascii="KaiTi" w:eastAsia="KaiTi" w:hAnsi="KaiTi" w:cs="KaiTi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10509"/>
            </w:tabs>
            <w:spacing w:before="64" w:line="216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5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2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10: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AITO</w:t>
          </w:r>
          <w:r>
            <w:rPr>
              <w:rFonts w:ascii="KaiTi" w:eastAsia="KaiTi" w:hAnsi="KaiTi" w:cs="KaiTi"/>
              <w:spacing w:val="-2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问界</w:t>
          </w:r>
          <w:r>
            <w:rPr>
              <w:rFonts w:ascii="KaiTi" w:eastAsia="KaiTi" w:hAnsi="KaiTi" w:cs="KaiTi"/>
              <w:spacing w:val="-4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M9</w:t>
          </w:r>
          <w:r>
            <w:rPr>
              <w:rFonts w:ascii="KaiTi" w:eastAsia="KaiTi" w:hAnsi="KaiTi" w:cs="KaiTi"/>
              <w:spacing w:val="-4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途灵底盘图示</w:t>
          </w:r>
          <w:r>
            <w:rPr>
              <w:rFonts w:ascii="KaiTi" w:eastAsia="KaiTi" w:hAnsi="KaiTi" w:cs="KaiTi"/>
              <w:spacing w:val="-4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z w:val="21"/>
              <w:szCs w:val="21"/>
            </w:rPr>
            <w:t xml:space="preserve"> </w:t>
          </w:r>
          <w:hyperlink w:anchor="bookmark34" w:history="1">
            <w:r>
              <w:rPr>
                <w:rFonts w:ascii="KaiTi" w:eastAsia="KaiTi" w:hAnsi="KaiTi" w:cs="KaiTi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10509"/>
            </w:tabs>
            <w:spacing w:before="66" w:line="218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2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11: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华为</w:t>
          </w:r>
          <w:r>
            <w:rPr>
              <w:rFonts w:ascii="KaiTi" w:eastAsia="KaiTi" w:hAnsi="KaiTi" w:cs="KaiTi"/>
              <w:spacing w:val="-4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DriveONE</w:t>
          </w:r>
          <w:r>
            <w:rPr>
              <w:rFonts w:ascii="KaiTi" w:eastAsia="KaiTi" w:hAnsi="KaiTi" w:cs="KaiTi"/>
              <w:spacing w:val="-5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各电机参数对比</w:t>
          </w:r>
          <w:r>
            <w:rPr>
              <w:rFonts w:ascii="KaiTi" w:eastAsia="KaiTi" w:hAnsi="KaiTi" w:cs="KaiTi"/>
              <w:spacing w:val="-9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 xml:space="preserve"> </w:t>
          </w:r>
          <w:hyperlink w:anchor="bookmark35" w:history="1">
            <w:r>
              <w:rPr>
                <w:rFonts w:ascii="KaiTi" w:eastAsia="KaiTi" w:hAnsi="KaiTi" w:cs="KaiTi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10509"/>
            </w:tabs>
            <w:spacing w:before="52" w:line="218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5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3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12: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华为</w:t>
          </w:r>
          <w:r>
            <w:rPr>
              <w:rFonts w:ascii="DengXian" w:eastAsia="DengXian" w:hAnsi="DengXian" w:cs="DengXian"/>
              <w:spacing w:val="-5"/>
              <w:sz w:val="21"/>
              <w:szCs w:val="21"/>
            </w:rPr>
            <w:t>“</w:t>
          </w:r>
          <w:r>
            <w:rPr>
              <w:rFonts w:ascii="DengXian" w:eastAsia="DengXian" w:hAnsi="DengXian" w:cs="DengXian"/>
              <w:spacing w:val="-1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巨鲸</w:t>
          </w:r>
          <w:r>
            <w:rPr>
              <w:rFonts w:ascii="DengXian" w:eastAsia="DengXian" w:hAnsi="DengXian" w:cs="DengXian"/>
              <w:spacing w:val="-5"/>
              <w:sz w:val="21"/>
              <w:szCs w:val="21"/>
            </w:rPr>
            <w:t>”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800V</w:t>
          </w:r>
          <w:r>
            <w:rPr>
              <w:rFonts w:ascii="KaiTi" w:eastAsia="KaiTi" w:hAnsi="KaiTi" w:cs="KaiTi"/>
              <w:spacing w:val="-2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高压电池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平台发布</w:t>
          </w:r>
          <w:r>
            <w:rPr>
              <w:rFonts w:ascii="KaiTi" w:eastAsia="KaiTi" w:hAnsi="KaiTi" w:cs="KaiTi"/>
              <w:spacing w:val="-8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 xml:space="preserve"> </w:t>
          </w:r>
          <w:hyperlink w:anchor="bookmark36" w:history="1">
            <w:r>
              <w:rPr>
                <w:rFonts w:ascii="KaiTi" w:eastAsia="KaiTi" w:hAnsi="KaiTi" w:cs="KaiTi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10509"/>
            </w:tabs>
            <w:spacing w:before="45" w:line="218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3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13: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华为</w:t>
          </w:r>
          <w:r>
            <w:rPr>
              <w:rFonts w:ascii="DengXian" w:eastAsia="DengXian" w:hAnsi="DengXian" w:cs="DengXian"/>
              <w:spacing w:val="-4"/>
              <w:sz w:val="21"/>
              <w:szCs w:val="21"/>
            </w:rPr>
            <w:t>“</w:t>
          </w:r>
          <w:r>
            <w:rPr>
              <w:rFonts w:ascii="DengXian" w:eastAsia="DengXian" w:hAnsi="DengXian" w:cs="DengXian"/>
              <w:spacing w:val="-1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巨鲸</w:t>
          </w:r>
          <w:r>
            <w:rPr>
              <w:rFonts w:ascii="DengXian" w:eastAsia="DengXian" w:hAnsi="DengXian" w:cs="DengXian"/>
              <w:spacing w:val="-4"/>
              <w:sz w:val="21"/>
              <w:szCs w:val="21"/>
            </w:rPr>
            <w:t>”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800V</w:t>
          </w:r>
          <w:r>
            <w:rPr>
              <w:rFonts w:ascii="KaiTi" w:eastAsia="KaiTi" w:hAnsi="KaiTi" w:cs="KaiTi"/>
              <w:spacing w:val="-4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平台拥有多重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安全保护</w:t>
          </w:r>
          <w:r>
            <w:rPr>
              <w:rFonts w:ascii="KaiTi" w:eastAsia="KaiTi" w:hAnsi="KaiTi" w:cs="KaiTi"/>
              <w:spacing w:val="-7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 xml:space="preserve"> </w:t>
          </w:r>
          <w:hyperlink w:anchor="bookmark37" w:history="1">
            <w:r>
              <w:rPr>
                <w:rFonts w:ascii="KaiTi" w:eastAsia="KaiTi" w:hAnsi="KaiTi" w:cs="KaiTi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10509"/>
            </w:tabs>
            <w:spacing w:before="57" w:line="216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6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1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14: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AITO</w:t>
          </w:r>
          <w:r>
            <w:rPr>
              <w:rFonts w:ascii="KaiTi" w:eastAsia="KaiTi" w:hAnsi="KaiTi" w:cs="KaiTi"/>
              <w:spacing w:val="-2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问界</w:t>
          </w:r>
          <w:r>
            <w:rPr>
              <w:rFonts w:ascii="KaiTi" w:eastAsia="KaiTi" w:hAnsi="KaiTi" w:cs="KaiTi"/>
              <w:spacing w:val="-4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M9</w:t>
          </w:r>
          <w:r>
            <w:rPr>
              <w:rFonts w:ascii="KaiTi" w:eastAsia="KaiTi" w:hAnsi="KaiTi" w:cs="KaiTi"/>
              <w:spacing w:val="-2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玄武车身图示</w:t>
          </w:r>
          <w:r>
            <w:rPr>
              <w:rFonts w:ascii="KaiTi" w:eastAsia="KaiTi" w:hAnsi="KaiTi" w:cs="KaiTi"/>
              <w:spacing w:val="-4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4"/>
              <w:sz w:val="21"/>
              <w:szCs w:val="21"/>
            </w:rPr>
            <w:t xml:space="preserve"> </w:t>
          </w:r>
          <w:hyperlink w:anchor="bookmark38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10509"/>
            </w:tabs>
            <w:spacing w:before="66" w:line="216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5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2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15: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AITO</w:t>
          </w:r>
          <w:r>
            <w:rPr>
              <w:rFonts w:ascii="KaiTi" w:eastAsia="KaiTi" w:hAnsi="KaiTi" w:cs="KaiTi"/>
              <w:spacing w:val="-2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问界</w:t>
          </w:r>
          <w:r>
            <w:rPr>
              <w:rFonts w:ascii="KaiTi" w:eastAsia="KaiTi" w:hAnsi="KaiTi" w:cs="KaiTi"/>
              <w:spacing w:val="-4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M9</w:t>
          </w:r>
          <w:r>
            <w:rPr>
              <w:rFonts w:ascii="KaiTi" w:eastAsia="KaiTi" w:hAnsi="KaiTi" w:cs="KaiTi"/>
              <w:spacing w:val="-4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一体化压铸部件</w:t>
          </w:r>
          <w:r>
            <w:rPr>
              <w:rFonts w:ascii="KaiTi" w:eastAsia="KaiTi" w:hAnsi="KaiTi" w:cs="KaiTi"/>
              <w:spacing w:val="-3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3"/>
              <w:sz w:val="21"/>
              <w:szCs w:val="21"/>
            </w:rPr>
            <w:t xml:space="preserve"> </w:t>
          </w:r>
          <w:hyperlink w:anchor="bookmark39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10509"/>
            </w:tabs>
            <w:spacing w:before="67" w:line="216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5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2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16: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华为</w:t>
          </w:r>
          <w:r>
            <w:rPr>
              <w:rFonts w:ascii="KaiTi" w:eastAsia="KaiTi" w:hAnsi="KaiTi" w:cs="KaiTi"/>
              <w:spacing w:val="-4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TMS</w:t>
          </w:r>
          <w:r>
            <w:rPr>
              <w:rFonts w:ascii="KaiTi" w:eastAsia="KaiTi" w:hAnsi="KaiTi" w:cs="KaiTi"/>
              <w:spacing w:val="-3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热管理系统图示</w:t>
          </w:r>
          <w:r>
            <w:rPr>
              <w:rFonts w:ascii="KaiTi" w:eastAsia="KaiTi" w:hAnsi="KaiTi" w:cs="KaiTi"/>
              <w:spacing w:val="-9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4"/>
              <w:sz w:val="21"/>
              <w:szCs w:val="21"/>
            </w:rPr>
            <w:t xml:space="preserve"> </w:t>
          </w:r>
          <w:hyperlink w:anchor="bookmark40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10509"/>
            </w:tabs>
            <w:spacing w:before="66" w:line="216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2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17: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华为</w:t>
          </w:r>
          <w:r>
            <w:rPr>
              <w:rFonts w:ascii="KaiTi" w:eastAsia="KaiTi" w:hAnsi="KaiTi" w:cs="KaiTi"/>
              <w:spacing w:val="-4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TMS</w:t>
          </w:r>
          <w:r>
            <w:rPr>
              <w:rFonts w:ascii="KaiTi" w:eastAsia="KaiTi" w:hAnsi="KaiTi" w:cs="KaiTi"/>
              <w:spacing w:val="-3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热管理系统一体化设计</w:t>
          </w:r>
          <w:r>
            <w:rPr>
              <w:rFonts w:ascii="KaiTi" w:eastAsia="KaiTi" w:hAnsi="KaiTi" w:cs="KaiTi"/>
              <w:spacing w:val="-9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3"/>
              <w:sz w:val="21"/>
              <w:szCs w:val="21"/>
            </w:rPr>
            <w:t xml:space="preserve"> </w:t>
          </w:r>
          <w:hyperlink w:anchor="bookmark41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10509"/>
            </w:tabs>
            <w:spacing w:before="66" w:line="216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5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3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18: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华为电池管理系统</w:t>
          </w:r>
          <w:r>
            <w:rPr>
              <w:rFonts w:ascii="KaiTi" w:eastAsia="KaiTi" w:hAnsi="KaiTi" w:cs="KaiTi"/>
              <w:spacing w:val="-4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BMS</w:t>
          </w:r>
          <w:r>
            <w:rPr>
              <w:rFonts w:ascii="KaiTi" w:eastAsia="KaiTi" w:hAnsi="KaiTi" w:cs="KaiTi"/>
              <w:spacing w:val="-2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图示</w:t>
          </w:r>
          <w:r>
            <w:rPr>
              <w:rFonts w:ascii="KaiTi" w:eastAsia="KaiTi" w:hAnsi="KaiTi" w:cs="KaiTi"/>
              <w:spacing w:val="-9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4"/>
              <w:sz w:val="21"/>
              <w:szCs w:val="21"/>
            </w:rPr>
            <w:t xml:space="preserve"> </w:t>
          </w:r>
          <w:hyperlink w:anchor="bookmark42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10509"/>
            </w:tabs>
            <w:spacing w:before="67" w:line="216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2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19: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华为云端智能预警系统技术规格</w:t>
          </w:r>
          <w:r>
            <w:rPr>
              <w:rFonts w:ascii="KaiTi" w:eastAsia="KaiTi" w:hAnsi="KaiTi" w:cs="KaiTi"/>
              <w:spacing w:val="-9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3"/>
              <w:sz w:val="21"/>
              <w:szCs w:val="21"/>
            </w:rPr>
            <w:t xml:space="preserve"> </w:t>
          </w:r>
          <w:hyperlink w:anchor="bookmark43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10509"/>
            </w:tabs>
            <w:spacing w:before="66" w:line="216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2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20: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AITO</w:t>
          </w:r>
          <w:r>
            <w:rPr>
              <w:rFonts w:ascii="KaiTi" w:eastAsia="KaiTi" w:hAnsi="KaiTi" w:cs="KaiTi"/>
              <w:spacing w:val="-2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问界</w:t>
          </w:r>
          <w:r>
            <w:rPr>
              <w:rFonts w:ascii="KaiTi" w:eastAsia="KaiTi" w:hAnsi="KaiTi" w:cs="KaiTi"/>
              <w:spacing w:val="-4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M9</w:t>
          </w:r>
          <w:r>
            <w:rPr>
              <w:rFonts w:ascii="KaiTi" w:eastAsia="KaiTi" w:hAnsi="KaiTi" w:cs="KaiTi"/>
              <w:spacing w:val="-4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搭载车规级投影巨幕</w:t>
          </w:r>
          <w:r>
            <w:rPr>
              <w:rFonts w:ascii="KaiTi" w:eastAsia="KaiTi" w:hAnsi="KaiTi" w:cs="KaiTi"/>
              <w:spacing w:val="-3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3"/>
              <w:sz w:val="21"/>
              <w:szCs w:val="21"/>
            </w:rPr>
            <w:t xml:space="preserve"> </w:t>
          </w:r>
          <w:hyperlink w:anchor="bookmark44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10509"/>
            </w:tabs>
            <w:spacing w:before="66" w:line="216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21: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AITO</w:t>
          </w:r>
          <w:r>
            <w:rPr>
              <w:rFonts w:ascii="KaiTi" w:eastAsia="KaiTi" w:hAnsi="KaiTi" w:cs="KaiTi"/>
              <w:spacing w:val="-2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问界</w:t>
          </w:r>
          <w:r>
            <w:rPr>
              <w:rFonts w:ascii="KaiTi" w:eastAsia="KaiTi" w:hAnsi="KaiTi" w:cs="KaiTi"/>
              <w:spacing w:val="-4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M9</w:t>
          </w:r>
          <w:r>
            <w:rPr>
              <w:rFonts w:ascii="KaiTi" w:eastAsia="KaiTi" w:hAnsi="KaiTi" w:cs="KaiTi"/>
              <w:spacing w:val="-4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前排三联屏图示</w:t>
          </w:r>
          <w:r>
            <w:rPr>
              <w:rFonts w:ascii="KaiTi" w:eastAsia="KaiTi" w:hAnsi="KaiTi" w:cs="KaiTi"/>
              <w:spacing w:val="-3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3"/>
              <w:sz w:val="21"/>
              <w:szCs w:val="21"/>
            </w:rPr>
            <w:t xml:space="preserve"> </w:t>
          </w:r>
          <w:hyperlink w:anchor="bookmark45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10509"/>
            </w:tabs>
            <w:spacing w:before="67" w:line="216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5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3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22: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AITO</w:t>
          </w:r>
          <w:r>
            <w:rPr>
              <w:rFonts w:ascii="KaiTi" w:eastAsia="KaiTi" w:hAnsi="KaiTi" w:cs="KaiTi"/>
              <w:spacing w:val="-2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问界</w:t>
          </w:r>
          <w:r>
            <w:rPr>
              <w:rFonts w:ascii="KaiTi" w:eastAsia="KaiTi" w:hAnsi="KaiTi" w:cs="KaiTi"/>
              <w:spacing w:val="-4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M9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座椅图示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4"/>
              <w:sz w:val="21"/>
              <w:szCs w:val="21"/>
            </w:rPr>
            <w:t xml:space="preserve"> </w:t>
          </w:r>
          <w:hyperlink w:anchor="bookmark46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10509"/>
            </w:tabs>
            <w:spacing w:before="66" w:line="216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3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23: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AITO</w:t>
          </w:r>
          <w:r>
            <w:rPr>
              <w:rFonts w:ascii="KaiTi" w:eastAsia="KaiTi" w:hAnsi="KaiTi" w:cs="KaiTi"/>
              <w:spacing w:val="-2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问界</w:t>
          </w:r>
          <w:r>
            <w:rPr>
              <w:rFonts w:ascii="KaiTi" w:eastAsia="KaiTi" w:hAnsi="KaiTi" w:cs="KaiTi"/>
              <w:spacing w:val="-4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M9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座椅采用</w:t>
          </w:r>
          <w:r>
            <w:rPr>
              <w:rFonts w:ascii="KaiTi" w:eastAsia="KaiTi" w:hAnsi="KaiTi" w:cs="KaiTi"/>
              <w:spacing w:val="-4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NAPPA</w:t>
          </w:r>
          <w:r>
            <w:rPr>
              <w:rFonts w:ascii="KaiTi" w:eastAsia="KaiTi" w:hAnsi="KaiTi" w:cs="KaiTi"/>
              <w:spacing w:val="-4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真皮材质</w:t>
          </w:r>
          <w:r>
            <w:rPr>
              <w:rFonts w:ascii="KaiTi" w:eastAsia="KaiTi" w:hAnsi="KaiTi" w:cs="KaiTi"/>
              <w:spacing w:val="-3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3"/>
              <w:sz w:val="21"/>
              <w:szCs w:val="21"/>
            </w:rPr>
            <w:t xml:space="preserve"> </w:t>
          </w:r>
          <w:hyperlink w:anchor="bookmark47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10509"/>
            </w:tabs>
            <w:spacing w:before="66" w:line="216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3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24: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AITO</w:t>
          </w:r>
          <w:r>
            <w:rPr>
              <w:rFonts w:ascii="KaiTi" w:eastAsia="KaiTi" w:hAnsi="KaiTi" w:cs="KaiTi"/>
              <w:spacing w:val="-2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问界</w:t>
          </w:r>
          <w:r>
            <w:rPr>
              <w:rFonts w:ascii="KaiTi" w:eastAsia="KaiTi" w:hAnsi="KaiTi" w:cs="KaiTi"/>
              <w:spacing w:val="-4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M9</w:t>
          </w:r>
          <w:r>
            <w:rPr>
              <w:rFonts w:ascii="KaiTi" w:eastAsia="KaiTi" w:hAnsi="KaiTi" w:cs="KaiTi"/>
              <w:spacing w:val="-4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误踩油门也可制动</w:t>
          </w:r>
          <w:r>
            <w:rPr>
              <w:rFonts w:ascii="KaiTi" w:eastAsia="KaiTi" w:hAnsi="KaiTi" w:cs="KaiTi"/>
              <w:spacing w:val="-4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3"/>
              <w:sz w:val="21"/>
              <w:szCs w:val="21"/>
            </w:rPr>
            <w:t xml:space="preserve"> </w:t>
          </w:r>
          <w:hyperlink w:anchor="bookmark48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10509"/>
            </w:tabs>
            <w:spacing w:before="67" w:line="216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4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25: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AITO</w:t>
          </w:r>
          <w:r>
            <w:rPr>
              <w:rFonts w:ascii="KaiTi" w:eastAsia="KaiTi" w:hAnsi="KaiTi" w:cs="KaiTi"/>
              <w:spacing w:val="-2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问界</w:t>
          </w:r>
          <w:r>
            <w:rPr>
              <w:rFonts w:ascii="KaiTi" w:eastAsia="KaiTi" w:hAnsi="KaiTi" w:cs="KaiTi"/>
              <w:spacing w:val="-4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M9</w:t>
          </w:r>
          <w:r>
            <w:rPr>
              <w:rFonts w:ascii="KaiTi" w:eastAsia="KaiTi" w:hAnsi="KaiTi" w:cs="KaiTi"/>
              <w:spacing w:val="-4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前向</w:t>
          </w:r>
          <w:r>
            <w:rPr>
              <w:rFonts w:ascii="KaiTi" w:eastAsia="KaiTi" w:hAnsi="KaiTi" w:cs="KaiTi"/>
              <w:spacing w:val="-4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AEB</w:t>
          </w:r>
          <w:r>
            <w:rPr>
              <w:rFonts w:ascii="KaiTi" w:eastAsia="KaiTi" w:hAnsi="KaiTi" w:cs="KaiTi"/>
              <w:spacing w:val="-4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功能更进一步</w:t>
          </w:r>
          <w:r>
            <w:rPr>
              <w:rFonts w:ascii="KaiTi" w:eastAsia="KaiTi" w:hAnsi="KaiTi" w:cs="KaiTi"/>
              <w:spacing w:val="-3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3"/>
              <w:sz w:val="21"/>
              <w:szCs w:val="21"/>
            </w:rPr>
            <w:t xml:space="preserve"> </w:t>
          </w:r>
          <w:hyperlink w:anchor="bookmark49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10509"/>
            </w:tabs>
            <w:spacing w:before="66" w:line="216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3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26: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AR-HUD</w:t>
          </w:r>
          <w:r>
            <w:rPr>
              <w:rFonts w:ascii="KaiTi" w:eastAsia="KaiTi" w:hAnsi="KaiTi" w:cs="KaiTi"/>
              <w:spacing w:val="-4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较其他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HUD</w:t>
          </w:r>
          <w:r>
            <w:rPr>
              <w:rFonts w:ascii="KaiTi" w:eastAsia="KaiTi" w:hAnsi="KaiTi" w:cs="KaiTi"/>
              <w:spacing w:val="-4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产品更具优势</w:t>
          </w:r>
          <w:r>
            <w:rPr>
              <w:rFonts w:ascii="KaiTi" w:eastAsia="KaiTi" w:hAnsi="KaiTi" w:cs="KaiTi"/>
              <w:spacing w:val="-3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3"/>
              <w:sz w:val="21"/>
              <w:szCs w:val="21"/>
            </w:rPr>
            <w:t xml:space="preserve"> </w:t>
          </w:r>
          <w:hyperlink w:anchor="bookmark50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10509"/>
            </w:tabs>
            <w:spacing w:before="66" w:line="221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3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27: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AR-HUD</w:t>
          </w:r>
          <w:r>
            <w:rPr>
              <w:rFonts w:ascii="KaiTi" w:eastAsia="KaiTi" w:hAnsi="KaiTi" w:cs="KaiTi"/>
              <w:spacing w:val="-3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可实现功能更为齐全</w:t>
          </w:r>
          <w:r>
            <w:rPr>
              <w:rFonts w:ascii="KaiTi" w:eastAsia="KaiTi" w:hAnsi="KaiTi" w:cs="KaiTi"/>
              <w:spacing w:val="-4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3"/>
              <w:sz w:val="21"/>
              <w:szCs w:val="21"/>
            </w:rPr>
            <w:t xml:space="preserve"> </w:t>
          </w:r>
          <w:hyperlink w:anchor="bookmark51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10509"/>
            </w:tabs>
            <w:spacing w:before="61" w:line="221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5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3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28: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HUAWE</w:t>
          </w:r>
          <w:r>
            <w:rPr>
              <w:rFonts w:ascii="KaiTi" w:eastAsia="KaiTi" w:hAnsi="KaiTi" w:cs="KaiTi"/>
              <w:spacing w:val="-6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I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XHUD</w:t>
          </w:r>
          <w:r>
            <w:rPr>
              <w:rFonts w:ascii="KaiTi" w:eastAsia="KaiTi" w:hAnsi="KaiTi" w:cs="KaiTi"/>
              <w:spacing w:val="-4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结构图示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4"/>
              <w:sz w:val="21"/>
              <w:szCs w:val="21"/>
            </w:rPr>
            <w:t xml:space="preserve"> </w:t>
          </w:r>
          <w:hyperlink w:anchor="bookmark52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10509"/>
            </w:tabs>
            <w:spacing w:before="61" w:line="216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4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29: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HUAWE</w:t>
          </w:r>
          <w:r>
            <w:rPr>
              <w:rFonts w:ascii="KaiTi" w:eastAsia="KaiTi" w:hAnsi="KaiTi" w:cs="KaiTi"/>
              <w:spacing w:val="-6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I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XHUD</w:t>
          </w:r>
          <w:r>
            <w:rPr>
              <w:rFonts w:ascii="KaiTi" w:eastAsia="KaiTi" w:hAnsi="KaiTi" w:cs="KaiTi"/>
              <w:spacing w:val="-5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界面图示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4"/>
              <w:sz w:val="21"/>
              <w:szCs w:val="21"/>
            </w:rPr>
            <w:t xml:space="preserve"> </w:t>
          </w:r>
          <w:hyperlink w:anchor="bookmark53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10509"/>
            </w:tabs>
            <w:spacing w:before="66" w:line="216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4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30: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AITO</w:t>
          </w:r>
          <w:r>
            <w:rPr>
              <w:rFonts w:ascii="KaiTi" w:eastAsia="KaiTi" w:hAnsi="KaiTi" w:cs="KaiTi"/>
              <w:spacing w:val="-2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问界</w:t>
          </w:r>
          <w:r>
            <w:rPr>
              <w:rFonts w:ascii="KaiTi" w:eastAsia="KaiTi" w:hAnsi="KaiTi" w:cs="KaiTi"/>
              <w:spacing w:val="-4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M9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ADB/A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FS</w:t>
          </w:r>
          <w:r>
            <w:rPr>
              <w:rFonts w:ascii="KaiTi" w:eastAsia="KaiTi" w:hAnsi="KaiTi" w:cs="KaiTi"/>
              <w:spacing w:val="-4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智慧车灯</w:t>
          </w:r>
          <w:r>
            <w:rPr>
              <w:rFonts w:ascii="KaiTi" w:eastAsia="KaiTi" w:hAnsi="KaiTi" w:cs="KaiTi"/>
              <w:spacing w:val="-3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3"/>
              <w:sz w:val="21"/>
              <w:szCs w:val="21"/>
            </w:rPr>
            <w:t xml:space="preserve"> </w:t>
          </w:r>
          <w:hyperlink w:anchor="bookmark54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10509"/>
            </w:tabs>
            <w:spacing w:before="66" w:line="217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3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31: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华为智慧车灯使用场景图示</w:t>
          </w:r>
          <w:r>
            <w:rPr>
              <w:rFonts w:ascii="KaiTi" w:eastAsia="KaiTi" w:hAnsi="KaiTi" w:cs="KaiTi"/>
              <w:spacing w:val="-9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4"/>
              <w:sz w:val="21"/>
              <w:szCs w:val="21"/>
            </w:rPr>
            <w:t xml:space="preserve"> </w:t>
          </w:r>
          <w:hyperlink w:anchor="bookmark55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10509"/>
            </w:tabs>
            <w:spacing w:before="65" w:line="218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4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32: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华为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SOUND</w:t>
          </w:r>
          <w:r>
            <w:rPr>
              <w:rFonts w:ascii="KaiTi" w:eastAsia="KaiTi" w:hAnsi="KaiTi" w:cs="KaiTi"/>
              <w:spacing w:val="-4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使用施罗德散射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声学技术</w:t>
          </w:r>
          <w:r>
            <w:rPr>
              <w:rFonts w:ascii="KaiTi" w:eastAsia="KaiTi" w:hAnsi="KaiTi" w:cs="KaiTi"/>
              <w:spacing w:val="-8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3"/>
              <w:sz w:val="21"/>
              <w:szCs w:val="21"/>
            </w:rPr>
            <w:t xml:space="preserve"> </w:t>
          </w:r>
          <w:hyperlink w:anchor="bookmark56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10509"/>
            </w:tabs>
            <w:spacing w:before="65" w:line="217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3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33: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华为</w:t>
          </w:r>
          <w:r>
            <w:rPr>
              <w:rFonts w:ascii="KaiTi" w:eastAsia="KaiTi" w:hAnsi="KaiTi" w:cs="KaiTi"/>
              <w:spacing w:val="-4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SOUND</w:t>
          </w:r>
          <w:r>
            <w:rPr>
              <w:rFonts w:ascii="KaiTi" w:eastAsia="KaiTi" w:hAnsi="KaiTi" w:cs="KaiTi"/>
              <w:spacing w:val="-4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性能提升</w:t>
          </w:r>
          <w:r>
            <w:rPr>
              <w:rFonts w:ascii="KaiTi" w:eastAsia="KaiTi" w:hAnsi="KaiTi" w:cs="KaiTi"/>
              <w:spacing w:val="1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2"/>
              <w:sz w:val="21"/>
              <w:szCs w:val="21"/>
            </w:rPr>
            <w:t xml:space="preserve"> </w:t>
          </w:r>
          <w:hyperlink w:anchor="bookmark57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10509"/>
            </w:tabs>
            <w:spacing w:before="65" w:line="216" w:lineRule="auto"/>
            <w:ind w:left="483"/>
            <w:rPr>
              <w:rFonts w:ascii="KaiTi" w:eastAsia="KaiTi" w:hAnsi="KaiTi" w:cs="KaiTi"/>
              <w:sz w:val="21"/>
              <w:szCs w:val="21"/>
            </w:rPr>
            <w:sectPr>
              <w:headerReference w:type="default" r:id="rId17"/>
              <w:footerReference w:type="default" r:id="rId18"/>
              <w:pgSz w:w="11907" w:h="16839"/>
              <w:pgMar w:top="1221" w:right="679" w:bottom="710" w:left="679" w:header="454" w:footer="405" w:gutter="0"/>
              <w:pgNumType w:start="5"/>
              <w:cols w:space="708"/>
            </w:sectPr>
          </w:pPr>
          <w:r>
            <w:rPr>
              <w:rFonts w:ascii="KaiTi" w:eastAsia="KaiTi" w:hAnsi="KaiTi" w:cs="KaiTi"/>
              <w:spacing w:val="-5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3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34: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华为</w:t>
          </w:r>
          <w:r>
            <w:rPr>
              <w:rFonts w:ascii="KaiTi" w:eastAsia="KaiTi" w:hAnsi="KaiTi" w:cs="KaiTi"/>
              <w:spacing w:val="-5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ADS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系统迭代升级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4"/>
              <w:sz w:val="21"/>
              <w:szCs w:val="21"/>
            </w:rPr>
            <w:t xml:space="preserve"> </w:t>
          </w:r>
          <w:hyperlink w:anchor="bookmark58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15</w:t>
            </w:r>
          </w:hyperlink>
        </w:p>
      </w:sdtContent>
    </w:sdt>
    <w:sdt>
      <w:sdtPr>
        <w:rPr>
          <w:rFonts w:ascii="Arial" w:eastAsia="Arial" w:hAnsi="Arial" w:cs="Arial"/>
          <w:sz w:val="21"/>
          <w:szCs w:val="21"/>
        </w:rPr>
        <w:id w:val="200780924"/>
        <w:docPartObj>
          <w:docPartGallery w:val="Table of Contents"/>
          <w:docPartUnique/>
        </w:docPartObj>
      </w:sdtPr>
      <w:sdtEndPr>
        <w:rPr>
          <w:rFonts w:ascii="KaiTi" w:eastAsia="KaiTi" w:hAnsi="KaiTi" w:cs="KaiTi"/>
          <w:sz w:val="21"/>
          <w:szCs w:val="21"/>
        </w:rPr>
      </w:sdtEndPr>
      <w:sdtContent>
        <w:p>
          <w:pPr>
            <w:tabs>
              <w:tab w:val="right" w:leader="dot" w:pos="10509"/>
            </w:tabs>
            <w:spacing w:before="66" w:line="218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3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35: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部分主机厂城市</w:t>
          </w:r>
          <w:r>
            <w:rPr>
              <w:rFonts w:ascii="KaiTi" w:eastAsia="KaiTi" w:hAnsi="KaiTi" w:cs="KaiTi"/>
              <w:spacing w:val="-4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NOA</w:t>
          </w:r>
          <w:r>
            <w:rPr>
              <w:rFonts w:ascii="KaiTi" w:eastAsia="KaiTi" w:hAnsi="KaiTi" w:cs="KaiTi"/>
              <w:spacing w:val="-2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落地时间表</w:t>
          </w:r>
          <w:r>
            <w:rPr>
              <w:rFonts w:ascii="KaiTi" w:eastAsia="KaiTi" w:hAnsi="KaiTi" w:cs="KaiTi"/>
              <w:spacing w:val="-9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3"/>
              <w:sz w:val="21"/>
              <w:szCs w:val="21"/>
            </w:rPr>
            <w:t xml:space="preserve"> </w:t>
          </w:r>
          <w:hyperlink w:anchor="bookmark59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10509"/>
            </w:tabs>
            <w:spacing w:before="64" w:line="216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5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3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36:</w:t>
          </w:r>
          <w:r>
            <w:rPr>
              <w:rFonts w:ascii="KaiTi" w:eastAsia="KaiTi" w:hAnsi="KaiTi" w:cs="KaiTi"/>
              <w:spacing w:val="3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国内市场部分高端品牌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SUV</w:t>
          </w:r>
          <w:r>
            <w:rPr>
              <w:rFonts w:ascii="KaiTi" w:eastAsia="KaiTi" w:hAnsi="KaiTi" w:cs="KaiTi"/>
              <w:spacing w:val="-3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车型对比</w:t>
          </w:r>
          <w:r>
            <w:rPr>
              <w:rFonts w:ascii="KaiTi" w:eastAsia="KaiTi" w:hAnsi="KaiTi" w:cs="KaiTi"/>
              <w:spacing w:val="-8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3"/>
              <w:sz w:val="21"/>
              <w:szCs w:val="21"/>
            </w:rPr>
            <w:t xml:space="preserve"> </w:t>
          </w:r>
          <w:hyperlink w:anchor="bookmark60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10509"/>
            </w:tabs>
            <w:spacing w:before="66" w:line="214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6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3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37: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40</w:t>
          </w:r>
          <w:r>
            <w:rPr>
              <w:rFonts w:ascii="KaiTi" w:eastAsia="KaiTi" w:hAnsi="KaiTi" w:cs="KaiTi"/>
              <w:spacing w:val="-3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万元以上乘用车市场销量（万辆）</w:t>
          </w:r>
          <w:r>
            <w:rPr>
              <w:rFonts w:ascii="KaiTi" w:eastAsia="KaiTi" w:hAnsi="KaiTi" w:cs="KaiTi"/>
              <w:spacing w:val="3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3"/>
              <w:sz w:val="21"/>
              <w:szCs w:val="21"/>
            </w:rPr>
            <w:t xml:space="preserve"> </w:t>
          </w:r>
          <w:hyperlink w:anchor="bookmark61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10509"/>
            </w:tabs>
            <w:spacing w:before="69" w:line="214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4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38: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40</w:t>
          </w:r>
          <w:r>
            <w:rPr>
              <w:rFonts w:ascii="KaiTi" w:eastAsia="KaiTi" w:hAnsi="KaiTi" w:cs="KaiTi"/>
              <w:spacing w:val="-3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万元以上新能源乘用车市场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销量（万辆）</w:t>
          </w:r>
          <w:r>
            <w:rPr>
              <w:rFonts w:ascii="KaiTi" w:eastAsia="KaiTi" w:hAnsi="KaiTi" w:cs="KaiTi"/>
              <w:spacing w:val="-2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3"/>
              <w:sz w:val="21"/>
              <w:szCs w:val="21"/>
            </w:rPr>
            <w:t xml:space="preserve"> </w:t>
          </w:r>
          <w:hyperlink w:anchor="bookmark62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10509"/>
            </w:tabs>
            <w:spacing w:before="68" w:line="216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3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39: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传统豪华品牌电动化进程</w:t>
          </w:r>
          <w:r>
            <w:rPr>
              <w:rFonts w:ascii="KaiTi" w:eastAsia="KaiTi" w:hAnsi="KaiTi" w:cs="KaiTi"/>
              <w:spacing w:val="-9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4"/>
              <w:sz w:val="21"/>
              <w:szCs w:val="21"/>
            </w:rPr>
            <w:t xml:space="preserve"> </w:t>
          </w:r>
          <w:hyperlink w:anchor="bookmark63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10509"/>
            </w:tabs>
            <w:spacing w:before="67" w:line="214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5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40: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40</w:t>
          </w:r>
          <w:r>
            <w:rPr>
              <w:rFonts w:ascii="KaiTi" w:eastAsia="KaiTi" w:hAnsi="KaiTi" w:cs="KaiTi"/>
              <w:spacing w:val="-3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万元以上新能源乘用车市场份额（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%）</w:t>
          </w:r>
          <w:r>
            <w:rPr>
              <w:rFonts w:ascii="KaiTi" w:eastAsia="KaiTi" w:hAnsi="KaiTi" w:cs="KaiTi"/>
              <w:spacing w:val="-3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3"/>
              <w:sz w:val="21"/>
              <w:szCs w:val="21"/>
            </w:rPr>
            <w:t xml:space="preserve"> </w:t>
          </w:r>
          <w:hyperlink w:anchor="bookmark64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10509"/>
            </w:tabs>
            <w:spacing w:before="68" w:line="216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41: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传统消费者对豪华品牌认知标准</w:t>
          </w:r>
          <w:r>
            <w:rPr>
              <w:rFonts w:ascii="KaiTi" w:eastAsia="KaiTi" w:hAnsi="KaiTi" w:cs="KaiTi"/>
              <w:spacing w:val="-9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3"/>
              <w:sz w:val="21"/>
              <w:szCs w:val="21"/>
            </w:rPr>
            <w:t xml:space="preserve"> </w:t>
          </w:r>
          <w:hyperlink w:anchor="bookmark65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10509"/>
            </w:tabs>
            <w:spacing w:before="67" w:line="216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4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42: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新生代对豪华品牌认知标准</w:t>
          </w:r>
          <w:r>
            <w:rPr>
              <w:rFonts w:ascii="KaiTi" w:eastAsia="KaiTi" w:hAnsi="KaiTi" w:cs="KaiTi"/>
              <w:spacing w:val="-9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4"/>
              <w:sz w:val="21"/>
              <w:szCs w:val="21"/>
            </w:rPr>
            <w:t xml:space="preserve"> </w:t>
          </w:r>
          <w:hyperlink w:anchor="bookmark66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10509"/>
            </w:tabs>
            <w:spacing w:before="66" w:line="216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3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43: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用户舍弃传统豪华选择高端新势力品牌的因素</w:t>
          </w:r>
          <w:r>
            <w:rPr>
              <w:rFonts w:ascii="KaiTi" w:eastAsia="KaiTi" w:hAnsi="KaiTi" w:cs="KaiTi"/>
              <w:spacing w:val="-8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3"/>
              <w:sz w:val="21"/>
              <w:szCs w:val="21"/>
            </w:rPr>
            <w:t xml:space="preserve"> </w:t>
          </w:r>
          <w:hyperlink w:anchor="bookmark67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10509"/>
            </w:tabs>
            <w:spacing w:before="66" w:line="218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4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44: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用户对豪华车关注因素</w:t>
          </w:r>
          <w:r>
            <w:rPr>
              <w:rFonts w:ascii="KaiTi" w:eastAsia="KaiTi" w:hAnsi="KaiTi" w:cs="KaiTi"/>
              <w:spacing w:val="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TOP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10</w:t>
          </w:r>
          <w:r>
            <w:rPr>
              <w:rFonts w:ascii="KaiTi" w:eastAsia="KaiTi" w:hAnsi="KaiTi" w:cs="KaiTi"/>
              <w:spacing w:val="-9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3"/>
              <w:sz w:val="21"/>
              <w:szCs w:val="21"/>
            </w:rPr>
            <w:t xml:space="preserve"> </w:t>
          </w:r>
          <w:hyperlink w:anchor="bookmark68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10509"/>
            </w:tabs>
            <w:spacing w:before="65" w:line="220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4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45: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赛力斯重点车型图示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2"/>
              <w:sz w:val="21"/>
              <w:szCs w:val="21"/>
            </w:rPr>
            <w:t xml:space="preserve"> </w:t>
          </w:r>
          <w:hyperlink w:anchor="bookmark69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19</w:t>
            </w:r>
          </w:hyperlink>
        </w:p>
      </w:sdtContent>
    </w:sdt>
    <w:p>
      <w:pPr>
        <w:spacing w:line="220" w:lineRule="auto"/>
        <w:rPr>
          <w:rFonts w:ascii="KaiTi" w:eastAsia="KaiTi" w:hAnsi="KaiTi" w:cs="KaiTi"/>
          <w:sz w:val="21"/>
          <w:szCs w:val="21"/>
        </w:rPr>
        <w:sectPr>
          <w:headerReference w:type="default" r:id="rId19"/>
          <w:footerReference w:type="default" r:id="rId20"/>
          <w:type w:val="nextPage"/>
          <w:pgSz w:w="11907" w:h="16839"/>
          <w:pgMar w:top="1221" w:right="679" w:bottom="710" w:left="679" w:header="454" w:footer="405" w:gutter="0"/>
          <w:pgNumType w:start="6"/>
          <w:cols w:space="708"/>
          <w:titlePg w:val="0"/>
        </w:sectPr>
      </w:pPr>
    </w:p>
    <w:sdt>
      <w:sdtPr>
        <w:rPr>
          <w:rFonts w:ascii="KaiTi" w:eastAsia="KaiTi" w:hAnsi="KaiTi" w:cs="KaiTi"/>
          <w:sz w:val="21"/>
          <w:szCs w:val="21"/>
        </w:rPr>
        <w:id w:val="605781357"/>
        <w:docPartObj>
          <w:docPartGallery w:val="Table of Contents"/>
          <w:docPartUnique/>
        </w:docPartObj>
      </w:sdtPr>
      <w:sdtEndPr>
        <w:rPr>
          <w:rFonts w:ascii="KaiTi" w:eastAsia="KaiTi" w:hAnsi="KaiTi" w:cs="KaiTi"/>
          <w:sz w:val="21"/>
          <w:szCs w:val="21"/>
        </w:rPr>
      </w:sdtEndPr>
      <w:sdtContent>
        <w:p>
          <w:pPr>
            <w:tabs>
              <w:tab w:val="right" w:leader="dot" w:pos="10509"/>
            </w:tabs>
            <w:spacing w:before="133" w:line="218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4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46: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新兴技术主要分为三大类别</w:t>
          </w:r>
          <w:r>
            <w:rPr>
              <w:rFonts w:ascii="KaiTi" w:eastAsia="KaiTi" w:hAnsi="KaiTi" w:cs="KaiTi"/>
              <w:spacing w:val="-9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4"/>
              <w:sz w:val="21"/>
              <w:szCs w:val="21"/>
            </w:rPr>
            <w:t xml:space="preserve"> </w:t>
          </w:r>
          <w:hyperlink w:anchor="bookmark70" w:history="1"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10509"/>
            </w:tabs>
            <w:spacing w:before="63" w:line="221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47: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车型核心技术对比</w:t>
          </w:r>
          <w:r>
            <w:rPr>
              <w:rFonts w:ascii="KaiTi" w:eastAsia="KaiTi" w:hAnsi="KaiTi" w:cs="KaiTi"/>
              <w:spacing w:val="1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z w:val="21"/>
              <w:szCs w:val="21"/>
            </w:rPr>
            <w:t xml:space="preserve"> </w:t>
          </w:r>
          <w:hyperlink w:anchor="bookmark71" w:history="1"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10509"/>
            </w:tabs>
            <w:spacing w:before="61" w:line="216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5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3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48: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AITO</w:t>
          </w:r>
          <w:r>
            <w:rPr>
              <w:rFonts w:ascii="KaiTi" w:eastAsia="KaiTi" w:hAnsi="KaiTi" w:cs="KaiTi"/>
              <w:spacing w:val="-2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问界</w:t>
          </w:r>
          <w:r>
            <w:rPr>
              <w:rFonts w:ascii="KaiTi" w:eastAsia="KaiTi" w:hAnsi="KaiTi" w:cs="KaiTi"/>
              <w:spacing w:val="-4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M9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及市场中部分竞品车型图示（月度销量为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23</w:t>
          </w:r>
          <w:r>
            <w:rPr>
              <w:rFonts w:ascii="KaiTi" w:eastAsia="KaiTi" w:hAnsi="KaiTi" w:cs="KaiTi"/>
              <w:spacing w:val="-4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年</w:t>
          </w:r>
          <w:r>
            <w:rPr>
              <w:rFonts w:ascii="KaiTi" w:eastAsia="KaiTi" w:hAnsi="KaiTi" w:cs="KaiTi"/>
              <w:spacing w:val="-3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11</w:t>
          </w:r>
          <w:r>
            <w:rPr>
              <w:rFonts w:ascii="KaiTi" w:eastAsia="KaiTi" w:hAnsi="KaiTi" w:cs="KaiTi"/>
              <w:spacing w:val="-3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月份）</w:t>
          </w:r>
          <w:r>
            <w:rPr>
              <w:rFonts w:ascii="KaiTi" w:eastAsia="KaiTi" w:hAnsi="KaiTi" w:cs="KaiTi"/>
              <w:spacing w:val="4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"/>
              <w:sz w:val="21"/>
              <w:szCs w:val="21"/>
            </w:rPr>
            <w:t xml:space="preserve"> </w:t>
          </w:r>
          <w:hyperlink w:anchor="bookmark72" w:history="1"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10509"/>
            </w:tabs>
            <w:spacing w:before="66" w:line="216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4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49: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AITO</w:t>
          </w:r>
          <w:r>
            <w:rPr>
              <w:rFonts w:ascii="KaiTi" w:eastAsia="KaiTi" w:hAnsi="KaiTi" w:cs="KaiTi"/>
              <w:spacing w:val="-2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问界</w:t>
          </w:r>
          <w:r>
            <w:rPr>
              <w:rFonts w:ascii="KaiTi" w:eastAsia="KaiTi" w:hAnsi="KaiTi" w:cs="KaiTi"/>
              <w:spacing w:val="-4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M9</w:t>
          </w:r>
          <w:r>
            <w:rPr>
              <w:rFonts w:ascii="KaiTi" w:eastAsia="KaiTi" w:hAnsi="KaiTi" w:cs="KaiTi"/>
              <w:spacing w:val="-4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各大版本参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数对比</w:t>
          </w:r>
          <w:r>
            <w:rPr>
              <w:rFonts w:ascii="KaiTi" w:eastAsia="KaiTi" w:hAnsi="KaiTi" w:cs="KaiTi"/>
              <w:spacing w:val="-4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"/>
              <w:sz w:val="21"/>
              <w:szCs w:val="21"/>
            </w:rPr>
            <w:t xml:space="preserve"> </w:t>
          </w:r>
          <w:hyperlink w:anchor="bookmark73" w:history="1"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10509"/>
            </w:tabs>
            <w:spacing w:before="65" w:line="218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4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50:</w:t>
          </w:r>
          <w:r>
            <w:rPr>
              <w:rFonts w:ascii="KaiTi" w:eastAsia="KaiTi" w:hAnsi="KaiTi" w:cs="KaiTi"/>
              <w:spacing w:val="3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国内部分</w:t>
          </w:r>
          <w:r>
            <w:rPr>
              <w:rFonts w:ascii="KaiTi" w:eastAsia="KaiTi" w:hAnsi="KaiTi" w:cs="KaiTi"/>
              <w:spacing w:val="-5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40</w:t>
          </w:r>
          <w:r>
            <w:rPr>
              <w:rFonts w:ascii="KaiTi" w:eastAsia="KaiTi" w:hAnsi="KaiTi" w:cs="KaiTi"/>
              <w:spacing w:val="-3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万元以上新能源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SUV/M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PV</w:t>
          </w:r>
          <w:r>
            <w:rPr>
              <w:rFonts w:ascii="KaiTi" w:eastAsia="KaiTi" w:hAnsi="KaiTi" w:cs="KaiTi"/>
              <w:spacing w:val="-3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情况</w:t>
          </w:r>
          <w:r>
            <w:rPr>
              <w:rFonts w:ascii="KaiTi" w:eastAsia="KaiTi" w:hAnsi="KaiTi" w:cs="KaiTi"/>
              <w:spacing w:val="-8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"/>
              <w:sz w:val="21"/>
              <w:szCs w:val="21"/>
            </w:rPr>
            <w:t xml:space="preserve"> </w:t>
          </w:r>
          <w:hyperlink w:anchor="bookmark74" w:history="1"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10509"/>
            </w:tabs>
            <w:spacing w:before="65" w:line="218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3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51: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40</w:t>
          </w:r>
          <w:r>
            <w:rPr>
              <w:rFonts w:ascii="KaiTi" w:eastAsia="KaiTi" w:hAnsi="KaiTi" w:cs="KaiTi"/>
              <w:spacing w:val="-3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万元以上新能源市场持续扩容</w:t>
          </w:r>
          <w:r>
            <w:rPr>
              <w:rFonts w:ascii="KaiTi" w:eastAsia="KaiTi" w:hAnsi="KaiTi" w:cs="KaiTi"/>
              <w:spacing w:val="-3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"/>
              <w:sz w:val="21"/>
              <w:szCs w:val="21"/>
            </w:rPr>
            <w:t xml:space="preserve"> </w:t>
          </w:r>
          <w:hyperlink w:anchor="bookmark75" w:history="1"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10509"/>
            </w:tabs>
            <w:spacing w:before="63" w:line="216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5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3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52: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AITO</w:t>
          </w:r>
          <w:r>
            <w:rPr>
              <w:rFonts w:ascii="KaiTi" w:eastAsia="KaiTi" w:hAnsi="KaiTi" w:cs="KaiTi"/>
              <w:spacing w:val="-2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问界</w:t>
          </w:r>
          <w:r>
            <w:rPr>
              <w:rFonts w:ascii="KaiTi" w:eastAsia="KaiTi" w:hAnsi="KaiTi" w:cs="KaiTi"/>
              <w:spacing w:val="-4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M9</w:t>
          </w:r>
          <w:r>
            <w:rPr>
              <w:rFonts w:ascii="KaiTi" w:eastAsia="KaiTi" w:hAnsi="KaiTi" w:cs="KaiTi"/>
              <w:spacing w:val="-4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上市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2</w:t>
          </w:r>
          <w:r>
            <w:rPr>
              <w:rFonts w:ascii="KaiTi" w:eastAsia="KaiTi" w:hAnsi="KaiTi" w:cs="KaiTi"/>
              <w:spacing w:val="-2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小时大定数量破万</w:t>
          </w:r>
          <w:r>
            <w:rPr>
              <w:rFonts w:ascii="KaiTi" w:eastAsia="KaiTi" w:hAnsi="KaiTi" w:cs="KaiTi"/>
              <w:spacing w:val="-3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"/>
              <w:sz w:val="21"/>
              <w:szCs w:val="21"/>
            </w:rPr>
            <w:t xml:space="preserve"> </w:t>
          </w:r>
          <w:hyperlink w:anchor="bookmark76" w:history="1"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10509"/>
            </w:tabs>
            <w:spacing w:before="67" w:line="216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4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53: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AITO</w:t>
          </w:r>
          <w:r>
            <w:rPr>
              <w:rFonts w:ascii="KaiTi" w:eastAsia="KaiTi" w:hAnsi="KaiTi" w:cs="KaiTi"/>
              <w:spacing w:val="-2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问界</w:t>
          </w:r>
          <w:r>
            <w:rPr>
              <w:rFonts w:ascii="KaiTi" w:eastAsia="KaiTi" w:hAnsi="KaiTi" w:cs="KaiTi"/>
              <w:spacing w:val="-4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M9</w:t>
          </w:r>
          <w:r>
            <w:rPr>
              <w:rFonts w:ascii="KaiTi" w:eastAsia="KaiTi" w:hAnsi="KaiTi" w:cs="KaiTi"/>
              <w:spacing w:val="-4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产业链公司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产品情况</w:t>
          </w:r>
          <w:r>
            <w:rPr>
              <w:rFonts w:ascii="KaiTi" w:eastAsia="KaiTi" w:hAnsi="KaiTi" w:cs="KaiTi"/>
              <w:spacing w:val="-3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"/>
              <w:sz w:val="21"/>
              <w:szCs w:val="21"/>
            </w:rPr>
            <w:t xml:space="preserve"> </w:t>
          </w:r>
          <w:hyperlink w:anchor="bookmark77" w:history="1"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10509"/>
            </w:tabs>
            <w:spacing w:before="66" w:line="216" w:lineRule="auto"/>
            <w:ind w:left="483"/>
            <w:rPr>
              <w:rFonts w:ascii="KaiTi" w:eastAsia="KaiTi" w:hAnsi="KaiTi" w:cs="KaiTi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图表</w:t>
          </w:r>
          <w:r>
            <w:rPr>
              <w:rFonts w:ascii="KaiTi" w:eastAsia="KaiTi" w:hAnsi="KaiTi" w:cs="KaiTi"/>
              <w:spacing w:val="-4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54: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AITO</w:t>
          </w:r>
          <w:r>
            <w:rPr>
              <w:rFonts w:ascii="KaiTi" w:eastAsia="KaiTi" w:hAnsi="KaiTi" w:cs="KaiTi"/>
              <w:spacing w:val="-2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问界</w:t>
          </w:r>
          <w:r>
            <w:rPr>
              <w:rFonts w:ascii="KaiTi" w:eastAsia="KaiTi" w:hAnsi="KaiTi" w:cs="KaiTi"/>
              <w:spacing w:val="-4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M9</w:t>
          </w:r>
          <w:r>
            <w:rPr>
              <w:rFonts w:ascii="KaiTi" w:eastAsia="KaiTi" w:hAnsi="KaiTi" w:cs="KaiTi"/>
              <w:spacing w:val="-4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产业链公司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估值水平</w:t>
          </w:r>
          <w:r>
            <w:rPr>
              <w:rFonts w:ascii="KaiTi" w:eastAsia="KaiTi" w:hAnsi="KaiTi" w:cs="KaiTi"/>
              <w:spacing w:val="-3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1"/>
              <w:sz w:val="21"/>
              <w:szCs w:val="21"/>
            </w:rPr>
            <w:t xml:space="preserve"> </w:t>
          </w:r>
          <w:hyperlink w:anchor="bookmark78" w:history="1"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24</w:t>
            </w:r>
          </w:hyperlink>
        </w:p>
      </w:sdtContent>
    </w:sdt>
    <w:p>
      <w:pPr>
        <w:spacing w:line="216" w:lineRule="auto"/>
        <w:rPr>
          <w:rFonts w:ascii="KaiTi" w:eastAsia="KaiTi" w:hAnsi="KaiTi" w:cs="KaiTi"/>
          <w:sz w:val="21"/>
          <w:szCs w:val="21"/>
        </w:rPr>
        <w:sectPr>
          <w:headerReference w:type="default" r:id="rId21"/>
          <w:footerReference w:type="default" r:id="rId22"/>
          <w:pgSz w:w="11907" w:h="16839"/>
          <w:pgMar w:top="1221" w:right="679" w:bottom="710" w:left="679" w:header="454" w:footer="405" w:gutter="0"/>
          <w:pgNumType w:start="7"/>
          <w:cols w:space="708"/>
        </w:sectPr>
      </w:pPr>
    </w:p>
    <w:p>
      <w:pPr>
        <w:spacing w:before="118" w:line="235" w:lineRule="auto"/>
        <w:ind w:left="3224" w:right="1215" w:firstLine="2"/>
        <w:rPr>
          <w:rFonts w:ascii="KaiTi" w:eastAsia="KaiTi" w:hAnsi="KaiTi" w:cs="KaiTi"/>
          <w:sz w:val="21"/>
          <w:szCs w:val="21"/>
        </w:rPr>
      </w:pPr>
      <w:r>
        <w:pict>
          <v:rect id="_x0000_s1032" style="width:255.7pt;height:1pt;margin-top:221.18pt;margin-left:35.4pt;mso-position-horizontal-relative:page;mso-position-vertical-relative:page;position:absolute;z-index:251662336" o:allowincell="f" filled="t" fillcolor="black" stroked="f"/>
        </w:pict>
      </w:r>
      <w:r>
        <w:pict>
          <v:rect id="_x0000_s1033" style="width:255.7pt;height:1pt;margin-top:394.99pt;margin-left:35.4pt;mso-position-horizontal-relative:page;mso-position-vertical-relative:page;position:absolute;z-index:251663360" o:allowincell="f" filled="t" fillcolor="black" stroked="f"/>
        </w:pict>
      </w:r>
      <w:r>
        <w:drawing>
          <wp:anchor distT="0" distB="0" distL="0" distR="0" simplePos="0" relativeHeight="251661312" behindDoc="1" locked="0" layoutInCell="0" allowOverlap="1">
            <wp:simplePos x="0" y="0"/>
            <wp:positionH relativeFrom="page">
              <wp:posOffset>3928363</wp:posOffset>
            </wp:positionH>
            <wp:positionV relativeFrom="page">
              <wp:posOffset>2918460</wp:posOffset>
            </wp:positionV>
            <wp:extent cx="3040379" cy="199390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40379" cy="199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bookmark1"/>
      <w:bookmarkEnd w:id="0"/>
      <w:bookmarkStart w:id="1" w:name="bookmark2"/>
      <w:bookmarkEnd w:id="1"/>
      <w:bookmarkStart w:id="2" w:name="bookmark3"/>
      <w:bookmarkEnd w:id="2"/>
      <w:r>
        <w:rPr>
          <w:rFonts w:ascii="KaiTi" w:eastAsia="KaiTi" w:hAnsi="KaiTi" w:cs="KaiTi"/>
          <w:spacing w:val="-3"/>
          <w:sz w:val="24"/>
          <w:szCs w:val="24"/>
        </w:rPr>
        <w:t>1</w:t>
      </w:r>
      <w:r>
        <w:rPr>
          <w:rFonts w:ascii="KaiTi" w:eastAsia="KaiTi" w:hAnsi="KaiTi" w:cs="KaiTi"/>
          <w:spacing w:val="-48"/>
          <w:sz w:val="24"/>
          <w:szCs w:val="24"/>
        </w:rPr>
        <w:t xml:space="preserve"> </w:t>
      </w:r>
      <w:r>
        <w:rPr>
          <w:rFonts w:ascii="KaiTi" w:eastAsia="KaiTi" w:hAnsi="KaiTi" w:cs="KaiTi"/>
          <w:spacing w:val="-3"/>
          <w:sz w:val="24"/>
          <w:szCs w:val="24"/>
        </w:rPr>
        <w:t>AITO</w:t>
      </w:r>
      <w:r>
        <w:rPr>
          <w:rFonts w:ascii="KaiTi" w:eastAsia="KaiTi" w:hAnsi="KaiTi" w:cs="KaiTi"/>
          <w:spacing w:val="-25"/>
          <w:sz w:val="24"/>
          <w:szCs w:val="24"/>
        </w:rPr>
        <w:t xml:space="preserve"> </w:t>
      </w:r>
      <w:r>
        <w:rPr>
          <w:rFonts w:ascii="KaiTi" w:eastAsia="KaiTi" w:hAnsi="KaiTi" w:cs="KaiTi"/>
          <w:spacing w:val="-3"/>
          <w:sz w:val="24"/>
          <w:szCs w:val="24"/>
        </w:rPr>
        <w:t>问界</w:t>
      </w:r>
      <w:r>
        <w:rPr>
          <w:rFonts w:ascii="KaiTi" w:eastAsia="KaiTi" w:hAnsi="KaiTi" w:cs="KaiTi"/>
          <w:spacing w:val="-53"/>
          <w:sz w:val="24"/>
          <w:szCs w:val="24"/>
        </w:rPr>
        <w:t xml:space="preserve"> </w:t>
      </w:r>
      <w:r>
        <w:rPr>
          <w:rFonts w:ascii="KaiTi" w:eastAsia="KaiTi" w:hAnsi="KaiTi" w:cs="KaiTi"/>
          <w:spacing w:val="-3"/>
          <w:sz w:val="24"/>
          <w:szCs w:val="24"/>
        </w:rPr>
        <w:t>M9</w:t>
      </w:r>
      <w:r>
        <w:rPr>
          <w:rFonts w:ascii="KaiTi" w:eastAsia="KaiTi" w:hAnsi="KaiTi" w:cs="KaiTi"/>
          <w:spacing w:val="-46"/>
          <w:sz w:val="24"/>
          <w:szCs w:val="24"/>
        </w:rPr>
        <w:t xml:space="preserve"> </w:t>
      </w:r>
      <w:r>
        <w:rPr>
          <w:rFonts w:ascii="KaiTi" w:eastAsia="KaiTi" w:hAnsi="KaiTi" w:cs="KaiTi"/>
          <w:spacing w:val="-3"/>
          <w:sz w:val="24"/>
          <w:szCs w:val="24"/>
        </w:rPr>
        <w:t>配置梳理：黑科技满满，搭载多项核心技术</w:t>
      </w:r>
      <w:r>
        <w:rPr>
          <w:rFonts w:ascii="KaiTi" w:eastAsia="KaiTi" w:hAnsi="KaiTi" w:cs="KaiTi"/>
          <w:sz w:val="24"/>
          <w:szCs w:val="24"/>
        </w:rPr>
        <w:t xml:space="preserve"> </w:t>
      </w:r>
      <w:r>
        <w:rPr>
          <w:rFonts w:ascii="KaiTi" w:eastAsia="KaiTi" w:hAnsi="KaiTi" w:cs="KaiTi"/>
          <w:spacing w:val="-2"/>
          <w:sz w:val="21"/>
          <w:szCs w:val="21"/>
        </w:rPr>
        <w:t>1.1</w:t>
      </w:r>
      <w:r>
        <w:rPr>
          <w:rFonts w:ascii="KaiTi" w:eastAsia="KaiTi" w:hAnsi="KaiTi" w:cs="KaiTi"/>
          <w:spacing w:val="-43"/>
          <w:sz w:val="21"/>
          <w:szCs w:val="21"/>
        </w:rPr>
        <w:t xml:space="preserve"> </w:t>
      </w:r>
      <w:r>
        <w:rPr>
          <w:rFonts w:ascii="KaiTi" w:eastAsia="KaiTi" w:hAnsi="KaiTi" w:cs="KaiTi"/>
          <w:spacing w:val="-2"/>
          <w:sz w:val="21"/>
          <w:szCs w:val="21"/>
        </w:rPr>
        <w:t>魔方平台产生质变</w:t>
      </w:r>
    </w:p>
    <w:p>
      <w:pPr>
        <w:spacing w:before="64" w:line="266" w:lineRule="auto"/>
        <w:ind w:left="3215" w:right="23" w:hanging="10"/>
        <w:jc w:val="both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spacing w:val="-5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魔方平台是</w:t>
      </w:r>
      <w:r>
        <w:rPr>
          <w:rFonts w:ascii="KaiTi" w:eastAsia="KaiTi" w:hAnsi="KaiTi" w:cs="KaiTi"/>
          <w:spacing w:val="-5"/>
          <w:sz w:val="21"/>
          <w:szCs w:val="21"/>
        </w:rPr>
        <w:t xml:space="preserve"> </w:t>
      </w:r>
      <w:r>
        <w:rPr>
          <w:rFonts w:ascii="KaiTi" w:eastAsia="KaiTi" w:hAnsi="KaiTi" w:cs="KaiTi"/>
          <w:spacing w:val="-5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M9</w:t>
      </w:r>
      <w:r>
        <w:rPr>
          <w:rFonts w:ascii="KaiTi" w:eastAsia="KaiTi" w:hAnsi="KaiTi" w:cs="KaiTi"/>
          <w:spacing w:val="-5"/>
          <w:sz w:val="21"/>
          <w:szCs w:val="21"/>
        </w:rPr>
        <w:t xml:space="preserve"> </w:t>
      </w:r>
      <w:r>
        <w:rPr>
          <w:rFonts w:ascii="KaiTi" w:eastAsia="KaiTi" w:hAnsi="KaiTi" w:cs="KaiTi"/>
          <w:spacing w:val="-5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与下一代核心技术平台。</w:t>
      </w:r>
      <w:r>
        <w:rPr>
          <w:rFonts w:ascii="KaiTi" w:eastAsia="KaiTi" w:hAnsi="KaiTi" w:cs="KaiTi"/>
          <w:spacing w:val="46"/>
          <w:sz w:val="21"/>
          <w:szCs w:val="21"/>
        </w:rPr>
        <w:t xml:space="preserve"> </w:t>
      </w:r>
      <w:r>
        <w:rPr>
          <w:rFonts w:ascii="KaiTi" w:eastAsia="KaiTi" w:hAnsi="KaiTi" w:cs="KaiTi"/>
          <w:spacing w:val="-5"/>
          <w:sz w:val="21"/>
          <w:szCs w:val="21"/>
        </w:rPr>
        <w:t>魔方平台为赛力斯打造的多车型开发平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pacing w:val="-6"/>
          <w:sz w:val="21"/>
          <w:szCs w:val="21"/>
        </w:rPr>
        <w:t>台，可同时兼容轿车、SUV、MPV</w:t>
      </w:r>
      <w:r>
        <w:rPr>
          <w:rFonts w:ascii="KaiTi" w:eastAsia="KaiTi" w:hAnsi="KaiTi" w:cs="KaiTi"/>
          <w:spacing w:val="-42"/>
          <w:sz w:val="21"/>
          <w:szCs w:val="21"/>
        </w:rPr>
        <w:t xml:space="preserve"> </w:t>
      </w:r>
      <w:r>
        <w:rPr>
          <w:rFonts w:ascii="KaiTi" w:eastAsia="KaiTi" w:hAnsi="KaiTi" w:cs="KaiTi"/>
          <w:spacing w:val="-6"/>
          <w:sz w:val="21"/>
          <w:szCs w:val="21"/>
        </w:rPr>
        <w:t>等车型以及纯电、增程等动力系统，AITO</w:t>
      </w:r>
      <w:r>
        <w:rPr>
          <w:rFonts w:ascii="KaiTi" w:eastAsia="KaiTi" w:hAnsi="KaiTi" w:cs="KaiTi"/>
          <w:spacing w:val="-21"/>
          <w:sz w:val="21"/>
          <w:szCs w:val="21"/>
        </w:rPr>
        <w:t xml:space="preserve"> </w:t>
      </w:r>
      <w:r>
        <w:rPr>
          <w:rFonts w:ascii="KaiTi" w:eastAsia="KaiTi" w:hAnsi="KaiTi" w:cs="KaiTi"/>
          <w:spacing w:val="-7"/>
          <w:sz w:val="21"/>
          <w:szCs w:val="21"/>
        </w:rPr>
        <w:t>问界</w:t>
      </w:r>
      <w:r>
        <w:rPr>
          <w:rFonts w:ascii="KaiTi" w:eastAsia="KaiTi" w:hAnsi="KaiTi" w:cs="KaiTi"/>
          <w:spacing w:val="-49"/>
          <w:sz w:val="21"/>
          <w:szCs w:val="21"/>
        </w:rPr>
        <w:t xml:space="preserve"> </w:t>
      </w:r>
      <w:r>
        <w:rPr>
          <w:rFonts w:ascii="KaiTi" w:eastAsia="KaiTi" w:hAnsi="KaiTi" w:cs="KaiTi"/>
          <w:spacing w:val="-7"/>
          <w:sz w:val="21"/>
          <w:szCs w:val="21"/>
        </w:rPr>
        <w:t>M9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pacing w:val="-1"/>
          <w:sz w:val="21"/>
          <w:szCs w:val="21"/>
        </w:rPr>
        <w:t>为平台首款车型。平台支持底盘全域电控，可搭载空气悬架+CDC</w:t>
      </w:r>
      <w:r>
        <w:rPr>
          <w:rFonts w:ascii="KaiTi" w:eastAsia="KaiTi" w:hAnsi="KaiTi" w:cs="KaiTi"/>
          <w:spacing w:val="-7"/>
          <w:sz w:val="21"/>
          <w:szCs w:val="21"/>
        </w:rPr>
        <w:t xml:space="preserve"> </w:t>
      </w:r>
      <w:r>
        <w:rPr>
          <w:rFonts w:ascii="KaiTi" w:eastAsia="KaiTi" w:hAnsi="KaiTi" w:cs="KaiTi"/>
          <w:spacing w:val="-1"/>
          <w:sz w:val="21"/>
          <w:szCs w:val="21"/>
        </w:rPr>
        <w:t>减震器+后轮转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pacing w:val="-4"/>
          <w:sz w:val="21"/>
          <w:szCs w:val="21"/>
        </w:rPr>
        <w:t>向，</w:t>
      </w:r>
      <w:r>
        <w:rPr>
          <w:rFonts w:ascii="KaiTi" w:eastAsia="KaiTi" w:hAnsi="KaiTi" w:cs="KaiTi"/>
          <w:spacing w:val="-4"/>
          <w:sz w:val="21"/>
          <w:szCs w:val="21"/>
        </w:rPr>
        <w:t xml:space="preserve"> </w:t>
      </w:r>
      <w:r>
        <w:rPr>
          <w:rFonts w:ascii="KaiTi" w:eastAsia="KaiTi" w:hAnsi="KaiTi" w:cs="KaiTi"/>
          <w:spacing w:val="-4"/>
          <w:sz w:val="21"/>
          <w:szCs w:val="21"/>
        </w:rPr>
        <w:t>同时配备一体压铸铝车身和全铝合金底盘。</w:t>
      </w:r>
      <w:r>
        <w:rPr>
          <w:rFonts w:ascii="KaiTi" w:eastAsia="KaiTi" w:hAnsi="KaiTi" w:cs="KaiTi"/>
          <w:spacing w:val="-5"/>
          <w:sz w:val="21"/>
          <w:szCs w:val="21"/>
        </w:rPr>
        <w:t>电池方面，电池包采用</w:t>
      </w:r>
      <w:r>
        <w:rPr>
          <w:rFonts w:ascii="KaiTi" w:eastAsia="KaiTi" w:hAnsi="KaiTi" w:cs="KaiTi"/>
          <w:spacing w:val="-45"/>
          <w:sz w:val="21"/>
          <w:szCs w:val="21"/>
        </w:rPr>
        <w:t xml:space="preserve"> </w:t>
      </w:r>
      <w:r>
        <w:rPr>
          <w:rFonts w:ascii="KaiTi" w:eastAsia="KaiTi" w:hAnsi="KaiTi" w:cs="KaiTi"/>
          <w:spacing w:val="-5"/>
          <w:sz w:val="21"/>
          <w:szCs w:val="21"/>
        </w:rPr>
        <w:t>CTP</w:t>
      </w:r>
      <w:r>
        <w:rPr>
          <w:rFonts w:ascii="KaiTi" w:eastAsia="KaiTi" w:hAnsi="KaiTi" w:cs="KaiTi"/>
          <w:spacing w:val="-51"/>
          <w:sz w:val="21"/>
          <w:szCs w:val="21"/>
        </w:rPr>
        <w:t xml:space="preserve"> </w:t>
      </w:r>
      <w:r>
        <w:rPr>
          <w:rFonts w:ascii="KaiTi" w:eastAsia="KaiTi" w:hAnsi="KaiTi" w:cs="KaiTi"/>
          <w:spacing w:val="-5"/>
          <w:sz w:val="21"/>
          <w:szCs w:val="21"/>
        </w:rPr>
        <w:t>加强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pacing w:val="-3"/>
          <w:sz w:val="21"/>
          <w:szCs w:val="21"/>
        </w:rPr>
        <w:t>型箱体设计，支持</w:t>
      </w:r>
      <w:r>
        <w:rPr>
          <w:rFonts w:ascii="KaiTi" w:eastAsia="KaiTi" w:hAnsi="KaiTi" w:cs="KaiTi"/>
          <w:spacing w:val="-35"/>
          <w:sz w:val="21"/>
          <w:szCs w:val="21"/>
        </w:rPr>
        <w:t xml:space="preserve"> </w:t>
      </w:r>
      <w:r>
        <w:rPr>
          <w:rFonts w:ascii="KaiTi" w:eastAsia="KaiTi" w:hAnsi="KaiTi" w:cs="KaiTi"/>
          <w:spacing w:val="-3"/>
          <w:sz w:val="21"/>
          <w:szCs w:val="21"/>
        </w:rPr>
        <w:t>800V</w:t>
      </w:r>
      <w:r>
        <w:rPr>
          <w:rFonts w:ascii="KaiTi" w:eastAsia="KaiTi" w:hAnsi="KaiTi" w:cs="KaiTi"/>
          <w:spacing w:val="-27"/>
          <w:sz w:val="21"/>
          <w:szCs w:val="21"/>
        </w:rPr>
        <w:t xml:space="preserve"> </w:t>
      </w:r>
      <w:r>
        <w:rPr>
          <w:rFonts w:ascii="KaiTi" w:eastAsia="KaiTi" w:hAnsi="KaiTi" w:cs="KaiTi"/>
          <w:spacing w:val="-3"/>
          <w:sz w:val="21"/>
          <w:szCs w:val="21"/>
        </w:rPr>
        <w:t>高压快充，标配</w:t>
      </w:r>
      <w:r>
        <w:rPr>
          <w:rFonts w:ascii="KaiTi" w:eastAsia="KaiTi" w:hAnsi="KaiTi" w:cs="KaiTi"/>
          <w:spacing w:val="-50"/>
          <w:sz w:val="21"/>
          <w:szCs w:val="21"/>
        </w:rPr>
        <w:t xml:space="preserve"> </w:t>
      </w:r>
      <w:r>
        <w:rPr>
          <w:rFonts w:ascii="KaiTi" w:eastAsia="KaiTi" w:hAnsi="KaiTi" w:cs="KaiTi"/>
          <w:spacing w:val="-3"/>
          <w:sz w:val="21"/>
          <w:szCs w:val="21"/>
        </w:rPr>
        <w:t>4C</w:t>
      </w:r>
      <w:r>
        <w:rPr>
          <w:rFonts w:ascii="KaiTi" w:eastAsia="KaiTi" w:hAnsi="KaiTi" w:cs="KaiTi"/>
          <w:spacing w:val="-36"/>
          <w:sz w:val="21"/>
          <w:szCs w:val="21"/>
        </w:rPr>
        <w:t xml:space="preserve"> </w:t>
      </w:r>
      <w:r>
        <w:rPr>
          <w:rFonts w:ascii="KaiTi" w:eastAsia="KaiTi" w:hAnsi="KaiTi" w:cs="KaiTi"/>
          <w:spacing w:val="-3"/>
          <w:sz w:val="21"/>
          <w:szCs w:val="21"/>
        </w:rPr>
        <w:t>充电电芯，充电耗时进一步缩短。同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pacing w:val="-3"/>
          <w:sz w:val="21"/>
          <w:szCs w:val="21"/>
        </w:rPr>
        <w:t>时，</w:t>
      </w:r>
      <w:r>
        <w:rPr>
          <w:rFonts w:ascii="KaiTi" w:eastAsia="KaiTi" w:hAnsi="KaiTi" w:cs="KaiTi"/>
          <w:spacing w:val="-43"/>
          <w:sz w:val="21"/>
          <w:szCs w:val="21"/>
        </w:rPr>
        <w:t xml:space="preserve"> </w:t>
      </w:r>
      <w:r>
        <w:rPr>
          <w:rFonts w:ascii="KaiTi" w:eastAsia="KaiTi" w:hAnsi="KaiTi" w:cs="KaiTi"/>
          <w:spacing w:val="-3"/>
          <w:sz w:val="21"/>
          <w:szCs w:val="21"/>
        </w:rPr>
        <w:t>魔方平台在技术验证、产品质量、开发周期以及成本方面皆实现提升，各系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pacing w:val="-1"/>
          <w:sz w:val="21"/>
          <w:szCs w:val="21"/>
        </w:rPr>
        <w:t>统平台通用化率最高可达</w:t>
      </w:r>
      <w:r>
        <w:rPr>
          <w:rFonts w:ascii="KaiTi" w:eastAsia="KaiTi" w:hAnsi="KaiTi" w:cs="KaiTi"/>
          <w:spacing w:val="-49"/>
          <w:sz w:val="21"/>
          <w:szCs w:val="21"/>
        </w:rPr>
        <w:t xml:space="preserve"> </w:t>
      </w:r>
      <w:r>
        <w:rPr>
          <w:rFonts w:ascii="KaiTi" w:eastAsia="KaiTi" w:hAnsi="KaiTi" w:cs="KaiTi"/>
          <w:spacing w:val="-1"/>
          <w:sz w:val="21"/>
          <w:szCs w:val="21"/>
        </w:rPr>
        <w:t>97%。</w:t>
      </w:r>
    </w:p>
    <w:p>
      <w:pPr>
        <w:spacing w:line="25" w:lineRule="exact"/>
      </w:pPr>
    </w:p>
    <w:p>
      <w:pPr>
        <w:spacing w:line="25" w:lineRule="exact"/>
        <w:sectPr>
          <w:headerReference w:type="default" r:id="rId24"/>
          <w:footerReference w:type="default" r:id="rId25"/>
          <w:pgSz w:w="11907" w:h="16839"/>
          <w:pgMar w:top="1221" w:right="679" w:bottom="710" w:left="679" w:header="454" w:footer="405" w:gutter="0"/>
          <w:pgNumType w:start="8"/>
          <w:cols w:num="1" w:space="708" w:equalWidth="0">
            <w:col w:w="10549" w:space="0"/>
          </w:cols>
        </w:sectPr>
      </w:pPr>
    </w:p>
    <w:p>
      <w:pPr>
        <w:spacing w:before="42" w:line="220" w:lineRule="auto"/>
        <w:ind w:left="62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spacing w:val="-4"/>
          <w:sz w:val="21"/>
          <w:szCs w:val="21"/>
        </w:rPr>
        <w:t>图表1:宁德时代</w:t>
      </w:r>
      <w:r>
        <w:rPr>
          <w:rFonts w:ascii="KaiTi" w:eastAsia="KaiTi" w:hAnsi="KaiTi" w:cs="KaiTi"/>
          <w:spacing w:val="-32"/>
          <w:sz w:val="21"/>
          <w:szCs w:val="21"/>
        </w:rPr>
        <w:t xml:space="preserve"> </w:t>
      </w:r>
      <w:r>
        <w:rPr>
          <w:rFonts w:ascii="KaiTi" w:eastAsia="KaiTi" w:hAnsi="KaiTi" w:cs="KaiTi"/>
          <w:spacing w:val="-4"/>
          <w:sz w:val="21"/>
          <w:szCs w:val="21"/>
        </w:rPr>
        <w:t>CTP3.0</w:t>
      </w:r>
      <w:r>
        <w:rPr>
          <w:rFonts w:ascii="KaiTi" w:eastAsia="KaiTi" w:hAnsi="KaiTi" w:cs="KaiTi"/>
          <w:spacing w:val="-25"/>
          <w:sz w:val="21"/>
          <w:szCs w:val="21"/>
        </w:rPr>
        <w:t xml:space="preserve"> </w:t>
      </w:r>
      <w:r>
        <w:rPr>
          <w:rFonts w:ascii="KaiTi" w:eastAsia="KaiTi" w:hAnsi="KaiTi" w:cs="KaiTi"/>
          <w:spacing w:val="-4"/>
          <w:sz w:val="21"/>
          <w:szCs w:val="21"/>
        </w:rPr>
        <w:t>电池模块图示</w:t>
      </w:r>
    </w:p>
    <w:p>
      <w:pPr>
        <w:spacing w:before="182" w:line="3140" w:lineRule="exact"/>
        <w:ind w:firstLine="213"/>
      </w:pPr>
      <w:r>
        <w:rPr>
          <w:position w:val="-62"/>
        </w:rPr>
        <w:drawing>
          <wp:inline distT="0" distB="0" distL="0" distR="0">
            <wp:extent cx="3013075" cy="1993900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013075" cy="199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184" w:lineRule="auto"/>
        <w:ind w:left="35"/>
        <w:rPr>
          <w:rFonts w:ascii="KaiTi" w:eastAsia="KaiTi" w:hAnsi="KaiTi" w:cs="KaiTi"/>
          <w:sz w:val="20"/>
          <w:szCs w:val="20"/>
        </w:rPr>
      </w:pPr>
      <w:r>
        <w:rPr>
          <w:rFonts w:ascii="KaiTi" w:eastAsia="KaiTi" w:hAnsi="KaiTi" w:cs="KaiTi"/>
          <w:i/>
          <w:iCs/>
          <w:spacing w:val="3"/>
          <w:sz w:val="20"/>
          <w:szCs w:val="20"/>
        </w:rPr>
        <w:t>资料来源：</w:t>
      </w:r>
      <w:r>
        <w:rPr>
          <w:rFonts w:ascii="KaiTi" w:eastAsia="KaiTi" w:hAnsi="KaiTi" w:cs="KaiTi"/>
          <w:i/>
          <w:iCs/>
          <w:sz w:val="20"/>
          <w:szCs w:val="20"/>
        </w:rPr>
        <w:t>ofweek</w:t>
      </w:r>
      <w:r>
        <w:rPr>
          <w:rFonts w:ascii="KaiTi" w:eastAsia="KaiTi" w:hAnsi="KaiTi" w:cs="KaiTi"/>
          <w:i/>
          <w:iCs/>
          <w:spacing w:val="3"/>
          <w:sz w:val="20"/>
          <w:szCs w:val="20"/>
        </w:rPr>
        <w:t>，方正证券研究所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1" w:line="216" w:lineRule="auto"/>
        <w:ind w:left="33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spacing w:val="-2"/>
          <w:sz w:val="21"/>
          <w:szCs w:val="21"/>
        </w:rPr>
        <w:t>图表2:高压快充架构下电池系统成本更优</w:t>
      </w:r>
    </w:p>
    <w:p>
      <w:pPr>
        <w:spacing w:before="14" w:line="3496" w:lineRule="exact"/>
      </w:pPr>
      <w:r>
        <w:rPr>
          <w:position w:val="-69"/>
        </w:rPr>
        <w:pict>
          <v:group id="_x0000_i1034" style="width:255.55pt;height:174.8pt;mso-position-horizontal-relative:char;mso-position-vertical-relative:line" coordorigin="0,0" coordsize="5111,3496" filled="f" stroked="f">
            <v:rect id="_x0000_s1035" style="width:5111;height:20;position:absolute;top:3476" filled="t" fillcolor="black" stroked="f"/>
            <v:rect id="_x0000_s1036" style="width:5111;height:20;position:absolute" filled="t" fillcolor="black" stroked="f"/>
            <w10:wrap type="none"/>
          </v:group>
        </w:pict>
      </w:r>
    </w:p>
    <w:p>
      <w:pPr>
        <w:spacing w:before="56" w:line="184" w:lineRule="auto"/>
        <w:ind w:left="6"/>
        <w:rPr>
          <w:rFonts w:ascii="KaiTi" w:eastAsia="KaiTi" w:hAnsi="KaiTi" w:cs="KaiTi"/>
          <w:sz w:val="20"/>
          <w:szCs w:val="20"/>
        </w:rPr>
      </w:pPr>
      <w:r>
        <w:rPr>
          <w:rFonts w:ascii="KaiTi" w:eastAsia="KaiTi" w:hAnsi="KaiTi" w:cs="KaiTi"/>
          <w:i/>
          <w:iCs/>
          <w:spacing w:val="3"/>
          <w:sz w:val="20"/>
          <w:szCs w:val="20"/>
        </w:rPr>
        <w:t>资料来源：易车，方正证券研究所</w:t>
      </w:r>
    </w:p>
    <w:p>
      <w:pPr>
        <w:spacing w:line="184" w:lineRule="auto"/>
        <w:rPr>
          <w:rFonts w:ascii="KaiTi" w:eastAsia="KaiTi" w:hAnsi="KaiTi" w:cs="KaiTi"/>
          <w:sz w:val="20"/>
          <w:szCs w:val="20"/>
        </w:rPr>
        <w:sectPr>
          <w:headerReference w:type="default" r:id="rId27"/>
          <w:footerReference w:type="default" r:id="rId28"/>
          <w:type w:val="continuous"/>
          <w:pgSz w:w="11907" w:h="16839"/>
          <w:pgMar w:top="1221" w:right="679" w:bottom="710" w:left="679" w:header="454" w:footer="405" w:gutter="0"/>
          <w:pgNumType w:start="9"/>
          <w:cols w:num="2" w:space="708" w:equalWidth="0">
            <w:col w:w="5254" w:space="100"/>
            <w:col w:w="5195" w:space="0"/>
          </w:cols>
        </w:sectPr>
      </w:pPr>
    </w:p>
    <w:p>
      <w:pPr>
        <w:spacing w:line="349" w:lineRule="auto"/>
        <w:rPr>
          <w:rFonts w:ascii="Arial"/>
          <w:sz w:val="21"/>
        </w:rPr>
      </w:pPr>
    </w:p>
    <w:p>
      <w:pPr>
        <w:spacing w:before="68" w:line="213" w:lineRule="auto"/>
        <w:ind w:left="3224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spacing w:val="-4"/>
          <w:sz w:val="21"/>
          <w:szCs w:val="21"/>
        </w:rPr>
        <w:t>1.2</w:t>
      </w:r>
      <w:r>
        <w:rPr>
          <w:rFonts w:ascii="KaiTi" w:eastAsia="KaiTi" w:hAnsi="KaiTi" w:cs="KaiTi"/>
          <w:spacing w:val="-21"/>
          <w:sz w:val="21"/>
          <w:szCs w:val="21"/>
        </w:rPr>
        <w:t xml:space="preserve"> </w:t>
      </w:r>
      <w:r>
        <w:rPr>
          <w:rFonts w:ascii="KaiTi" w:eastAsia="KaiTi" w:hAnsi="KaiTi" w:cs="KaiTi"/>
          <w:spacing w:val="-4"/>
          <w:sz w:val="21"/>
          <w:szCs w:val="21"/>
        </w:rPr>
        <w:t>通信协议大幅改进，</w:t>
      </w:r>
      <w:r>
        <w:rPr>
          <w:rFonts w:ascii="KaiTi" w:eastAsia="KaiTi" w:hAnsi="KaiTi" w:cs="KaiTi"/>
          <w:spacing w:val="-25"/>
          <w:sz w:val="21"/>
          <w:szCs w:val="21"/>
        </w:rPr>
        <w:t xml:space="preserve"> </w:t>
      </w:r>
      <w:r>
        <w:rPr>
          <w:rFonts w:ascii="KaiTi" w:eastAsia="KaiTi" w:hAnsi="KaiTi" w:cs="KaiTi"/>
          <w:spacing w:val="-4"/>
          <w:sz w:val="21"/>
          <w:szCs w:val="21"/>
        </w:rPr>
        <w:t>CCA+Vehicle</w:t>
      </w:r>
      <w:r>
        <w:rPr>
          <w:rFonts w:ascii="KaiTi" w:eastAsia="KaiTi" w:hAnsi="KaiTi" w:cs="KaiTi"/>
          <w:spacing w:val="-4"/>
          <w:sz w:val="21"/>
          <w:szCs w:val="21"/>
        </w:rPr>
        <w:t xml:space="preserve"> </w:t>
      </w:r>
      <w:r>
        <w:rPr>
          <w:rFonts w:ascii="KaiTi" w:eastAsia="KaiTi" w:hAnsi="KaiTi" w:cs="KaiTi"/>
          <w:spacing w:val="-4"/>
          <w:sz w:val="21"/>
          <w:szCs w:val="21"/>
        </w:rPr>
        <w:t>Stack</w:t>
      </w:r>
      <w:r>
        <w:rPr>
          <w:rFonts w:ascii="KaiTi" w:eastAsia="KaiTi" w:hAnsi="KaiTi" w:cs="KaiTi"/>
          <w:spacing w:val="-45"/>
          <w:sz w:val="21"/>
          <w:szCs w:val="21"/>
        </w:rPr>
        <w:t xml:space="preserve"> </w:t>
      </w:r>
      <w:r>
        <w:rPr>
          <w:rFonts w:ascii="KaiTi" w:eastAsia="KaiTi" w:hAnsi="KaiTi" w:cs="KaiTi"/>
          <w:spacing w:val="-4"/>
          <w:sz w:val="21"/>
          <w:szCs w:val="21"/>
        </w:rPr>
        <w:t>构建优势</w:t>
      </w:r>
    </w:p>
    <w:p>
      <w:pPr>
        <w:spacing w:before="68" w:line="267" w:lineRule="auto"/>
        <w:ind w:left="3209" w:right="24" w:firstLine="16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车载以太网具备优势，有望大规模应用。</w:t>
      </w:r>
      <w:r>
        <w:rPr>
          <w:rFonts w:ascii="KaiTi" w:eastAsia="KaiTi" w:hAnsi="KaiTi" w:cs="KaiTi"/>
          <w:spacing w:val="-2"/>
          <w:sz w:val="21"/>
          <w:szCs w:val="21"/>
        </w:rPr>
        <w:t>要实现汽车内各控制单元的通信，必须</w:t>
      </w:r>
      <w:r>
        <w:rPr>
          <w:rFonts w:ascii="KaiTi" w:eastAsia="KaiTi" w:hAnsi="KaiTi" w:cs="KaiTi"/>
          <w:spacing w:val="14"/>
          <w:sz w:val="21"/>
          <w:szCs w:val="21"/>
        </w:rPr>
        <w:t xml:space="preserve"> </w:t>
      </w:r>
      <w:r>
        <w:rPr>
          <w:rFonts w:ascii="KaiTi" w:eastAsia="KaiTi" w:hAnsi="KaiTi" w:cs="KaiTi"/>
          <w:spacing w:val="-1"/>
          <w:sz w:val="21"/>
          <w:szCs w:val="21"/>
        </w:rPr>
        <w:t>制定规则确保通信双方能够相互配合，数据总线也需要信号传递规范。总线</w:t>
      </w:r>
      <w:r>
        <w:rPr>
          <w:rFonts w:ascii="KaiTi" w:eastAsia="KaiTi" w:hAnsi="KaiTi" w:cs="KaiTi"/>
          <w:spacing w:val="-2"/>
          <w:sz w:val="21"/>
          <w:szCs w:val="21"/>
        </w:rPr>
        <w:t>通信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z w:val="21"/>
          <w:szCs w:val="21"/>
        </w:rPr>
        <w:t>技术包括</w:t>
      </w:r>
      <w:r>
        <w:rPr>
          <w:rFonts w:ascii="KaiTi" w:eastAsia="KaiTi" w:hAnsi="KaiTi" w:cs="KaiTi"/>
          <w:spacing w:val="-39"/>
          <w:sz w:val="21"/>
          <w:szCs w:val="21"/>
        </w:rPr>
        <w:t xml:space="preserve"> </w:t>
      </w:r>
      <w:r>
        <w:rPr>
          <w:rFonts w:ascii="KaiTi" w:eastAsia="KaiTi" w:hAnsi="KaiTi" w:cs="KaiTi"/>
          <w:sz w:val="21"/>
          <w:szCs w:val="21"/>
        </w:rPr>
        <w:t>CAN、CAN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z w:val="21"/>
          <w:szCs w:val="21"/>
        </w:rPr>
        <w:t>FD、LIN、MOST、FlexRay、车载以太网等，不同通信技术在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pacing w:val="-3"/>
          <w:sz w:val="21"/>
          <w:szCs w:val="21"/>
        </w:rPr>
        <w:t>速率、成本、扩展性、抗干扰性等方面各有所长，</w:t>
      </w:r>
      <w:r>
        <w:rPr>
          <w:rFonts w:ascii="KaiTi" w:eastAsia="KaiTi" w:hAnsi="KaiTi" w:cs="KaiTi"/>
          <w:spacing w:val="-35"/>
          <w:sz w:val="21"/>
          <w:szCs w:val="21"/>
        </w:rPr>
        <w:t xml:space="preserve"> </w:t>
      </w:r>
      <w:r>
        <w:rPr>
          <w:rFonts w:ascii="KaiTi" w:eastAsia="KaiTi" w:hAnsi="KaiTi" w:cs="KaiTi"/>
          <w:spacing w:val="-3"/>
          <w:sz w:val="21"/>
          <w:szCs w:val="21"/>
        </w:rPr>
        <w:t>从而综合应用于不同车身</w:t>
      </w:r>
      <w:r>
        <w:rPr>
          <w:rFonts w:ascii="KaiTi" w:eastAsia="KaiTi" w:hAnsi="KaiTi" w:cs="KaiTi"/>
          <w:spacing w:val="-4"/>
          <w:sz w:val="21"/>
          <w:szCs w:val="21"/>
        </w:rPr>
        <w:t>应用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pacing w:val="-3"/>
          <w:sz w:val="21"/>
          <w:szCs w:val="21"/>
        </w:rPr>
        <w:t>中。车载以太网以轻质量、高速率、易扩展等优势，</w:t>
      </w:r>
      <w:r>
        <w:rPr>
          <w:rFonts w:ascii="KaiTi" w:eastAsia="KaiTi" w:hAnsi="KaiTi" w:cs="KaiTi"/>
          <w:spacing w:val="-42"/>
          <w:sz w:val="21"/>
          <w:szCs w:val="21"/>
        </w:rPr>
        <w:t xml:space="preserve"> </w:t>
      </w:r>
      <w:r>
        <w:rPr>
          <w:rFonts w:ascii="KaiTi" w:eastAsia="KaiTi" w:hAnsi="KaiTi" w:cs="KaiTi"/>
          <w:spacing w:val="-3"/>
          <w:sz w:val="21"/>
          <w:szCs w:val="21"/>
        </w:rPr>
        <w:t>目前应用于摄像头、激光雷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pacing w:val="-1"/>
          <w:sz w:val="21"/>
          <w:szCs w:val="21"/>
        </w:rPr>
        <w:t>达等关键部件的连接，预计后续中高端车型将首先实现车载以太网的大规模</w:t>
      </w:r>
      <w:r>
        <w:rPr>
          <w:rFonts w:ascii="KaiTi" w:eastAsia="KaiTi" w:hAnsi="KaiTi" w:cs="KaiTi"/>
          <w:spacing w:val="-2"/>
          <w:sz w:val="21"/>
          <w:szCs w:val="21"/>
        </w:rPr>
        <w:t>上车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pacing w:val="-7"/>
          <w:sz w:val="21"/>
          <w:szCs w:val="21"/>
        </w:rPr>
        <w:t>应用。</w:t>
      </w:r>
    </w:p>
    <w:p>
      <w:pPr>
        <w:spacing w:before="180" w:line="220" w:lineRule="auto"/>
        <w:ind w:left="62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spacing w:val="-2"/>
          <w:sz w:val="21"/>
          <w:szCs w:val="21"/>
        </w:rPr>
        <w:t>图表3:以太网技术具备多种优势</w:t>
      </w:r>
    </w:p>
    <w:tbl>
      <w:tblPr>
        <w:tblStyle w:val="TableNormal0"/>
        <w:tblW w:w="10444" w:type="dxa"/>
        <w:tblInd w:w="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15"/>
        <w:gridCol w:w="1843"/>
        <w:gridCol w:w="1557"/>
        <w:gridCol w:w="1276"/>
        <w:gridCol w:w="1560"/>
        <w:gridCol w:w="2493"/>
      </w:tblGrid>
      <w:tr>
        <w:tblPrEx>
          <w:tblW w:w="10444" w:type="dxa"/>
          <w:tblInd w:w="1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2"/>
        </w:trPr>
        <w:tc>
          <w:tcPr>
            <w:tcW w:w="1715" w:type="dxa"/>
            <w:tcBorders>
              <w:top w:val="single" w:sz="6" w:space="0" w:color="000000"/>
            </w:tcBorders>
            <w:shd w:val="clear" w:color="auto" w:fill="C00000"/>
            <w:vAlign w:val="top"/>
          </w:tcPr>
          <w:p>
            <w:pPr>
              <w:spacing w:before="68" w:line="223" w:lineRule="auto"/>
              <w:ind w:left="721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color w:val="FFFFFF"/>
                <w:spacing w:val="-3"/>
                <w:sz w:val="21"/>
                <w:szCs w:val="21"/>
              </w:rPr>
              <w:t>分类</w:t>
            </w:r>
          </w:p>
        </w:tc>
        <w:tc>
          <w:tcPr>
            <w:tcW w:w="1843" w:type="dxa"/>
            <w:tcBorders>
              <w:top w:val="single" w:sz="6" w:space="0" w:color="000000"/>
            </w:tcBorders>
            <w:shd w:val="clear" w:color="auto" w:fill="C00000"/>
            <w:vAlign w:val="top"/>
          </w:tcPr>
          <w:p>
            <w:pPr>
              <w:spacing w:before="101" w:line="183" w:lineRule="auto"/>
              <w:ind w:left="766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color w:val="FFFFFF"/>
                <w:spacing w:val="-2"/>
                <w:sz w:val="21"/>
                <w:szCs w:val="21"/>
              </w:rPr>
              <w:t>CAN</w:t>
            </w:r>
          </w:p>
        </w:tc>
        <w:tc>
          <w:tcPr>
            <w:tcW w:w="1557" w:type="dxa"/>
            <w:tcBorders>
              <w:top w:val="single" w:sz="6" w:space="0" w:color="000000"/>
            </w:tcBorders>
            <w:shd w:val="clear" w:color="auto" w:fill="C00000"/>
            <w:vAlign w:val="top"/>
          </w:tcPr>
          <w:p>
            <w:pPr>
              <w:spacing w:before="104" w:line="181" w:lineRule="auto"/>
              <w:ind w:left="628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color w:val="FFFFFF"/>
                <w:spacing w:val="-2"/>
                <w:sz w:val="21"/>
                <w:szCs w:val="21"/>
              </w:rPr>
              <w:t>LIN</w:t>
            </w:r>
          </w:p>
        </w:tc>
        <w:tc>
          <w:tcPr>
            <w:tcW w:w="1276" w:type="dxa"/>
            <w:tcBorders>
              <w:top w:val="single" w:sz="6" w:space="0" w:color="000000"/>
            </w:tcBorders>
            <w:shd w:val="clear" w:color="auto" w:fill="C00000"/>
            <w:vAlign w:val="top"/>
          </w:tcPr>
          <w:p>
            <w:pPr>
              <w:spacing w:before="101" w:line="183" w:lineRule="auto"/>
              <w:ind w:left="435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color w:val="FFFFFF"/>
                <w:spacing w:val="-1"/>
                <w:sz w:val="21"/>
                <w:szCs w:val="21"/>
              </w:rPr>
              <w:t>MOST</w:t>
            </w:r>
          </w:p>
        </w:tc>
        <w:tc>
          <w:tcPr>
            <w:tcW w:w="1560" w:type="dxa"/>
            <w:tcBorders>
              <w:top w:val="single" w:sz="6" w:space="0" w:color="000000"/>
            </w:tcBorders>
            <w:shd w:val="clear" w:color="auto" w:fill="C00000"/>
            <w:vAlign w:val="top"/>
          </w:tcPr>
          <w:p>
            <w:pPr>
              <w:spacing w:before="104" w:line="181" w:lineRule="auto"/>
              <w:ind w:left="421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color w:val="FFFFFF"/>
                <w:spacing w:val="-1"/>
                <w:sz w:val="21"/>
                <w:szCs w:val="21"/>
              </w:rPr>
              <w:t>FlexRay</w:t>
            </w:r>
          </w:p>
        </w:tc>
        <w:tc>
          <w:tcPr>
            <w:tcW w:w="2493" w:type="dxa"/>
            <w:tcBorders>
              <w:top w:val="single" w:sz="6" w:space="0" w:color="000000"/>
            </w:tcBorders>
            <w:shd w:val="clear" w:color="auto" w:fill="C00000"/>
            <w:vAlign w:val="top"/>
          </w:tcPr>
          <w:p>
            <w:pPr>
              <w:spacing w:before="67" w:line="221" w:lineRule="auto"/>
              <w:ind w:left="785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color w:val="FFFFFF"/>
                <w:spacing w:val="-5"/>
                <w:sz w:val="21"/>
                <w:szCs w:val="21"/>
              </w:rPr>
              <w:t>车载太网</w:t>
            </w:r>
          </w:p>
        </w:tc>
      </w:tr>
      <w:tr>
        <w:tblPrEx>
          <w:tblW w:w="10444" w:type="dxa"/>
          <w:tblInd w:w="16" w:type="dxa"/>
          <w:tblLayout w:type="fixed"/>
        </w:tblPrEx>
        <w:trPr>
          <w:trHeight w:val="1558"/>
        </w:trPr>
        <w:tc>
          <w:tcPr>
            <w:tcW w:w="1715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68" w:line="220" w:lineRule="auto"/>
              <w:ind w:left="302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主要应用场景</w:t>
            </w:r>
          </w:p>
        </w:tc>
        <w:tc>
          <w:tcPr>
            <w:tcW w:w="1843" w:type="dxa"/>
            <w:vAlign w:val="top"/>
          </w:tcPr>
          <w:p>
            <w:pPr>
              <w:spacing w:before="51" w:line="223" w:lineRule="auto"/>
              <w:ind w:left="197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3"/>
                <w:sz w:val="21"/>
                <w:szCs w:val="21"/>
              </w:rPr>
              <w:t>发动机控制、驱</w:t>
            </w:r>
          </w:p>
          <w:p>
            <w:pPr>
              <w:spacing w:before="58" w:line="216" w:lineRule="auto"/>
              <w:ind w:left="507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动系统及</w:t>
            </w:r>
          </w:p>
          <w:p>
            <w:pPr>
              <w:spacing w:before="65" w:line="223" w:lineRule="auto"/>
              <w:ind w:left="183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ABS/ESP</w:t>
            </w:r>
            <w:r>
              <w:rPr>
                <w:rFonts w:ascii="KaiTi" w:eastAsia="KaiTi" w:hAnsi="KaiTi" w:cs="KaiTi"/>
                <w:spacing w:val="20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组成的</w:t>
            </w:r>
          </w:p>
          <w:p>
            <w:pPr>
              <w:spacing w:before="59" w:line="216" w:lineRule="auto"/>
              <w:ind w:left="324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6"/>
                <w:sz w:val="21"/>
                <w:szCs w:val="21"/>
              </w:rPr>
              <w:t>网络、车身系</w:t>
            </w:r>
          </w:p>
          <w:p>
            <w:pPr>
              <w:spacing w:before="66" w:line="216" w:lineRule="auto"/>
              <w:ind w:left="149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13"/>
                <w:sz w:val="21"/>
                <w:szCs w:val="21"/>
              </w:rPr>
              <w:t>统、</w:t>
            </w:r>
            <w:r>
              <w:rPr>
                <w:rFonts w:ascii="KaiTi" w:eastAsia="KaiTi" w:hAnsi="KaiTi" w:cs="KaiTi"/>
                <w:spacing w:val="-42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13"/>
                <w:sz w:val="21"/>
                <w:szCs w:val="21"/>
              </w:rPr>
              <w:t>ADAS</w:t>
            </w:r>
            <w:r>
              <w:rPr>
                <w:rFonts w:ascii="KaiTi" w:eastAsia="KaiTi" w:hAnsi="KaiTi" w:cs="KaiTi"/>
                <w:spacing w:val="37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13"/>
                <w:sz w:val="21"/>
                <w:szCs w:val="21"/>
              </w:rPr>
              <w:t>系统等</w:t>
            </w:r>
          </w:p>
        </w:tc>
        <w:tc>
          <w:tcPr>
            <w:tcW w:w="1557" w:type="dxa"/>
            <w:vAlign w:val="top"/>
          </w:tcPr>
          <w:p>
            <w:pPr>
              <w:spacing w:before="52" w:line="216" w:lineRule="auto"/>
              <w:ind w:left="150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1"/>
                <w:sz w:val="21"/>
                <w:szCs w:val="21"/>
              </w:rPr>
              <w:t>在舒适电子系</w:t>
            </w:r>
          </w:p>
          <w:p>
            <w:pPr>
              <w:spacing w:before="66" w:line="218" w:lineRule="auto"/>
              <w:ind w:left="165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3"/>
                <w:sz w:val="21"/>
                <w:szCs w:val="21"/>
              </w:rPr>
              <w:t>统上为现有的</w:t>
            </w:r>
          </w:p>
          <w:p>
            <w:pPr>
              <w:spacing w:before="63" w:line="219" w:lineRule="auto"/>
              <w:ind w:left="153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4"/>
                <w:sz w:val="21"/>
                <w:szCs w:val="21"/>
              </w:rPr>
              <w:t>CAN</w:t>
            </w:r>
            <w:r>
              <w:rPr>
                <w:rFonts w:ascii="KaiTi" w:eastAsia="KaiTi" w:hAnsi="KaiTi" w:cs="KaiTi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4"/>
                <w:sz w:val="21"/>
                <w:szCs w:val="21"/>
              </w:rPr>
              <w:t>总线等网</w:t>
            </w:r>
          </w:p>
          <w:p>
            <w:pPr>
              <w:spacing w:before="63" w:line="218" w:lineRule="auto"/>
              <w:ind w:left="160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络提供低成本</w:t>
            </w:r>
          </w:p>
          <w:p>
            <w:pPr>
              <w:spacing w:before="63" w:line="217" w:lineRule="auto"/>
              <w:ind w:left="481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4"/>
                <w:sz w:val="21"/>
                <w:szCs w:val="21"/>
              </w:rPr>
              <w:t>的拓展</w:t>
            </w:r>
          </w:p>
        </w:tc>
        <w:tc>
          <w:tcPr>
            <w:tcW w:w="1276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69" w:line="223" w:lineRule="auto"/>
              <w:ind w:left="118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1"/>
                <w:sz w:val="21"/>
                <w:szCs w:val="21"/>
              </w:rPr>
              <w:t>控制、音频</w:t>
            </w:r>
          </w:p>
          <w:p>
            <w:pPr>
              <w:spacing w:before="58" w:line="226" w:lineRule="auto"/>
              <w:ind w:left="119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1"/>
                <w:sz w:val="21"/>
                <w:szCs w:val="21"/>
              </w:rPr>
              <w:t>和视频数据</w:t>
            </w:r>
          </w:p>
          <w:p>
            <w:pPr>
              <w:spacing w:before="55" w:line="223" w:lineRule="auto"/>
              <w:ind w:left="342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4"/>
                <w:sz w:val="21"/>
                <w:szCs w:val="21"/>
              </w:rPr>
              <w:t>的传输</w:t>
            </w:r>
          </w:p>
        </w:tc>
        <w:tc>
          <w:tcPr>
            <w:tcW w:w="1560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68" w:line="221" w:lineRule="auto"/>
              <w:ind w:left="166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3"/>
                <w:sz w:val="21"/>
                <w:szCs w:val="21"/>
              </w:rPr>
              <w:t>与安全相关的</w:t>
            </w:r>
          </w:p>
          <w:p>
            <w:pPr>
              <w:spacing w:before="61" w:line="218" w:lineRule="auto"/>
              <w:ind w:left="156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1"/>
                <w:sz w:val="21"/>
                <w:szCs w:val="21"/>
              </w:rPr>
              <w:t>相对简单应用</w:t>
            </w:r>
          </w:p>
          <w:p>
            <w:pPr>
              <w:spacing w:before="63" w:line="216" w:lineRule="auto"/>
              <w:ind w:left="274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4"/>
                <w:sz w:val="21"/>
                <w:szCs w:val="21"/>
              </w:rPr>
              <w:t>的网络系统</w:t>
            </w:r>
          </w:p>
        </w:tc>
        <w:tc>
          <w:tcPr>
            <w:tcW w:w="2493" w:type="dxa"/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</w:p>
          <w:p>
            <w:pPr>
              <w:spacing w:before="69" w:line="245" w:lineRule="auto"/>
              <w:ind w:left="351" w:right="251" w:hanging="197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车辆主干网络、信息娱</w:t>
            </w:r>
            <w:r>
              <w:rPr>
                <w:rFonts w:ascii="KaiTi" w:eastAsia="KaiTi" w:hAnsi="KaiTi" w:cs="KaiTi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乐系统、ADAS</w:t>
            </w:r>
            <w:r>
              <w:rPr>
                <w:rFonts w:ascii="KaiTi" w:eastAsia="KaiTi" w:hAnsi="KaiTi" w:cs="KaiTi"/>
                <w:spacing w:val="-17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系统</w:t>
            </w:r>
          </w:p>
        </w:tc>
      </w:tr>
    </w:tbl>
    <w:p>
      <w:pPr>
        <w:sectPr>
          <w:headerReference w:type="default" r:id="rId29"/>
          <w:footerReference w:type="default" r:id="rId30"/>
          <w:type w:val="continuous"/>
          <w:pgSz w:w="11907" w:h="16839"/>
          <w:pgMar w:top="1221" w:right="679" w:bottom="710" w:left="679" w:header="454" w:footer="405" w:gutter="0"/>
          <w:pgNumType w:start="10"/>
          <w:cols w:num="1" w:space="708" w:equalWidth="0">
            <w:col w:w="10549" w:space="0"/>
          </w:cols>
        </w:sectPr>
      </w:pPr>
    </w:p>
    <w:tbl>
      <w:tblPr>
        <w:tblStyle w:val="TableNormal1"/>
        <w:tblW w:w="10444" w:type="dxa"/>
        <w:tblInd w:w="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15"/>
        <w:gridCol w:w="1843"/>
        <w:gridCol w:w="1557"/>
        <w:gridCol w:w="1276"/>
        <w:gridCol w:w="1560"/>
        <w:gridCol w:w="2493"/>
      </w:tblGrid>
      <w:tr>
        <w:tblPrEx>
          <w:tblW w:w="10444" w:type="dxa"/>
          <w:tblInd w:w="1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6"/>
        </w:trPr>
        <w:tc>
          <w:tcPr>
            <w:tcW w:w="1715" w:type="dxa"/>
            <w:vAlign w:val="top"/>
          </w:tcPr>
          <w:p>
            <w:pPr>
              <w:spacing w:before="59" w:line="217" w:lineRule="auto"/>
              <w:ind w:left="517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4"/>
                <w:sz w:val="21"/>
                <w:szCs w:val="21"/>
              </w:rPr>
              <w:t>拓扑结构</w:t>
            </w:r>
          </w:p>
        </w:tc>
        <w:tc>
          <w:tcPr>
            <w:tcW w:w="1843" w:type="dxa"/>
            <w:vAlign w:val="top"/>
          </w:tcPr>
          <w:p>
            <w:pPr>
              <w:spacing w:before="59" w:line="217" w:lineRule="auto"/>
              <w:ind w:left="522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6"/>
                <w:sz w:val="21"/>
                <w:szCs w:val="21"/>
              </w:rPr>
              <w:t>线型总线</w:t>
            </w:r>
          </w:p>
        </w:tc>
        <w:tc>
          <w:tcPr>
            <w:tcW w:w="1557" w:type="dxa"/>
            <w:vAlign w:val="top"/>
          </w:tcPr>
          <w:p>
            <w:pPr>
              <w:spacing w:before="59" w:line="217" w:lineRule="auto"/>
              <w:ind w:left="381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6"/>
                <w:sz w:val="21"/>
                <w:szCs w:val="21"/>
              </w:rPr>
              <w:t>线型总线</w:t>
            </w:r>
          </w:p>
        </w:tc>
        <w:tc>
          <w:tcPr>
            <w:tcW w:w="1276" w:type="dxa"/>
            <w:vAlign w:val="top"/>
          </w:tcPr>
          <w:p>
            <w:pPr>
              <w:spacing w:before="59" w:line="217" w:lineRule="auto"/>
              <w:ind w:left="228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环型拓扑</w:t>
            </w:r>
          </w:p>
        </w:tc>
        <w:tc>
          <w:tcPr>
            <w:tcW w:w="1560" w:type="dxa"/>
            <w:vAlign w:val="top"/>
          </w:tcPr>
          <w:p>
            <w:pPr>
              <w:spacing w:before="59" w:line="217" w:lineRule="auto"/>
              <w:ind w:left="373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3"/>
                <w:sz w:val="21"/>
                <w:szCs w:val="21"/>
              </w:rPr>
              <w:t>星型拓扑</w:t>
            </w:r>
          </w:p>
        </w:tc>
        <w:tc>
          <w:tcPr>
            <w:tcW w:w="2493" w:type="dxa"/>
            <w:vAlign w:val="top"/>
          </w:tcPr>
          <w:p>
            <w:pPr>
              <w:spacing w:before="59" w:line="217" w:lineRule="auto"/>
              <w:ind w:left="359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交换机式通信方式</w:t>
            </w:r>
          </w:p>
        </w:tc>
      </w:tr>
      <w:tr>
        <w:tblPrEx>
          <w:tblW w:w="10444" w:type="dxa"/>
          <w:tblInd w:w="16" w:type="dxa"/>
          <w:tblLayout w:type="fixed"/>
        </w:tblPrEx>
        <w:trPr>
          <w:trHeight w:val="315"/>
        </w:trPr>
        <w:tc>
          <w:tcPr>
            <w:tcW w:w="1715" w:type="dxa"/>
            <w:vAlign w:val="top"/>
          </w:tcPr>
          <w:p>
            <w:pPr>
              <w:spacing w:before="59" w:line="216" w:lineRule="auto"/>
              <w:ind w:left="719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成本</w:t>
            </w:r>
          </w:p>
        </w:tc>
        <w:tc>
          <w:tcPr>
            <w:tcW w:w="1843" w:type="dxa"/>
            <w:vAlign w:val="top"/>
          </w:tcPr>
          <w:p>
            <w:pPr>
              <w:spacing w:before="59" w:line="216" w:lineRule="auto"/>
              <w:ind w:left="712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1"/>
                <w:sz w:val="21"/>
                <w:szCs w:val="21"/>
              </w:rPr>
              <w:t>较低</w:t>
            </w:r>
          </w:p>
        </w:tc>
        <w:tc>
          <w:tcPr>
            <w:tcW w:w="1557" w:type="dxa"/>
            <w:vAlign w:val="top"/>
          </w:tcPr>
          <w:p>
            <w:pPr>
              <w:spacing w:before="59" w:line="216" w:lineRule="auto"/>
              <w:ind w:left="677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z w:val="21"/>
                <w:szCs w:val="21"/>
              </w:rPr>
              <w:t>低</w:t>
            </w:r>
          </w:p>
        </w:tc>
        <w:tc>
          <w:tcPr>
            <w:tcW w:w="1276" w:type="dxa"/>
            <w:vAlign w:val="top"/>
          </w:tcPr>
          <w:p>
            <w:pPr>
              <w:spacing w:before="59" w:line="216" w:lineRule="auto"/>
              <w:ind w:left="560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z w:val="21"/>
                <w:szCs w:val="21"/>
              </w:rPr>
              <w:t>高</w:t>
            </w:r>
          </w:p>
        </w:tc>
        <w:tc>
          <w:tcPr>
            <w:tcW w:w="1560" w:type="dxa"/>
            <w:vAlign w:val="top"/>
          </w:tcPr>
          <w:p>
            <w:pPr>
              <w:spacing w:before="59" w:line="216" w:lineRule="auto"/>
              <w:ind w:left="573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1"/>
                <w:sz w:val="21"/>
                <w:szCs w:val="21"/>
              </w:rPr>
              <w:t>较高</w:t>
            </w:r>
          </w:p>
        </w:tc>
        <w:tc>
          <w:tcPr>
            <w:tcW w:w="2493" w:type="dxa"/>
            <w:vAlign w:val="top"/>
          </w:tcPr>
          <w:p>
            <w:pPr>
              <w:spacing w:before="59" w:line="216" w:lineRule="auto"/>
              <w:ind w:left="984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3"/>
                <w:sz w:val="21"/>
                <w:szCs w:val="21"/>
              </w:rPr>
              <w:t>适中</w:t>
            </w:r>
          </w:p>
        </w:tc>
      </w:tr>
      <w:tr>
        <w:tblPrEx>
          <w:tblW w:w="10444" w:type="dxa"/>
          <w:tblInd w:w="16" w:type="dxa"/>
          <w:tblLayout w:type="fixed"/>
        </w:tblPrEx>
        <w:trPr>
          <w:trHeight w:val="315"/>
        </w:trPr>
        <w:tc>
          <w:tcPr>
            <w:tcW w:w="1715" w:type="dxa"/>
            <w:vAlign w:val="top"/>
          </w:tcPr>
          <w:p>
            <w:pPr>
              <w:spacing w:before="61" w:line="214" w:lineRule="auto"/>
              <w:ind w:left="295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1"/>
                <w:sz w:val="21"/>
                <w:szCs w:val="21"/>
              </w:rPr>
              <w:t>数据传输速率</w:t>
            </w:r>
          </w:p>
        </w:tc>
        <w:tc>
          <w:tcPr>
            <w:tcW w:w="1843" w:type="dxa"/>
            <w:vAlign w:val="top"/>
          </w:tcPr>
          <w:p>
            <w:pPr>
              <w:spacing w:before="61" w:line="214" w:lineRule="auto"/>
              <w:ind w:left="607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1"/>
                <w:sz w:val="21"/>
                <w:szCs w:val="21"/>
              </w:rPr>
              <w:t>&lt;8Mbps</w:t>
            </w:r>
          </w:p>
        </w:tc>
        <w:tc>
          <w:tcPr>
            <w:tcW w:w="1557" w:type="dxa"/>
            <w:vAlign w:val="top"/>
          </w:tcPr>
          <w:p>
            <w:pPr>
              <w:spacing w:before="61" w:line="214" w:lineRule="auto"/>
              <w:ind w:left="363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1"/>
                <w:sz w:val="21"/>
                <w:szCs w:val="21"/>
              </w:rPr>
              <w:t>20kbit/s</w:t>
            </w:r>
          </w:p>
        </w:tc>
        <w:tc>
          <w:tcPr>
            <w:tcW w:w="1276" w:type="dxa"/>
            <w:vAlign w:val="top"/>
          </w:tcPr>
          <w:p>
            <w:pPr>
              <w:spacing w:before="61" w:line="214" w:lineRule="auto"/>
              <w:ind w:left="119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1"/>
                <w:sz w:val="21"/>
                <w:szCs w:val="21"/>
              </w:rPr>
              <w:t>22.5Mbit/s</w:t>
            </w:r>
          </w:p>
        </w:tc>
        <w:tc>
          <w:tcPr>
            <w:tcW w:w="1560" w:type="dxa"/>
            <w:vAlign w:val="top"/>
          </w:tcPr>
          <w:p>
            <w:pPr>
              <w:spacing w:before="61" w:line="214" w:lineRule="auto"/>
              <w:ind w:left="219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10-20Mbit/s</w:t>
            </w:r>
          </w:p>
        </w:tc>
        <w:tc>
          <w:tcPr>
            <w:tcW w:w="2493" w:type="dxa"/>
            <w:vAlign w:val="top"/>
          </w:tcPr>
          <w:p>
            <w:pPr>
              <w:spacing w:before="61" w:line="214" w:lineRule="auto"/>
              <w:ind w:left="573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10M-10Gbit/s</w:t>
            </w:r>
          </w:p>
        </w:tc>
      </w:tr>
      <w:tr>
        <w:tblPrEx>
          <w:tblW w:w="10444" w:type="dxa"/>
          <w:tblInd w:w="16" w:type="dxa"/>
          <w:tblLayout w:type="fixed"/>
        </w:tblPrEx>
        <w:trPr>
          <w:trHeight w:val="1274"/>
        </w:trPr>
        <w:tc>
          <w:tcPr>
            <w:tcW w:w="1715" w:type="dxa"/>
            <w:tcBorders>
              <w:bottom w:val="single" w:sz="6" w:space="0" w:color="000000"/>
            </w:tcBorders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</w:p>
          <w:p>
            <w:pPr>
              <w:spacing w:before="68" w:line="221" w:lineRule="auto"/>
              <w:ind w:left="718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优势</w:t>
            </w:r>
          </w:p>
        </w:tc>
        <w:tc>
          <w:tcPr>
            <w:tcW w:w="1843" w:type="dxa"/>
            <w:tcBorders>
              <w:bottom w:val="single" w:sz="6" w:space="0" w:color="000000"/>
            </w:tcBorders>
            <w:vAlign w:val="top"/>
          </w:tcPr>
          <w:p>
            <w:pPr>
              <w:spacing w:before="62" w:line="220" w:lineRule="auto"/>
              <w:ind w:left="197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实时性强、传输</w:t>
            </w:r>
          </w:p>
          <w:p>
            <w:pPr>
              <w:spacing w:before="61" w:line="220" w:lineRule="auto"/>
              <w:ind w:left="190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1"/>
                <w:sz w:val="21"/>
                <w:szCs w:val="21"/>
              </w:rPr>
              <w:t>距离较远、抗电</w:t>
            </w:r>
          </w:p>
          <w:p>
            <w:pPr>
              <w:spacing w:before="62" w:line="221" w:lineRule="auto"/>
              <w:ind w:left="186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1"/>
                <w:sz w:val="21"/>
                <w:szCs w:val="21"/>
              </w:rPr>
              <w:t>磁干扰能力强成</w:t>
            </w:r>
          </w:p>
          <w:p>
            <w:pPr>
              <w:spacing w:before="60" w:line="218" w:lineRule="auto"/>
              <w:ind w:left="722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4"/>
                <w:sz w:val="21"/>
                <w:szCs w:val="21"/>
              </w:rPr>
              <w:t>本低</w:t>
            </w:r>
          </w:p>
        </w:tc>
        <w:tc>
          <w:tcPr>
            <w:tcW w:w="1557" w:type="dxa"/>
            <w:tcBorders>
              <w:bottom w:val="single" w:sz="6" w:space="0" w:color="000000"/>
            </w:tcBorders>
            <w:vAlign w:val="top"/>
          </w:tcPr>
          <w:p>
            <w:pPr>
              <w:spacing w:before="62" w:line="216" w:lineRule="auto"/>
              <w:ind w:left="223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1"/>
                <w:sz w:val="21"/>
                <w:szCs w:val="21"/>
              </w:rPr>
              <w:t>线间干扰小;</w:t>
            </w:r>
          </w:p>
          <w:p>
            <w:pPr>
              <w:spacing w:before="66" w:line="216" w:lineRule="auto"/>
              <w:ind w:left="217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3"/>
                <w:sz w:val="21"/>
                <w:szCs w:val="21"/>
              </w:rPr>
              <w:t>节省线束;传</w:t>
            </w:r>
          </w:p>
          <w:p>
            <w:pPr>
              <w:spacing w:before="66" w:line="216" w:lineRule="auto"/>
              <w:ind w:left="204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1"/>
                <w:sz w:val="21"/>
                <w:szCs w:val="21"/>
              </w:rPr>
              <w:t>输距离长;成</w:t>
            </w:r>
          </w:p>
          <w:p>
            <w:pPr>
              <w:spacing w:before="67" w:line="218" w:lineRule="auto"/>
              <w:ind w:left="581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4"/>
                <w:sz w:val="21"/>
                <w:szCs w:val="21"/>
              </w:rPr>
              <w:t>本低</w:t>
            </w:r>
          </w:p>
        </w:tc>
        <w:tc>
          <w:tcPr>
            <w:tcW w:w="1276" w:type="dxa"/>
            <w:tcBorders>
              <w:bottom w:val="single" w:sz="6" w:space="0" w:color="000000"/>
            </w:tcBorders>
            <w:vAlign w:val="top"/>
          </w:tcPr>
          <w:p>
            <w:pPr>
              <w:spacing w:before="63" w:line="218" w:lineRule="auto"/>
              <w:ind w:left="224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1"/>
                <w:sz w:val="21"/>
                <w:szCs w:val="21"/>
              </w:rPr>
              <w:t>传输速率</w:t>
            </w:r>
          </w:p>
          <w:p>
            <w:pPr>
              <w:spacing w:before="63" w:line="216" w:lineRule="auto"/>
              <w:ind w:left="193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高;同步性</w:t>
            </w:r>
          </w:p>
          <w:p>
            <w:pPr>
              <w:spacing w:before="66" w:line="216" w:lineRule="auto"/>
              <w:ind w:left="168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z w:val="21"/>
                <w:szCs w:val="21"/>
              </w:rPr>
              <w:t>好;带宽有</w:t>
            </w:r>
          </w:p>
          <w:p>
            <w:pPr>
              <w:spacing w:before="66" w:line="220" w:lineRule="auto"/>
              <w:ind w:left="432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1"/>
                <w:sz w:val="21"/>
                <w:szCs w:val="21"/>
              </w:rPr>
              <w:t>保障</w:t>
            </w:r>
          </w:p>
        </w:tc>
        <w:tc>
          <w:tcPr>
            <w:tcW w:w="1560" w:type="dxa"/>
            <w:tcBorders>
              <w:bottom w:val="single" w:sz="6" w:space="0" w:color="000000"/>
            </w:tcBorders>
            <w:vAlign w:val="top"/>
          </w:tcPr>
          <w:p>
            <w:pPr>
              <w:spacing w:before="63" w:line="213" w:lineRule="auto"/>
              <w:ind w:left="264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7"/>
                <w:sz w:val="21"/>
                <w:szCs w:val="21"/>
              </w:rPr>
              <w:t>速率较高，</w:t>
            </w:r>
          </w:p>
          <w:p>
            <w:pPr>
              <w:spacing w:before="68" w:line="255" w:lineRule="auto"/>
              <w:ind w:left="156" w:right="144" w:firstLine="62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10Mbps;实时</w:t>
            </w:r>
            <w:r>
              <w:rPr>
                <w:rFonts w:ascii="KaiTi" w:eastAsia="KaiTi" w:hAnsi="KaiTi" w:cs="KaiTi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16"/>
                <w:sz w:val="21"/>
                <w:szCs w:val="21"/>
              </w:rPr>
              <w:t>性高，</w:t>
            </w:r>
            <w:r>
              <w:rPr>
                <w:rFonts w:ascii="KaiTi" w:eastAsia="KaiTi" w:hAnsi="KaiTi" w:cs="KaiTi"/>
                <w:spacing w:val="-16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16"/>
                <w:sz w:val="21"/>
                <w:szCs w:val="21"/>
              </w:rPr>
              <w:t>安全性</w:t>
            </w:r>
            <w:r>
              <w:rPr>
                <w:rFonts w:ascii="KaiTi" w:eastAsia="KaiTi" w:hAnsi="KaiTi" w:cs="KaiTi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21"/>
                <w:szCs w:val="21"/>
              </w:rPr>
              <w:t>有保障;</w:t>
            </w:r>
            <w:r>
              <w:rPr>
                <w:rFonts w:ascii="KaiTi" w:eastAsia="KaiTi" w:hAnsi="KaiTi" w:cs="KaiTi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21"/>
                <w:szCs w:val="21"/>
              </w:rPr>
              <w:t>双冗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  <w:vAlign w:val="top"/>
          </w:tcPr>
          <w:p>
            <w:pPr>
              <w:spacing w:before="63" w:line="213" w:lineRule="auto"/>
              <w:ind w:left="223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3"/>
                <w:sz w:val="21"/>
                <w:szCs w:val="21"/>
              </w:rPr>
              <w:t>速率高，支持</w:t>
            </w:r>
            <w:r>
              <w:rPr>
                <w:rFonts w:ascii="KaiTi" w:eastAsia="KaiTi" w:hAnsi="KaiTi" w:cs="KaiTi"/>
                <w:spacing w:val="-29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3"/>
                <w:sz w:val="21"/>
                <w:szCs w:val="21"/>
              </w:rPr>
              <w:t>100M、</w:t>
            </w:r>
          </w:p>
          <w:p>
            <w:pPr>
              <w:spacing w:before="69" w:line="254" w:lineRule="auto"/>
              <w:ind w:left="147" w:right="225" w:hanging="21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1000M</w:t>
            </w:r>
            <w:r>
              <w:rPr>
                <w:rFonts w:ascii="KaiTi" w:eastAsia="KaiTi" w:hAnsi="KaiTi" w:cs="KaiTi"/>
                <w:spacing w:val="-44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甚至更高;端口带</w:t>
            </w:r>
            <w:r>
              <w:rPr>
                <w:rFonts w:ascii="KaiTi" w:eastAsia="KaiTi" w:hAnsi="KaiTi" w:cs="KaiTi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21"/>
                <w:szCs w:val="21"/>
              </w:rPr>
              <w:t>宽独享;成本相对较低;</w:t>
            </w:r>
            <w:r>
              <w:rPr>
                <w:rFonts w:ascii="KaiTi" w:eastAsia="KaiTi" w:hAnsi="KaiTi" w:cs="KaiTi"/>
                <w:spacing w:val="9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9"/>
                <w:sz w:val="21"/>
                <w:szCs w:val="21"/>
              </w:rPr>
              <w:t>协议开放，</w:t>
            </w:r>
            <w:r>
              <w:rPr>
                <w:rFonts w:ascii="KaiTi" w:eastAsia="KaiTi" w:hAnsi="KaiTi" w:cs="KaiTi"/>
                <w:spacing w:val="-27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9"/>
                <w:sz w:val="21"/>
                <w:szCs w:val="21"/>
              </w:rPr>
              <w:t>应用成熟，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  <w:br/>
      </w:r>
      <w:r>
        <w:rPr>
          <w:rFonts w:ascii="Arial" w:eastAsia="Arial" w:hAnsi="Arial" w:cs="Arial"/>
          <w:sz w:val="2"/>
          <w:szCs w:val="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https://d.book118.com/347136011020006034</w:t>
        </w:r>
      </w:hyperlink>
    </w:p>
    <w:p>
      <w:pPr>
        <w:spacing w:line="14" w:lineRule="auto"/>
        <w:rPr>
          <w:rFonts w:ascii="Arial" w:eastAsia="Arial" w:hAnsi="Arial" w:cs="Arial"/>
          <w:sz w:val="2"/>
          <w:szCs w:val="2"/>
        </w:rPr>
      </w:pPr>
    </w:p>
    <w:sectPr>
      <w:headerReference w:type="default" r:id="rId32"/>
      <w:footerReference w:type="default" r:id="rId33"/>
      <w:type w:val="nextPage"/>
      <w:pgSz w:w="11907" w:h="16839"/>
      <w:pgMar w:top="1221" w:right="679" w:bottom="710" w:left="679" w:header="454" w:footer="405" w:gutter="0"/>
      <w:pgNumType w:start="11"/>
      <w:cols w:num="1" w:space="708" w:equalWidth="0">
        <w:col w:w="10549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9" w:line="217" w:lineRule="auto"/>
      <w:ind w:left="5320"/>
      <w:rPr>
        <w:sz w:val="19"/>
        <w:szCs w:val="19"/>
      </w:rPr>
    </w:pPr>
    <w:r>
      <w:pict>
        <v:shape id="_x0000_s2051" style="width:527.45pt;height:0.25pt;margin-top:806.52pt;margin-left:33.96pt;mso-position-horizontal-relative:page;mso-position-vertical-relative:page;position:absolute;z-index:251658240" coordorigin="0,0" coordsize="10549,5" o:allowincell="f" path="m,4l10548,4l10548,l,l,4xe" filled="t" fillcolor="#ee1d23" stroked="f"/>
      </w:pict>
    </w:r>
    <w:r>
      <w:rPr>
        <w:color w:val="4B4C4D"/>
        <w:spacing w:val="43"/>
        <w:sz w:val="19"/>
        <w:szCs w:val="19"/>
      </w:rPr>
      <w:t>1</w:t>
    </w:r>
    <w:r>
      <w:rPr>
        <w:color w:val="4B4C4D"/>
        <w:spacing w:val="6"/>
        <w:sz w:val="19"/>
        <w:szCs w:val="19"/>
      </w:rPr>
      <w:t xml:space="preserve">               </w:t>
    </w:r>
    <w:r>
      <w:rPr>
        <w:color w:val="4B4C4D"/>
        <w:spacing w:val="43"/>
        <w:sz w:val="19"/>
        <w:szCs w:val="19"/>
      </w:rPr>
      <w:t>敬请关注文后特别声明与免责条款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9" w:line="217" w:lineRule="auto"/>
      <w:ind w:left="5320"/>
      <w:rPr>
        <w:sz w:val="19"/>
        <w:szCs w:val="19"/>
      </w:rPr>
    </w:pPr>
    <w:r>
      <w:pict>
        <v:shape id="_x0000_s2054" style="width:527.45pt;height:0.25pt;margin-top:806.52pt;margin-left:33.96pt;mso-position-horizontal-relative:page;mso-position-vertical-relative:page;position:absolute;z-index:251659264" coordorigin="0,0" coordsize="10549,5" o:allowincell="f" path="m,4l10548,4l10548,l,l,4xe" filled="t" fillcolor="#ee1d23" stroked="f"/>
      </w:pict>
    </w:r>
    <w:r>
      <w:rPr>
        <w:color w:val="4B4C4D"/>
        <w:spacing w:val="43"/>
        <w:sz w:val="19"/>
        <w:szCs w:val="19"/>
      </w:rPr>
      <w:t>1</w:t>
    </w:r>
    <w:r>
      <w:rPr>
        <w:color w:val="4B4C4D"/>
        <w:spacing w:val="6"/>
        <w:sz w:val="19"/>
        <w:szCs w:val="19"/>
      </w:rPr>
      <w:t xml:space="preserve">               </w:t>
    </w:r>
    <w:r>
      <w:rPr>
        <w:color w:val="4B4C4D"/>
        <w:spacing w:val="43"/>
        <w:sz w:val="19"/>
        <w:szCs w:val="19"/>
      </w:rPr>
      <w:t>敬请关注文后特别声明与免责条款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9" w:line="217" w:lineRule="auto"/>
      <w:ind w:left="5320"/>
      <w:rPr>
        <w:sz w:val="19"/>
        <w:szCs w:val="19"/>
      </w:rPr>
    </w:pPr>
    <w:r>
      <w:pict>
        <v:shape id="_x0000_s2057" style="width:527.45pt;height:0.25pt;margin-top:806.52pt;margin-left:33.96pt;mso-position-horizontal-relative:page;mso-position-vertical-relative:page;position:absolute;z-index:251660288" coordorigin="0,0" coordsize="10549,5" o:allowincell="f" path="m,4l10548,4l10548,l,l,4xe" filled="t" fillcolor="#ee1d23" stroked="f"/>
      </w:pict>
    </w:r>
    <w:r>
      <w:rPr>
        <w:color w:val="4B4C4D"/>
        <w:spacing w:val="43"/>
        <w:sz w:val="19"/>
        <w:szCs w:val="19"/>
      </w:rPr>
      <w:t>1</w:t>
    </w:r>
    <w:r>
      <w:rPr>
        <w:color w:val="4B4C4D"/>
        <w:spacing w:val="6"/>
        <w:sz w:val="19"/>
        <w:szCs w:val="19"/>
      </w:rPr>
      <w:t xml:space="preserve">               </w:t>
    </w:r>
    <w:r>
      <w:rPr>
        <w:color w:val="4B4C4D"/>
        <w:spacing w:val="43"/>
        <w:sz w:val="19"/>
        <w:szCs w:val="19"/>
      </w:rPr>
      <w:t>敬请关注文后特别声明与免责条款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71" w:line="217" w:lineRule="auto"/>
      <w:ind w:left="5309"/>
      <w:rPr>
        <w:sz w:val="19"/>
        <w:szCs w:val="19"/>
      </w:rPr>
    </w:pPr>
    <w:r>
      <w:pict>
        <v:shape id="_x0000_s2059" style="width:527.45pt;height:0.5pt;margin-top:806.4pt;margin-left:33.96pt;mso-position-horizontal-relative:page;mso-position-vertical-relative:page;position:absolute;z-index:251661312" coordorigin="0,0" coordsize="10549,10" o:allowincell="f" path="m,9l10548,9l10548,l,l,9xe" filled="t" fillcolor="#e31c22" stroked="f"/>
      </w:pict>
    </w:r>
    <w:r>
      <w:rPr>
        <w:color w:val="4B4C4D"/>
        <w:spacing w:val="43"/>
        <w:sz w:val="19"/>
        <w:szCs w:val="19"/>
      </w:rPr>
      <w:t>2</w:t>
    </w:r>
    <w:r>
      <w:rPr>
        <w:color w:val="4B4C4D"/>
        <w:spacing w:val="6"/>
        <w:sz w:val="19"/>
        <w:szCs w:val="19"/>
      </w:rPr>
      <w:t xml:space="preserve">               </w:t>
    </w:r>
    <w:r>
      <w:rPr>
        <w:color w:val="4B4C4D"/>
        <w:spacing w:val="43"/>
        <w:sz w:val="19"/>
        <w:szCs w:val="19"/>
      </w:rPr>
      <w:t>敬请关注文后特别声明与免责条款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71" w:line="217" w:lineRule="auto"/>
      <w:ind w:left="5310"/>
      <w:rPr>
        <w:sz w:val="19"/>
        <w:szCs w:val="19"/>
      </w:rPr>
    </w:pPr>
    <w:r>
      <w:pict>
        <v:shape id="_x0000_s2060" style="width:527.45pt;height:0.5pt;margin-top:806.4pt;margin-left:33.96pt;mso-position-horizontal-relative:page;mso-position-vertical-relative:page;position:absolute;z-index:251662336" coordorigin="0,0" coordsize="10549,10" o:allowincell="f" path="m,9l10548,9l10548,l,l,9xe" filled="t" fillcolor="#e31c22" stroked="f"/>
      </w:pict>
    </w:r>
    <w:r>
      <w:rPr>
        <w:color w:val="4B4C4D"/>
        <w:spacing w:val="43"/>
        <w:sz w:val="19"/>
        <w:szCs w:val="19"/>
      </w:rPr>
      <w:t>3</w:t>
    </w:r>
    <w:r>
      <w:rPr>
        <w:color w:val="4B4C4D"/>
        <w:spacing w:val="6"/>
        <w:sz w:val="19"/>
        <w:szCs w:val="19"/>
      </w:rPr>
      <w:t xml:space="preserve">               </w:t>
    </w:r>
    <w:r>
      <w:rPr>
        <w:color w:val="4B4C4D"/>
        <w:spacing w:val="43"/>
        <w:sz w:val="19"/>
        <w:szCs w:val="19"/>
      </w:rPr>
      <w:t>敬请关注文后特别声明与免责条款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71" w:line="217" w:lineRule="auto"/>
      <w:ind w:left="5310"/>
      <w:rPr>
        <w:sz w:val="19"/>
        <w:szCs w:val="19"/>
      </w:rPr>
    </w:pPr>
    <w:r>
      <w:pict>
        <v:shape id="_x0000_s2062" style="width:527.45pt;height:0.5pt;margin-top:806.4pt;margin-left:33.96pt;mso-position-horizontal-relative:page;mso-position-vertical-relative:page;position:absolute;z-index:251663360" coordorigin="0,0" coordsize="10549,10" o:allowincell="f" path="m,9l10548,9l10548,l,l,9xe" filled="t" fillcolor="#e31c22" stroked="f"/>
      </w:pict>
    </w:r>
    <w:r>
      <w:rPr>
        <w:color w:val="4B4C4D"/>
        <w:spacing w:val="43"/>
        <w:sz w:val="19"/>
        <w:szCs w:val="19"/>
      </w:rPr>
      <w:t>3</w:t>
    </w:r>
    <w:r>
      <w:rPr>
        <w:color w:val="4B4C4D"/>
        <w:spacing w:val="6"/>
        <w:sz w:val="19"/>
        <w:szCs w:val="19"/>
      </w:rPr>
      <w:t xml:space="preserve">               </w:t>
    </w:r>
    <w:r>
      <w:rPr>
        <w:color w:val="4B4C4D"/>
        <w:spacing w:val="43"/>
        <w:sz w:val="19"/>
        <w:szCs w:val="19"/>
      </w:rPr>
      <w:t>敬请关注文后特别声明与免责条款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71" w:line="217" w:lineRule="auto"/>
      <w:ind w:left="5305"/>
      <w:rPr>
        <w:sz w:val="19"/>
        <w:szCs w:val="19"/>
      </w:rPr>
    </w:pPr>
    <w:r>
      <w:pict>
        <v:shape id="_x0000_s2064" style="width:527.45pt;height:0.5pt;margin-top:806.4pt;margin-left:33.96pt;mso-position-horizontal-relative:page;mso-position-vertical-relative:page;position:absolute;z-index:251664384" coordorigin="0,0" coordsize="10549,10" o:allowincell="f" path="m,9l10548,9l10548,l,l,9xe" filled="t" fillcolor="#e31c22" stroked="f"/>
      </w:pict>
    </w:r>
    <w:r>
      <w:rPr>
        <w:color w:val="4B4C4D"/>
        <w:spacing w:val="44"/>
        <w:sz w:val="19"/>
        <w:szCs w:val="19"/>
      </w:rPr>
      <w:t>4</w:t>
    </w:r>
    <w:r>
      <w:rPr>
        <w:color w:val="4B4C4D"/>
        <w:spacing w:val="5"/>
        <w:sz w:val="19"/>
        <w:szCs w:val="19"/>
      </w:rPr>
      <w:t xml:space="preserve">               </w:t>
    </w:r>
    <w:r>
      <w:rPr>
        <w:color w:val="4B4C4D"/>
        <w:spacing w:val="44"/>
        <w:sz w:val="19"/>
        <w:szCs w:val="19"/>
      </w:rPr>
      <w:t>敬请关注文后特别声明与免责条款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71" w:line="217" w:lineRule="auto"/>
      <w:ind w:left="5306"/>
      <w:rPr>
        <w:sz w:val="19"/>
        <w:szCs w:val="19"/>
      </w:rPr>
    </w:pPr>
    <w:r>
      <w:pict>
        <v:shape id="_x0000_s2066" style="width:527.45pt;height:0.5pt;margin-top:806.4pt;margin-left:33.96pt;mso-position-horizontal-relative:page;mso-position-vertical-relative:page;position:absolute;z-index:251665408" coordorigin="0,0" coordsize="10549,10" o:allowincell="f" path="m,9l10548,9l10548,l,l,9xe" filled="t" fillcolor="#e31c22" stroked="f"/>
      </w:pict>
    </w:r>
    <w:r>
      <w:rPr>
        <w:color w:val="4B4C4D"/>
        <w:spacing w:val="44"/>
        <w:sz w:val="19"/>
        <w:szCs w:val="19"/>
      </w:rPr>
      <w:t>5</w:t>
    </w:r>
    <w:r>
      <w:rPr>
        <w:color w:val="4B4C4D"/>
        <w:spacing w:val="5"/>
        <w:sz w:val="19"/>
        <w:szCs w:val="19"/>
      </w:rPr>
      <w:t xml:space="preserve">               </w:t>
    </w:r>
    <w:r>
      <w:rPr>
        <w:color w:val="4B4C4D"/>
        <w:spacing w:val="44"/>
        <w:sz w:val="19"/>
        <w:szCs w:val="19"/>
      </w:rPr>
      <w:t>敬请关注文后特别声明与免责条款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71" w:line="217" w:lineRule="auto"/>
      <w:ind w:left="5306"/>
      <w:rPr>
        <w:sz w:val="19"/>
        <w:szCs w:val="19"/>
      </w:rPr>
    </w:pPr>
    <w:r>
      <w:pict>
        <v:shape id="_x0000_s2068" style="width:527.45pt;height:0.5pt;margin-top:806.4pt;margin-left:33.96pt;mso-position-horizontal-relative:page;mso-position-vertical-relative:page;position:absolute;z-index:251666432" coordorigin="0,0" coordsize="10549,10" o:allowincell="f" path="m,9l10548,9l10548,l,l,9xe" filled="t" fillcolor="#e31c22" stroked="f"/>
      </w:pict>
    </w:r>
    <w:r>
      <w:rPr>
        <w:color w:val="4B4C4D"/>
        <w:spacing w:val="44"/>
        <w:sz w:val="19"/>
        <w:szCs w:val="19"/>
      </w:rPr>
      <w:t>5</w:t>
    </w:r>
    <w:r>
      <w:rPr>
        <w:color w:val="4B4C4D"/>
        <w:spacing w:val="5"/>
        <w:sz w:val="19"/>
        <w:szCs w:val="19"/>
      </w:rPr>
      <w:t xml:space="preserve">               </w:t>
    </w:r>
    <w:r>
      <w:rPr>
        <w:color w:val="4B4C4D"/>
        <w:spacing w:val="44"/>
        <w:sz w:val="19"/>
        <w:szCs w:val="19"/>
      </w:rPr>
      <w:t>敬请关注文后特别声明与免责条款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71" w:line="217" w:lineRule="auto"/>
      <w:ind w:left="5306"/>
      <w:rPr>
        <w:sz w:val="19"/>
        <w:szCs w:val="19"/>
      </w:rPr>
    </w:pPr>
    <w:r>
      <w:pict>
        <v:shape id="_x0000_s2070" style="width:527.45pt;height:0.5pt;margin-top:806.4pt;margin-left:33.96pt;mso-position-horizontal-relative:page;mso-position-vertical-relative:page;position:absolute;z-index:251667456" coordorigin="0,0" coordsize="10549,10" o:allowincell="f" path="m,9l10548,9l10548,l,l,9xe" filled="t" fillcolor="#e31c22" stroked="f"/>
      </w:pict>
    </w:r>
    <w:r>
      <w:rPr>
        <w:color w:val="4B4C4D"/>
        <w:spacing w:val="44"/>
        <w:sz w:val="19"/>
        <w:szCs w:val="19"/>
      </w:rPr>
      <w:t>5</w:t>
    </w:r>
    <w:r>
      <w:rPr>
        <w:color w:val="4B4C4D"/>
        <w:spacing w:val="5"/>
        <w:sz w:val="19"/>
        <w:szCs w:val="19"/>
      </w:rPr>
      <w:t xml:space="preserve">               </w:t>
    </w:r>
    <w:r>
      <w:rPr>
        <w:color w:val="4B4C4D"/>
        <w:spacing w:val="44"/>
        <w:sz w:val="19"/>
        <w:szCs w:val="19"/>
      </w:rPr>
      <w:t>敬请关注文后特别声明与免责条款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71" w:line="217" w:lineRule="auto"/>
      <w:ind w:left="5306"/>
      <w:rPr>
        <w:sz w:val="19"/>
        <w:szCs w:val="19"/>
      </w:rPr>
    </w:pPr>
    <w:r>
      <w:pict>
        <v:shape id="_x0000_s2072" style="width:527.45pt;height:0.5pt;margin-top:806.4pt;margin-left:33.96pt;mso-position-horizontal-relative:page;mso-position-vertical-relative:page;position:absolute;z-index:251668480" coordorigin="0,0" coordsize="10549,10" o:allowincell="f" path="m,9l10548,9l10548,l,l,9xe" filled="t" fillcolor="#e31c22" stroked="f"/>
      </w:pict>
    </w:r>
    <w:r>
      <w:rPr>
        <w:color w:val="4B4C4D"/>
        <w:spacing w:val="44"/>
        <w:sz w:val="19"/>
        <w:szCs w:val="19"/>
      </w:rPr>
      <w:t>5</w:t>
    </w:r>
    <w:r>
      <w:rPr>
        <w:color w:val="4B4C4D"/>
        <w:spacing w:val="5"/>
        <w:sz w:val="19"/>
        <w:szCs w:val="19"/>
      </w:rPr>
      <w:t xml:space="preserve">               </w:t>
    </w:r>
    <w:r>
      <w:rPr>
        <w:color w:val="4B4C4D"/>
        <w:spacing w:val="44"/>
        <w:sz w:val="19"/>
        <w:szCs w:val="19"/>
      </w:rPr>
      <w:t>敬请关注文后特别声明与免责条款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7" w:lineRule="auto"/>
      <w:rPr>
        <w:rFonts w:ascii="Arial"/>
        <w:sz w:val="21"/>
      </w:rPr>
    </w:pPr>
    <w:r>
      <w:pict>
        <v:shape id="_x0000_s2049" style="width:0.5pt;height:14.45pt;margin-top:46.56pt;margin-left:500.02pt;mso-position-horizontal-relative:page;mso-position-vertical-relative:page;position:absolute;z-index:251660288" coordorigin="0,0" coordsize="10,288" o:allowincell="f" path="m,288l9,288l9,l,l,288xe" filled="t" fillcolor="#bfbfbf" stroked="f"/>
      </w:pict>
    </w: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630554</wp:posOffset>
          </wp:positionH>
          <wp:positionV relativeFrom="page">
            <wp:posOffset>288290</wp:posOffset>
          </wp:positionV>
          <wp:extent cx="1144270" cy="45339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44270" cy="4533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457200</wp:posOffset>
          </wp:positionH>
          <wp:positionV relativeFrom="page">
            <wp:posOffset>831850</wp:posOffset>
          </wp:positionV>
          <wp:extent cx="6656069" cy="9367519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6656069" cy="93675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58" w:line="219" w:lineRule="auto"/>
      <w:ind w:left="8130"/>
      <w:rPr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46.75pt;height:10.95pt;margin-top:3.35pt;margin-left:480.22pt;position:absolute;z-index:25165926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83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2023.12.27</w:t>
                </w:r>
              </w:p>
            </w:txbxContent>
          </v:textbox>
        </v:shape>
      </w:pict>
    </w:r>
    <w:r>
      <w:rPr>
        <w:color w:val="EE1D23"/>
        <w:spacing w:val="-6"/>
        <w:sz w:val="18"/>
        <w:szCs w:val="18"/>
      </w:rPr>
      <w:t>行</w:t>
    </w:r>
    <w:r>
      <w:rPr>
        <w:color w:val="EE1D23"/>
        <w:spacing w:val="41"/>
        <w:sz w:val="18"/>
        <w:szCs w:val="18"/>
      </w:rPr>
      <w:t xml:space="preserve"> </w:t>
    </w:r>
    <w:r>
      <w:rPr>
        <w:color w:val="EE1D23"/>
        <w:spacing w:val="-6"/>
        <w:sz w:val="18"/>
        <w:szCs w:val="18"/>
      </w:rPr>
      <w:t>业</w:t>
    </w:r>
    <w:r>
      <w:rPr>
        <w:color w:val="EE1D23"/>
        <w:spacing w:val="34"/>
        <w:w w:val="101"/>
        <w:sz w:val="18"/>
        <w:szCs w:val="18"/>
      </w:rPr>
      <w:t xml:space="preserve"> </w:t>
    </w:r>
    <w:r>
      <w:rPr>
        <w:color w:val="EE1D23"/>
        <w:spacing w:val="-6"/>
        <w:sz w:val="18"/>
        <w:szCs w:val="18"/>
      </w:rPr>
      <w:t>研</w:t>
    </w:r>
    <w:r>
      <w:rPr>
        <w:color w:val="EE1D23"/>
        <w:spacing w:val="36"/>
        <w:sz w:val="18"/>
        <w:szCs w:val="18"/>
      </w:rPr>
      <w:t xml:space="preserve"> </w:t>
    </w:r>
    <w:r>
      <w:rPr>
        <w:color w:val="EE1D23"/>
        <w:spacing w:val="-6"/>
        <w:sz w:val="18"/>
        <w:szCs w:val="18"/>
      </w:rPr>
      <w:t>究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7" w:lineRule="auto"/>
      <w:rPr>
        <w:rFonts w:ascii="Arial"/>
        <w:sz w:val="21"/>
      </w:rPr>
    </w:pPr>
    <w:r>
      <w:pict>
        <v:shape id="_x0000_s2052" style="width:0.5pt;height:14.45pt;margin-top:46.56pt;margin-left:500.02pt;mso-position-horizontal-relative:page;mso-position-vertical-relative:page;position:absolute;z-index:251664384" coordorigin="0,0" coordsize="10,288" o:allowincell="f" path="m,288l9,288l9,l,l,288xe" filled="t" fillcolor="#bfbfbf" stroked="f"/>
      </w:pict>
    </w: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630554</wp:posOffset>
          </wp:positionH>
          <wp:positionV relativeFrom="page">
            <wp:posOffset>288290</wp:posOffset>
          </wp:positionV>
          <wp:extent cx="1144270" cy="453390"/>
          <wp:effectExtent l="0" t="0" r="0" b="0"/>
          <wp:wrapNone/>
          <wp:docPr id="1965078716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5078716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44270" cy="4533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457200</wp:posOffset>
          </wp:positionH>
          <wp:positionV relativeFrom="page">
            <wp:posOffset>831850</wp:posOffset>
          </wp:positionV>
          <wp:extent cx="6656069" cy="9367519"/>
          <wp:effectExtent l="0" t="0" r="0" b="0"/>
          <wp:wrapNone/>
          <wp:docPr id="948527813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8527813" name="IM 4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6656069" cy="93675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58" w:line="219" w:lineRule="auto"/>
      <w:ind w:left="8130"/>
      <w:rPr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46.75pt;height:10.95pt;margin-top:3.35pt;margin-left:480.22pt;position:absolute;z-index:25166336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83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2023.12.27</w:t>
                </w:r>
              </w:p>
            </w:txbxContent>
          </v:textbox>
        </v:shape>
      </w:pict>
    </w:r>
    <w:r>
      <w:rPr>
        <w:color w:val="EE1D23"/>
        <w:spacing w:val="-6"/>
        <w:sz w:val="18"/>
        <w:szCs w:val="18"/>
      </w:rPr>
      <w:t>行</w:t>
    </w:r>
    <w:r>
      <w:rPr>
        <w:color w:val="EE1D23"/>
        <w:spacing w:val="41"/>
        <w:sz w:val="18"/>
        <w:szCs w:val="18"/>
      </w:rPr>
      <w:t xml:space="preserve"> </w:t>
    </w:r>
    <w:r>
      <w:rPr>
        <w:color w:val="EE1D23"/>
        <w:spacing w:val="-6"/>
        <w:sz w:val="18"/>
        <w:szCs w:val="18"/>
      </w:rPr>
      <w:t>业</w:t>
    </w:r>
    <w:r>
      <w:rPr>
        <w:color w:val="EE1D23"/>
        <w:spacing w:val="34"/>
        <w:w w:val="101"/>
        <w:sz w:val="18"/>
        <w:szCs w:val="18"/>
      </w:rPr>
      <w:t xml:space="preserve"> </w:t>
    </w:r>
    <w:r>
      <w:rPr>
        <w:color w:val="EE1D23"/>
        <w:spacing w:val="-6"/>
        <w:sz w:val="18"/>
        <w:szCs w:val="18"/>
      </w:rPr>
      <w:t>研</w:t>
    </w:r>
    <w:r>
      <w:rPr>
        <w:color w:val="EE1D23"/>
        <w:spacing w:val="36"/>
        <w:sz w:val="18"/>
        <w:szCs w:val="18"/>
      </w:rPr>
      <w:t xml:space="preserve"> </w:t>
    </w:r>
    <w:r>
      <w:rPr>
        <w:color w:val="EE1D23"/>
        <w:spacing w:val="-6"/>
        <w:sz w:val="18"/>
        <w:szCs w:val="18"/>
      </w:rPr>
      <w:t>究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7" w:lineRule="auto"/>
      <w:rPr>
        <w:rFonts w:ascii="Arial"/>
        <w:sz w:val="21"/>
      </w:rPr>
    </w:pPr>
    <w:r>
      <w:pict>
        <v:shape id="_x0000_s2055" style="width:0.5pt;height:14.45pt;margin-top:46.56pt;margin-left:500.02pt;mso-position-horizontal-relative:page;mso-position-vertical-relative:page;position:absolute;z-index:251668480" coordorigin="0,0" coordsize="10,288" o:allowincell="f" path="m,288l9,288l9,l,l,288xe" filled="t" fillcolor="#bfbfbf" stroked="f"/>
      </w:pict>
    </w: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630554</wp:posOffset>
          </wp:positionH>
          <wp:positionV relativeFrom="page">
            <wp:posOffset>288290</wp:posOffset>
          </wp:positionV>
          <wp:extent cx="1144270" cy="453390"/>
          <wp:effectExtent l="0" t="0" r="0" b="0"/>
          <wp:wrapNone/>
          <wp:docPr id="294321319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4321319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44270" cy="4533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457200</wp:posOffset>
          </wp:positionH>
          <wp:positionV relativeFrom="page">
            <wp:posOffset>831850</wp:posOffset>
          </wp:positionV>
          <wp:extent cx="6656069" cy="9367519"/>
          <wp:effectExtent l="0" t="0" r="0" b="0"/>
          <wp:wrapNone/>
          <wp:docPr id="901220815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1220815" name="IM 4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6656069" cy="93675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58" w:line="219" w:lineRule="auto"/>
      <w:ind w:left="8130"/>
      <w:rPr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46.75pt;height:10.95pt;margin-top:3.35pt;margin-left:480.22pt;position:absolute;z-index:25166745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183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2023.12.27</w:t>
                </w:r>
              </w:p>
            </w:txbxContent>
          </v:textbox>
        </v:shape>
      </w:pict>
    </w:r>
    <w:r>
      <w:rPr>
        <w:color w:val="EE1D23"/>
        <w:spacing w:val="-6"/>
        <w:sz w:val="18"/>
        <w:szCs w:val="18"/>
      </w:rPr>
      <w:t>行</w:t>
    </w:r>
    <w:r>
      <w:rPr>
        <w:color w:val="EE1D23"/>
        <w:spacing w:val="41"/>
        <w:sz w:val="18"/>
        <w:szCs w:val="18"/>
      </w:rPr>
      <w:t xml:space="preserve"> </w:t>
    </w:r>
    <w:r>
      <w:rPr>
        <w:color w:val="EE1D23"/>
        <w:spacing w:val="-6"/>
        <w:sz w:val="18"/>
        <w:szCs w:val="18"/>
      </w:rPr>
      <w:t>业</w:t>
    </w:r>
    <w:r>
      <w:rPr>
        <w:color w:val="EE1D23"/>
        <w:spacing w:val="34"/>
        <w:w w:val="101"/>
        <w:sz w:val="18"/>
        <w:szCs w:val="18"/>
      </w:rPr>
      <w:t xml:space="preserve"> </w:t>
    </w:r>
    <w:r>
      <w:rPr>
        <w:color w:val="EE1D23"/>
        <w:spacing w:val="-6"/>
        <w:sz w:val="18"/>
        <w:szCs w:val="18"/>
      </w:rPr>
      <w:t>研</w:t>
    </w:r>
    <w:r>
      <w:rPr>
        <w:color w:val="EE1D23"/>
        <w:spacing w:val="36"/>
        <w:sz w:val="18"/>
        <w:szCs w:val="18"/>
      </w:rPr>
      <w:t xml:space="preserve"> </w:t>
    </w:r>
    <w:r>
      <w:rPr>
        <w:color w:val="EE1D23"/>
        <w:spacing w:val="-6"/>
        <w:sz w:val="18"/>
        <w:szCs w:val="18"/>
      </w:rPr>
      <w:t>究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00" w:lineRule="auto"/>
      <w:rPr>
        <w:rFonts w:ascii="Arial"/>
        <w:sz w:val="21"/>
      </w:rPr>
    </w:pPr>
    <w:r>
      <w:pict>
        <v:shape id="_x0000_s2058" style="width:527.45pt;height:0.5pt;margin-top:60.6pt;margin-left:33.96pt;mso-position-horizontal-relative:page;mso-position-vertical-relative:page;position:absolute;z-index:251671552" coordorigin="0,0" coordsize="10549,10" o:allowincell="f" path="m,9l10548,9l10548,l,l,9xe" filled="t" fillcolor="#ee1d23" stroked="f"/>
      </w:pict>
    </w: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630554</wp:posOffset>
          </wp:positionH>
          <wp:positionV relativeFrom="page">
            <wp:posOffset>288290</wp:posOffset>
          </wp:positionV>
          <wp:extent cx="1144270" cy="453390"/>
          <wp:effectExtent l="0" t="0" r="0" b="0"/>
          <wp:wrapNone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44270" cy="4533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2" w:line="227" w:lineRule="auto"/>
      <w:ind w:right="31"/>
      <w:jc w:val="right"/>
      <w:rPr>
        <w:sz w:val="19"/>
        <w:szCs w:val="19"/>
      </w:rPr>
    </w:pPr>
    <w:r>
      <w:rPr>
        <w:color w:val="FF0000"/>
        <w:spacing w:val="8"/>
        <w:sz w:val="19"/>
        <w:szCs w:val="19"/>
      </w:rPr>
      <w:t>汽车</w:t>
    </w:r>
    <w:r>
      <w:rPr>
        <w:color w:val="FF0000"/>
        <w:spacing w:val="8"/>
        <w:sz w:val="19"/>
        <w:szCs w:val="19"/>
      </w:rPr>
      <w:t xml:space="preserve"> </w:t>
    </w:r>
    <w:r>
      <w:rPr>
        <w:color w:val="FF0000"/>
        <w:spacing w:val="8"/>
        <w:sz w:val="19"/>
        <w:szCs w:val="19"/>
      </w:rPr>
      <w:t>行业专题报告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00" w:lineRule="auto"/>
      <w:rPr>
        <w:rFonts w:ascii="Arial"/>
        <w:sz w:val="21"/>
      </w:rPr>
    </w:pPr>
    <w:r>
      <w:pict>
        <v:shape id="_x0000_s2061" style="width:527.45pt;height:0.5pt;margin-top:60.6pt;margin-left:33.96pt;mso-position-horizontal-relative:page;mso-position-vertical-relative:page;position:absolute;z-index:251673600" coordorigin="0,0" coordsize="10549,10" o:allowincell="f" path="m,9l10548,9l10548,l,l,9xe" filled="t" fillcolor="#ee1d23" stroked="f"/>
      </w:pict>
    </w: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630554</wp:posOffset>
          </wp:positionH>
          <wp:positionV relativeFrom="page">
            <wp:posOffset>288290</wp:posOffset>
          </wp:positionV>
          <wp:extent cx="1144270" cy="453390"/>
          <wp:effectExtent l="0" t="0" r="0" b="0"/>
          <wp:wrapNone/>
          <wp:docPr id="493091106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3091106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44270" cy="4533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2" w:line="227" w:lineRule="auto"/>
      <w:ind w:right="31"/>
      <w:jc w:val="right"/>
      <w:rPr>
        <w:sz w:val="19"/>
        <w:szCs w:val="19"/>
      </w:rPr>
    </w:pPr>
    <w:r>
      <w:rPr>
        <w:color w:val="FF0000"/>
        <w:spacing w:val="8"/>
        <w:sz w:val="19"/>
        <w:szCs w:val="19"/>
      </w:rPr>
      <w:t>汽车</w:t>
    </w:r>
    <w:r>
      <w:rPr>
        <w:color w:val="FF0000"/>
        <w:spacing w:val="8"/>
        <w:sz w:val="19"/>
        <w:szCs w:val="19"/>
      </w:rPr>
      <w:t xml:space="preserve"> </w:t>
    </w:r>
    <w:r>
      <w:rPr>
        <w:color w:val="FF0000"/>
        <w:spacing w:val="8"/>
        <w:sz w:val="19"/>
        <w:szCs w:val="19"/>
      </w:rPr>
      <w:t>行业专题报告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00" w:lineRule="auto"/>
      <w:rPr>
        <w:rFonts w:ascii="Arial"/>
        <w:sz w:val="21"/>
      </w:rPr>
    </w:pPr>
    <w:r>
      <w:pict>
        <v:shape id="_x0000_s2063" style="width:527.45pt;height:0.5pt;margin-top:60.6pt;margin-left:33.96pt;mso-position-horizontal-relative:page;mso-position-vertical-relative:page;position:absolute;z-index:251675648" coordorigin="0,0" coordsize="10549,10" o:allowincell="f" path="m,9l10548,9l10548,l,l,9xe" filled="t" fillcolor="#ee1d23" stroked="f"/>
      </w:pict>
    </w: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630554</wp:posOffset>
          </wp:positionH>
          <wp:positionV relativeFrom="page">
            <wp:posOffset>288290</wp:posOffset>
          </wp:positionV>
          <wp:extent cx="1144270" cy="453390"/>
          <wp:effectExtent l="0" t="0" r="0" b="0"/>
          <wp:wrapNone/>
          <wp:docPr id="2062565930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2565930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44270" cy="4533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2" w:line="227" w:lineRule="auto"/>
      <w:ind w:right="31"/>
      <w:jc w:val="right"/>
      <w:rPr>
        <w:sz w:val="19"/>
        <w:szCs w:val="19"/>
      </w:rPr>
    </w:pPr>
    <w:r>
      <w:rPr>
        <w:color w:val="FF0000"/>
        <w:spacing w:val="8"/>
        <w:sz w:val="19"/>
        <w:szCs w:val="19"/>
      </w:rPr>
      <w:t>汽车</w:t>
    </w:r>
    <w:r>
      <w:rPr>
        <w:color w:val="FF0000"/>
        <w:spacing w:val="8"/>
        <w:sz w:val="19"/>
        <w:szCs w:val="19"/>
      </w:rPr>
      <w:t xml:space="preserve"> </w:t>
    </w:r>
    <w:r>
      <w:rPr>
        <w:color w:val="FF0000"/>
        <w:spacing w:val="8"/>
        <w:sz w:val="19"/>
        <w:szCs w:val="19"/>
      </w:rPr>
      <w:t>行业专题报告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00" w:lineRule="auto"/>
      <w:rPr>
        <w:rFonts w:ascii="Arial"/>
        <w:sz w:val="21"/>
      </w:rPr>
    </w:pPr>
    <w:r>
      <w:pict>
        <v:shape id="_x0000_s2065" style="width:527.45pt;height:0.5pt;margin-top:60.6pt;margin-left:33.96pt;mso-position-horizontal-relative:page;mso-position-vertical-relative:page;position:absolute;z-index:251677696" coordorigin="0,0" coordsize="10549,10" o:allowincell="f" path="m,9l10548,9l10548,l,l,9xe" filled="t" fillcolor="#ee1d23" stroked="f"/>
      </w:pict>
    </w:r>
    <w: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630554</wp:posOffset>
          </wp:positionH>
          <wp:positionV relativeFrom="page">
            <wp:posOffset>288290</wp:posOffset>
          </wp:positionV>
          <wp:extent cx="1144270" cy="453390"/>
          <wp:effectExtent l="0" t="0" r="0" b="0"/>
          <wp:wrapNone/>
          <wp:docPr id="1909392791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9392791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44270" cy="4533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2" w:line="227" w:lineRule="auto"/>
      <w:ind w:right="31"/>
      <w:jc w:val="right"/>
      <w:rPr>
        <w:sz w:val="19"/>
        <w:szCs w:val="19"/>
      </w:rPr>
    </w:pPr>
    <w:r>
      <w:rPr>
        <w:color w:val="FF0000"/>
        <w:spacing w:val="8"/>
        <w:sz w:val="19"/>
        <w:szCs w:val="19"/>
      </w:rPr>
      <w:t>汽车</w:t>
    </w:r>
    <w:r>
      <w:rPr>
        <w:color w:val="FF0000"/>
        <w:spacing w:val="8"/>
        <w:sz w:val="19"/>
        <w:szCs w:val="19"/>
      </w:rPr>
      <w:t xml:space="preserve"> </w:t>
    </w:r>
    <w:r>
      <w:rPr>
        <w:color w:val="FF0000"/>
        <w:spacing w:val="8"/>
        <w:sz w:val="19"/>
        <w:szCs w:val="19"/>
      </w:rPr>
      <w:t>行业专题报告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00" w:lineRule="auto"/>
      <w:rPr>
        <w:rFonts w:ascii="Arial"/>
        <w:sz w:val="21"/>
      </w:rPr>
    </w:pPr>
    <w:r>
      <w:pict>
        <v:shape id="_x0000_s2067" style="width:527.45pt;height:0.5pt;margin-top:60.6pt;margin-left:33.96pt;mso-position-horizontal-relative:page;mso-position-vertical-relative:page;position:absolute;z-index:251679744" coordorigin="0,0" coordsize="10549,10" o:allowincell="f" path="m,9l10548,9l10548,l,l,9xe" filled="t" fillcolor="#ee1d23" stroked="f"/>
      </w:pict>
    </w:r>
    <w:r>
      <w:drawing>
        <wp:anchor distT="0" distB="0" distL="0" distR="0" simplePos="0" relativeHeight="251678720" behindDoc="0" locked="0" layoutInCell="0" allowOverlap="1">
          <wp:simplePos x="0" y="0"/>
          <wp:positionH relativeFrom="page">
            <wp:posOffset>630554</wp:posOffset>
          </wp:positionH>
          <wp:positionV relativeFrom="page">
            <wp:posOffset>288290</wp:posOffset>
          </wp:positionV>
          <wp:extent cx="1144270" cy="453390"/>
          <wp:effectExtent l="0" t="0" r="0" b="0"/>
          <wp:wrapNone/>
          <wp:docPr id="2121187059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1187059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44270" cy="4533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2" w:line="227" w:lineRule="auto"/>
      <w:ind w:right="31"/>
      <w:jc w:val="right"/>
      <w:rPr>
        <w:sz w:val="19"/>
        <w:szCs w:val="19"/>
      </w:rPr>
    </w:pPr>
    <w:r>
      <w:rPr>
        <w:color w:val="FF0000"/>
        <w:spacing w:val="8"/>
        <w:sz w:val="19"/>
        <w:szCs w:val="19"/>
      </w:rPr>
      <w:t>汽车</w:t>
    </w:r>
    <w:r>
      <w:rPr>
        <w:color w:val="FF0000"/>
        <w:spacing w:val="8"/>
        <w:sz w:val="19"/>
        <w:szCs w:val="19"/>
      </w:rPr>
      <w:t xml:space="preserve"> </w:t>
    </w:r>
    <w:r>
      <w:rPr>
        <w:color w:val="FF0000"/>
        <w:spacing w:val="8"/>
        <w:sz w:val="19"/>
        <w:szCs w:val="19"/>
      </w:rPr>
      <w:t>行业专题报告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00" w:lineRule="auto"/>
      <w:rPr>
        <w:rFonts w:ascii="Arial"/>
        <w:sz w:val="21"/>
      </w:rPr>
    </w:pPr>
    <w:r>
      <w:pict>
        <v:shape id="_x0000_s2069" style="width:527.45pt;height:0.5pt;margin-top:60.6pt;margin-left:33.96pt;mso-position-horizontal-relative:page;mso-position-vertical-relative:page;position:absolute;z-index:251681792" coordorigin="0,0" coordsize="10549,10" o:allowincell="f" path="m,9l10548,9l10548,l,l,9xe" filled="t" fillcolor="#ee1d23" stroked="f"/>
      </w:pict>
    </w:r>
    <w:r>
      <w:drawing>
        <wp:anchor distT="0" distB="0" distL="0" distR="0" simplePos="0" relativeHeight="251680768" behindDoc="0" locked="0" layoutInCell="0" allowOverlap="1">
          <wp:simplePos x="0" y="0"/>
          <wp:positionH relativeFrom="page">
            <wp:posOffset>630554</wp:posOffset>
          </wp:positionH>
          <wp:positionV relativeFrom="page">
            <wp:posOffset>288290</wp:posOffset>
          </wp:positionV>
          <wp:extent cx="1144270" cy="453390"/>
          <wp:effectExtent l="0" t="0" r="0" b="0"/>
          <wp:wrapNone/>
          <wp:docPr id="1349535970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9535970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44270" cy="4533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2" w:line="227" w:lineRule="auto"/>
      <w:ind w:right="31"/>
      <w:jc w:val="right"/>
      <w:rPr>
        <w:sz w:val="19"/>
        <w:szCs w:val="19"/>
      </w:rPr>
    </w:pPr>
    <w:r>
      <w:rPr>
        <w:color w:val="FF0000"/>
        <w:spacing w:val="8"/>
        <w:sz w:val="19"/>
        <w:szCs w:val="19"/>
      </w:rPr>
      <w:t>汽车</w:t>
    </w:r>
    <w:r>
      <w:rPr>
        <w:color w:val="FF0000"/>
        <w:spacing w:val="8"/>
        <w:sz w:val="19"/>
        <w:szCs w:val="19"/>
      </w:rPr>
      <w:t xml:space="preserve"> </w:t>
    </w:r>
    <w:r>
      <w:rPr>
        <w:color w:val="FF0000"/>
        <w:spacing w:val="8"/>
        <w:sz w:val="19"/>
        <w:szCs w:val="19"/>
      </w:rPr>
      <w:t>行业专题报告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00" w:lineRule="auto"/>
      <w:rPr>
        <w:rFonts w:ascii="Arial"/>
        <w:sz w:val="21"/>
      </w:rPr>
    </w:pPr>
    <w:r>
      <w:pict>
        <v:shape id="_x0000_s2071" style="width:527.45pt;height:0.5pt;margin-top:60.6pt;margin-left:33.96pt;mso-position-horizontal-relative:page;mso-position-vertical-relative:page;position:absolute;z-index:251683840" coordorigin="0,0" coordsize="10549,10" o:allowincell="f" path="m,9l10548,9l10548,l,l,9xe" filled="t" fillcolor="#ee1d23" stroked="f"/>
      </w:pict>
    </w:r>
    <w:r>
      <w:drawing>
        <wp:anchor distT="0" distB="0" distL="0" distR="0" simplePos="0" relativeHeight="251682816" behindDoc="0" locked="0" layoutInCell="0" allowOverlap="1">
          <wp:simplePos x="0" y="0"/>
          <wp:positionH relativeFrom="page">
            <wp:posOffset>630554</wp:posOffset>
          </wp:positionH>
          <wp:positionV relativeFrom="page">
            <wp:posOffset>288290</wp:posOffset>
          </wp:positionV>
          <wp:extent cx="1144270" cy="453390"/>
          <wp:effectExtent l="0" t="0" r="0" b="0"/>
          <wp:wrapNone/>
          <wp:docPr id="1933675147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3675147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44270" cy="4533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2" w:line="227" w:lineRule="auto"/>
      <w:ind w:right="31"/>
      <w:jc w:val="right"/>
      <w:rPr>
        <w:sz w:val="19"/>
        <w:szCs w:val="19"/>
      </w:rPr>
    </w:pPr>
    <w:r>
      <w:rPr>
        <w:color w:val="FF0000"/>
        <w:spacing w:val="8"/>
        <w:sz w:val="19"/>
        <w:szCs w:val="19"/>
      </w:rPr>
      <w:t>汽车</w:t>
    </w:r>
    <w:r>
      <w:rPr>
        <w:color w:val="FF0000"/>
        <w:spacing w:val="8"/>
        <w:sz w:val="19"/>
        <w:szCs w:val="19"/>
      </w:rPr>
      <w:t xml:space="preserve"> </w:t>
    </w:r>
    <w:r>
      <w:rPr>
        <w:color w:val="FF0000"/>
        <w:spacing w:val="8"/>
        <w:sz w:val="19"/>
        <w:szCs w:val="19"/>
      </w:rPr>
      <w:t>行业专题报告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00" w:lineRule="auto"/>
      <w:rPr>
        <w:rFonts w:ascii="Arial"/>
        <w:sz w:val="21"/>
      </w:rPr>
    </w:pPr>
    <w:r>
      <w:pict>
        <v:shape id="_x0000_s2073" style="width:527.45pt;height:0.5pt;margin-top:60.6pt;margin-left:33.96pt;mso-position-horizontal-relative:page;mso-position-vertical-relative:page;position:absolute;z-index:251685888" coordorigin="0,0" coordsize="10549,10" o:allowincell="f" path="m,9l10548,9l10548,l,l,9xe" filled="t" fillcolor="#ee1d23" stroked="f"/>
      </w:pict>
    </w:r>
    <w:r>
      <w:drawing>
        <wp:anchor distT="0" distB="0" distL="0" distR="0" simplePos="0" relativeHeight="251684864" behindDoc="0" locked="0" layoutInCell="0" allowOverlap="1">
          <wp:simplePos x="0" y="0"/>
          <wp:positionH relativeFrom="page">
            <wp:posOffset>630554</wp:posOffset>
          </wp:positionH>
          <wp:positionV relativeFrom="page">
            <wp:posOffset>288290</wp:posOffset>
          </wp:positionV>
          <wp:extent cx="1144270" cy="453390"/>
          <wp:effectExtent l="0" t="0" r="0" b="0"/>
          <wp:wrapNone/>
          <wp:docPr id="177365615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365615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44270" cy="4533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before="62" w:line="227" w:lineRule="auto"/>
      <w:ind w:right="31"/>
      <w:jc w:val="right"/>
      <w:rPr>
        <w:sz w:val="19"/>
        <w:szCs w:val="19"/>
      </w:rPr>
    </w:pPr>
    <w:r>
      <w:rPr>
        <w:color w:val="FF0000"/>
        <w:spacing w:val="8"/>
        <w:sz w:val="19"/>
        <w:szCs w:val="19"/>
      </w:rPr>
      <w:t>汽车</w:t>
    </w:r>
    <w:r>
      <w:rPr>
        <w:color w:val="FF0000"/>
        <w:spacing w:val="8"/>
        <w:sz w:val="19"/>
        <w:szCs w:val="19"/>
      </w:rPr>
      <w:t xml:space="preserve"> </w:t>
    </w:r>
    <w:r>
      <w:rPr>
        <w:color w:val="FF0000"/>
        <w:spacing w:val="8"/>
        <w:sz w:val="19"/>
        <w:szCs w:val="19"/>
      </w:rPr>
      <w:t>行业专题报告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Hei" w:eastAsia="SimHei" w:hAnsi="SimHei" w:cs="SimHei"/>
      <w:sz w:val="16"/>
      <w:szCs w:val="16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header" Target="header2.xml" /><Relationship Id="rId12" Type="http://schemas.openxmlformats.org/officeDocument/2006/relationships/footer" Target="footer2.xml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header" Target="header4.xml" /><Relationship Id="rId16" Type="http://schemas.openxmlformats.org/officeDocument/2006/relationships/footer" Target="footer4.xml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header" Target="header7.xml" /><Relationship Id="rId22" Type="http://schemas.openxmlformats.org/officeDocument/2006/relationships/footer" Target="footer7.xml" /><Relationship Id="rId23" Type="http://schemas.openxmlformats.org/officeDocument/2006/relationships/image" Target="media/image8.jpeg" /><Relationship Id="rId24" Type="http://schemas.openxmlformats.org/officeDocument/2006/relationships/header" Target="header8.xml" /><Relationship Id="rId25" Type="http://schemas.openxmlformats.org/officeDocument/2006/relationships/footer" Target="footer8.xml" /><Relationship Id="rId26" Type="http://schemas.openxmlformats.org/officeDocument/2006/relationships/image" Target="media/image9.jpeg" /><Relationship Id="rId27" Type="http://schemas.openxmlformats.org/officeDocument/2006/relationships/header" Target="header9.xml" /><Relationship Id="rId28" Type="http://schemas.openxmlformats.org/officeDocument/2006/relationships/footer" Target="footer9.xml" /><Relationship Id="rId29" Type="http://schemas.openxmlformats.org/officeDocument/2006/relationships/header" Target="header10.xml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hyperlink" Target="https://d.book118.com/347136011020006034" TargetMode="External" /><Relationship Id="rId32" Type="http://schemas.openxmlformats.org/officeDocument/2006/relationships/header" Target="header11.xml" /><Relationship Id="rId33" Type="http://schemas.openxmlformats.org/officeDocument/2006/relationships/footer" Target="footer11.xml" /><Relationship Id="rId34" Type="http://schemas.openxmlformats.org/officeDocument/2006/relationships/theme" Target="theme/theme1.xml" /><Relationship Id="rId35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media/image2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media/image2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media/image2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2024-01-25T09:23:32Z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2024-01-25T09:27:58Z</vt:filetime>
  </property>
  <property fmtid="{D5CDD505-2E9C-101B-9397-08002B2CF9AE}" pid="3" name="CRO">
    <vt:lpwstr>wqlLaW5nc29mdCBQREYgdG8gV1BTIDkw</vt:lpwstr>
  </property>
</Properties>
</file>