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免疫分析仪器项目建设总纲及方案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47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_Toc8474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35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_Toc29935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1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_Toc4717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_Toc11629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_Toc1713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8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_Toc11786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25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_Toc18625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0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_Toc1990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7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_Toc6375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8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_Toc18408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80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_Toc27880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47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_Toc7247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05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_Toc21905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0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_Toc11100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9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_Toc23929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28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_Toc17428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92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_Toc4892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79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_Toc28779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03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_Toc16503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1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_Toc731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15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_Toc9415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14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_Toc16814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17" w:history="1">
        <w:r>
          <w:rPr>
            <w:rFonts w:ascii="仿宋" w:eastAsia="仿宋" w:hAnsi="仿宋" w:cs="仿宋" w:hint="eastAsia"/>
            <w:lang w:eastAsia="zh-CN"/>
          </w:rPr>
          <w:t>五、经济影响分析</w:t>
        </w:r>
        <w:r>
          <w:tab/>
        </w:r>
        <w:r>
          <w:fldChar w:fldCharType="begin"/>
        </w:r>
        <w:r>
          <w:instrText xml:space="preserve"> PAGEREF _Toc26917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41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_Toc9641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5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_Toc3855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32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_Toc3832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08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_Toc20508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88" w:history="1">
        <w:r>
          <w:rPr>
            <w:rFonts w:ascii="仿宋" w:eastAsia="仿宋" w:hAnsi="仿宋" w:cs="仿宋" w:hint="eastAsia"/>
            <w:lang w:eastAsia="zh-CN"/>
          </w:rPr>
          <w:t>六、发展规划、产业政策和行业准入分析</w:t>
        </w:r>
        <w:r>
          <w:tab/>
        </w:r>
        <w:r>
          <w:fldChar w:fldCharType="begin"/>
        </w:r>
        <w:r>
          <w:instrText xml:space="preserve"> PAGEREF _Toc10888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_Toc24683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05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_Toc21305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0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_Toc20890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896" w:history="1">
        <w:r>
          <w:rPr>
            <w:rFonts w:ascii="仿宋" w:eastAsia="仿宋" w:hAnsi="仿宋" w:cs="仿宋" w:hint="eastAsia"/>
            <w:lang w:eastAsia="zh-CN"/>
          </w:rPr>
          <w:t>七、资金管理与财务规划</w:t>
        </w:r>
        <w:r>
          <w:tab/>
        </w:r>
        <w:r>
          <w:fldChar w:fldCharType="begin"/>
        </w:r>
        <w:r>
          <w:instrText xml:space="preserve"> PAGEREF _Toc21896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_Toc570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90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_Toc29090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7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_Toc9757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92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_Toc5892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26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_Toc5626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_Toc28170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37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_Toc18737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_Toc10022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8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_Toc12986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169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_Toc1169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0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_Toc17030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05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_Toc31405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2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_Toc5842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31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_Toc25731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_Toc1349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34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_Toc29934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657" w:history="1">
        <w:r>
          <w:rPr>
            <w:rFonts w:ascii="仿宋" w:eastAsia="仿宋" w:hAnsi="仿宋" w:cs="仿宋" w:hint="eastAsia"/>
            <w:lang w:eastAsia="zh-CN"/>
          </w:rPr>
          <w:t>十、环境保护与绿色发展</w:t>
        </w:r>
        <w:r>
          <w:tab/>
        </w:r>
        <w:r>
          <w:fldChar w:fldCharType="begin"/>
        </w:r>
        <w:r>
          <w:instrText xml:space="preserve"> PAGEREF _Toc8657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5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_Toc4735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_Toc22948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13" w:history="1">
        <w:r>
          <w:rPr>
            <w:rFonts w:ascii="仿宋" w:eastAsia="仿宋" w:hAnsi="仿宋" w:cs="仿宋" w:hint="eastAsia"/>
            <w:lang w:eastAsia="zh-CN"/>
          </w:rPr>
          <w:t>十一、项目实施与管理方案</w:t>
        </w:r>
        <w:r>
          <w:tab/>
        </w:r>
        <w:r>
          <w:fldChar w:fldCharType="begin"/>
        </w:r>
        <w:r>
          <w:instrText xml:space="preserve"> PAGEREF _Toc31513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5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_Toc10935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84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_Toc13784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9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_Toc1209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46" w:history="1">
        <w:r>
          <w:rPr>
            <w:rFonts w:ascii="仿宋" w:eastAsia="仿宋" w:hAnsi="仿宋" w:cs="仿宋" w:hint="eastAsia"/>
            <w:lang w:eastAsia="zh-CN"/>
          </w:rPr>
          <w:t>十二、经济效益与社会效益优化</w:t>
        </w:r>
        <w:r>
          <w:tab/>
        </w:r>
        <w:r>
          <w:fldChar w:fldCharType="begin"/>
        </w:r>
        <w:r>
          <w:instrText xml:space="preserve"> PAGEREF _Toc19646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_Toc1637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19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_Toc21819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43" w:history="1">
        <w:r>
          <w:rPr>
            <w:rFonts w:ascii="仿宋" w:eastAsia="仿宋" w:hAnsi="仿宋" w:cs="仿宋" w:hint="eastAsia"/>
            <w:lang w:eastAsia="zh-CN"/>
          </w:rPr>
          <w:t>十三、知识产权管理与保护</w:t>
        </w:r>
        <w:r>
          <w:tab/>
        </w:r>
        <w:r>
          <w:fldChar w:fldCharType="begin"/>
        </w:r>
        <w:r>
          <w:instrText xml:space="preserve"> PAGEREF _Toc8843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_Toc17808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73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_Toc21073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66" w:history="1">
        <w:r>
          <w:rPr>
            <w:rFonts w:ascii="仿宋" w:eastAsia="仿宋" w:hAnsi="仿宋" w:cs="仿宋" w:hint="eastAsia"/>
            <w:lang w:eastAsia="zh-CN"/>
          </w:rPr>
          <w:t>十四、合作与交流机制建立</w:t>
        </w:r>
        <w:r>
          <w:tab/>
        </w:r>
        <w:r>
          <w:fldChar w:fldCharType="begin"/>
        </w:r>
        <w:r>
          <w:instrText xml:space="preserve"> PAGEREF _Toc18066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23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_Toc26223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52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_Toc27752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98" w:history="1">
        <w:r>
          <w:rPr>
            <w:rFonts w:ascii="仿宋" w:eastAsia="仿宋" w:hAnsi="仿宋" w:cs="仿宋" w:hint="eastAsia"/>
            <w:lang w:eastAsia="zh-CN"/>
          </w:rPr>
          <w:t>十五、设施与设备管理</w:t>
        </w:r>
        <w:r>
          <w:tab/>
        </w:r>
        <w:r>
          <w:fldChar w:fldCharType="begin"/>
        </w:r>
        <w:r>
          <w:instrText xml:space="preserve"> PAGEREF _Toc22398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7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_Toc22057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14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_Toc13714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81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_Toc29581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72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_Toc6572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95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_Toc26895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_Toc20434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34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_Toc3634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16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_Toc26316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72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_Toc7872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2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_Toc31442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_Toc16192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414" w:history="1">
        <w:r>
          <w:rPr>
            <w:rFonts w:ascii="仿宋" w:eastAsia="仿宋" w:hAnsi="仿宋" w:cs="仿宋" w:hint="eastAsia"/>
            <w:lang w:eastAsia="zh-CN"/>
          </w:rPr>
          <w:t>十八、法律法规与政策遵循</w:t>
        </w:r>
        <w:r>
          <w:tab/>
        </w:r>
        <w:r>
          <w:fldChar w:fldCharType="begin"/>
        </w:r>
        <w:r>
          <w:instrText xml:space="preserve"> PAGEREF _Toc31414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24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_Toc13824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21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_Toc25421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6" w:history="1">
        <w:r>
          <w:rPr>
            <w:rFonts w:ascii="仿宋" w:eastAsia="仿宋" w:hAnsi="仿宋" w:cs="仿宋" w:hint="eastAsia"/>
            <w:lang w:eastAsia="zh-CN"/>
          </w:rPr>
          <w:t>十九、成果转化与推广应用</w:t>
        </w:r>
        <w:r>
          <w:tab/>
        </w:r>
        <w:r>
          <w:fldChar w:fldCharType="begin"/>
        </w:r>
        <w:r>
          <w:instrText xml:space="preserve"> PAGEREF _Toc1366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_Toc2846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0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_Toc14602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10" w:history="1">
        <w:r>
          <w:rPr>
            <w:rFonts w:ascii="仿宋" w:eastAsia="仿宋" w:hAnsi="仿宋" w:cs="仿宋" w:hint="eastAsia"/>
            <w:lang w:eastAsia="zh-CN"/>
          </w:rPr>
          <w:t>二十、产业协同与集群发展</w:t>
        </w:r>
        <w:r>
          <w:tab/>
        </w:r>
        <w:r>
          <w:fldChar w:fldCharType="begin"/>
        </w:r>
        <w:r>
          <w:instrText xml:space="preserve"> PAGEREF _Toc10410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_Toc2062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0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_Toc20420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47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935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71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免疫分析仪器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免疫分析仪器项目还将参与当地的环保活动和计划，如资助当地的环境保护项目或与社区合作进行环保宣传活动。通过这些活动，项目不仅能够提高自身的环境表现，还能在当地社区中树立积极的环保形象。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62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免疫分析仪器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免疫分析仪器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免疫分析仪器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713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178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在免疫分析仪器项目启动前，将进行一系列深入的地质调查，包括钻探和土壤取样，以深入了解项目区域的地层结构和土壤组成。特别是对于土壤的承载能力和地下水位的深度进行详细评估。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完成初始的地质风险评估后，免疫分析仪器项目将安装长期地质监测设备，如倾斜仪、裂缝计和地下水位计，以持续监测地质条件的变化。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8625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免疫分析仪器项目将通过这些措施来适应和尊重特殊环境条件，确保项目的可持续发展，同时减少对环境的负面影响。这不仅有助于保护自然和文化遗产，还能提升项目在社会责任方面的表现和形象。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990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6375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https://d.book118.com/347144140044006036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免疫分析仪器项目建设总纲及方案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7B2071"/>
    <w:rsid w:val="357B207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47144140044006036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2024-01-24T22:21:00Z</dcterms:created>
  <dcterms:modified xsi:type="dcterms:W3CDTF">2024-01-24T22:22:29Z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D06027C3327C4FE9BE0532C250B7D5C1_11</vt:lpwstr>
  </property>
  <property fmtid="{D5CDD505-2E9C-101B-9397-08002B2CF9AE}" pid="3" name="KSOProductBuildVer">
    <vt:lpwstr>2052-12.1.0.16250</vt:lpwstr>
  </property>
</Properties>
</file>