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Title"/>
      </w:pPr>
      <w:r>
        <w:t>混凝土搅拌站行业分析</w:t>
      </w:r>
    </w:p>
    <w:p>
      <w:pPr>
        <w:pStyle w:val="Heading1"/>
        <w:spacing w:before="408"/>
      </w:pPr>
      <w:r>
        <w:t>一、混凝土搅拌站国内前景</w:t>
      </w:r>
    </w:p>
    <w:p>
      <w:pPr>
        <w:pStyle w:val="BodyText"/>
        <w:spacing w:before="3"/>
        <w:rPr>
          <w:b/>
          <w:sz w:val="30"/>
        </w:rPr>
      </w:pPr>
    </w:p>
    <w:p>
      <w:pPr>
        <w:pStyle w:val="BodyText"/>
        <w:spacing w:line="280" w:lineRule="auto"/>
        <w:ind w:left="2700" w:right="2312" w:firstLine="838"/>
      </w:pPr>
      <w:r>
        <w:rPr>
          <w:rFonts w:ascii="Arial" w:eastAsia="Arial"/>
        </w:rPr>
        <w:t>1</w:t>
      </w:r>
      <w:r>
        <w:t>、城市输排水工程随着城镇化进程的推进，城市规模不断扩大， 居住人口大幅度增加。</w:t>
      </w:r>
    </w:p>
    <w:p>
      <w:pPr>
        <w:pStyle w:val="BodyText"/>
        <w:spacing w:before="271"/>
        <w:ind w:left="3539"/>
      </w:pPr>
      <w:r>
        <w:t xml:space="preserve">据中国建材网资料介绍，未来 </w:t>
      </w:r>
      <w:r>
        <w:rPr>
          <w:rFonts w:ascii="Arial" w:eastAsia="Arial"/>
        </w:rPr>
        <w:t xml:space="preserve">20 </w:t>
      </w:r>
      <w:r>
        <w:t>年，我国城镇化水平年均将提</w:t>
      </w:r>
    </w:p>
    <w:p>
      <w:pPr>
        <w:pStyle w:val="BodyText"/>
        <w:tabs>
          <w:tab w:val="left" w:pos="6265"/>
          <w:tab w:val="left" w:pos="9148"/>
          <w:tab w:val="left" w:pos="11475"/>
        </w:tabs>
        <w:spacing w:before="92" w:line="280" w:lineRule="auto"/>
        <w:ind w:left="2700" w:right="2520"/>
      </w:pPr>
      <w:r>
        <w:t>高</w:t>
      </w:r>
      <w:r>
        <w:rPr>
          <w:spacing w:val="-100"/>
        </w:rPr>
        <w:t xml:space="preserve"> </w:t>
      </w:r>
      <w:r>
        <w:rPr>
          <w:rFonts w:ascii="Arial" w:eastAsia="Arial"/>
        </w:rPr>
        <w:t>1</w:t>
      </w:r>
      <w:r>
        <w:rPr>
          <w:rFonts w:ascii="Arial" w:eastAsia="Arial"/>
          <w:spacing w:val="-35"/>
        </w:rPr>
        <w:t xml:space="preserve"> </w:t>
      </w:r>
      <w:r>
        <w:t>个百分点左右，至</w:t>
      </w:r>
      <w:r>
        <w:rPr>
          <w:spacing w:val="-104"/>
        </w:rPr>
        <w:t xml:space="preserve"> </w:t>
      </w:r>
      <w:r>
        <w:rPr>
          <w:rFonts w:ascii="Arial" w:eastAsia="Arial"/>
        </w:rPr>
        <w:t>2020</w:t>
      </w:r>
      <w:r>
        <w:rPr>
          <w:rFonts w:ascii="Arial" w:eastAsia="Arial"/>
          <w:spacing w:val="-36"/>
        </w:rPr>
        <w:t xml:space="preserve"> </w:t>
      </w:r>
      <w:r>
        <w:t>年将达到</w:t>
      </w:r>
      <w:r>
        <w:rPr>
          <w:spacing w:val="-102"/>
        </w:rPr>
        <w:t xml:space="preserve"> </w:t>
      </w:r>
      <w:r>
        <w:rPr>
          <w:rFonts w:ascii="Arial" w:eastAsia="Arial"/>
        </w:rPr>
        <w:t>58%~60%.</w:t>
      </w:r>
      <w:r>
        <w:t>而水是与人类息息相关赖以生存的必需品，我国现有大中小城市</w:t>
        <w:tab/>
      </w:r>
      <w:r>
        <w:rPr>
          <w:rFonts w:ascii="Arial" w:eastAsia="Arial"/>
        </w:rPr>
        <w:t>660</w:t>
      </w:r>
      <w:r>
        <w:rPr>
          <w:rFonts w:ascii="Arial" w:eastAsia="Arial"/>
          <w:spacing w:val="22"/>
        </w:rPr>
        <w:t xml:space="preserve"> </w:t>
      </w:r>
      <w:r>
        <w:t>多座，其中</w:t>
      </w:r>
      <w:r>
        <w:rPr>
          <w:spacing w:val="-10"/>
        </w:rPr>
        <w:t xml:space="preserve"> </w:t>
      </w:r>
      <w:r>
        <w:rPr>
          <w:rFonts w:ascii="Arial" w:eastAsia="Arial"/>
        </w:rPr>
        <w:t xml:space="preserve">2/3 </w:t>
      </w:r>
      <w:r>
        <w:t>城市存在不同程度的缺水，年缺水量约</w:t>
      </w:r>
      <w:r>
        <w:rPr>
          <w:spacing w:val="-74"/>
        </w:rPr>
        <w:t xml:space="preserve"> </w:t>
      </w:r>
      <w:r>
        <w:rPr>
          <w:rFonts w:ascii="Arial" w:eastAsia="Arial"/>
        </w:rPr>
        <w:t>60</w:t>
      </w:r>
      <w:r>
        <w:rPr>
          <w:rFonts w:ascii="Arial" w:eastAsia="Arial"/>
          <w:spacing w:val="-5"/>
        </w:rPr>
        <w:t xml:space="preserve"> </w:t>
      </w:r>
      <w:r>
        <w:t>亿立方米，城市供水必须通过大口径、长距离的混凝土输水管线来实现，如国内南水北调工 程</w:t>
      </w:r>
      <w:r>
        <w:rPr>
          <w:spacing w:val="-70"/>
        </w:rPr>
        <w:t xml:space="preserve"> </w:t>
      </w:r>
      <w:r>
        <w:t>北</w:t>
      </w:r>
      <w:r>
        <w:rPr>
          <w:spacing w:val="-73"/>
        </w:rPr>
        <w:t xml:space="preserve"> </w:t>
      </w:r>
      <w:r>
        <w:t>京</w:t>
      </w:r>
      <w:r>
        <w:rPr>
          <w:spacing w:val="-73"/>
        </w:rPr>
        <w:t xml:space="preserve"> </w:t>
      </w:r>
      <w:r>
        <w:t>段</w:t>
      </w:r>
      <w:r>
        <w:rPr>
          <w:spacing w:val="-73"/>
        </w:rPr>
        <w:t xml:space="preserve"> </w:t>
      </w:r>
      <w:r>
        <w:t>采</w:t>
      </w:r>
      <w:r>
        <w:rPr>
          <w:spacing w:val="-70"/>
        </w:rPr>
        <w:t xml:space="preserve"> </w:t>
      </w:r>
      <w:r>
        <w:t>用</w:t>
        <w:tab/>
      </w:r>
      <w:r>
        <w:rPr>
          <w:rFonts w:ascii="Arial" w:eastAsia="Arial"/>
          <w:w w:val="95"/>
        </w:rPr>
        <w:t>PCCPDN4000,</w:t>
        <w:tab/>
      </w:r>
      <w:r>
        <w:t>沈</w:t>
      </w:r>
      <w:r>
        <w:rPr>
          <w:spacing w:val="-69"/>
        </w:rPr>
        <w:t xml:space="preserve"> </w:t>
      </w:r>
      <w:r>
        <w:t>阳</w:t>
      </w:r>
      <w:r>
        <w:rPr>
          <w:spacing w:val="-70"/>
        </w:rPr>
        <w:t xml:space="preserve"> </w:t>
      </w:r>
      <w:r>
        <w:t>大</w:t>
      </w:r>
      <w:r>
        <w:rPr>
          <w:spacing w:val="-73"/>
        </w:rPr>
        <w:t xml:space="preserve"> </w:t>
      </w:r>
      <w:r>
        <w:t>伙</w:t>
      </w:r>
      <w:r>
        <w:rPr>
          <w:spacing w:val="-73"/>
        </w:rPr>
        <w:t xml:space="preserve"> </w:t>
      </w:r>
      <w:r>
        <w:t>房</w:t>
      </w:r>
      <w:r>
        <w:rPr>
          <w:spacing w:val="-72"/>
        </w:rPr>
        <w:t xml:space="preserve"> </w:t>
      </w:r>
      <w:r>
        <w:t>引</w:t>
      </w:r>
      <w:r>
        <w:rPr>
          <w:spacing w:val="-70"/>
        </w:rPr>
        <w:t xml:space="preserve"> </w:t>
      </w:r>
      <w:r>
        <w:t>水</w:t>
      </w:r>
      <w:r>
        <w:rPr>
          <w:spacing w:val="-73"/>
        </w:rPr>
        <w:t xml:space="preserve"> </w:t>
      </w:r>
      <w:r>
        <w:t>工</w:t>
      </w:r>
      <w:r>
        <w:rPr>
          <w:spacing w:val="-69"/>
        </w:rPr>
        <w:t xml:space="preserve"> </w:t>
      </w:r>
      <w:r>
        <w:t>程</w:t>
      </w:r>
      <w:r>
        <w:rPr>
          <w:spacing w:val="-73"/>
        </w:rPr>
        <w:t xml:space="preserve"> </w:t>
      </w:r>
      <w:r>
        <w:t>采</w:t>
      </w:r>
      <w:r>
        <w:rPr>
          <w:spacing w:val="-73"/>
        </w:rPr>
        <w:t xml:space="preserve"> </w:t>
      </w:r>
      <w:r>
        <w:t>用</w:t>
      </w:r>
      <w:r>
        <w:rPr>
          <w:rFonts w:ascii="Arial" w:eastAsia="Arial"/>
          <w:w w:val="95"/>
        </w:rPr>
        <w:t>PCCPDN3200,</w:t>
      </w:r>
      <w:r>
        <w:rPr>
          <w:w w:val="95"/>
        </w:rPr>
        <w:t>广东东江引水工程采用</w:t>
      </w:r>
      <w:r>
        <w:rPr>
          <w:spacing w:val="29"/>
          <w:w w:val="95"/>
        </w:rPr>
        <w:t xml:space="preserve"> </w:t>
      </w:r>
      <w:r>
        <w:rPr>
          <w:rFonts w:ascii="Arial" w:eastAsia="Arial"/>
          <w:w w:val="95"/>
        </w:rPr>
        <w:t>PCCPDN3600.</w:t>
      </w:r>
      <w:r>
        <w:rPr>
          <w:w w:val="95"/>
        </w:rPr>
        <w:t>规划中的南水北</w:t>
      </w:r>
      <w:r>
        <w:t>调工程河南境内需</w:t>
      </w:r>
      <w:r>
        <w:rPr>
          <w:spacing w:val="-96"/>
        </w:rPr>
        <w:t xml:space="preserve"> </w:t>
      </w:r>
      <w:r>
        <w:rPr>
          <w:rFonts w:ascii="Arial" w:eastAsia="Arial"/>
        </w:rPr>
        <w:t>PCCP</w:t>
      </w:r>
      <w:r>
        <w:rPr>
          <w:rFonts w:ascii="Arial" w:eastAsia="Arial"/>
          <w:spacing w:val="-26"/>
        </w:rPr>
        <w:t xml:space="preserve"> </w:t>
      </w:r>
      <w:r>
        <w:t>约</w:t>
      </w:r>
      <w:r>
        <w:rPr>
          <w:spacing w:val="-90"/>
        </w:rPr>
        <w:t xml:space="preserve"> </w:t>
      </w:r>
      <w:r>
        <w:rPr>
          <w:rFonts w:ascii="Arial" w:eastAsia="Arial"/>
        </w:rPr>
        <w:t>600km,</w:t>
      </w:r>
      <w:r>
        <w:t>以及太湖引水、千岛湖至上海引水等工程的规划建设，将给混凝土输水管道行业发展提供新的机遇</w:t>
      </w:r>
      <w:r>
        <w:rPr>
          <w:spacing w:val="-17"/>
        </w:rPr>
        <w:t>。</w:t>
      </w:r>
    </w:p>
    <w:p>
      <w:pPr>
        <w:pStyle w:val="BodyText"/>
        <w:spacing w:before="274" w:line="280" w:lineRule="auto"/>
        <w:ind w:left="2700" w:right="2676" w:firstLine="838"/>
      </w:pPr>
      <w:r>
        <w:rPr>
          <w:rFonts w:ascii="Arial" w:eastAsia="Arial"/>
        </w:rPr>
        <w:t>2</w:t>
      </w:r>
      <w:r>
        <w:t>、环境治理和保护工程国家对环境保护非常重视，加大了环境</w:t>
      </w:r>
      <w:r>
        <w:rPr>
          <w:spacing w:val="-6"/>
        </w:rPr>
        <w:t xml:space="preserve">治理力度。国务院 </w:t>
      </w:r>
      <w:r>
        <w:rPr>
          <w:rFonts w:ascii="Arial" w:eastAsia="Arial"/>
        </w:rPr>
        <w:t xml:space="preserve">2005 </w:t>
      </w:r>
      <w:r>
        <w:rPr>
          <w:spacing w:val="-23"/>
        </w:rPr>
        <w:t xml:space="preserve">年 </w:t>
      </w:r>
      <w:r>
        <w:rPr>
          <w:rFonts w:ascii="Arial" w:eastAsia="Arial"/>
        </w:rPr>
        <w:t xml:space="preserve">12 </w:t>
      </w:r>
      <w:r>
        <w:rPr>
          <w:spacing w:val="-1"/>
        </w:rPr>
        <w:t>月作出《关于落实科学发展观加强环</w:t>
      </w:r>
      <w:r>
        <w:t>境保护的决定》，加强改善重点地区和城市环境，遏制生态环境恶化趋势，切实解决突出的环境问题，以饮用水安全和重点流域治理为重点，加强污水防治，把淮河、海河、辽河、松花江、三峡库区及上游、黄河小浪底水库库区及上游、南水北调水源沿线、太湖、滇池、巢湖作为流域水污染治理的重点，把渤海等重点海域和河口地区作为海洋保护工作重点，以强化污染防治重点。同时加强治理企业污水排放、城市污水集中处理，逐步提高污水处理率，加强城</w:t>
      </w:r>
      <w:r>
        <w:rPr>
          <w:spacing w:val="5"/>
        </w:rPr>
        <w:t>市环境保护。修建污水处理厂，需使用</w:t>
      </w:r>
      <w:r>
        <w:rPr>
          <w:rFonts w:ascii="Arial" w:eastAsia="Arial"/>
        </w:rPr>
        <w:t>PCCP</w:t>
      </w:r>
      <w:r>
        <w:rPr>
          <w:rFonts w:ascii="Arial" w:eastAsia="Arial"/>
          <w:spacing w:val="-52"/>
        </w:rPr>
        <w:t xml:space="preserve"> </w:t>
      </w:r>
      <w:r>
        <w:t>截流和输送污水。</w:t>
      </w:r>
    </w:p>
    <w:p>
      <w:pPr>
        <w:pStyle w:val="BodyText"/>
        <w:spacing w:before="274" w:line="280" w:lineRule="auto"/>
        <w:ind w:left="2700" w:right="2696" w:firstLine="838"/>
      </w:pPr>
      <w:r>
        <w:rPr>
          <w:rFonts w:ascii="Arial" w:eastAsia="Arial"/>
        </w:rPr>
        <w:t>3</w:t>
      </w:r>
      <w:r>
        <w:t>、农业水利工程近年来，国家为农业水利设施建设和改善农村生活条件，相继投入巨资修建水库，铺设农田灌溉的给水管网、倒虹吸管道、喷灌管道、排涝管道等，如陕西夹马口黄河节水灌溉工</w:t>
      </w:r>
      <w:r>
        <w:rPr>
          <w:spacing w:val="-2"/>
        </w:rPr>
        <w:t>程等，将带动混凝土输水管道行业的发展。</w:t>
      </w:r>
      <w:r>
        <w:rPr>
          <w:rFonts w:ascii="Arial" w:eastAsia="Arial"/>
        </w:rPr>
        <w:t>2010</w:t>
      </w:r>
      <w:r>
        <w:rPr>
          <w:rFonts w:ascii="Arial" w:eastAsia="Arial"/>
          <w:spacing w:val="-25"/>
        </w:rPr>
        <w:t xml:space="preserve"> </w:t>
      </w:r>
      <w:r>
        <w:rPr>
          <w:spacing w:val="-41"/>
        </w:rPr>
        <w:t xml:space="preserve">年 </w:t>
      </w:r>
      <w:r>
        <w:rPr>
          <w:rFonts w:ascii="Arial" w:eastAsia="Arial"/>
        </w:rPr>
        <w:t>12</w:t>
      </w:r>
      <w:r>
        <w:rPr>
          <w:rFonts w:ascii="Arial" w:eastAsia="Arial"/>
          <w:spacing w:val="-25"/>
        </w:rPr>
        <w:t xml:space="preserve"> </w:t>
      </w:r>
      <w:r>
        <w:rPr>
          <w:spacing w:val="-41"/>
        </w:rPr>
        <w:t xml:space="preserve">月 </w:t>
      </w:r>
      <w:r>
        <w:rPr>
          <w:rFonts w:ascii="Arial" w:eastAsia="Arial"/>
        </w:rPr>
        <w:t>22</w:t>
      </w:r>
      <w:r>
        <w:rPr>
          <w:rFonts w:ascii="Arial" w:eastAsia="Arial"/>
          <w:spacing w:val="-25"/>
        </w:rPr>
        <w:t xml:space="preserve"> </w:t>
      </w:r>
      <w:r>
        <w:rPr>
          <w:spacing w:val="-6"/>
        </w:rPr>
        <w:t>日中央</w:t>
      </w:r>
    </w:p>
    <w:p>
      <w:pPr>
        <w:pStyle w:val="BodyText"/>
        <w:spacing w:before="3" w:line="280" w:lineRule="auto"/>
        <w:ind w:left="2700" w:right="2678"/>
      </w:pPr>
      <w:r>
        <w:rPr>
          <w:spacing w:val="-9"/>
        </w:rPr>
        <w:t xml:space="preserve">农村工作会议上部署了 </w:t>
      </w:r>
      <w:r>
        <w:rPr>
          <w:rFonts w:ascii="Arial" w:eastAsia="Arial" w:hAnsi="Arial"/>
        </w:rPr>
        <w:t>2011</w:t>
      </w:r>
      <w:r>
        <w:rPr>
          <w:rFonts w:ascii="Arial" w:eastAsia="Arial" w:hAnsi="Arial"/>
          <w:spacing w:val="-30"/>
        </w:rPr>
        <w:t xml:space="preserve"> </w:t>
      </w:r>
      <w:r>
        <w:rPr>
          <w:spacing w:val="-1"/>
        </w:rPr>
        <w:t xml:space="preserve">年和“十二五”时期的“三农”工作， </w:t>
      </w:r>
      <w:r>
        <w:t>会议明确表示“财政支出重点向农业农村倾斜，确保用于农业农村的总量、增量均有提高；预算内固定资产投资重点用于农业农村基</w:t>
      </w:r>
      <w:r>
        <w:rPr>
          <w:spacing w:val="2"/>
        </w:rPr>
        <w:t>础设施建设”</w:t>
      </w:r>
      <w:r>
        <w:rPr>
          <w:rFonts w:ascii="Arial" w:eastAsia="Arial" w:hAnsi="Arial"/>
          <w:spacing w:val="17"/>
        </w:rPr>
        <w:t>,</w:t>
      </w:r>
      <w:r>
        <w:t>将加大农田水利建设资金投入、加强“最后一公里”</w:t>
      </w:r>
    </w:p>
    <w:p>
      <w:pPr>
        <w:spacing w:after="0" w:line="280" w:lineRule="auto"/>
        <w:sectPr>
          <w:headerReference w:type="default" r:id="rId4"/>
          <w:type w:val="continuous"/>
          <w:pgSz w:w="17860" w:h="25260"/>
          <w:pgMar w:top="1300" w:right="0" w:bottom="280" w:left="0" w:header="897" w:footer="708"/>
          <w:cols w:space="708"/>
        </w:sectPr>
      </w:pPr>
    </w:p>
    <w:p>
      <w:pPr>
        <w:pStyle w:val="BodyText"/>
        <w:rPr>
          <w:sz w:val="20"/>
        </w:rPr>
      </w:pPr>
    </w:p>
    <w:p>
      <w:pPr>
        <w:pStyle w:val="BodyText"/>
        <w:spacing w:before="2"/>
        <w:rPr>
          <w:sz w:val="22"/>
        </w:rPr>
      </w:pPr>
    </w:p>
    <w:p>
      <w:pPr>
        <w:pStyle w:val="BodyText"/>
        <w:spacing w:before="42" w:line="280" w:lineRule="auto"/>
        <w:ind w:left="2700" w:right="2644"/>
      </w:pPr>
      <w:r>
        <w:t>的小水利设施整修。综上分析，未来的城镇建设，工矿企业建设和农田水利建设，都需要铺设大量的混凝土输水管道，为行业的发展</w:t>
      </w:r>
      <w:r>
        <w:rPr>
          <w:spacing w:val="-7"/>
        </w:rPr>
        <w:t xml:space="preserve">提供了良好的契机，可以预见未来 </w:t>
      </w:r>
      <w:r>
        <w:rPr>
          <w:rFonts w:ascii="Arial" w:eastAsia="Arial"/>
        </w:rPr>
        <w:t xml:space="preserve">5~10 </w:t>
      </w:r>
      <w:r>
        <w:rPr>
          <w:spacing w:val="-2"/>
        </w:rPr>
        <w:t>年是混凝土输水管道行业最</w:t>
      </w:r>
      <w:r>
        <w:t>好的发展时期，需求量不断增加，市场前景乐观。</w:t>
      </w:r>
    </w:p>
    <w:p>
      <w:pPr>
        <w:pStyle w:val="BodyText"/>
        <w:spacing w:before="272" w:line="280" w:lineRule="auto"/>
        <w:ind w:left="2700" w:right="2676" w:firstLine="838"/>
      </w:pPr>
      <w:r>
        <w:t>很多问题依然存在着一定的不确定性，混凝土搅拌站比如各个</w:t>
      </w:r>
      <w:r>
        <w:rPr>
          <w:spacing w:val="-10"/>
        </w:rPr>
        <w:t xml:space="preserve">子行业是否还能保持 </w:t>
      </w:r>
      <w:r>
        <w:rPr>
          <w:rFonts w:ascii="Arial" w:eastAsia="Arial"/>
        </w:rPr>
        <w:t xml:space="preserve">2011 </w:t>
      </w:r>
      <w:r>
        <w:rPr>
          <w:spacing w:val="-1"/>
        </w:rPr>
        <w:t>年的高增长速度，各地的经济增速是否有</w:t>
      </w:r>
      <w:r>
        <w:t>变数，原材料的价格是否有巨大的波动风险，国家是否会开始新一轮的政策调控等等。我想，很多事情本该淡化，以平静的心态去迎接新周期的起点，与其纠结，不如淡定，抱着对政策调控效果的希冀，对国内所有民众和政府在这场新的转折过程中，会有更积极、稳健的举措来把握未来国民经济的发展。</w:t>
      </w:r>
    </w:p>
    <w:p>
      <w:pPr>
        <w:pStyle w:val="BodyText"/>
        <w:spacing w:before="274" w:line="280" w:lineRule="auto"/>
        <w:ind w:left="2700" w:right="2943" w:firstLine="838"/>
        <w:jc w:val="both"/>
      </w:pPr>
      <w:r>
        <w:t xml:space="preserve">尽管金融危机之后，经济复苏的确定性使得市场存在基本面的支撑，未来的混凝土搅拌站维持稳定增速，而通胀压力加剧可能导致密集的政策调控，这种态势越来越像 </w:t>
      </w:r>
      <w:r>
        <w:rPr>
          <w:rFonts w:ascii="Arial" w:eastAsia="Arial"/>
        </w:rPr>
        <w:t xml:space="preserve">2007 </w:t>
      </w:r>
      <w:r>
        <w:t>年的情况。</w:t>
      </w:r>
    </w:p>
    <w:p>
      <w:pPr>
        <w:pStyle w:val="BodyText"/>
        <w:spacing w:before="271" w:line="280" w:lineRule="auto"/>
        <w:ind w:left="2700" w:right="2943" w:firstLine="838"/>
        <w:jc w:val="both"/>
      </w:pPr>
      <w:r>
        <w:t>混凝土搅拌站开局之年，搅拌站设备“十二五”时期我国经济转型进入深化阶段，混凝土搅拌站转型有望破局，并将催生新的经济增长动力。其中收入分配政策调整推进消费持续升级，新型城镇化带动房地产相关行业持续增长，产业结构升级将提升高端装备制造业等产业的竞争优势，混凝土搅拌站的智能装备等高端产品将受益于此。</w:t>
      </w:r>
    </w:p>
    <w:p>
      <w:pPr>
        <w:pStyle w:val="Heading1"/>
        <w:spacing w:before="193"/>
      </w:pPr>
      <w:r>
        <w:t>二、国内商品混凝土现状与国家产业政策</w:t>
      </w:r>
    </w:p>
    <w:p>
      <w:pPr>
        <w:pStyle w:val="BodyText"/>
        <w:spacing w:before="3"/>
        <w:rPr>
          <w:b/>
          <w:sz w:val="30"/>
        </w:rPr>
      </w:pPr>
    </w:p>
    <w:p>
      <w:pPr>
        <w:pStyle w:val="BodyText"/>
        <w:ind w:left="3539"/>
      </w:pPr>
      <w:r>
        <w:rPr>
          <w:rFonts w:ascii="Arial" w:eastAsia="Arial"/>
        </w:rPr>
        <w:t>1</w:t>
      </w:r>
      <w:r>
        <w:t>、国内商品混凝土现状</w:t>
      </w:r>
    </w:p>
    <w:p>
      <w:pPr>
        <w:pStyle w:val="BodyText"/>
        <w:tabs>
          <w:tab w:val="left" w:pos="14395"/>
        </w:tabs>
        <w:spacing w:before="362" w:line="280" w:lineRule="auto"/>
        <w:ind w:left="2700" w:right="2689" w:firstLine="838"/>
      </w:pPr>
      <w:r>
        <w:t>商品混凝土作为一门建材行业，近十几年来得到了飞速发展， 已在全国各大中城市及重点工程中普及使用。推广应用商品混凝土已是建筑业生产方式的一项重要改革，是推动建筑产品工业化、商品化，提高工程质量，缩短工程建设周期，改善城市环境的一项重要措施。商品混凝土在我国已有三十多年的生产历史，特别是在近十几年来，北京、江苏、上海、广东等经济发达地区商品混凝土普及应用发展迅速，应用商品混凝土已占当地全部混凝土用量的</w:t>
        <w:tab/>
      </w:r>
      <w:r>
        <w:rPr>
          <w:rFonts w:ascii="Arial" w:eastAsia="Arial" w:hAnsi="Arial"/>
          <w:spacing w:val="-6"/>
          <w:w w:val="90"/>
        </w:rPr>
        <w:t xml:space="preserve">50% </w:t>
      </w:r>
      <w:r>
        <w:t>以上。北京、上海已占</w:t>
      </w:r>
      <w:r>
        <w:rPr>
          <w:spacing w:val="-142"/>
        </w:rPr>
        <w:t xml:space="preserve"> </w:t>
      </w:r>
      <w:r>
        <w:rPr>
          <w:rFonts w:ascii="Arial" w:eastAsia="Arial" w:hAnsi="Arial"/>
        </w:rPr>
        <w:t>65</w:t>
      </w:r>
      <w:r>
        <w:t>—</w:t>
      </w:r>
      <w:r>
        <w:rPr>
          <w:rFonts w:ascii="Arial" w:eastAsia="Arial" w:hAnsi="Arial"/>
        </w:rPr>
        <w:t>70%</w:t>
      </w:r>
      <w:r>
        <w:t>。接近于工业发达国家使用水平。</w:t>
      </w:r>
    </w:p>
    <w:p>
      <w:pPr>
        <w:spacing w:after="0" w:line="280" w:lineRule="auto"/>
        <w:sectPr>
          <w:headerReference w:type="default" r:id="rId5"/>
          <w:pgSz w:w="17860" w:h="25260"/>
          <w:pgMar w:top="1300" w:right="0" w:bottom="280" w:left="0" w:header="897" w:footer="0"/>
          <w:pgNumType w:start="2"/>
          <w:cols w:space="708"/>
        </w:sectPr>
      </w:pPr>
    </w:p>
    <w:p>
      <w:pPr>
        <w:pStyle w:val="BodyText"/>
        <w:rPr>
          <w:sz w:val="20"/>
        </w:rPr>
      </w:pPr>
    </w:p>
    <w:p>
      <w:pPr>
        <w:pStyle w:val="BodyText"/>
        <w:spacing w:before="5"/>
        <w:rPr>
          <w:sz w:val="23"/>
        </w:rPr>
      </w:pPr>
    </w:p>
    <w:p>
      <w:pPr>
        <w:pStyle w:val="BodyText"/>
        <w:spacing w:before="26"/>
        <w:ind w:right="2691"/>
        <w:jc w:val="right"/>
        <w:rPr>
          <w:rFonts w:ascii="幼圆" w:eastAsia="幼圆" w:hint="eastAsia"/>
        </w:rPr>
      </w:pPr>
      <w:r>
        <w:rPr>
          <w:rFonts w:ascii="幼圆" w:eastAsia="幼圆" w:hint="eastAsia"/>
          <w:spacing w:val="4"/>
        </w:rPr>
        <w:t xml:space="preserve">根据全国混凝土协会统计数据，自 </w:t>
      </w:r>
      <w:r>
        <w:rPr>
          <w:rFonts w:ascii="幼圆" w:eastAsia="幼圆" w:hint="eastAsia"/>
        </w:rPr>
        <w:t>1986</w:t>
      </w:r>
      <w:r>
        <w:rPr>
          <w:rFonts w:ascii="幼圆" w:eastAsia="幼圆" w:hint="eastAsia"/>
          <w:spacing w:val="-1"/>
        </w:rPr>
        <w:t xml:space="preserve"> 年开始有记录至 </w:t>
      </w:r>
      <w:r>
        <w:rPr>
          <w:rFonts w:ascii="幼圆" w:eastAsia="幼圆" w:hint="eastAsia"/>
        </w:rPr>
        <w:t>2007</w:t>
      </w:r>
    </w:p>
    <w:p>
      <w:pPr>
        <w:pStyle w:val="BodyText"/>
        <w:spacing w:before="92"/>
        <w:ind w:right="2692"/>
        <w:jc w:val="right"/>
        <w:rPr>
          <w:rFonts w:ascii="幼圆" w:eastAsia="幼圆" w:hint="eastAsia"/>
        </w:rPr>
      </w:pPr>
      <w:r>
        <w:rPr>
          <w:rFonts w:ascii="幼圆" w:eastAsia="幼圆" w:hint="eastAsia"/>
          <w:spacing w:val="-3"/>
        </w:rPr>
        <w:t xml:space="preserve">年，全国预拌混凝土产量一直呈现良好上升势头，且 </w:t>
      </w:r>
      <w:r>
        <w:rPr>
          <w:rFonts w:ascii="幼圆" w:eastAsia="幼圆" w:hint="eastAsia"/>
        </w:rPr>
        <w:t>15</w:t>
      </w:r>
      <w:r>
        <w:rPr>
          <w:rFonts w:ascii="幼圆" w:eastAsia="幼圆" w:hint="eastAsia"/>
          <w:spacing w:val="-15"/>
        </w:rPr>
        <w:t xml:space="preserve"> 年无逆转。</w:t>
      </w:r>
    </w:p>
    <w:p>
      <w:pPr>
        <w:pStyle w:val="BodyText"/>
        <w:spacing w:before="92"/>
        <w:ind w:right="2696"/>
        <w:jc w:val="right"/>
        <w:rPr>
          <w:rFonts w:ascii="幼圆" w:eastAsia="幼圆" w:hAnsi="幼圆" w:hint="eastAsia"/>
        </w:rPr>
      </w:pPr>
      <w:r>
        <w:rPr>
          <w:rFonts w:ascii="幼圆" w:eastAsia="幼圆" w:hAnsi="幼圆" w:hint="eastAsia"/>
          <w:spacing w:val="-3"/>
        </w:rPr>
        <w:t xml:space="preserve">专家分析，全国预拌混凝土产量持续上升势头还将延续 </w:t>
      </w:r>
      <w:r>
        <w:rPr>
          <w:rFonts w:ascii="幼圆" w:eastAsia="幼圆" w:hAnsi="幼圆" w:hint="eastAsia"/>
        </w:rPr>
        <w:t>10—15</w:t>
      </w:r>
      <w:r>
        <w:rPr>
          <w:rFonts w:ascii="幼圆" w:eastAsia="幼圆" w:hAnsi="幼圆" w:hint="eastAsia"/>
          <w:spacing w:val="-27"/>
        </w:rPr>
        <w:t xml:space="preserve"> 年，</w:t>
      </w:r>
    </w:p>
    <w:p>
      <w:pPr>
        <w:pStyle w:val="BodyText"/>
        <w:spacing w:before="92" w:line="400" w:lineRule="auto"/>
        <w:ind w:left="3539" w:right="5305" w:hanging="839"/>
        <w:rPr>
          <w:rFonts w:ascii="幼圆" w:eastAsia="幼圆" w:hAnsi="幼圆" w:hint="eastAsia"/>
        </w:rPr>
      </w:pPr>
      <w:r>
        <w:rPr>
          <w:rFonts w:ascii="幼圆" w:eastAsia="幼圆" w:hAnsi="幼圆" w:hint="eastAsia"/>
          <w:spacing w:val="-7"/>
        </w:rPr>
        <w:t xml:space="preserve">也就是说稳定上升势头持续的时间将长达 </w:t>
      </w:r>
      <w:r>
        <w:rPr>
          <w:rFonts w:ascii="幼圆" w:eastAsia="幼圆" w:hAnsi="幼圆" w:hint="eastAsia"/>
        </w:rPr>
        <w:t>20—25</w:t>
      </w:r>
      <w:r>
        <w:rPr>
          <w:rFonts w:ascii="幼圆" w:eastAsia="幼圆" w:hAnsi="幼圆" w:hint="eastAsia"/>
          <w:spacing w:val="-45"/>
        </w:rPr>
        <w:t xml:space="preserve"> 年。</w:t>
      </w:r>
      <w:r>
        <w:rPr>
          <w:rFonts w:ascii="幼圆" w:eastAsia="幼圆" w:hAnsi="幼圆" w:hint="eastAsia"/>
        </w:rPr>
        <w:t>2、商品混凝土的产业政策</w:t>
      </w:r>
    </w:p>
    <w:p>
      <w:pPr>
        <w:pStyle w:val="BodyText"/>
        <w:spacing w:before="3" w:line="280" w:lineRule="auto"/>
        <w:ind w:left="2700" w:right="2945" w:firstLine="838"/>
        <w:rPr>
          <w:rFonts w:ascii="幼圆" w:eastAsia="幼圆" w:hint="eastAsia"/>
        </w:rPr>
      </w:pPr>
      <w:r>
        <w:rPr>
          <w:rFonts w:ascii="幼圆" w:eastAsia="幼圆" w:hint="eastAsia"/>
        </w:rPr>
        <w:t>近几年来，国家对发展预拌混凝土高度重视，出台了一系列强有力的政策法规，为预拌混凝土的快速健康发展提供了保障。</w:t>
      </w:r>
    </w:p>
    <w:p>
      <w:pPr>
        <w:pStyle w:val="BodyText"/>
        <w:tabs>
          <w:tab w:val="left" w:pos="13949"/>
        </w:tabs>
        <w:spacing w:before="271" w:line="280" w:lineRule="auto"/>
        <w:ind w:left="2700" w:right="2696" w:firstLine="838"/>
        <w:rPr>
          <w:rFonts w:ascii="幼圆" w:eastAsia="幼圆" w:hAnsi="幼圆" w:hint="eastAsia"/>
        </w:rPr>
      </w:pPr>
      <w:r>
        <w:rPr>
          <w:rFonts w:ascii="幼圆" w:eastAsia="幼圆" w:hAnsi="幼圆" w:hint="eastAsia"/>
        </w:rPr>
        <w:t>由于建筑业发展自身的需要及国家政策的支持，商品混凝土行业是一个朝阳产业，经济效益可观，行业平均纯利润可达</w:t>
        <w:tab/>
        <w:t>15%</w:t>
      </w:r>
      <w:r>
        <w:rPr>
          <w:rFonts w:ascii="幼圆" w:eastAsia="幼圆" w:hAnsi="幼圆" w:hint="eastAsia"/>
          <w:spacing w:val="-47"/>
        </w:rPr>
        <w:t xml:space="preserve"> </w:t>
      </w:r>
      <w:r>
        <w:rPr>
          <w:rFonts w:ascii="幼圆" w:eastAsia="幼圆" w:hAnsi="幼圆" w:hint="eastAsia"/>
          <w:spacing w:val="-19"/>
        </w:rPr>
        <w:t>—</w:t>
      </w:r>
    </w:p>
    <w:p>
      <w:pPr>
        <w:spacing w:before="1" w:line="400" w:lineRule="auto"/>
        <w:ind w:left="2700" w:right="7583" w:firstLine="0"/>
        <w:jc w:val="left"/>
        <w:rPr>
          <w:rFonts w:ascii="幼圆" w:eastAsia="幼圆" w:hint="eastAsia"/>
          <w:b/>
          <w:sz w:val="42"/>
        </w:rPr>
      </w:pPr>
      <w:r>
        <w:rPr>
          <w:rFonts w:ascii="幼圆" w:eastAsia="幼圆" w:hint="eastAsia"/>
          <w:sz w:val="42"/>
        </w:rPr>
        <w:t>20% ，商品混凝土产业备受投资者青睐。</w:t>
      </w:r>
      <w:r>
        <w:rPr>
          <w:rFonts w:ascii="幼圆" w:eastAsia="幼圆" w:hint="eastAsia"/>
          <w:b/>
          <w:sz w:val="42"/>
        </w:rPr>
        <w:t>三、相关行业的发展状况</w:t>
      </w:r>
    </w:p>
    <w:p>
      <w:pPr>
        <w:pStyle w:val="BodyText"/>
        <w:spacing w:before="3"/>
        <w:ind w:left="3539"/>
        <w:rPr>
          <w:rFonts w:ascii="幼圆" w:eastAsia="幼圆" w:hint="eastAsia"/>
        </w:rPr>
      </w:pPr>
      <w:r>
        <w:rPr>
          <w:rFonts w:ascii="幼圆" w:eastAsia="幼圆" w:hint="eastAsia"/>
        </w:rPr>
        <w:t>1、混凝土外加剂。</w:t>
      </w:r>
    </w:p>
    <w:p>
      <w:pPr>
        <w:pStyle w:val="BodyText"/>
        <w:spacing w:before="362"/>
        <w:ind w:left="3539"/>
        <w:rPr>
          <w:rFonts w:ascii="幼圆" w:eastAsia="幼圆" w:hint="eastAsia"/>
        </w:rPr>
      </w:pPr>
      <w:r>
        <w:rPr>
          <w:rFonts w:ascii="幼圆" w:eastAsia="幼圆" w:hint="eastAsia"/>
        </w:rPr>
        <w:t>混凝土中加入外加剂既能节约资源又能保护环境。 2005 年全国</w:t>
      </w:r>
    </w:p>
    <w:p>
      <w:pPr>
        <w:pStyle w:val="BodyText"/>
        <w:spacing w:before="92"/>
        <w:ind w:left="2700"/>
        <w:rPr>
          <w:rFonts w:ascii="幼圆" w:eastAsia="幼圆" w:hint="eastAsia"/>
        </w:rPr>
      </w:pPr>
      <w:r>
        <w:rPr>
          <w:rFonts w:ascii="幼圆" w:eastAsia="幼圆" w:hint="eastAsia"/>
        </w:rPr>
        <w:t>年产 111 万吨，销售收入约 51 亿。2005 年全国共有合成企业 200 家，</w:t>
      </w:r>
    </w:p>
    <w:p>
      <w:pPr>
        <w:pStyle w:val="BodyText"/>
        <w:spacing w:before="92"/>
        <w:ind w:left="2700"/>
        <w:rPr>
          <w:rFonts w:ascii="幼圆" w:eastAsia="幼圆" w:hint="eastAsia"/>
        </w:rPr>
      </w:pPr>
      <w:r>
        <w:rPr>
          <w:rFonts w:ascii="幼圆" w:eastAsia="幼圆" w:hint="eastAsia"/>
          <w:spacing w:val="-5"/>
        </w:rPr>
        <w:t xml:space="preserve">其中规模化企业近 </w:t>
      </w:r>
      <w:r>
        <w:rPr>
          <w:rFonts w:ascii="幼圆" w:eastAsia="幼圆" w:hint="eastAsia"/>
        </w:rPr>
        <w:t>80</w:t>
      </w:r>
      <w:r>
        <w:rPr>
          <w:rFonts w:ascii="幼圆" w:eastAsia="幼圆" w:hint="eastAsia"/>
          <w:spacing w:val="-9"/>
        </w:rPr>
        <w:t xml:space="preserve"> 家，半数以上的企业规模太小。主要以萘系生</w:t>
      </w:r>
    </w:p>
    <w:p>
      <w:pPr>
        <w:pStyle w:val="BodyText"/>
        <w:tabs>
          <w:tab w:val="left" w:pos="13751"/>
        </w:tabs>
        <w:spacing w:before="92" w:line="280" w:lineRule="auto"/>
        <w:ind w:left="2700" w:right="2668"/>
        <w:rPr>
          <w:rFonts w:ascii="幼圆" w:eastAsia="幼圆" w:hint="eastAsia"/>
        </w:rPr>
      </w:pPr>
      <w:r>
        <w:rPr>
          <w:rFonts w:ascii="幼圆" w:eastAsia="幼圆" w:hint="eastAsia"/>
        </w:rPr>
        <w:t>产为主，产量占到</w:t>
      </w:r>
      <w:r>
        <w:rPr>
          <w:rFonts w:ascii="幼圆" w:eastAsia="幼圆" w:hint="eastAsia"/>
          <w:spacing w:val="68"/>
        </w:rPr>
        <w:t xml:space="preserve"> </w:t>
      </w:r>
      <w:r>
        <w:rPr>
          <w:rFonts w:ascii="幼圆" w:eastAsia="幼圆" w:hint="eastAsia"/>
        </w:rPr>
        <w:t>80%</w:t>
      </w:r>
      <w:r>
        <w:rPr>
          <w:rFonts w:ascii="幼圆" w:eastAsia="幼圆" w:hint="eastAsia"/>
          <w:spacing w:val="-59"/>
        </w:rPr>
        <w:t xml:space="preserve"> </w:t>
      </w:r>
      <w:r>
        <w:rPr>
          <w:rFonts w:ascii="幼圆" w:eastAsia="幼圆" w:hint="eastAsia"/>
        </w:rPr>
        <w:t>左右，高浓高效减水剂用量还不到</w:t>
        <w:tab/>
        <w:t>5%</w:t>
      </w:r>
      <w:r>
        <w:rPr>
          <w:rFonts w:ascii="幼圆" w:eastAsia="幼圆" w:hint="eastAsia"/>
          <w:spacing w:val="-63"/>
        </w:rPr>
        <w:t xml:space="preserve"> </w:t>
      </w:r>
      <w:r>
        <w:rPr>
          <w:rFonts w:ascii="幼圆" w:eastAsia="幼圆" w:hint="eastAsia"/>
        </w:rPr>
        <w:t>。聚羧酸盐高效减水剂是我国高效减水剂发展的一个亮点，但仍处在初级阶段，有</w:t>
      </w:r>
      <w:r>
        <w:rPr>
          <w:rFonts w:ascii="幼圆" w:eastAsia="幼圆" w:hint="eastAsia"/>
          <w:spacing w:val="-32"/>
        </w:rPr>
        <w:t xml:space="preserve"> </w:t>
      </w:r>
      <w:r>
        <w:rPr>
          <w:rFonts w:ascii="幼圆" w:eastAsia="幼圆" w:hint="eastAsia"/>
        </w:rPr>
        <w:t>10</w:t>
      </w:r>
      <w:r>
        <w:rPr>
          <w:rFonts w:ascii="幼圆" w:eastAsia="幼圆" w:hint="eastAsia"/>
          <w:spacing w:val="-80"/>
        </w:rPr>
        <w:t xml:space="preserve"> </w:t>
      </w:r>
      <w:r>
        <w:rPr>
          <w:rFonts w:ascii="幼圆" w:eastAsia="幼圆" w:hint="eastAsia"/>
        </w:rPr>
        <w:t>多家有生产能力。目前中国外加剂销售收入十强企</w:t>
      </w:r>
      <w:r>
        <w:rPr>
          <w:rFonts w:ascii="幼圆" w:eastAsia="幼圆" w:hint="eastAsia"/>
          <w:spacing w:val="-17"/>
        </w:rPr>
        <w:t>业</w:t>
      </w:r>
    </w:p>
    <w:p>
      <w:pPr>
        <w:pStyle w:val="BodyText"/>
        <w:spacing w:before="1" w:line="280" w:lineRule="auto"/>
        <w:ind w:left="2700" w:right="2520"/>
        <w:rPr>
          <w:rFonts w:ascii="幼圆" w:eastAsia="幼圆" w:hint="eastAsia"/>
        </w:rPr>
      </w:pPr>
      <w:r>
        <w:rPr>
          <w:rFonts w:ascii="幼圆" w:eastAsia="幼圆" w:hint="eastAsia"/>
          <w:spacing w:val="3"/>
        </w:rPr>
        <w:t xml:space="preserve">中，主要产品为萘系母料的为 </w:t>
      </w:r>
      <w:r>
        <w:rPr>
          <w:rFonts w:ascii="幼圆" w:eastAsia="幼圆" w:hint="eastAsia"/>
        </w:rPr>
        <w:t>4</w:t>
      </w:r>
      <w:r>
        <w:rPr>
          <w:rFonts w:ascii="幼圆" w:eastAsia="幼圆" w:hint="eastAsia"/>
          <w:spacing w:val="-6"/>
        </w:rPr>
        <w:t xml:space="preserve"> 家，分别为浙江五龙、天津雍阳、天津飞龙和浙江吉龙。而以江苏苏博特新材料股份有限公司为首的 则是以终端产品为主，2004</w:t>
      </w:r>
      <w:r>
        <w:rPr>
          <w:rFonts w:ascii="幼圆" w:eastAsia="幼圆" w:hint="eastAsia"/>
          <w:spacing w:val="-18"/>
        </w:rPr>
        <w:t xml:space="preserve"> 年销售收入高达 </w:t>
      </w:r>
      <w:r>
        <w:rPr>
          <w:rFonts w:ascii="幼圆" w:eastAsia="幼圆" w:hint="eastAsia"/>
        </w:rPr>
        <w:t>3.75亿元。同时我国外</w:t>
      </w:r>
      <w:r>
        <w:rPr>
          <w:rFonts w:ascii="幼圆" w:eastAsia="幼圆" w:hint="eastAsia"/>
          <w:spacing w:val="-1"/>
        </w:rPr>
        <w:t>加剂企业开始谋求向国外输送产品，如浙江五龙化工、龙游五强等。</w:t>
      </w:r>
    </w:p>
    <w:p>
      <w:pPr>
        <w:pStyle w:val="BodyText"/>
        <w:spacing w:before="272"/>
        <w:ind w:left="3539"/>
        <w:rPr>
          <w:rFonts w:ascii="幼圆" w:eastAsia="幼圆" w:hint="eastAsia"/>
        </w:rPr>
      </w:pPr>
      <w:r>
        <w:rPr>
          <w:rFonts w:ascii="幼圆" w:eastAsia="幼圆" w:hint="eastAsia"/>
        </w:rPr>
        <w:t>2、水泥。</w:t>
      </w:r>
    </w:p>
    <w:p>
      <w:pPr>
        <w:pStyle w:val="BodyText"/>
        <w:spacing w:before="363"/>
        <w:ind w:left="3539"/>
        <w:rPr>
          <w:rFonts w:ascii="幼圆" w:eastAsia="幼圆" w:hint="eastAsia"/>
        </w:rPr>
      </w:pPr>
      <w:r>
        <w:rPr>
          <w:rFonts w:ascii="幼圆" w:eastAsia="幼圆" w:hint="eastAsia"/>
        </w:rPr>
        <w:t>2005 年继续延续 2004 年下半年水泥运行经济效益逐渐降低的趋</w:t>
      </w:r>
    </w:p>
    <w:p>
      <w:pPr>
        <w:pStyle w:val="BodyText"/>
        <w:spacing w:before="91"/>
        <w:ind w:left="2700"/>
        <w:rPr>
          <w:rFonts w:ascii="幼圆" w:eastAsia="幼圆" w:hint="eastAsia"/>
        </w:rPr>
      </w:pPr>
      <w:r>
        <w:rPr>
          <w:rFonts w:ascii="幼圆" w:eastAsia="幼圆" w:hint="eastAsia"/>
        </w:rPr>
        <w:t>势，继续惯性下滑。 2009 年初开始水泥价格明显出现回暖迹象，</w:t>
      </w:r>
    </w:p>
    <w:p>
      <w:pPr>
        <w:pStyle w:val="BodyText"/>
        <w:spacing w:before="92"/>
        <w:ind w:left="2700"/>
        <w:rPr>
          <w:rFonts w:ascii="幼圆" w:eastAsia="幼圆" w:hint="eastAsia"/>
        </w:rPr>
      </w:pPr>
      <w:r>
        <w:rPr>
          <w:rFonts w:ascii="幼圆" w:eastAsia="幼圆" w:hint="eastAsia"/>
        </w:rPr>
        <w:t>2010 开始迅速上涨，目前基本稳定，还有上升空间。</w:t>
      </w:r>
    </w:p>
    <w:p>
      <w:pPr>
        <w:pStyle w:val="BodyText"/>
        <w:spacing w:before="362" w:line="280" w:lineRule="auto"/>
        <w:ind w:left="2700" w:right="2943" w:firstLine="838"/>
        <w:rPr>
          <w:rFonts w:ascii="幼圆" w:eastAsia="幼圆" w:hint="eastAsia"/>
        </w:rPr>
      </w:pPr>
      <w:r>
        <w:rPr>
          <w:rFonts w:ascii="幼圆" w:eastAsia="幼圆" w:hint="eastAsia"/>
        </w:rPr>
        <w:t>商品混凝土中磨细矿物掺合料的大量使用，不仅改善了混凝土的诸多性能，而且通过减少水泥熟料用量，在一定程度上抑制了大</w:t>
      </w:r>
    </w:p>
    <w:p>
      <w:pPr>
        <w:spacing w:after="0" w:line="280" w:lineRule="auto"/>
        <w:rPr>
          <w:rFonts w:ascii="幼圆" w:eastAsia="幼圆" w:hint="eastAsia"/>
        </w:rPr>
        <w:sectPr>
          <w:headerReference w:type="default" r:id="rId6"/>
          <w:pgSz w:w="17860" w:h="25260"/>
          <w:pgMar w:top="1300" w:right="0" w:bottom="280" w:left="0" w:header="897" w:footer="0"/>
          <w:pgNumType w:start="3"/>
          <w:cols w:space="708"/>
        </w:sectPr>
      </w:pPr>
    </w:p>
    <w:p>
      <w:pPr>
        <w:pStyle w:val="BodyText"/>
        <w:rPr>
          <w:rFonts w:ascii="幼圆"/>
          <w:sz w:val="20"/>
        </w:rPr>
      </w:pPr>
    </w:p>
    <w:p>
      <w:pPr>
        <w:pStyle w:val="BodyText"/>
        <w:spacing w:before="2"/>
        <w:rPr>
          <w:rFonts w:ascii="幼圆"/>
          <w:sz w:val="22"/>
        </w:rPr>
      </w:pPr>
    </w:p>
    <w:p>
      <w:pPr>
        <w:pStyle w:val="BodyText"/>
        <w:spacing w:before="42" w:line="280" w:lineRule="auto"/>
        <w:ind w:left="2700" w:right="2943"/>
      </w:pPr>
      <w:r>
        <w:t>规模建设时期对水泥的强劲需求，从而节约了国家的宝贵资源和能源。</w:t>
      </w:r>
    </w:p>
    <w:p>
      <w:pPr>
        <w:pStyle w:val="BodyText"/>
        <w:spacing w:before="271"/>
        <w:ind w:left="3539"/>
      </w:pPr>
      <w:r>
        <w:rPr>
          <w:rFonts w:ascii="Times New Roman" w:eastAsia="Times New Roman"/>
        </w:rPr>
        <w:t>3</w:t>
      </w:r>
      <w:r>
        <w:t>、混凝土机械。</w:t>
      </w:r>
    </w:p>
    <w:p>
      <w:pPr>
        <w:pStyle w:val="BodyText"/>
        <w:spacing w:before="362" w:line="280" w:lineRule="auto"/>
        <w:ind w:left="2700" w:right="2337" w:firstLine="838"/>
      </w:pPr>
      <w:r>
        <w:t xml:space="preserve">无论是搅拌机、搅拌楼、搅拌输送车还是混凝土泵（泵车）等  产品，除大型的和高技术含量的型号外，常规产品已基本能满足施  工需要。各生产厂家的生产条件普遍得到了改善，生产能力进一步  增强。国外混凝土机械进口数量逐年下降， </w:t>
      </w:r>
      <w:r>
        <w:rPr>
          <w:rFonts w:ascii="Times New Roman" w:eastAsia="Times New Roman"/>
        </w:rPr>
        <w:t>120m3/h</w:t>
      </w:r>
      <w:r>
        <w:rPr>
          <w:rFonts w:ascii="Times New Roman" w:eastAsia="Times New Roman"/>
          <w:spacing w:val="83"/>
        </w:rPr>
        <w:t xml:space="preserve"> </w:t>
      </w:r>
      <w:r>
        <w:rPr>
          <w:spacing w:val="-3"/>
        </w:rPr>
        <w:t>以下的搅拌站、</w:t>
      </w:r>
      <w:r>
        <w:rPr>
          <w:rFonts w:ascii="Times New Roman" w:eastAsia="Times New Roman"/>
        </w:rPr>
        <w:t>125m3/h</w:t>
      </w:r>
      <w:r>
        <w:rPr>
          <w:rFonts w:ascii="Times New Roman" w:eastAsia="Times New Roman"/>
          <w:spacing w:val="-26"/>
        </w:rPr>
        <w:t xml:space="preserve"> </w:t>
      </w:r>
      <w:r>
        <w:t>以下的输送泵以及搅拌机等国产设备已占主导地位。</w:t>
      </w:r>
    </w:p>
    <w:p>
      <w:pPr>
        <w:pStyle w:val="Heading1"/>
        <w:spacing w:before="273"/>
      </w:pPr>
      <w:r>
        <w:t>四、混凝土搅拌站行业展望</w:t>
      </w:r>
    </w:p>
    <w:p>
      <w:pPr>
        <w:pStyle w:val="BodyText"/>
        <w:spacing w:before="362" w:line="280" w:lineRule="auto"/>
        <w:ind w:left="2700" w:right="2943" w:firstLine="838"/>
        <w:jc w:val="both"/>
      </w:pPr>
      <w:r>
        <w:t>我国商品混凝土行业现在正处在一个快速发展的轨道上，这一方面得益于政府的政策导向的强大作用，一方面也归结于我国正处在一个经济腾飞、建筑业蓬勃的良好形势下。各大工程项目相继开工，都在为我国混凝土行业做出杰出的贡献。</w:t>
      </w:r>
    </w:p>
    <w:p>
      <w:pPr>
        <w:pStyle w:val="BodyText"/>
        <w:spacing w:before="271" w:line="280" w:lineRule="auto"/>
        <w:ind w:left="2700" w:right="2945" w:firstLine="838"/>
      </w:pPr>
      <w:r>
        <w:t>随着商品混凝土行业不断地发展和完善，行业整体发展趋势将呈现下列特点：</w:t>
      </w:r>
    </w:p>
    <w:p>
      <w:pPr>
        <w:pStyle w:val="BodyText"/>
        <w:spacing w:before="272"/>
        <w:ind w:left="3539"/>
      </w:pPr>
      <w:r>
        <w:rPr>
          <w:rFonts w:ascii="Times New Roman" w:eastAsia="Times New Roman" w:hAnsi="Times New Roman"/>
        </w:rPr>
        <w:t>1</w:t>
      </w:r>
      <w:r>
        <w:t>、现场搅拌→商品化（资源、环保）</w:t>
      </w:r>
    </w:p>
    <w:p>
      <w:pPr>
        <w:pStyle w:val="BodyText"/>
        <w:spacing w:before="362"/>
        <w:ind w:left="3539"/>
      </w:pPr>
      <w:r>
        <w:rPr>
          <w:rFonts w:ascii="Times New Roman" w:eastAsia="Times New Roman" w:hAnsi="Times New Roman"/>
        </w:rPr>
        <w:t>2</w:t>
      </w:r>
      <w:r>
        <w:t>、分散化→集团化（获得话语权）</w:t>
      </w:r>
    </w:p>
    <w:p>
      <w:pPr>
        <w:pStyle w:val="BodyText"/>
        <w:spacing w:before="361"/>
        <w:ind w:left="3539"/>
      </w:pPr>
      <w:r>
        <w:rPr>
          <w:rFonts w:ascii="Times New Roman" w:eastAsia="Times New Roman" w:hAnsi="Times New Roman"/>
        </w:rPr>
        <w:t>3</w:t>
      </w:r>
      <w:r>
        <w:t>、粗放型→技术型（获得合理利润）</w:t>
      </w:r>
    </w:p>
    <w:p>
      <w:pPr>
        <w:spacing w:before="362" w:line="400" w:lineRule="auto"/>
        <w:ind w:left="2700" w:right="8212" w:firstLine="838"/>
        <w:jc w:val="left"/>
        <w:rPr>
          <w:b/>
          <w:sz w:val="42"/>
        </w:rPr>
      </w:pPr>
      <w:r>
        <w:rPr>
          <w:rFonts w:ascii="Times New Roman" w:eastAsia="Times New Roman" w:hAnsi="Times New Roman"/>
          <w:sz w:val="42"/>
        </w:rPr>
        <w:t>4</w:t>
      </w:r>
      <w:r>
        <w:rPr>
          <w:sz w:val="42"/>
        </w:rPr>
        <w:t xml:space="preserve">、重数量→重品牌（质量效应） </w:t>
      </w:r>
      <w:r>
        <w:rPr>
          <w:b/>
          <w:sz w:val="42"/>
        </w:rPr>
        <w:t>五、混凝土搅拌站设备特点</w:t>
      </w:r>
    </w:p>
    <w:p>
      <w:pPr>
        <w:pStyle w:val="BodyText"/>
        <w:spacing w:before="3"/>
        <w:ind w:left="3539"/>
      </w:pPr>
      <w:r>
        <w:rPr>
          <w:rFonts w:ascii="Times New Roman" w:eastAsia="Times New Roman"/>
        </w:rPr>
        <w:t>1</w:t>
      </w:r>
      <w:r>
        <w:t>、骨料配料系统（配料机）</w:t>
      </w:r>
    </w:p>
    <w:p>
      <w:pPr>
        <w:pStyle w:val="BodyText"/>
        <w:spacing w:before="363" w:line="280" w:lineRule="auto"/>
        <w:ind w:left="2700" w:right="2943" w:firstLine="838"/>
        <w:jc w:val="both"/>
      </w:pPr>
      <w:r>
        <w:t>骨料配料系统采用四仓一字型模块式结构，骨料仓仓体为锥形结构，每个储料斗底部设有两个卸料门，用气缸控制料门的开启。各骨料仓设有振动装置，以保证下料干净、顺畅。骨料计量方式为单独计量，采用粗精称功能。</w:t>
      </w:r>
    </w:p>
    <w:p>
      <w:pPr>
        <w:spacing w:after="0" w:line="280" w:lineRule="auto"/>
        <w:jc w:val="both"/>
        <w:sectPr>
          <w:headerReference w:type="default" r:id="rId7"/>
          <w:pgSz w:w="17860" w:h="25260"/>
          <w:pgMar w:top="1300" w:right="0" w:bottom="280" w:left="0" w:header="897" w:footer="0"/>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pStyle w:val="BodyText"/>
        <w:spacing w:before="43" w:line="280" w:lineRule="auto"/>
        <w:ind w:left="2700" w:right="2945" w:firstLine="838"/>
      </w:pPr>
      <w:r>
        <w:drawing>
          <wp:anchor distT="0" distB="0" distL="0" distR="0" simplePos="0" relativeHeight="251658240" behindDoc="0" locked="0" layoutInCell="1" allowOverlap="1">
            <wp:simplePos x="0" y="0"/>
            <wp:positionH relativeFrom="page">
              <wp:posOffset>0</wp:posOffset>
            </wp:positionH>
            <wp:positionV relativeFrom="paragraph">
              <wp:posOffset>-2558923</wp:posOffset>
            </wp:positionV>
            <wp:extent cx="11340845" cy="2413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11340845" cy="2413000"/>
                    </a:xfrm>
                    <a:prstGeom prst="rect">
                      <a:avLst/>
                    </a:prstGeom>
                  </pic:spPr>
                </pic:pic>
              </a:graphicData>
            </a:graphic>
          </wp:anchor>
        </w:drawing>
      </w:r>
      <w:r>
        <w:t>配料站采用模块式结构，单独计量，可按用户要求提供砂含水率测量仪；</w:t>
      </w:r>
    </w:p>
    <w:p>
      <w:pPr>
        <w:pStyle w:val="BodyText"/>
        <w:spacing w:before="271"/>
        <w:ind w:left="3539"/>
      </w:pPr>
      <w:r>
        <w:t>采用粗精称门下料，称量时间短、精度高；</w:t>
      </w:r>
    </w:p>
    <w:p>
      <w:pPr>
        <w:pStyle w:val="BodyText"/>
        <w:spacing w:before="362" w:line="280" w:lineRule="auto"/>
        <w:ind w:left="2700" w:right="2945" w:firstLine="838"/>
      </w:pPr>
      <w:r>
        <w:t>各骨料仓设有振动装置，以保证下料顺畅。整个骨料仓结构充分考虑上料方便，下料顺畅的要求。</w:t>
      </w:r>
    </w:p>
    <w:p>
      <w:pPr>
        <w:pStyle w:val="BodyText"/>
        <w:spacing w:before="271"/>
        <w:ind w:left="3539"/>
      </w:pPr>
      <w:r>
        <w:rPr>
          <w:rFonts w:ascii="Arial" w:eastAsia="Arial"/>
        </w:rPr>
        <w:t>2</w:t>
      </w:r>
      <w:r>
        <w:t>、皮带输送系统</w:t>
      </w:r>
    </w:p>
    <w:p>
      <w:pPr>
        <w:pStyle w:val="BodyText"/>
        <w:spacing w:before="362" w:line="280" w:lineRule="auto"/>
        <w:ind w:left="2700" w:right="2598" w:firstLine="838"/>
      </w:pPr>
      <w:r>
        <w:drawing>
          <wp:anchor distT="0" distB="0" distL="0" distR="0" simplePos="0" relativeHeight="251659264" behindDoc="0" locked="0" layoutInCell="1" allowOverlap="1">
            <wp:simplePos x="0" y="0"/>
            <wp:positionH relativeFrom="page">
              <wp:posOffset>0</wp:posOffset>
            </wp:positionH>
            <wp:positionV relativeFrom="paragraph">
              <wp:posOffset>1986534</wp:posOffset>
            </wp:positionV>
            <wp:extent cx="11340845" cy="24130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9" cstate="print"/>
                    <a:stretch>
                      <a:fillRect/>
                    </a:stretch>
                  </pic:blipFill>
                  <pic:spPr>
                    <a:xfrm>
                      <a:off x="0" y="0"/>
                      <a:ext cx="11340845" cy="2413000"/>
                    </a:xfrm>
                    <a:prstGeom prst="rect">
                      <a:avLst/>
                    </a:prstGeom>
                  </pic:spPr>
                </pic:pic>
              </a:graphicData>
            </a:graphic>
          </wp:anchor>
        </w:drawing>
      </w:r>
      <w:r>
        <w:t xml:space="preserve">小倾角 </w:t>
      </w:r>
      <w:r>
        <w:rPr>
          <w:rFonts w:ascii="Arial" w:eastAsia="Arial"/>
        </w:rPr>
        <w:t xml:space="preserve">18 </w:t>
      </w:r>
      <w:r>
        <w:t>度斜皮带机由驱动滚筒、改向滚筒、头架、尾架、中间桁架、支腿、槽托辊、平托辊、皮带、爬梯及防尘罩等组成。斜皮带机、骨料配料系统的平皮带机均设有双向拉绳开关，工作状态出现紧急情况时，拉动拉绳开关，设备即停止工作。</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43"/>
        </w:rPr>
      </w:pPr>
    </w:p>
    <w:p>
      <w:pPr>
        <w:pStyle w:val="BodyText"/>
        <w:ind w:left="3539"/>
      </w:pPr>
      <w:r>
        <w:t>清扫器刮料板清扫效果好，使用寿命长；</w:t>
      </w:r>
    </w:p>
    <w:p>
      <w:pPr>
        <w:pStyle w:val="BodyText"/>
        <w:spacing w:before="363"/>
        <w:ind w:left="3539"/>
      </w:pPr>
      <w:r>
        <w:t>机架设计成标准节，便于制作、运输及安装；</w:t>
      </w:r>
    </w:p>
    <w:p>
      <w:pPr>
        <w:pStyle w:val="BodyText"/>
        <w:spacing w:before="362" w:line="280" w:lineRule="auto"/>
        <w:ind w:left="2700" w:right="2945" w:firstLine="838"/>
      </w:pPr>
      <w:r>
        <w:t>整个皮带输送机采用机罩密封，有效降低环境污染，并配有检修走道和安全扶手</w:t>
      </w:r>
      <w:r>
        <w:rPr>
          <w:rFonts w:ascii="Arial" w:eastAsia="Arial"/>
        </w:rPr>
        <w:t>,</w:t>
      </w:r>
      <w:r>
        <w:t>方便日常的维护保养等工作；</w:t>
      </w:r>
    </w:p>
    <w:p>
      <w:pPr>
        <w:pStyle w:val="BodyText"/>
        <w:spacing w:before="271" w:line="280" w:lineRule="auto"/>
        <w:ind w:left="2700" w:right="2945" w:firstLine="838"/>
      </w:pPr>
      <w:r>
        <w:t>斜皮带尾部装有调节挡料板可有效调节骨料落点，有效防止皮带跑偏。</w:t>
      </w:r>
    </w:p>
    <w:p>
      <w:pPr>
        <w:spacing w:after="0" w:line="280" w:lineRule="auto"/>
        <w:sectPr>
          <w:headerReference w:type="default" r:id="rId10"/>
          <w:pgSz w:w="17860" w:h="25260"/>
          <w:pgMar w:top="1300" w:right="0" w:bottom="280" w:left="0" w:header="897" w:footer="0"/>
          <w:pgNumType w:start="5"/>
          <w:cols w:space="708"/>
        </w:sectPr>
      </w:pPr>
    </w:p>
    <w:p>
      <w:pPr>
        <w:pStyle w:val="BodyText"/>
        <w:rPr>
          <w:sz w:val="20"/>
        </w:rPr>
      </w:pPr>
    </w:p>
    <w:p>
      <w:pPr>
        <w:pStyle w:val="BodyText"/>
        <w:spacing w:before="4"/>
        <w:rPr>
          <w:sz w:val="18"/>
        </w:rPr>
      </w:pPr>
    </w:p>
    <w:p>
      <w:pPr>
        <w:pStyle w:val="BodyText"/>
        <w:spacing w:before="91"/>
        <w:ind w:left="3539"/>
      </w:pPr>
      <w:r>
        <w:rPr>
          <w:rFonts w:ascii="Times New Roman" w:eastAsia="Times New Roman"/>
        </w:rPr>
        <w:t>3</w:t>
      </w:r>
      <w:r>
        <w:t>、粉料存储、输送系统</w:t>
      </w:r>
    </w:p>
    <w:p>
      <w:pPr>
        <w:pStyle w:val="BodyText"/>
        <w:tabs>
          <w:tab w:val="left" w:pos="13019"/>
        </w:tabs>
        <w:spacing w:before="363" w:line="280" w:lineRule="auto"/>
        <w:ind w:left="2700" w:right="2705" w:firstLine="838"/>
      </w:pPr>
      <w:r>
        <w:drawing>
          <wp:anchor distT="0" distB="0" distL="0" distR="0" simplePos="0" relativeHeight="251660288" behindDoc="0" locked="0" layoutInCell="1" allowOverlap="1">
            <wp:simplePos x="0" y="0"/>
            <wp:positionH relativeFrom="page">
              <wp:posOffset>0</wp:posOffset>
            </wp:positionH>
            <wp:positionV relativeFrom="paragraph">
              <wp:posOffset>1987676</wp:posOffset>
            </wp:positionV>
            <wp:extent cx="11340845" cy="24130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1" cstate="print"/>
                    <a:stretch>
                      <a:fillRect/>
                    </a:stretch>
                  </pic:blipFill>
                  <pic:spPr>
                    <a:xfrm>
                      <a:off x="0" y="0"/>
                      <a:ext cx="11340845" cy="2413000"/>
                    </a:xfrm>
                    <a:prstGeom prst="rect">
                      <a:avLst/>
                    </a:prstGeom>
                  </pic:spPr>
                </pic:pic>
              </a:graphicData>
            </a:graphic>
          </wp:anchor>
        </w:drawing>
      </w:r>
      <w:r>
        <w:t>根据客户的需求，提供最佳的粉料存储及输送配置。粉料仓分别有：</w:t>
      </w:r>
      <w:r>
        <w:rPr>
          <w:spacing w:val="-160"/>
        </w:rPr>
        <w:t xml:space="preserve"> </w:t>
      </w:r>
      <w:r>
        <w:rPr>
          <w:rFonts w:ascii="Times New Roman" w:eastAsia="Times New Roman" w:hAnsi="Times New Roman"/>
          <w:spacing w:val="3"/>
        </w:rPr>
        <w:t>50T</w:t>
      </w:r>
      <w:r>
        <w:rPr>
          <w:spacing w:val="14"/>
        </w:rPr>
        <w:t>、</w:t>
      </w:r>
      <w:r>
        <w:rPr>
          <w:rFonts w:ascii="Times New Roman" w:eastAsia="Times New Roman" w:hAnsi="Times New Roman"/>
        </w:rPr>
        <w:t>100T</w:t>
      </w:r>
      <w:r>
        <w:rPr>
          <w:spacing w:val="14"/>
        </w:rPr>
        <w:t>、</w:t>
      </w:r>
      <w:r>
        <w:rPr>
          <w:rFonts w:ascii="Times New Roman" w:eastAsia="Times New Roman" w:hAnsi="Times New Roman"/>
          <w:spacing w:val="2"/>
        </w:rPr>
        <w:t>200T</w:t>
      </w:r>
      <w:r>
        <w:t>。粉料仓配置料位计、气动破拱装置、电动或脉冲除尘器、压力安全阀。螺旋输送机分别有：Φ</w:t>
        <w:tab/>
      </w:r>
      <w:r>
        <w:rPr>
          <w:rFonts w:ascii="Times New Roman" w:eastAsia="Times New Roman" w:hAnsi="Times New Roman"/>
        </w:rPr>
        <w:t>219mm</w:t>
      </w:r>
      <w:r>
        <w:t>、</w:t>
      </w:r>
      <w:r>
        <w:rPr>
          <w:spacing w:val="-16"/>
        </w:rPr>
        <w:t xml:space="preserve">Φ </w:t>
      </w:r>
      <w:r>
        <w:rPr>
          <w:rFonts w:ascii="Times New Roman" w:eastAsia="Times New Roman" w:hAnsi="Times New Roman"/>
        </w:rPr>
        <w:t>273mm</w:t>
      </w:r>
      <w:r>
        <w:t>、Φ</w:t>
      </w:r>
      <w:r>
        <w:rPr>
          <w:rFonts w:ascii="Times New Roman" w:eastAsia="Times New Roman" w:hAnsi="Times New Roman"/>
        </w:rPr>
        <w:t>323mm</w:t>
      </w:r>
      <w:r>
        <w:t>，根据实际产能要求分类配置。</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11"/>
        <w:rPr>
          <w:sz w:val="54"/>
        </w:rPr>
      </w:pPr>
    </w:p>
    <w:p>
      <w:pPr>
        <w:pStyle w:val="BodyText"/>
        <w:ind w:left="3539"/>
      </w:pPr>
      <w:r>
        <w:rPr>
          <w:rFonts w:ascii="Times New Roman" w:eastAsia="Times New Roman"/>
        </w:rPr>
        <w:t>4</w:t>
      </w:r>
      <w:r>
        <w:t>、粉料、水、添加剂计量系统</w:t>
      </w:r>
    </w:p>
    <w:p>
      <w:pPr>
        <w:pStyle w:val="BodyText"/>
        <w:spacing w:before="9"/>
        <w:rPr>
          <w:sz w:val="48"/>
        </w:rPr>
      </w:pPr>
    </w:p>
    <w:p>
      <w:pPr>
        <w:pStyle w:val="BodyText"/>
        <w:spacing w:before="1" w:line="280" w:lineRule="auto"/>
        <w:ind w:left="2700" w:right="2943" w:firstLine="838"/>
        <w:jc w:val="both"/>
      </w:pPr>
      <w:r>
        <w:drawing>
          <wp:anchor distT="0" distB="0" distL="0" distR="0" simplePos="0" relativeHeight="251661312" behindDoc="0" locked="0" layoutInCell="1" allowOverlap="1">
            <wp:simplePos x="0" y="0"/>
            <wp:positionH relativeFrom="page">
              <wp:posOffset>0</wp:posOffset>
            </wp:positionH>
            <wp:positionV relativeFrom="paragraph">
              <wp:posOffset>1357249</wp:posOffset>
            </wp:positionV>
            <wp:extent cx="11340845" cy="3441573"/>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2" cstate="print"/>
                    <a:stretch>
                      <a:fillRect/>
                    </a:stretch>
                  </pic:blipFill>
                  <pic:spPr>
                    <a:xfrm>
                      <a:off x="0" y="0"/>
                      <a:ext cx="11340845" cy="3441573"/>
                    </a:xfrm>
                    <a:prstGeom prst="rect">
                      <a:avLst/>
                    </a:prstGeom>
                  </pic:spPr>
                </pic:pic>
              </a:graphicData>
            </a:graphic>
          </wp:anchor>
        </w:drawing>
      </w:r>
      <w:r>
        <w:t>全部采用单独计量，大容量计量斗设计，可满足不同标号的混凝土生产。传感器、蝶阀、气动球阀全部为品牌产品，保证了精确计量。</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43"/>
        </w:rPr>
      </w:pPr>
    </w:p>
    <w:p>
      <w:pPr>
        <w:pStyle w:val="BodyText"/>
        <w:ind w:left="3539"/>
      </w:pPr>
      <w:r>
        <w:rPr>
          <w:rFonts w:ascii="Times New Roman" w:eastAsia="Times New Roman"/>
        </w:rPr>
        <w:t>5</w:t>
      </w:r>
      <w:r>
        <w:t>、搅拌系统</w:t>
      </w:r>
    </w:p>
    <w:p>
      <w:pPr>
        <w:pStyle w:val="BodyText"/>
        <w:spacing w:before="362" w:line="280" w:lineRule="auto"/>
        <w:ind w:left="2700" w:right="2943" w:firstLine="838"/>
        <w:jc w:val="both"/>
      </w:pPr>
      <w:r>
        <w:rPr>
          <w:spacing w:val="-1"/>
        </w:rPr>
        <w:t>搅拌主机结合目前国内外先进的技术，依据流体力学与摩擦学科研究成果开发设计，效率高、性能可靠。同时可根据客户要求配</w:t>
      </w:r>
      <w:r>
        <w:rPr>
          <w:spacing w:val="-52"/>
        </w:rPr>
        <w:t xml:space="preserve">置 </w:t>
      </w:r>
      <w:r>
        <w:rPr>
          <w:rFonts w:ascii="Times New Roman" w:eastAsia="Times New Roman"/>
        </w:rPr>
        <w:t>SICOMA</w:t>
      </w:r>
      <w:r>
        <w:t>、三一等国内知名品牌主机。</w:t>
      </w:r>
    </w:p>
    <w:p>
      <w:pPr>
        <w:spacing w:after="0" w:line="280" w:lineRule="auto"/>
        <w:jc w:val="both"/>
        <w:sectPr>
          <w:headerReference w:type="default" r:id="rId13"/>
          <w:pgSz w:w="17860" w:h="25260"/>
          <w:pgMar w:top="1300" w:right="0" w:bottom="280" w:left="0" w:header="897" w:footer="0"/>
          <w:pgNumType w:start="6"/>
          <w:cols w:space="708"/>
        </w:sectPr>
      </w:pPr>
    </w:p>
    <w:p>
      <w:pPr>
        <w:pStyle w:val="BodyText"/>
        <w:rPr>
          <w:sz w:val="20"/>
        </w:rPr>
      </w:pPr>
    </w:p>
    <w:p>
      <w:pPr>
        <w:pStyle w:val="BodyText"/>
        <w:spacing w:before="2"/>
        <w:rPr>
          <w:sz w:val="22"/>
        </w:rPr>
      </w:pPr>
    </w:p>
    <w:p>
      <w:pPr>
        <w:pStyle w:val="BodyText"/>
        <w:spacing w:before="42" w:line="280" w:lineRule="auto"/>
        <w:ind w:left="2700" w:right="2945" w:firstLine="838"/>
      </w:pPr>
      <w:r>
        <w:t>多搅刀设计、独特的反顺螺旋及强烈的空间涡旋运动搅拌机机理设计，使得混凝土均质度达到达到最佳效果；</w:t>
      </w:r>
    </w:p>
    <w:p>
      <w:pPr>
        <w:pStyle w:val="BodyText"/>
        <w:spacing w:before="271" w:line="280" w:lineRule="auto"/>
        <w:ind w:left="2700" w:right="2945" w:firstLine="838"/>
      </w:pPr>
      <w:r>
        <w:t>衬板、叶片材质为高铬耐磨铸铁，对其倾角进行了有限元分析搅拌效果好，速度快，使用寿命长；</w:t>
      </w:r>
    </w:p>
    <w:p>
      <w:pPr>
        <w:pStyle w:val="BodyText"/>
        <w:spacing w:before="271" w:line="280" w:lineRule="auto"/>
        <w:ind w:left="2700" w:right="2943" w:firstLine="838"/>
        <w:jc w:val="both"/>
      </w:pPr>
      <w:r>
        <w:t>辆端支承与轴端密封分离，轴端密封采用多点注油压力密封、迷宫密封、密封圈密封及浮动密封等多重密封保护，使得轴端密封更加可靠；</w:t>
      </w:r>
    </w:p>
    <w:p>
      <w:pPr>
        <w:pStyle w:val="BodyText"/>
        <w:spacing w:before="271"/>
        <w:ind w:left="3539"/>
      </w:pPr>
      <w:r>
        <w:t>重型设计，减振，平稳。</w:t>
      </w:r>
    </w:p>
    <w:p>
      <w:pPr>
        <w:pStyle w:val="BodyText"/>
        <w:spacing w:before="363"/>
        <w:ind w:left="3539"/>
      </w:pPr>
      <w:r>
        <w:drawing>
          <wp:anchor distT="0" distB="0" distL="0" distR="0" simplePos="0" relativeHeight="251662336" behindDoc="0" locked="0" layoutInCell="1" allowOverlap="1">
            <wp:simplePos x="0" y="0"/>
            <wp:positionH relativeFrom="page">
              <wp:posOffset>0</wp:posOffset>
            </wp:positionH>
            <wp:positionV relativeFrom="paragraph">
              <wp:posOffset>787019</wp:posOffset>
            </wp:positionV>
            <wp:extent cx="11340845" cy="24130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4" cstate="print"/>
                    <a:stretch>
                      <a:fillRect/>
                    </a:stretch>
                  </pic:blipFill>
                  <pic:spPr>
                    <a:xfrm>
                      <a:off x="0" y="0"/>
                      <a:ext cx="11340845" cy="2413000"/>
                    </a:xfrm>
                    <a:prstGeom prst="rect">
                      <a:avLst/>
                    </a:prstGeom>
                  </pic:spPr>
                </pic:pic>
              </a:graphicData>
            </a:graphic>
          </wp:anchor>
        </w:drawing>
      </w:r>
      <w:r>
        <w:rPr>
          <w:spacing w:val="6"/>
        </w:rPr>
        <w:t xml:space="preserve">集中润滑系统采用 </w:t>
      </w:r>
      <w:r>
        <w:rPr>
          <w:rFonts w:ascii="Arial" w:eastAsia="Arial"/>
        </w:rPr>
        <w:t>380V</w:t>
      </w:r>
      <w:r>
        <w:rPr>
          <w:rFonts w:ascii="Arial" w:eastAsia="Arial"/>
          <w:spacing w:val="55"/>
        </w:rPr>
        <w:t xml:space="preserve"> </w:t>
      </w:r>
      <w:r>
        <w:t>强力电机，可迅速将润滑油注至轴头。</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5"/>
        <w:rPr>
          <w:sz w:val="68"/>
        </w:rPr>
      </w:pPr>
    </w:p>
    <w:p>
      <w:pPr>
        <w:pStyle w:val="BodyText"/>
        <w:ind w:left="3539"/>
      </w:pPr>
      <w:r>
        <w:rPr>
          <w:rFonts w:ascii="Arial" w:eastAsia="Arial"/>
        </w:rPr>
        <w:t>6</w:t>
      </w:r>
      <w:r>
        <w:t>、除尘系统</w:t>
      </w:r>
    </w:p>
    <w:p>
      <w:pPr>
        <w:pStyle w:val="BodyText"/>
        <w:spacing w:before="362" w:line="280" w:lineRule="auto"/>
        <w:ind w:left="2700" w:right="2943" w:firstLine="838"/>
        <w:jc w:val="both"/>
      </w:pPr>
      <w:r>
        <w:drawing>
          <wp:anchor distT="0" distB="0" distL="0" distR="0" simplePos="0" relativeHeight="251663360" behindDoc="0" locked="0" layoutInCell="1" allowOverlap="1">
            <wp:simplePos x="0" y="0"/>
            <wp:positionH relativeFrom="page">
              <wp:posOffset>0</wp:posOffset>
            </wp:positionH>
            <wp:positionV relativeFrom="paragraph">
              <wp:posOffset>1986152</wp:posOffset>
            </wp:positionV>
            <wp:extent cx="11340845" cy="3454273"/>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5" cstate="print"/>
                    <a:stretch>
                      <a:fillRect/>
                    </a:stretch>
                  </pic:blipFill>
                  <pic:spPr>
                    <a:xfrm>
                      <a:off x="0" y="0"/>
                      <a:ext cx="11340845" cy="3454273"/>
                    </a:xfrm>
                    <a:prstGeom prst="rect">
                      <a:avLst/>
                    </a:prstGeom>
                  </pic:spPr>
                </pic:pic>
              </a:graphicData>
            </a:graphic>
          </wp:anchor>
        </w:drawing>
      </w:r>
      <w:r>
        <w:t>主楼内设有除尘器，除尘器为布袋式除尘，由振动电机、轴流风机、圆筒、顶盖、箱体等组成。布袋除尘充分利用了布袋的可伸缩性和密封性，布袋采用帆布制作而成，结构简单，成本低，能有效的避免粉尘外漏。</w:t>
      </w:r>
    </w:p>
    <w:p>
      <w:pPr>
        <w:spacing w:after="0" w:line="280" w:lineRule="auto"/>
        <w:jc w:val="both"/>
        <w:sectPr>
          <w:headerReference w:type="default" r:id="rId16"/>
          <w:pgSz w:w="17860" w:h="25260"/>
          <w:pgMar w:top="1300" w:right="0" w:bottom="280" w:left="0" w:header="897" w:footer="0"/>
          <w:pgNumType w:start="7"/>
          <w:cols w:space="708"/>
        </w:sectPr>
      </w:pPr>
    </w:p>
    <w:p>
      <w:pPr>
        <w:pStyle w:val="BodyText"/>
        <w:rPr>
          <w:sz w:val="20"/>
        </w:rPr>
      </w:pPr>
    </w:p>
    <w:p>
      <w:pPr>
        <w:pStyle w:val="BodyText"/>
        <w:rPr>
          <w:sz w:val="20"/>
        </w:rPr>
      </w:pPr>
    </w:p>
    <w:p>
      <w:pPr>
        <w:pStyle w:val="BodyText"/>
        <w:rPr>
          <w:sz w:val="20"/>
        </w:rPr>
      </w:pPr>
    </w:p>
    <w:p>
      <w:pPr>
        <w:pStyle w:val="BodyText"/>
        <w:spacing w:before="3"/>
        <w:rPr>
          <w:sz w:val="27"/>
        </w:rPr>
      </w:pPr>
    </w:p>
    <w:p>
      <w:pPr>
        <w:pStyle w:val="BodyText"/>
        <w:spacing w:before="95"/>
        <w:ind w:left="3561"/>
      </w:pPr>
      <w:r>
        <w:rPr>
          <w:rFonts w:ascii="Times New Roman" w:eastAsia="Times New Roman"/>
        </w:rPr>
        <w:t>7</w:t>
      </w:r>
      <w:r>
        <w:t>、控制系统</w:t>
      </w:r>
    </w:p>
    <w:p>
      <w:pPr>
        <w:pStyle w:val="BodyText"/>
        <w:spacing w:before="362" w:line="280" w:lineRule="auto"/>
        <w:ind w:left="2700" w:right="2945" w:firstLine="838"/>
      </w:pPr>
      <w:r>
        <w:t>智能化的控制系统可自动控制混凝土的整个生产过程，实现混凝土的生产数据化管理。</w:t>
      </w:r>
    </w:p>
    <w:p>
      <w:pPr>
        <w:pStyle w:val="BodyText"/>
        <w:spacing w:before="270" w:line="280" w:lineRule="auto"/>
        <w:ind w:left="2700" w:right="2671" w:firstLine="838"/>
      </w:pPr>
      <w:r>
        <w:rPr>
          <w:spacing w:val="2"/>
        </w:rPr>
        <w:t xml:space="preserve">以 </w:t>
      </w:r>
      <w:r>
        <w:rPr>
          <w:rFonts w:ascii="Times New Roman" w:eastAsia="Times New Roman"/>
        </w:rPr>
        <w:t>Windows</w:t>
      </w:r>
      <w:r>
        <w:rPr>
          <w:rFonts w:ascii="Times New Roman" w:eastAsia="Times New Roman"/>
          <w:spacing w:val="54"/>
        </w:rPr>
        <w:t xml:space="preserve"> </w:t>
      </w:r>
      <w:r>
        <w:rPr>
          <w:spacing w:val="-1"/>
        </w:rPr>
        <w:t>为控制平台的多任务、多窗口、多用户的控制与管</w:t>
      </w:r>
      <w:r>
        <w:t>理系统；</w:t>
      </w:r>
    </w:p>
    <w:p>
      <w:pPr>
        <w:pStyle w:val="BodyText"/>
        <w:spacing w:before="271" w:line="280" w:lineRule="auto"/>
        <w:ind w:left="2700" w:right="2703" w:firstLine="838"/>
      </w:pPr>
      <w:r>
        <w:rPr>
          <w:spacing w:val="1"/>
        </w:rPr>
        <w:t>采用“工业触摸屏</w:t>
      </w:r>
      <w:r>
        <w:rPr>
          <w:rFonts w:ascii="Times New Roman" w:eastAsia="Times New Roman" w:hAnsi="Times New Roman"/>
          <w:spacing w:val="-4"/>
        </w:rPr>
        <w:t>+</w:t>
      </w:r>
      <w:r>
        <w:rPr>
          <w:spacing w:val="-1"/>
        </w:rPr>
        <w:t>微机控制系统”的监控组合把生产控制的可</w:t>
      </w:r>
      <w:r>
        <w:t>靠性放在首位。上位计算机监控系统对搅拌站生产全过程的数据信息进行实时同步监视；</w:t>
      </w:r>
    </w:p>
    <w:p>
      <w:pPr>
        <w:pStyle w:val="BodyText"/>
        <w:spacing w:before="272" w:line="280" w:lineRule="auto"/>
        <w:ind w:left="2700" w:right="2945" w:firstLine="838"/>
      </w:pPr>
      <w:r>
        <w:rPr>
          <w:spacing w:val="-1"/>
        </w:rPr>
        <w:t>系统的各种参数、状态和数据信息处于同步传输状态，生产模</w:t>
      </w:r>
      <w:r>
        <w:t>拟画面同步动态显示；</w:t>
      </w:r>
    </w:p>
    <w:p>
      <w:pPr>
        <w:pStyle w:val="BodyText"/>
        <w:spacing w:before="271" w:line="280" w:lineRule="auto"/>
        <w:ind w:left="2700" w:right="2945" w:firstLine="838"/>
      </w:pPr>
      <w:r>
        <w:t>当主机出现故障不能控制搅拌站正常生产时，仍可用工业触摸屏进行生产控制，从而保障生产正常运行，实现一机双控；</w:t>
      </w:r>
    </w:p>
    <w:p>
      <w:pPr>
        <w:pStyle w:val="BodyText"/>
        <w:spacing w:before="271"/>
        <w:ind w:left="3539"/>
      </w:pPr>
      <w:r>
        <w:drawing>
          <wp:anchor distT="0" distB="0" distL="0" distR="0" simplePos="0" relativeHeight="251664384" behindDoc="0" locked="0" layoutInCell="1" allowOverlap="1">
            <wp:simplePos x="0" y="0"/>
            <wp:positionH relativeFrom="page">
              <wp:posOffset>0</wp:posOffset>
            </wp:positionH>
            <wp:positionV relativeFrom="paragraph">
              <wp:posOffset>728599</wp:posOffset>
            </wp:positionV>
            <wp:extent cx="11340845" cy="6184773"/>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7" cstate="print"/>
                    <a:stretch>
                      <a:fillRect/>
                    </a:stretch>
                  </pic:blipFill>
                  <pic:spPr>
                    <a:xfrm>
                      <a:off x="0" y="0"/>
                      <a:ext cx="11340845" cy="6184773"/>
                    </a:xfrm>
                    <a:prstGeom prst="rect">
                      <a:avLst/>
                    </a:prstGeom>
                  </pic:spPr>
                </pic:pic>
              </a:graphicData>
            </a:graphic>
          </wp:anchor>
        </w:drawing>
      </w:r>
      <w:r>
        <w:t>配备高清摄像监视器，在控制室监控整个搅拌站的工作情况。</w:t>
      </w:r>
    </w:p>
    <w:p>
      <w:pPr>
        <w:spacing w:after="0"/>
        <w:sectPr>
          <w:headerReference w:type="default" r:id="rId18"/>
          <w:pgSz w:w="17860" w:h="25260"/>
          <w:pgMar w:top="1300" w:right="0" w:bottom="280" w:left="0" w:header="897" w:footer="0"/>
          <w:pgNumType w:start="8"/>
          <w:cols w:space="708"/>
        </w:sectPr>
      </w:pPr>
    </w:p>
    <w:p>
      <w:pPr>
        <w:pStyle w:val="BodyText"/>
        <w:rPr>
          <w:sz w:val="20"/>
        </w:rPr>
      </w:pPr>
      <w:r>
        <w:pict>
          <v:shapetype id="_x0000_t202" coordsize="21600,21600" o:spt="202" path="m,l,21600r21600,l21600,xe">
            <v:stroke joinstyle="miter"/>
            <v:path gradientshapeok="t" o:connecttype="rect"/>
          </v:shapetype>
          <v:shape id="_x0000_s1025" type="#_x0000_t202" style="width:732.6pt;height:659.2pt;margin-top:603.7pt;margin-left:-2.5pt;mso-position-horizontal-relative:page;mso-position-vertical-relative:page;position:absolute;z-index:25166540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44"/>
                    <w:gridCol w:w="1065"/>
                    <w:gridCol w:w="1085"/>
                    <w:gridCol w:w="1083"/>
                    <w:gridCol w:w="1173"/>
                    <w:gridCol w:w="1265"/>
                    <w:gridCol w:w="113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78"/>
                      <w:jc w:val="left"/>
                    </w:trPr>
                    <w:tc>
                      <w:tcPr>
                        <w:tcW w:w="7844" w:type="dxa"/>
                      </w:tcPr>
                      <w:p>
                        <w:pPr>
                          <w:pStyle w:val="TableParagraph"/>
                          <w:spacing w:before="0" w:line="368" w:lineRule="exact"/>
                          <w:ind w:left="5133"/>
                          <w:rPr>
                            <w:b w:val="0"/>
                            <w:sz w:val="31"/>
                          </w:rPr>
                        </w:pPr>
                        <w:r>
                          <w:rPr>
                            <w:rFonts w:ascii="隶书" w:eastAsia="隶书" w:hint="eastAsia"/>
                            <w:color w:val="202020"/>
                            <w:spacing w:val="-19"/>
                            <w:w w:val="95"/>
                            <w:sz w:val="31"/>
                          </w:rPr>
                          <w:t xml:space="preserve">计量范围 </w:t>
                        </w:r>
                        <w:r>
                          <w:rPr>
                            <w:b w:val="0"/>
                            <w:color w:val="202020"/>
                            <w:w w:val="95"/>
                            <w:sz w:val="31"/>
                          </w:rPr>
                          <w:t>kg 0-3000</w:t>
                        </w:r>
                      </w:p>
                      <w:p>
                        <w:pPr>
                          <w:pStyle w:val="TableParagraph"/>
                          <w:tabs>
                            <w:tab w:val="left" w:pos="6833"/>
                          </w:tabs>
                          <w:spacing w:before="121"/>
                          <w:ind w:left="5133"/>
                          <w:rPr>
                            <w:b w:val="0"/>
                            <w:sz w:val="31"/>
                          </w:rPr>
                        </w:pPr>
                        <w:r>
                          <w:rPr>
                            <w:rFonts w:ascii="隶书" w:eastAsia="隶书" w:hAnsi="隶书" w:hint="eastAsia"/>
                            <w:color w:val="202020"/>
                            <w:sz w:val="31"/>
                          </w:rPr>
                          <w:t>计量精度</w:t>
                          <w:tab/>
                          <w:t>±</w:t>
                        </w:r>
                        <w:r>
                          <w:rPr>
                            <w:b w:val="0"/>
                            <w:color w:val="202020"/>
                            <w:sz w:val="31"/>
                          </w:rPr>
                          <w:t>2%</w:t>
                        </w:r>
                      </w:p>
                      <w:p>
                        <w:pPr>
                          <w:pStyle w:val="TableParagraph"/>
                          <w:spacing w:before="57"/>
                          <w:ind w:left="5133"/>
                          <w:rPr>
                            <w:b w:val="0"/>
                            <w:sz w:val="31"/>
                          </w:rPr>
                        </w:pPr>
                        <w:r>
                          <w:rPr>
                            <w:rFonts w:ascii="隶书" w:eastAsia="隶书" w:hint="eastAsia"/>
                            <w:color w:val="202020"/>
                            <w:spacing w:val="-23"/>
                            <w:sz w:val="31"/>
                          </w:rPr>
                          <w:t xml:space="preserve">计量范围 </w:t>
                        </w:r>
                        <w:r>
                          <w:rPr>
                            <w:b w:val="0"/>
                            <w:color w:val="202020"/>
                            <w:sz w:val="31"/>
                          </w:rPr>
                          <w:t>kg</w:t>
                        </w:r>
                        <w:r>
                          <w:rPr>
                            <w:b w:val="0"/>
                            <w:color w:val="202020"/>
                            <w:spacing w:val="-54"/>
                            <w:sz w:val="31"/>
                          </w:rPr>
                          <w:t xml:space="preserve"> </w:t>
                        </w:r>
                        <w:r>
                          <w:rPr>
                            <w:b w:val="0"/>
                            <w:color w:val="202020"/>
                            <w:sz w:val="31"/>
                          </w:rPr>
                          <w:t>0-700</w:t>
                        </w:r>
                      </w:p>
                      <w:p>
                        <w:pPr>
                          <w:pStyle w:val="TableParagraph"/>
                          <w:spacing w:before="0"/>
                          <w:ind w:left="0"/>
                          <w:rPr>
                            <w:rFonts w:ascii="隶书"/>
                            <w:sz w:val="34"/>
                          </w:rPr>
                        </w:pPr>
                      </w:p>
                      <w:p>
                        <w:pPr>
                          <w:pStyle w:val="TableParagraph"/>
                          <w:spacing w:before="301"/>
                          <w:ind w:left="3026" w:right="4157"/>
                          <w:jc w:val="center"/>
                          <w:rPr>
                            <w:rFonts w:ascii="隶书" w:eastAsia="隶书" w:hint="eastAsia"/>
                            <w:sz w:val="31"/>
                          </w:rPr>
                        </w:pPr>
                        <w:r>
                          <w:rPr>
                            <w:rFonts w:ascii="隶书" w:eastAsia="隶书" w:hint="eastAsia"/>
                            <w:color w:val="202020"/>
                            <w:sz w:val="31"/>
                          </w:rPr>
                          <w:t>水秤</w:t>
                        </w:r>
                      </w:p>
                    </w:tc>
                    <w:tc>
                      <w:tcPr>
                        <w:tcW w:w="1065" w:type="dxa"/>
                      </w:tcPr>
                      <w:p>
                        <w:pPr>
                          <w:pStyle w:val="TableParagraph"/>
                          <w:spacing w:before="0" w:line="352" w:lineRule="exact"/>
                          <w:ind w:left="73"/>
                          <w:rPr>
                            <w:b w:val="0"/>
                            <w:sz w:val="31"/>
                          </w:rPr>
                        </w:pPr>
                        <w:r>
                          <w:rPr>
                            <w:b w:val="0"/>
                            <w:color w:val="202020"/>
                            <w:w w:val="85"/>
                            <w:sz w:val="31"/>
                          </w:rPr>
                          <w:t>0-3000</w:t>
                        </w:r>
                      </w:p>
                      <w:p>
                        <w:pPr>
                          <w:pStyle w:val="TableParagraph"/>
                          <w:spacing w:before="137"/>
                          <w:ind w:left="73"/>
                          <w:rPr>
                            <w:b w:val="0"/>
                            <w:sz w:val="31"/>
                          </w:rPr>
                        </w:pPr>
                        <w:r>
                          <w:rPr>
                            <w:rFonts w:ascii="隶书" w:hAnsi="隶书"/>
                            <w:color w:val="202020"/>
                            <w:sz w:val="31"/>
                          </w:rPr>
                          <w:t>±</w:t>
                        </w:r>
                        <w:r>
                          <w:rPr>
                            <w:b w:val="0"/>
                            <w:color w:val="202020"/>
                            <w:sz w:val="31"/>
                          </w:rPr>
                          <w:t>2%</w:t>
                        </w:r>
                      </w:p>
                      <w:p>
                        <w:pPr>
                          <w:pStyle w:val="TableParagraph"/>
                          <w:spacing w:before="74"/>
                          <w:ind w:left="73"/>
                          <w:rPr>
                            <w:b w:val="0"/>
                            <w:sz w:val="31"/>
                          </w:rPr>
                        </w:pPr>
                        <w:r>
                          <w:rPr>
                            <w:b w:val="0"/>
                            <w:color w:val="202020"/>
                            <w:w w:val="95"/>
                            <w:sz w:val="31"/>
                          </w:rPr>
                          <w:t>0-700</w:t>
                        </w:r>
                      </w:p>
                    </w:tc>
                    <w:tc>
                      <w:tcPr>
                        <w:tcW w:w="1085" w:type="dxa"/>
                      </w:tcPr>
                      <w:p>
                        <w:pPr>
                          <w:pStyle w:val="TableParagraph"/>
                          <w:spacing w:before="0" w:line="352" w:lineRule="exact"/>
                          <w:ind w:left="95"/>
                          <w:rPr>
                            <w:b w:val="0"/>
                            <w:sz w:val="31"/>
                          </w:rPr>
                        </w:pPr>
                        <w:r>
                          <w:rPr>
                            <w:b w:val="0"/>
                            <w:color w:val="202020"/>
                            <w:w w:val="85"/>
                            <w:sz w:val="31"/>
                          </w:rPr>
                          <w:t>0-4500</w:t>
                        </w:r>
                      </w:p>
                      <w:p>
                        <w:pPr>
                          <w:pStyle w:val="TableParagraph"/>
                          <w:spacing w:before="137"/>
                          <w:ind w:left="95"/>
                          <w:rPr>
                            <w:b w:val="0"/>
                            <w:sz w:val="31"/>
                          </w:rPr>
                        </w:pPr>
                        <w:r>
                          <w:rPr>
                            <w:rFonts w:ascii="隶书" w:hAnsi="隶书"/>
                            <w:color w:val="202020"/>
                            <w:sz w:val="31"/>
                          </w:rPr>
                          <w:t>±</w:t>
                        </w:r>
                        <w:r>
                          <w:rPr>
                            <w:b w:val="0"/>
                            <w:color w:val="202020"/>
                            <w:sz w:val="31"/>
                          </w:rPr>
                          <w:t>2%</w:t>
                        </w:r>
                      </w:p>
                      <w:p>
                        <w:pPr>
                          <w:pStyle w:val="TableParagraph"/>
                          <w:spacing w:before="74"/>
                          <w:ind w:left="95"/>
                          <w:rPr>
                            <w:b w:val="0"/>
                            <w:sz w:val="31"/>
                          </w:rPr>
                        </w:pPr>
                        <w:r>
                          <w:rPr>
                            <w:b w:val="0"/>
                            <w:color w:val="202020"/>
                            <w:w w:val="85"/>
                            <w:sz w:val="31"/>
                          </w:rPr>
                          <w:t>0-1000</w:t>
                        </w:r>
                      </w:p>
                    </w:tc>
                    <w:tc>
                      <w:tcPr>
                        <w:tcW w:w="1083" w:type="dxa"/>
                      </w:tcPr>
                      <w:p>
                        <w:pPr>
                          <w:pStyle w:val="TableParagraph"/>
                          <w:spacing w:before="0" w:line="352" w:lineRule="exact"/>
                          <w:ind w:left="95"/>
                          <w:rPr>
                            <w:b w:val="0"/>
                            <w:sz w:val="31"/>
                          </w:rPr>
                        </w:pPr>
                        <w:r>
                          <w:rPr>
                            <w:b w:val="0"/>
                            <w:color w:val="202020"/>
                            <w:w w:val="85"/>
                            <w:sz w:val="31"/>
                          </w:rPr>
                          <w:t>0-4500</w:t>
                        </w:r>
                      </w:p>
                      <w:p>
                        <w:pPr>
                          <w:pStyle w:val="TableParagraph"/>
                          <w:spacing w:before="137"/>
                          <w:ind w:left="95"/>
                          <w:rPr>
                            <w:b w:val="0"/>
                            <w:sz w:val="31"/>
                          </w:rPr>
                        </w:pPr>
                        <w:r>
                          <w:rPr>
                            <w:rFonts w:ascii="隶书" w:hAnsi="隶书"/>
                            <w:color w:val="202020"/>
                            <w:sz w:val="31"/>
                          </w:rPr>
                          <w:t>±</w:t>
                        </w:r>
                        <w:r>
                          <w:rPr>
                            <w:b w:val="0"/>
                            <w:color w:val="202020"/>
                            <w:sz w:val="31"/>
                          </w:rPr>
                          <w:t>2%</w:t>
                        </w:r>
                      </w:p>
                      <w:p>
                        <w:pPr>
                          <w:pStyle w:val="TableParagraph"/>
                          <w:spacing w:before="74"/>
                          <w:ind w:left="95"/>
                          <w:rPr>
                            <w:b w:val="0"/>
                            <w:sz w:val="31"/>
                          </w:rPr>
                        </w:pPr>
                        <w:r>
                          <w:rPr>
                            <w:b w:val="0"/>
                            <w:color w:val="202020"/>
                            <w:w w:val="85"/>
                            <w:sz w:val="31"/>
                          </w:rPr>
                          <w:t>0-1000</w:t>
                        </w:r>
                      </w:p>
                    </w:tc>
                    <w:tc>
                      <w:tcPr>
                        <w:tcW w:w="1173" w:type="dxa"/>
                      </w:tcPr>
                      <w:p>
                        <w:pPr>
                          <w:pStyle w:val="TableParagraph"/>
                          <w:spacing w:before="0" w:line="352" w:lineRule="exact"/>
                          <w:ind w:left="95"/>
                          <w:rPr>
                            <w:b w:val="0"/>
                            <w:sz w:val="31"/>
                          </w:rPr>
                        </w:pPr>
                        <w:r>
                          <w:rPr>
                            <w:b w:val="0"/>
                            <w:color w:val="202020"/>
                            <w:w w:val="90"/>
                            <w:sz w:val="31"/>
                          </w:rPr>
                          <w:t>0-6000</w:t>
                        </w:r>
                      </w:p>
                      <w:p>
                        <w:pPr>
                          <w:pStyle w:val="TableParagraph"/>
                          <w:spacing w:before="137"/>
                          <w:ind w:left="95"/>
                          <w:rPr>
                            <w:b w:val="0"/>
                            <w:sz w:val="31"/>
                          </w:rPr>
                        </w:pPr>
                        <w:r>
                          <w:rPr>
                            <w:rFonts w:ascii="隶书" w:hAnsi="隶书"/>
                            <w:color w:val="202020"/>
                            <w:sz w:val="31"/>
                          </w:rPr>
                          <w:t>±</w:t>
                        </w:r>
                        <w:r>
                          <w:rPr>
                            <w:b w:val="0"/>
                            <w:color w:val="202020"/>
                            <w:sz w:val="31"/>
                          </w:rPr>
                          <w:t>2%</w:t>
                        </w:r>
                      </w:p>
                      <w:p>
                        <w:pPr>
                          <w:pStyle w:val="TableParagraph"/>
                          <w:spacing w:before="74"/>
                          <w:ind w:left="95"/>
                          <w:rPr>
                            <w:b w:val="0"/>
                            <w:sz w:val="31"/>
                          </w:rPr>
                        </w:pPr>
                        <w:r>
                          <w:rPr>
                            <w:b w:val="0"/>
                            <w:color w:val="202020"/>
                            <w:w w:val="90"/>
                            <w:sz w:val="31"/>
                          </w:rPr>
                          <w:t>0-1200</w:t>
                        </w:r>
                      </w:p>
                    </w:tc>
                    <w:tc>
                      <w:tcPr>
                        <w:tcW w:w="1265" w:type="dxa"/>
                      </w:tcPr>
                      <w:p>
                        <w:pPr>
                          <w:pStyle w:val="TableParagraph"/>
                          <w:spacing w:before="0" w:line="352" w:lineRule="exact"/>
                          <w:ind w:left="185"/>
                          <w:rPr>
                            <w:b w:val="0"/>
                            <w:sz w:val="31"/>
                          </w:rPr>
                        </w:pPr>
                        <w:r>
                          <w:rPr>
                            <w:b w:val="0"/>
                            <w:color w:val="202020"/>
                            <w:w w:val="90"/>
                            <w:sz w:val="31"/>
                          </w:rPr>
                          <w:t>0-9000</w:t>
                        </w:r>
                      </w:p>
                      <w:p>
                        <w:pPr>
                          <w:pStyle w:val="TableParagraph"/>
                          <w:spacing w:before="137"/>
                          <w:ind w:left="185"/>
                          <w:rPr>
                            <w:b w:val="0"/>
                            <w:sz w:val="31"/>
                          </w:rPr>
                        </w:pPr>
                        <w:r>
                          <w:rPr>
                            <w:rFonts w:ascii="隶书" w:hAnsi="隶书"/>
                            <w:color w:val="202020"/>
                            <w:sz w:val="31"/>
                          </w:rPr>
                          <w:t>±</w:t>
                        </w:r>
                        <w:r>
                          <w:rPr>
                            <w:b w:val="0"/>
                            <w:color w:val="202020"/>
                            <w:sz w:val="31"/>
                          </w:rPr>
                          <w:t>2%</w:t>
                        </w:r>
                      </w:p>
                      <w:p>
                        <w:pPr>
                          <w:pStyle w:val="TableParagraph"/>
                          <w:spacing w:before="74"/>
                          <w:ind w:left="185"/>
                          <w:rPr>
                            <w:b w:val="0"/>
                            <w:sz w:val="31"/>
                          </w:rPr>
                        </w:pPr>
                        <w:r>
                          <w:rPr>
                            <w:b w:val="0"/>
                            <w:color w:val="202020"/>
                            <w:w w:val="90"/>
                            <w:sz w:val="31"/>
                          </w:rPr>
                          <w:t>0-1500</w:t>
                        </w:r>
                      </w:p>
                    </w:tc>
                    <w:tc>
                      <w:tcPr>
                        <w:tcW w:w="1132" w:type="dxa"/>
                      </w:tcPr>
                      <w:p>
                        <w:pPr>
                          <w:pStyle w:val="TableParagraph"/>
                          <w:spacing w:before="0" w:line="352" w:lineRule="exact"/>
                          <w:ind w:left="189"/>
                          <w:rPr>
                            <w:b w:val="0"/>
                            <w:sz w:val="31"/>
                          </w:rPr>
                        </w:pPr>
                        <w:r>
                          <w:rPr>
                            <w:b w:val="0"/>
                            <w:color w:val="202020"/>
                            <w:w w:val="85"/>
                            <w:sz w:val="31"/>
                          </w:rPr>
                          <w:t>0-9000</w:t>
                        </w:r>
                      </w:p>
                      <w:p>
                        <w:pPr>
                          <w:pStyle w:val="TableParagraph"/>
                          <w:spacing w:before="137"/>
                          <w:ind w:left="189"/>
                          <w:rPr>
                            <w:b w:val="0"/>
                            <w:sz w:val="31"/>
                          </w:rPr>
                        </w:pPr>
                        <w:r>
                          <w:rPr>
                            <w:rFonts w:ascii="隶书" w:hAnsi="隶书"/>
                            <w:color w:val="202020"/>
                            <w:sz w:val="31"/>
                          </w:rPr>
                          <w:t>±</w:t>
                        </w:r>
                        <w:r>
                          <w:rPr>
                            <w:b w:val="0"/>
                            <w:color w:val="202020"/>
                            <w:sz w:val="31"/>
                          </w:rPr>
                          <w:t>2%</w:t>
                        </w:r>
                      </w:p>
                      <w:p>
                        <w:pPr>
                          <w:pStyle w:val="TableParagraph"/>
                          <w:spacing w:before="74"/>
                          <w:ind w:left="189"/>
                          <w:rPr>
                            <w:b w:val="0"/>
                            <w:sz w:val="31"/>
                          </w:rPr>
                        </w:pPr>
                        <w:r>
                          <w:rPr>
                            <w:b w:val="0"/>
                            <w:color w:val="202020"/>
                            <w:w w:val="85"/>
                            <w:sz w:val="31"/>
                          </w:rPr>
                          <w:t>0-1600</w:t>
                        </w:r>
                      </w:p>
                    </w:tc>
                  </w:tr>
                  <w:tr>
                    <w:tblPrEx>
                      <w:tblW w:w="0" w:type="auto"/>
                      <w:jc w:val="left"/>
                      <w:tblInd w:w="7" w:type="dxa"/>
                      <w:tblLayout w:type="fixed"/>
                      <w:tblCellMar>
                        <w:top w:w="0" w:type="dxa"/>
                        <w:left w:w="0" w:type="dxa"/>
                        <w:bottom w:w="0" w:type="dxa"/>
                        <w:right w:w="0" w:type="dxa"/>
                      </w:tblCellMar>
                      <w:tblLook w:val="01E0"/>
                    </w:tblPrEx>
                    <w:trPr>
                      <w:trHeight w:val="6105"/>
                      <w:jc w:val="left"/>
                    </w:trPr>
                    <w:tc>
                      <w:tcPr>
                        <w:tcW w:w="7844" w:type="dxa"/>
                      </w:tcPr>
                      <w:p>
                        <w:pPr>
                          <w:pStyle w:val="TableParagraph"/>
                          <w:spacing w:before="0"/>
                          <w:ind w:left="0"/>
                          <w:rPr>
                            <w:rFonts w:ascii="Times New Roman"/>
                            <w:sz w:val="32"/>
                          </w:rPr>
                        </w:pPr>
                      </w:p>
                    </w:tc>
                    <w:tc>
                      <w:tcPr>
                        <w:tcW w:w="1065" w:type="dxa"/>
                      </w:tcPr>
                      <w:p>
                        <w:pPr>
                          <w:pStyle w:val="TableParagraph"/>
                          <w:spacing w:before="0"/>
                          <w:ind w:left="0"/>
                          <w:rPr>
                            <w:rFonts w:ascii="Times New Roman"/>
                            <w:sz w:val="32"/>
                          </w:rPr>
                        </w:pPr>
                      </w:p>
                    </w:tc>
                    <w:tc>
                      <w:tcPr>
                        <w:tcW w:w="1085" w:type="dxa"/>
                      </w:tcPr>
                      <w:p>
                        <w:pPr>
                          <w:pStyle w:val="TableParagraph"/>
                          <w:spacing w:before="0"/>
                          <w:ind w:left="0"/>
                          <w:rPr>
                            <w:rFonts w:ascii="Times New Roman"/>
                            <w:sz w:val="32"/>
                          </w:rPr>
                        </w:pPr>
                      </w:p>
                    </w:tc>
                    <w:tc>
                      <w:tcPr>
                        <w:tcW w:w="1083" w:type="dxa"/>
                      </w:tcPr>
                      <w:p>
                        <w:pPr>
                          <w:pStyle w:val="TableParagraph"/>
                          <w:spacing w:before="0"/>
                          <w:ind w:left="0"/>
                          <w:rPr>
                            <w:rFonts w:ascii="Times New Roman"/>
                            <w:sz w:val="32"/>
                          </w:rPr>
                        </w:pPr>
                      </w:p>
                    </w:tc>
                    <w:tc>
                      <w:tcPr>
                        <w:tcW w:w="1173" w:type="dxa"/>
                      </w:tcPr>
                      <w:p>
                        <w:pPr>
                          <w:pStyle w:val="TableParagraph"/>
                          <w:spacing w:before="0"/>
                          <w:ind w:left="0"/>
                          <w:rPr>
                            <w:rFonts w:ascii="Times New Roman"/>
                            <w:sz w:val="32"/>
                          </w:rPr>
                        </w:pPr>
                      </w:p>
                    </w:tc>
                    <w:tc>
                      <w:tcPr>
                        <w:tcW w:w="1265" w:type="dxa"/>
                      </w:tcPr>
                      <w:p>
                        <w:pPr>
                          <w:pStyle w:val="TableParagraph"/>
                          <w:spacing w:before="0"/>
                          <w:ind w:left="0"/>
                          <w:rPr>
                            <w:rFonts w:ascii="Times New Roman"/>
                            <w:sz w:val="32"/>
                          </w:rPr>
                        </w:pPr>
                      </w:p>
                    </w:tc>
                    <w:tc>
                      <w:tcPr>
                        <w:tcW w:w="1132" w:type="dxa"/>
                      </w:tcPr>
                      <w:p>
                        <w:pPr>
                          <w:pStyle w:val="TableParagraph"/>
                          <w:spacing w:before="0"/>
                          <w:ind w:left="0"/>
                          <w:rPr>
                            <w:rFonts w:ascii="Times New Roman"/>
                            <w:sz w:val="32"/>
                          </w:rPr>
                        </w:pPr>
                      </w:p>
                    </w:tc>
                  </w:tr>
                </w:tbl>
                <w:p>
                  <w:pPr>
                    <w:pStyle w:val="BodyText"/>
                  </w:pPr>
                </w:p>
              </w:txbxContent>
            </v:textbox>
          </v:shape>
        </w:pict>
      </w:r>
    </w:p>
    <w:p>
      <w:pPr>
        <w:pStyle w:val="BodyText"/>
        <w:spacing w:before="3"/>
        <w:rPr>
          <w:sz w:val="21"/>
        </w:rPr>
      </w:pPr>
    </w:p>
    <w:p>
      <w:pPr>
        <w:pStyle w:val="BodyText"/>
        <w:spacing w:before="54"/>
        <w:ind w:left="3539"/>
      </w:pPr>
      <w:r>
        <w:rPr>
          <w:rFonts w:ascii="Bookman Old Style" w:eastAsia="Bookman Old Style"/>
          <w:b w:val="0"/>
        </w:rPr>
        <w:t>8</w:t>
      </w:r>
      <w:r>
        <w:t>、主楼</w:t>
      </w:r>
    </w:p>
    <w:p>
      <w:pPr>
        <w:pStyle w:val="BodyText"/>
        <w:spacing w:before="362" w:line="280" w:lineRule="auto"/>
        <w:ind w:left="2700" w:right="2688" w:firstLine="838"/>
      </w:pPr>
      <w:r>
        <w:pict>
          <v:group id="_x0000_s1026" style="width:893pt;height:531.5pt;margin-top:156.46pt;margin-left:0;mso-position-horizontal-relative:page;position:absolute;z-index:-251650048" coordorigin="0,3129" coordsize="17860,10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2000;height:6560;left:2940;position:absolute;top:7199" stroked="f">
              <v:imagedata r:id="rId19" o:title=""/>
            </v:shape>
            <v:shape id="_x0000_s1028" type="#_x0000_t75" style="width:17860;height:4100;position:absolute;top:3129" stroked="f">
              <v:imagedata r:id="rId20" o:title=""/>
            </v:shape>
            <v:shape id="_x0000_s1029" type="#_x0000_t202" style="width:971;height:317;left:2988;position:absolute;top:9888" filled="f" stroked="f">
              <v:textbox inset="0,0,0,0">
                <w:txbxContent>
                  <w:p>
                    <w:pPr>
                      <w:spacing w:before="0" w:line="317" w:lineRule="exact"/>
                      <w:ind w:left="0" w:right="0" w:firstLine="0"/>
                      <w:jc w:val="left"/>
                      <w:rPr>
                        <w:sz w:val="31"/>
                      </w:rPr>
                    </w:pPr>
                    <w:r>
                      <w:rPr>
                        <w:color w:val="202020"/>
                        <w:sz w:val="31"/>
                      </w:rPr>
                      <w:t>骨料秤</w:t>
                    </w:r>
                  </w:p>
                </w:txbxContent>
              </v:textbox>
            </v:shape>
            <v:shape id="_x0000_s1030" type="#_x0000_t202" style="width:971;height:317;left:2988;position:absolute;top:10860" filled="f" stroked="f">
              <v:textbox inset="0,0,0,0">
                <w:txbxContent>
                  <w:p>
                    <w:pPr>
                      <w:spacing w:before="0" w:line="317" w:lineRule="exact"/>
                      <w:ind w:left="0" w:right="0" w:firstLine="0"/>
                      <w:jc w:val="left"/>
                      <w:rPr>
                        <w:sz w:val="31"/>
                      </w:rPr>
                    </w:pPr>
                    <w:r>
                      <w:rPr>
                        <w:color w:val="202020"/>
                        <w:sz w:val="31"/>
                      </w:rPr>
                      <w:t>粉料秤</w:t>
                    </w:r>
                  </w:p>
                </w:txbxContent>
              </v:textbox>
            </v:shape>
          </v:group>
        </w:pict>
      </w:r>
      <w:r>
        <w:t xml:space="preserve">主楼钢结构大部分采用优质的 </w:t>
      </w:r>
      <w:r>
        <w:rPr>
          <w:rFonts w:ascii="Bookman Old Style" w:eastAsia="Bookman Old Style"/>
          <w:b w:val="0"/>
        </w:rPr>
        <w:t xml:space="preserve">H </w:t>
      </w:r>
      <w:r>
        <w:t>型钢，整体结构强度高，稳定性能强，安装拆卸方便。主楼全部外封，防尘、保温、防噪音，整体外形美观大方，楼内保养、维修通道、空间充足，所有检修通道均设有防护栏杆。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6"/>
        </w:rPr>
      </w:pPr>
    </w:p>
    <w:tbl>
      <w:tblPr>
        <w:tblStyle w:val="TableNormal0"/>
        <w:tblW w:w="0" w:type="auto"/>
        <w:jc w:val="left"/>
        <w:tblInd w:w="29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23"/>
        <w:gridCol w:w="1322"/>
        <w:gridCol w:w="1085"/>
        <w:gridCol w:w="1085"/>
        <w:gridCol w:w="1083"/>
        <w:gridCol w:w="1252"/>
        <w:gridCol w:w="1265"/>
        <w:gridCol w:w="1220"/>
      </w:tblGrid>
      <w:tr>
        <w:tblPrEx>
          <w:tblW w:w="0" w:type="auto"/>
          <w:jc w:val="left"/>
          <w:tblInd w:w="29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3523" w:type="dxa"/>
          </w:tcPr>
          <w:p>
            <w:pPr>
              <w:pStyle w:val="TableParagraph"/>
              <w:spacing w:before="0" w:line="368" w:lineRule="exact"/>
              <w:ind w:left="50"/>
              <w:rPr>
                <w:rFonts w:ascii="隶书" w:eastAsia="隶书" w:hint="eastAsia"/>
                <w:sz w:val="31"/>
              </w:rPr>
            </w:pPr>
            <w:r>
              <w:rPr>
                <w:rFonts w:ascii="隶书" w:eastAsia="隶书" w:hint="eastAsia"/>
                <w:color w:val="202020"/>
                <w:sz w:val="31"/>
              </w:rPr>
              <w:t>型号</w:t>
            </w:r>
          </w:p>
        </w:tc>
        <w:tc>
          <w:tcPr>
            <w:tcW w:w="1322" w:type="dxa"/>
          </w:tcPr>
          <w:p>
            <w:pPr>
              <w:pStyle w:val="TableParagraph"/>
              <w:spacing w:before="0" w:line="352" w:lineRule="exact"/>
              <w:ind w:left="322"/>
              <w:rPr>
                <w:b w:val="0"/>
                <w:sz w:val="31"/>
              </w:rPr>
            </w:pPr>
            <w:r>
              <w:rPr>
                <w:b w:val="0"/>
                <w:color w:val="202020"/>
                <w:w w:val="90"/>
                <w:sz w:val="31"/>
              </w:rPr>
              <w:t>HSZ50</w:t>
            </w:r>
          </w:p>
        </w:tc>
        <w:tc>
          <w:tcPr>
            <w:tcW w:w="1085" w:type="dxa"/>
          </w:tcPr>
          <w:p>
            <w:pPr>
              <w:pStyle w:val="TableParagraph"/>
              <w:spacing w:before="0" w:line="352" w:lineRule="exact"/>
              <w:ind w:left="83"/>
              <w:rPr>
                <w:b w:val="0"/>
                <w:sz w:val="31"/>
              </w:rPr>
            </w:pPr>
            <w:r>
              <w:rPr>
                <w:b w:val="0"/>
                <w:color w:val="202020"/>
                <w:w w:val="90"/>
                <w:sz w:val="31"/>
              </w:rPr>
              <w:t>HZS60</w:t>
            </w:r>
          </w:p>
        </w:tc>
        <w:tc>
          <w:tcPr>
            <w:tcW w:w="1085" w:type="dxa"/>
          </w:tcPr>
          <w:p>
            <w:pPr>
              <w:pStyle w:val="TableParagraph"/>
              <w:spacing w:before="0" w:line="352" w:lineRule="exact"/>
              <w:rPr>
                <w:b w:val="0"/>
                <w:sz w:val="31"/>
              </w:rPr>
            </w:pPr>
            <w:r>
              <w:rPr>
                <w:b w:val="0"/>
                <w:color w:val="202020"/>
                <w:w w:val="90"/>
                <w:sz w:val="31"/>
              </w:rPr>
              <w:t>HZS75</w:t>
            </w:r>
          </w:p>
        </w:tc>
        <w:tc>
          <w:tcPr>
            <w:tcW w:w="1083" w:type="dxa"/>
          </w:tcPr>
          <w:p>
            <w:pPr>
              <w:pStyle w:val="TableParagraph"/>
              <w:spacing w:before="0" w:line="352" w:lineRule="exact"/>
              <w:rPr>
                <w:b w:val="0"/>
                <w:sz w:val="31"/>
              </w:rPr>
            </w:pPr>
            <w:r>
              <w:rPr>
                <w:b w:val="0"/>
                <w:color w:val="202020"/>
                <w:w w:val="90"/>
                <w:sz w:val="31"/>
              </w:rPr>
              <w:t>HZS90</w:t>
            </w:r>
          </w:p>
        </w:tc>
        <w:tc>
          <w:tcPr>
            <w:tcW w:w="1252" w:type="dxa"/>
          </w:tcPr>
          <w:p>
            <w:pPr>
              <w:pStyle w:val="TableParagraph"/>
              <w:spacing w:before="0" w:line="352" w:lineRule="exact"/>
              <w:rPr>
                <w:b w:val="0"/>
                <w:sz w:val="31"/>
              </w:rPr>
            </w:pPr>
            <w:r>
              <w:rPr>
                <w:b w:val="0"/>
                <w:color w:val="202020"/>
                <w:w w:val="90"/>
                <w:sz w:val="31"/>
              </w:rPr>
              <w:t>HZS120</w:t>
            </w:r>
          </w:p>
        </w:tc>
        <w:tc>
          <w:tcPr>
            <w:tcW w:w="1265" w:type="dxa"/>
          </w:tcPr>
          <w:p>
            <w:pPr>
              <w:pStyle w:val="TableParagraph"/>
              <w:spacing w:before="0" w:line="352" w:lineRule="exact"/>
              <w:ind w:left="97"/>
              <w:rPr>
                <w:b w:val="0"/>
                <w:sz w:val="31"/>
              </w:rPr>
            </w:pPr>
            <w:r>
              <w:rPr>
                <w:b w:val="0"/>
                <w:color w:val="202020"/>
                <w:w w:val="90"/>
                <w:sz w:val="31"/>
              </w:rPr>
              <w:t>HZS150</w:t>
            </w:r>
          </w:p>
        </w:tc>
        <w:tc>
          <w:tcPr>
            <w:tcW w:w="1220" w:type="dxa"/>
          </w:tcPr>
          <w:p>
            <w:pPr>
              <w:pStyle w:val="TableParagraph"/>
              <w:spacing w:before="0" w:line="352" w:lineRule="exact"/>
              <w:ind w:left="100"/>
              <w:rPr>
                <w:b w:val="0"/>
                <w:sz w:val="31"/>
              </w:rPr>
            </w:pPr>
            <w:r>
              <w:rPr>
                <w:b w:val="0"/>
                <w:color w:val="202020"/>
                <w:w w:val="85"/>
                <w:sz w:val="31"/>
              </w:rPr>
              <w:t>HZS180</w:t>
            </w:r>
          </w:p>
        </w:tc>
      </w:tr>
      <w:tr>
        <w:tblPrEx>
          <w:tblW w:w="0" w:type="auto"/>
          <w:jc w:val="left"/>
          <w:tblInd w:w="2946" w:type="dxa"/>
          <w:tblLayout w:type="fixed"/>
          <w:tblCellMar>
            <w:top w:w="0" w:type="dxa"/>
            <w:left w:w="0" w:type="dxa"/>
            <w:bottom w:w="0" w:type="dxa"/>
            <w:right w:w="0" w:type="dxa"/>
          </w:tblCellMar>
          <w:tblLook w:val="01E0"/>
        </w:tblPrEx>
        <w:trPr>
          <w:trHeight w:val="453"/>
          <w:jc w:val="left"/>
        </w:trPr>
        <w:tc>
          <w:tcPr>
            <w:tcW w:w="3523" w:type="dxa"/>
          </w:tcPr>
          <w:p>
            <w:pPr>
              <w:pStyle w:val="TableParagraph"/>
              <w:spacing w:before="22"/>
              <w:ind w:left="50"/>
              <w:rPr>
                <w:b w:val="0"/>
                <w:sz w:val="31"/>
              </w:rPr>
            </w:pPr>
            <w:r>
              <w:rPr>
                <w:rFonts w:ascii="隶书" w:eastAsia="隶书" w:hint="eastAsia"/>
                <w:color w:val="202020"/>
                <w:sz w:val="31"/>
              </w:rPr>
              <w:t xml:space="preserve">理论生产率 </w:t>
            </w:r>
            <w:r>
              <w:rPr>
                <w:b w:val="0"/>
                <w:color w:val="202020"/>
                <w:sz w:val="31"/>
              </w:rPr>
              <w:t>m3/h</w:t>
            </w:r>
          </w:p>
        </w:tc>
        <w:tc>
          <w:tcPr>
            <w:tcW w:w="1322" w:type="dxa"/>
          </w:tcPr>
          <w:p>
            <w:pPr>
              <w:pStyle w:val="TableParagraph"/>
              <w:ind w:left="322"/>
              <w:rPr>
                <w:b w:val="0"/>
                <w:sz w:val="31"/>
              </w:rPr>
            </w:pPr>
            <w:r>
              <w:rPr>
                <w:b w:val="0"/>
                <w:color w:val="202020"/>
                <w:w w:val="90"/>
                <w:sz w:val="31"/>
              </w:rPr>
              <w:t>50</w:t>
            </w:r>
          </w:p>
        </w:tc>
        <w:tc>
          <w:tcPr>
            <w:tcW w:w="1085" w:type="dxa"/>
          </w:tcPr>
          <w:p>
            <w:pPr>
              <w:pStyle w:val="TableParagraph"/>
              <w:ind w:left="83"/>
              <w:rPr>
                <w:b w:val="0"/>
                <w:sz w:val="31"/>
              </w:rPr>
            </w:pPr>
            <w:r>
              <w:rPr>
                <w:b w:val="0"/>
                <w:color w:val="202020"/>
                <w:w w:val="90"/>
                <w:sz w:val="31"/>
              </w:rPr>
              <w:t>60</w:t>
            </w:r>
          </w:p>
        </w:tc>
        <w:tc>
          <w:tcPr>
            <w:tcW w:w="1085" w:type="dxa"/>
          </w:tcPr>
          <w:p>
            <w:pPr>
              <w:pStyle w:val="TableParagraph"/>
              <w:rPr>
                <w:b w:val="0"/>
                <w:sz w:val="31"/>
              </w:rPr>
            </w:pPr>
            <w:r>
              <w:rPr>
                <w:b w:val="0"/>
                <w:color w:val="202020"/>
                <w:w w:val="90"/>
                <w:sz w:val="31"/>
              </w:rPr>
              <w:t>75</w:t>
            </w:r>
          </w:p>
        </w:tc>
        <w:tc>
          <w:tcPr>
            <w:tcW w:w="1083" w:type="dxa"/>
          </w:tcPr>
          <w:p>
            <w:pPr>
              <w:pStyle w:val="TableParagraph"/>
              <w:rPr>
                <w:b w:val="0"/>
                <w:sz w:val="31"/>
              </w:rPr>
            </w:pPr>
            <w:r>
              <w:rPr>
                <w:b w:val="0"/>
                <w:color w:val="202020"/>
                <w:w w:val="90"/>
                <w:sz w:val="31"/>
              </w:rPr>
              <w:t>90</w:t>
            </w:r>
          </w:p>
        </w:tc>
        <w:tc>
          <w:tcPr>
            <w:tcW w:w="1252" w:type="dxa"/>
          </w:tcPr>
          <w:p>
            <w:pPr>
              <w:pStyle w:val="TableParagraph"/>
              <w:rPr>
                <w:b w:val="0"/>
                <w:sz w:val="31"/>
              </w:rPr>
            </w:pPr>
            <w:r>
              <w:rPr>
                <w:b w:val="0"/>
                <w:color w:val="202020"/>
                <w:w w:val="90"/>
                <w:sz w:val="31"/>
              </w:rPr>
              <w:t>120</w:t>
            </w:r>
          </w:p>
        </w:tc>
        <w:tc>
          <w:tcPr>
            <w:tcW w:w="1265" w:type="dxa"/>
          </w:tcPr>
          <w:p>
            <w:pPr>
              <w:pStyle w:val="TableParagraph"/>
              <w:ind w:left="97"/>
              <w:rPr>
                <w:b w:val="0"/>
                <w:sz w:val="31"/>
              </w:rPr>
            </w:pPr>
            <w:r>
              <w:rPr>
                <w:b w:val="0"/>
                <w:color w:val="202020"/>
                <w:w w:val="90"/>
                <w:sz w:val="31"/>
              </w:rPr>
              <w:t>150</w:t>
            </w:r>
          </w:p>
        </w:tc>
        <w:tc>
          <w:tcPr>
            <w:tcW w:w="1220" w:type="dxa"/>
          </w:tcPr>
          <w:p>
            <w:pPr>
              <w:pStyle w:val="TableParagraph"/>
              <w:ind w:left="100"/>
              <w:rPr>
                <w:b w:val="0"/>
                <w:sz w:val="31"/>
              </w:rPr>
            </w:pPr>
            <w:r>
              <w:rPr>
                <w:b w:val="0"/>
                <w:color w:val="202020"/>
                <w:w w:val="90"/>
                <w:sz w:val="31"/>
              </w:rPr>
              <w:t>180</w:t>
            </w:r>
          </w:p>
        </w:tc>
      </w:tr>
      <w:tr>
        <w:tblPrEx>
          <w:tblW w:w="0" w:type="auto"/>
          <w:jc w:val="left"/>
          <w:tblInd w:w="2946" w:type="dxa"/>
          <w:tblLayout w:type="fixed"/>
          <w:tblCellMar>
            <w:top w:w="0" w:type="dxa"/>
            <w:left w:w="0" w:type="dxa"/>
            <w:bottom w:w="0" w:type="dxa"/>
            <w:right w:w="0" w:type="dxa"/>
          </w:tblCellMar>
          <w:tblLook w:val="01E0"/>
        </w:tblPrEx>
        <w:trPr>
          <w:trHeight w:val="453"/>
          <w:jc w:val="left"/>
        </w:trPr>
        <w:tc>
          <w:tcPr>
            <w:tcW w:w="3523" w:type="dxa"/>
          </w:tcPr>
          <w:p>
            <w:pPr>
              <w:pStyle w:val="TableParagraph"/>
              <w:spacing w:before="22"/>
              <w:ind w:left="50"/>
              <w:rPr>
                <w:b w:val="0"/>
                <w:sz w:val="31"/>
              </w:rPr>
            </w:pPr>
            <w:r>
              <w:rPr>
                <w:rFonts w:ascii="隶书" w:eastAsia="隶书" w:hint="eastAsia"/>
                <w:color w:val="202020"/>
                <w:sz w:val="31"/>
              </w:rPr>
              <w:t xml:space="preserve">主机出料容量 </w:t>
            </w:r>
            <w:r>
              <w:rPr>
                <w:b w:val="0"/>
                <w:color w:val="202020"/>
                <w:sz w:val="31"/>
              </w:rPr>
              <w:t>L</w:t>
            </w:r>
          </w:p>
        </w:tc>
        <w:tc>
          <w:tcPr>
            <w:tcW w:w="1322" w:type="dxa"/>
          </w:tcPr>
          <w:p>
            <w:pPr>
              <w:pStyle w:val="TableParagraph"/>
              <w:ind w:left="322"/>
              <w:rPr>
                <w:b w:val="0"/>
                <w:sz w:val="31"/>
              </w:rPr>
            </w:pPr>
            <w:r>
              <w:rPr>
                <w:b w:val="0"/>
                <w:color w:val="202020"/>
                <w:w w:val="90"/>
                <w:sz w:val="31"/>
              </w:rPr>
              <w:t>1000</w:t>
            </w:r>
          </w:p>
        </w:tc>
        <w:tc>
          <w:tcPr>
            <w:tcW w:w="1085" w:type="dxa"/>
          </w:tcPr>
          <w:p>
            <w:pPr>
              <w:pStyle w:val="TableParagraph"/>
              <w:ind w:left="83"/>
              <w:rPr>
                <w:b w:val="0"/>
                <w:sz w:val="31"/>
              </w:rPr>
            </w:pPr>
            <w:r>
              <w:rPr>
                <w:b w:val="0"/>
                <w:color w:val="202020"/>
                <w:w w:val="90"/>
                <w:sz w:val="31"/>
              </w:rPr>
              <w:t>1000</w:t>
            </w:r>
          </w:p>
        </w:tc>
        <w:tc>
          <w:tcPr>
            <w:tcW w:w="1085" w:type="dxa"/>
          </w:tcPr>
          <w:p>
            <w:pPr>
              <w:pStyle w:val="TableParagraph"/>
              <w:rPr>
                <w:b w:val="0"/>
                <w:sz w:val="31"/>
              </w:rPr>
            </w:pPr>
            <w:r>
              <w:rPr>
                <w:b w:val="0"/>
                <w:color w:val="202020"/>
                <w:w w:val="90"/>
                <w:sz w:val="31"/>
              </w:rPr>
              <w:t>1500</w:t>
            </w:r>
          </w:p>
        </w:tc>
        <w:tc>
          <w:tcPr>
            <w:tcW w:w="1083" w:type="dxa"/>
          </w:tcPr>
          <w:p>
            <w:pPr>
              <w:pStyle w:val="TableParagraph"/>
              <w:rPr>
                <w:b w:val="0"/>
                <w:sz w:val="31"/>
              </w:rPr>
            </w:pPr>
            <w:r>
              <w:rPr>
                <w:b w:val="0"/>
                <w:color w:val="202020"/>
                <w:w w:val="90"/>
                <w:sz w:val="31"/>
              </w:rPr>
              <w:t>1500</w:t>
            </w:r>
          </w:p>
        </w:tc>
        <w:tc>
          <w:tcPr>
            <w:tcW w:w="1252" w:type="dxa"/>
          </w:tcPr>
          <w:p>
            <w:pPr>
              <w:pStyle w:val="TableParagraph"/>
              <w:rPr>
                <w:b w:val="0"/>
                <w:sz w:val="31"/>
              </w:rPr>
            </w:pPr>
            <w:r>
              <w:rPr>
                <w:b w:val="0"/>
                <w:color w:val="202020"/>
                <w:w w:val="90"/>
                <w:sz w:val="31"/>
              </w:rPr>
              <w:t>2000</w:t>
            </w:r>
          </w:p>
        </w:tc>
        <w:tc>
          <w:tcPr>
            <w:tcW w:w="1265" w:type="dxa"/>
          </w:tcPr>
          <w:p>
            <w:pPr>
              <w:pStyle w:val="TableParagraph"/>
              <w:ind w:left="97"/>
              <w:rPr>
                <w:b w:val="0"/>
                <w:sz w:val="31"/>
              </w:rPr>
            </w:pPr>
            <w:r>
              <w:rPr>
                <w:b w:val="0"/>
                <w:color w:val="202020"/>
                <w:w w:val="90"/>
                <w:sz w:val="31"/>
              </w:rPr>
              <w:t>3000</w:t>
            </w:r>
          </w:p>
        </w:tc>
        <w:tc>
          <w:tcPr>
            <w:tcW w:w="1220" w:type="dxa"/>
          </w:tcPr>
          <w:p>
            <w:pPr>
              <w:pStyle w:val="TableParagraph"/>
              <w:ind w:left="100"/>
              <w:rPr>
                <w:b w:val="0"/>
                <w:sz w:val="31"/>
              </w:rPr>
            </w:pPr>
            <w:r>
              <w:rPr>
                <w:b w:val="0"/>
                <w:color w:val="202020"/>
                <w:w w:val="90"/>
                <w:sz w:val="31"/>
              </w:rPr>
              <w:t>3000</w:t>
            </w:r>
          </w:p>
        </w:tc>
      </w:tr>
      <w:tr>
        <w:tblPrEx>
          <w:tblW w:w="0" w:type="auto"/>
          <w:jc w:val="left"/>
          <w:tblInd w:w="2946" w:type="dxa"/>
          <w:tblLayout w:type="fixed"/>
          <w:tblCellMar>
            <w:top w:w="0" w:type="dxa"/>
            <w:left w:w="0" w:type="dxa"/>
            <w:bottom w:w="0" w:type="dxa"/>
            <w:right w:w="0" w:type="dxa"/>
          </w:tblCellMar>
          <w:tblLook w:val="01E0"/>
        </w:tblPrEx>
        <w:trPr>
          <w:trHeight w:val="453"/>
          <w:jc w:val="left"/>
        </w:trPr>
        <w:tc>
          <w:tcPr>
            <w:tcW w:w="3523" w:type="dxa"/>
          </w:tcPr>
          <w:p>
            <w:pPr>
              <w:pStyle w:val="TableParagraph"/>
              <w:spacing w:before="22"/>
              <w:ind w:left="50"/>
              <w:rPr>
                <w:b w:val="0"/>
                <w:sz w:val="31"/>
              </w:rPr>
            </w:pPr>
            <w:r>
              <w:rPr>
                <w:rFonts w:ascii="隶书" w:eastAsia="隶书" w:hint="eastAsia"/>
                <w:color w:val="202020"/>
                <w:sz w:val="31"/>
              </w:rPr>
              <w:t xml:space="preserve">出料高度 </w:t>
            </w:r>
            <w:r>
              <w:rPr>
                <w:b w:val="0"/>
                <w:color w:val="202020"/>
                <w:sz w:val="31"/>
              </w:rPr>
              <w:t>m</w:t>
            </w:r>
          </w:p>
        </w:tc>
        <w:tc>
          <w:tcPr>
            <w:tcW w:w="1322" w:type="dxa"/>
          </w:tcPr>
          <w:p>
            <w:pPr>
              <w:pStyle w:val="TableParagraph"/>
              <w:ind w:left="322"/>
              <w:rPr>
                <w:b w:val="0"/>
                <w:sz w:val="31"/>
              </w:rPr>
            </w:pPr>
            <w:r>
              <w:rPr>
                <w:b w:val="0"/>
                <w:color w:val="202020"/>
                <w:w w:val="90"/>
                <w:sz w:val="31"/>
              </w:rPr>
              <w:t>3.8</w:t>
            </w:r>
          </w:p>
        </w:tc>
        <w:tc>
          <w:tcPr>
            <w:tcW w:w="1085" w:type="dxa"/>
          </w:tcPr>
          <w:p>
            <w:pPr>
              <w:pStyle w:val="TableParagraph"/>
              <w:ind w:left="83"/>
              <w:rPr>
                <w:b w:val="0"/>
                <w:sz w:val="31"/>
              </w:rPr>
            </w:pPr>
            <w:r>
              <w:rPr>
                <w:b w:val="0"/>
                <w:color w:val="202020"/>
                <w:w w:val="90"/>
                <w:sz w:val="31"/>
              </w:rPr>
              <w:t>3.8</w:t>
            </w:r>
          </w:p>
        </w:tc>
        <w:tc>
          <w:tcPr>
            <w:tcW w:w="1085" w:type="dxa"/>
          </w:tcPr>
          <w:p>
            <w:pPr>
              <w:pStyle w:val="TableParagraph"/>
              <w:rPr>
                <w:b w:val="0"/>
                <w:sz w:val="31"/>
              </w:rPr>
            </w:pPr>
            <w:r>
              <w:rPr>
                <w:b w:val="0"/>
                <w:color w:val="202020"/>
                <w:w w:val="90"/>
                <w:sz w:val="31"/>
              </w:rPr>
              <w:t>3.8</w:t>
            </w:r>
          </w:p>
        </w:tc>
        <w:tc>
          <w:tcPr>
            <w:tcW w:w="1083" w:type="dxa"/>
          </w:tcPr>
          <w:p>
            <w:pPr>
              <w:pStyle w:val="TableParagraph"/>
              <w:rPr>
                <w:b w:val="0"/>
                <w:sz w:val="31"/>
              </w:rPr>
            </w:pPr>
            <w:r>
              <w:rPr>
                <w:b w:val="0"/>
                <w:color w:val="202020"/>
                <w:w w:val="90"/>
                <w:sz w:val="31"/>
              </w:rPr>
              <w:t>3.8</w:t>
            </w:r>
          </w:p>
        </w:tc>
        <w:tc>
          <w:tcPr>
            <w:tcW w:w="1252" w:type="dxa"/>
          </w:tcPr>
          <w:p>
            <w:pPr>
              <w:pStyle w:val="TableParagraph"/>
              <w:rPr>
                <w:b w:val="0"/>
                <w:sz w:val="31"/>
              </w:rPr>
            </w:pPr>
            <w:r>
              <w:rPr>
                <w:b w:val="0"/>
                <w:color w:val="202020"/>
                <w:w w:val="90"/>
                <w:sz w:val="31"/>
              </w:rPr>
              <w:t>3.8</w:t>
            </w:r>
          </w:p>
        </w:tc>
        <w:tc>
          <w:tcPr>
            <w:tcW w:w="1265" w:type="dxa"/>
          </w:tcPr>
          <w:p>
            <w:pPr>
              <w:pStyle w:val="TableParagraph"/>
              <w:ind w:left="97"/>
              <w:rPr>
                <w:b w:val="0"/>
                <w:sz w:val="31"/>
              </w:rPr>
            </w:pPr>
            <w:r>
              <w:rPr>
                <w:b w:val="0"/>
                <w:color w:val="202020"/>
                <w:w w:val="82"/>
                <w:sz w:val="31"/>
              </w:rPr>
              <w:t>4</w:t>
            </w:r>
          </w:p>
        </w:tc>
        <w:tc>
          <w:tcPr>
            <w:tcW w:w="1220" w:type="dxa"/>
          </w:tcPr>
          <w:p>
            <w:pPr>
              <w:pStyle w:val="TableParagraph"/>
              <w:ind w:left="100"/>
              <w:rPr>
                <w:b w:val="0"/>
                <w:sz w:val="31"/>
              </w:rPr>
            </w:pPr>
            <w:r>
              <w:rPr>
                <w:b w:val="0"/>
                <w:color w:val="202020"/>
                <w:w w:val="82"/>
                <w:sz w:val="31"/>
              </w:rPr>
              <w:t>4</w:t>
            </w:r>
          </w:p>
        </w:tc>
      </w:tr>
      <w:tr>
        <w:tblPrEx>
          <w:tblW w:w="0" w:type="auto"/>
          <w:jc w:val="left"/>
          <w:tblInd w:w="2946" w:type="dxa"/>
          <w:tblLayout w:type="fixed"/>
          <w:tblCellMar>
            <w:top w:w="0" w:type="dxa"/>
            <w:left w:w="0" w:type="dxa"/>
            <w:bottom w:w="0" w:type="dxa"/>
            <w:right w:w="0" w:type="dxa"/>
          </w:tblCellMar>
          <w:tblLook w:val="01E0"/>
        </w:tblPrEx>
        <w:trPr>
          <w:trHeight w:val="401"/>
          <w:jc w:val="left"/>
        </w:trPr>
        <w:tc>
          <w:tcPr>
            <w:tcW w:w="3523" w:type="dxa"/>
          </w:tcPr>
          <w:p>
            <w:pPr>
              <w:pStyle w:val="TableParagraph"/>
              <w:spacing w:before="22" w:line="359" w:lineRule="exact"/>
              <w:ind w:left="50"/>
              <w:rPr>
                <w:rFonts w:ascii="隶书" w:eastAsia="隶书" w:hint="eastAsia"/>
                <w:sz w:val="31"/>
              </w:rPr>
            </w:pPr>
            <w:r>
              <w:rPr>
                <w:rFonts w:ascii="隶书" w:eastAsia="隶书" w:hint="eastAsia"/>
                <w:color w:val="202020"/>
                <w:sz w:val="31"/>
              </w:rPr>
              <w:t>骨料仓容（</w:t>
            </w:r>
            <w:r>
              <w:rPr>
                <w:b w:val="0"/>
                <w:color w:val="202020"/>
                <w:sz w:val="31"/>
              </w:rPr>
              <w:t>m3x</w:t>
            </w:r>
            <w:r>
              <w:rPr>
                <w:b w:val="0"/>
                <w:color w:val="202020"/>
                <w:spacing w:val="-51"/>
                <w:sz w:val="31"/>
              </w:rPr>
              <w:t xml:space="preserve"> </w:t>
            </w:r>
            <w:r>
              <w:rPr>
                <w:rFonts w:ascii="隶书" w:eastAsia="隶书" w:hint="eastAsia"/>
                <w:color w:val="202020"/>
                <w:sz w:val="31"/>
              </w:rPr>
              <w:t>数量）</w:t>
            </w:r>
          </w:p>
        </w:tc>
        <w:tc>
          <w:tcPr>
            <w:tcW w:w="1322" w:type="dxa"/>
          </w:tcPr>
          <w:p>
            <w:pPr>
              <w:pStyle w:val="TableParagraph"/>
              <w:spacing w:line="341" w:lineRule="exact"/>
              <w:ind w:left="322"/>
              <w:rPr>
                <w:b w:val="0"/>
                <w:sz w:val="31"/>
              </w:rPr>
            </w:pPr>
            <w:r>
              <w:rPr>
                <w:b w:val="0"/>
                <w:color w:val="202020"/>
                <w:sz w:val="31"/>
              </w:rPr>
              <w:t>7X4</w:t>
            </w:r>
          </w:p>
        </w:tc>
        <w:tc>
          <w:tcPr>
            <w:tcW w:w="1085" w:type="dxa"/>
          </w:tcPr>
          <w:p>
            <w:pPr>
              <w:pStyle w:val="TableParagraph"/>
              <w:spacing w:line="341" w:lineRule="exact"/>
              <w:ind w:left="83"/>
              <w:rPr>
                <w:b w:val="0"/>
                <w:sz w:val="31"/>
              </w:rPr>
            </w:pPr>
            <w:r>
              <w:rPr>
                <w:b w:val="0"/>
                <w:color w:val="202020"/>
                <w:sz w:val="31"/>
              </w:rPr>
              <w:t>7X4</w:t>
            </w:r>
          </w:p>
        </w:tc>
        <w:tc>
          <w:tcPr>
            <w:tcW w:w="1085" w:type="dxa"/>
          </w:tcPr>
          <w:p>
            <w:pPr>
              <w:pStyle w:val="TableParagraph"/>
              <w:spacing w:line="341" w:lineRule="exact"/>
              <w:rPr>
                <w:b w:val="0"/>
                <w:sz w:val="31"/>
              </w:rPr>
            </w:pPr>
            <w:r>
              <w:rPr>
                <w:b w:val="0"/>
                <w:color w:val="202020"/>
                <w:sz w:val="31"/>
              </w:rPr>
              <w:t>15X4</w:t>
            </w:r>
          </w:p>
        </w:tc>
        <w:tc>
          <w:tcPr>
            <w:tcW w:w="1083" w:type="dxa"/>
          </w:tcPr>
          <w:p>
            <w:pPr>
              <w:pStyle w:val="TableParagraph"/>
              <w:spacing w:line="341" w:lineRule="exact"/>
              <w:rPr>
                <w:b w:val="0"/>
                <w:sz w:val="31"/>
              </w:rPr>
            </w:pPr>
            <w:r>
              <w:rPr>
                <w:b w:val="0"/>
                <w:color w:val="202020"/>
                <w:sz w:val="31"/>
              </w:rPr>
              <w:t>15X4</w:t>
            </w:r>
          </w:p>
        </w:tc>
        <w:tc>
          <w:tcPr>
            <w:tcW w:w="1252" w:type="dxa"/>
          </w:tcPr>
          <w:p>
            <w:pPr>
              <w:pStyle w:val="TableParagraph"/>
              <w:spacing w:line="341" w:lineRule="exact"/>
              <w:rPr>
                <w:b w:val="0"/>
                <w:sz w:val="31"/>
              </w:rPr>
            </w:pPr>
            <w:r>
              <w:rPr>
                <w:b w:val="0"/>
                <w:color w:val="202020"/>
                <w:sz w:val="31"/>
              </w:rPr>
              <w:t>15X4</w:t>
            </w:r>
          </w:p>
        </w:tc>
        <w:tc>
          <w:tcPr>
            <w:tcW w:w="1265" w:type="dxa"/>
          </w:tcPr>
          <w:p>
            <w:pPr>
              <w:pStyle w:val="TableParagraph"/>
              <w:spacing w:line="341" w:lineRule="exact"/>
              <w:ind w:left="97"/>
              <w:rPr>
                <w:b w:val="0"/>
                <w:sz w:val="31"/>
              </w:rPr>
            </w:pPr>
            <w:r>
              <w:rPr>
                <w:b w:val="0"/>
                <w:color w:val="202020"/>
                <w:sz w:val="31"/>
              </w:rPr>
              <w:t>20X4</w:t>
            </w:r>
          </w:p>
        </w:tc>
        <w:tc>
          <w:tcPr>
            <w:tcW w:w="1220" w:type="dxa"/>
          </w:tcPr>
          <w:p>
            <w:pPr>
              <w:pStyle w:val="TableParagraph"/>
              <w:spacing w:line="341" w:lineRule="exact"/>
              <w:ind w:left="100"/>
              <w:rPr>
                <w:b w:val="0"/>
                <w:sz w:val="31"/>
              </w:rPr>
            </w:pPr>
            <w:r>
              <w:rPr>
                <w:b w:val="0"/>
                <w:color w:val="202020"/>
                <w:sz w:val="31"/>
              </w:rPr>
              <w:t>25X4</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4"/>
        </w:rPr>
      </w:pPr>
    </w:p>
    <w:tbl>
      <w:tblPr>
        <w:tblStyle w:val="TableNormal0"/>
        <w:tblW w:w="0" w:type="auto"/>
        <w:jc w:val="left"/>
        <w:tblInd w:w="29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95"/>
        <w:gridCol w:w="1534"/>
        <w:gridCol w:w="1148"/>
        <w:gridCol w:w="1066"/>
        <w:gridCol w:w="1086"/>
        <w:gridCol w:w="1084"/>
        <w:gridCol w:w="1174"/>
        <w:gridCol w:w="1346"/>
        <w:gridCol w:w="1134"/>
      </w:tblGrid>
      <w:tr>
        <w:tblPrEx>
          <w:tblW w:w="0" w:type="auto"/>
          <w:jc w:val="left"/>
          <w:tblInd w:w="29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4777" w:type="dxa"/>
            <w:gridSpan w:val="3"/>
          </w:tcPr>
          <w:p>
            <w:pPr>
              <w:pStyle w:val="TableParagraph"/>
              <w:tabs>
                <w:tab w:val="left" w:pos="3845"/>
              </w:tabs>
              <w:spacing w:before="0" w:line="368" w:lineRule="exact"/>
              <w:ind w:left="2145"/>
              <w:rPr>
                <w:b w:val="0"/>
                <w:sz w:val="31"/>
              </w:rPr>
            </w:pPr>
            <w:r>
              <w:rPr>
                <w:rFonts w:ascii="隶书" w:eastAsia="隶书" w:hAnsi="隶书" w:hint="eastAsia"/>
                <w:color w:val="202020"/>
                <w:sz w:val="31"/>
              </w:rPr>
              <w:t>计量精度</w:t>
              <w:tab/>
              <w:t>±</w:t>
            </w:r>
            <w:r>
              <w:rPr>
                <w:b w:val="0"/>
                <w:color w:val="202020"/>
                <w:sz w:val="31"/>
              </w:rPr>
              <w:t>1%</w:t>
            </w:r>
          </w:p>
        </w:tc>
        <w:tc>
          <w:tcPr>
            <w:tcW w:w="1066" w:type="dxa"/>
          </w:tcPr>
          <w:p>
            <w:pPr>
              <w:pStyle w:val="TableParagraph"/>
              <w:spacing w:before="0" w:line="368" w:lineRule="exact"/>
              <w:ind w:left="152"/>
              <w:rPr>
                <w:b w:val="0"/>
                <w:sz w:val="31"/>
              </w:rPr>
            </w:pPr>
            <w:r>
              <w:rPr>
                <w:rFonts w:ascii="隶书" w:hAnsi="隶书"/>
                <w:color w:val="202020"/>
                <w:sz w:val="31"/>
              </w:rPr>
              <w:t>±</w:t>
            </w:r>
            <w:r>
              <w:rPr>
                <w:b w:val="0"/>
                <w:color w:val="202020"/>
                <w:sz w:val="31"/>
              </w:rPr>
              <w:t>1%</w:t>
            </w:r>
          </w:p>
        </w:tc>
        <w:tc>
          <w:tcPr>
            <w:tcW w:w="1086" w:type="dxa"/>
          </w:tcPr>
          <w:p>
            <w:pPr>
              <w:pStyle w:val="TableParagraph"/>
              <w:spacing w:before="0" w:line="368" w:lineRule="exact"/>
              <w:ind w:left="173"/>
              <w:rPr>
                <w:b w:val="0"/>
                <w:sz w:val="31"/>
              </w:rPr>
            </w:pPr>
            <w:r>
              <w:rPr>
                <w:rFonts w:ascii="隶书" w:hAnsi="隶书"/>
                <w:color w:val="202020"/>
                <w:sz w:val="31"/>
              </w:rPr>
              <w:t>±</w:t>
            </w:r>
            <w:r>
              <w:rPr>
                <w:b w:val="0"/>
                <w:color w:val="202020"/>
                <w:sz w:val="31"/>
              </w:rPr>
              <w:t>1%</w:t>
            </w:r>
          </w:p>
        </w:tc>
        <w:tc>
          <w:tcPr>
            <w:tcW w:w="1084" w:type="dxa"/>
          </w:tcPr>
          <w:p>
            <w:pPr>
              <w:pStyle w:val="TableParagraph"/>
              <w:spacing w:before="0" w:line="368" w:lineRule="exact"/>
              <w:ind w:left="171"/>
              <w:rPr>
                <w:b w:val="0"/>
                <w:sz w:val="31"/>
              </w:rPr>
            </w:pPr>
            <w:r>
              <w:rPr>
                <w:rFonts w:ascii="隶书" w:hAnsi="隶书"/>
                <w:color w:val="202020"/>
                <w:sz w:val="31"/>
              </w:rPr>
              <w:t>±</w:t>
            </w:r>
            <w:r>
              <w:rPr>
                <w:b w:val="0"/>
                <w:color w:val="202020"/>
                <w:sz w:val="31"/>
              </w:rPr>
              <w:t>1%</w:t>
            </w:r>
          </w:p>
        </w:tc>
        <w:tc>
          <w:tcPr>
            <w:tcW w:w="1174" w:type="dxa"/>
          </w:tcPr>
          <w:p>
            <w:pPr>
              <w:pStyle w:val="TableParagraph"/>
              <w:spacing w:before="0" w:line="368" w:lineRule="exact"/>
              <w:ind w:left="170"/>
              <w:rPr>
                <w:b w:val="0"/>
                <w:sz w:val="31"/>
              </w:rPr>
            </w:pPr>
            <w:r>
              <w:rPr>
                <w:rFonts w:ascii="隶书" w:hAnsi="隶书"/>
                <w:color w:val="202020"/>
                <w:sz w:val="31"/>
              </w:rPr>
              <w:t>±</w:t>
            </w:r>
            <w:r>
              <w:rPr>
                <w:b w:val="0"/>
                <w:color w:val="202020"/>
                <w:sz w:val="31"/>
              </w:rPr>
              <w:t>1%</w:t>
            </w:r>
          </w:p>
        </w:tc>
        <w:tc>
          <w:tcPr>
            <w:tcW w:w="1346" w:type="dxa"/>
          </w:tcPr>
          <w:p>
            <w:pPr>
              <w:pStyle w:val="TableParagraph"/>
              <w:spacing w:before="0" w:line="368" w:lineRule="exact"/>
              <w:ind w:left="260"/>
              <w:rPr>
                <w:b w:val="0"/>
                <w:sz w:val="31"/>
              </w:rPr>
            </w:pPr>
            <w:r>
              <w:rPr>
                <w:rFonts w:ascii="隶书" w:hAnsi="隶书"/>
                <w:color w:val="202020"/>
                <w:sz w:val="31"/>
              </w:rPr>
              <w:t>±</w:t>
            </w:r>
            <w:r>
              <w:rPr>
                <w:b w:val="0"/>
                <w:color w:val="202020"/>
                <w:sz w:val="31"/>
              </w:rPr>
              <w:t>1%</w:t>
            </w:r>
          </w:p>
        </w:tc>
        <w:tc>
          <w:tcPr>
            <w:tcW w:w="1134" w:type="dxa"/>
          </w:tcPr>
          <w:p>
            <w:pPr>
              <w:pStyle w:val="TableParagraph"/>
              <w:spacing w:before="0" w:line="368" w:lineRule="exact"/>
              <w:ind w:left="182"/>
              <w:rPr>
                <w:b w:val="0"/>
                <w:sz w:val="31"/>
              </w:rPr>
            </w:pPr>
            <w:r>
              <w:rPr>
                <w:rFonts w:ascii="隶书" w:hAnsi="隶书"/>
                <w:color w:val="202020"/>
                <w:sz w:val="31"/>
              </w:rPr>
              <w:t>±</w:t>
            </w:r>
            <w:r>
              <w:rPr>
                <w:b w:val="0"/>
                <w:color w:val="202020"/>
                <w:sz w:val="31"/>
              </w:rPr>
              <w:t>1%</w:t>
            </w:r>
          </w:p>
        </w:tc>
      </w:tr>
      <w:tr>
        <w:tblPrEx>
          <w:tblW w:w="0" w:type="auto"/>
          <w:jc w:val="left"/>
          <w:tblInd w:w="2946" w:type="dxa"/>
          <w:tblLayout w:type="fixed"/>
          <w:tblCellMar>
            <w:top w:w="0" w:type="dxa"/>
            <w:left w:w="0" w:type="dxa"/>
            <w:bottom w:w="0" w:type="dxa"/>
            <w:right w:w="0" w:type="dxa"/>
          </w:tblCellMar>
          <w:tblLook w:val="01E0"/>
        </w:tblPrEx>
        <w:trPr>
          <w:trHeight w:val="453"/>
          <w:jc w:val="left"/>
        </w:trPr>
        <w:tc>
          <w:tcPr>
            <w:tcW w:w="4777" w:type="dxa"/>
            <w:gridSpan w:val="3"/>
          </w:tcPr>
          <w:p>
            <w:pPr>
              <w:pStyle w:val="TableParagraph"/>
              <w:spacing w:before="22"/>
              <w:ind w:left="2145"/>
              <w:rPr>
                <w:b w:val="0"/>
                <w:sz w:val="31"/>
              </w:rPr>
            </w:pPr>
            <w:r>
              <w:rPr>
                <w:rFonts w:ascii="隶书" w:eastAsia="隶书" w:hint="eastAsia"/>
                <w:color w:val="202020"/>
                <w:spacing w:val="-25"/>
                <w:sz w:val="31"/>
              </w:rPr>
              <w:t xml:space="preserve">计量范围 </w:t>
            </w:r>
            <w:r>
              <w:rPr>
                <w:b w:val="0"/>
                <w:color w:val="202020"/>
                <w:sz w:val="31"/>
              </w:rPr>
              <w:t>kg</w:t>
            </w:r>
            <w:r>
              <w:rPr>
                <w:b w:val="0"/>
                <w:color w:val="202020"/>
                <w:spacing w:val="-64"/>
                <w:sz w:val="31"/>
              </w:rPr>
              <w:t xml:space="preserve"> </w:t>
            </w:r>
            <w:r>
              <w:rPr>
                <w:b w:val="0"/>
                <w:color w:val="202020"/>
                <w:sz w:val="31"/>
              </w:rPr>
              <w:t>0-400</w:t>
            </w:r>
          </w:p>
        </w:tc>
        <w:tc>
          <w:tcPr>
            <w:tcW w:w="1066" w:type="dxa"/>
          </w:tcPr>
          <w:p>
            <w:pPr>
              <w:pStyle w:val="TableParagraph"/>
              <w:ind w:left="152"/>
              <w:rPr>
                <w:b w:val="0"/>
                <w:sz w:val="31"/>
              </w:rPr>
            </w:pPr>
            <w:r>
              <w:rPr>
                <w:b w:val="0"/>
                <w:color w:val="202020"/>
                <w:w w:val="95"/>
                <w:sz w:val="31"/>
              </w:rPr>
              <w:t>0-400</w:t>
            </w:r>
          </w:p>
        </w:tc>
        <w:tc>
          <w:tcPr>
            <w:tcW w:w="1086" w:type="dxa"/>
          </w:tcPr>
          <w:p>
            <w:pPr>
              <w:pStyle w:val="TableParagraph"/>
              <w:ind w:left="173"/>
              <w:rPr>
                <w:b w:val="0"/>
                <w:sz w:val="31"/>
              </w:rPr>
            </w:pPr>
            <w:r>
              <w:rPr>
                <w:b w:val="0"/>
                <w:color w:val="202020"/>
                <w:w w:val="95"/>
                <w:sz w:val="31"/>
              </w:rPr>
              <w:t>0-600</w:t>
            </w:r>
          </w:p>
        </w:tc>
        <w:tc>
          <w:tcPr>
            <w:tcW w:w="1084" w:type="dxa"/>
          </w:tcPr>
          <w:p>
            <w:pPr>
              <w:pStyle w:val="TableParagraph"/>
              <w:ind w:left="171"/>
              <w:rPr>
                <w:b w:val="0"/>
                <w:sz w:val="31"/>
              </w:rPr>
            </w:pPr>
            <w:r>
              <w:rPr>
                <w:b w:val="0"/>
                <w:color w:val="202020"/>
                <w:w w:val="95"/>
                <w:sz w:val="31"/>
              </w:rPr>
              <w:t>0-600</w:t>
            </w:r>
          </w:p>
        </w:tc>
        <w:tc>
          <w:tcPr>
            <w:tcW w:w="1174" w:type="dxa"/>
          </w:tcPr>
          <w:p>
            <w:pPr>
              <w:pStyle w:val="TableParagraph"/>
              <w:ind w:left="170"/>
              <w:rPr>
                <w:b w:val="0"/>
                <w:sz w:val="31"/>
              </w:rPr>
            </w:pPr>
            <w:r>
              <w:rPr>
                <w:b w:val="0"/>
                <w:color w:val="202020"/>
                <w:w w:val="95"/>
                <w:sz w:val="31"/>
              </w:rPr>
              <w:t>0-800</w:t>
            </w:r>
          </w:p>
        </w:tc>
        <w:tc>
          <w:tcPr>
            <w:tcW w:w="1346" w:type="dxa"/>
          </w:tcPr>
          <w:p>
            <w:pPr>
              <w:pStyle w:val="TableParagraph"/>
              <w:ind w:left="260"/>
              <w:rPr>
                <w:b w:val="0"/>
                <w:sz w:val="31"/>
              </w:rPr>
            </w:pPr>
            <w:r>
              <w:rPr>
                <w:b w:val="0"/>
                <w:color w:val="202020"/>
                <w:w w:val="90"/>
                <w:sz w:val="31"/>
              </w:rPr>
              <w:t>0-1200</w:t>
            </w:r>
          </w:p>
        </w:tc>
        <w:tc>
          <w:tcPr>
            <w:tcW w:w="1134" w:type="dxa"/>
          </w:tcPr>
          <w:p>
            <w:pPr>
              <w:pStyle w:val="TableParagraph"/>
              <w:ind w:left="182"/>
              <w:rPr>
                <w:b w:val="0"/>
                <w:sz w:val="31"/>
              </w:rPr>
            </w:pPr>
            <w:r>
              <w:rPr>
                <w:b w:val="0"/>
                <w:color w:val="202020"/>
                <w:w w:val="85"/>
                <w:sz w:val="31"/>
              </w:rPr>
              <w:t>0-1200</w:t>
            </w:r>
          </w:p>
        </w:tc>
      </w:tr>
      <w:tr>
        <w:tblPrEx>
          <w:tblW w:w="0" w:type="auto"/>
          <w:jc w:val="left"/>
          <w:tblInd w:w="2946" w:type="dxa"/>
          <w:tblLayout w:type="fixed"/>
          <w:tblCellMar>
            <w:top w:w="0" w:type="dxa"/>
            <w:left w:w="0" w:type="dxa"/>
            <w:bottom w:w="0" w:type="dxa"/>
            <w:right w:w="0" w:type="dxa"/>
          </w:tblCellMar>
          <w:tblLook w:val="01E0"/>
        </w:tblPrEx>
        <w:trPr>
          <w:trHeight w:val="453"/>
          <w:jc w:val="left"/>
        </w:trPr>
        <w:tc>
          <w:tcPr>
            <w:tcW w:w="4777" w:type="dxa"/>
            <w:gridSpan w:val="3"/>
          </w:tcPr>
          <w:p>
            <w:pPr>
              <w:pStyle w:val="TableParagraph"/>
              <w:tabs>
                <w:tab w:val="left" w:pos="3845"/>
              </w:tabs>
              <w:spacing w:before="22"/>
              <w:ind w:left="2145"/>
              <w:rPr>
                <w:b w:val="0"/>
                <w:sz w:val="31"/>
              </w:rPr>
            </w:pPr>
            <w:r>
              <w:rPr>
                <w:rFonts w:ascii="隶书" w:eastAsia="隶书" w:hAnsi="隶书" w:hint="eastAsia"/>
                <w:color w:val="202020"/>
                <w:sz w:val="31"/>
              </w:rPr>
              <w:t>计量精度</w:t>
              <w:tab/>
              <w:t>±</w:t>
            </w:r>
            <w:r>
              <w:rPr>
                <w:b w:val="0"/>
                <w:color w:val="202020"/>
                <w:sz w:val="31"/>
              </w:rPr>
              <w:t>1%</w:t>
            </w:r>
          </w:p>
        </w:tc>
        <w:tc>
          <w:tcPr>
            <w:tcW w:w="1066" w:type="dxa"/>
          </w:tcPr>
          <w:p>
            <w:pPr>
              <w:pStyle w:val="TableParagraph"/>
              <w:spacing w:before="22"/>
              <w:ind w:left="152"/>
              <w:rPr>
                <w:b w:val="0"/>
                <w:sz w:val="31"/>
              </w:rPr>
            </w:pPr>
            <w:r>
              <w:rPr>
                <w:rFonts w:ascii="隶书" w:hAnsi="隶书"/>
                <w:color w:val="202020"/>
                <w:sz w:val="31"/>
              </w:rPr>
              <w:t>±</w:t>
            </w:r>
            <w:r>
              <w:rPr>
                <w:b w:val="0"/>
                <w:color w:val="202020"/>
                <w:sz w:val="31"/>
              </w:rPr>
              <w:t>1%</w:t>
            </w:r>
          </w:p>
        </w:tc>
        <w:tc>
          <w:tcPr>
            <w:tcW w:w="1086" w:type="dxa"/>
          </w:tcPr>
          <w:p>
            <w:pPr>
              <w:pStyle w:val="TableParagraph"/>
              <w:spacing w:before="22"/>
              <w:ind w:left="173"/>
              <w:rPr>
                <w:b w:val="0"/>
                <w:sz w:val="31"/>
              </w:rPr>
            </w:pPr>
            <w:r>
              <w:rPr>
                <w:rFonts w:ascii="隶书" w:hAnsi="隶书"/>
                <w:color w:val="202020"/>
                <w:sz w:val="31"/>
              </w:rPr>
              <w:t>±</w:t>
            </w:r>
            <w:r>
              <w:rPr>
                <w:b w:val="0"/>
                <w:color w:val="202020"/>
                <w:sz w:val="31"/>
              </w:rPr>
              <w:t>1%</w:t>
            </w:r>
          </w:p>
        </w:tc>
        <w:tc>
          <w:tcPr>
            <w:tcW w:w="1084" w:type="dxa"/>
          </w:tcPr>
          <w:p>
            <w:pPr>
              <w:pStyle w:val="TableParagraph"/>
              <w:spacing w:before="22"/>
              <w:ind w:left="171"/>
              <w:rPr>
                <w:b w:val="0"/>
                <w:sz w:val="31"/>
              </w:rPr>
            </w:pPr>
            <w:r>
              <w:rPr>
                <w:rFonts w:ascii="隶书" w:hAnsi="隶书"/>
                <w:color w:val="202020"/>
                <w:sz w:val="31"/>
              </w:rPr>
              <w:t>±</w:t>
            </w:r>
            <w:r>
              <w:rPr>
                <w:b w:val="0"/>
                <w:color w:val="202020"/>
                <w:sz w:val="31"/>
              </w:rPr>
              <w:t>1%</w:t>
            </w:r>
          </w:p>
        </w:tc>
        <w:tc>
          <w:tcPr>
            <w:tcW w:w="1174" w:type="dxa"/>
          </w:tcPr>
          <w:p>
            <w:pPr>
              <w:pStyle w:val="TableParagraph"/>
              <w:spacing w:before="22"/>
              <w:ind w:left="170"/>
              <w:rPr>
                <w:b w:val="0"/>
                <w:sz w:val="31"/>
              </w:rPr>
            </w:pPr>
            <w:r>
              <w:rPr>
                <w:rFonts w:ascii="隶书" w:hAnsi="隶书"/>
                <w:color w:val="202020"/>
                <w:sz w:val="31"/>
              </w:rPr>
              <w:t>±</w:t>
            </w:r>
            <w:r>
              <w:rPr>
                <w:b w:val="0"/>
                <w:color w:val="202020"/>
                <w:sz w:val="31"/>
              </w:rPr>
              <w:t>1%</w:t>
            </w:r>
          </w:p>
        </w:tc>
        <w:tc>
          <w:tcPr>
            <w:tcW w:w="1346" w:type="dxa"/>
          </w:tcPr>
          <w:p>
            <w:pPr>
              <w:pStyle w:val="TableParagraph"/>
              <w:spacing w:before="22"/>
              <w:ind w:left="260"/>
              <w:rPr>
                <w:b w:val="0"/>
                <w:sz w:val="31"/>
              </w:rPr>
            </w:pPr>
            <w:r>
              <w:rPr>
                <w:rFonts w:ascii="隶书" w:hAnsi="隶书"/>
                <w:color w:val="202020"/>
                <w:sz w:val="31"/>
              </w:rPr>
              <w:t>±</w:t>
            </w:r>
            <w:r>
              <w:rPr>
                <w:b w:val="0"/>
                <w:color w:val="202020"/>
                <w:sz w:val="31"/>
              </w:rPr>
              <w:t>1%</w:t>
            </w:r>
          </w:p>
        </w:tc>
        <w:tc>
          <w:tcPr>
            <w:tcW w:w="1134" w:type="dxa"/>
          </w:tcPr>
          <w:p>
            <w:pPr>
              <w:pStyle w:val="TableParagraph"/>
              <w:spacing w:before="22"/>
              <w:ind w:left="182"/>
              <w:rPr>
                <w:b w:val="0"/>
                <w:sz w:val="31"/>
              </w:rPr>
            </w:pPr>
            <w:r>
              <w:rPr>
                <w:rFonts w:ascii="隶书" w:hAnsi="隶书"/>
                <w:color w:val="202020"/>
                <w:sz w:val="31"/>
              </w:rPr>
              <w:t>±</w:t>
            </w:r>
            <w:r>
              <w:rPr>
                <w:b w:val="0"/>
                <w:color w:val="202020"/>
                <w:sz w:val="31"/>
              </w:rPr>
              <w:t>1%</w:t>
            </w:r>
          </w:p>
        </w:tc>
      </w:tr>
      <w:tr>
        <w:tblPrEx>
          <w:tblW w:w="0" w:type="auto"/>
          <w:jc w:val="left"/>
          <w:tblInd w:w="2946" w:type="dxa"/>
          <w:tblLayout w:type="fixed"/>
          <w:tblCellMar>
            <w:top w:w="0" w:type="dxa"/>
            <w:left w:w="0" w:type="dxa"/>
            <w:bottom w:w="0" w:type="dxa"/>
            <w:right w:w="0" w:type="dxa"/>
          </w:tblCellMar>
          <w:tblLook w:val="01E0"/>
        </w:tblPrEx>
        <w:trPr>
          <w:trHeight w:val="401"/>
          <w:jc w:val="left"/>
        </w:trPr>
        <w:tc>
          <w:tcPr>
            <w:tcW w:w="4777" w:type="dxa"/>
            <w:gridSpan w:val="3"/>
          </w:tcPr>
          <w:p>
            <w:pPr>
              <w:pStyle w:val="TableParagraph"/>
              <w:spacing w:before="22" w:line="359" w:lineRule="exact"/>
              <w:ind w:left="2145"/>
              <w:rPr>
                <w:b w:val="0"/>
                <w:sz w:val="31"/>
              </w:rPr>
            </w:pPr>
            <w:r>
              <w:rPr>
                <w:rFonts w:ascii="隶书" w:eastAsia="隶书" w:hint="eastAsia"/>
                <w:color w:val="202020"/>
                <w:sz w:val="31"/>
              </w:rPr>
              <w:t xml:space="preserve">计量范围 </w:t>
            </w:r>
            <w:r>
              <w:rPr>
                <w:b w:val="0"/>
                <w:color w:val="202020"/>
                <w:sz w:val="31"/>
              </w:rPr>
              <w:t>kg 0-25</w:t>
            </w:r>
          </w:p>
        </w:tc>
        <w:tc>
          <w:tcPr>
            <w:tcW w:w="1066" w:type="dxa"/>
          </w:tcPr>
          <w:p>
            <w:pPr>
              <w:pStyle w:val="TableParagraph"/>
              <w:spacing w:line="341" w:lineRule="exact"/>
              <w:ind w:left="152"/>
              <w:rPr>
                <w:b w:val="0"/>
                <w:sz w:val="31"/>
              </w:rPr>
            </w:pPr>
            <w:r>
              <w:rPr>
                <w:b w:val="0"/>
                <w:color w:val="202020"/>
                <w:w w:val="95"/>
                <w:sz w:val="31"/>
              </w:rPr>
              <w:t>0-25</w:t>
            </w:r>
          </w:p>
        </w:tc>
        <w:tc>
          <w:tcPr>
            <w:tcW w:w="1086" w:type="dxa"/>
          </w:tcPr>
          <w:p>
            <w:pPr>
              <w:pStyle w:val="TableParagraph"/>
              <w:spacing w:line="341" w:lineRule="exact"/>
              <w:ind w:left="173"/>
              <w:rPr>
                <w:b w:val="0"/>
                <w:sz w:val="31"/>
              </w:rPr>
            </w:pPr>
            <w:r>
              <w:rPr>
                <w:b w:val="0"/>
                <w:color w:val="202020"/>
                <w:w w:val="95"/>
                <w:sz w:val="31"/>
              </w:rPr>
              <w:t>0-40</w:t>
            </w:r>
          </w:p>
        </w:tc>
        <w:tc>
          <w:tcPr>
            <w:tcW w:w="1084" w:type="dxa"/>
          </w:tcPr>
          <w:p>
            <w:pPr>
              <w:pStyle w:val="TableParagraph"/>
              <w:spacing w:line="341" w:lineRule="exact"/>
              <w:ind w:left="171"/>
              <w:rPr>
                <w:b w:val="0"/>
                <w:sz w:val="31"/>
              </w:rPr>
            </w:pPr>
            <w:r>
              <w:rPr>
                <w:b w:val="0"/>
                <w:color w:val="202020"/>
                <w:w w:val="95"/>
                <w:sz w:val="31"/>
              </w:rPr>
              <w:t>0-40</w:t>
            </w:r>
          </w:p>
        </w:tc>
        <w:tc>
          <w:tcPr>
            <w:tcW w:w="1174" w:type="dxa"/>
          </w:tcPr>
          <w:p>
            <w:pPr>
              <w:pStyle w:val="TableParagraph"/>
              <w:spacing w:line="341" w:lineRule="exact"/>
              <w:ind w:left="170"/>
              <w:rPr>
                <w:b w:val="0"/>
                <w:sz w:val="31"/>
              </w:rPr>
            </w:pPr>
            <w:r>
              <w:rPr>
                <w:b w:val="0"/>
                <w:color w:val="202020"/>
                <w:w w:val="95"/>
                <w:sz w:val="31"/>
              </w:rPr>
              <w:t>0-50</w:t>
            </w:r>
          </w:p>
        </w:tc>
        <w:tc>
          <w:tcPr>
            <w:tcW w:w="1346" w:type="dxa"/>
          </w:tcPr>
          <w:p>
            <w:pPr>
              <w:pStyle w:val="TableParagraph"/>
              <w:spacing w:line="341" w:lineRule="exact"/>
              <w:ind w:left="260"/>
              <w:rPr>
                <w:b w:val="0"/>
                <w:sz w:val="31"/>
              </w:rPr>
            </w:pPr>
            <w:r>
              <w:rPr>
                <w:b w:val="0"/>
                <w:color w:val="202020"/>
                <w:w w:val="95"/>
                <w:sz w:val="31"/>
              </w:rPr>
              <w:t>0-75</w:t>
            </w:r>
          </w:p>
        </w:tc>
        <w:tc>
          <w:tcPr>
            <w:tcW w:w="1134" w:type="dxa"/>
          </w:tcPr>
          <w:p>
            <w:pPr>
              <w:pStyle w:val="TableParagraph"/>
              <w:spacing w:line="341" w:lineRule="exact"/>
              <w:ind w:left="182"/>
              <w:rPr>
                <w:b w:val="0"/>
                <w:sz w:val="31"/>
              </w:rPr>
            </w:pPr>
            <w:r>
              <w:rPr>
                <w:b w:val="0"/>
                <w:color w:val="202020"/>
                <w:w w:val="95"/>
                <w:sz w:val="31"/>
              </w:rPr>
              <w:t>0-75</w:t>
            </w:r>
          </w:p>
        </w:tc>
      </w:tr>
      <w:tr>
        <w:tblPrEx>
          <w:tblW w:w="0" w:type="auto"/>
          <w:jc w:val="left"/>
          <w:tblInd w:w="2946" w:type="dxa"/>
          <w:tblLayout w:type="fixed"/>
          <w:tblCellMar>
            <w:top w:w="0" w:type="dxa"/>
            <w:left w:w="0" w:type="dxa"/>
            <w:bottom w:w="0" w:type="dxa"/>
            <w:right w:w="0" w:type="dxa"/>
          </w:tblCellMar>
          <w:tblLook w:val="01E0"/>
        </w:tblPrEx>
        <w:trPr>
          <w:trHeight w:val="505"/>
          <w:jc w:val="left"/>
        </w:trPr>
        <w:tc>
          <w:tcPr>
            <w:tcW w:w="2095" w:type="dxa"/>
          </w:tcPr>
          <w:p>
            <w:pPr>
              <w:pStyle w:val="TableParagraph"/>
              <w:spacing w:before="0" w:line="245" w:lineRule="exact"/>
              <w:ind w:left="50"/>
              <w:rPr>
                <w:rFonts w:ascii="隶书" w:eastAsia="隶书" w:hint="eastAsia"/>
                <w:sz w:val="31"/>
              </w:rPr>
            </w:pPr>
            <w:r>
              <w:rPr>
                <w:rFonts w:ascii="隶书" w:eastAsia="隶书" w:hint="eastAsia"/>
                <w:color w:val="202020"/>
                <w:sz w:val="31"/>
              </w:rPr>
              <w:t>外加剂秤</w:t>
            </w:r>
          </w:p>
        </w:tc>
        <w:tc>
          <w:tcPr>
            <w:tcW w:w="1534" w:type="dxa"/>
          </w:tcPr>
          <w:p>
            <w:pPr>
              <w:pStyle w:val="TableParagraph"/>
              <w:spacing w:before="74"/>
              <w:ind w:left="50"/>
              <w:rPr>
                <w:rFonts w:ascii="隶书" w:eastAsia="隶书" w:hint="eastAsia"/>
                <w:sz w:val="31"/>
              </w:rPr>
            </w:pPr>
            <w:r>
              <w:rPr>
                <w:rFonts w:ascii="隶书" w:eastAsia="隶书" w:hint="eastAsia"/>
                <w:color w:val="202020"/>
                <w:sz w:val="31"/>
              </w:rPr>
              <w:t>计量精度</w:t>
            </w:r>
          </w:p>
        </w:tc>
        <w:tc>
          <w:tcPr>
            <w:tcW w:w="1148" w:type="dxa"/>
          </w:tcPr>
          <w:p>
            <w:pPr>
              <w:pStyle w:val="TableParagraph"/>
              <w:spacing w:before="74"/>
              <w:ind w:left="216"/>
              <w:rPr>
                <w:b w:val="0"/>
                <w:sz w:val="31"/>
              </w:rPr>
            </w:pPr>
            <w:r>
              <w:rPr>
                <w:rFonts w:ascii="隶书" w:hAnsi="隶书"/>
                <w:color w:val="202020"/>
                <w:sz w:val="31"/>
              </w:rPr>
              <w:t>±</w:t>
            </w:r>
            <w:r>
              <w:rPr>
                <w:b w:val="0"/>
                <w:color w:val="202020"/>
                <w:sz w:val="31"/>
              </w:rPr>
              <w:t>1%</w:t>
            </w:r>
          </w:p>
        </w:tc>
        <w:tc>
          <w:tcPr>
            <w:tcW w:w="1066" w:type="dxa"/>
          </w:tcPr>
          <w:p>
            <w:pPr>
              <w:pStyle w:val="TableParagraph"/>
              <w:spacing w:before="74"/>
              <w:ind w:left="152"/>
              <w:rPr>
                <w:b w:val="0"/>
                <w:sz w:val="31"/>
              </w:rPr>
            </w:pPr>
            <w:r>
              <w:rPr>
                <w:rFonts w:ascii="隶书" w:hAnsi="隶书"/>
                <w:color w:val="202020"/>
                <w:sz w:val="31"/>
              </w:rPr>
              <w:t>±</w:t>
            </w:r>
            <w:r>
              <w:rPr>
                <w:b w:val="0"/>
                <w:color w:val="202020"/>
                <w:sz w:val="31"/>
              </w:rPr>
              <w:t>1%</w:t>
            </w:r>
          </w:p>
        </w:tc>
        <w:tc>
          <w:tcPr>
            <w:tcW w:w="1086" w:type="dxa"/>
          </w:tcPr>
          <w:p>
            <w:pPr>
              <w:pStyle w:val="TableParagraph"/>
              <w:spacing w:before="74"/>
              <w:ind w:left="173"/>
              <w:rPr>
                <w:b w:val="0"/>
                <w:sz w:val="31"/>
              </w:rPr>
            </w:pPr>
            <w:r>
              <w:rPr>
                <w:rFonts w:ascii="隶书" w:hAnsi="隶书"/>
                <w:color w:val="202020"/>
                <w:sz w:val="31"/>
              </w:rPr>
              <w:t>±</w:t>
            </w:r>
            <w:r>
              <w:rPr>
                <w:b w:val="0"/>
                <w:color w:val="202020"/>
                <w:sz w:val="31"/>
              </w:rPr>
              <w:t>1%</w:t>
            </w:r>
          </w:p>
        </w:tc>
        <w:tc>
          <w:tcPr>
            <w:tcW w:w="1084" w:type="dxa"/>
          </w:tcPr>
          <w:p>
            <w:pPr>
              <w:pStyle w:val="TableParagraph"/>
              <w:spacing w:before="74"/>
              <w:ind w:left="171"/>
              <w:rPr>
                <w:b w:val="0"/>
                <w:sz w:val="31"/>
              </w:rPr>
            </w:pPr>
            <w:r>
              <w:rPr>
                <w:rFonts w:ascii="隶书" w:hAnsi="隶书"/>
                <w:color w:val="202020"/>
                <w:sz w:val="31"/>
              </w:rPr>
              <w:t>±</w:t>
            </w:r>
            <w:r>
              <w:rPr>
                <w:b w:val="0"/>
                <w:color w:val="202020"/>
                <w:sz w:val="31"/>
              </w:rPr>
              <w:t>1%</w:t>
            </w:r>
          </w:p>
        </w:tc>
        <w:tc>
          <w:tcPr>
            <w:tcW w:w="1174" w:type="dxa"/>
          </w:tcPr>
          <w:p>
            <w:pPr>
              <w:pStyle w:val="TableParagraph"/>
              <w:spacing w:before="74"/>
              <w:ind w:left="170"/>
              <w:rPr>
                <w:b w:val="0"/>
                <w:sz w:val="31"/>
              </w:rPr>
            </w:pPr>
            <w:r>
              <w:rPr>
                <w:rFonts w:ascii="隶书" w:hAnsi="隶书"/>
                <w:color w:val="202020"/>
                <w:sz w:val="31"/>
              </w:rPr>
              <w:t>±</w:t>
            </w:r>
            <w:r>
              <w:rPr>
                <w:b w:val="0"/>
                <w:color w:val="202020"/>
                <w:sz w:val="31"/>
              </w:rPr>
              <w:t>1%</w:t>
            </w:r>
          </w:p>
        </w:tc>
        <w:tc>
          <w:tcPr>
            <w:tcW w:w="1346" w:type="dxa"/>
          </w:tcPr>
          <w:p>
            <w:pPr>
              <w:pStyle w:val="TableParagraph"/>
              <w:spacing w:before="74"/>
              <w:ind w:left="260"/>
              <w:rPr>
                <w:b w:val="0"/>
                <w:sz w:val="31"/>
              </w:rPr>
            </w:pPr>
            <w:r>
              <w:rPr>
                <w:rFonts w:ascii="隶书" w:hAnsi="隶书"/>
                <w:color w:val="202020"/>
                <w:sz w:val="31"/>
              </w:rPr>
              <w:t>±</w:t>
            </w:r>
            <w:r>
              <w:rPr>
                <w:b w:val="0"/>
                <w:color w:val="202020"/>
                <w:sz w:val="31"/>
              </w:rPr>
              <w:t>1%</w:t>
            </w:r>
          </w:p>
        </w:tc>
        <w:tc>
          <w:tcPr>
            <w:tcW w:w="1134" w:type="dxa"/>
          </w:tcPr>
          <w:p>
            <w:pPr>
              <w:pStyle w:val="TableParagraph"/>
              <w:spacing w:before="74"/>
              <w:ind w:left="182"/>
              <w:rPr>
                <w:b w:val="0"/>
                <w:sz w:val="31"/>
              </w:rPr>
            </w:pPr>
            <w:r>
              <w:rPr>
                <w:rFonts w:ascii="隶书" w:hAnsi="隶书"/>
                <w:color w:val="202020"/>
                <w:sz w:val="31"/>
              </w:rPr>
              <w:t>±</w:t>
            </w:r>
            <w:r>
              <w:rPr>
                <w:b w:val="0"/>
                <w:color w:val="202020"/>
                <w:sz w:val="31"/>
              </w:rPr>
              <w:t>1%</w:t>
            </w:r>
          </w:p>
        </w:tc>
      </w:tr>
      <w:tr>
        <w:tblPrEx>
          <w:tblW w:w="0" w:type="auto"/>
          <w:jc w:val="left"/>
          <w:tblInd w:w="2946" w:type="dxa"/>
          <w:tblLayout w:type="fixed"/>
          <w:tblCellMar>
            <w:top w:w="0" w:type="dxa"/>
            <w:left w:w="0" w:type="dxa"/>
            <w:bottom w:w="0" w:type="dxa"/>
            <w:right w:w="0" w:type="dxa"/>
          </w:tblCellMar>
          <w:tblLook w:val="01E0"/>
        </w:tblPrEx>
        <w:trPr>
          <w:trHeight w:val="401"/>
          <w:jc w:val="left"/>
        </w:trPr>
        <w:tc>
          <w:tcPr>
            <w:tcW w:w="2095" w:type="dxa"/>
          </w:tcPr>
          <w:p>
            <w:pPr>
              <w:pStyle w:val="TableParagraph"/>
              <w:spacing w:before="22" w:line="359" w:lineRule="exact"/>
              <w:ind w:left="50"/>
              <w:rPr>
                <w:b w:val="0"/>
                <w:sz w:val="31"/>
              </w:rPr>
            </w:pPr>
            <w:r>
              <w:rPr>
                <w:rFonts w:ascii="隶书" w:eastAsia="隶书" w:hint="eastAsia"/>
                <w:color w:val="202020"/>
                <w:sz w:val="31"/>
              </w:rPr>
              <w:t xml:space="preserve">总功率 </w:t>
            </w:r>
            <w:r>
              <w:rPr>
                <w:b w:val="0"/>
                <w:color w:val="202020"/>
                <w:sz w:val="31"/>
              </w:rPr>
              <w:t>KW</w:t>
            </w:r>
          </w:p>
        </w:tc>
        <w:tc>
          <w:tcPr>
            <w:tcW w:w="1534" w:type="dxa"/>
          </w:tcPr>
          <w:p>
            <w:pPr>
              <w:pStyle w:val="TableParagraph"/>
              <w:spacing w:before="0"/>
              <w:ind w:left="0"/>
              <w:rPr>
                <w:rFonts w:ascii="Times New Roman"/>
                <w:sz w:val="30"/>
              </w:rPr>
            </w:pPr>
          </w:p>
        </w:tc>
        <w:tc>
          <w:tcPr>
            <w:tcW w:w="1148" w:type="dxa"/>
          </w:tcPr>
          <w:p>
            <w:pPr>
              <w:pStyle w:val="TableParagraph"/>
              <w:spacing w:line="341" w:lineRule="exact"/>
              <w:ind w:left="216"/>
              <w:rPr>
                <w:b w:val="0"/>
                <w:sz w:val="31"/>
              </w:rPr>
            </w:pPr>
            <w:r>
              <w:rPr>
                <w:b w:val="0"/>
                <w:color w:val="202020"/>
                <w:w w:val="90"/>
                <w:sz w:val="31"/>
              </w:rPr>
              <w:t>108</w:t>
            </w:r>
          </w:p>
        </w:tc>
        <w:tc>
          <w:tcPr>
            <w:tcW w:w="1066" w:type="dxa"/>
          </w:tcPr>
          <w:p>
            <w:pPr>
              <w:pStyle w:val="TableParagraph"/>
              <w:spacing w:line="341" w:lineRule="exact"/>
              <w:ind w:left="152"/>
              <w:rPr>
                <w:b w:val="0"/>
                <w:sz w:val="31"/>
              </w:rPr>
            </w:pPr>
            <w:r>
              <w:rPr>
                <w:b w:val="0"/>
                <w:color w:val="202020"/>
                <w:w w:val="90"/>
                <w:sz w:val="31"/>
              </w:rPr>
              <w:t>142</w:t>
            </w:r>
          </w:p>
        </w:tc>
        <w:tc>
          <w:tcPr>
            <w:tcW w:w="1086" w:type="dxa"/>
          </w:tcPr>
          <w:p>
            <w:pPr>
              <w:pStyle w:val="TableParagraph"/>
              <w:spacing w:line="341" w:lineRule="exact"/>
              <w:ind w:left="173"/>
              <w:rPr>
                <w:b w:val="0"/>
                <w:sz w:val="31"/>
              </w:rPr>
            </w:pPr>
            <w:r>
              <w:rPr>
                <w:b w:val="0"/>
                <w:color w:val="202020"/>
                <w:w w:val="90"/>
                <w:sz w:val="31"/>
              </w:rPr>
              <w:t>188</w:t>
            </w:r>
          </w:p>
        </w:tc>
        <w:tc>
          <w:tcPr>
            <w:tcW w:w="1084" w:type="dxa"/>
          </w:tcPr>
          <w:p>
            <w:pPr>
              <w:pStyle w:val="TableParagraph"/>
              <w:spacing w:line="341" w:lineRule="exact"/>
              <w:ind w:left="171"/>
              <w:rPr>
                <w:b w:val="0"/>
                <w:sz w:val="31"/>
              </w:rPr>
            </w:pPr>
            <w:r>
              <w:rPr>
                <w:b w:val="0"/>
                <w:color w:val="202020"/>
                <w:w w:val="90"/>
                <w:sz w:val="31"/>
              </w:rPr>
              <w:t>191</w:t>
            </w:r>
          </w:p>
        </w:tc>
        <w:tc>
          <w:tcPr>
            <w:tcW w:w="1174" w:type="dxa"/>
          </w:tcPr>
          <w:p>
            <w:pPr>
              <w:pStyle w:val="TableParagraph"/>
              <w:spacing w:line="341" w:lineRule="exact"/>
              <w:ind w:left="170"/>
              <w:rPr>
                <w:b w:val="0"/>
                <w:sz w:val="31"/>
              </w:rPr>
            </w:pPr>
            <w:r>
              <w:rPr>
                <w:b w:val="0"/>
                <w:color w:val="202020"/>
                <w:w w:val="90"/>
                <w:sz w:val="31"/>
              </w:rPr>
              <w:t>225</w:t>
            </w:r>
          </w:p>
        </w:tc>
        <w:tc>
          <w:tcPr>
            <w:tcW w:w="1346" w:type="dxa"/>
          </w:tcPr>
          <w:p>
            <w:pPr>
              <w:pStyle w:val="TableParagraph"/>
              <w:spacing w:line="341" w:lineRule="exact"/>
              <w:ind w:left="260"/>
              <w:rPr>
                <w:b w:val="0"/>
                <w:sz w:val="31"/>
              </w:rPr>
            </w:pPr>
            <w:r>
              <w:rPr>
                <w:b w:val="0"/>
                <w:color w:val="202020"/>
                <w:w w:val="90"/>
                <w:sz w:val="31"/>
              </w:rPr>
              <w:t>293</w:t>
            </w:r>
          </w:p>
        </w:tc>
        <w:tc>
          <w:tcPr>
            <w:tcW w:w="1134" w:type="dxa"/>
          </w:tcPr>
          <w:p>
            <w:pPr>
              <w:pStyle w:val="TableParagraph"/>
              <w:spacing w:line="341" w:lineRule="exact"/>
              <w:ind w:left="182"/>
              <w:rPr>
                <w:b w:val="0"/>
                <w:sz w:val="31"/>
              </w:rPr>
            </w:pPr>
            <w:r>
              <w:rPr>
                <w:b w:val="0"/>
                <w:color w:val="202020"/>
                <w:w w:val="90"/>
                <w:sz w:val="31"/>
              </w:rPr>
              <w:t>293</w:t>
            </w:r>
          </w:p>
        </w:tc>
      </w:tr>
    </w:tbl>
    <w:p>
      <w:pPr>
        <w:spacing w:after="0" w:line="341" w:lineRule="exact"/>
        <w:rPr>
          <w:sz w:val="31"/>
        </w:rPr>
        <w:sectPr>
          <w:headerReference w:type="default" r:id="rId21"/>
          <w:pgSz w:w="17860" w:h="25260"/>
          <w:pgMar w:top="1300" w:right="0" w:bottom="0" w:left="0" w:header="897" w:footer="0"/>
          <w:pgNumType w:start="9"/>
          <w:cols w:space="708"/>
        </w:sectPr>
      </w:pPr>
    </w:p>
    <w:p>
      <w:pPr>
        <w:pStyle w:val="BodyText"/>
        <w:rPr>
          <w:sz w:val="20"/>
        </w:rPr>
      </w:pPr>
    </w:p>
    <w:p>
      <w:pPr>
        <w:pStyle w:val="BodyText"/>
        <w:rPr>
          <w:sz w:val="20"/>
        </w:rPr>
      </w:pPr>
    </w:p>
    <w:p>
      <w:pPr>
        <w:pStyle w:val="BodyText"/>
        <w:spacing w:before="10"/>
        <w:rPr>
          <w:sz w:val="16"/>
        </w:rPr>
      </w:pPr>
    </w:p>
    <w:p>
      <w:pPr>
        <w:pStyle w:val="Heading1"/>
      </w:pPr>
      <w:r>
        <w:drawing>
          <wp:anchor distT="0" distB="0" distL="0" distR="0" simplePos="0" relativeHeight="251667456" behindDoc="0" locked="0" layoutInCell="1" allowOverlap="1">
            <wp:simplePos x="0" y="0"/>
            <wp:positionH relativeFrom="page">
              <wp:posOffset>0</wp:posOffset>
            </wp:positionH>
            <wp:positionV relativeFrom="paragraph">
              <wp:posOffset>768858</wp:posOffset>
            </wp:positionV>
            <wp:extent cx="11340845" cy="9956546"/>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22" cstate="print"/>
                    <a:stretch>
                      <a:fillRect/>
                    </a:stretch>
                  </pic:blipFill>
                  <pic:spPr>
                    <a:xfrm>
                      <a:off x="0" y="0"/>
                      <a:ext cx="11340845" cy="9956546"/>
                    </a:xfrm>
                    <a:prstGeom prst="rect">
                      <a:avLst/>
                    </a:prstGeom>
                  </pic:spPr>
                </pic:pic>
              </a:graphicData>
            </a:graphic>
          </wp:anchor>
        </w:drawing>
      </w:r>
      <w:r>
        <w:rPr>
          <w:color w:val="202020"/>
          <w:w w:val="120"/>
          <w:vertAlign w:val="subscript"/>
        </w:rPr>
        <w:t xml:space="preserve">五、 </w:t>
      </w:r>
      <w:r>
        <w:rPr>
          <w:color w:val="202020"/>
          <w:w w:val="105"/>
          <w:vertAlign w:val="subscript"/>
        </w:rPr>
        <w:t>混凝土搅拌站生产流程</w:t>
      </w: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rPr>
          <w:b/>
          <w:sz w:val="46"/>
        </w:rPr>
      </w:pPr>
    </w:p>
    <w:p>
      <w:pPr>
        <w:pStyle w:val="BodyText"/>
        <w:spacing w:before="5"/>
        <w:rPr>
          <w:b/>
          <w:sz w:val="67"/>
        </w:rPr>
      </w:pPr>
    </w:p>
    <w:p>
      <w:pPr>
        <w:pStyle w:val="BodyText"/>
        <w:ind w:left="2700"/>
      </w:pPr>
      <w:r>
        <w:t>七、混凝土搅拌站的特点：</w:t>
      </w:r>
    </w:p>
    <w:p>
      <w:pPr>
        <w:pStyle w:val="BodyText"/>
        <w:spacing w:before="3"/>
        <w:rPr>
          <w:sz w:val="30"/>
        </w:rPr>
      </w:pPr>
    </w:p>
    <w:p>
      <w:pPr>
        <w:pStyle w:val="BodyText"/>
        <w:ind w:left="3539"/>
        <w:rPr>
          <w:rFonts w:ascii="Arial" w:eastAsia="Arial"/>
        </w:rPr>
      </w:pPr>
      <w:r>
        <w:t xml:space="preserve">中国预拌混凝土行业起始于 </w:t>
      </w:r>
      <w:r>
        <w:rPr>
          <w:rFonts w:ascii="Arial" w:eastAsia="Arial"/>
        </w:rPr>
        <w:t xml:space="preserve">20 </w:t>
      </w:r>
      <w:r>
        <w:t xml:space="preserve">世纪 </w:t>
      </w:r>
      <w:r>
        <w:rPr>
          <w:rFonts w:ascii="Arial" w:eastAsia="Arial"/>
        </w:rPr>
        <w:t xml:space="preserve">70 </w:t>
      </w:r>
      <w:r>
        <w:t>年代末期，</w:t>
      </w:r>
      <w:r>
        <w:rPr>
          <w:rFonts w:ascii="Arial" w:eastAsia="Arial"/>
        </w:rPr>
        <w:t xml:space="preserve">20 </w:t>
      </w:r>
      <w:r>
        <w:t xml:space="preserve">世纪 </w:t>
      </w:r>
      <w:r>
        <w:rPr>
          <w:rFonts w:ascii="Arial" w:eastAsia="Arial"/>
        </w:rPr>
        <w:t>90</w:t>
      </w:r>
    </w:p>
    <w:p>
      <w:pPr>
        <w:pStyle w:val="BodyText"/>
        <w:spacing w:before="92" w:line="280" w:lineRule="auto"/>
        <w:ind w:left="2700" w:right="2629"/>
      </w:pPr>
      <w:r>
        <w:t xml:space="preserve">年代开始获得蓬勃发展。为了区分 </w:t>
      </w:r>
      <w:r>
        <w:rPr>
          <w:rFonts w:ascii="Arial" w:eastAsia="Arial"/>
        </w:rPr>
        <w:t xml:space="preserve">20 </w:t>
      </w:r>
      <w:r>
        <w:t xml:space="preserve">世纪 </w:t>
      </w:r>
      <w:r>
        <w:rPr>
          <w:rFonts w:ascii="Arial" w:eastAsia="Arial"/>
        </w:rPr>
        <w:t xml:space="preserve">50 </w:t>
      </w:r>
      <w:r>
        <w:t>年代冶金系统如鞍钢及包钢企业内部曾使用过的集中搅拌混凝土，并强调其进入社会后</w:t>
      </w:r>
    </w:p>
    <w:p>
      <w:pPr>
        <w:spacing w:after="0" w:line="280" w:lineRule="auto"/>
        <w:sectPr>
          <w:headerReference w:type="default" r:id="rId23"/>
          <w:pgSz w:w="17860" w:h="25260"/>
          <w:pgMar w:top="1300" w:right="0" w:bottom="280" w:left="0" w:header="897" w:footer="0"/>
          <w:pgNumType w:start="10"/>
          <w:cols w:space="708"/>
        </w:sectPr>
      </w:pPr>
    </w:p>
    <w:p>
      <w:pPr>
        <w:pStyle w:val="BodyText"/>
        <w:rPr>
          <w:sz w:val="20"/>
        </w:rPr>
      </w:pPr>
    </w:p>
    <w:p>
      <w:pPr>
        <w:pStyle w:val="BodyText"/>
        <w:spacing w:before="2"/>
        <w:rPr>
          <w:sz w:val="22"/>
        </w:rPr>
      </w:pPr>
    </w:p>
    <w:p>
      <w:pPr>
        <w:pStyle w:val="BodyText"/>
        <w:spacing w:before="42" w:line="280" w:lineRule="auto"/>
        <w:ind w:left="2700" w:right="2943"/>
        <w:jc w:val="both"/>
      </w:pPr>
      <w:r>
        <w:t>的商品属性，曾命名它为“商品混凝土”。但在商品混凝土的技术标准中，为了与国际接轨，仍称其为预拌混凝土，统观整个商品混凝土行业，具有建材行业的一般特性。</w:t>
      </w:r>
    </w:p>
    <w:p>
      <w:pPr>
        <w:pStyle w:val="BodyText"/>
        <w:spacing w:before="272" w:line="280" w:lineRule="auto"/>
        <w:ind w:left="2700" w:right="2943" w:firstLine="838"/>
        <w:jc w:val="both"/>
      </w:pPr>
      <w:r>
        <w:t>周期性：由于整个建筑行业受季节影响较大，这也相应影响到建材行业，使其具有了季节性，一般在年底和年初整个商品混凝土行业处于萎缩状态。</w:t>
      </w:r>
    </w:p>
    <w:p>
      <w:pPr>
        <w:pStyle w:val="BodyText"/>
        <w:spacing w:before="271" w:line="280" w:lineRule="auto"/>
        <w:ind w:left="2700" w:right="2945" w:firstLine="838"/>
      </w:pPr>
      <w:r>
        <w:t>地域性：由于建材行业受到有效运距的限制，区域市场价格差异较大。</w:t>
      </w:r>
    </w:p>
    <w:p>
      <w:pPr>
        <w:pStyle w:val="BodyText"/>
        <w:spacing w:before="271" w:line="280" w:lineRule="auto"/>
        <w:ind w:left="2700" w:right="2943" w:firstLine="838"/>
        <w:jc w:val="both"/>
      </w:pPr>
      <w:r>
        <w:t>投资拉动性：预拌混凝土产量的增长直接受房地产施工及大型基础建设项目增长的影响，属于投资拉动型行业，和水泥等其它建材产品一样直接受宏观经济政策的影响。这从整个商品混凝土行业的发展历史都可以看到这个因素对行业影响的清晰脉络。</w:t>
      </w:r>
    </w:p>
    <w:p>
      <w:pPr>
        <w:pStyle w:val="BodyText"/>
        <w:spacing w:before="272"/>
        <w:ind w:left="3539"/>
      </w:pPr>
      <w:r>
        <w:t>具有规模效应：</w:t>
      </w:r>
    </w:p>
    <w:p>
      <w:pPr>
        <w:pStyle w:val="BodyText"/>
        <w:spacing w:before="362"/>
        <w:ind w:left="3539"/>
      </w:pPr>
      <w:r>
        <w:t>企业规模优势明显，提高设备利用率和保供能力。</w:t>
      </w:r>
    </w:p>
    <w:p>
      <w:pPr>
        <w:pStyle w:val="BodyText"/>
        <w:spacing w:before="362" w:line="280" w:lineRule="auto"/>
        <w:ind w:left="2700" w:right="2945" w:firstLine="838"/>
      </w:pPr>
      <w:r>
        <w:t>同时由于混凝土在发展过程中又具有一些独有的特性：生产属于简单加工性质，进入行业的技术门槛相对较低；</w:t>
      </w:r>
    </w:p>
    <w:p>
      <w:pPr>
        <w:pStyle w:val="BodyText"/>
        <w:spacing w:before="271"/>
        <w:ind w:left="3539"/>
      </w:pPr>
      <w:r>
        <w:t>生产的非连续性，经常需要集中时段供应；</w:t>
      </w:r>
    </w:p>
    <w:p>
      <w:pPr>
        <w:pStyle w:val="BodyText"/>
        <w:spacing w:before="362"/>
        <w:ind w:left="3539"/>
      </w:pPr>
      <w:r>
        <w:t>区域市场设备产能容易过剩，宜引发价格竞争；</w:t>
      </w:r>
    </w:p>
    <w:p>
      <w:pPr>
        <w:pStyle w:val="BodyText"/>
        <w:spacing w:before="362" w:line="280" w:lineRule="auto"/>
        <w:ind w:left="2700" w:right="2945" w:firstLine="838"/>
      </w:pPr>
      <w:r>
        <w:t>单一企业规模不宜过大，类似商业网点，适宜合理布局，方能保持合理运距、及时供应、及时服务等。</w:t>
      </w:r>
    </w:p>
    <w:p>
      <w:pPr>
        <w:pStyle w:val="BodyText"/>
        <w:spacing w:before="271" w:line="280" w:lineRule="auto"/>
        <w:ind w:left="2700" w:right="2943" w:firstLine="838"/>
        <w:jc w:val="both"/>
      </w:pPr>
      <w:r>
        <w:t>由于混凝土行业具有这些特点，所以进入行业的企业也由其区域、发展状况等而有所不同。商品混凝土行业进入者情况主要由以下几类构成：</w:t>
      </w:r>
    </w:p>
    <w:p>
      <w:pPr>
        <w:pStyle w:val="BodyText"/>
        <w:spacing w:before="272" w:line="280" w:lineRule="auto"/>
        <w:ind w:left="2700" w:right="2678" w:firstLine="838"/>
      </w:pPr>
      <w:r>
        <w:t>国有大型施工企业，如各地建工及市政施工企业；国外专业混</w:t>
      </w:r>
      <w:r>
        <w:rPr>
          <w:spacing w:val="1"/>
        </w:rPr>
        <w:t xml:space="preserve">凝土公司，如 </w:t>
      </w:r>
      <w:r>
        <w:rPr>
          <w:rFonts w:ascii="Times New Roman" w:eastAsia="Times New Roman"/>
        </w:rPr>
        <w:t>Hanson</w:t>
      </w:r>
      <w:r>
        <w:t>、</w:t>
      </w:r>
      <w:r>
        <w:rPr>
          <w:rFonts w:ascii="Times New Roman" w:eastAsia="Times New Roman"/>
        </w:rPr>
        <w:t>Rinker</w:t>
      </w:r>
      <w:r>
        <w:rPr>
          <w:rFonts w:ascii="Times New Roman" w:eastAsia="Times New Roman"/>
          <w:spacing w:val="66"/>
        </w:rPr>
        <w:t xml:space="preserve"> </w:t>
      </w:r>
      <w:r>
        <w:rPr>
          <w:spacing w:val="-2"/>
        </w:rPr>
        <w:t>等；商品混凝土上游材料供应商及设</w:t>
      </w:r>
      <w:r>
        <w:t>备供应商发展而来；房地产开发商（业主）的关系人（表现在发展成熟地区仍不断有新进入企业）；有一定资金和行业相关背景的私营业主；有一定资金但没有任何相关行业背景的冒然进入者。</w:t>
      </w:r>
    </w:p>
    <w:p>
      <w:pPr>
        <w:spacing w:after="0" w:line="280" w:lineRule="auto"/>
        <w:sectPr>
          <w:headerReference w:type="default" r:id="rId24"/>
          <w:pgSz w:w="17860" w:h="25260"/>
          <w:pgMar w:top="1300" w:right="0" w:bottom="280" w:left="0" w:header="897" w:footer="0"/>
          <w:pgNumType w:start="11"/>
          <w:cols w:space="708"/>
        </w:sectPr>
      </w:pPr>
    </w:p>
    <w:p>
      <w:pPr>
        <w:pStyle w:val="BodyText"/>
        <w:rPr>
          <w:sz w:val="20"/>
        </w:rPr>
      </w:pPr>
    </w:p>
    <w:p>
      <w:pPr>
        <w:pStyle w:val="BodyText"/>
        <w:spacing w:before="2"/>
        <w:rPr>
          <w:sz w:val="22"/>
        </w:rPr>
      </w:pPr>
    </w:p>
    <w:p>
      <w:pPr>
        <w:pStyle w:val="Heading1"/>
        <w:ind w:left="3543"/>
      </w:pPr>
      <w:r>
        <w:t>八、混凝土搅拌站的建设原则：</w:t>
      </w:r>
    </w:p>
    <w:p>
      <w:pPr>
        <w:pStyle w:val="BodyText"/>
        <w:spacing w:before="1"/>
        <w:rPr>
          <w:b/>
          <w:sz w:val="24"/>
        </w:rPr>
      </w:pPr>
    </w:p>
    <w:p>
      <w:pPr>
        <w:pStyle w:val="BodyText"/>
        <w:spacing w:before="54"/>
        <w:ind w:left="3539"/>
      </w:pPr>
      <w:r>
        <w:t xml:space="preserve">对商品混凝土常规运输距离情况计算经济运输距离： </w:t>
      </w:r>
      <w:r>
        <w:rPr>
          <w:rFonts w:ascii="Arial" w:eastAsia="Arial" w:hAnsi="Arial"/>
        </w:rPr>
        <w:t>15</w:t>
      </w:r>
      <w:r>
        <w:t>―</w:t>
      </w:r>
      <w:r>
        <w:rPr>
          <w:rFonts w:ascii="Arial" w:eastAsia="Arial" w:hAnsi="Arial"/>
        </w:rPr>
        <w:t xml:space="preserve">20 </w:t>
      </w:r>
      <w:r>
        <w:t>公</w:t>
      </w:r>
    </w:p>
    <w:p>
      <w:pPr>
        <w:pStyle w:val="BodyText"/>
        <w:spacing w:before="92"/>
        <w:ind w:left="2700"/>
      </w:pPr>
      <w:r>
        <w:rPr>
          <w:w w:val="100"/>
        </w:rPr>
        <w:t>里</w:t>
      </w:r>
    </w:p>
    <w:p>
      <w:pPr>
        <w:pStyle w:val="BodyText"/>
        <w:spacing w:before="1"/>
        <w:rPr>
          <w:sz w:val="24"/>
        </w:rPr>
      </w:pPr>
    </w:p>
    <w:p>
      <w:pPr>
        <w:pStyle w:val="BodyText"/>
        <w:spacing w:before="53" w:line="280" w:lineRule="auto"/>
        <w:ind w:left="2700" w:right="2702" w:firstLine="838"/>
      </w:pPr>
      <w:r>
        <w:rPr>
          <w:spacing w:val="-8"/>
        </w:rPr>
        <w:t xml:space="preserve">预拌商品混凝土搅拌站覆盖范围：一般道路： </w:t>
      </w:r>
      <w:r>
        <w:rPr>
          <w:rFonts w:ascii="Arial" w:eastAsia="Arial" w:hAnsi="Arial"/>
        </w:rPr>
        <w:t>30</w:t>
      </w:r>
      <w:r>
        <w:t>―</w:t>
      </w:r>
      <w:r>
        <w:rPr>
          <w:rFonts w:ascii="Arial" w:eastAsia="Arial" w:hAnsi="Arial"/>
        </w:rPr>
        <w:t xml:space="preserve">40 </w:t>
      </w:r>
      <w:r>
        <w:rPr>
          <w:spacing w:val="-4"/>
        </w:rPr>
        <w:t>公里；高</w:t>
      </w:r>
      <w:r>
        <w:t>速公路：</w:t>
      </w:r>
      <w:r>
        <w:rPr>
          <w:rFonts w:ascii="Arial" w:eastAsia="Arial" w:hAnsi="Arial"/>
        </w:rPr>
        <w:t xml:space="preserve">50 </w:t>
      </w:r>
      <w:r>
        <w:rPr>
          <w:spacing w:val="-7"/>
        </w:rPr>
        <w:t xml:space="preserve">公里预拌商品混凝土汽车运输时间一般不超过 </w:t>
      </w:r>
      <w:r>
        <w:rPr>
          <w:rFonts w:ascii="Arial" w:eastAsia="Arial" w:hAnsi="Arial"/>
        </w:rPr>
        <w:t xml:space="preserve">1 </w:t>
      </w:r>
      <w:r>
        <w:t>小时。</w:t>
      </w:r>
    </w:p>
    <w:p>
      <w:pPr>
        <w:pStyle w:val="BodyText"/>
        <w:spacing w:before="271" w:line="280" w:lineRule="auto"/>
        <w:ind w:left="2700" w:right="2945" w:firstLine="838"/>
      </w:pPr>
      <w:r>
        <w:t>对搅拌站的规划原则必须“坚持一个优先考虑、两个相结合和三个有利于”的原则：</w:t>
      </w:r>
    </w:p>
    <w:p>
      <w:pPr>
        <w:pStyle w:val="BodyText"/>
        <w:spacing w:before="271" w:line="280" w:lineRule="auto"/>
        <w:ind w:left="2700" w:right="2733" w:firstLine="838"/>
      </w:pPr>
      <w:r>
        <w:rPr>
          <w:rFonts w:ascii="Arial" w:eastAsia="Arial"/>
        </w:rPr>
        <w:t>1</w:t>
      </w:r>
      <w:r>
        <w:t>、优先考虑城市建设需要。预拌混凝土行业发展必须与城市建设规划相协调，顺应城市发展与建设趋势以及预拌混凝土行业的发展趋势，在数量质量上要满足城市建设对混凝土的需求。</w:t>
      </w:r>
    </w:p>
    <w:p>
      <w:pPr>
        <w:pStyle w:val="BodyText"/>
        <w:spacing w:before="272" w:line="280" w:lineRule="auto"/>
        <w:ind w:left="2700" w:right="2733" w:firstLine="838"/>
        <w:jc w:val="both"/>
      </w:pPr>
      <w:r>
        <w:rPr>
          <w:rFonts w:ascii="Arial" w:eastAsia="Arial"/>
        </w:rPr>
        <w:t>2</w:t>
      </w:r>
      <w:r>
        <w:t>、市场调节与政府调控相结合。在充分考虑预拌混凝土行业容易陷入恶性竞争困境， 在发挥市场竞争机制同时，要加强政府对行业发展的合理引导和调控，以促进预拌混凝土行业持续健康发展</w:t>
      </w:r>
      <w:r>
        <w:rPr>
          <w:w w:val="120"/>
          <w:vertAlign w:val="subscript"/>
        </w:rPr>
        <w:t>。</w:t>
      </w:r>
    </w:p>
    <w:p>
      <w:pPr>
        <w:pStyle w:val="Heading1"/>
        <w:spacing w:before="271"/>
        <w:ind w:left="3543"/>
        <w:rPr>
          <w:b w:val="0"/>
        </w:rPr>
      </w:pPr>
      <w:r>
        <w:t>九、重点企业分析</w:t>
      </w:r>
      <w:r>
        <w:rPr>
          <w:b w:val="0"/>
        </w:rPr>
        <w:t>：</w:t>
      </w:r>
    </w:p>
    <w:p>
      <w:pPr>
        <w:pStyle w:val="BodyText"/>
        <w:spacing w:before="362"/>
        <w:ind w:left="3539"/>
      </w:pPr>
      <w:r>
        <w:rPr>
          <w:rFonts w:ascii="Arial" w:eastAsia="Arial"/>
        </w:rPr>
        <w:t>1</w:t>
      </w:r>
      <w:r>
        <w:t>、重点企业介绍：</w:t>
      </w:r>
    </w:p>
    <w:p>
      <w:pPr>
        <w:pStyle w:val="BodyText"/>
        <w:spacing w:before="362" w:line="280" w:lineRule="auto"/>
        <w:ind w:left="2700" w:right="2361" w:firstLine="838"/>
      </w:pPr>
      <w:r>
        <w:rPr>
          <w:spacing w:val="-4"/>
        </w:rPr>
        <w:t xml:space="preserve">广东塔牌混凝土投资有限公司是广东塔牌集团股份有限公司 </w:t>
      </w:r>
      <w:r>
        <w:rPr>
          <w:rFonts w:ascii="Arial" w:eastAsia="Arial" w:hAnsi="Arial"/>
        </w:rPr>
        <w:t>(</w:t>
      </w:r>
      <w:r>
        <w:t>证</w:t>
      </w:r>
      <w:r>
        <w:rPr>
          <w:w w:val="95"/>
        </w:rPr>
        <w:t>券号码：</w:t>
      </w:r>
      <w:r>
        <w:rPr>
          <w:rFonts w:ascii="Arial" w:eastAsia="Arial" w:hAnsi="Arial"/>
          <w:spacing w:val="2"/>
          <w:w w:val="95"/>
        </w:rPr>
        <w:t>002233)</w:t>
      </w:r>
      <w:r>
        <w:rPr>
          <w:spacing w:val="-1"/>
          <w:w w:val="95"/>
        </w:rPr>
        <w:t xml:space="preserve">属下专业从事混凝土投资、研发和管理的大型企业， </w:t>
      </w:r>
      <w:r>
        <w:t>是广东省预拌混凝土行业协会副会长单位。本公司致力于优质商品 混凝土的生产，积极响应“国际全球抗暖化”和“节能减排”的环 保倡导，创建资源节约型企业，打造绿色品牌。</w:t>
      </w:r>
    </w:p>
    <w:p>
      <w:pPr>
        <w:pStyle w:val="BodyText"/>
        <w:spacing w:before="272" w:line="280" w:lineRule="auto"/>
        <w:ind w:left="2700" w:right="2682" w:firstLine="838"/>
      </w:pPr>
      <w:r>
        <w:t>为加快发展搅拌站，做大做强混凝土产业，公司制定了混凝土</w:t>
      </w:r>
      <w:r>
        <w:rPr>
          <w:spacing w:val="-7"/>
        </w:rPr>
        <w:t xml:space="preserve">产业的科学发展规划，计划至 </w:t>
      </w:r>
      <w:r>
        <w:rPr>
          <w:rFonts w:ascii="Arial" w:eastAsia="Arial"/>
        </w:rPr>
        <w:t>2010</w:t>
      </w:r>
      <w:r>
        <w:rPr>
          <w:rFonts w:ascii="Arial" w:eastAsia="Arial"/>
          <w:spacing w:val="-32"/>
        </w:rPr>
        <w:t xml:space="preserve"> </w:t>
      </w:r>
      <w:r>
        <w:t>年，通过新建、收购（租赁）</w:t>
      </w:r>
      <w:r>
        <w:rPr>
          <w:spacing w:val="-16"/>
        </w:rPr>
        <w:t>等</w:t>
      </w:r>
    </w:p>
    <w:p>
      <w:pPr>
        <w:pStyle w:val="BodyText"/>
        <w:spacing w:before="2"/>
        <w:ind w:left="2700"/>
        <w:rPr>
          <w:rFonts w:ascii="Arial" w:eastAsia="Arial"/>
        </w:rPr>
      </w:pPr>
      <w:r>
        <w:t>方式，在泛粤东地区（粤东、闽西、赣南）</w:t>
      </w:r>
      <w:r>
        <w:rPr>
          <w:spacing w:val="3"/>
        </w:rPr>
        <w:t xml:space="preserve">发展混凝土搅拌站达 </w:t>
      </w:r>
      <w:r>
        <w:rPr>
          <w:rFonts w:ascii="Arial" w:eastAsia="Arial"/>
        </w:rPr>
        <w:t>50</w:t>
      </w:r>
    </w:p>
    <w:p>
      <w:pPr>
        <w:pStyle w:val="BodyText"/>
        <w:spacing w:before="92"/>
        <w:ind w:left="2700"/>
      </w:pPr>
      <w:r>
        <w:t>家以上，构建塔牌泛粤东混凝土搅拌站严密规范的管理网络。</w:t>
      </w:r>
    </w:p>
    <w:p>
      <w:pPr>
        <w:pStyle w:val="BodyText"/>
        <w:spacing w:before="362"/>
        <w:ind w:left="3539"/>
      </w:pPr>
      <w:r>
        <w:rPr>
          <w:rFonts w:ascii="Arial" w:eastAsia="Arial"/>
        </w:rPr>
        <w:t>2</w:t>
      </w:r>
      <w:r>
        <w:t>、重点企业投资行为如下：</w:t>
      </w:r>
    </w:p>
    <w:p>
      <w:pPr>
        <w:pStyle w:val="BodyText"/>
        <w:spacing w:before="361" w:line="280" w:lineRule="auto"/>
        <w:ind w:left="2700" w:right="2698" w:firstLine="838"/>
        <w:jc w:val="both"/>
      </w:pPr>
      <w:r>
        <w:t>广东塔牌混凝土投资有限公司（“混凝土公司”）与 北京市京桥国际航空服务有限公司 （“合作方”）拟投资兴建定南县塔牌混</w:t>
      </w:r>
    </w:p>
    <w:p>
      <w:pPr>
        <w:spacing w:after="0" w:line="280"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https://d.book118.com/348001023116006041</w:t>
        </w:r>
      </w:hyperlink>
    </w:p>
    <w:p>
      <w:pPr>
        <w:spacing w:after="0" w:line="280" w:lineRule="auto"/>
        <w:jc w:val="both"/>
      </w:pPr>
    </w:p>
    <w:sectPr>
      <w:headerReference w:type="default" r:id="rId26"/>
      <w:pgSz w:w="17860" w:h="25260"/>
      <w:pgMar w:top="1300" w:right="0" w:bottom="280" w:left="0" w:header="897" w:footer="0"/>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43.85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637433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433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56pt;height:15.5pt;margin-top:43.85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3480594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0594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43.85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21272315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2315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56pt;height:15.5pt;margin-top:43.85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15401482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14828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43.85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15403059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30595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56pt;height:15.5pt;margin-top:43.85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6135564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55646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43.85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16083281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32815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56pt;height:15.5pt;margin-top:43.85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8271359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13596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43.85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19369103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9103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56pt;height:15.5pt;margin-top:43.85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18229667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6677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43.85pt;margin-left:418.48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787400</wp:posOffset>
          </wp:positionV>
          <wp:extent cx="8001000" cy="38100"/>
          <wp:effectExtent l="0" t="0" r="0" b="0"/>
          <wp:wrapNone/>
          <wp:docPr id="6331505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15056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56pt;height:15.5pt;margin-top:43.85pt;margin-left:418.48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D0FC7"/>
    <w:multiLevelType w:val="hybridMultilevel"/>
    <w:tmpl w:val="00000000"/>
    <w:lvl w:ilvl="0">
      <w:start w:val="1"/>
      <w:numFmt w:val="decimal"/>
      <w:lvlText w:val="（%1）"/>
      <w:lvlJc w:val="left"/>
      <w:pPr>
        <w:ind w:left="2700" w:hanging="1060"/>
        <w:jc w:val="left"/>
      </w:pPr>
      <w:rPr>
        <w:rFonts w:ascii="隶书" w:eastAsia="隶书" w:hAnsi="隶书" w:cs="隶书" w:hint="default"/>
        <w:spacing w:val="0"/>
        <w:w w:val="90"/>
        <w:sz w:val="40"/>
        <w:szCs w:val="40"/>
      </w:rPr>
    </w:lvl>
    <w:lvl w:ilvl="1">
      <w:start w:val="0"/>
      <w:numFmt w:val="bullet"/>
      <w:lvlText w:val="•"/>
      <w:lvlJc w:val="left"/>
      <w:pPr>
        <w:ind w:left="4215" w:hanging="1060"/>
      </w:pPr>
      <w:rPr>
        <w:rFonts w:hint="default"/>
      </w:rPr>
    </w:lvl>
    <w:lvl w:ilvl="2">
      <w:start w:val="0"/>
      <w:numFmt w:val="bullet"/>
      <w:lvlText w:val="•"/>
      <w:lvlJc w:val="left"/>
      <w:pPr>
        <w:ind w:left="5731" w:hanging="1060"/>
      </w:pPr>
      <w:rPr>
        <w:rFonts w:hint="default"/>
      </w:rPr>
    </w:lvl>
    <w:lvl w:ilvl="3">
      <w:start w:val="0"/>
      <w:numFmt w:val="bullet"/>
      <w:lvlText w:val="•"/>
      <w:lvlJc w:val="left"/>
      <w:pPr>
        <w:ind w:left="7247" w:hanging="1060"/>
      </w:pPr>
      <w:rPr>
        <w:rFonts w:hint="default"/>
      </w:rPr>
    </w:lvl>
    <w:lvl w:ilvl="4">
      <w:start w:val="0"/>
      <w:numFmt w:val="bullet"/>
      <w:lvlText w:val="•"/>
      <w:lvlJc w:val="left"/>
      <w:pPr>
        <w:ind w:left="8763" w:hanging="1060"/>
      </w:pPr>
      <w:rPr>
        <w:rFonts w:hint="default"/>
      </w:rPr>
    </w:lvl>
    <w:lvl w:ilvl="5">
      <w:start w:val="0"/>
      <w:numFmt w:val="bullet"/>
      <w:lvlText w:val="•"/>
      <w:lvlJc w:val="left"/>
      <w:pPr>
        <w:ind w:left="10279" w:hanging="1060"/>
      </w:pPr>
      <w:rPr>
        <w:rFonts w:hint="default"/>
      </w:rPr>
    </w:lvl>
    <w:lvl w:ilvl="6">
      <w:start w:val="0"/>
      <w:numFmt w:val="bullet"/>
      <w:lvlText w:val="•"/>
      <w:lvlJc w:val="left"/>
      <w:pPr>
        <w:ind w:left="11795" w:hanging="1060"/>
      </w:pPr>
      <w:rPr>
        <w:rFonts w:hint="default"/>
      </w:rPr>
    </w:lvl>
    <w:lvl w:ilvl="7">
      <w:start w:val="0"/>
      <w:numFmt w:val="bullet"/>
      <w:lvlText w:val="•"/>
      <w:lvlJc w:val="left"/>
      <w:pPr>
        <w:ind w:left="13311" w:hanging="1060"/>
      </w:pPr>
      <w:rPr>
        <w:rFonts w:hint="default"/>
      </w:rPr>
    </w:lvl>
    <w:lvl w:ilvl="8">
      <w:start w:val="0"/>
      <w:numFmt w:val="bullet"/>
      <w:lvlText w:val="•"/>
      <w:lvlJc w:val="left"/>
      <w:pPr>
        <w:ind w:left="14827" w:hanging="10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隶书" w:eastAsia="隶书" w:hAnsi="隶书" w:cs="隶书"/>
    </w:rPr>
  </w:style>
  <w:style w:type="paragraph" w:styleId="Heading1">
    <w:name w:val="heading 1"/>
    <w:basedOn w:val="Normal"/>
    <w:uiPriority w:val="1"/>
    <w:qFormat/>
    <w:pPr>
      <w:spacing w:before="42"/>
      <w:ind w:left="2700"/>
      <w:outlineLvl w:val="0"/>
    </w:pPr>
    <w:rPr>
      <w:rFonts w:ascii="隶书" w:eastAsia="隶书" w:hAnsi="隶书" w:cs="隶书"/>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隶书" w:eastAsia="隶书" w:hAnsi="隶书" w:cs="隶书"/>
      <w:sz w:val="42"/>
      <w:szCs w:val="42"/>
    </w:rPr>
  </w:style>
  <w:style w:type="paragraph" w:styleId="Title">
    <w:name w:val="Title"/>
    <w:basedOn w:val="Normal"/>
    <w:uiPriority w:val="1"/>
    <w:qFormat/>
    <w:pPr>
      <w:spacing w:before="174"/>
      <w:ind w:left="6210" w:right="6210"/>
      <w:jc w:val="center"/>
    </w:pPr>
    <w:rPr>
      <w:rFonts w:ascii="隶书" w:eastAsia="隶书" w:hAnsi="隶书" w:cs="隶书"/>
      <w:sz w:val="54"/>
      <w:szCs w:val="54"/>
    </w:rPr>
  </w:style>
  <w:style w:type="paragraph" w:styleId="ListParagraph">
    <w:name w:val="List Paragraph"/>
    <w:basedOn w:val="Normal"/>
    <w:uiPriority w:val="1"/>
    <w:qFormat/>
    <w:pPr>
      <w:ind w:left="2700" w:right="2308" w:firstLine="838"/>
    </w:pPr>
    <w:rPr>
      <w:rFonts w:ascii="隶书" w:eastAsia="隶书" w:hAnsi="隶书" w:cs="隶书"/>
    </w:rPr>
  </w:style>
  <w:style w:type="paragraph" w:customStyle="1" w:styleId="TableParagraph">
    <w:name w:val="Table Paragraph"/>
    <w:basedOn w:val="Normal"/>
    <w:uiPriority w:val="1"/>
    <w:qFormat/>
    <w:pPr>
      <w:spacing w:before="40"/>
      <w:ind w:left="85"/>
    </w:pPr>
    <w:rPr>
      <w:rFonts w:ascii="Bookman Old Style" w:eastAsia="Bookman Old Style" w:hAnsi="Bookman Old Style" w:cs="Bookman Old Style"/>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header" Target="header6.xm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header" Target="header7.xml" /><Relationship Id="rId17" Type="http://schemas.openxmlformats.org/officeDocument/2006/relationships/image" Target="media/image8.png" /><Relationship Id="rId18" Type="http://schemas.openxmlformats.org/officeDocument/2006/relationships/header" Target="header8.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header" Target="header9.xml" /><Relationship Id="rId22" Type="http://schemas.openxmlformats.org/officeDocument/2006/relationships/image" Target="media/image11.png"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hyperlink" Target="https://d.book118.com/348001023116006041" TargetMode="External" /><Relationship Id="rId26" Type="http://schemas.openxmlformats.org/officeDocument/2006/relationships/header" Target="header12.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image" Target="media/image2.png"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2024-02-02T01:10:43Z</dcterms:created>
  <dcterms:modified xsi:type="dcterms:W3CDTF">2024-02-02T01:10:43Z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2024-02-02T00:00:00Z</vt:filetime>
  </property>
</Properties>
</file>