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5" w:lineRule="exact"/>
      </w:pPr>
    </w:p>
    <w:p>
      <w:pPr>
        <w:spacing w:line="15" w:lineRule="exact"/>
        <w:sectPr>
          <w:headerReference w:type="default" r:id="rId4"/>
          <w:footerReference w:type="default" r:id="rId5"/>
          <w:pgSz w:w="11907" w:h="16839"/>
          <w:pgMar w:top="1715" w:right="638" w:bottom="1249" w:left="622" w:header="751" w:footer="741" w:gutter="0"/>
          <w:cols w:num="1" w:space="708" w:equalWidth="0">
            <w:col w:w="10645" w:space="0"/>
          </w:cols>
        </w:sectPr>
      </w:pPr>
    </w:p>
    <w:p>
      <w:pPr>
        <w:pStyle w:val="BodyText"/>
        <w:spacing w:line="1303" w:lineRule="exact"/>
        <w:ind w:firstLine="12"/>
      </w:pPr>
      <w:r>
        <w:rPr>
          <w:position w:val="-26"/>
        </w:rPr>
        <w:pict>
          <v:group id="_x0000_i1025" style="width:350.35pt;height:65.2pt;mso-position-horizontal-relative:char;mso-position-vertical-relative:line" coordorigin="0,0" coordsize="7007,1303" filled="f" stroked="f">
            <v:group id="_x0000_s1026" style="width:7007;height:1303;position:absolute" coordorigin="0,0" coordsize="7007,1303" filled="f" stroked="f">
              <v:shape id="_x0000_s1027" style="width:7007;height:650;position:absolute" coordorigin="0,0" coordsize="7007,650" path="m,650l7006,650l7006,l,l,650xem108,650l6899,650l6899,l108,l108,650xe" filled="t" fillcolor="#4f81bd" stroked="f"/>
              <v:shape id="_x0000_s1028" style="width:7007;height:653;position:absolute;top:650" coordorigin="0,0" coordsize="7007,653" path="m,652l7006,652l7006,l,l,652xem108,652l6899,652l6899,l108,l108,652xe" filled="t" fillcolor="#dedfef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7047;height:134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7" w:line="220" w:lineRule="auto"/>
                      <w:ind w:left="138"/>
                      <w:outlineLvl w:val="0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6"/>
                        <w:sz w:val="43"/>
                        <w:szCs w:val="43"/>
                      </w:rPr>
                      <w:t xml:space="preserve">2024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6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年转债投资策略</w:t>
                    </w:r>
                  </w:p>
                  <w:p>
                    <w:pPr>
                      <w:spacing w:before="176" w:line="220" w:lineRule="auto"/>
                      <w:ind w:left="3310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1F497D"/>
                        <w:spacing w:val="1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从久违的转债左侧出发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09" w:line="218" w:lineRule="auto"/>
        <w:ind w:left="122"/>
        <w:rPr>
          <w:sz w:val="28"/>
          <w:szCs w:val="28"/>
        </w:rPr>
      </w:pPr>
      <w:r>
        <w:rPr>
          <w:color w:val="1F497D"/>
          <w:sz w:val="28"/>
          <w:szCs w:val="28"/>
          <w14:textOutline w14:w="5094">
            <w14:solidFill>
              <w14:srgbClr w14:val="1F497D"/>
            </w14:solidFill>
            <w14:prstDash w14:val="solid"/>
            <w14:round/>
          </w14:textOutline>
        </w:rPr>
        <w:t>报告摘要：</w:t>
      </w:r>
    </w:p>
    <w:p>
      <w:pPr>
        <w:pStyle w:val="BodyText"/>
        <w:spacing w:before="191" w:line="257" w:lineRule="auto"/>
        <w:ind w:left="545" w:right="114" w:hanging="407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45"/>
        </w:rPr>
        <w:t xml:space="preserve"> 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回顾</w:t>
      </w:r>
      <w:r>
        <w:rPr>
          <w:color w:val="1F497D"/>
          <w:spacing w:val="-46"/>
        </w:rPr>
        <w:t xml:space="preserve"> </w:t>
      </w:r>
      <w:r>
        <w:rPr>
          <w:rFonts w:ascii="Arial" w:eastAsia="Arial" w:hAnsi="Arial" w:cs="Arial"/>
          <w:b/>
          <w:bCs/>
          <w:color w:val="1F497D"/>
          <w:spacing w:val="-3"/>
        </w:rPr>
        <w:t xml:space="preserve">2023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年，转债市场整体表现一般，上半年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展示出与品种相匹配的</w:t>
      </w:r>
      <w:r>
        <w:rPr>
          <w:color w:val="1F497D"/>
        </w:rPr>
        <w:t xml:space="preserve"> </w:t>
      </w:r>
      <w:r>
        <w:rPr>
          <w:color w:val="1F497D"/>
          <w14:textOutline w14:w="3831">
            <w14:solidFill>
              <w14:srgbClr w14:val="1F497D"/>
            </w14:solidFill>
            <w14:prstDash w14:val="solid"/>
            <w14:round/>
          </w14:textOutline>
        </w:rPr>
        <w:t>韧性，下半年在正股</w:t>
      </w:r>
      <w:r>
        <w:rPr>
          <w:rFonts w:ascii="Arial" w:eastAsia="Arial" w:hAnsi="Arial" w:cs="Arial"/>
          <w:b/>
          <w:bCs/>
          <w:color w:val="1F497D"/>
        </w:rPr>
        <w:t>&amp;</w:t>
      </w:r>
      <w:r>
        <w:rPr>
          <w:color w:val="1F497D"/>
          <w14:textOutline w14:w="3831">
            <w14:solidFill>
              <w14:srgbClr w14:val="1F497D"/>
            </w14:solidFill>
            <w14:prstDash w14:val="solid"/>
            <w14:round/>
          </w14:textOutline>
        </w:rPr>
        <w:t>纯债接连拖累下，全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年累计收益受到侵蚀。</w:t>
      </w:r>
    </w:p>
    <w:p>
      <w:pPr>
        <w:pStyle w:val="BodyText"/>
        <w:spacing w:before="68" w:line="269" w:lineRule="auto"/>
        <w:ind w:left="546" w:right="116" w:hanging="408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7"/>
        </w:rPr>
        <w:t xml:space="preserve">  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估值隐患终究暴露</w:t>
      </w:r>
      <w:r>
        <w:rPr>
          <w:color w:val="1F497D"/>
          <w:spacing w:val="-1"/>
        </w:rPr>
        <w:t>。随着年初的增长预期由激进向温和转变</w:t>
      </w:r>
      <w:r>
        <w:rPr>
          <w:color w:val="1F497D"/>
          <w:spacing w:val="-2"/>
        </w:rPr>
        <w:t>，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2"/>
        </w:rPr>
        <w:t>正股迎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来漫长的弱势期，但直到</w:t>
      </w:r>
      <w:r>
        <w:rPr>
          <w:color w:val="1F497D"/>
          <w:spacing w:val="-2"/>
        </w:rPr>
        <w:t xml:space="preserve"> </w:t>
      </w:r>
      <w:r>
        <w:rPr>
          <w:rFonts w:ascii="Arial" w:eastAsia="Arial" w:hAnsi="Arial" w:cs="Arial"/>
          <w:color w:val="1F497D"/>
          <w:spacing w:val="-2"/>
        </w:rPr>
        <w:t>9</w:t>
      </w:r>
      <w:r>
        <w:rPr>
          <w:rFonts w:ascii="Arial" w:eastAsia="Arial" w:hAnsi="Arial" w:cs="Arial"/>
          <w:color w:val="1F497D"/>
          <w:spacing w:val="59"/>
          <w:w w:val="101"/>
        </w:rPr>
        <w:t xml:space="preserve"> </w:t>
      </w:r>
      <w:r>
        <w:rPr>
          <w:color w:val="1F497D"/>
          <w:spacing w:val="-2"/>
        </w:rPr>
        <w:t>月转债都一直展现了很强的稳定性，这有</w:t>
      </w:r>
      <w:r>
        <w:rPr>
          <w:color w:val="1F497D"/>
        </w:rPr>
        <w:t xml:space="preserve"> </w:t>
      </w:r>
      <w:r>
        <w:rPr>
          <w:color w:val="1F497D"/>
          <w:spacing w:val="1"/>
        </w:rPr>
        <w:t>赖于前期坚定的低利率和宽流动性预期。</w:t>
      </w:r>
      <w:r>
        <w:rPr>
          <w:color w:val="1F497D"/>
          <w:spacing w:val="-63"/>
        </w:rPr>
        <w:t xml:space="preserve"> </w:t>
      </w:r>
      <w:r>
        <w:rPr>
          <w:color w:val="1F497D"/>
          <w:spacing w:val="1"/>
        </w:rPr>
        <w:t>而这本质是将</w:t>
      </w:r>
      <w:r>
        <w:rPr>
          <w:color w:val="1F497D"/>
        </w:rPr>
        <w:t>潜在跌幅透支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到估值，隐患从</w:t>
      </w:r>
      <w:r>
        <w:rPr>
          <w:color w:val="1F497D"/>
          <w:spacing w:val="-44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9 </w:t>
      </w:r>
      <w:r>
        <w:rPr>
          <w:color w:val="1F497D"/>
          <w:spacing w:val="-4"/>
        </w:rPr>
        <w:t>月开始集中爆发，</w:t>
      </w:r>
      <w:r>
        <w:rPr>
          <w:color w:val="1F497D"/>
          <w:spacing w:val="-4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Q4 </w:t>
      </w:r>
      <w:r>
        <w:rPr>
          <w:color w:val="1F497D"/>
          <w:spacing w:val="-4"/>
        </w:rPr>
        <w:t>市场估值频繁遭遇冲击。</w:t>
      </w:r>
    </w:p>
    <w:p>
      <w:pPr>
        <w:pStyle w:val="BodyText"/>
        <w:spacing w:before="79" w:line="269" w:lineRule="auto"/>
        <w:ind w:left="542" w:right="57" w:hanging="404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7"/>
        </w:rPr>
        <w:t xml:space="preserve">  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估值展望：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债市需求仍存</w:t>
      </w:r>
      <w:r>
        <w:rPr>
          <w:rFonts w:ascii="Arial" w:eastAsia="Arial" w:hAnsi="Arial" w:cs="Arial"/>
          <w:b/>
          <w:bCs/>
          <w:color w:val="1F497D"/>
          <w:spacing w:val="-4"/>
        </w:rPr>
        <w:t>&amp;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正股性价比不低，转债估值仍有恢复空间。</w:t>
      </w:r>
      <w:r>
        <w:rPr>
          <w:color w:val="1F497D"/>
        </w:rPr>
        <w:t xml:space="preserve"> </w:t>
      </w:r>
      <w:r>
        <w:rPr>
          <w:color w:val="1F497D"/>
          <w:spacing w:val="-1"/>
        </w:rPr>
        <w:t>但在公募基金转债仓位仍处高位的环境下，</w:t>
      </w:r>
      <w:r>
        <w:rPr>
          <w:color w:val="1F497D"/>
          <w:spacing w:val="-1"/>
        </w:rPr>
        <w:t xml:space="preserve"> </w:t>
      </w:r>
      <w:r>
        <w:rPr>
          <w:color w:val="1F497D"/>
          <w:spacing w:val="-1"/>
        </w:rPr>
        <w:t>转债估值波动依然存</w:t>
      </w:r>
      <w:r>
        <w:rPr>
          <w:color w:val="1F497D"/>
          <w:spacing w:val="-2"/>
        </w:rPr>
        <w:t>在短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期放大可能。除此之外，债市流动性潜在波动</w:t>
      </w:r>
      <w:r>
        <w:rPr>
          <w:rFonts w:ascii="Arial" w:eastAsia="Arial" w:hAnsi="Arial" w:cs="Arial"/>
          <w:color w:val="1F497D"/>
          <w:spacing w:val="-2"/>
        </w:rPr>
        <w:t>&amp;</w:t>
      </w:r>
      <w:r>
        <w:rPr>
          <w:color w:val="1F497D"/>
          <w:spacing w:val="-2"/>
        </w:rPr>
        <w:t>正股不确定性</w:t>
      </w:r>
      <w:r>
        <w:rPr>
          <w:color w:val="1F497D"/>
          <w:spacing w:val="-3"/>
        </w:rPr>
        <w:t>较强，同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样对转债估值形成制约，</w:t>
      </w:r>
      <w:r>
        <w:rPr>
          <w:color w:val="1F497D"/>
          <w:spacing w:val="-23"/>
        </w:rPr>
        <w:t xml:space="preserve"> </w:t>
      </w:r>
      <w:r>
        <w:rPr>
          <w:color w:val="1F497D"/>
          <w:spacing w:val="-5"/>
          <w:u w:val="single" w:color="auto"/>
        </w:rPr>
        <w:t>转债修复之路短期内可</w:t>
      </w:r>
      <w:r>
        <w:rPr>
          <w:color w:val="1F497D"/>
          <w:spacing w:val="-6"/>
          <w:u w:val="single" w:color="auto"/>
        </w:rPr>
        <w:t>能很难一帆风顺。</w:t>
      </w:r>
      <w:r>
        <w:rPr>
          <w:color w:val="1F497D"/>
          <w:u w:val="single" w:color="auto"/>
        </w:rPr>
        <w:t xml:space="preserve"> </w:t>
      </w:r>
    </w:p>
    <w:p>
      <w:pPr>
        <w:pStyle w:val="BodyText"/>
        <w:spacing w:before="84" w:line="268" w:lineRule="auto"/>
        <w:ind w:left="542" w:right="116" w:hanging="404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9"/>
        </w:rPr>
        <w:t xml:space="preserve">  </w:t>
      </w:r>
      <w:r>
        <w:rPr>
          <w:color w:val="1F497D"/>
          <w:spacing w:val="-11"/>
          <w14:textOutline w14:w="3831">
            <w14:solidFill>
              <w14:srgbClr w14:val="1F497D"/>
            </w14:solidFill>
            <w14:prstDash w14:val="solid"/>
            <w14:round/>
          </w14:textOutline>
        </w:rPr>
        <w:t>转债供给：</w:t>
      </w:r>
      <w:r>
        <w:rPr>
          <w:color w:val="1F497D"/>
          <w:spacing w:val="-11"/>
        </w:rPr>
        <w:t xml:space="preserve"> </w:t>
      </w:r>
      <w:r>
        <w:rPr>
          <w:color w:val="1F497D"/>
          <w:spacing w:val="-11"/>
        </w:rPr>
        <w:t>往后看，</w:t>
      </w:r>
      <w:r>
        <w:rPr>
          <w:color w:val="1F497D"/>
          <w:spacing w:val="-46"/>
        </w:rPr>
        <w:t xml:space="preserve"> </w:t>
      </w:r>
      <w:r>
        <w:rPr>
          <w:color w:val="1F497D"/>
          <w:spacing w:val="-11"/>
        </w:rPr>
        <w:t>转债供给受限的局面</w:t>
      </w:r>
      <w:r>
        <w:rPr>
          <w:color w:val="1F497D"/>
          <w:spacing w:val="-12"/>
        </w:rPr>
        <w:t>短时间或难改变，</w:t>
      </w:r>
      <w:r>
        <w:rPr>
          <w:color w:val="1F497D"/>
          <w:spacing w:val="-48"/>
        </w:rPr>
        <w:t xml:space="preserve"> </w:t>
      </w:r>
      <w:r>
        <w:rPr>
          <w:color w:val="1F497D"/>
          <w:spacing w:val="-12"/>
        </w:rPr>
        <w:t>短期内可能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对转债市场整体估值存在一定支撑。但中长期来看并不一定是利好，尤</w:t>
      </w:r>
      <w:r>
        <w:rPr>
          <w:color w:val="1F497D"/>
          <w:spacing w:val="16"/>
        </w:rPr>
        <w:t xml:space="preserve"> </w:t>
      </w:r>
      <w:r>
        <w:rPr>
          <w:color w:val="1F497D"/>
          <w:spacing w:val="-2"/>
        </w:rPr>
        <w:t>其是在后续大型银行转债陆续到期</w:t>
      </w:r>
      <w:r>
        <w:rPr>
          <w:rFonts w:ascii="Arial" w:eastAsia="Arial" w:hAnsi="Arial" w:cs="Arial"/>
          <w:color w:val="1F497D"/>
          <w:spacing w:val="-2"/>
        </w:rPr>
        <w:t>/</w:t>
      </w:r>
      <w:r>
        <w:rPr>
          <w:color w:val="1F497D"/>
          <w:spacing w:val="-2"/>
        </w:rPr>
        <w:t>转股退市之后，</w:t>
      </w:r>
      <w:r>
        <w:rPr>
          <w:color w:val="1F497D"/>
          <w:spacing w:val="-24"/>
        </w:rPr>
        <w:t xml:space="preserve"> </w:t>
      </w:r>
      <w:r>
        <w:rPr>
          <w:color w:val="1F497D"/>
          <w:spacing w:val="-2"/>
        </w:rPr>
        <w:t>转债</w:t>
      </w:r>
      <w:r>
        <w:rPr>
          <w:color w:val="1F497D"/>
          <w:spacing w:val="-3"/>
        </w:rPr>
        <w:t>底仓配置需求</w:t>
      </w:r>
      <w:r>
        <w:rPr>
          <w:color w:val="1F497D"/>
        </w:rPr>
        <w:t xml:space="preserve"> </w:t>
      </w:r>
      <w:r>
        <w:rPr>
          <w:color w:val="1F497D"/>
        </w:rPr>
        <w:t>可能得不到有效满足，择券难度将更具挑战。</w:t>
      </w:r>
    </w:p>
    <w:p>
      <w:pPr>
        <w:pStyle w:val="BodyText"/>
        <w:spacing w:before="85" w:line="276" w:lineRule="auto"/>
        <w:ind w:left="541" w:right="115" w:hanging="403"/>
      </w:pPr>
      <w:r>
        <w:rPr>
          <w:rFonts w:ascii="Arial" w:eastAsia="Arial" w:hAnsi="Arial" w:cs="Arial"/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1F497D"/>
          <w:spacing w:val="13"/>
        </w:rPr>
        <w:t xml:space="preserve">    </w:t>
      </w:r>
      <w:r>
        <w:rPr>
          <w:rFonts w:ascii="Arial" w:eastAsia="Arial" w:hAnsi="Arial" w:cs="Arial"/>
          <w:b/>
          <w:bCs/>
          <w:color w:val="1F497D"/>
          <w:spacing w:val="-3"/>
        </w:rPr>
        <w:t>2024</w:t>
      </w:r>
      <w:r>
        <w:rPr>
          <w:rFonts w:ascii="Arial" w:eastAsia="Arial" w:hAnsi="Arial" w:cs="Arial"/>
          <w:b/>
          <w:bCs/>
          <w:color w:val="1F497D"/>
          <w:spacing w:val="19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年转债配置策略</w:t>
      </w:r>
      <w:r>
        <w:rPr>
          <w:color w:val="1F497D"/>
          <w:spacing w:val="-3"/>
        </w:rPr>
        <w:t>：尽管</w:t>
      </w:r>
      <w:r>
        <w:rPr>
          <w:color w:val="1F497D"/>
          <w:spacing w:val="-30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23</w:t>
      </w:r>
      <w:r>
        <w:rPr>
          <w:rFonts w:ascii="Arial" w:eastAsia="Arial" w:hAnsi="Arial" w:cs="Arial"/>
          <w:color w:val="1F497D"/>
          <w:spacing w:val="17"/>
        </w:rPr>
        <w:t xml:space="preserve"> </w:t>
      </w:r>
      <w:r>
        <w:rPr>
          <w:color w:val="1F497D"/>
          <w:spacing w:val="-3"/>
        </w:rPr>
        <w:t>年末转债估值遭遇连续冲击，</w:t>
      </w:r>
      <w:r>
        <w:rPr>
          <w:color w:val="1F497D"/>
          <w:spacing w:val="-28"/>
        </w:rPr>
        <w:t xml:space="preserve"> </w:t>
      </w:r>
      <w:r>
        <w:rPr>
          <w:color w:val="1F497D"/>
          <w:spacing w:val="-3"/>
        </w:rPr>
        <w:t>但在国</w:t>
      </w:r>
      <w:r>
        <w:rPr>
          <w:color w:val="1F497D"/>
        </w:rPr>
        <w:t xml:space="preserve"> </w:t>
      </w:r>
      <w:r>
        <w:rPr>
          <w:color w:val="1F497D"/>
          <w:spacing w:val="2"/>
        </w:rPr>
        <w:t>内长端利率上行空间有限且下行动力仍存的大环境下，叠加流动性在</w:t>
      </w:r>
      <w:r>
        <w:rPr>
          <w:color w:val="1F497D"/>
          <w:spacing w:val="7"/>
        </w:rPr>
        <w:t xml:space="preserve"> </w:t>
      </w:r>
      <w:r>
        <w:rPr>
          <w:color w:val="1F497D"/>
          <w:spacing w:val="2"/>
        </w:rPr>
        <w:t>年末波动之后有望回归宽松，明年纯债环境或将继续为转债估值提供</w:t>
      </w:r>
      <w:r>
        <w:rPr>
          <w:color w:val="1F497D"/>
          <w:spacing w:val="11"/>
        </w:rPr>
        <w:t xml:space="preserve"> </w:t>
      </w:r>
      <w:r>
        <w:rPr>
          <w:color w:val="1F497D"/>
          <w:spacing w:val="-6"/>
        </w:rPr>
        <w:t>保护。同时，</w:t>
      </w:r>
      <w:r>
        <w:rPr>
          <w:color w:val="1F497D"/>
          <w:spacing w:val="-48"/>
        </w:rPr>
        <w:t xml:space="preserve"> </w:t>
      </w:r>
      <w:r>
        <w:rPr>
          <w:color w:val="1F497D"/>
          <w:spacing w:val="-6"/>
        </w:rPr>
        <w:t>国内经济增长着力高质量发展，海外</w:t>
      </w:r>
      <w:r>
        <w:rPr>
          <w:color w:val="1F497D"/>
          <w:spacing w:val="-7"/>
        </w:rPr>
        <w:t>环境制约有望在下半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年缓解，正股至少存在结构性行情。</w:t>
      </w:r>
      <w:r>
        <w:rPr>
          <w:color w:val="1F497D"/>
          <w:spacing w:val="-5"/>
          <w:u w:val="single" w:color="auto"/>
        </w:rPr>
        <w:t>基于此，转债短期内可继续以低价</w:t>
      </w:r>
      <w:r>
        <w:rPr>
          <w:color w:val="1F497D"/>
          <w:spacing w:val="18"/>
        </w:rPr>
        <w:t xml:space="preserve"> </w:t>
      </w:r>
      <w:r>
        <w:rPr>
          <w:color w:val="1F497D"/>
          <w:spacing w:val="-1"/>
          <w:u w:val="single" w:color="auto"/>
        </w:rPr>
        <w:t>配置策略为主，在注重安全的前提下，</w:t>
      </w:r>
      <w:r>
        <w:rPr>
          <w:color w:val="1F497D"/>
          <w:spacing w:val="-1"/>
          <w:u w:val="single" w:color="auto"/>
        </w:rPr>
        <w:t xml:space="preserve"> </w:t>
      </w:r>
      <w:r>
        <w:rPr>
          <w:color w:val="1F497D"/>
          <w:spacing w:val="-1"/>
          <w:u w:val="single" w:color="auto"/>
        </w:rPr>
        <w:t>逐步向弹性仓</w:t>
      </w:r>
      <w:r>
        <w:rPr>
          <w:color w:val="1F497D"/>
          <w:spacing w:val="-2"/>
          <w:u w:val="single" w:color="auto"/>
        </w:rPr>
        <w:t>位转移，伺机进</w:t>
      </w:r>
      <w:r>
        <w:rPr>
          <w:color w:val="1F497D"/>
        </w:rPr>
        <w:t xml:space="preserve"> </w:t>
      </w:r>
      <w:r>
        <w:rPr>
          <w:color w:val="1F497D"/>
          <w:spacing w:val="-7"/>
          <w:u w:val="single" w:color="auto"/>
        </w:rPr>
        <w:t>攻，依托高股性品种博取收益。</w:t>
      </w:r>
      <w:r>
        <w:rPr>
          <w:color w:val="1F497D"/>
          <w:spacing w:val="1"/>
          <w:u w:val="single" w:color="auto"/>
        </w:rPr>
        <w:t xml:space="preserve"> </w:t>
      </w:r>
    </w:p>
    <w:p>
      <w:pPr>
        <w:pStyle w:val="BodyText"/>
        <w:spacing w:before="82" w:line="280" w:lineRule="auto"/>
        <w:ind w:left="541" w:right="47" w:hanging="403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7"/>
        </w:rPr>
        <w:t xml:space="preserve"> 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行业与个券配置：</w:t>
      </w:r>
      <w:r>
        <w:rPr>
          <w:color w:val="1F497D"/>
          <w:spacing w:val="49"/>
        </w:rPr>
        <w:t xml:space="preserve">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其一，</w:t>
      </w:r>
      <w:r>
        <w:rPr>
          <w:color w:val="1F497D"/>
          <w:spacing w:val="-9"/>
        </w:rPr>
        <w:t>高</w:t>
      </w:r>
      <w:r>
        <w:rPr>
          <w:color w:val="1F497D"/>
          <w:spacing w:val="-51"/>
        </w:rPr>
        <w:t xml:space="preserve"> </w:t>
      </w:r>
      <w:r>
        <w:rPr>
          <w:rFonts w:ascii="Arial" w:eastAsia="Arial" w:hAnsi="Arial" w:cs="Arial"/>
          <w:color w:val="1F497D"/>
          <w:spacing w:val="-9"/>
        </w:rPr>
        <w:t xml:space="preserve">YTM </w:t>
      </w:r>
      <w:r>
        <w:rPr>
          <w:color w:val="1F497D"/>
          <w:spacing w:val="-9"/>
        </w:rPr>
        <w:t>转债（尤其是临近到期品种，</w:t>
      </w:r>
      <w:r>
        <w:rPr>
          <w:color w:val="1F497D"/>
          <w:spacing w:val="-41"/>
        </w:rPr>
        <w:t xml:space="preserve"> </w:t>
      </w:r>
      <w:r>
        <w:rPr>
          <w:color w:val="1F497D"/>
          <w:spacing w:val="-9"/>
        </w:rPr>
        <w:t>如</w:t>
      </w:r>
      <w:r>
        <w:rPr>
          <w:color w:val="1F497D"/>
          <w:spacing w:val="-10"/>
        </w:rPr>
        <w:t>铁汉</w:t>
      </w:r>
      <w:r>
        <w:rPr>
          <w:color w:val="1F497D"/>
          <w:spacing w:val="-10"/>
        </w:rPr>
        <w:t xml:space="preserve"> </w:t>
      </w:r>
      <w:r>
        <w:rPr>
          <w:color w:val="1F497D"/>
          <w:spacing w:val="-5"/>
        </w:rPr>
        <w:t>转债、大族转债等）以及高股息品种（如蓝天转债、旺能转债）具有相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6"/>
        </w:rPr>
        <w:t>对较强的防御属性。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其二，</w:t>
      </w:r>
      <w:r>
        <w:rPr>
          <w:color w:val="1F497D"/>
          <w:spacing w:val="-6"/>
        </w:rPr>
        <w:t xml:space="preserve">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消费电子</w:t>
      </w:r>
      <w:r>
        <w:rPr>
          <w:color w:val="1F497D"/>
          <w:spacing w:val="-6"/>
        </w:rPr>
        <w:t>存在</w:t>
      </w:r>
      <w:r>
        <w:rPr>
          <w:color w:val="1F497D"/>
          <w:spacing w:val="-19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>EPS&amp;</w:t>
      </w:r>
      <w:r>
        <w:rPr>
          <w:color w:val="1F497D"/>
          <w:spacing w:val="-6"/>
        </w:rPr>
        <w:t>估值同时改善的可能，</w:t>
      </w:r>
      <w:r>
        <w:rPr>
          <w:color w:val="1F497D"/>
        </w:rPr>
        <w:t xml:space="preserve"> </w:t>
      </w:r>
      <w:r>
        <w:rPr>
          <w:color w:val="1F497D"/>
        </w:rPr>
        <w:t>韦尔转债、洁美转债、春秋转债</w:t>
      </w:r>
      <w:r>
        <w:rPr>
          <w:rFonts w:ascii="Arial" w:eastAsia="Arial" w:hAnsi="Arial" w:cs="Arial"/>
          <w:color w:val="1F497D"/>
        </w:rPr>
        <w:t>&amp;</w:t>
      </w:r>
      <w:r>
        <w:rPr>
          <w:color w:val="1F497D"/>
        </w:rPr>
        <w:t>春</w:t>
      </w:r>
      <w:r>
        <w:rPr>
          <w:color w:val="1F497D"/>
          <w:spacing w:val="-39"/>
        </w:rPr>
        <w:t xml:space="preserve"> </w:t>
      </w:r>
      <w:r>
        <w:rPr>
          <w:rFonts w:ascii="Arial" w:eastAsia="Arial" w:hAnsi="Arial" w:cs="Arial"/>
          <w:color w:val="1F497D"/>
        </w:rPr>
        <w:t xml:space="preserve">23 </w:t>
      </w:r>
      <w:r>
        <w:rPr>
          <w:color w:val="1F497D"/>
        </w:rPr>
        <w:t>转债、东材转债、立讯转</w:t>
      </w:r>
      <w:r>
        <w:rPr>
          <w:color w:val="1F497D"/>
          <w:spacing w:val="-1"/>
        </w:rPr>
        <w:t>债等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品种具有一定关注价值。同时，半导体板块国产化加速，可主要关注精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11"/>
        </w:rPr>
        <w:t>测转</w:t>
      </w:r>
      <w:r>
        <w:rPr>
          <w:color w:val="1F497D"/>
          <w:spacing w:val="-16"/>
        </w:rPr>
        <w:t xml:space="preserve"> </w:t>
      </w:r>
      <w:r>
        <w:rPr>
          <w:rFonts w:ascii="Arial" w:eastAsia="Arial" w:hAnsi="Arial" w:cs="Arial"/>
          <w:color w:val="1F497D"/>
          <w:spacing w:val="-11"/>
        </w:rPr>
        <w:t>2&amp;</w:t>
      </w:r>
      <w:r>
        <w:rPr>
          <w:color w:val="1F497D"/>
          <w:spacing w:val="-11"/>
        </w:rPr>
        <w:t>精测转债。</w:t>
      </w:r>
      <w:r>
        <w:rPr>
          <w:color w:val="1F497D"/>
          <w:spacing w:val="-25"/>
        </w:rPr>
        <w:t xml:space="preserve"> </w:t>
      </w:r>
      <w:r>
        <w:rPr>
          <w:color w:val="1F497D"/>
          <w:spacing w:val="-11"/>
          <w14:textOutline w14:w="3831">
            <w14:solidFill>
              <w14:srgbClr w14:val="1F497D"/>
            </w14:solidFill>
            <w14:prstDash w14:val="solid"/>
            <w14:round/>
          </w14:textOutline>
        </w:rPr>
        <w:t>其三，</w:t>
      </w:r>
      <w:r>
        <w:rPr>
          <w:color w:val="1F497D"/>
          <w:spacing w:val="-11"/>
        </w:rPr>
        <w:t xml:space="preserve"> </w:t>
      </w:r>
      <w:r>
        <w:rPr>
          <w:color w:val="1F497D"/>
          <w:spacing w:val="-11"/>
          <w14:textOutline w14:w="3831">
            <w14:solidFill>
              <w14:srgbClr w14:val="1F497D"/>
            </w14:solidFill>
            <w14:prstDash w14:val="solid"/>
            <w14:round/>
          </w14:textOutline>
        </w:rPr>
        <w:t>智能汽车</w:t>
      </w:r>
      <w:r>
        <w:rPr>
          <w:rFonts w:ascii="Arial" w:eastAsia="Arial" w:hAnsi="Arial" w:cs="Arial"/>
          <w:b/>
          <w:bCs/>
          <w:color w:val="1F497D"/>
          <w:spacing w:val="-11"/>
        </w:rPr>
        <w:t>&amp;</w:t>
      </w:r>
      <w:r>
        <w:rPr>
          <w:color w:val="1F497D"/>
          <w:spacing w:val="-11"/>
          <w14:textOutline w14:w="3831">
            <w14:solidFill>
              <w14:srgbClr w14:val="1F497D"/>
            </w14:solidFill>
            <w14:prstDash w14:val="solid"/>
            <w14:round/>
          </w14:textOutline>
        </w:rPr>
        <w:t>华为链品种，</w:t>
      </w:r>
      <w:r>
        <w:rPr>
          <w:color w:val="1F497D"/>
          <w:spacing w:val="52"/>
        </w:rPr>
        <w:t xml:space="preserve"> </w:t>
      </w:r>
      <w:r>
        <w:rPr>
          <w:color w:val="1F497D"/>
          <w:spacing w:val="-11"/>
        </w:rPr>
        <w:t>仍具有一定关注价</w:t>
      </w:r>
      <w:r>
        <w:rPr>
          <w:color w:val="1F497D"/>
          <w:spacing w:val="-11"/>
        </w:rPr>
        <w:t xml:space="preserve"> </w:t>
      </w:r>
      <w:r>
        <w:rPr>
          <w:color w:val="1F497D"/>
          <w:spacing w:val="-7"/>
        </w:rPr>
        <w:t>值，</w:t>
      </w:r>
      <w:r>
        <w:rPr>
          <w:color w:val="1F497D"/>
          <w:spacing w:val="-34"/>
        </w:rPr>
        <w:t xml:space="preserve"> </w:t>
      </w:r>
      <w:r>
        <w:rPr>
          <w:color w:val="1F497D"/>
          <w:spacing w:val="-7"/>
        </w:rPr>
        <w:t>如明新转债、沿浦转债、联创转债、宇瞳转债、神通转债、瑞鹄转</w:t>
      </w:r>
      <w:r>
        <w:rPr>
          <w:color w:val="1F497D"/>
          <w:spacing w:val="-7"/>
        </w:rPr>
        <w:t xml:space="preserve"> </w:t>
      </w:r>
      <w:r>
        <w:rPr>
          <w:color w:val="1F497D"/>
          <w:spacing w:val="-2"/>
        </w:rPr>
        <w:t>债以及长汽转债等。同时，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2"/>
        </w:rPr>
        <w:t>部分汽零与机器人的交集品种同样值得关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5"/>
        </w:rPr>
        <w:t>注，</w:t>
      </w:r>
      <w:r>
        <w:rPr>
          <w:color w:val="1F497D"/>
          <w:spacing w:val="-18"/>
        </w:rPr>
        <w:t xml:space="preserve"> </w:t>
      </w:r>
      <w:r>
        <w:rPr>
          <w:color w:val="1F497D"/>
          <w:spacing w:val="-5"/>
        </w:rPr>
        <w:t>如拓普转债、精锻转债、豪能转债。典型汽零优势品种银轮转债、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爱迪转债依然具有较高关注价值。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此外，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顺周期板块</w:t>
      </w:r>
      <w:r>
        <w:rPr>
          <w:color w:val="1F497D"/>
          <w:spacing w:val="-2"/>
        </w:rPr>
        <w:t>的交易价值依然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4"/>
        </w:rPr>
        <w:t>具备，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</w:rPr>
        <w:t>如淮</w:t>
      </w:r>
      <w:r>
        <w:rPr>
          <w:color w:val="1F497D"/>
          <w:spacing w:val="-46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22 </w:t>
      </w:r>
      <w:r>
        <w:rPr>
          <w:color w:val="1F497D"/>
          <w:spacing w:val="-4"/>
        </w:rPr>
        <w:t>转债、华锐转债、耐普转债、鸿路转</w:t>
      </w:r>
      <w:r>
        <w:rPr>
          <w:color w:val="1F497D"/>
          <w:spacing w:val="-5"/>
        </w:rPr>
        <w:t>债等。</w:t>
      </w:r>
    </w:p>
    <w:p>
      <w:pPr>
        <w:pStyle w:val="BodyText"/>
        <w:spacing w:before="85" w:line="252" w:lineRule="auto"/>
        <w:ind w:left="557" w:right="116" w:hanging="419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42"/>
        </w:rPr>
        <w:t xml:space="preserve"> 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风险提示。</w:t>
      </w:r>
      <w:r>
        <w:rPr>
          <w:color w:val="1F497D"/>
          <w:spacing w:val="24"/>
        </w:rPr>
        <w:t xml:space="preserve"> </w:t>
      </w:r>
      <w:r>
        <w:rPr>
          <w:color w:val="1F497D"/>
          <w:spacing w:val="-9"/>
        </w:rPr>
        <w:t>国内政策出现超预期调整；海外环境出现超预期变化；转债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市场规则出现超预期变化。</w:t>
      </w:r>
    </w:p>
    <w:p>
      <w:pPr>
        <w:pStyle w:val="BodyText"/>
        <w:spacing w:before="79" w:line="198" w:lineRule="auto"/>
        <w:ind w:left="138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9"/>
        </w:rPr>
        <w:t xml:space="preserve">  </w:t>
      </w:r>
      <w:r>
        <w:rPr>
          <w:color w:val="1F497D"/>
          <w:spacing w:val="-6"/>
        </w:rPr>
        <w:t>备注：</w:t>
      </w:r>
      <w:r>
        <w:rPr>
          <w:color w:val="1F497D"/>
          <w:spacing w:val="-6"/>
        </w:rPr>
        <w:t xml:space="preserve"> </w:t>
      </w:r>
      <w:r>
        <w:rPr>
          <w:color w:val="1F497D"/>
          <w:spacing w:val="-6"/>
        </w:rPr>
        <w:t>数据来源于</w:t>
      </w:r>
      <w:r>
        <w:rPr>
          <w:color w:val="1F497D"/>
          <w:spacing w:val="-49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>Wind</w:t>
      </w:r>
      <w:r>
        <w:rPr>
          <w:color w:val="1F497D"/>
          <w:spacing w:val="-6"/>
        </w:rPr>
        <w:t>、普益标准。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9"/>
          <w:footerReference w:type="default" r:id="rId10"/>
          <w:type w:val="continuous"/>
          <w:pgSz w:w="11907" w:h="16839"/>
          <w:pgMar w:top="1715" w:right="638" w:bottom="1249" w:left="622" w:header="751" w:footer="741" w:gutter="0"/>
          <w:pgNumType w:start="2"/>
          <w:cols w:num="2" w:space="708" w:equalWidth="0">
            <w:col w:w="7033" w:space="100"/>
            <w:col w:w="351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7"/>
      </w:pPr>
    </w:p>
    <w:tbl>
      <w:tblPr>
        <w:tblStyle w:val="TableNormal0"/>
        <w:tblW w:w="351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11"/>
      </w:tblGrid>
      <w:tr>
        <w:tblPrEx>
          <w:tblW w:w="351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609"/>
        </w:trPr>
        <w:tc>
          <w:tcPr>
            <w:tcW w:w="3511" w:type="dxa"/>
            <w:tcBorders>
              <w:bottom w:val="single" w:sz="8" w:space="0" w:color="FFFFFF"/>
            </w:tcBorders>
            <w:vAlign w:val="top"/>
          </w:tcPr>
          <w:p>
            <w:pPr>
              <w:spacing w:line="213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rightMargin">
                    <wp:posOffset>-2039874</wp:posOffset>
                  </wp:positionH>
                  <wp:positionV relativeFrom="topMargin">
                    <wp:posOffset>269214</wp:posOffset>
                  </wp:positionV>
                  <wp:extent cx="219075" cy="194729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</w:rPr>
              <w:t>刘郁</w:t>
            </w:r>
          </w:p>
          <w:p>
            <w:pPr>
              <w:pStyle w:val="TableText"/>
              <w:spacing w:before="131" w:line="219" w:lineRule="auto"/>
              <w:ind w:left="1074"/>
              <w:rPr>
                <w:sz w:val="15"/>
                <w:szCs w:val="15"/>
              </w:rPr>
            </w:pP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S0260520010001</w:t>
            </w:r>
          </w:p>
          <w:p>
            <w:pPr>
              <w:pStyle w:val="TableText"/>
              <w:spacing w:before="168" w:line="197" w:lineRule="auto"/>
              <w:ind w:left="1074"/>
              <w:rPr>
                <w:sz w:val="15"/>
                <w:szCs w:val="15"/>
              </w:rPr>
            </w:pPr>
            <w:r>
              <w:rPr>
                <w:color w:val="1F497D"/>
                <w:spacing w:val="-2"/>
                <w:sz w:val="15"/>
                <w:szCs w:val="15"/>
              </w:rPr>
              <w:t>SFC CE</w:t>
            </w:r>
            <w:r>
              <w:rPr>
                <w:color w:val="1F497D"/>
                <w:spacing w:val="13"/>
                <w:w w:val="101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2"/>
                <w:sz w:val="15"/>
                <w:szCs w:val="15"/>
              </w:rPr>
              <w:t>No.</w:t>
            </w:r>
            <w:r>
              <w:rPr>
                <w:color w:val="1F497D"/>
                <w:spacing w:val="11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2"/>
                <w:sz w:val="15"/>
                <w:szCs w:val="15"/>
              </w:rPr>
              <w:t>BPM217</w:t>
            </w:r>
          </w:p>
          <w:p>
            <w:pPr>
              <w:pStyle w:val="TableText"/>
              <w:spacing w:before="96"/>
              <w:ind w:left="298"/>
            </w:pPr>
            <w:r>
              <w:rPr>
                <w:color w:val="1F497D"/>
                <w:position w:val="-7"/>
              </w:rPr>
              <w:drawing>
                <wp:inline distT="0" distB="0" distL="0" distR="0">
                  <wp:extent cx="219075" cy="180975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</w:rPr>
              <w:t xml:space="preserve">        </w:t>
            </w:r>
            <w:r>
              <w:rPr>
                <w:color w:val="1F497D"/>
                <w:spacing w:val="-1"/>
              </w:rPr>
              <w:t>021-38003556</w:t>
            </w:r>
          </w:p>
          <w:p>
            <w:pPr>
              <w:pStyle w:val="TableText"/>
              <w:spacing w:before="48"/>
              <w:ind w:left="298"/>
            </w:pPr>
            <w:r>
              <w:rPr>
                <w:color w:val="1F497D"/>
                <w:position w:val="-6"/>
              </w:rPr>
              <w:drawing>
                <wp:inline distT="0" distB="0" distL="0" distR="0">
                  <wp:extent cx="219075" cy="17145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</w:rPr>
              <w:t xml:space="preserve">        </w:t>
            </w:r>
            <w:r>
              <w:rPr>
                <w:color w:val="1F497D"/>
                <w:spacing w:val="-1"/>
              </w:rPr>
              <w:t>shliuyu@gf.com.cn</w:t>
            </w:r>
          </w:p>
          <w:p>
            <w:pPr>
              <w:spacing w:before="102" w:line="217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6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24"/>
                <w:sz w:val="18"/>
                <w:szCs w:val="18"/>
              </w:rPr>
              <w:t xml:space="preserve">   </w:t>
            </w:r>
            <w:r>
              <w:rPr>
                <w:rFonts w:ascii="KaiTi" w:eastAsia="KaiTi" w:hAnsi="KaiTi" w:cs="KaiTi"/>
                <w:color w:val="1F497D"/>
                <w:spacing w:val="-16"/>
                <w:sz w:val="18"/>
                <w:szCs w:val="18"/>
              </w:rPr>
              <w:t>田乐蒙</w:t>
            </w:r>
          </w:p>
          <w:p>
            <w:pPr>
              <w:pStyle w:val="TableText"/>
              <w:spacing w:before="50"/>
              <w:ind w:left="298"/>
              <w:rPr>
                <w:sz w:val="15"/>
                <w:szCs w:val="15"/>
              </w:rPr>
            </w:pPr>
            <w:r>
              <w:rPr>
                <w:color w:val="1F497D"/>
                <w:position w:val="-9"/>
                <w:sz w:val="15"/>
                <w:szCs w:val="15"/>
              </w:rPr>
              <w:drawing>
                <wp:inline distT="0" distB="0" distL="0" distR="0">
                  <wp:extent cx="219075" cy="194729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  <w:sz w:val="15"/>
                <w:szCs w:val="15"/>
              </w:rPr>
              <w:t xml:space="preserve">          </w:t>
            </w: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37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S0260520090001</w:t>
            </w:r>
          </w:p>
          <w:p>
            <w:pPr>
              <w:pStyle w:val="TableText"/>
              <w:spacing w:before="30"/>
              <w:ind w:left="298"/>
            </w:pPr>
            <w:r>
              <w:rPr>
                <w:color w:val="1F497D"/>
                <w:position w:val="-7"/>
              </w:rPr>
              <w:drawing>
                <wp:inline distT="0" distB="0" distL="0" distR="0">
                  <wp:extent cx="219075" cy="18097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</w:rPr>
              <w:t xml:space="preserve">        </w:t>
            </w:r>
            <w:r>
              <w:rPr>
                <w:color w:val="1F497D"/>
                <w:spacing w:val="-1"/>
              </w:rPr>
              <w:t>021-38003552</w:t>
            </w:r>
          </w:p>
          <w:p>
            <w:pPr>
              <w:pStyle w:val="TableText"/>
              <w:spacing w:before="48"/>
              <w:ind w:left="298"/>
            </w:pPr>
            <w:r>
              <w:rPr>
                <w:color w:val="1F497D"/>
                <w:position w:val="-7"/>
              </w:rPr>
              <w:drawing>
                <wp:inline distT="0" distB="0" distL="0" distR="0">
                  <wp:extent cx="219075" cy="17145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</w:rPr>
              <w:t xml:space="preserve">        </w:t>
            </w:r>
            <w:r>
              <w:rPr>
                <w:color w:val="1F497D"/>
                <w:spacing w:val="-1"/>
              </w:rPr>
              <w:t>tianlemeng@gf.com.cn</w:t>
            </w:r>
          </w:p>
          <w:p>
            <w:pPr>
              <w:spacing w:before="78" w:line="267" w:lineRule="auto"/>
              <w:ind w:left="113" w:right="156" w:hanging="4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1F497D"/>
                <w:spacing w:val="10"/>
                <w:sz w:val="12"/>
                <w:szCs w:val="12"/>
              </w:rPr>
              <w:t>请注意，田乐蒙并非香港证券及期货事务监</w:t>
            </w: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察委员会的注</w:t>
            </w:r>
            <w:r>
              <w:rPr>
                <w:rFonts w:ascii="KaiTi" w:eastAsia="KaiTi" w:hAnsi="KaiTi" w:cs="KaiTi"/>
                <w:color w:val="1F497D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7"/>
                <w:sz w:val="12"/>
                <w:szCs w:val="12"/>
              </w:rPr>
              <w:t>册持牌人，不可在香港从事受监管活动。</w:t>
            </w:r>
          </w:p>
        </w:tc>
      </w:tr>
      <w:tr>
        <w:tblPrEx>
          <w:tblW w:w="3511" w:type="dxa"/>
          <w:tblInd w:w="0" w:type="dxa"/>
          <w:tblLayout w:type="fixed"/>
        </w:tblPrEx>
        <w:trPr>
          <w:trHeight w:val="321"/>
        </w:trPr>
        <w:tc>
          <w:tcPr>
            <w:tcW w:w="3511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spacing w:before="47" w:line="226" w:lineRule="auto"/>
              <w:ind w:left="10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1F497D"/>
                <w:spacing w:val="-9"/>
                <w:sz w:val="21"/>
                <w:szCs w:val="2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  <w:tr>
        <w:tblPrEx>
          <w:tblW w:w="3511" w:type="dxa"/>
          <w:tblInd w:w="0" w:type="dxa"/>
          <w:tblLayout w:type="fixed"/>
        </w:tblPrEx>
        <w:trPr>
          <w:trHeight w:val="826"/>
        </w:trPr>
        <w:tc>
          <w:tcPr>
            <w:tcW w:w="3511" w:type="dxa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before="72" w:line="327" w:lineRule="exact"/>
              <w:ind w:left="113"/>
              <w:rPr>
                <w:rFonts w:ascii="KaiTi" w:eastAsia="KaiTi" w:hAnsi="KaiTi" w:cs="KaiTi"/>
              </w:rPr>
            </w:pPr>
            <w:r>
              <w:pict>
                <v:shape id="_x0000_s1030" type="#_x0000_t202" style="width:40.35pt;height:9.05pt;margin-top:4.46pt;margin-left:130.89pt;position:absolute;z-index:2516592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5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1F497D"/>
                            <w:sz w:val="15"/>
                            <w:szCs w:val="15"/>
                          </w:rPr>
                          <w:t>2022-12-11</w:t>
                        </w:r>
                      </w:p>
                    </w:txbxContent>
                  </v:textbox>
                </v:shape>
              </w:pict>
            </w:r>
            <w:r>
              <w:rPr>
                <w:color w:val="1F497D"/>
                <w:spacing w:val="-3"/>
                <w:position w:val="10"/>
              </w:rPr>
              <w:t xml:space="preserve">2023 </w:t>
            </w:r>
            <w:r>
              <w:rPr>
                <w:rFonts w:ascii="KaiTi" w:eastAsia="KaiTi" w:hAnsi="KaiTi" w:cs="KaiTi"/>
                <w:color w:val="1F497D"/>
                <w:spacing w:val="-3"/>
                <w:position w:val="10"/>
              </w:rPr>
              <w:t>年利率策略</w:t>
            </w:r>
            <w:r>
              <w:rPr>
                <w:color w:val="1F497D"/>
                <w:spacing w:val="-3"/>
                <w:position w:val="10"/>
              </w:rPr>
              <w:t>:</w:t>
            </w:r>
            <w:r>
              <w:rPr>
                <w:rFonts w:ascii="KaiTi" w:eastAsia="KaiTi" w:hAnsi="KaiTi" w:cs="KaiTi"/>
                <w:color w:val="1F497D"/>
                <w:spacing w:val="-3"/>
                <w:position w:val="10"/>
              </w:rPr>
              <w:t>也无风雨，</w:t>
            </w:r>
          </w:p>
          <w:p>
            <w:pPr>
              <w:spacing w:line="218" w:lineRule="auto"/>
              <w:ind w:left="11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8"/>
                <w:szCs w:val="18"/>
              </w:rPr>
              <w:t>也无晴</w:t>
            </w:r>
          </w:p>
        </w:tc>
      </w:tr>
      <w:tr>
        <w:tblPrEx>
          <w:tblW w:w="3511" w:type="dxa"/>
          <w:tblInd w:w="0" w:type="dxa"/>
          <w:tblLayout w:type="fixed"/>
        </w:tblPrEx>
        <w:trPr>
          <w:trHeight w:val="766"/>
        </w:trPr>
        <w:tc>
          <w:tcPr>
            <w:tcW w:w="3511" w:type="dxa"/>
            <w:vAlign w:val="top"/>
          </w:tcPr>
          <w:p>
            <w:pPr>
              <w:pStyle w:val="TableText"/>
              <w:spacing w:before="247" w:line="215" w:lineRule="auto"/>
              <w:ind w:left="123"/>
            </w:pPr>
            <w:r>
              <w:rPr>
                <w:rFonts w:ascii="KaiTi" w:eastAsia="KaiTi" w:hAnsi="KaiTi" w:cs="KaiTi"/>
                <w:color w:val="1F497D"/>
                <w:spacing w:val="-7"/>
              </w:rPr>
              <w:t>联系人：</w:t>
            </w:r>
            <w:r>
              <w:rPr>
                <w:rFonts w:ascii="KaiTi" w:eastAsia="KaiTi" w:hAnsi="KaiTi" w:cs="KaiTi"/>
                <w:color w:val="1F497D"/>
                <w:spacing w:val="24"/>
              </w:rPr>
              <w:t xml:space="preserve">   </w:t>
            </w:r>
            <w:r>
              <w:rPr>
                <w:rFonts w:ascii="KaiTi" w:eastAsia="KaiTi" w:hAnsi="KaiTi" w:cs="KaiTi"/>
                <w:color w:val="1F497D"/>
                <w:spacing w:val="-7"/>
              </w:rPr>
              <w:t>董远</w:t>
            </w:r>
            <w:r>
              <w:rPr>
                <w:rFonts w:ascii="KaiTi" w:eastAsia="KaiTi" w:hAnsi="KaiTi" w:cs="KaiTi"/>
                <w:color w:val="1F497D"/>
                <w:spacing w:val="-36"/>
              </w:rPr>
              <w:t xml:space="preserve"> </w:t>
            </w:r>
            <w:r>
              <w:rPr>
                <w:color w:val="1F497D"/>
                <w:spacing w:val="-7"/>
              </w:rPr>
              <w:t>021-38003732</w:t>
            </w:r>
          </w:p>
          <w:p>
            <w:pPr>
              <w:pStyle w:val="TableText"/>
              <w:spacing w:before="139" w:line="184" w:lineRule="auto"/>
              <w:ind w:left="1074"/>
            </w:pPr>
            <w:r>
              <w:rPr>
                <w:color w:val="1F497D"/>
                <w:spacing w:val="-1"/>
              </w:rPr>
              <w:t>dongyuan@gf.com.cn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6"/>
          <w:footerReference w:type="default" r:id="rId17"/>
          <w:type w:val="nextPage"/>
          <w:pgSz w:w="11907" w:h="16839"/>
          <w:pgMar w:top="1715" w:right="638" w:bottom="1249" w:left="622" w:header="751" w:footer="741" w:gutter="0"/>
          <w:pgNumType w:start="3"/>
          <w:cols w:num="2" w:space="708" w:equalWidth="0">
            <w:col w:w="7033" w:space="100"/>
            <w:col w:w="3512" w:space="0"/>
          </w:cols>
          <w:titlePg w:val="0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47260479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99"/>
            <w:rPr>
              <w:sz w:val="31"/>
              <w:szCs w:val="31"/>
            </w:rPr>
          </w:pPr>
          <w:r>
            <w:rPr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4"/>
            </w:tabs>
            <w:spacing w:before="170" w:line="218" w:lineRule="auto"/>
            <w:ind w:left="2424"/>
            <w:rPr>
              <w:rFonts w:ascii="Arial" w:eastAsia="Arial" w:hAnsi="Arial" w:cs="Arial"/>
            </w:rPr>
          </w:pPr>
          <w:r>
            <w:rPr>
              <w:spacing w:val="-1"/>
            </w:rPr>
            <w:t>一、</w:t>
          </w:r>
          <w:r>
            <w:rPr>
              <w:rFonts w:ascii="Arial" w:eastAsia="Arial" w:hAnsi="Arial" w:cs="Arial"/>
              <w:spacing w:val="-1"/>
            </w:rPr>
            <w:t xml:space="preserve">2023 </w:t>
          </w:r>
          <w:r>
            <w:rPr>
              <w:spacing w:val="-1"/>
            </w:rPr>
            <w:t>行情回顾：逆势中的坚韧和代价</w:t>
          </w:r>
          <w:r>
            <w:rPr>
              <w:spacing w:val="-28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20" w:lineRule="auto"/>
            <w:ind w:left="2419"/>
            <w:rPr>
              <w:rFonts w:ascii="Arial" w:eastAsia="Arial" w:hAnsi="Arial" w:cs="Arial"/>
            </w:rPr>
          </w:pPr>
          <w:r>
            <w:rPr>
              <w:spacing w:val="-7"/>
            </w:rPr>
            <w:t>二、机构行为：</w:t>
          </w:r>
          <w:r>
            <w:rPr>
              <w:spacing w:val="-7"/>
            </w:rPr>
            <w:t xml:space="preserve"> </w:t>
          </w:r>
          <w:r>
            <w:rPr>
              <w:spacing w:val="-7"/>
            </w:rPr>
            <w:t>收益与仓位的矛盾</w:t>
          </w:r>
          <w:r>
            <w:rPr>
              <w:spacing w:val="-5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3" w:lineRule="auto"/>
            <w:ind w:left="2422"/>
            <w:rPr>
              <w:rFonts w:ascii="Arial" w:eastAsia="Arial" w:hAnsi="Arial" w:cs="Arial"/>
            </w:rPr>
          </w:pPr>
          <w:r>
            <w:rPr>
              <w:spacing w:val="-4"/>
            </w:rPr>
            <w:t>三、估值破局：</w:t>
          </w:r>
          <w:r>
            <w:rPr>
              <w:spacing w:val="-14"/>
            </w:rPr>
            <w:t xml:space="preserve"> </w:t>
          </w:r>
          <w:r>
            <w:rPr>
              <w:spacing w:val="-4"/>
            </w:rPr>
            <w:t>有望恢复到较高位置，但很难一帆风顺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26" w:lineRule="auto"/>
            <w:ind w:left="2894"/>
            <w:rPr>
              <w:rFonts w:ascii="Arial" w:eastAsia="Arial" w:hAnsi="Arial" w:cs="Arial"/>
            </w:rPr>
          </w:pPr>
          <w:r>
            <w:t>（一）债市需求仍存</w:t>
          </w:r>
          <w:r>
            <w:rPr>
              <w:rFonts w:ascii="Arial" w:eastAsia="Arial" w:hAnsi="Arial" w:cs="Arial"/>
            </w:rPr>
            <w:t>&amp;</w:t>
          </w:r>
          <w:r>
            <w:t>正股性价比不低，转债估值仍有恢复空间</w:t>
          </w:r>
          <w:r>
            <w:rPr>
              <w:spacing w:val="-8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0" w:line="226" w:lineRule="auto"/>
            <w:ind w:left="2894"/>
            <w:rPr>
              <w:rFonts w:ascii="Arial" w:eastAsia="Arial" w:hAnsi="Arial" w:cs="Arial"/>
            </w:rPr>
          </w:pPr>
          <w:r>
            <w:rPr>
              <w:spacing w:val="-2"/>
            </w:rPr>
            <w:t>（二）</w:t>
          </w:r>
          <w:r>
            <w:rPr>
              <w:spacing w:val="-28"/>
            </w:rPr>
            <w:t xml:space="preserve"> </w:t>
          </w:r>
          <w:r>
            <w:rPr>
              <w:spacing w:val="-2"/>
            </w:rPr>
            <w:t>转债高仓位</w:t>
          </w:r>
          <w:r>
            <w:rPr>
              <w:rFonts w:ascii="Arial" w:eastAsia="Arial" w:hAnsi="Arial" w:cs="Arial"/>
              <w:spacing w:val="-2"/>
            </w:rPr>
            <w:t>&amp;</w:t>
          </w:r>
          <w:r>
            <w:rPr>
              <w:spacing w:val="-2"/>
            </w:rPr>
            <w:t>流动性潜在波动</w:t>
          </w:r>
          <w:r>
            <w:rPr>
              <w:rFonts w:ascii="Arial" w:eastAsia="Arial" w:hAnsi="Arial" w:cs="Arial"/>
              <w:spacing w:val="-2"/>
            </w:rPr>
            <w:t>&amp;</w:t>
          </w:r>
          <w:r>
            <w:rPr>
              <w:spacing w:val="-2"/>
            </w:rPr>
            <w:t>正股不确定</w:t>
          </w:r>
          <w:r>
            <w:rPr>
              <w:spacing w:val="-3"/>
            </w:rPr>
            <w:t>性较强，制约转债估值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67" w:line="226" w:lineRule="auto"/>
            <w:ind w:left="2430"/>
            <w:rPr>
              <w:rFonts w:ascii="Arial" w:eastAsia="Arial" w:hAnsi="Arial" w:cs="Arial"/>
            </w:rPr>
          </w:pPr>
          <w:r>
            <w:rPr>
              <w:spacing w:val="-7"/>
            </w:rPr>
            <w:t>四、供需</w:t>
          </w:r>
          <w:r>
            <w:rPr>
              <w:rFonts w:ascii="Arial" w:eastAsia="Arial" w:hAnsi="Arial" w:cs="Arial"/>
              <w:spacing w:val="-7"/>
            </w:rPr>
            <w:t>&amp;</w:t>
          </w:r>
          <w:r>
            <w:rPr>
              <w:spacing w:val="-7"/>
            </w:rPr>
            <w:t>条款：</w:t>
          </w:r>
          <w:r>
            <w:rPr>
              <w:spacing w:val="-7"/>
            </w:rPr>
            <w:t xml:space="preserve"> </w:t>
          </w:r>
          <w:r>
            <w:rPr>
              <w:spacing w:val="-7"/>
            </w:rPr>
            <w:t>并不新鲜，但依然重要</w:t>
          </w:r>
          <w:r>
            <w:rPr>
              <w:spacing w:val="-2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69" w:line="213" w:lineRule="auto"/>
            <w:ind w:left="2894"/>
            <w:rPr>
              <w:rFonts w:ascii="Arial" w:eastAsia="Arial" w:hAnsi="Arial" w:cs="Arial"/>
            </w:rPr>
          </w:pPr>
          <w:r>
            <w:t>（一）供需：转债供给受限的局面短时间或难改变，关注估值演化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3"/>
            </w:rPr>
            <w:t>（二）</w:t>
          </w:r>
          <w:r>
            <w:rPr>
              <w:spacing w:val="-30"/>
            </w:rPr>
            <w:t xml:space="preserve"> </w:t>
          </w:r>
          <w:r>
            <w:rPr>
              <w:spacing w:val="-3"/>
            </w:rPr>
            <w:t>条款：重视转债强赎风险，理性对待</w:t>
          </w:r>
          <w:r>
            <w:rPr>
              <w:spacing w:val="-4"/>
            </w:rPr>
            <w:t>下修收益</w:t>
          </w:r>
          <w:r>
            <w:rPr>
              <w:spacing w:val="-83"/>
            </w:rPr>
            <w:t xml:space="preserve"> </w:t>
          </w:r>
          <w:r>
            <w:tab/>
          </w:r>
          <w:hyperlink w:anchor="bookmark8" w:history="1">
            <w:r>
              <w:rPr>
                <w:rFonts w:ascii="Arial" w:eastAsia="Arial" w:hAnsi="Arial" w:cs="Arial"/>
                <w:spacing w:val="11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417"/>
            <w:rPr>
              <w:rFonts w:ascii="Arial" w:eastAsia="Arial" w:hAnsi="Arial" w:cs="Arial"/>
            </w:rPr>
          </w:pPr>
          <w:r>
            <w:rPr>
              <w:spacing w:val="-7"/>
            </w:rPr>
            <w:t>五、转债策略：</w:t>
          </w:r>
          <w:r>
            <w:rPr>
              <w:spacing w:val="-7"/>
            </w:rPr>
            <w:t xml:space="preserve"> </w:t>
          </w:r>
          <w:r>
            <w:rPr>
              <w:spacing w:val="-7"/>
            </w:rPr>
            <w:t>安全为首，伺机进攻</w:t>
          </w:r>
          <w:r>
            <w:rPr>
              <w:spacing w:val="-22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5" w:line="217" w:lineRule="auto"/>
            <w:ind w:left="2894"/>
            <w:rPr>
              <w:rFonts w:ascii="Arial" w:eastAsia="Arial" w:hAnsi="Arial" w:cs="Arial"/>
            </w:rPr>
          </w:pPr>
          <w:r>
            <w:t>（一）策略倾向：仓位建议从稳健恢复至中性</w:t>
          </w:r>
          <w:r>
            <w:rPr>
              <w:spacing w:val="-84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29" w:lineRule="auto"/>
            <w:ind w:left="2894"/>
            <w:rPr>
              <w:rFonts w:ascii="Arial" w:eastAsia="Arial" w:hAnsi="Arial" w:cs="Arial"/>
            </w:rPr>
          </w:pPr>
          <w:r>
            <w:rPr>
              <w:spacing w:val="-4"/>
            </w:rPr>
            <w:t>（二）</w:t>
          </w:r>
          <w:r>
            <w:rPr>
              <w:spacing w:val="-32"/>
            </w:rPr>
            <w:t xml:space="preserve"> </w:t>
          </w:r>
          <w:r>
            <w:rPr>
              <w:spacing w:val="-4"/>
            </w:rPr>
            <w:t>行业及个券配置：</w:t>
          </w:r>
          <w:r>
            <w:rPr>
              <w:spacing w:val="-23"/>
            </w:rPr>
            <w:t xml:space="preserve"> </w:t>
          </w:r>
          <w:r>
            <w:rPr>
              <w:spacing w:val="-4"/>
            </w:rPr>
            <w:t>低价因子、产业（消费电子</w:t>
          </w:r>
          <w:r>
            <w:rPr>
              <w:rFonts w:ascii="Arial" w:eastAsia="Arial" w:hAnsi="Arial" w:cs="Arial"/>
              <w:spacing w:val="-4"/>
            </w:rPr>
            <w:t>&amp;</w:t>
          </w:r>
          <w:r>
            <w:rPr>
              <w:spacing w:val="-4"/>
            </w:rPr>
            <w:t>智能汽车</w:t>
          </w:r>
          <w:r>
            <w:rPr>
              <w:rFonts w:ascii="Arial" w:eastAsia="Arial" w:hAnsi="Arial" w:cs="Arial"/>
              <w:spacing w:val="-4"/>
            </w:rPr>
            <w:t>&amp;</w:t>
          </w:r>
          <w:r>
            <w:rPr>
              <w:spacing w:val="-4"/>
            </w:rPr>
            <w:t>顺周期）</w:t>
          </w:r>
          <w:r>
            <w:tab/>
          </w:r>
          <w:hyperlink w:anchor="bookmark11" w:history="1">
            <w:r>
              <w:rPr>
                <w:rFonts w:ascii="Arial" w:eastAsia="Arial" w:hAnsi="Arial" w:cs="Arial"/>
                <w:spacing w:val="11"/>
              </w:rPr>
              <w:t>26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64" w:line="223" w:lineRule="auto"/>
            <w:ind w:left="2429"/>
            <w:rPr>
              <w:rFonts w:ascii="Arial" w:eastAsia="Arial" w:hAnsi="Arial" w:cs="Arial"/>
            </w:rPr>
          </w:pPr>
          <w:r>
            <w:rPr>
              <w:spacing w:val="-3"/>
            </w:rPr>
            <w:t>六、风险提示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4"/>
              </w:rPr>
              <w:t>31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2" w:line="220" w:lineRule="auto"/>
            <w:ind w:left="2433"/>
            <w:rPr>
              <w:rFonts w:ascii="Arial" w:eastAsia="Arial" w:hAnsi="Arial" w:cs="Arial"/>
            </w:rPr>
          </w:pPr>
          <w:r>
            <w:rPr>
              <w:spacing w:val="-35"/>
              <w:w w:val="97"/>
            </w:rPr>
            <w:t>附录：</w:t>
          </w:r>
          <w:r>
            <w:rPr>
              <w:spacing w:val="37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4"/>
              </w:rPr>
              <w:t>31</w:t>
            </w:r>
          </w:hyperlink>
        </w:p>
      </w:sdtContent>
    </w:sdt>
    <w:p>
      <w:pPr>
        <w:spacing w:line="220" w:lineRule="auto"/>
        <w:rPr>
          <w:rFonts w:ascii="Arial" w:eastAsia="Arial" w:hAnsi="Arial" w:cs="Arial"/>
        </w:rPr>
        <w:sectPr>
          <w:headerReference w:type="default" r:id="rId18"/>
          <w:footerReference w:type="default" r:id="rId19"/>
          <w:pgSz w:w="11907" w:h="16839"/>
          <w:pgMar w:top="1383" w:right="646" w:bottom="1249" w:left="622" w:header="794" w:footer="741" w:gutter="0"/>
          <w:pgNumType w:start="4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74376958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73"/>
            <w:rPr>
              <w:sz w:val="31"/>
              <w:szCs w:val="31"/>
            </w:rPr>
          </w:pPr>
          <w:r>
            <w:rPr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spacing w:before="170" w:line="226" w:lineRule="auto"/>
            <w:jc w:val="right"/>
          </w:pPr>
          <w:r>
            <w:rPr>
              <w:spacing w:val="-5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</w:t>
          </w:r>
          <w:r>
            <w:rPr>
              <w:spacing w:val="-5"/>
            </w:rPr>
            <w:t>：</w:t>
          </w:r>
          <w:r>
            <w:rPr>
              <w:spacing w:val="-5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 xml:space="preserve">2023 </w:t>
          </w:r>
          <w:r>
            <w:rPr>
              <w:spacing w:val="-5"/>
            </w:rPr>
            <w:t>上半年，转债展示出与品种</w:t>
          </w:r>
          <w:r>
            <w:rPr>
              <w:spacing w:val="-6"/>
            </w:rPr>
            <w:t>相匹配的韧性，</w:t>
          </w:r>
          <w:r>
            <w:rPr>
              <w:spacing w:val="-48"/>
            </w:rPr>
            <w:t xml:space="preserve"> </w:t>
          </w:r>
          <w:r>
            <w:rPr>
              <w:spacing w:val="-6"/>
            </w:rPr>
            <w:t>下半年在正股</w:t>
          </w:r>
          <w:r>
            <w:rPr>
              <w:rFonts w:ascii="Arial" w:eastAsia="Arial" w:hAnsi="Arial" w:cs="Arial"/>
              <w:spacing w:val="-6"/>
            </w:rPr>
            <w:t>&amp;</w:t>
          </w:r>
          <w:r>
            <w:rPr>
              <w:spacing w:val="-6"/>
            </w:rPr>
            <w:t>纯债接连拖</w:t>
          </w:r>
        </w:p>
        <w:p>
          <w:pPr>
            <w:pStyle w:val="BodyText"/>
            <w:tabs>
              <w:tab w:val="right" w:leader="dot" w:pos="10634"/>
            </w:tabs>
            <w:spacing w:before="69" w:line="213" w:lineRule="auto"/>
            <w:ind w:left="3129"/>
            <w:rPr>
              <w:rFonts w:ascii="Arial" w:eastAsia="Arial" w:hAnsi="Arial" w:cs="Arial"/>
            </w:rPr>
          </w:pPr>
          <w:r>
            <w:rPr>
              <w:spacing w:val="-10"/>
            </w:rPr>
            <w:t>累下，</w:t>
          </w:r>
          <w:r>
            <w:rPr>
              <w:spacing w:val="-10"/>
            </w:rPr>
            <w:t xml:space="preserve"> </w:t>
          </w:r>
          <w:r>
            <w:rPr>
              <w:spacing w:val="-10"/>
            </w:rPr>
            <w:t>全年收益遭遇大幅侵蚀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</w:rPr>
              <w:t>5</w:t>
            </w:r>
          </w:hyperlink>
        </w:p>
      </w:sdtContent>
    </w:sdt>
    <w:p>
      <w:pPr>
        <w:pStyle w:val="BodyText"/>
        <w:spacing w:before="84" w:line="250" w:lineRule="auto"/>
        <w:ind w:left="3124" w:right="12"/>
        <w:rPr>
          <w:rFonts w:ascii="Arial" w:eastAsia="Arial" w:hAnsi="Arial" w:cs="Arial"/>
        </w:rPr>
      </w:pPr>
      <w:r>
        <w:rPr>
          <w:spacing w:val="-4"/>
        </w:rPr>
        <w:t>图</w:t>
      </w:r>
      <w:r>
        <w:rPr>
          <w:spacing w:val="-45"/>
        </w:rPr>
        <w:t xml:space="preserve"> </w:t>
      </w:r>
      <w:r>
        <w:rPr>
          <w:rFonts w:ascii="Arial" w:eastAsia="Arial" w:hAnsi="Arial" w:cs="Arial"/>
          <w:spacing w:val="-4"/>
        </w:rPr>
        <w:t>2</w:t>
      </w:r>
      <w:r>
        <w:rPr>
          <w:spacing w:val="-4"/>
        </w:rPr>
        <w:t>：今年转债估值在经历了漫长的估值平稳期之</w:t>
      </w:r>
      <w:r>
        <w:rPr>
          <w:spacing w:val="-5"/>
        </w:rPr>
        <w:t>后，</w:t>
      </w:r>
      <w:r>
        <w:rPr>
          <w:spacing w:val="-5"/>
        </w:rPr>
        <w:t xml:space="preserve"> </w:t>
      </w:r>
      <w:r>
        <w:rPr>
          <w:spacing w:val="-5"/>
        </w:rPr>
        <w:t>于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-5"/>
        </w:rPr>
        <w:t>Q4</w:t>
      </w:r>
      <w:r>
        <w:rPr>
          <w:rFonts w:ascii="Arial" w:eastAsia="Arial" w:hAnsi="Arial" w:cs="Arial"/>
          <w:spacing w:val="16"/>
          <w:w w:val="101"/>
        </w:rPr>
        <w:t xml:space="preserve"> </w:t>
      </w:r>
      <w:r>
        <w:rPr>
          <w:spacing w:val="-5"/>
        </w:rPr>
        <w:t>回到了年初的原点</w:t>
      </w:r>
      <w:r>
        <w:rPr>
          <w:rFonts w:ascii="Arial" w:eastAsia="Arial" w:hAnsi="Arial" w:cs="Arial"/>
          <w:spacing w:val="-5"/>
        </w:rPr>
        <w:t>..</w:t>
      </w:r>
      <w:r>
        <w:rPr>
          <w:rFonts w:ascii="Arial" w:eastAsia="Arial" w:hAnsi="Arial" w:cs="Arial"/>
          <w:spacing w:val="-28"/>
        </w:rPr>
        <w:t xml:space="preserve"> </w:t>
      </w:r>
      <w:r>
        <w:rPr>
          <w:rFonts w:ascii="Arial" w:eastAsia="Arial" w:hAnsi="Arial" w:cs="Arial"/>
          <w:spacing w:val="-5"/>
        </w:rPr>
        <w:t>7</w:t>
      </w:r>
      <w:r>
        <w:rPr>
          <w:rFonts w:ascii="Arial" w:eastAsia="Arial" w:hAnsi="Arial" w:cs="Arial"/>
        </w:rPr>
        <w:t xml:space="preserve"> </w:t>
      </w:r>
      <w:r>
        <w:rPr>
          <w:spacing w:val="-4"/>
        </w:rPr>
        <w:t>图</w:t>
      </w:r>
      <w:r>
        <w:rPr>
          <w:spacing w:val="-27"/>
        </w:rPr>
        <w:t xml:space="preserve"> </w:t>
      </w:r>
      <w:r>
        <w:rPr>
          <w:rFonts w:ascii="Arial" w:eastAsia="Arial" w:hAnsi="Arial" w:cs="Arial"/>
          <w:spacing w:val="-4"/>
        </w:rPr>
        <w:t>3</w:t>
      </w:r>
      <w:r>
        <w:rPr>
          <w:spacing w:val="-4"/>
        </w:rPr>
        <w:t>：除一级债基之外，</w:t>
      </w:r>
      <w:r>
        <w:rPr>
          <w:spacing w:val="-29"/>
        </w:rPr>
        <w:t xml:space="preserve"> </w:t>
      </w:r>
      <w:r>
        <w:rPr>
          <w:spacing w:val="-4"/>
        </w:rPr>
        <w:t>今年以来固收</w:t>
      </w:r>
      <w:r>
        <w:rPr>
          <w:rFonts w:ascii="Arial" w:eastAsia="Arial" w:hAnsi="Arial" w:cs="Arial"/>
          <w:spacing w:val="-4"/>
        </w:rPr>
        <w:t>+</w:t>
      </w:r>
      <w:r>
        <w:rPr>
          <w:spacing w:val="-4"/>
        </w:rPr>
        <w:t>基金整体收益率不佳（</w:t>
      </w:r>
      <w:r>
        <w:rPr>
          <w:rFonts w:ascii="Arial" w:eastAsia="Arial" w:hAnsi="Arial" w:cs="Arial"/>
          <w:spacing w:val="-4"/>
        </w:rPr>
        <w:t>2023/12/1</w:t>
      </w:r>
      <w:r>
        <w:rPr>
          <w:spacing w:val="-4"/>
        </w:rPr>
        <w:t>）</w:t>
      </w:r>
      <w:r>
        <w:rPr>
          <w:spacing w:val="-48"/>
        </w:rPr>
        <w:t xml:space="preserve"> </w:t>
      </w:r>
      <w:r>
        <w:rPr>
          <w:rFonts w:ascii="Arial" w:eastAsia="Arial" w:hAnsi="Arial" w:cs="Arial"/>
          <w:spacing w:val="-4"/>
        </w:rPr>
        <w:t>...... 11</w:t>
      </w:r>
    </w:p>
    <w:sdt>
      <w:sdtPr>
        <w:rPr>
          <w:rFonts w:ascii="KaiTi" w:eastAsia="KaiTi" w:hAnsi="KaiTi" w:cs="KaiTi"/>
          <w:sz w:val="21"/>
          <w:szCs w:val="21"/>
        </w:rPr>
        <w:id w:val="139860833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4"/>
            </w:tabs>
            <w:spacing w:before="84" w:line="233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4</w:t>
          </w:r>
          <w:r>
            <w:rPr>
              <w:spacing w:val="-2"/>
            </w:rPr>
            <w:t>：转债基金</w:t>
          </w:r>
          <w:r>
            <w:rPr>
              <w:spacing w:val="-47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2023Q3 </w:t>
          </w:r>
          <w:r>
            <w:rPr>
              <w:spacing w:val="-2"/>
            </w:rPr>
            <w:t>持仓规模</w:t>
          </w:r>
          <w:r>
            <w:rPr>
              <w:rFonts w:ascii="Arial" w:eastAsia="Arial" w:hAnsi="Arial" w:cs="Arial"/>
              <w:spacing w:val="-2"/>
            </w:rPr>
            <w:t>&amp;</w:t>
          </w:r>
          <w:r>
            <w:rPr>
              <w:spacing w:val="-2"/>
            </w:rPr>
            <w:t>仓位持续上行</w:t>
          </w:r>
          <w:r>
            <w:rPr>
              <w:spacing w:val="-33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58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5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>23Q3</w:t>
          </w:r>
          <w:r>
            <w:rPr>
              <w:spacing w:val="-2"/>
            </w:rPr>
            <w:t>，二级债基转债仓位上升，一级债基稳定</w:t>
          </w:r>
          <w:r>
            <w:rPr>
              <w:spacing w:val="-50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6</w:t>
          </w:r>
          <w:r>
            <w:rPr>
              <w:spacing w:val="-2"/>
            </w:rPr>
            <w:t>：保险公司投资收益率中枢有所下滑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7</w:t>
          </w:r>
          <w:r>
            <w:rPr>
              <w:spacing w:val="-3"/>
            </w:rPr>
            <w:t>：新发理财子业绩基准下限仍在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3%</w:t>
          </w:r>
          <w:r>
            <w:rPr>
              <w:spacing w:val="-3"/>
            </w:rPr>
            <w:t>以上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31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8</w:t>
          </w:r>
          <w:r>
            <w:rPr>
              <w:spacing w:val="-6"/>
            </w:rPr>
            <w:t>：</w:t>
          </w:r>
          <w:r>
            <w:rPr>
              <w:spacing w:val="-52"/>
            </w:rPr>
            <w:t xml:space="preserve"> </w:t>
          </w:r>
          <w:r>
            <w:rPr>
              <w:spacing w:val="-6"/>
            </w:rPr>
            <w:t>固收</w:t>
          </w:r>
          <w:r>
            <w:rPr>
              <w:rFonts w:ascii="Arial" w:eastAsia="Arial" w:hAnsi="Arial" w:cs="Arial"/>
              <w:spacing w:val="-6"/>
            </w:rPr>
            <w:t>+</w:t>
          </w:r>
          <w:r>
            <w:rPr>
              <w:spacing w:val="-6"/>
            </w:rPr>
            <w:t>基金（除一级债基）</w:t>
          </w:r>
          <w:r>
            <w:rPr>
              <w:spacing w:val="-31"/>
            </w:rPr>
            <w:t xml:space="preserve"> </w:t>
          </w:r>
          <w:r>
            <w:rPr>
              <w:spacing w:val="-6"/>
            </w:rPr>
            <w:t>偏债型转债持仓来到近年来高位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9"/>
            </w:rPr>
            <w:t>图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9"/>
            </w:rPr>
            <w:t>9</w:t>
          </w:r>
          <w:r>
            <w:rPr>
              <w:spacing w:val="-9"/>
            </w:rPr>
            <w:t>：</w:t>
          </w:r>
          <w:r>
            <w:rPr>
              <w:spacing w:val="-52"/>
            </w:rPr>
            <w:t xml:space="preserve"> </w:t>
          </w:r>
          <w:r>
            <w:rPr>
              <w:spacing w:val="-9"/>
            </w:rPr>
            <w:t>固收</w:t>
          </w:r>
          <w:r>
            <w:rPr>
              <w:rFonts w:ascii="Arial" w:eastAsia="Arial" w:hAnsi="Arial" w:cs="Arial"/>
              <w:spacing w:val="-9"/>
            </w:rPr>
            <w:t>+</w:t>
          </w:r>
          <w:r>
            <w:rPr>
              <w:spacing w:val="-9"/>
            </w:rPr>
            <w:t>基金（除一级债基）</w:t>
          </w:r>
          <w:r>
            <w:rPr>
              <w:spacing w:val="-29"/>
            </w:rPr>
            <w:t xml:space="preserve"> </w:t>
          </w:r>
          <w:r>
            <w:rPr>
              <w:spacing w:val="-9"/>
            </w:rPr>
            <w:t>转债价格回落明显（元）</w:t>
          </w:r>
          <w:r>
            <w:rPr>
              <w:spacing w:val="3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18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10</w:t>
          </w:r>
          <w:r>
            <w:rPr>
              <w:spacing w:val="-5"/>
            </w:rPr>
            <w:t>：在经济基本面出现强势复苏之前，</w:t>
          </w:r>
          <w:r>
            <w:rPr>
              <w:spacing w:val="-5"/>
            </w:rPr>
            <w:t xml:space="preserve"> </w:t>
          </w:r>
          <w:r>
            <w:rPr>
              <w:spacing w:val="-5"/>
            </w:rPr>
            <w:t>长端利率或仍处于历史较低位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2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11</w:t>
          </w:r>
          <w:r>
            <w:rPr>
              <w:spacing w:val="-4"/>
            </w:rPr>
            <w:t>：银行理财规模仍在缓慢恢复中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10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12</w:t>
          </w:r>
          <w:r>
            <w:rPr>
              <w:spacing w:val="-3"/>
            </w:rPr>
            <w:t>：正股性价比不低，为转债估值提供向上弹性</w:t>
          </w:r>
          <w:r>
            <w:rPr>
              <w:spacing w:val="-3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3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15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13</w:t>
          </w:r>
          <w:r>
            <w:rPr>
              <w:spacing w:val="-3"/>
            </w:rPr>
            <w:t>：近期流动性波动较大，转债估值受到压制</w:t>
          </w:r>
          <w:r>
            <w:rPr>
              <w:spacing w:val="-5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4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12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14</w:t>
          </w:r>
          <w:r>
            <w:rPr>
              <w:spacing w:val="-4"/>
            </w:rPr>
            <w:t>：大多数转债正股即期</w:t>
          </w:r>
          <w:r>
            <w:rPr>
              <w:spacing w:val="-3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EPS </w:t>
          </w:r>
          <w:r>
            <w:rPr>
              <w:spacing w:val="-4"/>
            </w:rPr>
            <w:t>存在一定压力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5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2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11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15</w:t>
          </w:r>
          <w:r>
            <w:rPr>
              <w:spacing w:val="-2"/>
            </w:rPr>
            <w:t>：工业企业毛利率底部修复之后，再遇波折（</w:t>
          </w:r>
          <w:r>
            <w:rPr>
              <w:rFonts w:ascii="Arial" w:eastAsia="Arial" w:hAnsi="Arial" w:cs="Arial"/>
              <w:spacing w:val="-2"/>
            </w:rPr>
            <w:t>%</w:t>
          </w:r>
          <w:r>
            <w:rPr>
              <w:spacing w:val="-2"/>
            </w:rPr>
            <w:t>）</w:t>
          </w:r>
          <w:r>
            <w:tab/>
          </w:r>
          <w:r>
            <w:rPr>
              <w:spacing w:val="-61"/>
            </w:rPr>
            <w:t xml:space="preserve"> </w:t>
          </w:r>
          <w:hyperlink w:anchor="bookmark2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0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24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16</w:t>
          </w:r>
          <w:r>
            <w:rPr>
              <w:spacing w:val="-5"/>
            </w:rPr>
            <w:t>：中美利差走势存在不确定性，</w:t>
          </w:r>
          <w:r>
            <w:rPr>
              <w:spacing w:val="-29"/>
            </w:rPr>
            <w:t xml:space="preserve"> </w:t>
          </w:r>
          <w:r>
            <w:rPr>
              <w:spacing w:val="-5"/>
            </w:rPr>
            <w:t>核心资产或继续承压</w:t>
          </w:r>
          <w:r>
            <w:rPr>
              <w:spacing w:val="-3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17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17</w:t>
          </w:r>
          <w:r>
            <w:rPr>
              <w:spacing w:val="-4"/>
            </w:rPr>
            <w:t>：美国经济看空倾向有所放缓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8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10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18</w:t>
          </w:r>
          <w:r>
            <w:rPr>
              <w:spacing w:val="-3"/>
            </w:rPr>
            <w:t>：市场预期美联储明年开始降息，但幅度有限</w:t>
          </w:r>
          <w:r>
            <w:rPr>
              <w:spacing w:val="-3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9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19</w:t>
          </w:r>
          <w:r>
            <w:rPr>
              <w:spacing w:val="-4"/>
            </w:rPr>
            <w:t>：</w:t>
          </w:r>
          <w:r>
            <w:rPr>
              <w:rFonts w:ascii="Arial" w:eastAsia="Arial" w:hAnsi="Arial" w:cs="Arial"/>
              <w:spacing w:val="-4"/>
            </w:rPr>
            <w:t xml:space="preserve">2023 </w:t>
          </w:r>
          <w:r>
            <w:rPr>
              <w:spacing w:val="-4"/>
            </w:rPr>
            <w:t>年，</w:t>
          </w:r>
          <w:r>
            <w:rPr>
              <w:spacing w:val="-25"/>
            </w:rPr>
            <w:t xml:space="preserve"> </w:t>
          </w:r>
          <w:r>
            <w:rPr>
              <w:spacing w:val="-4"/>
            </w:rPr>
            <w:t>转债供给规模显著</w:t>
          </w:r>
          <w:r>
            <w:rPr>
              <w:spacing w:val="-5"/>
            </w:rPr>
            <w:t>缩减（</w:t>
          </w:r>
          <w:r>
            <w:rPr>
              <w:rFonts w:ascii="Arial" w:eastAsia="Arial" w:hAnsi="Arial" w:cs="Arial"/>
              <w:spacing w:val="-5"/>
            </w:rPr>
            <w:t>2023/12/1</w:t>
          </w:r>
          <w:r>
            <w:rPr>
              <w:spacing w:val="-5"/>
            </w:rPr>
            <w:t>）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0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20</w:t>
          </w:r>
          <w:r>
            <w:rPr>
              <w:spacing w:val="-3"/>
            </w:rPr>
            <w:t>：</w:t>
          </w:r>
          <w:r>
            <w:rPr>
              <w:rFonts w:ascii="Arial" w:eastAsia="Arial" w:hAnsi="Arial" w:cs="Arial"/>
              <w:spacing w:val="-3"/>
            </w:rPr>
            <w:t xml:space="preserve">2023 </w:t>
          </w:r>
          <w:r>
            <w:rPr>
              <w:spacing w:val="-3"/>
            </w:rPr>
            <w:t>年，</w:t>
          </w:r>
          <w:r>
            <w:rPr>
              <w:spacing w:val="-26"/>
            </w:rPr>
            <w:t xml:space="preserve"> </w:t>
          </w:r>
          <w:r>
            <w:rPr>
              <w:spacing w:val="-3"/>
            </w:rPr>
            <w:t>转债净供给规模甚至低于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2017 </w:t>
          </w:r>
          <w:r>
            <w:rPr>
              <w:spacing w:val="-3"/>
            </w:rPr>
            <w:t>年（</w:t>
          </w:r>
          <w:r>
            <w:rPr>
              <w:rFonts w:ascii="Arial" w:eastAsia="Arial" w:hAnsi="Arial" w:cs="Arial"/>
              <w:spacing w:val="-3"/>
            </w:rPr>
            <w:t>2023/1</w:t>
          </w:r>
          <w:r>
            <w:rPr>
              <w:rFonts w:ascii="Arial" w:eastAsia="Arial" w:hAnsi="Arial" w:cs="Arial"/>
              <w:spacing w:val="-4"/>
            </w:rPr>
            <w:t>2/1</w:t>
          </w:r>
          <w:r>
            <w:rPr>
              <w:spacing w:val="-4"/>
            </w:rPr>
            <w:t>，亿元）</w:t>
          </w:r>
          <w:r>
            <w:rPr>
              <w:spacing w:val="-4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1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spacing w:before="84" w:line="213" w:lineRule="auto"/>
            <w:jc w:val="right"/>
          </w:pPr>
          <w:r>
            <w:rPr>
              <w:spacing w:val="-6"/>
            </w:rPr>
            <w:t>图</w:t>
          </w:r>
          <w:r>
            <w:rPr>
              <w:spacing w:val="-6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21</w:t>
          </w:r>
          <w:r>
            <w:rPr>
              <w:spacing w:val="-5"/>
            </w:rPr>
            <w:t>：</w:t>
          </w:r>
          <w:r>
            <w:rPr>
              <w:rFonts w:ascii="Arial" w:eastAsia="Arial" w:hAnsi="Arial" w:cs="Arial"/>
              <w:spacing w:val="-5"/>
            </w:rPr>
            <w:t xml:space="preserve">2023  </w:t>
          </w:r>
          <w:r>
            <w:rPr>
              <w:spacing w:val="-5"/>
            </w:rPr>
            <w:t>年</w:t>
          </w:r>
          <w:r>
            <w:rPr>
              <w:spacing w:val="-5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 xml:space="preserve">8  </w:t>
          </w:r>
          <w:r>
            <w:rPr>
              <w:spacing w:val="-5"/>
            </w:rPr>
            <w:t>月再融</w:t>
          </w:r>
          <w:r>
            <w:rPr>
              <w:spacing w:val="-6"/>
            </w:rPr>
            <w:t>资新规之后，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转债新增预案显著缩减，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近期才略有恢</w:t>
          </w:r>
          <w:r>
            <w:rPr>
              <w:spacing w:val="-4"/>
            </w:rPr>
            <w:t>复</w:t>
          </w:r>
        </w:p>
        <w:p>
          <w:pPr>
            <w:tabs>
              <w:tab w:val="right" w:leader="dot" w:pos="10636"/>
            </w:tabs>
            <w:spacing w:before="112" w:line="197" w:lineRule="auto"/>
            <w:ind w:left="3140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Arial" w:eastAsia="Arial" w:hAnsi="Arial" w:cs="Arial"/>
              <w:sz w:val="21"/>
              <w:szCs w:val="21"/>
            </w:rPr>
            <w:tab/>
          </w:r>
          <w:r>
            <w:rPr>
              <w:rFonts w:ascii="Arial" w:eastAsia="Arial" w:hAnsi="Arial" w:cs="Arial"/>
              <w:spacing w:val="-15"/>
              <w:sz w:val="21"/>
              <w:szCs w:val="21"/>
            </w:rPr>
            <w:t xml:space="preserve"> </w:t>
          </w:r>
          <w:hyperlink w:anchor="bookmark32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</w:sdtContent>
    </w:sdt>
    <w:p>
      <w:pPr>
        <w:pStyle w:val="BodyText"/>
        <w:spacing w:before="98" w:line="213" w:lineRule="auto"/>
        <w:ind w:right="7"/>
        <w:jc w:val="right"/>
        <w:rPr>
          <w:rFonts w:ascii="Arial" w:eastAsia="Arial" w:hAnsi="Arial" w:cs="Arial"/>
        </w:rPr>
      </w:pPr>
      <w:r>
        <w:rPr>
          <w:spacing w:val="-1"/>
        </w:rPr>
        <w:t>图</w:t>
      </w:r>
      <w:r>
        <w:rPr>
          <w:spacing w:val="-46"/>
        </w:rPr>
        <w:t xml:space="preserve"> </w:t>
      </w:r>
      <w:r>
        <w:rPr>
          <w:rFonts w:ascii="Arial" w:eastAsia="Arial" w:hAnsi="Arial" w:cs="Arial"/>
          <w:spacing w:val="-1"/>
        </w:rPr>
        <w:t>22</w:t>
      </w:r>
      <w:r>
        <w:rPr>
          <w:spacing w:val="-1"/>
        </w:rPr>
        <w:t>：转债正股连续走弱，今年触发强赎转债数目有所减少（</w:t>
      </w:r>
      <w:r>
        <w:rPr>
          <w:rFonts w:ascii="Arial" w:eastAsia="Arial" w:hAnsi="Arial" w:cs="Arial"/>
          <w:spacing w:val="-1"/>
        </w:rPr>
        <w:t>2023/1</w:t>
      </w:r>
      <w:r>
        <w:rPr>
          <w:rFonts w:ascii="Arial" w:eastAsia="Arial" w:hAnsi="Arial" w:cs="Arial"/>
          <w:spacing w:val="-2"/>
        </w:rPr>
        <w:t>2/1</w:t>
      </w:r>
      <w:r>
        <w:rPr>
          <w:spacing w:val="-2"/>
        </w:rPr>
        <w:t>）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-2"/>
        </w:rPr>
        <w:t>......</w:t>
      </w:r>
      <w:r>
        <w:rPr>
          <w:rFonts w:ascii="Arial" w:eastAsia="Arial" w:hAnsi="Arial" w:cs="Arial"/>
          <w:spacing w:val="-32"/>
        </w:rPr>
        <w:t xml:space="preserve"> </w:t>
      </w:r>
      <w:r>
        <w:rPr>
          <w:rFonts w:ascii="Arial" w:eastAsia="Arial" w:hAnsi="Arial" w:cs="Arial"/>
          <w:spacing w:val="-2"/>
        </w:rPr>
        <w:t>21</w:t>
      </w:r>
    </w:p>
    <w:sdt>
      <w:sdtPr>
        <w:rPr>
          <w:rFonts w:ascii="KaiTi" w:eastAsia="KaiTi" w:hAnsi="KaiTi" w:cs="KaiTi"/>
          <w:sz w:val="21"/>
          <w:szCs w:val="21"/>
        </w:rPr>
        <w:id w:val="15184442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40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23</w:t>
          </w:r>
          <w:r>
            <w:rPr>
              <w:spacing w:val="-5"/>
            </w:rPr>
            <w:t>：</w:t>
          </w:r>
          <w:r>
            <w:rPr>
              <w:rFonts w:ascii="Arial" w:eastAsia="Arial" w:hAnsi="Arial" w:cs="Arial"/>
              <w:spacing w:val="-5"/>
            </w:rPr>
            <w:t xml:space="preserve">2023 </w:t>
          </w:r>
          <w:r>
            <w:rPr>
              <w:spacing w:val="-5"/>
            </w:rPr>
            <w:t>年，</w:t>
          </w:r>
          <w:r>
            <w:rPr>
              <w:spacing w:val="-25"/>
            </w:rPr>
            <w:t xml:space="preserve"> </w:t>
          </w:r>
          <w:r>
            <w:rPr>
              <w:spacing w:val="-5"/>
            </w:rPr>
            <w:t>转债强赎倾向时而触及较高水平</w:t>
          </w:r>
          <w:r>
            <w:rPr>
              <w:spacing w:val="-41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33" w:history="1">
            <w:r>
              <w:rPr>
                <w:rFonts w:ascii="Arial" w:eastAsia="Arial" w:hAnsi="Arial" w:cs="Arial"/>
                <w:spacing w:val="-2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29" w:lineRule="auto"/>
            <w:ind w:left="3124"/>
            <w:rPr>
              <w:rFonts w:ascii="Arial" w:eastAsia="Arial" w:hAnsi="Arial" w:cs="Arial"/>
            </w:rPr>
          </w:pPr>
          <w:r>
            <w:rPr>
              <w:spacing w:val="-1"/>
            </w:rPr>
            <w:t>图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24</w:t>
          </w:r>
          <w:r>
            <w:rPr>
              <w:spacing w:val="-1"/>
            </w:rPr>
            <w:t>：强赎公告</w:t>
          </w:r>
          <w:r>
            <w:rPr>
              <w:rFonts w:ascii="Arial" w:eastAsia="Arial" w:hAnsi="Arial" w:cs="Arial"/>
              <w:spacing w:val="-1"/>
            </w:rPr>
            <w:t>&amp;</w:t>
          </w:r>
          <w:r>
            <w:rPr>
              <w:spacing w:val="-1"/>
            </w:rPr>
            <w:t>可能赎回的提示性公告带来的价格负面影响均需重视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34" w:history="1">
            <w:r>
              <w:rPr>
                <w:rFonts w:ascii="Arial" w:eastAsia="Arial" w:hAnsi="Arial" w:cs="Arial"/>
                <w:spacing w:val="-2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66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7"/>
            </w:rPr>
            <w:t>图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spacing w:val="-7"/>
            </w:rPr>
            <w:t>25</w:t>
          </w:r>
          <w:r>
            <w:rPr>
              <w:spacing w:val="-7"/>
            </w:rPr>
            <w:t>：</w:t>
          </w:r>
          <w:r>
            <w:rPr>
              <w:rFonts w:ascii="Arial" w:eastAsia="Arial" w:hAnsi="Arial" w:cs="Arial"/>
              <w:spacing w:val="-7"/>
            </w:rPr>
            <w:t xml:space="preserve">2023 </w:t>
          </w:r>
          <w:r>
            <w:rPr>
              <w:spacing w:val="-7"/>
            </w:rPr>
            <w:t>年，</w:t>
          </w:r>
          <w:r>
            <w:rPr>
              <w:spacing w:val="-26"/>
            </w:rPr>
            <w:t xml:space="preserve"> </w:t>
          </w:r>
          <w:r>
            <w:rPr>
              <w:spacing w:val="-7"/>
            </w:rPr>
            <w:t>转债下修案例频发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2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5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27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26</w:t>
          </w:r>
          <w:r>
            <w:rPr>
              <w:spacing w:val="-6"/>
            </w:rPr>
            <w:t>：</w:t>
          </w:r>
          <w:r>
            <w:rPr>
              <w:rFonts w:ascii="Arial" w:eastAsia="Arial" w:hAnsi="Arial" w:cs="Arial"/>
              <w:spacing w:val="-6"/>
            </w:rPr>
            <w:t xml:space="preserve">2023 </w:t>
          </w:r>
          <w:r>
            <w:rPr>
              <w:spacing w:val="-6"/>
            </w:rPr>
            <w:t>年，</w:t>
          </w:r>
          <w:r>
            <w:rPr>
              <w:spacing w:val="-26"/>
            </w:rPr>
            <w:t xml:space="preserve"> </w:t>
          </w:r>
          <w:r>
            <w:rPr>
              <w:spacing w:val="-6"/>
            </w:rPr>
            <w:t>转债下修倾向来到显著高位</w:t>
          </w:r>
          <w:r>
            <w:rPr>
              <w:spacing w:val="-81"/>
            </w:rPr>
            <w:t xml:space="preserve"> </w:t>
          </w:r>
          <w:r>
            <w:tab/>
          </w:r>
          <w:hyperlink w:anchor="bookmark36" w:history="1">
            <w:r>
              <w:rPr>
                <w:rFonts w:ascii="Arial" w:eastAsia="Arial" w:hAnsi="Arial" w:cs="Arial"/>
                <w:spacing w:val="1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27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27</w:t>
          </w:r>
          <w:r>
            <w:rPr>
              <w:spacing w:val="-6"/>
            </w:rPr>
            <w:t>：</w:t>
          </w:r>
          <w:r>
            <w:rPr>
              <w:rFonts w:ascii="Arial" w:eastAsia="Arial" w:hAnsi="Arial" w:cs="Arial"/>
              <w:spacing w:val="-6"/>
            </w:rPr>
            <w:t xml:space="preserve">2023 </w:t>
          </w:r>
          <w:r>
            <w:rPr>
              <w:spacing w:val="-6"/>
            </w:rPr>
            <w:t>年，</w:t>
          </w:r>
          <w:r>
            <w:rPr>
              <w:spacing w:val="-26"/>
            </w:rPr>
            <w:t xml:space="preserve"> </w:t>
          </w:r>
          <w:r>
            <w:rPr>
              <w:spacing w:val="-6"/>
            </w:rPr>
            <w:t>转债下修博弈收益相对有限</w:t>
          </w:r>
          <w:r>
            <w:rPr>
              <w:spacing w:val="-81"/>
            </w:rPr>
            <w:t xml:space="preserve"> </w:t>
          </w:r>
          <w:r>
            <w:tab/>
          </w:r>
          <w:hyperlink w:anchor="bookmark37" w:history="1">
            <w:r>
              <w:rPr>
                <w:rFonts w:ascii="Arial" w:eastAsia="Arial" w:hAnsi="Arial" w:cs="Arial"/>
                <w:spacing w:val="1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28</w:t>
          </w:r>
          <w:r>
            <w:rPr>
              <w:spacing w:val="-6"/>
            </w:rPr>
            <w:t>：</w:t>
          </w:r>
          <w:r>
            <w:rPr>
              <w:rFonts w:ascii="Arial" w:eastAsia="Arial" w:hAnsi="Arial" w:cs="Arial"/>
              <w:spacing w:val="-6"/>
            </w:rPr>
            <w:t xml:space="preserve">2017 </w:t>
          </w:r>
          <w:r>
            <w:rPr>
              <w:spacing w:val="-6"/>
            </w:rPr>
            <w:t>年以来，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四大基础策略净值曲</w:t>
          </w:r>
          <w:r>
            <w:rPr>
              <w:spacing w:val="-7"/>
            </w:rPr>
            <w:t>线（纵轴为单位净值）</w:t>
          </w:r>
          <w:r>
            <w:rPr>
              <w:spacing w:val="-7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2"/>
              </w:rPr>
              <w:t>24</w:t>
            </w:r>
          </w:hyperlink>
        </w:p>
      </w:sdtContent>
    </w:sdt>
    <w:p>
      <w:pPr>
        <w:spacing w:line="213" w:lineRule="auto"/>
        <w:rPr>
          <w:rFonts w:ascii="Arial" w:eastAsia="Arial" w:hAnsi="Arial" w:cs="Arial"/>
        </w:rPr>
        <w:sectPr>
          <w:headerReference w:type="default" r:id="rId20"/>
          <w:footerReference w:type="default" r:id="rId21"/>
          <w:pgSz w:w="11907" w:h="16839"/>
          <w:pgMar w:top="1383" w:right="636" w:bottom="1249" w:left="622" w:header="794" w:footer="741" w:gutter="0"/>
          <w:pgNumType w:start="5"/>
          <w:cols w:space="708"/>
        </w:sectPr>
      </w:pPr>
    </w:p>
    <w:p>
      <w:pPr>
        <w:spacing w:line="405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9020935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68" w:line="213" w:lineRule="auto"/>
            <w:ind w:right="2"/>
            <w:jc w:val="right"/>
            <w:rPr>
              <w:rFonts w:ascii="Arial" w:eastAsia="Arial" w:hAnsi="Arial" w:cs="Arial"/>
            </w:rPr>
          </w:pPr>
          <w:r>
            <w:rPr>
              <w:spacing w:val="-4"/>
            </w:rPr>
            <w:t>表</w:t>
          </w:r>
          <w:r>
            <w:rPr>
              <w:spacing w:val="-18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</w:t>
          </w:r>
          <w:r>
            <w:rPr>
              <w:spacing w:val="-4"/>
            </w:rPr>
            <w:t>：从指数收益来看，</w:t>
          </w:r>
          <w:r>
            <w:rPr>
              <w:spacing w:val="-29"/>
            </w:rPr>
            <w:t xml:space="preserve"> </w:t>
          </w:r>
          <w:r>
            <w:rPr>
              <w:spacing w:val="-4"/>
            </w:rPr>
            <w:t>今年转债品种强于正股，</w:t>
          </w:r>
          <w:r>
            <w:rPr>
              <w:spacing w:val="-28"/>
            </w:rPr>
            <w:t xml:space="preserve"> </w:t>
          </w:r>
          <w:r>
            <w:rPr>
              <w:spacing w:val="-4"/>
            </w:rPr>
            <w:t>但显著弱于纯债（</w:t>
          </w:r>
          <w:r>
            <w:rPr>
              <w:rFonts w:ascii="Arial" w:eastAsia="Arial" w:hAnsi="Arial" w:cs="Arial"/>
              <w:spacing w:val="-4"/>
            </w:rPr>
            <w:t>2023/12/1</w:t>
          </w:r>
          <w:r>
            <w:rPr>
              <w:spacing w:val="-4"/>
            </w:rPr>
            <w:t>）</w:t>
          </w:r>
          <w:r>
            <w:rPr>
              <w:rFonts w:ascii="Arial" w:eastAsia="Arial" w:hAnsi="Arial" w:cs="Arial"/>
              <w:spacing w:val="-4"/>
            </w:rPr>
            <w:t>7</w:t>
          </w:r>
        </w:p>
        <w:p>
          <w:pPr>
            <w:pStyle w:val="BodyText"/>
            <w:spacing w:before="84" w:line="213" w:lineRule="auto"/>
            <w:ind w:right="3"/>
            <w:jc w:val="right"/>
            <w:rPr>
              <w:rFonts w:ascii="Arial" w:eastAsia="Arial" w:hAnsi="Arial" w:cs="Arial"/>
            </w:rPr>
          </w:pPr>
          <w:r>
            <w:rPr>
              <w:spacing w:val="-3"/>
            </w:rPr>
            <w:t>表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</w:t>
          </w:r>
          <w:r>
            <w:rPr>
              <w:spacing w:val="-3"/>
            </w:rPr>
            <w:t>：各价位转债估值分位数相比于历史高点更为温和</w:t>
          </w:r>
          <w:r>
            <w:rPr>
              <w:spacing w:val="-4"/>
            </w:rPr>
            <w:t>，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初步显现出一定性价比</w:t>
          </w:r>
          <w:r>
            <w:rPr>
              <w:spacing w:val="-5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.</w:t>
          </w:r>
          <w:r>
            <w:rPr>
              <w:rFonts w:ascii="Arial" w:eastAsia="Arial" w:hAnsi="Arial" w:cs="Arial"/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8</w:t>
          </w:r>
        </w:p>
        <w:p>
          <w:pPr>
            <w:pStyle w:val="BodyText"/>
            <w:spacing w:before="84" w:line="213" w:lineRule="auto"/>
            <w:jc w:val="right"/>
          </w:pPr>
          <w:r>
            <w:rPr>
              <w:spacing w:val="-5"/>
            </w:rPr>
            <w:t>表</w:t>
          </w:r>
          <w:r>
            <w:rPr>
              <w:spacing w:val="-31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3</w:t>
          </w:r>
          <w:r>
            <w:rPr>
              <w:spacing w:val="-4"/>
            </w:rPr>
            <w:t>：</w:t>
          </w:r>
          <w:r>
            <w:rPr>
              <w:rFonts w:ascii="Arial" w:eastAsia="Arial" w:hAnsi="Arial" w:cs="Arial"/>
              <w:spacing w:val="-4"/>
            </w:rPr>
            <w:t xml:space="preserve">2023 </w:t>
          </w:r>
          <w:r>
            <w:rPr>
              <w:spacing w:val="-4"/>
            </w:rPr>
            <w:t>年，</w:t>
          </w:r>
          <w:r>
            <w:rPr>
              <w:spacing w:val="-35"/>
            </w:rPr>
            <w:t xml:space="preserve"> </w:t>
          </w:r>
          <w:r>
            <w:rPr>
              <w:spacing w:val="-4"/>
            </w:rPr>
            <w:t>转债市场较为缺乏贯穿始终的主线行情，</w:t>
          </w:r>
          <w:r>
            <w:rPr>
              <w:rFonts w:ascii="Arial" w:eastAsia="Arial" w:hAnsi="Arial" w:cs="Arial"/>
              <w:spacing w:val="-4"/>
            </w:rPr>
            <w:t>AI</w:t>
          </w:r>
          <w:r>
            <w:rPr>
              <w:spacing w:val="-4"/>
            </w:rPr>
            <w:t>、中特估、汽车、高</w:t>
          </w:r>
          <w:r>
            <w:rPr>
              <w:spacing w:val="-3"/>
            </w:rPr>
            <w:t>股</w:t>
          </w:r>
        </w:p>
        <w:p>
          <w:pPr>
            <w:pStyle w:val="BodyText"/>
            <w:tabs>
              <w:tab w:val="right" w:leader="dot" w:pos="10634"/>
            </w:tabs>
            <w:spacing w:before="83" w:line="233" w:lineRule="auto"/>
            <w:ind w:left="3117"/>
            <w:rPr>
              <w:rFonts w:ascii="Arial" w:eastAsia="Arial" w:hAnsi="Arial" w:cs="Arial"/>
            </w:rPr>
          </w:pPr>
          <w:r>
            <w:rPr>
              <w:spacing w:val="-2"/>
            </w:rPr>
            <w:t>息、医药</w:t>
          </w:r>
          <w:r>
            <w:rPr>
              <w:rFonts w:ascii="Arial" w:eastAsia="Arial" w:hAnsi="Arial" w:cs="Arial"/>
              <w:spacing w:val="-2"/>
            </w:rPr>
            <w:t>/</w:t>
          </w:r>
          <w:r>
            <w:rPr>
              <w:spacing w:val="-2"/>
            </w:rPr>
            <w:t>电子轮番接力</w:t>
          </w:r>
          <w:r>
            <w:rPr>
              <w:spacing w:val="-88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</w:rPr>
              <w:t>9</w:t>
            </w:r>
          </w:hyperlink>
        </w:p>
        <w:p>
          <w:pPr>
            <w:pStyle w:val="BodyText"/>
            <w:spacing w:before="62" w:line="213" w:lineRule="auto"/>
            <w:ind w:right="21"/>
            <w:jc w:val="right"/>
          </w:pPr>
          <w:r>
            <w:rPr>
              <w:spacing w:val="-8"/>
            </w:rPr>
            <w:t>表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8"/>
            </w:rPr>
            <w:t>4</w:t>
          </w:r>
          <w:r>
            <w:rPr>
              <w:spacing w:val="-8"/>
            </w:rPr>
            <w:t>：</w:t>
          </w:r>
          <w:r>
            <w:rPr>
              <w:rFonts w:ascii="Arial" w:eastAsia="Arial" w:hAnsi="Arial" w:cs="Arial"/>
              <w:spacing w:val="-8"/>
            </w:rPr>
            <w:t xml:space="preserve">2023 </w:t>
          </w:r>
          <w:r>
            <w:rPr>
              <w:spacing w:val="-8"/>
            </w:rPr>
            <w:t>年，正股行情方向与转债行业分布存在错位，且部分权重行业表现较弱，</w:t>
          </w:r>
        </w:p>
        <w:p>
          <w:pPr>
            <w:pStyle w:val="BodyText"/>
            <w:tabs>
              <w:tab w:val="right" w:leader="dot" w:pos="10634"/>
            </w:tabs>
            <w:spacing w:before="83" w:line="218" w:lineRule="auto"/>
            <w:ind w:left="3097"/>
            <w:rPr>
              <w:rFonts w:ascii="Arial" w:eastAsia="Arial" w:hAnsi="Arial" w:cs="Arial"/>
            </w:rPr>
          </w:pPr>
          <w:r>
            <w:t>使得转债投资者体验较差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3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</w:rPr>
            <w:t>5</w:t>
          </w:r>
          <w:r>
            <w:t>：存量预案当中，面临破净约束的转债（</w:t>
          </w:r>
          <w:r>
            <w:rPr>
              <w:rFonts w:ascii="Arial" w:eastAsia="Arial" w:hAnsi="Arial" w:cs="Arial"/>
              <w:spacing w:val="-1"/>
            </w:rPr>
            <w:t>2023/12/1</w:t>
          </w:r>
          <w:r>
            <w:rPr>
              <w:spacing w:val="-1"/>
            </w:rPr>
            <w:t>）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spacing w:before="84" w:line="213" w:lineRule="auto"/>
            <w:jc w:val="right"/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6</w:t>
          </w:r>
          <w:r>
            <w:rPr>
              <w:spacing w:val="-1"/>
            </w:rPr>
            <w:t>：存量预案当中，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面临破发约束且规模不低于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10  </w:t>
          </w:r>
          <w:r>
            <w:rPr>
              <w:spacing w:val="-1"/>
            </w:rPr>
            <w:t>亿元的转债（</w:t>
          </w:r>
          <w:r>
            <w:rPr>
              <w:rFonts w:ascii="Arial" w:eastAsia="Arial" w:hAnsi="Arial" w:cs="Arial"/>
              <w:spacing w:val="-1"/>
            </w:rPr>
            <w:t>2023/</w:t>
          </w:r>
          <w:r>
            <w:rPr>
              <w:rFonts w:ascii="Arial" w:eastAsia="Arial" w:hAnsi="Arial" w:cs="Arial"/>
              <w:spacing w:val="-2"/>
            </w:rPr>
            <w:t>12/1</w:t>
          </w:r>
          <w:r>
            <w:rPr>
              <w:spacing w:val="-2"/>
            </w:rPr>
            <w:t>）</w:t>
          </w:r>
        </w:p>
        <w:p>
          <w:pPr>
            <w:tabs>
              <w:tab w:val="right" w:leader="dot" w:pos="10636"/>
            </w:tabs>
            <w:spacing w:before="112" w:line="197" w:lineRule="auto"/>
            <w:ind w:left="3140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Arial" w:eastAsia="Arial" w:hAnsi="Arial" w:cs="Arial"/>
              <w:sz w:val="21"/>
              <w:szCs w:val="21"/>
            </w:rPr>
            <w:tab/>
          </w:r>
          <w:r>
            <w:rPr>
              <w:rFonts w:ascii="Arial" w:eastAsia="Arial" w:hAnsi="Arial" w:cs="Arial"/>
              <w:spacing w:val="-31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100" w:line="217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40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7</w:t>
          </w:r>
          <w:r>
            <w:rPr>
              <w:spacing w:val="-1"/>
            </w:rPr>
            <w:t>：</w:t>
          </w:r>
          <w:r>
            <w:rPr>
              <w:rFonts w:ascii="Arial" w:eastAsia="Arial" w:hAnsi="Arial" w:cs="Arial"/>
              <w:spacing w:val="-1"/>
            </w:rPr>
            <w:t xml:space="preserve">2023 </w:t>
          </w:r>
          <w:r>
            <w:rPr>
              <w:spacing w:val="-1"/>
            </w:rPr>
            <w:t>年低价配置策略再度占优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2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26" w:lineRule="auto"/>
            <w:ind w:left="3098"/>
            <w:rPr>
              <w:rFonts w:ascii="Arial" w:eastAsia="Arial" w:hAnsi="Arial" w:cs="Arial"/>
            </w:rPr>
          </w:pPr>
          <w:r>
            <w:rPr>
              <w:spacing w:val="-4"/>
            </w:rPr>
            <w:t>表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8</w:t>
          </w:r>
          <w:r>
            <w:rPr>
              <w:spacing w:val="-4"/>
            </w:rPr>
            <w:t>：利率震荡</w:t>
          </w:r>
          <w:r>
            <w:rPr>
              <w:rFonts w:ascii="Arial" w:eastAsia="Arial" w:hAnsi="Arial" w:cs="Arial"/>
              <w:spacing w:val="-4"/>
            </w:rPr>
            <w:t>&amp;</w:t>
          </w:r>
          <w:r>
            <w:rPr>
              <w:spacing w:val="-4"/>
            </w:rPr>
            <w:t>正股震荡</w:t>
          </w:r>
          <w:r>
            <w:rPr>
              <w:rFonts w:ascii="Arial" w:eastAsia="Arial" w:hAnsi="Arial" w:cs="Arial"/>
              <w:spacing w:val="-4"/>
            </w:rPr>
            <w:t>/</w:t>
          </w:r>
          <w:r>
            <w:rPr>
              <w:spacing w:val="-4"/>
            </w:rPr>
            <w:t>上涨阶段，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四</w:t>
          </w:r>
          <w:r>
            <w:rPr>
              <w:spacing w:val="-5"/>
            </w:rPr>
            <w:t>大基础策略表现</w:t>
          </w:r>
          <w:r>
            <w:rPr>
              <w:spacing w:val="-76"/>
            </w:rPr>
            <w:t xml:space="preserve"> </w:t>
          </w:r>
          <w:r>
            <w:tab/>
          </w:r>
          <w:hyperlink w:anchor="bookmark42" w:history="1">
            <w:r>
              <w:rPr>
                <w:rFonts w:ascii="Arial" w:eastAsia="Arial" w:hAnsi="Arial" w:cs="Arial"/>
                <w:spacing w:val="11"/>
              </w:rPr>
              <w:t>25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0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24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9</w:t>
          </w:r>
          <w:r>
            <w:rPr>
              <w:spacing w:val="-1"/>
            </w:rPr>
            <w:t>：部分股息率较高、评级在</w:t>
          </w:r>
          <w:r>
            <w:rPr>
              <w:spacing w:val="-53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 xml:space="preserve">AA </w:t>
          </w:r>
          <w:r>
            <w:rPr>
              <w:spacing w:val="-1"/>
            </w:rPr>
            <w:t>及以上转债（</w:t>
          </w:r>
          <w:r>
            <w:rPr>
              <w:rFonts w:ascii="Arial" w:eastAsia="Arial" w:hAnsi="Arial" w:cs="Arial"/>
              <w:spacing w:val="-1"/>
            </w:rPr>
            <w:t>2023/12/1</w:t>
          </w:r>
          <w:r>
            <w:rPr>
              <w:spacing w:val="-1"/>
            </w:rPr>
            <w:t>）</w:t>
          </w:r>
          <w:r>
            <w:rPr>
              <w:spacing w:val="-50"/>
            </w:rPr>
            <w:t xml:space="preserve"> </w:t>
          </w:r>
          <w:r>
            <w:tab/>
          </w:r>
          <w:hyperlink w:anchor="bookmark11" w:history="1">
            <w:r>
              <w:rPr>
                <w:rFonts w:ascii="Arial" w:eastAsia="Arial" w:hAnsi="Arial" w:cs="Arial"/>
                <w:spacing w:val="11"/>
              </w:rPr>
              <w:t>26</w:t>
            </w:r>
          </w:hyperlink>
        </w:p>
        <w:p>
          <w:pPr>
            <w:pStyle w:val="BodyText"/>
            <w:spacing w:before="78" w:line="226" w:lineRule="auto"/>
            <w:jc w:val="right"/>
          </w:pPr>
          <w:r>
            <w:rPr>
              <w:spacing w:val="-6"/>
            </w:rPr>
            <w:t>表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10</w:t>
          </w:r>
          <w:r>
            <w:rPr>
              <w:spacing w:val="-6"/>
            </w:rPr>
            <w:t>：部分纯债</w:t>
          </w:r>
          <w:r>
            <w:rPr>
              <w:spacing w:val="-54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 xml:space="preserve">YTM </w:t>
          </w:r>
          <w:r>
            <w:rPr>
              <w:spacing w:val="-6"/>
            </w:rPr>
            <w:t>较高</w:t>
          </w:r>
          <w:r>
            <w:rPr>
              <w:rFonts w:ascii="Arial" w:eastAsia="Arial" w:hAnsi="Arial" w:cs="Arial"/>
              <w:spacing w:val="-6"/>
            </w:rPr>
            <w:t>&amp;</w:t>
          </w:r>
          <w:r>
            <w:rPr>
              <w:spacing w:val="-6"/>
            </w:rPr>
            <w:t>评级尚可的转债（</w:t>
          </w:r>
          <w:r>
            <w:rPr>
              <w:rFonts w:ascii="Arial" w:eastAsia="Arial" w:hAnsi="Arial" w:cs="Arial"/>
              <w:spacing w:val="-6"/>
            </w:rPr>
            <w:t>2023/12/1</w:t>
          </w:r>
          <w:r>
            <w:rPr>
              <w:spacing w:val="-6"/>
            </w:rPr>
            <w:t>，加粗为临近</w:t>
          </w:r>
          <w:r>
            <w:rPr>
              <w:spacing w:val="-7"/>
            </w:rPr>
            <w:t>到期的品种）</w:t>
          </w:r>
        </w:p>
        <w:p>
          <w:pPr>
            <w:tabs>
              <w:tab w:val="right" w:leader="dot" w:pos="10636"/>
            </w:tabs>
            <w:spacing w:before="97" w:line="197" w:lineRule="auto"/>
            <w:ind w:left="3140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Arial" w:eastAsia="Arial" w:hAnsi="Arial" w:cs="Arial"/>
              <w:sz w:val="21"/>
              <w:szCs w:val="21"/>
            </w:rPr>
            <w:tab/>
          </w:r>
          <w:r>
            <w:rPr>
              <w:rFonts w:ascii="Arial" w:eastAsia="Arial" w:hAnsi="Arial" w:cs="Arial"/>
              <w:spacing w:val="-31"/>
              <w:sz w:val="21"/>
              <w:szCs w:val="21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101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7"/>
            </w:rPr>
            <w:t>表</w:t>
          </w:r>
          <w:r>
            <w:rPr>
              <w:spacing w:val="-25"/>
            </w:rPr>
            <w:t xml:space="preserve"> </w:t>
          </w:r>
          <w:r>
            <w:rPr>
              <w:rFonts w:ascii="Arial" w:eastAsia="Arial" w:hAnsi="Arial" w:cs="Arial"/>
              <w:spacing w:val="-7"/>
            </w:rPr>
            <w:t>11</w:t>
          </w:r>
          <w:r>
            <w:rPr>
              <w:spacing w:val="-7"/>
            </w:rPr>
            <w:t>：</w:t>
          </w:r>
          <w:r>
            <w:rPr>
              <w:spacing w:val="-60"/>
            </w:rPr>
            <w:t xml:space="preserve"> </w:t>
          </w:r>
          <w:r>
            <w:rPr>
              <w:spacing w:val="-7"/>
            </w:rPr>
            <w:t>电子领域相关存量品种（数据截止日期：</w:t>
          </w:r>
          <w:r>
            <w:rPr>
              <w:rFonts w:ascii="Arial" w:eastAsia="Arial" w:hAnsi="Arial" w:cs="Arial"/>
              <w:spacing w:val="-7"/>
            </w:rPr>
            <w:t xml:space="preserve">2023 </w:t>
          </w:r>
          <w:r>
            <w:rPr>
              <w:spacing w:val="-7"/>
            </w:rPr>
            <w:t>年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7"/>
            </w:rPr>
            <w:t>12</w:t>
          </w:r>
          <w:r>
            <w:rPr>
              <w:rFonts w:ascii="Arial" w:eastAsia="Arial" w:hAnsi="Arial" w:cs="Arial"/>
              <w:spacing w:val="14"/>
              <w:w w:val="101"/>
            </w:rPr>
            <w:t xml:space="preserve"> </w:t>
          </w:r>
          <w:r>
            <w:rPr>
              <w:spacing w:val="-7"/>
            </w:rPr>
            <w:t>月</w:t>
          </w:r>
          <w:r>
            <w:rPr>
              <w:spacing w:val="-31"/>
            </w:rPr>
            <w:t xml:space="preserve"> </w:t>
          </w:r>
          <w:r>
            <w:rPr>
              <w:rFonts w:ascii="Arial" w:eastAsia="Arial" w:hAnsi="Arial" w:cs="Arial"/>
              <w:spacing w:val="-7"/>
            </w:rPr>
            <w:t>1</w:t>
          </w:r>
          <w:r>
            <w:rPr>
              <w:rFonts w:ascii="Arial" w:eastAsia="Arial" w:hAnsi="Arial" w:cs="Arial"/>
              <w:spacing w:val="45"/>
              <w:w w:val="101"/>
            </w:rPr>
            <w:t xml:space="preserve"> </w:t>
          </w:r>
          <w:r>
            <w:rPr>
              <w:spacing w:val="-7"/>
            </w:rPr>
            <w:t>日）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4" w:history="1">
            <w:r>
              <w:rPr>
                <w:rFonts w:ascii="Arial" w:eastAsia="Arial" w:hAnsi="Arial" w:cs="Arial"/>
                <w:spacing w:val="-2"/>
              </w:rPr>
              <w:t>27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8"/>
            </w:rPr>
            <w:t>表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8"/>
            </w:rPr>
            <w:t>12</w:t>
          </w:r>
          <w:r>
            <w:rPr>
              <w:spacing w:val="-8"/>
            </w:rPr>
            <w:t>：汽车产业链存量品种（数据截止日期：</w:t>
          </w:r>
          <w:r>
            <w:rPr>
              <w:spacing w:val="-8"/>
            </w:rPr>
            <w:t xml:space="preserve"> </w:t>
          </w:r>
          <w:r>
            <w:rPr>
              <w:rFonts w:ascii="Arial" w:eastAsia="Arial" w:hAnsi="Arial" w:cs="Arial"/>
              <w:spacing w:val="-8"/>
            </w:rPr>
            <w:t xml:space="preserve">2023 </w:t>
          </w:r>
          <w:r>
            <w:rPr>
              <w:spacing w:val="-8"/>
            </w:rPr>
            <w:t>年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9"/>
            </w:rPr>
            <w:t>12</w:t>
          </w:r>
          <w:r>
            <w:rPr>
              <w:rFonts w:ascii="Arial" w:eastAsia="Arial" w:hAnsi="Arial" w:cs="Arial"/>
              <w:spacing w:val="12"/>
            </w:rPr>
            <w:t xml:space="preserve"> </w:t>
          </w:r>
          <w:r>
            <w:rPr>
              <w:spacing w:val="-9"/>
            </w:rPr>
            <w:t>月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9"/>
            </w:rPr>
            <w:t>1</w:t>
          </w:r>
          <w:r>
            <w:rPr>
              <w:rFonts w:ascii="Arial" w:eastAsia="Arial" w:hAnsi="Arial" w:cs="Arial"/>
              <w:spacing w:val="43"/>
            </w:rPr>
            <w:t xml:space="preserve"> </w:t>
          </w:r>
          <w:r>
            <w:rPr>
              <w:spacing w:val="-9"/>
            </w:rPr>
            <w:t>日）</w:t>
          </w:r>
          <w:r>
            <w:rPr>
              <w:spacing w:val="-9"/>
            </w:rPr>
            <w:t xml:space="preserve"> </w:t>
          </w:r>
          <w:r>
            <w:tab/>
          </w:r>
          <w:hyperlink w:anchor="bookmark45" w:history="1">
            <w:r>
              <w:rPr>
                <w:rFonts w:ascii="Arial" w:eastAsia="Arial" w:hAnsi="Arial" w:cs="Arial"/>
                <w:spacing w:val="11"/>
              </w:rPr>
              <w:t>28</w:t>
            </w:r>
          </w:hyperlink>
        </w:p>
      </w:sdtContent>
    </w:sdt>
    <w:p>
      <w:pPr>
        <w:pStyle w:val="BodyText"/>
        <w:spacing w:before="80" w:line="213" w:lineRule="auto"/>
        <w:jc w:val="right"/>
        <w:rPr>
          <w:rFonts w:ascii="Arial" w:eastAsia="Arial" w:hAnsi="Arial" w:cs="Arial"/>
        </w:rPr>
      </w:pPr>
      <w:r>
        <w:rPr>
          <w:spacing w:val="-2"/>
        </w:rPr>
        <w:t>表</w:t>
      </w:r>
      <w:r>
        <w:rPr>
          <w:spacing w:val="-2"/>
        </w:rPr>
        <w:t xml:space="preserve"> </w:t>
      </w:r>
      <w:r>
        <w:rPr>
          <w:rFonts w:ascii="Arial" w:eastAsia="Arial" w:hAnsi="Arial" w:cs="Arial"/>
          <w:spacing w:val="-2"/>
        </w:rPr>
        <w:t>13</w:t>
      </w:r>
      <w:r>
        <w:rPr>
          <w:spacing w:val="-2"/>
        </w:rPr>
        <w:t>：存量市场中，顺周期板块相关优质标的（数据截止日</w:t>
      </w:r>
      <w:r>
        <w:rPr>
          <w:spacing w:val="-3"/>
        </w:rPr>
        <w:t>期：</w:t>
      </w:r>
      <w:r>
        <w:rPr>
          <w:rFonts w:ascii="Arial" w:eastAsia="Arial" w:hAnsi="Arial" w:cs="Arial"/>
          <w:spacing w:val="-3"/>
        </w:rPr>
        <w:t>2023</w:t>
      </w:r>
      <w:r>
        <w:rPr>
          <w:rFonts w:ascii="Arial" w:eastAsia="Arial" w:hAnsi="Arial" w:cs="Arial"/>
          <w:spacing w:val="28"/>
          <w:w w:val="101"/>
        </w:rPr>
        <w:t xml:space="preserve"> </w:t>
      </w:r>
      <w:r>
        <w:rPr>
          <w:spacing w:val="-3"/>
        </w:rPr>
        <w:t>年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spacing w:val="-3"/>
        </w:rPr>
        <w:t>12</w:t>
      </w:r>
      <w:r>
        <w:rPr>
          <w:rFonts w:ascii="Arial" w:eastAsia="Arial" w:hAnsi="Arial" w:cs="Arial"/>
          <w:spacing w:val="41"/>
        </w:rPr>
        <w:t xml:space="preserve"> </w:t>
      </w:r>
      <w:r>
        <w:rPr>
          <w:spacing w:val="-3"/>
        </w:rPr>
        <w:t>月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spacing w:val="-3"/>
        </w:rPr>
        <w:t>1</w:t>
      </w:r>
    </w:p>
    <w:sdt>
      <w:sdtPr>
        <w:rPr>
          <w:rFonts w:ascii="KaiTi" w:eastAsia="KaiTi" w:hAnsi="KaiTi" w:cs="KaiTi"/>
          <w:sz w:val="21"/>
          <w:szCs w:val="21"/>
        </w:rPr>
        <w:id w:val="92466171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84" w:line="231" w:lineRule="auto"/>
            <w:ind w:left="3146"/>
            <w:rPr>
              <w:rFonts w:ascii="Arial" w:eastAsia="Arial" w:hAnsi="Arial" w:cs="Arial"/>
            </w:rPr>
          </w:pPr>
          <w:r>
            <w:rPr>
              <w:spacing w:val="-39"/>
            </w:rPr>
            <w:t>日）</w:t>
          </w:r>
          <w:r>
            <w:rPr>
              <w:spacing w:val="-50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6" w:history="1">
            <w:r>
              <w:rPr>
                <w:rFonts w:ascii="Arial" w:eastAsia="Arial" w:hAnsi="Arial" w:cs="Arial"/>
                <w:spacing w:val="-2"/>
              </w:rPr>
              <w:t>29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61" w:line="217" w:lineRule="auto"/>
            <w:ind w:left="3098"/>
            <w:rPr>
              <w:rFonts w:ascii="Arial" w:eastAsia="Arial" w:hAnsi="Arial" w:cs="Arial"/>
            </w:rPr>
          </w:pPr>
          <w:r>
            <w:rPr>
              <w:spacing w:val="-3"/>
            </w:rPr>
            <w:t>表</w:t>
          </w:r>
          <w:r>
            <w:rPr>
              <w:spacing w:val="-25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14</w:t>
          </w:r>
          <w:r>
            <w:rPr>
              <w:spacing w:val="-3"/>
            </w:rPr>
            <w:t>：转债策略条件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7" w:history="1">
            <w:r>
              <w:rPr>
                <w:rFonts w:ascii="Arial" w:eastAsia="Arial" w:hAnsi="Arial" w:cs="Arial"/>
                <w:spacing w:val="-2"/>
              </w:rPr>
              <w:t>31</w:t>
            </w:r>
          </w:hyperlink>
        </w:p>
      </w:sdtContent>
    </w:sdt>
    <w:p>
      <w:pPr>
        <w:spacing w:line="217" w:lineRule="auto"/>
        <w:rPr>
          <w:rFonts w:ascii="Arial" w:eastAsia="Arial" w:hAnsi="Arial" w:cs="Arial"/>
        </w:rPr>
        <w:sectPr>
          <w:headerReference w:type="default" r:id="rId22"/>
          <w:footerReference w:type="default" r:id="rId23"/>
          <w:pgSz w:w="11907" w:h="16839"/>
          <w:pgMar w:top="1383" w:right="636" w:bottom="1249" w:left="622" w:header="794" w:footer="741" w:gutter="0"/>
          <w:pgNumType w:start="6"/>
          <w:cols w:space="708"/>
        </w:sectPr>
      </w:pPr>
    </w:p>
    <w:p>
      <w:pPr>
        <w:pStyle w:val="BodyText"/>
        <w:spacing w:before="159" w:line="223" w:lineRule="auto"/>
        <w:ind w:left="3418"/>
        <w:outlineLvl w:val="0"/>
        <w:rPr>
          <w:sz w:val="31"/>
          <w:szCs w:val="31"/>
        </w:rPr>
      </w:pPr>
      <w:r>
        <w:pict>
          <v:shape id="_x0000_s1031" style="width:531.6pt;height:0.5pt;margin-top:567.31pt;margin-left:31.8pt;mso-position-horizontal-relative:page;mso-position-vertical-relative:page;position:absolute;z-index:251660288" coordorigin="0,0" coordsize="10631,10" o:allowincell="f" path="m,9l10631,9l10631,l,l,9xe" filled="t" fillcolor="black" stroked="f"/>
        </w:pict>
      </w:r>
      <w:bookmarkStart w:id="0" w:name="bookmark1"/>
      <w:bookmarkEnd w:id="0"/>
      <w:bookmarkStart w:id="1" w:name="bookmark14"/>
      <w:bookmarkEnd w:id="1"/>
      <w:r>
        <w:rPr>
          <w:spacing w:val="-4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一、</w:t>
      </w:r>
      <w:r>
        <w:rPr>
          <w:rFonts w:ascii="Arial" w:eastAsia="Arial" w:hAnsi="Arial" w:cs="Arial"/>
          <w:b/>
          <w:bCs/>
          <w:spacing w:val="-4"/>
          <w:sz w:val="31"/>
          <w:szCs w:val="31"/>
        </w:rPr>
        <w:t xml:space="preserve">2023 </w:t>
      </w:r>
      <w:r>
        <w:rPr>
          <w:spacing w:val="-4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行情回顾：</w:t>
      </w:r>
      <w:r>
        <w:rPr>
          <w:spacing w:val="106"/>
          <w:sz w:val="31"/>
          <w:szCs w:val="31"/>
        </w:rPr>
        <w:t xml:space="preserve"> </w:t>
      </w:r>
      <w:r>
        <w:rPr>
          <w:spacing w:val="-4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逆势中的坚韧和代价</w:t>
      </w:r>
    </w:p>
    <w:p>
      <w:pPr>
        <w:pStyle w:val="BodyText"/>
        <w:spacing w:before="165" w:line="279" w:lineRule="auto"/>
        <w:ind w:left="3405" w:right="174" w:firstLine="18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回顾</w:t>
      </w:r>
      <w:r>
        <w:rPr>
          <w:rFonts w:ascii="Arial" w:eastAsia="Arial" w:hAnsi="Arial" w:cs="Arial"/>
          <w:b/>
          <w:bCs/>
          <w:spacing w:val="-5"/>
        </w:rPr>
        <w:t>2023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年，转债市场整体表现一般，</w:t>
      </w:r>
      <w:r>
        <w:rPr>
          <w:spacing w:val="-13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上半年展示出与品种相匹配的韧性，</w:t>
      </w:r>
      <w:r>
        <w:rPr>
          <w:spacing w:val="-23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下半年</w:t>
      </w:r>
      <w: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在正股</w:t>
      </w:r>
      <w:r>
        <w:rPr>
          <w:rFonts w:ascii="Arial" w:eastAsia="Arial" w:hAnsi="Arial" w:cs="Arial"/>
          <w:b/>
          <w:bCs/>
          <w:spacing w:val="-3"/>
        </w:rPr>
        <w:t>&amp;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纯债接连拖累下，全年累计收益受到侵蚀。</w:t>
      </w:r>
      <w:r>
        <w:rPr>
          <w:spacing w:val="-3"/>
        </w:rPr>
        <w:t>从指数累计收益曲线来看，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上半</w:t>
      </w:r>
      <w:r>
        <w:rPr>
          <w:spacing w:val="12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年</w:t>
      </w:r>
      <w:r>
        <w:rPr>
          <w:spacing w:val="-3"/>
        </w:rPr>
        <w:t>，</w:t>
      </w:r>
      <w:r>
        <w:rPr>
          <w:rFonts w:ascii="Arial" w:eastAsia="Arial" w:hAnsi="Arial" w:cs="Arial"/>
          <w:spacing w:val="-3"/>
        </w:rPr>
        <w:t>1</w:t>
      </w:r>
      <w:r>
        <w:rPr>
          <w:spacing w:val="-3"/>
        </w:rPr>
        <w:t>月成为了权益市场</w:t>
      </w:r>
      <w:r>
        <w:rPr>
          <w:rFonts w:ascii="Arial" w:eastAsia="Arial" w:hAnsi="Arial" w:cs="Arial"/>
          <w:spacing w:val="-3"/>
        </w:rPr>
        <w:t>&amp;</w:t>
      </w:r>
      <w:r>
        <w:rPr>
          <w:spacing w:val="-3"/>
        </w:rPr>
        <w:t>转债市场的高光时刻，</w:t>
      </w:r>
      <w:r>
        <w:rPr>
          <w:spacing w:val="-3"/>
        </w:rPr>
        <w:t xml:space="preserve"> </w:t>
      </w:r>
      <w:r>
        <w:rPr>
          <w:spacing w:val="-3"/>
        </w:rPr>
        <w:t>随后权益市场进入了漫长的宽幅震</w:t>
      </w:r>
      <w:r>
        <w:rPr>
          <w:spacing w:val="15"/>
        </w:rPr>
        <w:t xml:space="preserve"> </w:t>
      </w:r>
      <w:r>
        <w:rPr>
          <w:spacing w:val="-2"/>
        </w:rPr>
        <w:t>荡阶段，转债市场的韧性凸显。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下半年</w:t>
      </w:r>
      <w:r>
        <w:rPr>
          <w:spacing w:val="-2"/>
        </w:rPr>
        <w:t>，</w:t>
      </w:r>
      <w:r>
        <w:rPr>
          <w:rFonts w:ascii="Arial" w:eastAsia="Arial" w:hAnsi="Arial" w:cs="Arial"/>
          <w:spacing w:val="-2"/>
        </w:rPr>
        <w:t>7</w:t>
      </w:r>
      <w:r>
        <w:rPr>
          <w:spacing w:val="-2"/>
        </w:rPr>
        <w:t>月政治局会议的召开打破了转债市场长期</w:t>
      </w:r>
      <w:r>
        <w:rPr>
          <w:spacing w:val="12"/>
        </w:rPr>
        <w:t xml:space="preserve"> </w:t>
      </w:r>
      <w:r>
        <w:rPr>
          <w:spacing w:val="1"/>
        </w:rPr>
        <w:t>以来的平衡状态，甚至迎来了年内高点，但随后在权益市场的拖累下，进入了连续</w:t>
      </w:r>
      <w:r>
        <w:rPr>
          <w:spacing w:val="16"/>
        </w:rPr>
        <w:t xml:space="preserve"> </w:t>
      </w:r>
      <w:r>
        <w:rPr>
          <w:spacing w:val="-7"/>
        </w:rPr>
        <w:t>估值压缩区间。</w:t>
      </w:r>
      <w:r>
        <w:rPr>
          <w:spacing w:val="82"/>
        </w:rPr>
        <w:t xml:space="preserve"> </w:t>
      </w:r>
      <w:r>
        <w:rPr>
          <w:rFonts w:ascii="Arial" w:eastAsia="Arial" w:hAnsi="Arial" w:cs="Arial"/>
          <w:spacing w:val="-7"/>
        </w:rPr>
        <w:t>10</w:t>
      </w:r>
      <w:r>
        <w:rPr>
          <w:spacing w:val="-7"/>
        </w:rPr>
        <w:t>月底，</w:t>
      </w:r>
      <w:r>
        <w:rPr>
          <w:spacing w:val="-7"/>
        </w:rPr>
        <w:t xml:space="preserve"> </w:t>
      </w:r>
      <w:r>
        <w:rPr>
          <w:spacing w:val="-7"/>
        </w:rPr>
        <w:t>随着财政发力、海外流动性阶段性改善，权益市场迎来了</w:t>
      </w:r>
      <w:r>
        <w:t xml:space="preserve"> </w:t>
      </w:r>
      <w:r>
        <w:rPr>
          <w:spacing w:val="-4"/>
        </w:rPr>
        <w:t>较强反弹，但转债在纯债上行的压制下，仅实现了弱反弹，全年累计</w:t>
      </w:r>
      <w:r>
        <w:rPr>
          <w:spacing w:val="-5"/>
        </w:rPr>
        <w:t>收益尚未回正。</w:t>
      </w:r>
      <w:r>
        <w:t xml:space="preserve"> </w:t>
      </w:r>
      <w:r>
        <w:rPr>
          <w:spacing w:val="-2"/>
          <w:u w:val="single" w:color="auto"/>
        </w:rPr>
        <w:t>具体来看，进一步回溯转债</w:t>
      </w:r>
      <w:r>
        <w:rPr>
          <w:rFonts w:ascii="Arial" w:eastAsia="Arial" w:hAnsi="Arial" w:cs="Arial"/>
          <w:spacing w:val="-2"/>
          <w:u w:val="single" w:color="auto"/>
        </w:rPr>
        <w:t>&amp;</w:t>
      </w:r>
      <w:r>
        <w:rPr>
          <w:spacing w:val="-2"/>
          <w:u w:val="single" w:color="auto"/>
        </w:rPr>
        <w:t>权益市场表现，结合交易</w:t>
      </w:r>
      <w:r>
        <w:rPr>
          <w:spacing w:val="-3"/>
          <w:u w:val="single" w:color="auto"/>
        </w:rPr>
        <w:t>预期的变动，今年的行情演化</w:t>
      </w:r>
      <w:r>
        <w:t xml:space="preserve"> </w:t>
      </w:r>
      <w:r>
        <w:rPr>
          <w:u w:val="single" w:color="auto"/>
        </w:rPr>
        <w:t>大体可分为四个阶段：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68" w:line="226" w:lineRule="auto"/>
        <w:ind w:left="523"/>
      </w:pP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Arial" w:eastAsia="Arial" w:hAnsi="Arial" w:cs="Arial"/>
          <w:b/>
          <w:bCs/>
          <w:color w:val="0F243E"/>
        </w:rPr>
        <w:t>1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color w:val="0F243E"/>
        </w:rPr>
        <w:t xml:space="preserve"> </w:t>
      </w:r>
      <w:r>
        <w:rPr>
          <w:rFonts w:ascii="Arial" w:eastAsia="Arial" w:hAnsi="Arial" w:cs="Arial"/>
          <w:b/>
          <w:bCs/>
          <w:color w:val="0F243E"/>
        </w:rPr>
        <w:t>2023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上半年，转债展示出与品种相匹配的韧性，下半年在正股</w:t>
      </w:r>
      <w:r>
        <w:rPr>
          <w:rFonts w:ascii="Arial" w:eastAsia="Arial" w:hAnsi="Arial" w:cs="Arial"/>
          <w:b/>
          <w:bCs/>
          <w:color w:val="0F243E"/>
        </w:rPr>
        <w:t>&amp;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纯债接连拖累下，全年收益遭遇大幅侵蚀</w:t>
      </w:r>
    </w:p>
    <w:p>
      <w:pPr>
        <w:spacing w:line="183" w:lineRule="exact"/>
      </w:pPr>
    </w:p>
    <w:p>
      <w:pPr>
        <w:spacing w:line="183" w:lineRule="exact"/>
        <w:sectPr>
          <w:headerReference w:type="default" r:id="rId24"/>
          <w:footerReference w:type="default" r:id="rId25"/>
          <w:pgSz w:w="11907" w:h="16839"/>
          <w:pgMar w:top="1383" w:right="459" w:bottom="1249" w:left="250" w:header="794" w:footer="741" w:gutter="0"/>
          <w:pgNumType w:start="7"/>
          <w:cols w:num="1" w:space="708" w:equalWidth="0">
            <w:col w:w="11197" w:space="0"/>
          </w:cols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46" w:line="195" w:lineRule="auto"/>
        <w:ind w:left="55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10</w:t>
      </w:r>
    </w:p>
    <w:p>
      <w:pPr>
        <w:spacing w:before="284" w:line="195" w:lineRule="auto"/>
        <w:ind w:left="63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8</w:t>
      </w:r>
    </w:p>
    <w:p>
      <w:pPr>
        <w:spacing w:before="285" w:line="195" w:lineRule="auto"/>
        <w:ind w:left="63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6</w:t>
      </w:r>
    </w:p>
    <w:p>
      <w:pPr>
        <w:spacing w:before="286" w:line="194" w:lineRule="auto"/>
        <w:ind w:left="63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4</w:t>
      </w:r>
    </w:p>
    <w:p>
      <w:pPr>
        <w:spacing w:before="285" w:line="195" w:lineRule="auto"/>
        <w:ind w:left="63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2</w:t>
      </w:r>
    </w:p>
    <w:p>
      <w:pPr>
        <w:spacing w:before="284" w:line="195" w:lineRule="auto"/>
        <w:ind w:left="63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0</w:t>
      </w:r>
    </w:p>
    <w:p>
      <w:pPr>
        <w:spacing w:before="286" w:line="195" w:lineRule="auto"/>
        <w:ind w:left="58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-2</w:t>
      </w:r>
    </w:p>
    <w:p>
      <w:pPr>
        <w:spacing w:before="285" w:line="194" w:lineRule="auto"/>
        <w:ind w:left="58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-4</w:t>
      </w:r>
    </w:p>
    <w:p>
      <w:pPr>
        <w:spacing w:before="285" w:line="195" w:lineRule="auto"/>
        <w:ind w:left="58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-6</w:t>
      </w:r>
    </w:p>
    <w:p>
      <w:pPr>
        <w:spacing w:before="284" w:line="195" w:lineRule="auto"/>
        <w:ind w:left="58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-8</w:t>
      </w:r>
    </w:p>
    <w:p>
      <w:pPr>
        <w:spacing w:before="285" w:line="119" w:lineRule="exact"/>
        <w:ind w:left="49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position w:val="-2"/>
          <w:sz w:val="16"/>
          <w:szCs w:val="16"/>
        </w:rPr>
        <w:t>-10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5143" w:lineRule="exact"/>
      </w:pPr>
      <w:r>
        <w:rPr>
          <w:position w:val="-102"/>
        </w:rPr>
        <w:pict>
          <v:group id="_x0000_i1032" style="width:478.9pt;height:257.25pt;mso-position-horizontal-relative:char;mso-position-vertical-relative:line" coordorigin="0,0" coordsize="9577,514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width:9557;height:3980;left:2;position:absolute;top:1111" filled="f" stroked="f">
              <v:imagedata r:id="rId26" o:title=""/>
            </v:shape>
            <v:shape id="_x0000_s1034" type="#_x0000_t75" style="width:9575;height:4316;left:2;position:absolute;top:283" filled="f" stroked="f">
              <v:imagedata r:id="rId27" o:title=""/>
            </v:shape>
            <v:shape id="_x0000_s1035" type="#_x0000_t202" style="width:9617;height:513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1138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position w:val="1"/>
                        <w:sz w:val="16"/>
                        <w:szCs w:val="16"/>
                      </w:rPr>
                      <w:drawing>
                        <wp:inline distT="0" distB="0" distL="0" distR="0">
                          <wp:extent cx="243839" cy="51064"/>
                          <wp:effectExtent l="0" t="0" r="0" b="0"/>
                          <wp:docPr id="40" name="IM 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" name="IM 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43839" cy="5106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KaiTi" w:eastAsia="KaiTi" w:hAnsi="KaiTi" w:cs="KaiTi"/>
                        <w:spacing w:val="-2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转股溢价率（</w:t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>%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，右轴）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   </w:t>
                    </w:r>
                    <w:r>
                      <w:rPr>
                        <w:position w:val="3"/>
                        <w:sz w:val="16"/>
                        <w:szCs w:val="16"/>
                      </w:rPr>
                      <w:drawing>
                        <wp:inline distT="0" distB="0" distL="0" distR="0">
                          <wp:extent cx="266065" cy="22225"/>
                          <wp:effectExtent l="0" t="0" r="0" b="0"/>
                          <wp:docPr id="42" name="IM 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" name="IM 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6065" cy="222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KaiTi" w:eastAsia="KaiTi" w:hAnsi="KaiTi" w:cs="KaiTi"/>
                        <w:spacing w:val="-44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万得全</w:t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>A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累计收益率（</w:t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>%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）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   </w:t>
                    </w:r>
                    <w:r>
                      <w:rPr>
                        <w:position w:val="3"/>
                        <w:sz w:val="16"/>
                        <w:szCs w:val="16"/>
                      </w:rPr>
                      <w:drawing>
                        <wp:inline distT="0" distB="0" distL="0" distR="0">
                          <wp:extent cx="266064" cy="22225"/>
                          <wp:effectExtent l="0" t="0" r="0" b="0"/>
                          <wp:docPr id="44" name="IM 4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" name="IM 4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6064" cy="222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KaiTi" w:eastAsia="KaiTi" w:hAnsi="KaiTi" w:cs="KaiTi"/>
                        <w:spacing w:val="-3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中证转债指数累计收益率（</w:t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>%)</w:t>
                    </w:r>
                  </w:p>
                  <w:p>
                    <w:pPr>
                      <w:spacing w:before="39"/>
                    </w:pPr>
                  </w:p>
                  <w:p>
                    <w:pPr>
                      <w:spacing w:before="38"/>
                    </w:pPr>
                  </w:p>
                  <w:tbl>
                    <w:tblPr>
                      <w:tblStyle w:val="TableNormal1"/>
                      <w:tblW w:w="9571" w:type="dxa"/>
                      <w:tblInd w:w="2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  <w:insideH w:val="single" w:sz="2" w:space="0" w:color="000000"/>
                        <w:insideV w:val="single" w:sz="2" w:space="0" w:color="000000"/>
                      </w:tblBorders>
                      <w:tblLayout w:type="fixed"/>
                    </w:tblPr>
                    <w:tblGrid>
                      <w:gridCol w:w="9571"/>
                    </w:tblGrid>
                    <w:tr>
                      <w:tblPrEx>
                        <w:tblW w:w="9571" w:type="dxa"/>
                        <w:tblInd w:w="2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</w:tblPrEx>
                      <w:trPr>
                        <w:trHeight w:val="2173"/>
                      </w:trPr>
                      <w:tc>
                        <w:tcPr>
                          <w:tcW w:w="9571" w:type="dxa"/>
                          <w:tcBorders>
                            <w:top w:val="nil"/>
                          </w:tcBorders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9571" w:type="dxa"/>
                        <w:tblInd w:w="22" w:type="dxa"/>
                        <w:tblLayout w:type="fixed"/>
                      </w:tblPrEx>
                      <w:trPr>
                        <w:trHeight w:val="2170"/>
                      </w:trPr>
                      <w:tc>
                        <w:tcPr>
                          <w:tcW w:w="9571" w:type="dxa"/>
                          <w:tcBorders>
                            <w:bottom w:val="nil"/>
                          </w:tcBorders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rect id="_x0000_s1036" style="width:2291;height:700;left:6003;position:absolute;top:288" filled="t" fillcolor="#fdeada" stroked="f"/>
            <v:rect id="_x0000_s1037" style="width:40;height:4500;left:8405;position:absolute;top:645" filled="t" fillcolor="#c00000" stroked="f"/>
            <v:shape id="_x0000_s1038" style="width:475;height:650;left:7662;position:absolute;top:1674" coordorigin="0,0" coordsize="475,650" path="m463,641l12,8e" filled="f" strokecolor="#7f7f7f" strokeweight="1.5pt">
              <v:stroke dashstyle="dash"/>
            </v:shape>
            <v:rect id="_x0000_s1039" style="width:951;height:1583;left:8520;position:absolute;top:324" filled="t" fillcolor="#fdeada" stroked="f"/>
            <v:shape id="_x0000_s1040" style="width:1515;height:998;left:7784;position:absolute;top:1650" coordorigin="0,0" coordsize="1515,998" path="m1505,984l8,12e" filled="f" strokecolor="#7f7f7f" strokeweight="1.5pt">
              <v:stroke dashstyle="dash"/>
            </v:shape>
            <v:rect id="_x0000_s1041" style="width:1040;height:1101;left:7235;position:absolute;top:3968" filled="t" fillcolor="#f2f2f2" stroked="f"/>
            <v:shape id="_x0000_s1042" type="#_x0000_t202" style="width:1968;height:630;left:6131;position:absolute;top:364" filled="f" stroked="f">
              <o:lock v:ext="edit" aspectratio="f"/>
              <v:textbox inset="0,0,0,0">
                <w:txbxContent>
                  <w:p>
                    <w:pPr>
                      <w:spacing w:before="19" w:line="236" w:lineRule="auto"/>
                      <w:ind w:left="20" w:right="20"/>
                      <w:jc w:val="both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政治局会议召开，政策博弈</w:t>
                    </w:r>
                    <w:r>
                      <w:rPr>
                        <w:rFonts w:ascii="KaiTi" w:eastAsia="KaiTi" w:hAnsi="KaiTi" w:cs="KaiTi"/>
                        <w:spacing w:val="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情绪加重，但海外拖累因素</w:t>
                    </w:r>
                    <w:r>
                      <w:rPr>
                        <w:rFonts w:ascii="KaiTi" w:eastAsia="KaiTi" w:hAnsi="KaiTi" w:cs="KaiTi"/>
                        <w:spacing w:val="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加剧，权益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16"/>
                        <w:szCs w:val="16"/>
                      </w:rPr>
                      <w:t>&amp;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转债双双触底</w:t>
                    </w:r>
                  </w:p>
                </w:txbxContent>
              </v:textbox>
            </v:shape>
            <v:shape id="_x0000_s1043" type="#_x0000_t202" style="width:809;height:1450;left:8653;position:absolute;top:400" filled="f" stroked="f">
              <o:lock v:ext="edit" aspectratio="f"/>
              <v:textbox inset="0,0,0,0">
                <w:txbxContent>
                  <w:p>
                    <w:pPr>
                      <w:spacing w:before="19" w:line="234" w:lineRule="auto"/>
                      <w:ind w:left="20" w:right="20" w:firstLine="2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7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财政发力、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海外流动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-7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性改善、</w:t>
                    </w:r>
                  </w:p>
                  <w:p>
                    <w:pPr>
                      <w:spacing w:before="16" w:line="235" w:lineRule="auto"/>
                      <w:ind w:left="20" w:right="150" w:firstLine="3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纯债拖累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1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的组合，</w:t>
                    </w:r>
                    <w:r>
                      <w:rPr>
                        <w:rFonts w:ascii="KaiTi" w:eastAsia="KaiTi" w:hAnsi="KaiTi" w:cs="KaiTi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  <w14:textOutline w14:w="2926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支撑转债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弱反弹</w:t>
                    </w:r>
                  </w:p>
                </w:txbxContent>
              </v:textbox>
            </v:shape>
            <v:rect id="_x0000_s1044" style="width:1890;height:572;left:1092;position:absolute;top:4160" filled="t" fillcolor="#f2f2f2" stroked="f"/>
            <v:rect id="_x0000_s1045" style="width:1253;height:745;left:5896;position:absolute;top:3912" filled="t" fillcolor="#f2f2f2" stroked="f"/>
            <v:shape id="_x0000_s1046" type="#_x0000_t202" style="width:2126;height:410;left:2451;position:absolute;top:359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27" w:right="20" w:hanging="8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正股波动放大，转债行情波澜</w:t>
                    </w:r>
                    <w:r>
                      <w:rPr>
                        <w:rFonts w:ascii="KaiTi" w:eastAsia="KaiTi" w:hAnsi="KaiTi" w:cs="KaiTi"/>
                        <w:spacing w:val="4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不惊，进入漫长的估值平稳期</w:t>
                    </w:r>
                  </w:p>
                </w:txbxContent>
              </v:textbox>
            </v:shape>
            <v:shape id="_x0000_s1047" type="#_x0000_t202" style="width:774;height:999;left:7365;position:absolute;top:4055" filled="f" stroked="f">
              <o:lock v:ext="edit" aspectratio="f"/>
              <v:textbox inset="0,0,0,0">
                <w:txbxContent>
                  <w:p>
                    <w:pPr>
                      <w:spacing w:before="18" w:line="234" w:lineRule="auto"/>
                      <w:ind w:left="20" w:righ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6"/>
                        <w:szCs w:val="16"/>
                      </w:rPr>
                      <w:t>23Q3GDP</w:t>
                    </w:r>
                    <w:r>
                      <w:rPr>
                        <w:rFonts w:ascii="Arial" w:eastAsia="Arial" w:hAnsi="Arial" w:cs="Arial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增速超预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期，美债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利率再临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高位</w:t>
                    </w:r>
                  </w:p>
                </w:txbxContent>
              </v:textbox>
            </v:shape>
            <v:rect id="_x0000_s1048" style="width:30;height:1290;left:3609;position:absolute;top:2322" filled="t" fillcolor="#7f7f7f" stroked="f"/>
            <v:rect id="_x0000_s1049" style="width:1615;height:420;left:2788;position:absolute;top:3418" filled="t" fillcolor="#f2f2f2" stroked="f"/>
            <v:rect id="_x0000_s1050" style="width:1090;height:584;left:7003;position:absolute;top:1055" filled="t" fillcolor="#f2f2f2" stroked="f"/>
            <v:shape id="_x0000_s1051" type="#_x0000_t202" style="width:1130;height:619;left:6025;position:absolute;top:3988" filled="f" stroked="f">
              <o:lock v:ext="edit" aspectratio="f"/>
              <v:textbox inset="0,0,0,0">
                <w:txbxContent>
                  <w:p>
                    <w:pPr>
                      <w:spacing w:before="20" w:line="233" w:lineRule="auto"/>
                      <w:ind w:left="27" w:right="20" w:hanging="7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政策密集度</w:t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 xml:space="preserve">&amp;     </w:t>
                    </w:r>
                    <w:r>
                      <w:rPr>
                        <w:rFonts w:ascii="KaiTi" w:eastAsia="KaiTi" w:hAnsi="KaiTi" w:cs="KaiTi"/>
                        <w:spacing w:val="-6"/>
                        <w:sz w:val="16"/>
                        <w:szCs w:val="16"/>
                      </w:rPr>
                      <w:t>力度不及预期、</w:t>
                    </w:r>
                    <w:r>
                      <w:rPr>
                        <w:rFonts w:ascii="KaiTi" w:eastAsia="KaiTi" w:hAnsi="KaiTi" w:cs="KaiTi"/>
                        <w:spacing w:val="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</w:rPr>
                      <w:t>经济基本面弱</w:t>
                    </w:r>
                  </w:p>
                </w:txbxContent>
              </v:textbox>
            </v:shape>
            <v:rect id="_x0000_s1052" style="width:970;height:564;left:4507;position:absolute;top:3386" filled="t" fillcolor="#f2f2f2" stroked="f"/>
            <v:shape id="_x0000_s1053" type="#_x0000_t202" style="width:1468;height:410;left:1225;position:absolute;top:4236" filled="f" stroked="f">
              <o:lock v:ext="edit" aspectratio="f"/>
              <v:textbox inset="0,0,0,0">
                <w:txbxContent>
                  <w:p>
                    <w:pPr>
                      <w:spacing w:before="20" w:line="229" w:lineRule="auto"/>
                      <w:ind w:left="22" w:right="20" w:hanging="3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sz w:val="16"/>
                        <w:szCs w:val="16"/>
                      </w:rPr>
                      <w:t>GDP</w:t>
                    </w:r>
                    <w:r>
                      <w:rPr>
                        <w:rFonts w:ascii="KaiTi" w:eastAsia="KaiTi" w:hAnsi="KaiTi" w:cs="KaiTi"/>
                        <w:spacing w:val="-4"/>
                        <w:sz w:val="16"/>
                        <w:szCs w:val="16"/>
                      </w:rPr>
                      <w:t>全年增速确立，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</w:rPr>
                      <w:t>海外银行事件冲击</w:t>
                    </w:r>
                  </w:p>
                </w:txbxContent>
              </v:textbox>
            </v:shape>
            <v:rect id="_x0000_s1054" style="width:659;height:758;left:1969;position:absolute;top:3229" filled="t" fillcolor="#f2f2f2" stroked="f"/>
            <v:rect id="_x0000_s1055" style="width:940;height:525;left:86;position:absolute;top:206" filled="t" fillcolor="#fdeada" stroked="f"/>
            <v:shape id="_x0000_s1056" type="#_x0000_t202" style="width:840;height:410;left:7130;position:absolute;top:1131" filled="f" stroked="f">
              <o:lock v:ext="edit" aspectratio="f"/>
              <v:textbox inset="0,0,0,0">
                <w:txbxContent>
                  <w:p>
                    <w:pPr>
                      <w:spacing w:before="19" w:line="232" w:lineRule="auto"/>
                      <w:ind w:left="20" w:right="20" w:firstLine="1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估值冲击的</w:t>
                    </w:r>
                    <w:r>
                      <w:rPr>
                        <w:rFonts w:ascii="KaiTi" w:eastAsia="KaiTi" w:hAnsi="KaiTi" w:cs="KaiTi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预演和实现</w:t>
                    </w:r>
                  </w:p>
                </w:txbxContent>
              </v:textbox>
            </v:shape>
            <v:shape id="_x0000_s1057" type="#_x0000_t202" style="width:679;height:410;left:215;position:absolute;top:282" filled="f" stroked="f">
              <o:lock v:ext="edit" aspectratio="f"/>
              <v:textbox inset="0,0,0,0">
                <w:txbxContent>
                  <w:p>
                    <w:pPr>
                      <w:spacing w:before="19" w:line="218" w:lineRule="auto"/>
                      <w:ind w:left="28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3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强预期</w:t>
                    </w:r>
                  </w:p>
                  <w:p>
                    <w:pPr>
                      <w:spacing w:before="20" w:line="220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  <w14:textOutline w14:w="2917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驱动反弹</w:t>
                    </w:r>
                  </w:p>
                </w:txbxContent>
              </v:textbox>
            </v:shape>
            <v:shape id="_x0000_s1058" type="#_x0000_t202" style="width:676;height:410;left:4638;position:absolute;top:3462" filled="f" stroked="f">
              <o:lock v:ext="edit" aspectratio="f"/>
              <v:textbox inset="0,0,0,0">
                <w:txbxContent>
                  <w:p>
                    <w:pPr>
                      <w:spacing w:before="20" w:line="229" w:lineRule="auto"/>
                      <w:ind w:left="20" w:right="20" w:firstLine="4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3"/>
                        <w:sz w:val="16"/>
                        <w:szCs w:val="16"/>
                      </w:rPr>
                      <w:t>央行超预</w:t>
                    </w:r>
                    <w:r>
                      <w:rPr>
                        <w:rFonts w:ascii="KaiTi" w:eastAsia="KaiTi" w:hAnsi="KaiTi" w:cs="KaiTi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</w:rPr>
                      <w:t>期降息</w:t>
                    </w:r>
                  </w:p>
                </w:txbxContent>
              </v:textbox>
            </v:shape>
            <v:shape id="_x0000_s1059" type="#_x0000_t202" style="width:1316;height:201;left:2924;position:absolute;top:3560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转债信用风险冲击</w:t>
                    </w:r>
                  </w:p>
                </w:txbxContent>
              </v:textbox>
            </v:shape>
            <v:shape id="_x0000_s1060" style="width:365;height:522;left:7196;position:absolute;top:1656" coordorigin="0,0" coordsize="365,522" path="m353,8l12,514e" filled="f" strokecolor="#7f7f7f" strokeweight="1.5pt">
              <v:stroke dashstyle="dash"/>
            </v:shape>
            <v:shape id="_x0000_s1061" type="#_x0000_t202" style="width:359;height:619;left:2097;position:absolute;top:3305" filled="f" stroked="f">
              <o:lock v:ext="edit" aspectratio="f"/>
              <v:textbox inset="0,0,0,0">
                <w:txbxContent>
                  <w:p>
                    <w:pPr>
                      <w:spacing w:before="21" w:line="232" w:lineRule="auto"/>
                      <w:ind w:left="20" w:right="20" w:firstLine="4"/>
                      <w:jc w:val="both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4"/>
                        <w:sz w:val="16"/>
                        <w:szCs w:val="16"/>
                      </w:rPr>
                      <w:t>光大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转债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摘牌</w:t>
                    </w:r>
                  </w:p>
                </w:txbxContent>
              </v:textbox>
            </v:shape>
            <v:shape id="_x0000_s1062" style="width:286;height:482;left:7778;position:absolute;top:3441" coordorigin="0,0" coordsize="286,482" path="m272,7l13,475e" filled="f" strokecolor="#7f7f7f" strokeweight="1.5pt">
              <v:stroke dashstyle="dash"/>
            </v:shape>
            <v:rect id="_x0000_s1063" style="width:30;height:4396;left:5824;position:absolute;top:663" filled="t" fillcolor="#c00000" stroked="f"/>
            <v:rect id="_x0000_s1064" style="width:30;height:4151;left:952;position:absolute;top:813" filled="t" fillcolor="#c00000" stroked="f"/>
            <v:rect id="_x0000_s1065" style="width:30;height:2630;left:1813;position:absolute;top:1527" filled="t" fillcolor="#7f7f7f" stroked="f"/>
            <v:rect id="_x0000_s1066" style="width:30;height:1090;left:6431;position:absolute;top:2777" filled="t" fillcolor="#7f7f7f" stroked="f"/>
            <v:rect id="_x0000_s1067" style="width:30;height:865;left:2224;position:absolute;top:2339" filled="t" fillcolor="#7f7f7f" stroked="f"/>
            <v:rect id="_x0000_s1068" style="width:30;height:864;left:4766;position:absolute;top:2365" filled="t" fillcolor="#7f7f7f" stroked="f"/>
            <v:rect id="_x0000_s1069" style="width:49;height:5;left:2;position:absolute;top:2480" filled="t" fillcolor="black" stroked="f"/>
            <v:rect id="_x0000_s1070" style="width:49;height:5;left:2;position:absolute;top:1180" filled="t" fillcolor="black" stroked="f"/>
            <v:rect id="_x0000_s1071" style="width:49;height:5;left:2;position:absolute;top:2048" filled="t" fillcolor="black" stroked="f"/>
            <v:rect id="_x0000_s1072" style="width:49;height:5;left:2;position:absolute;top:4218" filled="t" fillcolor="black" stroked="f"/>
            <v:rect id="_x0000_s1073" style="width:49;height:5;left:2;position:absolute;top:3349" filled="t" fillcolor="black" stroked="f"/>
            <v:rect id="_x0000_s1074" style="width:49;height:5;left:2;position:absolute;top:4652" filled="t" fillcolor="black" stroked="f"/>
            <v:rect id="_x0000_s1075" style="width:49;height:5;left:2;position:absolute;top:3784" filled="t" fillcolor="black" stroked="f"/>
            <v:rect id="_x0000_s1076" style="width:49;height:5;left:2;position:absolute;top:1614" filled="t" fillcolor="black" stroked="f"/>
            <v:rect id="_x0000_s1077" style="width:5;height:49;left:3441;position:absolute;top:2870" filled="t" fillcolor="black" stroked="f"/>
            <v:rect id="_x0000_s1078" style="width:49;height:5;left:9525;position:absolute;top:2192" filled="t" fillcolor="black" stroked="f"/>
            <v:rect id="_x0000_s1079" style="width:49;height:5;left:9525;position:absolute;top:4364" filled="t" fillcolor="black" stroked="f"/>
            <v:rect id="_x0000_s1080" style="width:49;height:5;left:9525;position:absolute;top:1468" filled="t" fillcolor="black" stroked="f"/>
            <v:rect id="_x0000_s1081" style="width:5;height:49;left:8675;position:absolute;top:2870" filled="t" fillcolor="black" stroked="f"/>
            <v:rect id="_x0000_s1082" style="width:5;height:49;left:1706;position:absolute;top:2870" filled="t" fillcolor="black" stroked="f"/>
            <v:rect id="_x0000_s1083" style="width:49;height:5;left:9525;position:absolute;top:3640" filled="t" fillcolor="black" stroked="f"/>
            <v:rect id="_x0000_s1084" style="width:5;height:49;left:5176;position:absolute;top:2870" filled="t" fillcolor="black" stroked="f"/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46" w:line="195" w:lineRule="auto"/>
        <w:ind w:left="14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60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46" w:line="192" w:lineRule="auto"/>
        <w:ind w:left="14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55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46" w:line="195" w:lineRule="auto"/>
        <w:ind w:left="14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50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46" w:line="194" w:lineRule="auto"/>
        <w:ind w:left="13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45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46" w:line="195" w:lineRule="auto"/>
        <w:ind w:left="13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40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46" w:line="195" w:lineRule="auto"/>
        <w:ind w:left="14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35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46" w:line="119" w:lineRule="exact"/>
        <w:ind w:left="14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position w:val="-2"/>
          <w:sz w:val="16"/>
          <w:szCs w:val="16"/>
        </w:rPr>
        <w:t>30</w:t>
      </w:r>
    </w:p>
    <w:p>
      <w:pPr>
        <w:spacing w:line="119" w:lineRule="exact"/>
        <w:rPr>
          <w:rFonts w:ascii="Arial" w:eastAsia="Arial" w:hAnsi="Arial" w:cs="Arial"/>
          <w:sz w:val="16"/>
          <w:szCs w:val="16"/>
        </w:rPr>
        <w:sectPr>
          <w:headerReference w:type="default" r:id="rId31"/>
          <w:footerReference w:type="default" r:id="rId32"/>
          <w:type w:val="continuous"/>
          <w:pgSz w:w="11907" w:h="16839"/>
          <w:pgMar w:top="1383" w:right="459" w:bottom="1249" w:left="250" w:header="794" w:footer="741" w:gutter="0"/>
          <w:pgNumType w:start="8"/>
          <w:cols w:num="3" w:space="708" w:equalWidth="0">
            <w:col w:w="800" w:space="100"/>
            <w:col w:w="9578" w:space="0"/>
            <w:col w:w="720" w:space="0"/>
          </w:cols>
        </w:sectPr>
      </w:pPr>
    </w:p>
    <w:p>
      <w:pPr>
        <w:spacing w:before="72" w:line="195" w:lineRule="auto"/>
        <w:ind w:left="497"/>
        <w:rPr>
          <w:rFonts w:ascii="Arial" w:eastAsia="Arial" w:hAnsi="Arial" w:cs="Arial"/>
          <w:sz w:val="16"/>
          <w:szCs w:val="16"/>
        </w:rPr>
        <w:sectPr>
          <w:headerReference w:type="default" r:id="rId33"/>
          <w:footerReference w:type="default" r:id="rId34"/>
          <w:type w:val="continuous"/>
          <w:pgSz w:w="11907" w:h="16839"/>
          <w:pgMar w:top="1383" w:right="459" w:bottom="1249" w:left="250" w:header="794" w:footer="741" w:gutter="0"/>
          <w:pgNumType w:start="9"/>
          <w:cols w:num="1" w:space="708" w:equalWidth="0">
            <w:col w:w="11197" w:space="0"/>
          </w:cols>
        </w:sectPr>
      </w:pPr>
      <w:r>
        <w:rPr>
          <w:rFonts w:ascii="Arial" w:eastAsia="Arial" w:hAnsi="Arial" w:cs="Arial"/>
          <w:sz w:val="16"/>
          <w:szCs w:val="16"/>
        </w:rPr>
        <w:t xml:space="preserve">2022-12-30                    2023-02-28                     2023-04-30                    2023-06-30                   </w:t>
      </w:r>
      <w:r>
        <w:rPr>
          <w:rFonts w:ascii="Arial" w:eastAsia="Arial" w:hAnsi="Arial" w:cs="Arial"/>
          <w:spacing w:val="-1"/>
          <w:sz w:val="16"/>
          <w:szCs w:val="16"/>
        </w:rPr>
        <w:t xml:space="preserve">   2023-08-31                     2023-10-31</w:t>
      </w:r>
    </w:p>
    <w:p>
      <w:pPr>
        <w:pStyle w:val="BodyText"/>
        <w:spacing w:before="76" w:line="212" w:lineRule="auto"/>
        <w:ind w:left="497"/>
        <w:rPr>
          <w:sz w:val="18"/>
          <w:szCs w:val="18"/>
        </w:rPr>
      </w:pPr>
      <w:r>
        <w:rPr>
          <w:color w:val="0F243E"/>
          <w:spacing w:val="-8"/>
          <w:sz w:val="18"/>
          <w:szCs w:val="18"/>
        </w:rPr>
        <w:t>数据来源：</w:t>
      </w:r>
      <w:r>
        <w:rPr>
          <w:color w:val="0F243E"/>
          <w:spacing w:val="40"/>
          <w:w w:val="101"/>
          <w:sz w:val="18"/>
          <w:szCs w:val="18"/>
        </w:rPr>
        <w:t xml:space="preserve"> </w:t>
      </w:r>
      <w:r>
        <w:rPr>
          <w:rFonts w:ascii="Arial" w:eastAsia="Arial" w:hAnsi="Arial" w:cs="Arial"/>
          <w:color w:val="0F243E"/>
          <w:spacing w:val="-8"/>
          <w:sz w:val="18"/>
          <w:szCs w:val="18"/>
        </w:rPr>
        <w:t>Wind</w:t>
      </w:r>
      <w:r>
        <w:rPr>
          <w:rFonts w:ascii="Arial" w:eastAsia="Arial" w:hAnsi="Arial" w:cs="Arial"/>
          <w:color w:val="0F243E"/>
          <w:spacing w:val="-25"/>
          <w:sz w:val="18"/>
          <w:szCs w:val="18"/>
        </w:rPr>
        <w:t xml:space="preserve"> </w:t>
      </w:r>
      <w:r>
        <w:rPr>
          <w:color w:val="0F243E"/>
          <w:spacing w:val="-8"/>
          <w:sz w:val="18"/>
          <w:szCs w:val="18"/>
        </w:rPr>
        <w:t>，广发证券发展研究中心</w:t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69" w:line="226" w:lineRule="auto"/>
        <w:ind w:left="3424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阶段一（</w:t>
      </w:r>
      <w:r>
        <w:rPr>
          <w:rFonts w:ascii="Arial" w:eastAsia="Arial" w:hAnsi="Arial" w:cs="Arial"/>
          <w:b/>
          <w:bCs/>
        </w:rPr>
        <w:t>2023.1.1-2.2</w:t>
      </w:r>
      <w:r>
        <w:rPr>
          <w:spacing w:val="8"/>
          <w14:textOutline w14:w="3831">
            <w14:solidFill>
              <w14:srgbClr w14:val="000000"/>
            </w14:solidFill>
            <w14:prstDash w14:val="solid"/>
            <w14:round/>
          </w14:textOutline>
        </w:rPr>
        <w:t>）：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强预期主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导，驱动权益</w:t>
      </w:r>
      <w:r>
        <w:rPr>
          <w:rFonts w:ascii="Arial" w:eastAsia="Arial" w:hAnsi="Arial" w:cs="Arial"/>
          <w:b/>
          <w:bCs/>
          <w:spacing w:val="-1"/>
        </w:rPr>
        <w:t>&amp;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转债市场显著反弹</w:t>
      </w:r>
    </w:p>
    <w:p>
      <w:pPr>
        <w:pStyle w:val="BodyText"/>
        <w:spacing w:before="170" w:line="266" w:lineRule="auto"/>
        <w:ind w:left="3405" w:right="176" w:firstLine="2"/>
        <w:jc w:val="both"/>
      </w:pPr>
      <w:r>
        <w:rPr>
          <w:rFonts w:ascii="Arial" w:eastAsia="Arial" w:hAnsi="Arial" w:cs="Arial"/>
          <w:b/>
          <w:bCs/>
          <w:spacing w:val="-3"/>
        </w:rPr>
        <w:t>2022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年末，</w:t>
      </w:r>
      <w:r>
        <w:rPr>
          <w:spacing w:val="-3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地产政策和防疫政策迎来优化，全市场随即上调今年的复苏预期，全行</w:t>
      </w:r>
      <w:r>
        <w:rPr>
          <w:spacing w:val="12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业迎来修复行情。</w:t>
      </w:r>
      <w:r>
        <w:rPr>
          <w:rFonts w:ascii="Arial" w:eastAsia="Arial" w:hAnsi="Arial" w:cs="Arial"/>
          <w:spacing w:val="-3"/>
        </w:rPr>
        <w:t>2023</w:t>
      </w:r>
      <w:r>
        <w:rPr>
          <w:spacing w:val="-3"/>
        </w:rPr>
        <w:t>开年之后，外资也加速</w:t>
      </w:r>
      <w:r>
        <w:rPr>
          <w:spacing w:val="-4"/>
        </w:rPr>
        <w:t>流入，成为电新</w:t>
      </w:r>
      <w:r>
        <w:rPr>
          <w:rFonts w:ascii="Arial" w:eastAsia="Arial" w:hAnsi="Arial" w:cs="Arial"/>
          <w:spacing w:val="-4"/>
        </w:rPr>
        <w:t>&amp;</w:t>
      </w:r>
      <w:r>
        <w:rPr>
          <w:spacing w:val="-4"/>
        </w:rPr>
        <w:t>消费板块行情主要助</w:t>
      </w:r>
      <w:r>
        <w:t xml:space="preserve"> </w:t>
      </w:r>
      <w:r>
        <w:rPr>
          <w:spacing w:val="-3"/>
        </w:rPr>
        <w:t>推力量。同时，</w:t>
      </w:r>
      <w:r>
        <w:rPr>
          <w:spacing w:val="-3"/>
        </w:rPr>
        <w:t xml:space="preserve"> </w:t>
      </w:r>
      <w:r>
        <w:rPr>
          <w:rFonts w:ascii="Arial" w:eastAsia="Arial" w:hAnsi="Arial" w:cs="Arial"/>
          <w:spacing w:val="-3"/>
        </w:rPr>
        <w:t>ChatGPT</w:t>
      </w:r>
      <w:r>
        <w:rPr>
          <w:spacing w:val="-3"/>
        </w:rPr>
        <w:t>产业链行情快速发酵，驱动权益</w:t>
      </w:r>
      <w:r>
        <w:rPr>
          <w:rFonts w:ascii="Arial" w:eastAsia="Arial" w:hAnsi="Arial" w:cs="Arial"/>
          <w:spacing w:val="-3"/>
        </w:rPr>
        <w:t>&amp;</w:t>
      </w:r>
      <w:r>
        <w:rPr>
          <w:spacing w:val="-3"/>
        </w:rPr>
        <w:t>转债指数大幅上扬。</w:t>
      </w:r>
    </w:p>
    <w:p>
      <w:pPr>
        <w:pStyle w:val="BodyText"/>
        <w:spacing w:before="168" w:line="213" w:lineRule="auto"/>
        <w:ind w:left="3424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阶段二（</w:t>
      </w:r>
      <w:r>
        <w:rPr>
          <w:rFonts w:ascii="Arial" w:eastAsia="Arial" w:hAnsi="Arial" w:cs="Arial"/>
          <w:b/>
          <w:bCs/>
        </w:rPr>
        <w:t>2023.2.3-7.24</w:t>
      </w:r>
      <w:r>
        <w:rPr>
          <w:spacing w:val="3"/>
          <w14:textOutline w14:w="3831">
            <w14:solidFill>
              <w14:srgbClr w14:val="000000"/>
            </w14:solidFill>
            <w14:prstDash w14:val="solid"/>
            <w14:round/>
          </w14:textOutline>
        </w:rPr>
        <w:t>）：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正股走弱，转债波澜不惊，进入漫长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的估值平稳期</w:t>
      </w:r>
    </w:p>
    <w:p>
      <w:pPr>
        <w:pStyle w:val="BodyText"/>
        <w:spacing w:before="187" w:line="261" w:lineRule="auto"/>
        <w:ind w:left="3406" w:right="117" w:firstLine="10"/>
        <w:jc w:val="both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经济预期及产业链催化成为了正股行情阶段性主导因素。</w:t>
      </w:r>
      <w:r>
        <w:rPr>
          <w:spacing w:val="-2"/>
        </w:rPr>
        <w:t>进入</w:t>
      </w:r>
      <w:r>
        <w:rPr>
          <w:rFonts w:ascii="Arial" w:eastAsia="Arial" w:hAnsi="Arial" w:cs="Arial"/>
          <w:spacing w:val="-2"/>
        </w:rPr>
        <w:t>2</w:t>
      </w:r>
      <w:r>
        <w:rPr>
          <w:spacing w:val="-2"/>
        </w:rPr>
        <w:t>月，全市场乐观情绪</w:t>
      </w:r>
      <w:r>
        <w:t xml:space="preserve"> </w:t>
      </w:r>
      <w:r>
        <w:rPr>
          <w:spacing w:val="-9"/>
        </w:rPr>
        <w:t>边际降温，</w:t>
      </w:r>
      <w:r>
        <w:rPr>
          <w:spacing w:val="-28"/>
        </w:rPr>
        <w:t xml:space="preserve"> </w:t>
      </w:r>
      <w:r>
        <w:rPr>
          <w:spacing w:val="-9"/>
        </w:rPr>
        <w:t>开始等待“强现实”的兑现，</w:t>
      </w:r>
      <w:r>
        <w:rPr>
          <w:spacing w:val="-9"/>
        </w:rPr>
        <w:t xml:space="preserve"> </w:t>
      </w:r>
      <w:r>
        <w:rPr>
          <w:spacing w:val="-9"/>
        </w:rPr>
        <w:t>区间震荡成为阶段性主题。</w:t>
      </w:r>
      <w:r>
        <w:rPr>
          <w:rFonts w:ascii="Arial" w:eastAsia="Arial" w:hAnsi="Arial" w:cs="Arial"/>
          <w:spacing w:val="-9"/>
        </w:rPr>
        <w:t>3</w:t>
      </w:r>
      <w:r>
        <w:rPr>
          <w:spacing w:val="-9"/>
        </w:rPr>
        <w:t>月，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-9"/>
        </w:rPr>
        <w:t>GDP</w:t>
      </w:r>
      <w:r>
        <w:rPr>
          <w:spacing w:val="-9"/>
        </w:rPr>
        <w:t>全年</w:t>
      </w:r>
      <w:r>
        <w:t xml:space="preserve"> </w:t>
      </w:r>
      <w:r>
        <w:rPr>
          <w:spacing w:val="-4"/>
        </w:rPr>
        <w:t>增速确立为</w:t>
      </w:r>
      <w:r>
        <w:rPr>
          <w:rFonts w:ascii="Arial" w:eastAsia="Arial" w:hAnsi="Arial" w:cs="Arial"/>
          <w:spacing w:val="-4"/>
        </w:rPr>
        <w:t>5.0%</w:t>
      </w:r>
      <w:r>
        <w:rPr>
          <w:spacing w:val="-4"/>
        </w:rPr>
        <w:t>，略低于市场预期，海外硅谷银行破产事件显著压制市场风险偏好，</w:t>
      </w:r>
      <w:r>
        <w:t xml:space="preserve"> </w:t>
      </w:r>
      <w:r>
        <w:rPr>
          <w:spacing w:val="-6"/>
        </w:rPr>
        <w:t>权益市场遭遇年内第一次大幅回调。</w:t>
      </w:r>
      <w:r>
        <w:rPr>
          <w:rFonts w:ascii="Arial" w:eastAsia="Arial" w:hAnsi="Arial" w:cs="Arial"/>
          <w:spacing w:val="-6"/>
        </w:rPr>
        <w:t>4</w:t>
      </w:r>
      <w:r>
        <w:rPr>
          <w:spacing w:val="-6"/>
        </w:rPr>
        <w:t>月，尽管一季度经济数据和出口数据表现不弱，</w:t>
      </w:r>
    </w:p>
    <w:p>
      <w:pPr>
        <w:spacing w:line="261" w:lineRule="auto"/>
        <w:sectPr>
          <w:headerReference w:type="default" r:id="rId35"/>
          <w:footerReference w:type="default" r:id="rId36"/>
          <w:type w:val="nextPage"/>
          <w:pgSz w:w="11907" w:h="16839"/>
          <w:pgMar w:top="1383" w:right="459" w:bottom="1249" w:left="250" w:header="794" w:footer="741" w:gutter="0"/>
          <w:pgNumType w:start="10"/>
          <w:cols w:num="1" w:space="708" w:equalWidth="0">
            <w:col w:w="11197" w:space="0"/>
          </w:cols>
          <w:titlePg w:val="0"/>
        </w:sectPr>
      </w:pPr>
    </w:p>
    <w:p>
      <w:pPr>
        <w:pStyle w:val="BodyText"/>
        <w:spacing w:before="52" w:line="272" w:lineRule="auto"/>
        <w:ind w:left="3030" w:firstLine="2"/>
        <w:jc w:val="both"/>
      </w:pPr>
      <w:r>
        <w:t>但是</w:t>
      </w:r>
      <w:r>
        <w:rPr>
          <w:rFonts w:ascii="Arial" w:eastAsia="Arial" w:hAnsi="Arial" w:cs="Arial"/>
        </w:rPr>
        <w:t>4</w:t>
      </w:r>
      <w:r>
        <w:t>月的高频数据依然指向经济在环比放缓，</w:t>
      </w:r>
      <w:r>
        <w:t xml:space="preserve"> </w:t>
      </w:r>
      <w:r>
        <w:rPr>
          <w:rFonts w:ascii="Arial" w:eastAsia="Arial" w:hAnsi="Arial" w:cs="Arial"/>
        </w:rPr>
        <w:t>4-5</w:t>
      </w:r>
      <w:r>
        <w:t>月的</w:t>
      </w:r>
      <w:r>
        <w:rPr>
          <w:rFonts w:ascii="Arial" w:eastAsia="Arial" w:hAnsi="Arial" w:cs="Arial"/>
        </w:rPr>
        <w:t>PMI</w:t>
      </w:r>
      <w:r>
        <w:t>数据</w:t>
      </w:r>
      <w:r>
        <w:rPr>
          <w:spacing w:val="-1"/>
        </w:rPr>
        <w:t>也进一步验证了经</w:t>
      </w:r>
      <w:r>
        <w:t xml:space="preserve"> </w:t>
      </w:r>
      <w:r>
        <w:rPr>
          <w:spacing w:val="-4"/>
        </w:rPr>
        <w:t>济仍处于弱现实阶段，权益市场行情持续低迷。</w:t>
      </w:r>
      <w:r>
        <w:rPr>
          <w:rFonts w:ascii="Arial" w:eastAsia="Arial" w:hAnsi="Arial" w:cs="Arial"/>
          <w:spacing w:val="-4"/>
        </w:rPr>
        <w:t>6</w:t>
      </w:r>
      <w:r>
        <w:rPr>
          <w:spacing w:val="-4"/>
        </w:rPr>
        <w:t>月，稳增长预期增强，</w:t>
      </w:r>
      <w:r>
        <w:rPr>
          <w:spacing w:val="-16"/>
        </w:rPr>
        <w:t xml:space="preserve"> </w:t>
      </w:r>
      <w:r>
        <w:rPr>
          <w:spacing w:val="-4"/>
        </w:rPr>
        <w:t>央行也超预</w:t>
      </w:r>
      <w:r>
        <w:t xml:space="preserve"> </w:t>
      </w:r>
      <w:r>
        <w:rPr>
          <w:spacing w:val="-6"/>
        </w:rPr>
        <w:t>期</w:t>
      </w:r>
      <w:r>
        <w:rPr>
          <w:spacing w:val="-5"/>
        </w:rPr>
        <w:t>下调逆回购利率，</w:t>
      </w:r>
      <w:r>
        <w:rPr>
          <w:spacing w:val="-5"/>
        </w:rPr>
        <w:t xml:space="preserve"> </w:t>
      </w:r>
      <w:r>
        <w:rPr>
          <w:spacing w:val="-5"/>
        </w:rPr>
        <w:t>市场情绪有所缓和。这一阶段当</w:t>
      </w:r>
      <w:r>
        <w:rPr>
          <w:spacing w:val="-6"/>
        </w:rPr>
        <w:t>中，</w:t>
      </w:r>
      <w:r>
        <w:rPr>
          <w:spacing w:val="-6"/>
        </w:rPr>
        <w:t xml:space="preserve"> </w:t>
      </w:r>
      <w:r>
        <w:rPr>
          <w:rFonts w:ascii="Arial" w:eastAsia="Arial" w:hAnsi="Arial" w:cs="Arial"/>
          <w:spacing w:val="-6"/>
        </w:rPr>
        <w:t>Chat GPT</w:t>
      </w:r>
      <w:r>
        <w:rPr>
          <w:spacing w:val="-6"/>
        </w:rPr>
        <w:t>及</w:t>
      </w:r>
      <w:r>
        <w:rPr>
          <w:rFonts w:ascii="Arial" w:eastAsia="Arial" w:hAnsi="Arial" w:cs="Arial"/>
          <w:spacing w:val="-6"/>
        </w:rPr>
        <w:t>AI</w:t>
      </w:r>
      <w:r>
        <w:rPr>
          <w:spacing w:val="-6"/>
        </w:rPr>
        <w:t>产业链利</w:t>
      </w:r>
      <w:r>
        <w:rPr>
          <w:spacing w:val="-5"/>
        </w:rPr>
        <w:t>好</w:t>
      </w:r>
      <w:r>
        <w:t xml:space="preserve"> </w:t>
      </w:r>
      <w:r>
        <w:rPr>
          <w:spacing w:val="-7"/>
        </w:rPr>
        <w:t>催化，</w:t>
      </w:r>
      <w:r>
        <w:rPr>
          <w:spacing w:val="23"/>
        </w:rPr>
        <w:t xml:space="preserve"> </w:t>
      </w:r>
      <w:r>
        <w:rPr>
          <w:spacing w:val="-7"/>
        </w:rPr>
        <w:t>以及中特估行情推演，</w:t>
      </w:r>
      <w:r>
        <w:rPr>
          <w:spacing w:val="-7"/>
        </w:rPr>
        <w:t xml:space="preserve"> </w:t>
      </w:r>
      <w:r>
        <w:rPr>
          <w:spacing w:val="-7"/>
        </w:rPr>
        <w:t>成为了上半年权益市场</w:t>
      </w:r>
      <w:r>
        <w:rPr>
          <w:spacing w:val="-8"/>
        </w:rPr>
        <w:t>双主线行情，</w:t>
      </w:r>
      <w:r>
        <w:rPr>
          <w:spacing w:val="-8"/>
        </w:rPr>
        <w:t xml:space="preserve"> </w:t>
      </w:r>
      <w:r>
        <w:rPr>
          <w:spacing w:val="-8"/>
        </w:rPr>
        <w:t>较为有力的对冲</w:t>
      </w:r>
      <w:r>
        <w:t xml:space="preserve"> </w:t>
      </w:r>
      <w:r>
        <w:t>了权益指数在弱经济预期下的颓势表现。</w:t>
      </w:r>
    </w:p>
    <w:p>
      <w:pPr>
        <w:pStyle w:val="BodyText"/>
        <w:spacing w:before="182" w:line="261" w:lineRule="auto"/>
        <w:ind w:left="3046" w:hanging="9"/>
        <w:jc w:val="both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转债层面，正股弱势</w:t>
      </w:r>
      <w:r>
        <w:rPr>
          <w:rFonts w:ascii="Arial" w:eastAsia="Arial" w:hAnsi="Arial" w:cs="Arial"/>
          <w:b/>
          <w:bCs/>
          <w:spacing w:val="-6"/>
        </w:rPr>
        <w:t>&amp;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纯债强支撑（</w:t>
      </w:r>
      <w:r>
        <w:rPr>
          <w:rFonts w:ascii="Arial" w:eastAsia="Arial" w:hAnsi="Arial" w:cs="Arial"/>
          <w:b/>
          <w:bCs/>
          <w:spacing w:val="-6"/>
        </w:rPr>
        <w:t>3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月以后长端利率持续下行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），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转债估值处于“上</w:t>
      </w:r>
      <w:r>
        <w:rPr>
          <w:spacing w:val="1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不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去</w:t>
      </w:r>
      <w:r>
        <w:rPr>
          <w:rFonts w:ascii="Arial" w:eastAsia="Arial" w:hAnsi="Arial" w:cs="Arial"/>
          <w:b/>
          <w:bCs/>
          <w:spacing w:val="-6"/>
        </w:rPr>
        <w:t>&amp;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下不来”的局面。</w:t>
      </w:r>
      <w:r>
        <w:rPr>
          <w:spacing w:val="-6"/>
        </w:rPr>
        <w:t xml:space="preserve"> </w:t>
      </w:r>
      <w:r>
        <w:rPr>
          <w:spacing w:val="-6"/>
        </w:rPr>
        <w:t>其间，</w:t>
      </w:r>
      <w:r>
        <w:rPr>
          <w:spacing w:val="-17"/>
        </w:rPr>
        <w:t xml:space="preserve"> </w:t>
      </w:r>
      <w:r>
        <w:rPr>
          <w:spacing w:val="-6"/>
        </w:rPr>
        <w:t>光大转债到期溢价转股、蓝盾、搜特及</w:t>
      </w:r>
      <w:r>
        <w:rPr>
          <w:rFonts w:ascii="Arial" w:eastAsia="Arial" w:hAnsi="Arial" w:cs="Arial"/>
          <w:spacing w:val="-6"/>
        </w:rPr>
        <w:t>*ST</w:t>
      </w:r>
      <w:r>
        <w:rPr>
          <w:spacing w:val="-6"/>
        </w:rPr>
        <w:t>品种带</w:t>
      </w:r>
      <w:r>
        <w:rPr>
          <w:spacing w:val="-5"/>
        </w:rPr>
        <w:t>来</w:t>
      </w:r>
      <w:r>
        <w:t xml:space="preserve"> </w:t>
      </w:r>
      <w:r>
        <w:rPr>
          <w:spacing w:val="-5"/>
        </w:rPr>
        <w:t>的信用风险，成为了市场阶段性关注的焦点，偏债低价品种曾受</w:t>
      </w:r>
      <w:r>
        <w:rPr>
          <w:spacing w:val="-6"/>
        </w:rPr>
        <w:t>到一定程度的冲击。</w:t>
      </w:r>
    </w:p>
    <w:p>
      <w:pPr>
        <w:pStyle w:val="BodyText"/>
        <w:spacing w:before="184" w:line="226" w:lineRule="auto"/>
        <w:ind w:left="3052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阶段三（</w:t>
      </w:r>
      <w:r>
        <w:rPr>
          <w:rFonts w:ascii="Arial" w:eastAsia="Arial" w:hAnsi="Arial" w:cs="Arial"/>
          <w:b/>
          <w:bCs/>
        </w:rPr>
        <w:t>2023.7.25-10.23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）：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政策博弈</w:t>
      </w:r>
      <w:r>
        <w:rPr>
          <w:rFonts w:ascii="Arial" w:eastAsia="Arial" w:hAnsi="Arial" w:cs="Arial"/>
          <w:b/>
          <w:bCs/>
        </w:rPr>
        <w:t>&amp;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外资流向成为核心变量，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估值再遇冲击</w:t>
      </w:r>
    </w:p>
    <w:p>
      <w:pPr>
        <w:pStyle w:val="BodyText"/>
        <w:spacing w:before="170" w:line="275" w:lineRule="auto"/>
        <w:ind w:left="3032" w:right="2" w:firstLine="7"/>
        <w:jc w:val="both"/>
      </w:pPr>
      <w:r>
        <w:rPr>
          <w:rFonts w:ascii="Arial" w:eastAsia="Arial" w:hAnsi="Arial" w:cs="Arial"/>
          <w:spacing w:val="-2"/>
        </w:rPr>
        <w:t>7</w:t>
      </w:r>
      <w:r>
        <w:rPr>
          <w:spacing w:val="-2"/>
        </w:rPr>
        <w:t>月政治局会议释放出较为积极的信号，显著改善市场风险偏好，尤其是金融地产等</w:t>
      </w:r>
      <w:r>
        <w:rPr>
          <w:spacing w:val="2"/>
        </w:rPr>
        <w:t xml:space="preserve"> </w:t>
      </w:r>
      <w:r>
        <w:rPr>
          <w:spacing w:val="2"/>
        </w:rPr>
        <w:t>价值风格行业，驱动权益</w:t>
      </w:r>
      <w:r>
        <w:rPr>
          <w:rFonts w:ascii="Arial" w:eastAsia="Arial" w:hAnsi="Arial" w:cs="Arial"/>
          <w:spacing w:val="2"/>
        </w:rPr>
        <w:t>&amp;</w:t>
      </w:r>
      <w:r>
        <w:rPr>
          <w:spacing w:val="2"/>
        </w:rPr>
        <w:t>转债指数大幅回暖。</w:t>
      </w:r>
      <w:r>
        <w:rPr>
          <w:rFonts w:ascii="Arial" w:eastAsia="Arial" w:hAnsi="Arial" w:cs="Arial"/>
          <w:spacing w:val="2"/>
        </w:rPr>
        <w:t>8</w:t>
      </w:r>
      <w:r>
        <w:rPr>
          <w:spacing w:val="2"/>
        </w:rPr>
        <w:t>月初，在政策密集度</w:t>
      </w:r>
      <w:r>
        <w:rPr>
          <w:rFonts w:ascii="Arial" w:eastAsia="Arial" w:hAnsi="Arial" w:cs="Arial"/>
          <w:spacing w:val="2"/>
        </w:rPr>
        <w:t>&amp;</w:t>
      </w:r>
      <w:r>
        <w:rPr>
          <w:spacing w:val="2"/>
        </w:rPr>
        <w:t>力度不及预</w:t>
      </w:r>
      <w:r>
        <w:rPr>
          <w:spacing w:val="2"/>
        </w:rPr>
        <w:t xml:space="preserve"> </w:t>
      </w:r>
      <w:r>
        <w:rPr>
          <w:spacing w:val="1"/>
        </w:rPr>
        <w:t>期、经济基本面仍然偏弱的背景下，权益市场月内深度回调，转债受正股拖累同样</w:t>
      </w:r>
      <w:r>
        <w:rPr>
          <w:spacing w:val="16"/>
        </w:rPr>
        <w:t xml:space="preserve"> </w:t>
      </w:r>
      <w:r>
        <w:rPr>
          <w:spacing w:val="-4"/>
        </w:rPr>
        <w:t>面临回撤，但韧性仍存，跌幅窄于正股。随后，</w:t>
      </w:r>
      <w:r>
        <w:rPr>
          <w:spacing w:val="-48"/>
        </w:rPr>
        <w:t xml:space="preserve"> </w:t>
      </w:r>
      <w:r>
        <w:rPr>
          <w:spacing w:val="-4"/>
        </w:rPr>
        <w:t>证券交易印花税减半征收、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-5"/>
        </w:rPr>
        <w:t>PO</w:t>
      </w:r>
      <w:r>
        <w:rPr>
          <w:spacing w:val="-5"/>
        </w:rPr>
        <w:t>和再</w:t>
      </w:r>
      <w:r>
        <w:t xml:space="preserve"> </w:t>
      </w:r>
      <w:r>
        <w:rPr>
          <w:spacing w:val="-4"/>
        </w:rPr>
        <w:t>融资收紧、股东减持受限、房贷利率下调等措施陆续出台，权</w:t>
      </w:r>
      <w:r>
        <w:rPr>
          <w:spacing w:val="-5"/>
        </w:rPr>
        <w:t>益市场开始反弹，转债</w:t>
      </w:r>
      <w:r>
        <w:t xml:space="preserve"> </w:t>
      </w:r>
      <w:r>
        <w:t>市场也迎来修复。</w:t>
      </w:r>
    </w:p>
    <w:p>
      <w:pPr>
        <w:pStyle w:val="BodyText"/>
        <w:spacing w:before="179" w:line="274" w:lineRule="auto"/>
        <w:ind w:left="3031" w:firstLine="1"/>
      </w:pPr>
      <w:r>
        <w:rPr>
          <w:spacing w:val="-6"/>
        </w:rPr>
        <w:t>但进入</w:t>
      </w:r>
      <w:r>
        <w:rPr>
          <w:rFonts w:ascii="Arial" w:eastAsia="Arial" w:hAnsi="Arial" w:cs="Arial"/>
          <w:spacing w:val="-6"/>
        </w:rPr>
        <w:t>9</w:t>
      </w:r>
      <w:r>
        <w:rPr>
          <w:spacing w:val="-6"/>
        </w:rPr>
        <w:t>月以后，纯债扰动压力加大，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转债出现了估值压缩的预演，</w:t>
      </w:r>
      <w:r>
        <w:rPr>
          <w:spacing w:val="56"/>
        </w:rPr>
        <w:t xml:space="preserve"> </w:t>
      </w:r>
      <w:r>
        <w:rPr>
          <w:spacing w:val="-6"/>
        </w:rPr>
        <w:t>即使央行超预期</w:t>
      </w:r>
      <w:r>
        <w:t xml:space="preserve"> </w:t>
      </w:r>
      <w:r>
        <w:rPr>
          <w:spacing w:val="-5"/>
        </w:rPr>
        <w:t>降准缓和资金波动，但在北向资金继续加速流出的拖</w:t>
      </w:r>
      <w:r>
        <w:rPr>
          <w:spacing w:val="-6"/>
        </w:rPr>
        <w:t>累下，转债指数持续下探低点。</w:t>
      </w:r>
      <w:r>
        <w:t xml:space="preserve"> </w:t>
      </w:r>
      <w:r>
        <w:rPr>
          <w:rFonts w:ascii="Arial" w:eastAsia="Arial" w:hAnsi="Arial" w:cs="Arial"/>
        </w:rPr>
        <w:t>10</w:t>
      </w:r>
      <w:r>
        <w:t>月，在三季度</w:t>
      </w:r>
      <w:r>
        <w:rPr>
          <w:rFonts w:ascii="Arial" w:eastAsia="Arial" w:hAnsi="Arial" w:cs="Arial"/>
        </w:rPr>
        <w:t>GDP</w:t>
      </w:r>
      <w:r>
        <w:t>数据正式公布之后，市场预期四季度政策显著加码的可能</w:t>
      </w:r>
      <w:r>
        <w:rPr>
          <w:spacing w:val="-1"/>
        </w:rPr>
        <w:t>性较</w:t>
      </w:r>
      <w:r>
        <w:t xml:space="preserve"> </w:t>
      </w:r>
      <w:r>
        <w:rPr>
          <w:spacing w:val="-7"/>
        </w:rPr>
        <w:t>低，</w:t>
      </w:r>
      <w:r>
        <w:rPr>
          <w:spacing w:val="-47"/>
        </w:rPr>
        <w:t xml:space="preserve"> </w:t>
      </w:r>
      <w:r>
        <w:rPr>
          <w:spacing w:val="-7"/>
        </w:rPr>
        <w:t>叠加美债持续上行、美方制裁预期从缓和转向加码，</w:t>
      </w:r>
      <w:r>
        <w:rPr>
          <w:spacing w:val="-60"/>
        </w:rPr>
        <w:t xml:space="preserve"> </w:t>
      </w:r>
      <w:r>
        <w:rPr>
          <w:spacing w:val="-7"/>
        </w:rPr>
        <w:t>外资流出压力加剧，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转债估</w:t>
      </w:r>
      <w:r>
        <w:t xml:space="preserve">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值压缩再袭，</w:t>
      </w:r>
      <w:r>
        <w:rPr>
          <w:spacing w:val="53"/>
        </w:rPr>
        <w:t xml:space="preserve"> </w:t>
      </w:r>
      <w:r>
        <w:rPr>
          <w:spacing w:val="-6"/>
        </w:rPr>
        <w:t>权益</w:t>
      </w:r>
      <w:r>
        <w:rPr>
          <w:rFonts w:ascii="Arial" w:eastAsia="Arial" w:hAnsi="Arial" w:cs="Arial"/>
          <w:spacing w:val="-6"/>
        </w:rPr>
        <w:t>&amp;</w:t>
      </w:r>
      <w:r>
        <w:rPr>
          <w:spacing w:val="-6"/>
        </w:rPr>
        <w:t>转债市场再度快速调整至年内低位（</w:t>
      </w:r>
      <w:r>
        <w:rPr>
          <w:rFonts w:ascii="Arial" w:eastAsia="Arial" w:hAnsi="Arial" w:cs="Arial"/>
          <w:spacing w:val="-6"/>
        </w:rPr>
        <w:t>10</w:t>
      </w:r>
      <w:r>
        <w:rPr>
          <w:spacing w:val="-6"/>
        </w:rPr>
        <w:t>月</w:t>
      </w:r>
      <w:r>
        <w:rPr>
          <w:rFonts w:ascii="Arial" w:eastAsia="Arial" w:hAnsi="Arial" w:cs="Arial"/>
          <w:spacing w:val="-7"/>
        </w:rPr>
        <w:t>23</w:t>
      </w:r>
      <w:r>
        <w:rPr>
          <w:spacing w:val="-7"/>
        </w:rPr>
        <w:t>日）</w:t>
      </w:r>
      <w:r>
        <w:rPr>
          <w:spacing w:val="-56"/>
        </w:rPr>
        <w:t xml:space="preserve"> </w:t>
      </w:r>
      <w:r>
        <w:rPr>
          <w:spacing w:val="-7"/>
        </w:rPr>
        <w:t>。</w:t>
      </w:r>
    </w:p>
    <w:p>
      <w:pPr>
        <w:pStyle w:val="BodyText"/>
        <w:spacing w:before="170" w:line="213" w:lineRule="auto"/>
        <w:ind w:left="3052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阶段四（</w:t>
      </w:r>
      <w:r>
        <w:rPr>
          <w:rFonts w:ascii="Arial" w:eastAsia="Arial" w:hAnsi="Arial" w:cs="Arial"/>
          <w:b/>
          <w:bCs/>
        </w:rPr>
        <w:t>2023.7.24-12.1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）：海外流动性改善、纯债拖累的组合，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支撑转债弱反弹</w:t>
      </w:r>
    </w:p>
    <w:p>
      <w:pPr>
        <w:pStyle w:val="BodyText"/>
        <w:spacing w:before="187" w:line="277" w:lineRule="auto"/>
        <w:ind w:left="3030" w:firstLine="23"/>
      </w:pPr>
      <w:r>
        <w:rPr>
          <w:rFonts w:ascii="Arial" w:eastAsia="Arial" w:hAnsi="Arial" w:cs="Arial"/>
          <w:spacing w:val="-3"/>
        </w:rPr>
        <w:t>10</w:t>
      </w:r>
      <w:r>
        <w:rPr>
          <w:spacing w:val="-3"/>
        </w:rPr>
        <w:t>月下旬，中央财政增发国债</w:t>
      </w:r>
      <w:r>
        <w:rPr>
          <w:rFonts w:ascii="Arial" w:eastAsia="Arial" w:hAnsi="Arial" w:cs="Arial"/>
          <w:spacing w:val="-3"/>
        </w:rPr>
        <w:t>1</w:t>
      </w:r>
      <w:r>
        <w:rPr>
          <w:spacing w:val="-3"/>
        </w:rPr>
        <w:t>万亿元、中美高层会面释放中美关系缓和信号、中央</w:t>
      </w:r>
      <w:r>
        <w:rPr>
          <w:spacing w:val="6"/>
        </w:rPr>
        <w:t xml:space="preserve"> </w:t>
      </w:r>
      <w:r>
        <w:rPr>
          <w:spacing w:val="-4"/>
        </w:rPr>
        <w:t>金融工作会议召开，支撑市场底部反弹。</w:t>
      </w:r>
      <w:r>
        <w:rPr>
          <w:spacing w:val="72"/>
        </w:rPr>
        <w:t xml:space="preserve"> </w:t>
      </w:r>
      <w:r>
        <w:rPr>
          <w:rFonts w:ascii="Arial" w:eastAsia="Arial" w:hAnsi="Arial" w:cs="Arial"/>
          <w:spacing w:val="-4"/>
        </w:rPr>
        <w:t>11</w:t>
      </w:r>
      <w:r>
        <w:rPr>
          <w:spacing w:val="-4"/>
        </w:rPr>
        <w:t>月初，美联储暂停加息、非农就业低于</w:t>
      </w:r>
      <w:r>
        <w:t xml:space="preserve"> </w:t>
      </w:r>
      <w:r>
        <w:rPr>
          <w:spacing w:val="-7"/>
        </w:rPr>
        <w:t>预期，</w:t>
      </w:r>
      <w:r>
        <w:rPr>
          <w:spacing w:val="-41"/>
        </w:rPr>
        <w:t xml:space="preserve"> </w:t>
      </w:r>
      <w:r>
        <w:rPr>
          <w:spacing w:val="-7"/>
        </w:rPr>
        <w:t>海外流动性迎来改善，进一步驱动市场反弹。随后海内外核心数</w:t>
      </w:r>
      <w:r>
        <w:rPr>
          <w:spacing w:val="-8"/>
        </w:rPr>
        <w:t>据接连发布，</w:t>
      </w:r>
      <w:r>
        <w:t xml:space="preserve"> </w:t>
      </w:r>
      <w:r>
        <w:rPr>
          <w:spacing w:val="2"/>
        </w:rPr>
        <w:t>国内经济需求仍相对不足，美国通胀压力放缓，二者</w:t>
      </w:r>
      <w:r>
        <w:rPr>
          <w:spacing w:val="1"/>
        </w:rPr>
        <w:t>分别代表的</w:t>
      </w:r>
      <w:r>
        <w:rPr>
          <w:rFonts w:ascii="Arial" w:eastAsia="Arial" w:hAnsi="Arial" w:cs="Arial"/>
        </w:rPr>
        <w:t>EPS</w:t>
      </w:r>
      <w:r>
        <w:rPr>
          <w:spacing w:val="1"/>
        </w:rPr>
        <w:t>下滑和风险偏</w:t>
      </w:r>
      <w:r>
        <w:t xml:space="preserve"> </w:t>
      </w:r>
      <w:r>
        <w:rPr>
          <w:spacing w:val="1"/>
        </w:rPr>
        <w:t>好改善未能实现共振，指数来到阶段性高位。进入</w:t>
      </w:r>
      <w:r>
        <w:rPr>
          <w:rFonts w:ascii="Arial" w:eastAsia="Arial" w:hAnsi="Arial" w:cs="Arial"/>
          <w:spacing w:val="1"/>
        </w:rPr>
        <w:t>11</w:t>
      </w:r>
      <w:r>
        <w:rPr>
          <w:spacing w:val="1"/>
        </w:rPr>
        <w:t>月中下旬，</w:t>
      </w:r>
      <w:r>
        <w:t>地产政策托底预期</w:t>
      </w:r>
      <w:r>
        <w:t xml:space="preserve"> </w:t>
      </w:r>
      <w:r>
        <w:rPr>
          <w:spacing w:val="-5"/>
        </w:rPr>
        <w:t>升温</w:t>
      </w:r>
      <w:r>
        <w:rPr>
          <w:spacing w:val="-4"/>
        </w:rPr>
        <w:t>、资金防空转，国内债市调整压力加大，同时美联储加息结束交</w:t>
      </w:r>
      <w:r>
        <w:rPr>
          <w:spacing w:val="-5"/>
        </w:rPr>
        <w:t>易暂告段落，</w:t>
      </w:r>
      <w:r>
        <w:rPr>
          <w:spacing w:val="-3"/>
        </w:rPr>
        <w:t>权</w:t>
      </w:r>
      <w:r>
        <w:t xml:space="preserve"> </w:t>
      </w:r>
      <w:r>
        <w:rPr>
          <w:spacing w:val="-6"/>
        </w:rPr>
        <w:t>益指数再度回落。</w:t>
      </w:r>
      <w:r>
        <w:rPr>
          <w:spacing w:val="-6"/>
          <w:u w:val="single" w:color="auto"/>
        </w:rPr>
        <w:t>在此期间，</w:t>
      </w:r>
      <w:r>
        <w:rPr>
          <w:spacing w:val="-38"/>
          <w:u w:val="single" w:color="auto"/>
        </w:rPr>
        <w:t xml:space="preserve"> </w:t>
      </w:r>
      <w:r>
        <w:rPr>
          <w:spacing w:val="-6"/>
          <w:u w:val="single" w:color="auto"/>
        </w:rPr>
        <w:t>受限于纯债利率上行，转债反弹力度明显较弱，随后再</w:t>
      </w:r>
      <w:r>
        <w:t xml:space="preserve"> </w:t>
      </w:r>
      <w:r>
        <w:rPr>
          <w:spacing w:val="-3"/>
          <w:u w:val="single" w:color="auto"/>
        </w:rPr>
        <w:t>次遭遇了估值调整，</w:t>
      </w:r>
      <w:r>
        <w:rPr>
          <w:spacing w:val="-8"/>
          <w:u w:val="single" w:color="auto"/>
        </w:rPr>
        <w:t xml:space="preserve"> </w:t>
      </w:r>
      <w:r>
        <w:rPr>
          <w:spacing w:val="-3"/>
          <w:u w:val="single" w:color="auto"/>
        </w:rPr>
        <w:t>直至</w:t>
      </w:r>
      <w:r>
        <w:rPr>
          <w:rFonts w:ascii="Arial" w:eastAsia="Arial" w:hAnsi="Arial" w:cs="Arial"/>
          <w:spacing w:val="-3"/>
          <w:u w:val="single" w:color="auto"/>
        </w:rPr>
        <w:t>11</w:t>
      </w:r>
      <w:r>
        <w:rPr>
          <w:spacing w:val="-3"/>
          <w:u w:val="single" w:color="auto"/>
        </w:rPr>
        <w:t>月底，转债才阶段性企稳。</w:t>
      </w:r>
    </w:p>
    <w:p>
      <w:pPr>
        <w:pStyle w:val="BodyText"/>
        <w:spacing w:before="184" w:line="275" w:lineRule="auto"/>
        <w:ind w:left="3031" w:firstLine="7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进一步对比转债和其他常见的权益和纯债指数风险收益数据，可以发现中证转债指</w:t>
      </w:r>
      <w:r>
        <w:rPr>
          <w:spacing w:val="5"/>
        </w:rP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数的综合表现强于大多数权益类指数，但显著弱于纯债品种。</w:t>
      </w:r>
      <w:r>
        <w:rPr>
          <w:spacing w:val="1"/>
        </w:rPr>
        <w:t>从常见股债宽基指数</w:t>
      </w:r>
      <w:r>
        <w:rPr>
          <w:spacing w:val="15"/>
        </w:rPr>
        <w:t xml:space="preserve"> </w:t>
      </w:r>
      <w:r>
        <w:rPr>
          <w:spacing w:val="-4"/>
        </w:rPr>
        <w:t>今年</w:t>
      </w:r>
      <w:r>
        <w:rPr>
          <w:spacing w:val="-3"/>
        </w:rPr>
        <w:t>以来的收益率来看，中证转债微跌</w:t>
      </w:r>
      <w:r>
        <w:rPr>
          <w:rFonts w:ascii="Arial" w:eastAsia="Arial" w:hAnsi="Arial" w:cs="Arial"/>
          <w:spacing w:val="-3"/>
        </w:rPr>
        <w:t>0.54%</w:t>
      </w:r>
      <w:r>
        <w:rPr>
          <w:spacing w:val="-3"/>
        </w:rPr>
        <w:t>，强于万得全</w:t>
      </w:r>
      <w:r>
        <w:rPr>
          <w:rFonts w:ascii="Arial" w:eastAsia="Arial" w:hAnsi="Arial" w:cs="Arial"/>
          <w:spacing w:val="-3"/>
        </w:rPr>
        <w:t>A</w:t>
      </w:r>
      <w:r>
        <w:rPr>
          <w:spacing w:val="-3"/>
        </w:rPr>
        <w:t>、沪深</w:t>
      </w:r>
      <w:r>
        <w:rPr>
          <w:rFonts w:ascii="Arial" w:eastAsia="Arial" w:hAnsi="Arial" w:cs="Arial"/>
          <w:spacing w:val="-3"/>
        </w:rPr>
        <w:t>300</w:t>
      </w:r>
      <w:r>
        <w:rPr>
          <w:spacing w:val="-3"/>
        </w:rPr>
        <w:t>、中证</w:t>
      </w:r>
      <w:r>
        <w:rPr>
          <w:rFonts w:ascii="Arial" w:eastAsia="Arial" w:hAnsi="Arial" w:cs="Arial"/>
          <w:spacing w:val="-3"/>
        </w:rPr>
        <w:t>500</w:t>
      </w:r>
      <w:r>
        <w:rPr>
          <w:spacing w:val="-1"/>
        </w:rPr>
        <w:t>这</w:t>
      </w:r>
      <w:r>
        <w:rPr>
          <w:spacing w:val="6"/>
        </w:rPr>
        <w:t xml:space="preserve"> </w:t>
      </w:r>
      <w:r>
        <w:rPr>
          <w:spacing w:val="-2"/>
        </w:rPr>
        <w:t>些权益指数，尤其是大盘价值风格指数沪深</w:t>
      </w:r>
      <w:r>
        <w:rPr>
          <w:rFonts w:ascii="Arial" w:eastAsia="Arial" w:hAnsi="Arial" w:cs="Arial"/>
          <w:spacing w:val="-2"/>
        </w:rPr>
        <w:t>300</w:t>
      </w:r>
      <w:r>
        <w:rPr>
          <w:spacing w:val="-2"/>
        </w:rPr>
        <w:t>。从回撤情</w:t>
      </w:r>
      <w:r>
        <w:rPr>
          <w:spacing w:val="-3"/>
        </w:rPr>
        <w:t>况来看，中证转债年内最</w:t>
      </w:r>
      <w:r>
        <w:t xml:space="preserve"> </w:t>
      </w:r>
      <w:r>
        <w:rPr>
          <w:spacing w:val="-6"/>
        </w:rPr>
        <w:t>大回撤约</w:t>
      </w:r>
      <w:r>
        <w:rPr>
          <w:rFonts w:ascii="Arial" w:eastAsia="Arial" w:hAnsi="Arial" w:cs="Arial"/>
          <w:spacing w:val="-6"/>
        </w:rPr>
        <w:t>6.87%</w:t>
      </w:r>
      <w:r>
        <w:rPr>
          <w:spacing w:val="-6"/>
        </w:rPr>
        <w:t>，显著窄于各大权益指数，韧性显著较强。不过，</w:t>
      </w:r>
      <w:r>
        <w:rPr>
          <w:spacing w:val="-6"/>
        </w:rPr>
        <w:t xml:space="preserve"> </w:t>
      </w:r>
      <w:r>
        <w:rPr>
          <w:spacing w:val="-6"/>
        </w:rPr>
        <w:t>相比于纯债品种，</w:t>
      </w:r>
      <w:r>
        <w:rPr>
          <w:spacing w:val="16"/>
        </w:rPr>
        <w:t xml:space="preserve"> </w:t>
      </w:r>
      <w:r>
        <w:t>今年转债未能起到有效的收益增厚作用。</w:t>
      </w:r>
    </w:p>
    <w:p>
      <w:pPr>
        <w:spacing w:line="275" w:lineRule="auto"/>
        <w:sectPr>
          <w:headerReference w:type="default" r:id="rId37"/>
          <w:footerReference w:type="default" r:id="rId38"/>
          <w:pgSz w:w="11907" w:h="16839"/>
          <w:pgMar w:top="1383" w:right="633" w:bottom="1249" w:left="622" w:header="794" w:footer="741" w:gutter="0"/>
          <w:pgNumType w:start="11"/>
          <w:cols w:space="708"/>
        </w:sectPr>
      </w:pPr>
    </w:p>
    <w:p>
      <w:pPr>
        <w:pStyle w:val="BodyText"/>
        <w:spacing w:before="82" w:line="226" w:lineRule="auto"/>
        <w:ind w:left="3064"/>
      </w:pPr>
      <w:r>
        <w:pict>
          <v:shape id="_x0000_s1085" style="width:384.45pt;height:0.5pt;margin-top:239.18pt;margin-left:178.82pt;mso-position-horizontal-relative:page;mso-position-vertical-relative:page;position:absolute;z-index:251663360" coordorigin="0,0" coordsize="7689,10" o:allowincell="f" path="m,9l1560,9l1560,l,l,9xem1560,9l1570,9l1570,l1560,l1560,9xem1570,9l3828,9l3828,l1570,l1570,9xem3829,9l3838,9l3838,l3829,l3829,9xem3838,9l5530,9l5530,l3838,l3838,9xem5530,9l5540,9l5540,l5530,l5530,9xem5540,9l6663,9l6663,l5540,l5540,9xem6664,9l6673,9l6673,l6664,l6664,9xem6673,9l7688,9l7688,l6673,l6673,9xe" filled="t" fillcolor="black" stroked="f"/>
        </w:pict>
      </w:r>
      <w:r>
        <w:pict>
          <v:shape id="_x0000_s1086" style="width:382.9pt;height:0.5pt;margin-top:455.33pt;margin-left:180.62pt;mso-position-horizontal-relative:page;mso-position-vertical-relative:page;position:absolute;z-index:251664384" coordorigin="0,0" coordsize="7657,10" o:allowincell="f" path="m,9l7657,9l7657,l,l,9xe" filled="t" fillcolor="black" stroked="f"/>
        </w:pict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2621279</wp:posOffset>
            </wp:positionH>
            <wp:positionV relativeFrom="page">
              <wp:posOffset>6135895</wp:posOffset>
            </wp:positionV>
            <wp:extent cx="4195572" cy="1807632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195572" cy="1807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7" style="width:329.7pt;height:161.8pt;margin-top:479.04pt;margin-left:206.34pt;mso-position-horizontal-relative:page;mso-position-vertical-relative:page;position:absolute;z-index:-251655168" coordorigin="0,0" coordsize="6594,3236" o:allowincell="f" path="m2,3233l2,2m2,3233l50,3233m2,2587l50,2587m2,1941l50,1941m2,1295l50,1295m2,647l50,647m2,2l50,2m2,3233l6593,3233m2,3184l2,3233m1179,3184l1179,3233m2377,3184l2377,3233m3572,3184l3572,3233m4789,3184l4789,3233m5985,3184l5985,3233e" filled="f" strokecolor="black" strokeweight="0.25pt"/>
        </w:pict>
      </w:r>
      <w:r>
        <w:pict>
          <v:shape id="_x0000_s1088" style="width:382.9pt;height:0.5pt;margin-top:656.98pt;margin-left:180.62pt;mso-position-horizontal-relative:page;mso-position-vertical-relative:page;position:absolute;z-index:251665408" coordorigin="0,0" coordsize="7657,10" o:allowincell="f" path="m,9l7657,9l7657,l,l,9xe" filled="t" fillcolor="black" stroked="f"/>
        </w:pict>
      </w:r>
      <w:r>
        <w:rPr>
          <w:color w:val="0F243E"/>
          <w:spacing w:val="1"/>
          <w14:textOutline w14:w="3831">
            <w14:solidFill>
              <w14:srgbClr w14:val="0F243E"/>
            </w14:solidFill>
            <w14:prstDash w14:val="solid"/>
            <w14:round/>
          </w14:textOutline>
        </w:rPr>
        <w:t>表</w:t>
      </w:r>
      <w:r>
        <w:rPr>
          <w:rFonts w:ascii="Arial" w:eastAsia="Arial" w:hAnsi="Arial" w:cs="Arial"/>
          <w:b/>
          <w:bCs/>
          <w:color w:val="0F243E"/>
          <w:spacing w:val="1"/>
        </w:rPr>
        <w:t>1</w:t>
      </w:r>
      <w:r>
        <w:rPr>
          <w:color w:val="0F243E"/>
          <w:spacing w:val="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：从指数收益来看，今年转债品种强于正股，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但显著弱于纯债（</w:t>
      </w:r>
      <w:r>
        <w:rPr>
          <w:rFonts w:ascii="Arial" w:eastAsia="Arial" w:hAnsi="Arial" w:cs="Arial"/>
          <w:b/>
          <w:bCs/>
          <w:color w:val="0F243E"/>
        </w:rPr>
        <w:t>2023/12/1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）</w:t>
      </w:r>
    </w:p>
    <w:p>
      <w:pPr>
        <w:pStyle w:val="BodyText"/>
        <w:spacing w:before="41" w:line="411" w:lineRule="exact"/>
        <w:ind w:firstLine="2953"/>
      </w:pPr>
      <w:r>
        <w:rPr>
          <w:position w:val="-8"/>
        </w:rPr>
        <w:pict>
          <v:group id="_x0000_i1089" style="width:384.6pt;height:20.55pt;mso-position-horizontal-relative:char;mso-position-vertical-relative:line" coordorigin="0,0" coordsize="7692,410" filled="f" stroked="f">
            <v:rect id="_x0000_s1090" style="width:7692;height:410;position:absolute" filled="t" fillcolor="#dbe5f1" stroked="f"/>
            <v:shape id="_x0000_s1091" type="#_x0000_t202" style="width:1486;height:201;left:3937;position:absolute;top:106" filled="f" stroked="f">
              <o:lock v:ext="edit" aspectratio="f"/>
              <v:textbox inset="0,0,0,0">
                <w:txbxContent>
                  <w:p>
                    <w:pPr>
                      <w:spacing w:before="19" w:line="218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z w:val="16"/>
                        <w:szCs w:val="16"/>
                        <w14:textOutline w14:w="2917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今年以来累计收益率</w:t>
                    </w:r>
                  </w:p>
                </w:txbxContent>
              </v:textbox>
            </v:shape>
            <v:shape id="_x0000_s1092" type="#_x0000_t202" style="width:679;height:201;left:2356;position:absolute;top:106" filled="f" stroked="f">
              <o:lock v:ext="edit" aspectratio="f"/>
              <v:textbox inset="0,0,0,0">
                <w:txbxContent>
                  <w:p>
                    <w:pPr>
                      <w:spacing w:before="20" w:line="221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  <w14:textOutline w14:w="2917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指数简称</w:t>
                    </w:r>
                  </w:p>
                </w:txbxContent>
              </v:textbox>
            </v:shape>
            <v:shape id="_x0000_s1093" type="#_x0000_t202" style="width:679;height:201;left:443;position:absolute;top:106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  <w14:textOutline w14:w="2917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指数代码</w:t>
                    </w:r>
                  </w:p>
                </w:txbxContent>
              </v:textbox>
            </v:shape>
            <v:shape id="_x0000_s1094" type="#_x0000_t202" style="width:676;height:201;left:6842;position:absolute;top:106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color w:val="0F243E"/>
                        <w:spacing w:val="-1"/>
                        <w:sz w:val="16"/>
                        <w:szCs w:val="16"/>
                        <w14:textOutline w14:w="2917">
                          <w14:solidFill>
                            <w14:srgbClr w14:val="0F243E"/>
                          </w14:solidFill>
                          <w14:prstDash w14:val="solid"/>
                          <w14:round/>
                        </w14:textOutline>
                      </w:rPr>
                      <w:t>夏普比率</w:t>
                    </w:r>
                  </w:p>
                </w:txbxContent>
              </v:textbox>
            </v:shape>
            <v:shape id="_x0000_s1095" type="#_x0000_t202" style="width:674;height:201;left:5766;position:absolute;top:106" filled="f" stroked="f">
              <o:lock v:ext="edit" aspectratio="f"/>
              <v:textbox inset="0,0,0,0">
                <w:txbxContent>
                  <w:p>
                    <w:pPr>
                      <w:spacing w:before="19" w:line="215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  <w14:textOutline w14:w="2917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最大回撤</w:t>
                    </w:r>
                  </w:p>
                </w:txbxContent>
              </v:textbox>
            </v:shape>
            <v:shape id="_x0000_s1096" style="width:6674;height:11;position:absolute" coordorigin="0,0" coordsize="6674,11" path="m,10l1560,10l1560,l,l,10xem1560,10l1570,10l1570,l1560,l1560,10xem1570,10l3828,10l3828,l1570,l1570,10xem3829,10l3838,10l3838,l3829,l3829,10xem5530,10l5540,10l5540,l5530,l5530,10xem5540,10l6663,10l6663,l5540,l5540,10xem6664,10l6673,10l6673,l6664,l6664,10xe" filled="t" fillcolor="black" stroked="f"/>
            <v:shape id="_x0000_s1097" style="width:6674;height:10;position:absolute;top:401" coordorigin="0,0" coordsize="6674,10" path="m,9l1560,9l1560,l,l,9xem1560,9l1570,9l1570,l1560,l1560,9xem1570,9l3828,9l3828,l1570,l1570,9xem3829,9l3838,9l3838,l3829,l3829,9xem5530,9l5540,9l5540,l5530,l5530,9xem5540,9l6663,9l6663,l5540,l5540,9xem6664,9l6673,9l6673,l6664,l6664,9xe" filled="t" fillcolor="black" stroked="f"/>
            <w10:wrap type="none"/>
          </v:group>
        </w:pict>
      </w:r>
    </w:p>
    <w:p>
      <w:pPr>
        <w:pStyle w:val="BodyText"/>
        <w:spacing w:before="82" w:line="218" w:lineRule="auto"/>
        <w:ind w:left="3318"/>
        <w:outlineLvl w:val="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FF0000"/>
          <w:spacing w:val="-1"/>
          <w:sz w:val="16"/>
          <w:szCs w:val="16"/>
        </w:rPr>
        <w:t xml:space="preserve">000832.CSI                           </w:t>
      </w:r>
      <w:r>
        <w:rPr>
          <w:color w:val="FF0000"/>
          <w:spacing w:val="-1"/>
          <w:sz w:val="16"/>
          <w:szCs w:val="16"/>
          <w14:textOutline w14:w="2917">
            <w14:solidFill>
              <w14:srgbClr w14:val="FF0000"/>
            </w14:solidFill>
            <w14:prstDash w14:val="solid"/>
            <w14:round/>
          </w14:textOutline>
        </w:rPr>
        <w:t>中证转债</w:t>
      </w:r>
      <w:r>
        <w:rPr>
          <w:color w:val="FF0000"/>
          <w:spacing w:val="-1"/>
          <w:sz w:val="16"/>
          <w:szCs w:val="16"/>
        </w:rPr>
        <w:t xml:space="preserve">                  </w:t>
      </w:r>
      <w:r>
        <w:rPr>
          <w:rFonts w:ascii="Arial" w:eastAsia="Arial" w:hAnsi="Arial" w:cs="Arial"/>
          <w:b/>
          <w:bCs/>
          <w:color w:val="FF0000"/>
          <w:spacing w:val="-1"/>
          <w:sz w:val="16"/>
          <w:szCs w:val="16"/>
        </w:rPr>
        <w:t>-0.42%                     -6.87%               -0.63</w:t>
      </w:r>
    </w:p>
    <w:p>
      <w:pPr>
        <w:spacing w:line="105" w:lineRule="exact"/>
      </w:pPr>
    </w:p>
    <w:p>
      <w:pPr>
        <w:spacing w:line="105" w:lineRule="exact"/>
        <w:sectPr>
          <w:headerReference w:type="default" r:id="rId40"/>
          <w:footerReference w:type="default" r:id="rId41"/>
          <w:pgSz w:w="11907" w:h="16839"/>
          <w:pgMar w:top="1383" w:right="574" w:bottom="1249" w:left="622" w:header="794" w:footer="741" w:gutter="0"/>
          <w:pgNumType w:start="12"/>
          <w:cols w:num="1" w:space="708" w:equalWidth="0">
            <w:col w:w="10710" w:space="0"/>
          </w:cols>
        </w:sectPr>
      </w:pPr>
    </w:p>
    <w:p>
      <w:pPr>
        <w:spacing w:before="54" w:line="181" w:lineRule="auto"/>
        <w:ind w:left="3339"/>
        <w:rPr>
          <w:rFonts w:ascii="Arial" w:eastAsia="Arial" w:hAnsi="Arial" w:cs="Arial"/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column">
                  <wp:posOffset>1875409</wp:posOffset>
                </wp:positionH>
                <wp:positionV relativeFrom="paragraph">
                  <wp:posOffset>-31852</wp:posOffset>
                </wp:positionV>
                <wp:extent cx="4884420" cy="207645"/>
                <wp:effectExtent l="0" t="0" r="0" b="0"/>
                <wp:wrapNone/>
                <wp:docPr id="52" name="Rect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875409" y="-31852"/>
                          <a:ext cx="4884420" cy="20764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52" o:spid="_x0000_s1098" style="width:384.6pt;height:16.35pt;margin-top:-2.51pt;margin-left:147.67pt;mso-wrap-distance-bottom:0;mso-wrap-distance-left:0;mso-wrap-distance-right:0;mso-wrap-distance-top:0;position:absolute;v-text-anchor:top;z-index:-251650048" fillcolor="#f2f2f2" stroked="f"/>
            </w:pict>
          </mc:Fallback>
        </mc:AlternateContent>
      </w:r>
      <w:r>
        <w:rPr>
          <w:rFonts w:ascii="Arial" w:eastAsia="Arial" w:hAnsi="Arial" w:cs="Arial"/>
          <w:spacing w:val="-1"/>
          <w:sz w:val="16"/>
          <w:szCs w:val="16"/>
        </w:rPr>
        <w:t>000300.SH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rFonts w:ascii="Arial" w:eastAsia="Arial" w:hAnsi="Arial" w:cs="Arial"/>
          <w:sz w:val="16"/>
          <w:szCs w:val="16"/>
        </w:rPr>
      </w:pPr>
      <w:r>
        <w:rPr>
          <w:spacing w:val="-5"/>
          <w:sz w:val="16"/>
          <w:szCs w:val="16"/>
        </w:rPr>
        <w:t>沪深</w:t>
      </w:r>
      <w:r>
        <w:rPr>
          <w:spacing w:val="-3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5"/>
          <w:sz w:val="16"/>
          <w:szCs w:val="16"/>
        </w:rPr>
        <w:t>300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181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-10.04%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181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-17.31%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18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-1.12</w:t>
      </w:r>
    </w:p>
    <w:p>
      <w:pPr>
        <w:spacing w:line="180" w:lineRule="auto"/>
        <w:rPr>
          <w:rFonts w:ascii="Arial" w:eastAsia="Arial" w:hAnsi="Arial" w:cs="Arial"/>
          <w:sz w:val="16"/>
          <w:szCs w:val="16"/>
        </w:rPr>
        <w:sectPr>
          <w:headerReference w:type="default" r:id="rId42"/>
          <w:footerReference w:type="default" r:id="rId43"/>
          <w:type w:val="continuous"/>
          <w:pgSz w:w="11907" w:h="16839"/>
          <w:pgMar w:top="1383" w:right="574" w:bottom="1249" w:left="622" w:header="794" w:footer="741" w:gutter="0"/>
          <w:pgNumType w:start="13"/>
          <w:cols w:num="5" w:space="708" w:equalWidth="0">
            <w:col w:w="5255" w:space="100"/>
            <w:col w:w="1885" w:space="100"/>
            <w:col w:w="1319" w:space="100"/>
            <w:col w:w="1096" w:space="100"/>
            <w:col w:w="756" w:space="0"/>
          </w:cols>
        </w:sectPr>
      </w:pPr>
    </w:p>
    <w:p>
      <w:pPr>
        <w:pStyle w:val="BodyText"/>
        <w:spacing w:before="165" w:line="223" w:lineRule="auto"/>
        <w:ind w:left="333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000001.SH                           </w:t>
      </w:r>
      <w:r>
        <w:rPr>
          <w:sz w:val="16"/>
          <w:szCs w:val="16"/>
        </w:rPr>
        <w:t>上证指数</w:t>
      </w:r>
      <w:r>
        <w:rPr>
          <w:spacing w:val="3"/>
          <w:sz w:val="16"/>
          <w:szCs w:val="16"/>
        </w:rPr>
        <w:t xml:space="preserve">                 </w:t>
      </w:r>
      <w:r>
        <w:rPr>
          <w:rFonts w:ascii="Arial" w:eastAsia="Arial" w:hAnsi="Arial" w:cs="Arial"/>
          <w:sz w:val="16"/>
          <w:szCs w:val="16"/>
        </w:rPr>
        <w:t xml:space="preserve">-1.87%                   -13.42%  </w:t>
      </w:r>
      <w:r>
        <w:rPr>
          <w:rFonts w:ascii="Arial" w:eastAsia="Arial" w:hAnsi="Arial" w:cs="Arial"/>
          <w:spacing w:val="-1"/>
          <w:sz w:val="16"/>
          <w:szCs w:val="16"/>
        </w:rPr>
        <w:t xml:space="preserve">            -0.52</w:t>
      </w:r>
    </w:p>
    <w:p>
      <w:pPr>
        <w:spacing w:line="101" w:lineRule="exact"/>
      </w:pPr>
    </w:p>
    <w:p>
      <w:pPr>
        <w:spacing w:line="101" w:lineRule="exact"/>
        <w:sectPr>
          <w:headerReference w:type="default" r:id="rId44"/>
          <w:footerReference w:type="default" r:id="rId45"/>
          <w:type w:val="continuous"/>
          <w:pgSz w:w="11907" w:h="16839"/>
          <w:pgMar w:top="1383" w:right="574" w:bottom="1249" w:left="622" w:header="794" w:footer="741" w:gutter="0"/>
          <w:pgNumType w:start="14"/>
          <w:cols w:num="1" w:space="708" w:equalWidth="0">
            <w:col w:w="10710" w:space="0"/>
          </w:cols>
        </w:sectPr>
      </w:pPr>
    </w:p>
    <w:p>
      <w:pPr>
        <w:spacing w:before="55" w:line="180" w:lineRule="auto"/>
        <w:ind w:left="3354"/>
        <w:rPr>
          <w:rFonts w:ascii="Arial" w:eastAsia="Arial" w:hAnsi="Arial" w:cs="Arial"/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column">
                  <wp:posOffset>1875409</wp:posOffset>
                </wp:positionH>
                <wp:positionV relativeFrom="paragraph">
                  <wp:posOffset>-32285</wp:posOffset>
                </wp:positionV>
                <wp:extent cx="4884420" cy="207645"/>
                <wp:effectExtent l="0" t="0" r="0" b="0"/>
                <wp:wrapNone/>
                <wp:docPr id="54" name="Rect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875409" y="-32285"/>
                          <a:ext cx="4884420" cy="20764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54" o:spid="_x0000_s1099" style="width:384.6pt;height:16.35pt;margin-top:-2.54pt;margin-left:147.67pt;mso-wrap-distance-bottom:0;mso-wrap-distance-left:0;mso-wrap-distance-right:0;mso-wrap-distance-top:0;position:absolute;v-text-anchor:top;z-index:-251648000" fillcolor="#f2f2f2" stroked="f"/>
            </w:pict>
          </mc:Fallback>
        </mc:AlternateContent>
      </w:r>
      <w:r>
        <w:rPr>
          <w:rFonts w:ascii="Arial" w:eastAsia="Arial" w:hAnsi="Arial" w:cs="Arial"/>
          <w:spacing w:val="-1"/>
          <w:sz w:val="16"/>
          <w:szCs w:val="16"/>
        </w:rPr>
        <w:t>881001.WI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rFonts w:ascii="Arial" w:eastAsia="Arial" w:hAnsi="Arial" w:cs="Arial"/>
          <w:sz w:val="16"/>
          <w:szCs w:val="16"/>
        </w:rPr>
      </w:pPr>
      <w:r>
        <w:rPr>
          <w:spacing w:val="-3"/>
          <w:sz w:val="16"/>
          <w:szCs w:val="16"/>
        </w:rPr>
        <w:t>万得全</w:t>
      </w:r>
      <w:r>
        <w:rPr>
          <w:spacing w:val="-40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sz w:val="16"/>
          <w:szCs w:val="16"/>
        </w:rPr>
        <w:t>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181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-3.01%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181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-15.30%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4" w:line="18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-0.58</w:t>
      </w:r>
    </w:p>
    <w:p>
      <w:pPr>
        <w:spacing w:line="180" w:lineRule="auto"/>
        <w:rPr>
          <w:rFonts w:ascii="Arial" w:eastAsia="Arial" w:hAnsi="Arial" w:cs="Arial"/>
          <w:sz w:val="16"/>
          <w:szCs w:val="16"/>
        </w:rPr>
        <w:sectPr>
          <w:headerReference w:type="default" r:id="rId46"/>
          <w:footerReference w:type="default" r:id="rId47"/>
          <w:type w:val="continuous"/>
          <w:pgSz w:w="11907" w:h="16839"/>
          <w:pgMar w:top="1383" w:right="574" w:bottom="1249" w:left="622" w:header="794" w:footer="741" w:gutter="0"/>
          <w:pgNumType w:start="15"/>
          <w:cols w:num="5" w:space="708" w:equalWidth="0">
            <w:col w:w="5247" w:space="100"/>
            <w:col w:w="1939" w:space="100"/>
            <w:col w:w="1274" w:space="100"/>
            <w:col w:w="1096" w:space="100"/>
            <w:col w:w="756" w:space="0"/>
          </w:cols>
        </w:sectPr>
      </w:pPr>
    </w:p>
    <w:p>
      <w:pPr>
        <w:pStyle w:val="BodyText"/>
        <w:spacing w:before="165" w:line="218" w:lineRule="auto"/>
        <w:ind w:left="333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000905.SH</w:t>
      </w:r>
      <w:r>
        <w:rPr>
          <w:rFonts w:ascii="Arial" w:eastAsia="Arial" w:hAnsi="Arial" w:cs="Arial"/>
          <w:spacing w:val="1"/>
          <w:sz w:val="16"/>
          <w:szCs w:val="16"/>
        </w:rPr>
        <w:t xml:space="preserve">                           </w:t>
      </w:r>
      <w:r>
        <w:rPr>
          <w:spacing w:val="-1"/>
          <w:sz w:val="16"/>
          <w:szCs w:val="16"/>
        </w:rPr>
        <w:t>中证</w:t>
      </w:r>
      <w:r>
        <w:rPr>
          <w:spacing w:val="-26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500                                -5.07%                    -18.16%              -0.74</w:t>
      </w:r>
    </w:p>
    <w:p>
      <w:pPr>
        <w:spacing w:line="103" w:lineRule="exact"/>
      </w:pPr>
    </w:p>
    <w:p>
      <w:pPr>
        <w:spacing w:line="103" w:lineRule="exact"/>
        <w:sectPr>
          <w:headerReference w:type="default" r:id="rId48"/>
          <w:footerReference w:type="default" r:id="rId49"/>
          <w:type w:val="continuous"/>
          <w:pgSz w:w="11907" w:h="16839"/>
          <w:pgMar w:top="1383" w:right="574" w:bottom="1249" w:left="622" w:header="794" w:footer="741" w:gutter="0"/>
          <w:pgNumType w:start="16"/>
          <w:cols w:num="1" w:space="708" w:equalWidth="0">
            <w:col w:w="10710" w:space="0"/>
          </w:cols>
        </w:sectPr>
      </w:pPr>
    </w:p>
    <w:p>
      <w:pPr>
        <w:spacing w:before="54" w:line="181" w:lineRule="auto"/>
        <w:ind w:left="3349"/>
        <w:rPr>
          <w:rFonts w:ascii="Arial" w:eastAsia="Arial" w:hAnsi="Arial" w:cs="Arial"/>
          <w:sz w:val="16"/>
          <w:szCs w:val="16"/>
        </w:rPr>
      </w:pPr>
      <w: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column">
                  <wp:posOffset>1875409</wp:posOffset>
                </wp:positionH>
                <wp:positionV relativeFrom="paragraph">
                  <wp:posOffset>-31853</wp:posOffset>
                </wp:positionV>
                <wp:extent cx="4884420" cy="207645"/>
                <wp:effectExtent l="0" t="0" r="0" b="0"/>
                <wp:wrapNone/>
                <wp:docPr id="56" name="Rect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875409" y="-31853"/>
                          <a:ext cx="4884420" cy="20764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56" o:spid="_x0000_s1100" style="width:384.6pt;height:16.35pt;margin-top:-2.51pt;margin-left:147.67pt;mso-wrap-distance-bottom:0;mso-wrap-distance-left:0;mso-wrap-distance-right:0;mso-wrap-distance-top:0;position:absolute;v-text-anchor:top;z-index:-251645952" fillcolor="#f2f2f2" stroked="f"/>
            </w:pict>
          </mc:Fallback>
        </mc:AlternateContent>
      </w:r>
      <w:r>
        <w:rPr>
          <w:rFonts w:ascii="Arial" w:eastAsia="Arial" w:hAnsi="Arial" w:cs="Arial"/>
          <w:spacing w:val="-1"/>
          <w:sz w:val="16"/>
          <w:szCs w:val="16"/>
        </w:rPr>
        <w:t>399303.SZ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rFonts w:ascii="Arial" w:eastAsia="Arial" w:hAnsi="Arial" w:cs="Arial"/>
          <w:sz w:val="16"/>
          <w:szCs w:val="16"/>
        </w:rPr>
      </w:pPr>
      <w:r>
        <w:rPr>
          <w:spacing w:val="-4"/>
          <w:sz w:val="16"/>
          <w:szCs w:val="16"/>
        </w:rPr>
        <w:t>国证</w:t>
      </w:r>
      <w:r>
        <w:rPr>
          <w:spacing w:val="-35"/>
          <w:sz w:val="16"/>
          <w:szCs w:val="16"/>
        </w:rPr>
        <w:t xml:space="preserve"> </w:t>
      </w:r>
      <w:r>
        <w:rPr>
          <w:rFonts w:ascii="Arial" w:eastAsia="Arial" w:hAnsi="Arial" w:cs="Arial"/>
          <w:spacing w:val="-4"/>
          <w:sz w:val="16"/>
          <w:szCs w:val="16"/>
        </w:rPr>
        <w:t>2000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4" w:line="18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2.68%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181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-18.22%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4" w:line="18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-0.10</w:t>
      </w:r>
    </w:p>
    <w:p>
      <w:pPr>
        <w:spacing w:line="180" w:lineRule="auto"/>
        <w:rPr>
          <w:rFonts w:ascii="Arial" w:eastAsia="Arial" w:hAnsi="Arial" w:cs="Arial"/>
          <w:sz w:val="16"/>
          <w:szCs w:val="16"/>
        </w:rPr>
        <w:sectPr>
          <w:headerReference w:type="default" r:id="rId50"/>
          <w:footerReference w:type="default" r:id="rId51"/>
          <w:type w:val="continuous"/>
          <w:pgSz w:w="11907" w:h="16839"/>
          <w:pgMar w:top="1383" w:right="574" w:bottom="1249" w:left="622" w:header="794" w:footer="741" w:gutter="0"/>
          <w:pgNumType w:start="17"/>
          <w:cols w:num="5" w:space="708" w:equalWidth="0">
            <w:col w:w="5211" w:space="100"/>
            <w:col w:w="2001" w:space="100"/>
            <w:col w:w="1248" w:space="100"/>
            <w:col w:w="1096" w:space="100"/>
            <w:col w:w="756" w:space="0"/>
          </w:cols>
        </w:sectPr>
      </w:pPr>
    </w:p>
    <w:p>
      <w:pPr>
        <w:pStyle w:val="BodyText"/>
        <w:spacing w:before="166" w:line="218" w:lineRule="auto"/>
        <w:ind w:left="331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 xml:space="preserve">H11001.CSI                           </w:t>
      </w:r>
      <w:r>
        <w:rPr>
          <w:spacing w:val="-1"/>
          <w:sz w:val="16"/>
          <w:szCs w:val="16"/>
        </w:rPr>
        <w:t>中证全债</w:t>
      </w:r>
      <w:r>
        <w:rPr>
          <w:spacing w:val="-1"/>
          <w:sz w:val="16"/>
          <w:szCs w:val="16"/>
        </w:rPr>
        <w:t xml:space="preserve">                  </w:t>
      </w:r>
      <w:r>
        <w:rPr>
          <w:rFonts w:ascii="Arial" w:eastAsia="Arial" w:hAnsi="Arial" w:cs="Arial"/>
          <w:spacing w:val="-1"/>
          <w:sz w:val="16"/>
          <w:szCs w:val="16"/>
        </w:rPr>
        <w:t>4.06%                      -0.71%               3.24</w:t>
      </w:r>
    </w:p>
    <w:p>
      <w:pPr>
        <w:pStyle w:val="BodyText"/>
        <w:spacing w:before="54" w:line="326" w:lineRule="exact"/>
        <w:ind w:firstLine="2953"/>
      </w:pPr>
      <w:r>
        <w:rPr>
          <w:position w:val="-6"/>
        </w:rPr>
        <w:pict>
          <v:shape id="_x0000_i1101" type="#_x0000_t202" style="width:384.6pt;height:16.35pt;mso-position-horizontal-relative:char;mso-position-vertical-relative:line" filled="t" fillcolor="#f2f2f2" stroked="f">
            <o:lock v:ext="edit" aspectratio="f"/>
            <v:textbox inset="0,0,0,0">
              <w:txbxContent>
                <w:p>
                  <w:pPr>
                    <w:spacing w:before="82" w:line="213" w:lineRule="auto"/>
                    <w:ind w:left="26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 xml:space="preserve">CBA00101.CS          </w:t>
                  </w:r>
                  <w:r>
                    <w:rPr>
                      <w:rFonts w:ascii="KaiTi" w:eastAsia="KaiTi" w:hAnsi="KaiTi" w:cs="KaiTi"/>
                      <w:sz w:val="16"/>
                      <w:szCs w:val="16"/>
                    </w:rPr>
                    <w:t>中债</w:t>
                  </w: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-</w:t>
                  </w:r>
                  <w:r>
                    <w:rPr>
                      <w:rFonts w:ascii="KaiTi" w:eastAsia="KaiTi" w:hAnsi="KaiTi" w:cs="KaiTi"/>
                      <w:sz w:val="16"/>
                      <w:szCs w:val="16"/>
                    </w:rPr>
                    <w:t>新综合财富</w:t>
                  </w: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(</w:t>
                  </w:r>
                  <w:r>
                    <w:rPr>
                      <w:rFonts w:ascii="KaiTi" w:eastAsia="KaiTi" w:hAnsi="KaiTi" w:cs="KaiTi"/>
                      <w:sz w:val="16"/>
                      <w:szCs w:val="16"/>
                    </w:rPr>
                    <w:t>总值</w:t>
                  </w: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)</w:t>
                  </w:r>
                  <w:r>
                    <w:rPr>
                      <w:rFonts w:ascii="KaiTi" w:eastAsia="KaiTi" w:hAnsi="KaiTi" w:cs="KaiTi"/>
                      <w:sz w:val="16"/>
                      <w:szCs w:val="16"/>
                    </w:rPr>
                    <w:t>指数</w:t>
                  </w:r>
                  <w:r>
                    <w:rPr>
                      <w:rFonts w:ascii="KaiTi" w:eastAsia="KaiTi" w:hAnsi="KaiTi" w:cs="KaiTi"/>
                      <w:sz w:val="16"/>
                      <w:szCs w:val="16"/>
                    </w:rPr>
                    <w:t xml:space="preserve">      </w:t>
                  </w:r>
                  <w:r>
                    <w:rPr>
                      <w:rFonts w:ascii="KaiTi" w:eastAsia="KaiTi" w:hAnsi="KaiTi" w:cs="KaiTi"/>
                      <w:spacing w:val="-1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3.73%                     -0.56%                2.58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84" w:line="212" w:lineRule="auto"/>
        <w:ind w:left="3065"/>
        <w:rPr>
          <w:sz w:val="18"/>
          <w:szCs w:val="18"/>
        </w:rPr>
      </w:pPr>
      <w:r>
        <w:rPr>
          <w:color w:val="0F243E"/>
          <w:spacing w:val="-7"/>
          <w:sz w:val="18"/>
          <w:szCs w:val="18"/>
        </w:rPr>
        <w:t>数据来源：</w:t>
      </w:r>
      <w:r>
        <w:rPr>
          <w:color w:val="0F243E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0F243E"/>
          <w:spacing w:val="-7"/>
          <w:sz w:val="18"/>
          <w:szCs w:val="18"/>
        </w:rPr>
        <w:t>Wind</w:t>
      </w:r>
      <w:r>
        <w:rPr>
          <w:color w:val="0F243E"/>
          <w:spacing w:val="-7"/>
          <w:sz w:val="18"/>
          <w:szCs w:val="18"/>
        </w:rPr>
        <w:t>，广发证券发展研究中心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69" w:line="272" w:lineRule="auto"/>
        <w:ind w:left="3040" w:right="59" w:hanging="5"/>
        <w:jc w:val="both"/>
      </w:pPr>
      <w:r>
        <w:rPr>
          <w:rFonts w:ascii="Arial" w:eastAsia="Arial" w:hAnsi="Arial" w:cs="Arial"/>
          <w:b/>
          <w:bCs/>
        </w:rPr>
        <w:t>2023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年，转债估值从年中的岿然不动到年末的冲击频发，不变的是正股拖累，变化</w:t>
      </w:r>
      <w: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的是纯债和流动性支撑。</w:t>
      </w:r>
      <w:r>
        <w:rPr>
          <w:spacing w:val="1"/>
        </w:rPr>
        <w:t>随着年初的增长预期由激进向温和转变，正股迎来漫长的</w:t>
      </w:r>
      <w:r>
        <w:rPr>
          <w:spacing w:val="7"/>
        </w:rPr>
        <w:t xml:space="preserve"> </w:t>
      </w:r>
      <w:r>
        <w:rPr>
          <w:spacing w:val="-2"/>
        </w:rPr>
        <w:t>弱势期，但直到</w:t>
      </w:r>
      <w:r>
        <w:rPr>
          <w:rFonts w:ascii="Arial" w:eastAsia="Arial" w:hAnsi="Arial" w:cs="Arial"/>
          <w:spacing w:val="-2"/>
        </w:rPr>
        <w:t>9</w:t>
      </w:r>
      <w:r>
        <w:rPr>
          <w:spacing w:val="-2"/>
        </w:rPr>
        <w:t>月转债都一直展现了很强的稳定性，这有赖于前期坚定的低利率和</w:t>
      </w:r>
      <w:r>
        <w:rPr>
          <w:spacing w:val="4"/>
        </w:rPr>
        <w:t xml:space="preserve"> </w:t>
      </w:r>
      <w:r>
        <w:rPr>
          <w:spacing w:val="-2"/>
        </w:rPr>
        <w:t>宽流动性预期。但稳定的实现途径是将潜在跌幅透支到估值。这样的隐患从</w:t>
      </w:r>
      <w:r>
        <w:rPr>
          <w:rFonts w:ascii="Arial" w:eastAsia="Arial" w:hAnsi="Arial" w:cs="Arial"/>
          <w:spacing w:val="-2"/>
        </w:rPr>
        <w:t>9</w:t>
      </w:r>
      <w:r>
        <w:rPr>
          <w:spacing w:val="-2"/>
        </w:rPr>
        <w:t>月开始</w:t>
      </w:r>
      <w:r>
        <w:rPr>
          <w:spacing w:val="4"/>
        </w:rPr>
        <w:t xml:space="preserve"> </w:t>
      </w:r>
      <w:r>
        <w:rPr>
          <w:spacing w:val="-6"/>
        </w:rPr>
        <w:t>集中爆发，</w:t>
      </w:r>
      <w:r>
        <w:rPr>
          <w:spacing w:val="-6"/>
        </w:rPr>
        <w:t xml:space="preserve"> </w:t>
      </w:r>
      <w:r>
        <w:rPr>
          <w:rFonts w:ascii="Arial" w:eastAsia="Arial" w:hAnsi="Arial" w:cs="Arial"/>
          <w:spacing w:val="-6"/>
        </w:rPr>
        <w:t>Q4</w:t>
      </w:r>
      <w:r>
        <w:rPr>
          <w:spacing w:val="-6"/>
        </w:rPr>
        <w:t>市场估值频繁遭遇冲击。</w:t>
      </w:r>
    </w:p>
    <w:p>
      <w:pPr>
        <w:pStyle w:val="BodyText"/>
        <w:spacing w:before="183" w:line="262" w:lineRule="auto"/>
        <w:ind w:left="3036" w:hanging="4"/>
        <w:jc w:val="both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从数值层面来看，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截至</w:t>
      </w:r>
      <w:r>
        <w:rPr>
          <w:rFonts w:ascii="Arial" w:eastAsia="Arial" w:hAnsi="Arial" w:cs="Arial"/>
          <w:b/>
          <w:bCs/>
          <w:spacing w:val="-7"/>
        </w:rPr>
        <w:t>12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月</w:t>
      </w:r>
      <w:r>
        <w:rPr>
          <w:rFonts w:ascii="Arial" w:eastAsia="Arial" w:hAnsi="Arial" w:cs="Arial"/>
          <w:b/>
          <w:bCs/>
          <w:spacing w:val="-7"/>
        </w:rPr>
        <w:t>1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日，全年维度，</w:t>
      </w:r>
      <w:r>
        <w:rPr>
          <w:spacing w:val="-7"/>
        </w:rPr>
        <w:t xml:space="preserve"> </w:t>
      </w:r>
      <w:r>
        <w:rPr>
          <w:rFonts w:ascii="Arial" w:eastAsia="Arial" w:hAnsi="Arial" w:cs="Arial"/>
          <w:spacing w:val="-7"/>
        </w:rPr>
        <w:t>80</w:t>
      </w:r>
      <w:r>
        <w:rPr>
          <w:spacing w:val="-7"/>
        </w:rPr>
        <w:t>元平价对应转股溢价率中</w:t>
      </w:r>
      <w:r>
        <w:rPr>
          <w:spacing w:val="-8"/>
        </w:rPr>
        <w:t>枢微升</w:t>
      </w:r>
      <w:r>
        <w:rPr>
          <w:rFonts w:ascii="Arial" w:eastAsia="Arial" w:hAnsi="Arial" w:cs="Arial"/>
          <w:spacing w:val="-8"/>
        </w:rPr>
        <w:t>0.57</w:t>
      </w:r>
      <w:r>
        <w:rPr>
          <w:rFonts w:ascii="Arial" w:eastAsia="Arial" w:hAnsi="Arial" w:cs="Arial"/>
        </w:rPr>
        <w:t xml:space="preserve">  </w:t>
      </w:r>
      <w:r>
        <w:rPr>
          <w:spacing w:val="-3"/>
        </w:rPr>
        <w:t>个百分点，</w:t>
      </w:r>
      <w:r>
        <w:rPr>
          <w:spacing w:val="-56"/>
        </w:rPr>
        <w:t xml:space="preserve"> </w:t>
      </w:r>
      <w:r>
        <w:rPr>
          <w:spacing w:val="-3"/>
        </w:rPr>
        <w:t>百元溢价率几乎保持稳定，而</w:t>
      </w:r>
      <w:r>
        <w:rPr>
          <w:rFonts w:ascii="Arial" w:eastAsia="Arial" w:hAnsi="Arial" w:cs="Arial"/>
          <w:spacing w:val="-3"/>
        </w:rPr>
        <w:t>130</w:t>
      </w:r>
      <w:r>
        <w:rPr>
          <w:spacing w:val="-3"/>
        </w:rPr>
        <w:t>元平价对应的估值中枢则</w:t>
      </w:r>
      <w:r>
        <w:rPr>
          <w:spacing w:val="-4"/>
        </w:rPr>
        <w:t>微降</w:t>
      </w:r>
      <w:r>
        <w:rPr>
          <w:rFonts w:ascii="Arial" w:eastAsia="Arial" w:hAnsi="Arial" w:cs="Arial"/>
          <w:spacing w:val="-4"/>
        </w:rPr>
        <w:t>0.61</w:t>
      </w:r>
      <w:r>
        <w:rPr>
          <w:spacing w:val="-4"/>
        </w:rPr>
        <w:t>个百</w:t>
      </w:r>
      <w:r>
        <w:t xml:space="preserve"> </w:t>
      </w:r>
      <w:r>
        <w:rPr>
          <w:spacing w:val="-7"/>
        </w:rPr>
        <w:t>分点。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而从转债估值冲击频发的四季度来看，</w:t>
      </w:r>
      <w:r>
        <w:rPr>
          <w:spacing w:val="-39"/>
        </w:rPr>
        <w:t xml:space="preserve"> </w:t>
      </w:r>
      <w:r>
        <w:rPr>
          <w:spacing w:val="-7"/>
        </w:rPr>
        <w:t>各</w:t>
      </w:r>
      <w:r>
        <w:rPr>
          <w:spacing w:val="-8"/>
        </w:rPr>
        <w:t>价位转债估值均回落了约</w:t>
      </w:r>
      <w:r>
        <w:rPr>
          <w:rFonts w:ascii="Arial" w:eastAsia="Arial" w:hAnsi="Arial" w:cs="Arial"/>
          <w:spacing w:val="-8"/>
        </w:rPr>
        <w:t>5</w:t>
      </w:r>
      <w:r>
        <w:rPr>
          <w:spacing w:val="-8"/>
        </w:rPr>
        <w:t>个百分点。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69" w:line="226" w:lineRule="auto"/>
        <w:ind w:left="3127"/>
      </w:pP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Arial" w:eastAsia="Arial" w:hAnsi="Arial" w:cs="Arial"/>
          <w:b/>
          <w:bCs/>
          <w:color w:val="0F243E"/>
        </w:rPr>
        <w:t>2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：今年转债估值在经历了漫长的估值平稳期之后，于</w:t>
      </w:r>
      <w:r>
        <w:rPr>
          <w:rFonts w:ascii="Arial" w:eastAsia="Arial" w:hAnsi="Arial" w:cs="Arial"/>
          <w:b/>
          <w:bCs/>
          <w:color w:val="0F243E"/>
        </w:rPr>
        <w:t>Q4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回到了年初的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原点</w:t>
      </w:r>
    </w:p>
    <w:p>
      <w:pPr>
        <w:spacing w:line="187" w:lineRule="exact"/>
      </w:pPr>
    </w:p>
    <w:p>
      <w:pPr>
        <w:spacing w:line="187" w:lineRule="exact"/>
        <w:sectPr>
          <w:headerReference w:type="default" r:id="rId52"/>
          <w:footerReference w:type="default" r:id="rId53"/>
          <w:type w:val="continuous"/>
          <w:pgSz w:w="11907" w:h="16839"/>
          <w:pgMar w:top="1383" w:right="574" w:bottom="1249" w:left="622" w:header="794" w:footer="741" w:gutter="0"/>
          <w:pgNumType w:start="18"/>
          <w:cols w:num="1" w:space="708" w:equalWidth="0">
            <w:col w:w="10710" w:space="0"/>
          </w:cols>
        </w:sectPr>
      </w:pPr>
    </w:p>
    <w:p>
      <w:pPr>
        <w:spacing w:before="236" w:line="195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4"/>
          <w:sz w:val="16"/>
          <w:szCs w:val="16"/>
        </w:rPr>
        <w:t>50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46" w:line="195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40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47" w:line="195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4"/>
          <w:sz w:val="16"/>
          <w:szCs w:val="16"/>
        </w:rPr>
        <w:t>30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47" w:line="195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sz w:val="16"/>
          <w:szCs w:val="16"/>
        </w:rPr>
        <w:t>20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47" w:line="195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0"/>
          <w:sz w:val="16"/>
          <w:szCs w:val="16"/>
        </w:rPr>
        <w:t>1</w:t>
      </w:r>
      <w:r>
        <w:rPr>
          <w:rFonts w:ascii="Arial" w:eastAsia="Arial" w:hAnsi="Arial" w:cs="Arial"/>
          <w:spacing w:val="-8"/>
          <w:sz w:val="16"/>
          <w:szCs w:val="16"/>
        </w:rPr>
        <w:t>0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46" w:line="117" w:lineRule="exact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7"/>
          <w:position w:val="-2"/>
          <w:sz w:val="16"/>
          <w:szCs w:val="16"/>
        </w:rPr>
        <w:t>0</w:t>
      </w:r>
    </w:p>
    <w:p>
      <w:pPr>
        <w:spacing w:line="14" w:lineRule="auto"/>
        <w:rPr>
          <w:rFonts w:ascii="Arial"/>
          <w:sz w:val="2"/>
        </w:rPr>
        <w:sectPr>
          <w:headerReference w:type="default" r:id="rId54"/>
          <w:footerReference w:type="default" r:id="rId55"/>
          <w:type w:val="continuous"/>
          <w:pgSz w:w="11907" w:h="16839"/>
          <w:pgMar w:top="1383" w:right="574" w:bottom="1249" w:left="622" w:header="794" w:footer="741" w:gutter="0"/>
          <w:pgNumType w:start="19"/>
          <w:cols w:num="2" w:space="708" w:equalWidth="0">
            <w:col w:w="3326" w:space="96"/>
            <w:col w:w="728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217" w:lineRule="auto"/>
        <w:rPr>
          <w:rFonts w:ascii="Arial" w:eastAsia="Arial" w:hAnsi="Arial" w:cs="Arial"/>
          <w:sz w:val="16"/>
          <w:szCs w:val="16"/>
        </w:rPr>
      </w:pPr>
      <w:r>
        <w:rPr>
          <w:position w:val="3"/>
          <w:sz w:val="16"/>
          <w:szCs w:val="16"/>
        </w:rPr>
        <w:drawing>
          <wp:inline distT="0" distB="0" distL="0" distR="0">
            <wp:extent cx="262890" cy="1905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7"/>
          <w:sz w:val="16"/>
          <w:szCs w:val="16"/>
        </w:rPr>
        <w:t xml:space="preserve"> </w:t>
      </w:r>
      <w:r>
        <w:rPr>
          <w:spacing w:val="1"/>
          <w:sz w:val="16"/>
          <w:szCs w:val="16"/>
        </w:rPr>
        <w:t>平价</w:t>
      </w:r>
      <w:r>
        <w:rPr>
          <w:rFonts w:ascii="Arial" w:eastAsia="Arial" w:hAnsi="Arial" w:cs="Arial"/>
          <w:spacing w:val="1"/>
          <w:sz w:val="16"/>
          <w:szCs w:val="16"/>
        </w:rPr>
        <w:t xml:space="preserve">=80 </w:t>
      </w:r>
      <w:r>
        <w:rPr>
          <w:position w:val="3"/>
          <w:sz w:val="16"/>
          <w:szCs w:val="16"/>
        </w:rPr>
        <w:drawing>
          <wp:inline distT="0" distB="0" distL="0" distR="0">
            <wp:extent cx="262889" cy="1905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6288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1"/>
          <w:sz w:val="16"/>
          <w:szCs w:val="16"/>
        </w:rPr>
        <w:t xml:space="preserve"> </w:t>
      </w:r>
      <w:r>
        <w:rPr>
          <w:spacing w:val="1"/>
          <w:sz w:val="16"/>
          <w:szCs w:val="16"/>
        </w:rPr>
        <w:t>平价</w:t>
      </w:r>
      <w:r>
        <w:rPr>
          <w:rFonts w:ascii="Arial" w:eastAsia="Arial" w:hAnsi="Arial" w:cs="Arial"/>
          <w:spacing w:val="1"/>
          <w:sz w:val="16"/>
          <w:szCs w:val="16"/>
        </w:rPr>
        <w:t xml:space="preserve">=90 </w:t>
      </w:r>
      <w:r>
        <w:rPr>
          <w:rFonts w:ascii="Arial" w:eastAsia="Arial" w:hAnsi="Arial" w:cs="Arial"/>
          <w:strike/>
          <w:spacing w:val="1"/>
          <w:sz w:val="16"/>
          <w:szCs w:val="16"/>
        </w:rPr>
        <w:t xml:space="preserve">         </w:t>
      </w:r>
      <w:r>
        <w:rPr>
          <w:rFonts w:ascii="Arial" w:eastAsia="Arial" w:hAnsi="Arial" w:cs="Arial"/>
          <w:spacing w:val="-10"/>
          <w:sz w:val="16"/>
          <w:szCs w:val="16"/>
        </w:rPr>
        <w:t xml:space="preserve"> </w:t>
      </w:r>
      <w:r>
        <w:rPr>
          <w:sz w:val="16"/>
          <w:szCs w:val="16"/>
        </w:rPr>
        <w:t>平价</w:t>
      </w:r>
      <w:r>
        <w:rPr>
          <w:rFonts w:ascii="Arial" w:eastAsia="Arial" w:hAnsi="Arial" w:cs="Arial"/>
          <w:sz w:val="16"/>
          <w:szCs w:val="16"/>
        </w:rPr>
        <w:t xml:space="preserve">=100 </w:t>
      </w:r>
      <w:r>
        <w:rPr>
          <w:position w:val="3"/>
          <w:sz w:val="16"/>
          <w:szCs w:val="16"/>
        </w:rPr>
        <w:drawing>
          <wp:inline distT="0" distB="0" distL="0" distR="0">
            <wp:extent cx="262890" cy="1905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1"/>
          <w:sz w:val="16"/>
          <w:szCs w:val="16"/>
        </w:rPr>
        <w:t xml:space="preserve"> </w:t>
      </w:r>
      <w:r>
        <w:rPr>
          <w:sz w:val="16"/>
          <w:szCs w:val="16"/>
        </w:rPr>
        <w:t>平价</w:t>
      </w:r>
      <w:r>
        <w:rPr>
          <w:rFonts w:ascii="Arial" w:eastAsia="Arial" w:hAnsi="Arial" w:cs="Arial"/>
          <w:sz w:val="16"/>
          <w:szCs w:val="16"/>
        </w:rPr>
        <w:t xml:space="preserve">=110 </w:t>
      </w:r>
      <w:r>
        <w:rPr>
          <w:position w:val="3"/>
          <w:sz w:val="16"/>
          <w:szCs w:val="16"/>
        </w:rPr>
        <w:drawing>
          <wp:inline distT="0" distB="0" distL="0" distR="0">
            <wp:extent cx="266065" cy="22225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66065" cy="2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3"/>
          <w:sz w:val="16"/>
          <w:szCs w:val="16"/>
        </w:rPr>
        <w:t xml:space="preserve"> </w:t>
      </w:r>
      <w:r>
        <w:rPr>
          <w:sz w:val="16"/>
          <w:szCs w:val="16"/>
        </w:rPr>
        <w:t>平价</w:t>
      </w:r>
      <w:r>
        <w:rPr>
          <w:rFonts w:ascii="Arial" w:eastAsia="Arial" w:hAnsi="Arial" w:cs="Arial"/>
          <w:sz w:val="16"/>
          <w:szCs w:val="16"/>
        </w:rPr>
        <w:t xml:space="preserve">=120 </w:t>
      </w:r>
      <w:r>
        <w:rPr>
          <w:position w:val="3"/>
          <w:sz w:val="16"/>
          <w:szCs w:val="16"/>
        </w:rPr>
        <w:drawing>
          <wp:inline distT="0" distB="0" distL="0" distR="0">
            <wp:extent cx="262889" cy="1905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6288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0"/>
          <w:sz w:val="16"/>
          <w:szCs w:val="16"/>
        </w:rPr>
        <w:t xml:space="preserve"> </w:t>
      </w:r>
      <w:r>
        <w:rPr>
          <w:sz w:val="16"/>
          <w:szCs w:val="16"/>
        </w:rPr>
        <w:t>平价</w:t>
      </w:r>
      <w:r>
        <w:rPr>
          <w:rFonts w:ascii="Arial" w:eastAsia="Arial" w:hAnsi="Arial" w:cs="Arial"/>
          <w:sz w:val="16"/>
          <w:szCs w:val="16"/>
        </w:rPr>
        <w:t>=130</w:t>
      </w:r>
    </w:p>
    <w:p>
      <w:pPr>
        <w:spacing w:line="55" w:lineRule="exact"/>
      </w:pPr>
    </w:p>
    <w:tbl>
      <w:tblPr>
        <w:tblStyle w:val="TableNormal2"/>
        <w:tblW w:w="5396" w:type="dxa"/>
        <w:tblInd w:w="51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31"/>
        <w:gridCol w:w="1765"/>
      </w:tblGrid>
      <w:tr>
        <w:tblPrEx>
          <w:tblW w:w="5396" w:type="dxa"/>
          <w:tblInd w:w="51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42"/>
        </w:trPr>
        <w:tc>
          <w:tcPr>
            <w:tcW w:w="3631" w:type="dxa"/>
            <w:tcBorders>
              <w:left w:val="dashed" w:sz="4" w:space="0" w:color="C00000"/>
              <w:right w:val="dashed" w:sz="6" w:space="0" w:color="C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765" w:type="dxa"/>
            <w:tcBorders>
              <w:left w:val="dashed" w:sz="6" w:space="0" w:color="C00000"/>
              <w:right w:val="dashed" w:sz="4" w:space="0" w:color="C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spacing w:line="67" w:lineRule="exact"/>
        <w:rPr>
          <w:rFonts w:ascii="Arial"/>
          <w:sz w:val="5"/>
        </w:rPr>
      </w:pPr>
    </w:p>
    <w:p>
      <w:pPr>
        <w:spacing w:line="67" w:lineRule="exact"/>
        <w:rPr>
          <w:rFonts w:ascii="Arial" w:eastAsia="Arial" w:hAnsi="Arial" w:cs="Arial"/>
          <w:sz w:val="5"/>
          <w:szCs w:val="5"/>
        </w:rPr>
        <w:sectPr>
          <w:headerReference w:type="default" r:id="rId61"/>
          <w:footerReference w:type="default" r:id="rId62"/>
          <w:type w:val="nextPage"/>
          <w:pgSz w:w="11907" w:h="16839"/>
          <w:pgMar w:top="1383" w:right="574" w:bottom="1249" w:left="622" w:header="794" w:footer="741" w:gutter="0"/>
          <w:pgNumType w:start="20"/>
          <w:cols w:num="2" w:space="708" w:equalWidth="0">
            <w:col w:w="3326" w:space="96"/>
            <w:col w:w="7288" w:space="0"/>
          </w:cols>
          <w:titlePg w:val="0"/>
        </w:sectPr>
      </w:pPr>
    </w:p>
    <w:p>
      <w:pPr>
        <w:spacing w:before="73" w:line="195" w:lineRule="auto"/>
        <w:ind w:left="310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2022-12-30        2023-02-28        2023-04-30         2023-06-30         2023</w:t>
      </w:r>
      <w:r>
        <w:rPr>
          <w:rFonts w:ascii="Arial" w:eastAsia="Arial" w:hAnsi="Arial" w:cs="Arial"/>
          <w:spacing w:val="-1"/>
          <w:sz w:val="16"/>
          <w:szCs w:val="16"/>
        </w:rPr>
        <w:t>-08-31         2023-10-31</w:t>
      </w:r>
    </w:p>
    <w:p>
      <w:pPr>
        <w:pStyle w:val="BodyText"/>
        <w:spacing w:before="133" w:line="212" w:lineRule="auto"/>
        <w:ind w:left="3101"/>
        <w:rPr>
          <w:sz w:val="18"/>
          <w:szCs w:val="18"/>
        </w:rPr>
      </w:pPr>
      <w:r>
        <w:rPr>
          <w:color w:val="0F243E"/>
          <w:spacing w:val="-6"/>
          <w:sz w:val="18"/>
          <w:szCs w:val="18"/>
        </w:rPr>
        <w:t>数据来源：</w:t>
      </w:r>
      <w:r>
        <w:rPr>
          <w:color w:val="0F243E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color w:val="0F243E"/>
          <w:spacing w:val="-6"/>
          <w:sz w:val="18"/>
          <w:szCs w:val="18"/>
        </w:rPr>
        <w:t>Wind</w:t>
      </w:r>
      <w:r>
        <w:rPr>
          <w:rFonts w:ascii="Arial" w:eastAsia="Arial" w:hAnsi="Arial" w:cs="Arial"/>
          <w:color w:val="0F243E"/>
          <w:spacing w:val="-18"/>
          <w:sz w:val="18"/>
          <w:szCs w:val="18"/>
        </w:rPr>
        <w:t xml:space="preserve"> </w:t>
      </w:r>
      <w:r>
        <w:rPr>
          <w:color w:val="0F243E"/>
          <w:spacing w:val="-6"/>
          <w:sz w:val="18"/>
          <w:szCs w:val="18"/>
        </w:rPr>
        <w:t>，广发证券发展研究中心</w:t>
      </w:r>
    </w:p>
    <w:p>
      <w:pPr>
        <w:pStyle w:val="BodyText"/>
        <w:spacing w:before="119" w:line="229" w:lineRule="auto"/>
        <w:ind w:left="3110"/>
        <w:rPr>
          <w:sz w:val="18"/>
          <w:szCs w:val="18"/>
        </w:rPr>
      </w:pPr>
      <w:r>
        <w:rPr>
          <w:color w:val="0F243E"/>
          <w:spacing w:val="-6"/>
          <w:sz w:val="18"/>
          <w:szCs w:val="18"/>
        </w:rPr>
        <w:t>注：平价单位（元）、纵轴单位（</w:t>
      </w:r>
      <w:r>
        <w:rPr>
          <w:rFonts w:ascii="Arial" w:eastAsia="Arial" w:hAnsi="Arial" w:cs="Arial"/>
          <w:color w:val="0F243E"/>
          <w:spacing w:val="-6"/>
          <w:sz w:val="18"/>
          <w:szCs w:val="18"/>
        </w:rPr>
        <w:t>%</w:t>
      </w:r>
      <w:r>
        <w:rPr>
          <w:color w:val="0F243E"/>
          <w:spacing w:val="-6"/>
          <w:sz w:val="18"/>
          <w:szCs w:val="18"/>
        </w:rPr>
        <w:t>）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69" w:line="265" w:lineRule="auto"/>
        <w:ind w:left="3035" w:right="8" w:hanging="3"/>
        <w:jc w:val="both"/>
      </w:pP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从分位数来看，</w:t>
      </w:r>
      <w:r>
        <w:rPr>
          <w:spacing w:val="-4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各价位转债估值分位数相比于</w:t>
      </w:r>
      <w:r>
        <w:rPr>
          <w:rFonts w:ascii="Arial" w:eastAsia="Arial" w:hAnsi="Arial" w:cs="Arial"/>
          <w:b/>
          <w:bCs/>
          <w:spacing w:val="-4"/>
        </w:rPr>
        <w:t>2022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年</w:t>
      </w:r>
      <w:r>
        <w:rPr>
          <w:rFonts w:ascii="Arial" w:eastAsia="Arial" w:hAnsi="Arial" w:cs="Arial"/>
          <w:b/>
          <w:bCs/>
          <w:spacing w:val="-4"/>
        </w:rPr>
        <w:t>8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月的历史高点显著更为温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和，</w:t>
      </w:r>
      <w: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初步显现出一定性价比。以反比例模型估算结果为例，</w:t>
      </w:r>
      <w:r>
        <w:t>截至</w:t>
      </w:r>
      <w:r>
        <w:rPr>
          <w:rFonts w:ascii="Arial" w:eastAsia="Arial" w:hAnsi="Arial" w:cs="Arial"/>
        </w:rPr>
        <w:t>12</w:t>
      </w:r>
      <w:r>
        <w:t>月</w:t>
      </w:r>
      <w:r>
        <w:rPr>
          <w:rFonts w:ascii="Arial" w:eastAsia="Arial" w:hAnsi="Arial" w:cs="Arial"/>
        </w:rPr>
        <w:t>1</w:t>
      </w:r>
      <w:r>
        <w:rPr>
          <w:spacing w:val="-1"/>
        </w:rPr>
        <w:t>日，</w:t>
      </w:r>
      <w:r>
        <w:rPr>
          <w:spacing w:val="-24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</w:t>
      </w:r>
      <w:r>
        <w:rPr>
          <w:rFonts w:ascii="Arial" w:eastAsia="Arial" w:hAnsi="Arial" w:cs="Arial"/>
          <w:b/>
          <w:bCs/>
          <w:spacing w:val="-1"/>
        </w:rPr>
        <w:t>2017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年以</w:t>
      </w:r>
      <w: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来的历史分位数来看，</w:t>
      </w:r>
      <w:r>
        <w:rPr>
          <w:spacing w:val="68"/>
        </w:rPr>
        <w:t xml:space="preserve"> </w:t>
      </w:r>
      <w:r>
        <w:rPr>
          <w:rFonts w:ascii="Arial" w:eastAsia="Arial" w:hAnsi="Arial" w:cs="Arial"/>
          <w:spacing w:val="-4"/>
        </w:rPr>
        <w:t>80-90</w:t>
      </w:r>
      <w:r>
        <w:rPr>
          <w:spacing w:val="-4"/>
        </w:rPr>
        <w:t>元平价价位对应的估值分位点位于</w:t>
      </w:r>
      <w:r>
        <w:rPr>
          <w:rFonts w:ascii="Arial" w:eastAsia="Arial" w:hAnsi="Arial" w:cs="Arial"/>
          <w:spacing w:val="-4"/>
        </w:rPr>
        <w:t>70%</w:t>
      </w:r>
      <w:r>
        <w:rPr>
          <w:spacing w:val="-4"/>
        </w:rPr>
        <w:t>以上，</w:t>
      </w:r>
      <w:r>
        <w:rPr>
          <w:rFonts w:ascii="Arial" w:eastAsia="Arial" w:hAnsi="Arial" w:cs="Arial"/>
          <w:spacing w:val="-4"/>
        </w:rPr>
        <w:t>100-120</w:t>
      </w:r>
      <w:r>
        <w:rPr>
          <w:rFonts w:ascii="Arial" w:eastAsia="Arial" w:hAnsi="Arial" w:cs="Arial"/>
        </w:rPr>
        <w:t xml:space="preserve">  </w:t>
      </w:r>
      <w:r>
        <w:rPr>
          <w:spacing w:val="4"/>
        </w:rPr>
        <w:t>元平价价位对应的估值分位点则处于</w:t>
      </w:r>
      <w:r>
        <w:rPr>
          <w:rFonts w:ascii="Arial" w:eastAsia="Arial" w:hAnsi="Arial" w:cs="Arial"/>
          <w:spacing w:val="4"/>
        </w:rPr>
        <w:t>65-70%</w:t>
      </w:r>
      <w:r>
        <w:rPr>
          <w:spacing w:val="4"/>
        </w:rPr>
        <w:t>区间</w:t>
      </w:r>
      <w:r>
        <w:rPr>
          <w:rFonts w:ascii="Arial" w:eastAsia="Arial" w:hAnsi="Arial" w:cs="Arial"/>
          <w:spacing w:val="4"/>
        </w:rPr>
        <w:t>,130</w:t>
      </w:r>
      <w:r>
        <w:rPr>
          <w:spacing w:val="4"/>
        </w:rPr>
        <w:t>元平价对应的估值分位点则</w:t>
      </w:r>
    </w:p>
    <w:p>
      <w:pPr>
        <w:spacing w:line="26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https://d.book118.com/348003044017006031</w:t>
        </w:r>
      </w:hyperlink>
    </w:p>
    <w:p>
      <w:pPr>
        <w:spacing w:line="265" w:lineRule="auto"/>
      </w:pPr>
    </w:p>
    <w:sectPr>
      <w:headerReference w:type="default" r:id="rId64"/>
      <w:footerReference w:type="default" r:id="rId65"/>
      <w:type w:val="continuous"/>
      <w:pgSz w:w="11907" w:h="16839"/>
      <w:pgMar w:top="1383" w:right="574" w:bottom="1249" w:left="622" w:header="794" w:footer="741" w:gutter="0"/>
      <w:pgNumType w:start="21"/>
      <w:cols w:num="1" w:space="708" w:equalWidth="0">
        <w:col w:w="107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4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25pt;margin-top:-1pt;margin-left:0;position:absolute;z-index:2516582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1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40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5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25pt;margin-top:-1pt;margin-left:0;position:absolute;z-index:25165926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1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40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5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25pt;margin-top:-1pt;margin-left:0;position:absolute;z-index:2516602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1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40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5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25pt;margin-top:-1pt;margin-left:0;position:absolute;z-index:25166131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9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Arial" w:eastAsia="Arial" w:hAnsi="Arial" w:cs="Arial"/>
        <w:color w:val="003F8A"/>
        <w:spacing w:val="44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57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right="1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25pt;margin-top:-1pt;margin-left:0;position:absolute;z-index:2516623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5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right="11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25pt;margin-top:-1pt;margin-left:0;position:absolute;z-index:25166336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5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4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372"/>
    </w:pPr>
    <w:r>
      <w:pict>
        <v:shape id="_x0000_i206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854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25pt;margin-top:-1pt;margin-left:18.63pt;position:absolute;z-index:25166438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383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color w:val="003F8A"/>
        <w:spacing w:val="4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372"/>
    </w:pPr>
    <w:r>
      <w:pict>
        <v:shape id="_x0000_i206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854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7pt;height:12.25pt;margin-top:-1pt;margin-left:18.63pt;position:absolute;z-index:25166540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383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color w:val="003F8A"/>
        <w:spacing w:val="4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372"/>
    </w:pPr>
    <w:r>
      <w:pict>
        <v:shape id="_x0000_i206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854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25pt;margin-top:-1pt;margin-left:18.63pt;position:absolute;z-index:25166643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383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color w:val="003F8A"/>
        <w:spacing w:val="4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372"/>
    </w:pPr>
    <w:r>
      <w:pict>
        <v:shape id="_x0000_i2067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854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2.7pt;height:12.25pt;margin-top:-1pt;margin-left:18.63pt;position:absolute;z-index:25166745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383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color w:val="003F8A"/>
        <w:spacing w:val="4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6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2.7pt;height:12.25pt;margin-top:-1pt;margin-left:0;position:absolute;z-index:25166848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7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2.7pt;height:12.25pt;margin-top:-1pt;margin-left:0;position:absolute;z-index:25166950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7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2.7pt;height:12.25pt;margin-top:-1pt;margin-left:0;position:absolute;z-index:25167052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7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2.7pt;height:12.25pt;margin-top:-1pt;margin-left:0;position:absolute;z-index:25167155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77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2.7pt;height:12.25pt;margin-top:-1pt;margin-left:0;position:absolute;z-index:25167257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7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2.7pt;height:12.25pt;margin-top:-1pt;margin-left:0;position:absolute;z-index:25167360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8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2.7pt;height:12.25pt;margin-top:-1pt;margin-left:0;position:absolute;z-index:25167462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8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2.7pt;height:12.25pt;margin-top:-1pt;margin-left:0;position:absolute;z-index:25167564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8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2.7pt;height:12.25pt;margin-top:-1pt;margin-left:0;position:absolute;z-index:25167667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87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2.7pt;height:12.25pt;margin-top:-1pt;margin-left:0;position:absolute;z-index:25167769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</w:pPr>
    <w:r>
      <w:pict>
        <v:shape id="_x0000_i208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33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2.7pt;height:12.25pt;margin-top:-1pt;margin-left:0;position:absolute;z-index:25167872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38" w:lineRule="auto"/>
      <w:ind w:left="5007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40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z w:val="16"/>
        <w:szCs w:val="16"/>
      </w:rPr>
      <w:t xml:space="preserve">/  </w:t>
    </w:r>
    <w:r>
      <w:rPr>
        <w:rFonts w:ascii="Arial" w:eastAsia="Arial" w:hAnsi="Arial" w:cs="Arial"/>
        <w:color w:val="003F8A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963" w:right="57" w:hanging="398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3"/>
        <w:sz w:val="24"/>
        <w:szCs w:val="24"/>
      </w:rPr>
      <w:t>固定收益|年度报告</w:t>
    </w:r>
    <w:r>
      <w:rPr>
        <w:rFonts w:ascii="SimHei" w:eastAsia="SimHei" w:hAnsi="SimHei" w:cs="SimHei"/>
        <w:color w:val="1F497D"/>
        <w:spacing w:val="5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2023</w:t>
    </w:r>
    <w:r>
      <w:rPr>
        <w:rFonts w:ascii="SimHei" w:eastAsia="SimHei" w:hAnsi="SimHei" w:cs="SimHei"/>
        <w:color w:val="1F497D"/>
        <w:spacing w:val="-45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年</w:t>
    </w:r>
    <w:r>
      <w:rPr>
        <w:rFonts w:ascii="SimHei" w:eastAsia="SimHei" w:hAnsi="SimHei" w:cs="SimHei"/>
        <w:color w:val="1F497D"/>
        <w:spacing w:val="-33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12</w:t>
    </w:r>
    <w:r>
      <w:rPr>
        <w:rFonts w:ascii="SimHei" w:eastAsia="SimHei" w:hAnsi="SimHei" w:cs="SimHei"/>
        <w:color w:val="1F497D"/>
        <w:spacing w:val="-42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月</w:t>
    </w:r>
    <w:r>
      <w:rPr>
        <w:rFonts w:ascii="SimHei" w:eastAsia="SimHei" w:hAnsi="SimHei" w:cs="SimHei"/>
        <w:color w:val="1F497D"/>
        <w:spacing w:val="-49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4</w:t>
    </w:r>
    <w:r>
      <w:rPr>
        <w:rFonts w:ascii="SimHei" w:eastAsia="SimHei" w:hAnsi="SimHei" w:cs="SimHei"/>
        <w:color w:val="1F497D"/>
        <w:spacing w:val="-9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日</w:t>
    </w:r>
    <w:r>
      <w:rPr>
        <w:rFonts w:ascii="SimHei" w:eastAsia="SimHei" w:hAnsi="SimHei" w:cs="SimHei"/>
        <w:color w:val="1F497D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963" w:right="57" w:hanging="398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95185851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185851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3"/>
        <w:sz w:val="24"/>
        <w:szCs w:val="24"/>
      </w:rPr>
      <w:t>固定收益|年度报告</w:t>
    </w:r>
    <w:r>
      <w:rPr>
        <w:rFonts w:ascii="SimHei" w:eastAsia="SimHei" w:hAnsi="SimHei" w:cs="SimHei"/>
        <w:color w:val="1F497D"/>
        <w:spacing w:val="5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2023</w:t>
    </w:r>
    <w:r>
      <w:rPr>
        <w:rFonts w:ascii="SimHei" w:eastAsia="SimHei" w:hAnsi="SimHei" w:cs="SimHei"/>
        <w:color w:val="1F497D"/>
        <w:spacing w:val="-45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年</w:t>
    </w:r>
    <w:r>
      <w:rPr>
        <w:rFonts w:ascii="SimHei" w:eastAsia="SimHei" w:hAnsi="SimHei" w:cs="SimHei"/>
        <w:color w:val="1F497D"/>
        <w:spacing w:val="-33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12</w:t>
    </w:r>
    <w:r>
      <w:rPr>
        <w:rFonts w:ascii="SimHei" w:eastAsia="SimHei" w:hAnsi="SimHei" w:cs="SimHei"/>
        <w:color w:val="1F497D"/>
        <w:spacing w:val="-42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月</w:t>
    </w:r>
    <w:r>
      <w:rPr>
        <w:rFonts w:ascii="SimHei" w:eastAsia="SimHei" w:hAnsi="SimHei" w:cs="SimHei"/>
        <w:color w:val="1F497D"/>
        <w:spacing w:val="-49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4</w:t>
    </w:r>
    <w:r>
      <w:rPr>
        <w:rFonts w:ascii="SimHei" w:eastAsia="SimHei" w:hAnsi="SimHei" w:cs="SimHei"/>
        <w:color w:val="1F497D"/>
        <w:spacing w:val="-9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日</w:t>
    </w:r>
    <w:r>
      <w:rPr>
        <w:rFonts w:ascii="SimHei" w:eastAsia="SimHei" w:hAnsi="SimHei" w:cs="SimHei"/>
        <w:color w:val="1F497D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8963" w:right="57" w:hanging="398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24525614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525614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3"/>
        <w:sz w:val="24"/>
        <w:szCs w:val="24"/>
      </w:rPr>
      <w:t>固定收益|年度报告</w:t>
    </w:r>
    <w:r>
      <w:rPr>
        <w:rFonts w:ascii="SimHei" w:eastAsia="SimHei" w:hAnsi="SimHei" w:cs="SimHei"/>
        <w:color w:val="1F497D"/>
        <w:spacing w:val="5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2023</w:t>
    </w:r>
    <w:r>
      <w:rPr>
        <w:rFonts w:ascii="SimHei" w:eastAsia="SimHei" w:hAnsi="SimHei" w:cs="SimHei"/>
        <w:color w:val="1F497D"/>
        <w:spacing w:val="-45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年</w:t>
    </w:r>
    <w:r>
      <w:rPr>
        <w:rFonts w:ascii="SimHei" w:eastAsia="SimHei" w:hAnsi="SimHei" w:cs="SimHei"/>
        <w:color w:val="1F497D"/>
        <w:spacing w:val="-33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12</w:t>
    </w:r>
    <w:r>
      <w:rPr>
        <w:rFonts w:ascii="SimHei" w:eastAsia="SimHei" w:hAnsi="SimHei" w:cs="SimHei"/>
        <w:color w:val="1F497D"/>
        <w:spacing w:val="-42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月</w:t>
    </w:r>
    <w:r>
      <w:rPr>
        <w:rFonts w:ascii="SimHei" w:eastAsia="SimHei" w:hAnsi="SimHei" w:cs="SimHei"/>
        <w:color w:val="1F497D"/>
        <w:spacing w:val="-49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4</w:t>
    </w:r>
    <w:r>
      <w:rPr>
        <w:rFonts w:ascii="SimHei" w:eastAsia="SimHei" w:hAnsi="SimHei" w:cs="SimHei"/>
        <w:color w:val="1F497D"/>
        <w:spacing w:val="-9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9"/>
        <w:sz w:val="21"/>
        <w:szCs w:val="21"/>
      </w:rPr>
      <w:t>日</w:t>
    </w:r>
    <w:r>
      <w:rPr>
        <w:rFonts w:ascii="SimHei" w:eastAsia="SimHei" w:hAnsi="SimHei" w:cs="SimHei"/>
        <w:color w:val="1F497D"/>
        <w:sz w:val="21"/>
        <w:szCs w:val="21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911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911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011745396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1745396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911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992323175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323175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911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61426225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426225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19052871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9052871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23329507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3329507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41563437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563437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7396702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96702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71635314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1635314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69432643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9432643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75807997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07997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64397813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4397813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2" w:line="215" w:lineRule="auto"/>
      <w:ind w:left="8738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56206395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206395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1"/>
        <w:szCs w:val="21"/>
      </w:rPr>
      <w:t>固定收益|年度报告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jpe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header" Target="header10.xml" /><Relationship Id="rId36" Type="http://schemas.openxmlformats.org/officeDocument/2006/relationships/footer" Target="footer10.xml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image" Target="media/image16.png" /><Relationship Id="rId4" Type="http://schemas.openxmlformats.org/officeDocument/2006/relationships/header" Target="header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footer" Target="foot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header" Target="header19.xml" /><Relationship Id="rId55" Type="http://schemas.openxmlformats.org/officeDocument/2006/relationships/footer" Target="footer19.xml" /><Relationship Id="rId56" Type="http://schemas.openxmlformats.org/officeDocument/2006/relationships/image" Target="media/image17.png" /><Relationship Id="rId57" Type="http://schemas.openxmlformats.org/officeDocument/2006/relationships/image" Target="media/image18.png" /><Relationship Id="rId58" Type="http://schemas.openxmlformats.org/officeDocument/2006/relationships/image" Target="media/image19.png" /><Relationship Id="rId59" Type="http://schemas.openxmlformats.org/officeDocument/2006/relationships/image" Target="media/image20.png" /><Relationship Id="rId6" Type="http://schemas.openxmlformats.org/officeDocument/2006/relationships/image" Target="media/image2.png" /><Relationship Id="rId60" Type="http://schemas.openxmlformats.org/officeDocument/2006/relationships/image" Target="media/image21.png" /><Relationship Id="rId61" Type="http://schemas.openxmlformats.org/officeDocument/2006/relationships/header" Target="header20.xml" /><Relationship Id="rId62" Type="http://schemas.openxmlformats.org/officeDocument/2006/relationships/footer" Target="footer20.xml" /><Relationship Id="rId63" Type="http://schemas.openxmlformats.org/officeDocument/2006/relationships/hyperlink" Target="https://d.book118.com/348003044017006031" TargetMode="External" /><Relationship Id="rId64" Type="http://schemas.openxmlformats.org/officeDocument/2006/relationships/header" Target="header21.xml" /><Relationship Id="rId65" Type="http://schemas.openxmlformats.org/officeDocument/2006/relationships/footer" Target="footer21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广发证券-2024年转债投资策略：从久违的转债左侧出发-231204.pdf</dc:title>
  <cp:revision>0</cp:revision>
  <dcterms:created xsi:type="dcterms:W3CDTF">2024-01-25T09:20:14Z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2024-01-25T09:29:36Z</vt:filetime>
  </property>
  <property fmtid="{D5CDD505-2E9C-101B-9397-08002B2CF9AE}" pid="3" name="CRO">
    <vt:lpwstr>wqlLaW5nc29mdCBQREYgdG8gV1BTIDkw</vt:lpwstr>
  </property>
</Properties>
</file>