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36CFA6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6CFE60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41310B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A749226" w14:textId="77777777">
                          <w:pPr>
                            <w:pStyle w:val="NoSpacing"/>
                            <w:jc w:val="right"/>
                            <w:rPr>
                              <w:color w:val="595959" w:themeColor="text1" w:themeTint="A6"/>
                              <w:sz w:val="32"/>
                              <w:szCs w:val="32"/>
                            </w:rPr>
                          </w:pPr>
                          <w:sdt>
                            <w:sdtPr>
                              <w:rPr>
                                <w:color w:val="595959" w:themeColor="text1" w:themeTint="A6"/>
                                <w:sz w:val="32"/>
                                <w:szCs w:val="32"/>
                              </w:rPr>
                              <w:alias w:val="摘要"/>
                              <w:id w:val="96185578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4840604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13CD5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5EA7F6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7477803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BE0873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0B7E6B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A19F9D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92189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C5A21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E7E1F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ED373A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108A1B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31A1D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21B325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867F18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6A9966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2FC779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A83B05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911026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C96DD0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2A914E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B93BBD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D99B30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C759C1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6F1C69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45C7D7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13571466"/>
        <w:docPartObj>
          <w:docPartGallery w:val="Table of Contents"/>
          <w:docPartUnique/>
        </w:docPartObj>
      </w:sdtPr>
      <w:sdtEndPr>
        <w:rPr>
          <w:b/>
          <w:bCs/>
        </w:rPr>
      </w:sdtEndPr>
      <w:sdtContent>
        <w:p w:rsidR="00483551" w:rsidRPr="00913CD1" w:rsidP="00457322" w14:paraId="3B45828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4ACBE5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20F1F3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92E6F4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570DEC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1E364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161DE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8649B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9C7A63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B3F40B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4A1F4E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43C647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BE7AF7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243D1A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ECE066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0D93DA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91F9A3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C6B382B"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856B8D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1FCF2A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FF6E55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DC9E6B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91264050"/>
        <w:docPartObj>
          <w:docPartGallery w:val="Table of Contents"/>
          <w:docPartUnique/>
        </w:docPartObj>
      </w:sdtPr>
      <w:sdtEndPr>
        <w:rPr>
          <w:b/>
          <w:bCs/>
        </w:rPr>
      </w:sdtEndPr>
      <w:sdtContent>
        <w:p w:rsidR="00483551" w:rsidRPr="00913CD1" w:rsidP="00457322" w14:paraId="45A4003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FA86D9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B80CAC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6F0832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3E4F60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1BED8C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18F6EF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6A19CD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10A3E6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1095AB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EE957F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8E0C83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26DE16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C6C730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78581C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7D0658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0D44C7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B85D88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8CFA8F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191553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F7DBCE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5C5833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83566944"/>
        <w:docPartObj>
          <w:docPartGallery w:val="Table of Contents"/>
          <w:docPartUnique/>
        </w:docPartObj>
      </w:sdtPr>
      <w:sdtEndPr>
        <w:rPr>
          <w:b/>
          <w:bCs/>
        </w:rPr>
      </w:sdtEndPr>
      <w:sdtContent>
        <w:p w:rsidR="00483551" w:rsidRPr="00913CD1" w:rsidP="00457322" w14:paraId="654710B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25950D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77F147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140A9F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8C4496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D41FAB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73C452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E34C62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9A189E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5331E7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5243E4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A76FAF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186E49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FD6A2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ADE0B1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35C890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001042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208C0E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4DE3AD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4D48DB" w14:paraId="3C84EDCD" w14:textId="36FB171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液态感光固化油墨项目可行性分析报告编制的目的在于为项目的投资决策提供科学、客观的依据。通过深入的市场调研、技术评估、财务分析和风险评估，报告旨在确定项目的可行性和潜在效益，并提出相应的实施策略和建议。</w:t>
      </w:r>
      <w:r>
        <w:rPr>
          <w:rFonts w:ascii="仿宋" w:eastAsia="仿宋" w:hAnsi="仿宋"/>
          <w:sz w:val="28"/>
        </w:rPr>
        <w:br/>
      </w:r>
      <w:r>
        <w:rPr>
          <w:rFonts w:ascii="仿宋" w:eastAsia="仿宋" w:hAnsi="仿宋"/>
          <w:sz w:val="28"/>
        </w:rPr>
        <w:t>具体来说，编制该报告的意义包括：</w:t>
      </w:r>
      <w:r>
        <w:rPr>
          <w:rFonts w:ascii="仿宋" w:eastAsia="仿宋" w:hAnsi="仿宋"/>
          <w:sz w:val="28"/>
        </w:rPr>
        <w:br/>
        <w:t xml:space="preserve">    1.</w:t>
      </w:r>
      <w:r>
        <w:rPr>
          <w:rFonts w:ascii="仿宋" w:eastAsia="仿宋" w:hAnsi="仿宋"/>
          <w:sz w:val="28"/>
        </w:rPr>
        <w:t>市场洞察：通过对目标市场进行详细分析，评估产品或服务的市场接受度、需求潜力以及竞争态势，为项目的市场定位和营销策略提供指导。</w:t>
      </w:r>
      <w:r>
        <w:rPr>
          <w:rFonts w:ascii="仿宋" w:eastAsia="仿宋" w:hAnsi="仿宋"/>
          <w:sz w:val="28"/>
        </w:rPr>
        <w:br/>
        <w:t xml:space="preserve">    2.</w:t>
      </w:r>
      <w:r>
        <w:rPr>
          <w:rFonts w:ascii="仿宋" w:eastAsia="仿宋" w:hAnsi="仿宋"/>
          <w:sz w:val="28"/>
        </w:rPr>
        <w:t>技术评估：分析项目所采用的技术的先进性、成熟度、适用性和可获得性，确保技术路线能够支撑项目的顺利实施。</w:t>
      </w:r>
      <w:r>
        <w:rPr>
          <w:rFonts w:ascii="仿宋" w:eastAsia="仿宋" w:hAnsi="仿宋"/>
          <w:sz w:val="28"/>
        </w:rPr>
        <w:br/>
        <w:t xml:space="preserve">    3.</w:t>
      </w:r>
      <w:r>
        <w:rPr>
          <w:rFonts w:ascii="仿宋" w:eastAsia="仿宋" w:hAnsi="仿宋"/>
          <w:sz w:val="28"/>
        </w:rPr>
        <w:t>财务分析：进行详细的财务预测，包括成本估算、收益预测和投资回报分析，为项目的经济可行性提供量化评估。</w:t>
      </w:r>
      <w:r>
        <w:rPr>
          <w:rFonts w:ascii="仿宋" w:eastAsia="仿宋" w:hAnsi="仿宋"/>
          <w:sz w:val="28"/>
        </w:rPr>
        <w:br/>
        <w:t xml:space="preserve">    4.</w:t>
      </w:r>
      <w:r>
        <w:rPr>
          <w:rFonts w:ascii="仿宋" w:eastAsia="仿宋" w:hAnsi="仿宋"/>
          <w:sz w:val="28"/>
        </w:rPr>
        <w:t>风险评估：识别并评估项目可能面临的各种风险，包括市场风险、技术风险、运营风险和财务风险等，并提出风险应对策略。</w:t>
      </w:r>
      <w:r>
        <w:rPr>
          <w:rFonts w:ascii="仿宋" w:eastAsia="仿宋" w:hAnsi="仿宋"/>
          <w:sz w:val="28"/>
        </w:rPr>
        <w:br/>
        <w:t xml:space="preserve">    5.</w:t>
      </w:r>
      <w:r>
        <w:rPr>
          <w:rFonts w:ascii="仿宋" w:eastAsia="仿宋" w:hAnsi="仿宋"/>
          <w:sz w:val="28"/>
        </w:rPr>
        <w:t>政策合规：确保项目符合国家相关法律法规和政策要求，避免潜在的政策风险。</w:t>
      </w:r>
      <w:r>
        <w:rPr>
          <w:rFonts w:ascii="仿宋" w:eastAsia="仿宋" w:hAnsi="仿宋"/>
          <w:sz w:val="28"/>
        </w:rPr>
        <w:br/>
        <w:t xml:space="preserve">    6.</w:t>
      </w:r>
    </w:p>
    <w:p w:rsidR="004D48DB" w14:textId="36FB171F">
      <w:pPr>
        <w:ind w:firstLine="561"/>
      </w:pPr>
      <w:r>
        <w:rPr>
          <w:rFonts w:ascii="仿宋" w:eastAsia="仿宋" w:hAnsi="仿宋"/>
          <w:sz w:val="28"/>
        </w:rPr>
        <w:t>环境和社会影响：评估项目对环境和当地社会可能产生的影响，提出环境友好和社会责任承担的措施。</w:t>
      </w:r>
      <w:r>
        <w:rPr>
          <w:rFonts w:ascii="仿宋" w:eastAsia="仿宋" w:hAnsi="仿宋"/>
          <w:sz w:val="28"/>
        </w:rPr>
        <w:br/>
        <w:t xml:space="preserve">    7.</w:t>
      </w:r>
      <w:r>
        <w:rPr>
          <w:rFonts w:ascii="仿宋" w:eastAsia="仿宋" w:hAnsi="仿宋"/>
          <w:sz w:val="28"/>
        </w:rPr>
        <w:t>项目优化：根据分析结果，对项目方案进行优化和调整，提高项目的效率和可持续性。</w:t>
      </w:r>
      <w:r>
        <w:rPr>
          <w:rFonts w:ascii="仿宋" w:eastAsia="仿宋" w:hAnsi="仿宋"/>
          <w:sz w:val="28"/>
        </w:rPr>
        <w:br/>
        <w:t xml:space="preserve">    8.</w:t>
      </w:r>
      <w:r>
        <w:rPr>
          <w:rFonts w:ascii="仿宋" w:eastAsia="仿宋" w:hAnsi="仿宋"/>
          <w:sz w:val="28"/>
        </w:rPr>
        <w:t>决策支持：为项目投资决策提供全面、系统的信息，帮助决策者清晰地了解项目的优势、劣势、机会和威胁，从而做出明智的决策。</w:t>
      </w:r>
      <w:r>
        <w:rPr>
          <w:rFonts w:ascii="仿宋" w:eastAsia="仿宋" w:hAnsi="仿宋"/>
          <w:sz w:val="28"/>
        </w:rPr>
        <w:br/>
      </w:r>
      <w:r>
        <w:rPr>
          <w:rFonts w:ascii="仿宋" w:eastAsia="仿宋" w:hAnsi="仿宋"/>
          <w:sz w:val="28"/>
        </w:rPr>
        <w:t>综上所述，液态感光固化油墨项目可行性分析报告的编制对于项目的成功实施具有至关重要的作用，它不仅能够提高项目投资的成功率，还能为项目的长期发展和持续盈利提供坚实的保障。</w:t>
      </w:r>
    </w:p>
    <w:p w:rsidR="009D1637" w:rsidRPr="00913CD1" w:rsidP="00457322" w14:paraId="52A3B02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CAAC55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E61019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A86717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2BCC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F96F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EB39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AC3D1E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558B7C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78F28D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A1F320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9CFE40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76CC3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2A548F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9EC2A5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420BE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72A6A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141B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0F5FF3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84C9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E2CEF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CEF3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0C5F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4B3A5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AF0D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4DE6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376A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w:t>
      </w:r>
    </w:p>
    <w:p w:rsidR="009D1637" w:rsidRPr="00913CD1" w:rsidP="00457322" w14:paraId="4A6BB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w:t>
      </w:r>
    </w:p>
    <w:p w:rsidR="009D1637" w:rsidRPr="00913CD1" w:rsidP="00457322" w14:paraId="20C69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E473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C6FAF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3A9B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283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0D18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251D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97164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液态感光固化油墨产品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E26C2E6"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液态感光固化油墨</w:t>
      </w:r>
      <w:r w:rsidRPr="00913CD1">
        <w:rPr>
          <w:rFonts w:ascii="仿宋" w:eastAsia="仿宋" w:hAnsi="仿宋"/>
        </w:rPr>
        <w:t>项目绪论</w:t>
      </w:r>
      <w:bookmarkEnd w:id="4"/>
    </w:p>
    <w:p w:rsidR="009D1637" w:rsidRPr="00913CD1" w:rsidP="00457322" w14:paraId="100FE3D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液态感光固化油墨</w:t>
      </w:r>
      <w:r w:rsidRPr="00913CD1">
        <w:rPr>
          <w:rFonts w:ascii="仿宋" w:eastAsia="仿宋" w:hAnsi="仿宋"/>
        </w:rPr>
        <w:t>项目名称及建设性质</w:t>
      </w:r>
      <w:bookmarkEnd w:id="5"/>
    </w:p>
    <w:p w:rsidR="009D1637" w:rsidRPr="00913CD1" w:rsidP="00457322" w14:paraId="4CA3C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项目名称</w:t>
      </w:r>
    </w:p>
    <w:p w:rsidR="009D1637" w:rsidRPr="00913CD1" w:rsidP="00457322" w14:paraId="426AA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w:t>
      </w:r>
    </w:p>
    <w:p w:rsidR="009D1637" w:rsidRPr="00913CD1" w:rsidP="00457322" w14:paraId="10D03E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项目建设性质</w:t>
      </w:r>
    </w:p>
    <w:p w:rsidR="009D1637" w:rsidRPr="00913CD1" w:rsidP="00457322" w14:paraId="20014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液态感光固化油墨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B38A10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液态感光固化油墨</w:t>
      </w:r>
      <w:r w:rsidRPr="00913CD1">
        <w:rPr>
          <w:rFonts w:ascii="仿宋" w:eastAsia="仿宋" w:hAnsi="仿宋"/>
        </w:rPr>
        <w:t>项目承办单位</w:t>
      </w:r>
      <w:bookmarkEnd w:id="6"/>
    </w:p>
    <w:p w:rsidR="009D1637" w:rsidRPr="00913CD1" w:rsidP="00457322" w14:paraId="7685A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项目实施主体</w:t>
      </w:r>
    </w:p>
    <w:p w:rsidR="009D1637" w:rsidRPr="00913CD1" w:rsidP="00457322" w14:paraId="00763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3036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4DF4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项目信息。</w:t>
      </w:r>
    </w:p>
    <w:p w:rsidR="009D1637" w:rsidRPr="00913CD1" w:rsidP="00457322" w14:paraId="451CB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92B692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16E3CF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D26696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5A5CCA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4A8629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液态感光固化油墨</w:t>
      </w:r>
      <w:r w:rsidRPr="00913CD1">
        <w:rPr>
          <w:rFonts w:ascii="仿宋" w:eastAsia="仿宋" w:hAnsi="仿宋"/>
        </w:rPr>
        <w:t>项目定位及建设理由</w:t>
      </w:r>
      <w:bookmarkEnd w:id="7"/>
    </w:p>
    <w:p w:rsidR="004D48DB" w14:paraId="5ADBA288" w14:textId="309A831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液态感光固化油墨项目可行性分析报告中的项目定位及建设理由如下：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和生产一种新型的液态感光固化油墨，以满足市场对环保、高效、高品质印刷材料不断增长的需求。通过引进先进的研发技术和生产设备，项目将专注于提供具有高附着力、耐磨性、耐化学性和快速固化特性的油墨产品，以适用于多种印刷应用，包括但不限于包装印刷、标签印刷、商业印刷等。</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4D48DB" w14:textId="309A8310">
      <w:pPr>
        <w:ind w:firstLine="561"/>
      </w:pPr>
      <w:r>
        <w:rPr>
          <w:rFonts w:ascii="仿宋" w:eastAsia="仿宋" w:hAnsi="仿宋"/>
          <w:sz w:val="28"/>
        </w:rPr>
        <w:t>市场机遇：随着消费者对环保产品需求的增加，传统溶剂型油墨的市场份额逐渐萎缩。液态感光固化油墨作为一种环保型产品，具有广阔的市场前景。</w:t>
      </w:r>
      <w:r>
        <w:rPr>
          <w:rFonts w:ascii="仿宋" w:eastAsia="仿宋" w:hAnsi="仿宋"/>
          <w:sz w:val="28"/>
        </w:rPr>
        <w:br/>
        <w:t xml:space="preserve">    2.</w:t>
      </w:r>
      <w:r>
        <w:rPr>
          <w:rFonts w:ascii="仿宋" w:eastAsia="仿宋" w:hAnsi="仿宋"/>
          <w:sz w:val="28"/>
        </w:rPr>
        <w:t>技术优势：项目将采用国际领先的技术，确保产品具有卓越的性能和质量，满足高端市场的需求。</w:t>
      </w:r>
      <w:r>
        <w:rPr>
          <w:rFonts w:ascii="仿宋" w:eastAsia="仿宋" w:hAnsi="仿宋"/>
          <w:sz w:val="28"/>
        </w:rPr>
        <w:br/>
        <w:t xml:space="preserve">    3.</w:t>
      </w:r>
      <w:r>
        <w:rPr>
          <w:rFonts w:ascii="仿宋" w:eastAsia="仿宋" w:hAnsi="仿宋"/>
          <w:sz w:val="28"/>
        </w:rPr>
        <w:t>成本效益：通过规模化生产和供应链优化，项目将实现成本的有效控制，提供具有竞争力的产品价格。</w:t>
      </w:r>
      <w:r>
        <w:rPr>
          <w:rFonts w:ascii="仿宋" w:eastAsia="仿宋" w:hAnsi="仿宋"/>
          <w:sz w:val="28"/>
        </w:rPr>
        <w:br/>
        <w:t xml:space="preserve">    4.</w:t>
      </w:r>
      <w:r>
        <w:rPr>
          <w:rFonts w:ascii="仿宋" w:eastAsia="仿宋" w:hAnsi="仿宋"/>
          <w:sz w:val="28"/>
        </w:rPr>
        <w:t>政策支持：政府对环保产业的支持政策为项目提供了良好的政策环境，有助于项目的顺利实施和市场推广。</w:t>
      </w:r>
      <w:r>
        <w:rPr>
          <w:rFonts w:ascii="仿宋" w:eastAsia="仿宋" w:hAnsi="仿宋"/>
          <w:sz w:val="28"/>
        </w:rPr>
        <w:br/>
        <w:t xml:space="preserve">    5.</w:t>
      </w:r>
      <w:r>
        <w:rPr>
          <w:rFonts w:ascii="仿宋" w:eastAsia="仿宋" w:hAnsi="仿宋"/>
          <w:sz w:val="28"/>
        </w:rPr>
        <w:t>社会效益：项目的实施将促进当地就业，并带动相关产业链的发展，为当地经济做出贡献。</w:t>
      </w:r>
      <w:r>
        <w:rPr>
          <w:rFonts w:ascii="仿宋" w:eastAsia="仿宋" w:hAnsi="仿宋"/>
          <w:sz w:val="28"/>
        </w:rPr>
        <w:br/>
        <w:t xml:space="preserve">    6.</w:t>
      </w:r>
      <w:r>
        <w:rPr>
          <w:rFonts w:ascii="仿宋" w:eastAsia="仿宋" w:hAnsi="仿宋"/>
          <w:sz w:val="28"/>
        </w:rPr>
        <w:t>风险评估与应对：通过对市场风险、技术风险、运营风险等进行分析，并制定相应的风险管理策略，确保项目的稳健发展。</w:t>
      </w:r>
      <w:r>
        <w:rPr>
          <w:rFonts w:ascii="仿宋" w:eastAsia="仿宋" w:hAnsi="仿宋"/>
          <w:sz w:val="28"/>
        </w:rPr>
        <w:br/>
      </w:r>
      <w:r>
        <w:rPr>
          <w:rFonts w:ascii="仿宋" w:eastAsia="仿宋" w:hAnsi="仿宋"/>
          <w:sz w:val="28"/>
        </w:rPr>
        <w:t>综上所述，液态感光固化油墨项目的实施既符合市场发展趋势，又具备技术、成本、政策和社会等多方面的优势，具有良好的可行性和发展前景。</w:t>
      </w:r>
    </w:p>
    <w:p w:rsidR="009D1637" w:rsidRPr="00913CD1" w:rsidP="00457322" w14:paraId="36F72D8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39A3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EA2C2E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51C5F8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C8993A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液态感光固化油墨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4F3920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液态感光固化油墨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F357D97"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液态感光固化油墨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21FF76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F62F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21D8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1CC2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F771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项目功能、盈利性等</w:t>
      </w:r>
    </w:p>
    <w:p w:rsidR="007D3AEE" w:rsidRPr="00913CD1" w:rsidP="00457322" w14:paraId="26234C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32EC58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45D6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F0D6A7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液态感光固化油墨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项目建设的可行性和效益的合理性。</w:t>
      </w:r>
    </w:p>
    <w:p w:rsidR="009D1637" w:rsidRPr="00913CD1" w:rsidP="00457322" w14:paraId="30B989E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液态感光固化油墨</w:t>
      </w:r>
      <w:r w:rsidRPr="00913CD1">
        <w:rPr>
          <w:rFonts w:ascii="仿宋" w:eastAsia="仿宋" w:hAnsi="仿宋"/>
        </w:rPr>
        <w:t>项目建设选址</w:t>
      </w:r>
      <w:bookmarkEnd w:id="9"/>
    </w:p>
    <w:p w:rsidR="009D1637" w:rsidRPr="00913CD1" w:rsidP="00457322" w14:paraId="58EC5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项目选址及规划</w:t>
      </w:r>
    </w:p>
    <w:p w:rsidR="009D1637" w:rsidRPr="00913CD1" w:rsidP="00457322" w14:paraId="7D088BE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项目的建设。</w:t>
      </w:r>
    </w:p>
    <w:p w:rsidR="009D1637" w:rsidRPr="00913CD1" w:rsidP="00457322" w14:paraId="4BED4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项目背景及选址理由</w:t>
      </w:r>
    </w:p>
    <w:p w:rsidR="009D1637" w:rsidRPr="00913CD1" w:rsidP="00457322" w14:paraId="699FB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项目背景</w:t>
      </w:r>
    </w:p>
    <w:p w:rsidR="004D48DB" w14:paraId="2ED26645" w14:textId="4BC9C49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液态感光固化油墨是一种新型环保油墨，其主要特点是在紫外线照射下能够迅速固化，从而实现高速印刷。该项目背景分析主要包括以下几个方面：</w:t>
      </w:r>
      <w:r>
        <w:rPr>
          <w:rFonts w:ascii="仿宋" w:eastAsia="仿宋" w:hAnsi="仿宋"/>
          <w:sz w:val="28"/>
        </w:rPr>
        <w:br/>
        <w:t xml:space="preserve">    1.</w:t>
      </w:r>
      <w:r>
        <w:rPr>
          <w:rFonts w:ascii="仿宋" w:eastAsia="仿宋" w:hAnsi="仿宋"/>
          <w:sz w:val="28"/>
        </w:rPr>
        <w:t>市场需求分析：随着环保意识的增强和印刷技术的不断进步，市场对环保型、高效率油墨的需求日益增长。液态感光固化油墨作为一种环保、高效的解决方案，具有广阔的市场前景。</w:t>
      </w:r>
      <w:r>
        <w:rPr>
          <w:rFonts w:ascii="仿宋" w:eastAsia="仿宋" w:hAnsi="仿宋"/>
          <w:sz w:val="28"/>
        </w:rPr>
        <w:br/>
        <w:t xml:space="preserve">    2.</w:t>
      </w:r>
      <w:r>
        <w:rPr>
          <w:rFonts w:ascii="仿宋" w:eastAsia="仿宋" w:hAnsi="仿宋"/>
          <w:sz w:val="28"/>
        </w:rPr>
        <w:t>技术发展分析：目前，液态感光固化油墨技术已经相对成熟，国内外有多家企业已经成功开发出相关产品。本项目将依托先进的技术研发能力，确保产品的技术领先性和市场竞争力。</w:t>
      </w:r>
      <w:r>
        <w:rPr>
          <w:rFonts w:ascii="仿宋" w:eastAsia="仿宋" w:hAnsi="仿宋"/>
          <w:sz w:val="28"/>
        </w:rPr>
        <w:br/>
        <w:t xml:space="preserve">    3.</w:t>
      </w:r>
      <w:r>
        <w:rPr>
          <w:rFonts w:ascii="仿宋" w:eastAsia="仿宋" w:hAnsi="仿宋"/>
          <w:sz w:val="28"/>
        </w:rPr>
        <w:t>政策环境分析：各国政府对环保产业的支持政策不断加码，尤其是在减少</w:t>
      </w:r>
      <w:r>
        <w:rPr>
          <w:rFonts w:ascii="仿宋" w:eastAsia="仿宋" w:hAnsi="仿宋"/>
          <w:sz w:val="28"/>
        </w:rPr>
        <w:t>VOCs</w:t>
      </w:r>
    </w:p>
    <w:p w:rsidR="004D48DB" w14:textId="4BC9C495">
      <w:pPr>
        <w:ind w:firstLine="560"/>
      </w:pPr>
      <w:r>
        <w:rPr>
          <w:rFonts w:ascii="仿宋" w:eastAsia="仿宋" w:hAnsi="仿宋"/>
          <w:sz w:val="28"/>
        </w:rPr>
        <w:t>排放、推动绿色印刷等方面，为液态感光固化油墨项目提供了良好的政策环境。</w:t>
      </w:r>
      <w:r>
        <w:rPr>
          <w:rFonts w:ascii="仿宋" w:eastAsia="仿宋" w:hAnsi="仿宋"/>
          <w:sz w:val="28"/>
        </w:rPr>
        <w:br/>
        <w:t xml:space="preserve">    4.</w:t>
      </w:r>
      <w:r>
        <w:rPr>
          <w:rFonts w:ascii="仿宋" w:eastAsia="仿宋" w:hAnsi="仿宋"/>
          <w:sz w:val="28"/>
        </w:rPr>
        <w:t>成本效益分析：相比于传统油墨，液态感光固化油墨虽然在初期投入上略高，但从长远来看，其固化速度快、能耗低、材料利用率高，能够显著降低印刷成本，提高经济效益。</w:t>
      </w:r>
      <w:r>
        <w:rPr>
          <w:rFonts w:ascii="仿宋" w:eastAsia="仿宋" w:hAnsi="仿宋"/>
          <w:sz w:val="28"/>
        </w:rPr>
        <w:br/>
        <w:t xml:space="preserve">    5.</w:t>
      </w:r>
      <w:r>
        <w:rPr>
          <w:rFonts w:ascii="仿宋" w:eastAsia="仿宋" w:hAnsi="仿宋"/>
          <w:sz w:val="28"/>
        </w:rPr>
        <w:t>社会效益分析：液态感光固化油墨的使用能够有效减少</w:t>
      </w:r>
      <w:r>
        <w:rPr>
          <w:rFonts w:ascii="仿宋" w:eastAsia="仿宋" w:hAnsi="仿宋"/>
          <w:sz w:val="28"/>
        </w:rPr>
        <w:t>VOCs</w:t>
      </w:r>
      <w:r>
        <w:rPr>
          <w:rFonts w:ascii="仿宋" w:eastAsia="仿宋" w:hAnsi="仿宋"/>
          <w:sz w:val="28"/>
        </w:rPr>
        <w:t>排放，降低对环境的污染，同时也能提高印刷品的质量，满足消费者对高品质产品的需求。</w:t>
      </w:r>
      <w:r>
        <w:rPr>
          <w:rFonts w:ascii="仿宋" w:eastAsia="仿宋" w:hAnsi="仿宋"/>
          <w:sz w:val="28"/>
        </w:rPr>
        <w:br/>
      </w:r>
      <w:r>
        <w:rPr>
          <w:rFonts w:ascii="仿宋" w:eastAsia="仿宋" w:hAnsi="仿宋"/>
          <w:sz w:val="28"/>
        </w:rPr>
        <w:t>综上所述，液态感光固化油墨项目具有良好的市场机遇、技术基础、政策支持和经济效益，是一个值得投资发展的项目。</w:t>
      </w:r>
    </w:p>
    <w:p w:rsidR="009D1637" w:rsidRPr="00913CD1" w:rsidP="00457322" w14:paraId="58AA4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70B1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ED701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项目的发展和扩张。</w:t>
      </w:r>
    </w:p>
    <w:p w:rsidR="009D1637" w:rsidRPr="00913CD1" w:rsidP="00457322" w14:paraId="39544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项目的可迗性。</w:t>
      </w:r>
    </w:p>
    <w:p w:rsidR="009D1637" w:rsidRPr="00913CD1" w:rsidP="00457322" w14:paraId="70DD9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项目建设提供了良好基础条件。</w:t>
      </w:r>
    </w:p>
    <w:p w:rsidR="009D1637" w:rsidRPr="00913CD1" w:rsidP="00457322" w14:paraId="7F9D6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项目规模和扩展的需要。</w:t>
      </w:r>
    </w:p>
    <w:p w:rsidR="009D1637" w:rsidRPr="00913CD1" w:rsidP="00457322" w14:paraId="53EDB82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液态感光固化油墨</w:t>
      </w:r>
      <w:r w:rsidRPr="00913CD1">
        <w:rPr>
          <w:rFonts w:ascii="仿宋" w:eastAsia="仿宋" w:hAnsi="仿宋"/>
        </w:rPr>
        <w:t>项目生产规模</w:t>
      </w:r>
      <w:bookmarkEnd w:id="10"/>
    </w:p>
    <w:p w:rsidR="009D1637" w:rsidRPr="00913CD1" w:rsidP="00457322" w14:paraId="61BF50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388696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3415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CEC5761"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1E0D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项目实施过程中，对环境的影响降到最低。</w:t>
      </w:r>
    </w:p>
    <w:p w:rsidR="009D1637" w:rsidRPr="00913CD1" w:rsidP="00457322" w14:paraId="1AD44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D90BC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48B7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65FCF8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液态感光固化油墨</w:t>
      </w:r>
      <w:r w:rsidRPr="00913CD1">
        <w:rPr>
          <w:rFonts w:ascii="仿宋" w:eastAsia="仿宋" w:hAnsi="仿宋"/>
        </w:rPr>
        <w:t>项目总投资及资金构成</w:t>
      </w:r>
      <w:bookmarkEnd w:id="13"/>
    </w:p>
    <w:p w:rsidR="009D1637" w:rsidRPr="00913CD1" w:rsidP="00457322" w14:paraId="64A92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的生产能力。</w:t>
      </w:r>
    </w:p>
    <w:p w:rsidR="009D1637" w:rsidRPr="00913CD1" w:rsidP="00457322" w14:paraId="47E7D7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项目总投资</w:t>
      </w:r>
    </w:p>
    <w:p w:rsidR="009D1637" w:rsidRPr="00913CD1" w:rsidP="00457322" w14:paraId="24543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CEA0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85F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787D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1D5A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C0B5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9151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88DD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项目的顺利建设奠定了财务基础。</w:t>
      </w:r>
    </w:p>
    <w:p w:rsidR="009D1637" w:rsidRPr="00913CD1" w:rsidP="00457322" w14:paraId="239DD8A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98C5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8FCF55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液态感光固化油墨</w:t>
      </w:r>
      <w:r w:rsidRPr="00913CD1">
        <w:rPr>
          <w:rFonts w:ascii="仿宋" w:eastAsia="仿宋" w:hAnsi="仿宋"/>
        </w:rPr>
        <w:t>项目预期经济效益规划目标</w:t>
      </w:r>
      <w:bookmarkEnd w:id="15"/>
    </w:p>
    <w:p w:rsidR="009D1637" w:rsidRPr="00913CD1" w:rsidP="00457322" w14:paraId="3B5DD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项目的盈利能力和市场竞争力。</w:t>
      </w:r>
    </w:p>
    <w:p w:rsidR="009D1637" w:rsidRPr="00913CD1" w:rsidP="00457322" w14:paraId="19699F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项目具有较高的投资价值和发展潜力。</w:t>
      </w:r>
    </w:p>
    <w:p w:rsidR="009D1637" w:rsidRPr="00913CD1" w:rsidP="00457322" w14:paraId="042570B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B6106A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液态感光固化油墨</w:t>
      </w:r>
      <w:r w:rsidRPr="00913CD1">
        <w:rPr>
          <w:rFonts w:ascii="仿宋" w:eastAsia="仿宋" w:hAnsi="仿宋"/>
        </w:rPr>
        <w:t>项目建设进度规划</w:t>
      </w:r>
      <w:bookmarkEnd w:id="16"/>
    </w:p>
    <w:p w:rsidR="009D1637" w:rsidRPr="00913CD1" w:rsidP="00457322" w14:paraId="4447F7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项目的顺利进行和按时完成。</w:t>
      </w:r>
    </w:p>
    <w:p w:rsidR="009D1637" w:rsidRPr="00913CD1" w:rsidP="00457322" w14:paraId="17E24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项目的质量和进度。</w:t>
      </w:r>
    </w:p>
    <w:p w:rsidR="009D1637" w:rsidRPr="00913CD1" w:rsidP="00457322" w14:paraId="5E7EE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4C6203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液态感光固化油墨</w:t>
      </w:r>
      <w:r w:rsidRPr="00913CD1">
        <w:rPr>
          <w:rFonts w:ascii="仿宋" w:eastAsia="仿宋" w:hAnsi="仿宋"/>
        </w:rPr>
        <w:t>项目综合评价</w:t>
      </w:r>
      <w:bookmarkEnd w:id="17"/>
    </w:p>
    <w:p w:rsidR="00BF6395" w:rsidRPr="00913CD1" w:rsidP="00457322" w14:paraId="7FCF2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液态感光固化油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8D3882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液态感光固化油墨项目的投资回报率稳定且可观。根据市场调查和预测，液态感光固化油墨市场需求持续增长，具有良好的市场前景和发展空间。我们的投资方向紧密结合国家产业政策和市场需求，为投资者创造可观的投资收益。</w:t>
      </w:r>
    </w:p>
    <w:p w:rsidR="00BF6395" w:rsidRPr="00913CD1" w:rsidP="00457322" w14:paraId="761AD34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液态感光固化油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E280A7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在技术方案设计方面，我们注重方案的优化和效益的提升。通过科学合理的设计，实现液态感光固化油墨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生产流程的高效化和产品的优质化。我们将采用先进的生产工艺和技术，提高生产效率，降低生产成本。同时，我们还将加强产品研发和创新，不断推出具有竞争力的新产品，满足液态感光固化油墨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126F9C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液态感光固化油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F4A4E0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综上所述，本期液态感光固化油墨项目具备技术和经济的可行性，具有良好的市场前景和发展空间。我们将充分发挥自身优势，抓住市场机遇，为投资者创造丰厚的投资回报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0A0DFA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6B0D37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8AD9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7CFA3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3BA3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91350D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5121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3243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08D6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BC97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9EBA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1689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4E2C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A1C5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C2386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9D8C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B89C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EBE0E5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C388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0DBC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液态感光固化油墨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9E2CD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液态感光固化油墨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CEFD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液态感光固化油墨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9362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D3AB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0B0E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DC073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B0F9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液态感光固化油墨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FB6A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DB9942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375671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A00F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项目的顺利进行和迗成目标。</w:t>
      </w:r>
    </w:p>
    <w:p w:rsidR="009D1637" w:rsidRPr="00913CD1" w:rsidP="00457322" w14:paraId="51EF5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6FDC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FED0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3A1A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C15CF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BCE0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AF70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2443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D1A6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8FEF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783B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2F00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CCB1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5F7C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CB40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1926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91D54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53AC2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A535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ABFF6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15EE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1B414B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48AA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6322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CE74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0D22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94DE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D800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36E15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3AB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5B15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F233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5B34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9C0A8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EFB0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0915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3CF4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3253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6AF0B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44C65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1D68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EA8AE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8420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7C3E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2C36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CBB2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1FAF4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394E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1F12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B56E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1263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30201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EF7F8E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A14964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液态感光固化油墨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2D5E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3C7A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CB8D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ADDEB2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液态感光固化油墨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E944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879F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B509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E48F5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0C33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F2AA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25342F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F3DE32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43F9F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7E5B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1A04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C984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8B20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1391D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71D0E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0CD0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4A06C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9704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354D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7F0A73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液态感光固化油墨</w:t>
      </w:r>
      <w:r w:rsidRPr="00913CD1">
        <w:rPr>
          <w:rFonts w:ascii="仿宋" w:eastAsia="仿宋" w:hAnsi="仿宋"/>
        </w:rPr>
        <w:t>项目技术工艺分析</w:t>
      </w:r>
      <w:bookmarkEnd w:id="28"/>
    </w:p>
    <w:p w:rsidR="009D1637" w:rsidRPr="00913CD1" w:rsidP="00457322" w14:paraId="164AC4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D5EF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E77B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25775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04CD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00684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50F9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3462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4E45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6CE0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8F45F3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液态感光固化油墨项目</w:t>
      </w:r>
      <w:r w:rsidRPr="00913CD1">
        <w:rPr>
          <w:rFonts w:ascii="仿宋" w:eastAsia="仿宋" w:hAnsi="仿宋"/>
        </w:rPr>
        <w:t>质量管理</w:t>
      </w:r>
      <w:bookmarkEnd w:id="29"/>
    </w:p>
    <w:p w:rsidR="009D1637" w:rsidRPr="00913CD1" w:rsidP="00457322" w14:paraId="31F5C6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CC47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72E0E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1CE90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2CA2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FDA1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CB72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8607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79CF53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液态感光固化油墨项目</w:t>
      </w:r>
      <w:r w:rsidRPr="00913CD1">
        <w:rPr>
          <w:rFonts w:ascii="仿宋" w:eastAsia="仿宋" w:hAnsi="仿宋"/>
        </w:rPr>
        <w:t>设备选型方案</w:t>
      </w:r>
      <w:bookmarkEnd w:id="30"/>
    </w:p>
    <w:p w:rsidR="009D1637" w:rsidRPr="00913CD1" w:rsidP="00457322" w14:paraId="2B78E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75AC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CBE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93895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AC42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1753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952F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E003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项目的高效运行和产品质量的稳定提升。</w:t>
      </w:r>
    </w:p>
    <w:p w:rsidR="009D1637" w:rsidRPr="00913CD1" w:rsidP="00457322" w14:paraId="59C72E7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94F8D0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BE27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9E40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CFEC5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4FA2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B4117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B206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56D2C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8433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6211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F3EFF4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ED37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1C81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4AF4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液态感光固化油墨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3467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液态感光固化油墨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0924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6DC0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https://d.book118.com/348003066023006034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7F6934D" w14:textId="77777777">
    <w:pPr>
      <w:pStyle w:val="Footer"/>
      <w:jc w:val="center"/>
    </w:pPr>
  </w:p>
  <w:p w:rsidR="008D6901" w14:paraId="497DF1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5E4095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846BC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4475870"/>
      <w:docPartObj>
        <w:docPartGallery w:val="Page Numbers (Bottom of Page)"/>
        <w:docPartUnique/>
      </w:docPartObj>
    </w:sdtPr>
    <w:sdtContent>
      <w:sdt>
        <w:sdtPr>
          <w:id w:val="2872672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339204"/>
      <w:docPartObj>
        <w:docPartGallery w:val="Page Numbers (Bottom of Page)"/>
        <w:docPartUnique/>
      </w:docPartObj>
    </w:sdtPr>
    <w:sdtContent>
      <w:sdt>
        <w:sdtPr>
          <w:id w:val="728514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153048"/>
      <w:docPartObj>
        <w:docPartGallery w:val="Page Numbers (Bottom of Page)"/>
        <w:docPartUnique/>
      </w:docPartObj>
    </w:sdtPr>
    <w:sdtContent>
      <w:sdt>
        <w:sdtPr>
          <w:id w:val="4834698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9474997"/>
      <w:docPartObj>
        <w:docPartGallery w:val="Page Numbers (Bottom of Page)"/>
        <w:docPartUnique/>
      </w:docPartObj>
    </w:sdtPr>
    <w:sdtContent>
      <w:sdt>
        <w:sdtPr>
          <w:id w:val="2054794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7687926"/>
      <w:docPartObj>
        <w:docPartGallery w:val="Page Numbers (Bottom of Page)"/>
        <w:docPartUnique/>
      </w:docPartObj>
    </w:sdtPr>
    <w:sdtContent>
      <w:sdt>
        <w:sdtPr>
          <w:id w:val="10263664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3749267"/>
      <w:docPartObj>
        <w:docPartGallery w:val="Page Numbers (Bottom of Page)"/>
        <w:docPartUnique/>
      </w:docPartObj>
    </w:sdtPr>
    <w:sdtContent>
      <w:sdt>
        <w:sdtPr>
          <w:id w:val="20107173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9810353"/>
      <w:docPartObj>
        <w:docPartGallery w:val="Page Numbers (Bottom of Page)"/>
        <w:docPartUnique/>
      </w:docPartObj>
    </w:sdtPr>
    <w:sdtContent>
      <w:sdt>
        <w:sdtPr>
          <w:id w:val="713697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0752509"/>
      <w:docPartObj>
        <w:docPartGallery w:val="Page Numbers (Bottom of Page)"/>
        <w:docPartUnique/>
      </w:docPartObj>
    </w:sdtPr>
    <w:sdtContent>
      <w:sdt>
        <w:sdtPr>
          <w:id w:val="6747870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199684"/>
      <w:docPartObj>
        <w:docPartGallery w:val="Page Numbers (Bottom of Page)"/>
        <w:docPartUnique/>
      </w:docPartObj>
    </w:sdtPr>
    <w:sdtContent>
      <w:sdt>
        <w:sdtPr>
          <w:id w:val="1693949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1205364"/>
      <w:docPartObj>
        <w:docPartGallery w:val="Page Numbers (Bottom of Page)"/>
        <w:docPartUnique/>
      </w:docPartObj>
    </w:sdtPr>
    <w:sdtContent>
      <w:sdt>
        <w:sdtPr>
          <w:id w:val="7326178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8637475"/>
      <w:docPartObj>
        <w:docPartGallery w:val="Page Numbers (Bottom of Page)"/>
        <w:docPartUnique/>
      </w:docPartObj>
    </w:sdtPr>
    <w:sdtContent>
      <w:sdt>
        <w:sdtPr>
          <w:id w:val="2021257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782526"/>
      <w:docPartObj>
        <w:docPartGallery w:val="Page Numbers (Bottom of Page)"/>
        <w:docPartUnique/>
      </w:docPartObj>
    </w:sdtPr>
    <w:sdtContent>
      <w:sdt>
        <w:sdtPr>
          <w:id w:val="1242415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1016004"/>
      <w:docPartObj>
        <w:docPartGallery w:val="Page Numbers (Bottom of Page)"/>
        <w:docPartUnique/>
      </w:docPartObj>
    </w:sdtPr>
    <w:sdtContent>
      <w:sdt>
        <w:sdtPr>
          <w:id w:val="625966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4514402"/>
      <w:docPartObj>
        <w:docPartGallery w:val="Page Numbers (Bottom of Page)"/>
        <w:docPartUnique/>
      </w:docPartObj>
    </w:sdtPr>
    <w:sdtContent>
      <w:sdt>
        <w:sdtPr>
          <w:id w:val="1115484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1597030"/>
      <w:docPartObj>
        <w:docPartGallery w:val="Page Numbers (Bottom of Page)"/>
        <w:docPartUnique/>
      </w:docPartObj>
    </w:sdtPr>
    <w:sdtContent>
      <w:sdt>
        <w:sdtPr>
          <w:id w:val="253144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965667"/>
      <w:docPartObj>
        <w:docPartGallery w:val="Page Numbers (Bottom of Page)"/>
        <w:docPartUnique/>
      </w:docPartObj>
    </w:sdtPr>
    <w:sdtContent>
      <w:sdt>
        <w:sdtPr>
          <w:id w:val="10857520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9952491"/>
      <w:docPartObj>
        <w:docPartGallery w:val="Page Numbers (Bottom of Page)"/>
        <w:docPartUnique/>
      </w:docPartObj>
    </w:sdtPr>
    <w:sdtContent>
      <w:sdt>
        <w:sdtPr>
          <w:id w:val="1496927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3967358"/>
      <w:docPartObj>
        <w:docPartGallery w:val="Page Numbers (Bottom of Page)"/>
        <w:docPartUnique/>
      </w:docPartObj>
    </w:sdtPr>
    <w:sdtContent>
      <w:sdt>
        <w:sdtPr>
          <w:id w:val="5464336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662623"/>
      <w:docPartObj>
        <w:docPartGallery w:val="Page Numbers (Bottom of Page)"/>
        <w:docPartUnique/>
      </w:docPartObj>
    </w:sdtPr>
    <w:sdtContent>
      <w:sdt>
        <w:sdtPr>
          <w:id w:val="2125965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4793496"/>
      <w:docPartObj>
        <w:docPartGallery w:val="Page Numbers (Bottom of Page)"/>
        <w:docPartUnique/>
      </w:docPartObj>
    </w:sdtPr>
    <w:sdtContent>
      <w:sdt>
        <w:sdtPr>
          <w:id w:val="1191440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917318"/>
      <w:docPartObj>
        <w:docPartGallery w:val="Page Numbers (Bottom of Page)"/>
        <w:docPartUnique/>
      </w:docPartObj>
    </w:sdtPr>
    <w:sdtContent>
      <w:sdt>
        <w:sdtPr>
          <w:id w:val="8472574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5244615"/>
      <w:docPartObj>
        <w:docPartGallery w:val="Page Numbers (Bottom of Page)"/>
        <w:docPartUnique/>
      </w:docPartObj>
    </w:sdtPr>
    <w:sdtContent>
      <w:sdt>
        <w:sdtPr>
          <w:id w:val="776896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1374142"/>
      <w:docPartObj>
        <w:docPartGallery w:val="Page Numbers (Bottom of Page)"/>
        <w:docPartUnique/>
      </w:docPartObj>
    </w:sdtPr>
    <w:sdtContent>
      <w:sdt>
        <w:sdtPr>
          <w:id w:val="301762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6822836"/>
      <w:docPartObj>
        <w:docPartGallery w:val="Page Numbers (Bottom of Page)"/>
        <w:docPartUnique/>
      </w:docPartObj>
    </w:sdtPr>
    <w:sdtContent>
      <w:sdt>
        <w:sdtPr>
          <w:id w:val="12590989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1780557"/>
      <w:docPartObj>
        <w:docPartGallery w:val="Page Numbers (Bottom of Page)"/>
        <w:docPartUnique/>
      </w:docPartObj>
    </w:sdtPr>
    <w:sdtContent>
      <w:sdt>
        <w:sdtPr>
          <w:id w:val="255675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744897"/>
      <w:docPartObj>
        <w:docPartGallery w:val="Page Numbers (Bottom of Page)"/>
        <w:docPartUnique/>
      </w:docPartObj>
    </w:sdtPr>
    <w:sdtContent>
      <w:sdt>
        <w:sdtPr>
          <w:id w:val="19942454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7109932"/>
      <w:docPartObj>
        <w:docPartGallery w:val="Page Numbers (Bottom of Page)"/>
        <w:docPartUnique/>
      </w:docPartObj>
    </w:sdtPr>
    <w:sdtContent>
      <w:sdt>
        <w:sdtPr>
          <w:id w:val="1955427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1465509"/>
      <w:docPartObj>
        <w:docPartGallery w:val="Page Numbers (Bottom of Page)"/>
        <w:docPartUnique/>
      </w:docPartObj>
    </w:sdtPr>
    <w:sdtContent>
      <w:sdt>
        <w:sdtPr>
          <w:id w:val="1608440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681095"/>
      <w:docPartObj>
        <w:docPartGallery w:val="Page Numbers (Bottom of Page)"/>
        <w:docPartUnique/>
      </w:docPartObj>
    </w:sdtPr>
    <w:sdtContent>
      <w:sdt>
        <w:sdtPr>
          <w:id w:val="1814260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8F511BC" w14:textId="77777777">
    <w:pPr>
      <w:pStyle w:val="Header"/>
      <w:pBdr>
        <w:bottom w:val="single" w:sz="4" w:space="1" w:color="auto"/>
      </w:pBdr>
      <w:jc w:val="right"/>
    </w:pPr>
    <w:r>
      <w:t>2024年液态感光固化油墨项目可行性分析报告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2024年液态感光固化油墨项目可行性分析报告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2024年液态感光固化油墨项目可行性分析报告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2024年液态感光固化油墨项目可行性分析报告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2024年液态感光固化油墨项目可行性分析报告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51B24FC" w14:textId="77777777">
    <w:pPr>
      <w:pStyle w:val="Header"/>
      <w:pBdr>
        <w:bottom w:val="single" w:sz="4" w:space="1" w:color="auto"/>
      </w:pBdr>
      <w:jc w:val="right"/>
      <w:rPr>
        <w:sz w:val="24"/>
        <w:szCs w:val="24"/>
      </w:rPr>
    </w:pPr>
    <w:r>
      <w:t>2024年液态感光固化油墨项目可行性分析报告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2024年液态感光固化油墨项目可行性分析报告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A7825"/>
    <w:rsid w:val="00404B34"/>
    <w:rsid w:val="00405A05"/>
    <w:rsid w:val="00435148"/>
    <w:rsid w:val="00457322"/>
    <w:rsid w:val="004834A9"/>
    <w:rsid w:val="00483551"/>
    <w:rsid w:val="004D48DB"/>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10668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800306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7347</Words>
  <Characters>41878</Characters>
  <Application>Microsoft Office Word</Application>
  <DocSecurity>0</DocSecurity>
  <Lines>348</Lines>
  <Paragraphs>98</Paragraphs>
  <ScaleCrop>false</ScaleCrop>
  <Company/>
  <LinksUpToDate>false</LinksUpToDate>
  <CharactersWithSpaces>49127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2024-02-02T03:18:00Z</dcterms:modified>
</cp:coreProperties>
</file>