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A77B3E" w:rsidRPr="000772CC" w:rsidP="000772CC" w14:paraId="40ED22D4" w14:textId="77777777">
      <w:pPr>
        <w:spacing w:before="48" w:beforeLines="20" w:after="360" w:afterLines="150" w:line="360" w:lineRule="auto"/>
        <w:jc w:val="center"/>
        <w:rPr>
          <w:rFonts w:ascii="华文中宋" w:eastAsia="华文中宋" w:hAnsi="华文中宋"/>
          <w:b/>
          <w:sz w:val="30"/>
        </w:rPr>
      </w:pPr>
      <w:r w:rsidRPr="000772CC">
        <w:rPr>
          <w:rFonts w:ascii="华文中宋" w:eastAsia="华文中宋" w:hAnsi="华文中宋"/>
          <w:b/>
          <w:sz w:val="30"/>
        </w:rPr>
        <w:t>2024</w:t>
      </w:r>
      <w:r w:rsidRPr="000772CC">
        <w:rPr>
          <w:rFonts w:ascii="华文中宋" w:eastAsia="华文中宋" w:hAnsi="华文中宋"/>
          <w:b/>
          <w:sz w:val="30"/>
        </w:rPr>
        <w:t>年广西柳州市产业投资发展集团有限公司人员招聘考试题库及答案解析</w:t>
      </w:r>
    </w:p>
    <w:p w:rsidR="00A77B3E" w14:paraId="645DE945" w14:textId="77777777">
      <w:pPr>
        <w:spacing w:after="260" w:line="360" w:lineRule="auto"/>
        <w:jc w:val="center"/>
        <w:rPr>
          <w:sz w:val="21"/>
        </w:rPr>
      </w:pPr>
      <w:r>
        <w:rPr>
          <w:rFonts w:eastAsia="微软雅黑"/>
        </w:rPr>
        <w:t>毕业院校：</w:t>
      </w:r>
      <w:r>
        <w:rPr>
          <w:rFonts w:eastAsia="微软雅黑"/>
        </w:rPr>
        <w:t xml:space="preserve">__________ </w:t>
      </w:r>
      <w:r>
        <w:rPr>
          <w:rFonts w:eastAsia="微软雅黑"/>
        </w:rPr>
        <w:t>姓名：</w:t>
      </w:r>
      <w:r>
        <w:rPr>
          <w:rFonts w:eastAsia="微软雅黑"/>
        </w:rPr>
        <w:t xml:space="preserve">__________ </w:t>
      </w:r>
      <w:r>
        <w:rPr>
          <w:rFonts w:eastAsia="微软雅黑"/>
        </w:rPr>
        <w:t>考场：</w:t>
      </w:r>
      <w:r>
        <w:rPr>
          <w:rFonts w:eastAsia="微软雅黑"/>
        </w:rPr>
        <w:t xml:space="preserve">__________ </w:t>
      </w:r>
      <w:r>
        <w:rPr>
          <w:rFonts w:eastAsia="微软雅黑"/>
        </w:rPr>
        <w:t>考号：</w:t>
      </w:r>
      <w:r>
        <w:rPr>
          <w:rFonts w:eastAsia="微软雅黑"/>
        </w:rPr>
        <w:t>__________</w:t>
      </w:r>
    </w:p>
    <w:p w:rsidR="00A77B3E" w14:paraId="01CAD622" w14:textId="77777777">
      <w:pPr>
        <w:spacing w:after="260" w:line="360" w:lineRule="auto"/>
      </w:pPr>
      <w:r>
        <w:rPr>
          <w:rFonts w:eastAsia="微软雅黑" w:cs="宋体"/>
          <w:b/>
        </w:rPr>
        <w:t>一、言语理解与表达</w:t>
      </w:r>
    </w:p>
    <w:p w:rsidR="003F588C" w14:paraId="5D85969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1</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元朝继承了唐宋对外开放的政策，在政治上加强与海外诸国的联系，在经济上积极开展海外贸易，与元朝有联系的国家和地区在</w:t>
      </w:r>
      <w:r w:rsidRPr="003F588C">
        <w:rPr>
          <w:rFonts w:ascii="Times New Roman" w:eastAsia="微软雅黑" w:hAnsi="微软雅黑" w:cs="宋体" w:hint="eastAsia"/>
          <w:szCs w:val="18"/>
        </w:rPr>
        <w:t>200</w:t>
      </w:r>
      <w:r w:rsidRPr="003F588C">
        <w:rPr>
          <w:rFonts w:ascii="Times New Roman" w:eastAsia="微软雅黑" w:hAnsi="微软雅黑" w:cs="宋体" w:hint="eastAsia"/>
          <w:szCs w:val="18"/>
        </w:rPr>
        <w:t>个以上，其中相当一部分是前代没有记载的。明朝初年的《大明混一图》</w:t>
      </w:r>
      <w:r w:rsidRPr="003F588C">
        <w:rPr>
          <w:rFonts w:ascii="Times New Roman" w:eastAsia="微软雅黑" w:hAnsi="微软雅黑" w:cs="宋体" w:hint="eastAsia"/>
          <w:szCs w:val="18"/>
        </w:rPr>
        <w:t>(1389</w:t>
      </w:r>
      <w:r w:rsidRPr="003F588C">
        <w:rPr>
          <w:rFonts w:ascii="Times New Roman" w:eastAsia="微软雅黑" w:hAnsi="微软雅黑" w:cs="宋体" w:hint="eastAsia"/>
          <w:szCs w:val="18"/>
        </w:rPr>
        <w:t>年</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和朝鲜的《混一疆理历代国都之图》</w:t>
      </w:r>
      <w:r w:rsidRPr="003F588C">
        <w:rPr>
          <w:rFonts w:ascii="Times New Roman" w:eastAsia="微软雅黑" w:hAnsi="微软雅黑" w:cs="宋体" w:hint="eastAsia"/>
          <w:szCs w:val="18"/>
        </w:rPr>
        <w:t>(1402</w:t>
      </w:r>
      <w:r w:rsidRPr="003F588C">
        <w:rPr>
          <w:rFonts w:ascii="Times New Roman" w:eastAsia="微软雅黑" w:hAnsi="微软雅黑" w:cs="宋体" w:hint="eastAsia"/>
          <w:szCs w:val="18"/>
        </w:rPr>
        <w:t>年</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，都出现了非洲南部的大三角，两图类似。朝鲜地图的作者明确说是据元人两种地图合绘而成。可见，元人对非洲地理形势已有所了解，海外地理知识的扩展反映了海外交通的进步。可以认为，元代的海外活动为</w:t>
      </w:r>
      <w:r w:rsidRPr="003F588C">
        <w:rPr>
          <w:rFonts w:ascii="Times New Roman" w:eastAsia="微软雅黑" w:hAnsi="微软雅黑" w:cs="宋体" w:hint="eastAsia"/>
          <w:szCs w:val="18"/>
        </w:rPr>
        <w:t>15</w:t>
      </w:r>
      <w:r w:rsidRPr="003F588C">
        <w:rPr>
          <w:rFonts w:ascii="Times New Roman" w:eastAsia="微软雅黑" w:hAnsi="微软雅黑" w:cs="宋体" w:hint="eastAsia"/>
          <w:szCs w:val="18"/>
        </w:rPr>
        <w:t>世纪郑和航海奠定了基础。</w:t>
      </w:r>
    </w:p>
    <w:p w:rsidR="003F588C" w14:paraId="68EE05B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下列说法与原文相符的是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0E5DB0BF"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、与元朝交往的海外诸国大大多于前朝</w:t>
      </w:r>
    </w:p>
    <w:p w:rsidR="003F588C" w14:paraId="3B524782"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、元朝西征曾到达非洲并据此绘出地图</w:t>
      </w:r>
    </w:p>
    <w:p w:rsidR="003F588C" w14:paraId="5E8E21F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、元朝是我国海上交通最为发达的时期</w:t>
      </w:r>
    </w:p>
    <w:p w:rsidR="003F588C" w14:paraId="0DB8DA9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、历史上我国海外贸易最繁荣的是元朝</w:t>
      </w:r>
    </w:p>
    <w:p w:rsidR="003F588C" w14:paraId="07A79E7E"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4"/>
          <w:headerReference w:type="default" r:id="rId5"/>
          <w:footerReference w:type="even" r:id="rId6"/>
          <w:footerReference w:type="default" r:id="rId7"/>
          <w:headerReference w:type="first" r:id="rId8"/>
          <w:footerReference w:type="first" r:id="rId9"/>
          <w:pgSz w:w="11906" w:h="16838"/>
          <w:pgMar w:top="1134" w:right="1474" w:bottom="1134" w:left="1474" w:header="708" w:footer="708" w:gutter="0"/>
          <w:cols w:sep="1" w:space="708"/>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A</w:t>
      </w:r>
    </w:p>
    <w:p w:rsidR="003F588C" w14:paraId="4477F900"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第一步，分析文段，将选项与原文一一对应。第二步，对比选项。</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项对应原文第二句“与元朝有联系的国家和地区……相当一部分是前代没有记载的”，言下之</w:t>
      </w:r>
      <w:r w:rsidRPr="003F588C">
        <w:rPr>
          <w:rFonts w:ascii="Times New Roman" w:eastAsia="微软雅黑" w:hAnsi="微软雅黑" w:cs="宋体" w:hint="eastAsia"/>
          <w:szCs w:val="18"/>
        </w:rPr>
        <w:t>意就是有很多新的国家和地区。</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项是该句的同义替换，符合文意。</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项对应文中表述“朝鲜地图的作者明确说是据元人两种地图合绘而成”，但并未提到元朝曾西征到达非洲，并据此绘出地图之事，属于无中生有，排除。</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项中“海上交通最为发达”和</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项中“海外贸易最繁荣”都在文中没有提及，属于无中生有，均排除。故选</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p>
    <w:p w:rsidR="003F588C" w14:paraId="49985B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2</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微软中国分公司在招聘员工时，出了一道这样的考题：有</w:t>
      </w:r>
      <w:r w:rsidRPr="003F588C">
        <w:rPr>
          <w:rFonts w:ascii="Times New Roman" w:eastAsia="微软雅黑" w:hAnsi="微软雅黑" w:cs="宋体" w:hint="eastAsia"/>
          <w:szCs w:val="18"/>
        </w:rPr>
        <w:t>12</w:t>
      </w:r>
      <w:r w:rsidRPr="003F588C">
        <w:rPr>
          <w:rFonts w:ascii="Times New Roman" w:eastAsia="微软雅黑" w:hAnsi="微软雅黑" w:cs="宋体" w:hint="eastAsia"/>
          <w:szCs w:val="18"/>
        </w:rPr>
        <w:t>个小球，其中有一个质量与其他</w:t>
      </w:r>
      <w:r w:rsidRPr="003F588C">
        <w:rPr>
          <w:rFonts w:ascii="Times New Roman" w:eastAsia="微软雅黑" w:hAnsi="微软雅黑" w:cs="宋体" w:hint="eastAsia"/>
          <w:szCs w:val="18"/>
        </w:rPr>
        <w:t>11</w:t>
      </w:r>
      <w:r w:rsidRPr="003F588C">
        <w:rPr>
          <w:rFonts w:ascii="Times New Roman" w:eastAsia="微软雅黑" w:hAnsi="微软雅黑" w:cs="宋体" w:hint="eastAsia"/>
          <w:szCs w:val="18"/>
        </w:rPr>
        <w:t>个不同，如果只给你三次测试机会，在</w:t>
      </w:r>
      <w:r w:rsidRPr="003F588C">
        <w:rPr>
          <w:rFonts w:ascii="Times New Roman" w:eastAsia="微软雅黑" w:hAnsi="微软雅黑" w:cs="宋体" w:hint="eastAsia"/>
          <w:szCs w:val="18"/>
        </w:rPr>
        <w:t>30</w:t>
      </w:r>
      <w:r w:rsidRPr="003F588C">
        <w:rPr>
          <w:rFonts w:ascii="Times New Roman" w:eastAsia="微软雅黑" w:hAnsi="微软雅黑" w:cs="宋体" w:hint="eastAsia"/>
          <w:szCs w:val="18"/>
        </w:rPr>
        <w:t>分钟时间内，你怎样才能挑出这个球</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绝大多数应聘者费尽了周折，在规定时间内也没琢磨出结果。之后，有一个青年依旧在考场里苦思冥想，几个钟头后，还在做着实验。教官发现后问，有结果了吗</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青年摇头。最终，这青年被公司录用。理由是：他的智力和能力都不够出色，但毅力可嘉</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一个成功的企业想可持续地发展，除了需要聪明才智外，不能缺少持之以恒的毅力，而此人身上体现的正是这种精神。</w:t>
      </w:r>
    </w:p>
    <w:p w:rsidR="003F588C" w14:paraId="7506A96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最适合做本段文字标题的是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1B9DBDC5"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、招聘难题</w:t>
      </w:r>
    </w:p>
    <w:p w:rsidR="003F588C" w14:paraId="0D85F10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、智商测试</w:t>
      </w:r>
    </w:p>
    <w:p w:rsidR="003F588C" w14:paraId="667C77CD"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、微软招“笨人”</w:t>
      </w:r>
    </w:p>
    <w:p w:rsidR="003F588C" w14:paraId="500CE0A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、企业需要有恒心的青年</w:t>
      </w:r>
    </w:p>
    <w:p w:rsidR="003F588C" w14:paraId="1912E65F" w14:textId="77777777">
      <w:pPr>
        <w:pStyle w:val="NormalWeb"/>
        <w:widowControl/>
        <w:spacing w:beforeAutospacing="0" w:after="260" w:afterAutospacing="0" w:line="360" w:lineRule="auto"/>
        <w:rPr>
          <w:rFonts w:ascii="微软雅黑" w:eastAsia="微软雅黑" w:hAnsi="微软雅黑" w:cs="微软雅黑"/>
          <w:szCs w:val="18"/>
        </w:rPr>
        <w:sectPr>
          <w:headerReference w:type="even" r:id="rId10"/>
          <w:headerReference w:type="default" r:id="rId11"/>
          <w:footerReference w:type="even" r:id="rId12"/>
          <w:footerReference w:type="default" r:id="rId13"/>
          <w:headerReference w:type="first" r:id="rId14"/>
          <w:footerReference w:type="first" r:id="rId15"/>
          <w:type w:val="nextPage"/>
          <w:pgSz w:w="11906" w:h="16838"/>
          <w:pgMar w:top="1134" w:right="1474" w:bottom="1134" w:left="1474" w:header="708" w:footer="708" w:gutter="0"/>
          <w:pgNumType w:start="2"/>
          <w:cols w:sep="1" w:space="708"/>
          <w:titlePg w:val="0"/>
          <w:docGrid w:linePitch="360"/>
        </w:sect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C</w:t>
      </w:r>
    </w:p>
    <w:p w:rsidR="003F588C" w14:paraId="051C887B"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文段以招聘考题为切入点，重在介绍微软独特的用人理念，</w:t>
      </w: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两项显然没有抓住文段的核心观点，排除。</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项虽然抓住了文段的主要意思，但作为标题，显然不如</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项具有吸引力。故选</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w:t>
      </w:r>
    </w:p>
    <w:p w:rsidR="003F588C" w14:paraId="32AC927A"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3</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美国“好奇号”火星车在火星表面着陆，这是人类迄今在其他星球登陆的最精密的移动科学实验室。“好奇号”将测量火星岩石和泥土中不同化学元素的丰度，</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火星表面的辐射环境及其对未来登陆火星宇航员的危害，</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火星是否具有适宜生命存在的环境，</w:t>
      </w:r>
      <w:r w:rsidRPr="003F588C">
        <w:rPr>
          <w:rFonts w:ascii="Times New Roman" w:eastAsia="微软雅黑" w:hAnsi="微软雅黑" w:cs="宋体" w:hint="eastAsia"/>
          <w:szCs w:val="18"/>
        </w:rPr>
        <w:t>____</w:t>
      </w:r>
      <w:r w:rsidRPr="003F588C">
        <w:rPr>
          <w:rFonts w:ascii="Times New Roman" w:eastAsia="微软雅黑" w:hAnsi="微软雅黑" w:cs="宋体" w:hint="eastAsia"/>
          <w:szCs w:val="18"/>
        </w:rPr>
        <w:t>行星变化的线索。</w:t>
      </w:r>
    </w:p>
    <w:p w:rsidR="003F588C" w14:paraId="217C2A37"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填入画横线部分最恰当的一项是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p>
    <w:p w:rsidR="003F588C" w14:paraId="336C35EE"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A</w:t>
      </w:r>
      <w:r w:rsidRPr="003F588C">
        <w:rPr>
          <w:rFonts w:ascii="Times New Roman" w:eastAsia="微软雅黑" w:hAnsi="微软雅黑" w:cs="宋体" w:hint="eastAsia"/>
          <w:szCs w:val="18"/>
        </w:rPr>
        <w:t>、评价</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找寻</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跟踪</w:t>
      </w:r>
    </w:p>
    <w:p w:rsidR="003F588C" w14:paraId="595DBCE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、判断</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考察</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挖掘</w:t>
      </w:r>
    </w:p>
    <w:p w:rsidR="003F588C" w14:paraId="7C24FB20"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、测算</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探究</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注意</w:t>
      </w:r>
    </w:p>
    <w:p w:rsidR="003F588C" w14:paraId="31C2FB94"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、评估</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探索</w:t>
      </w:r>
      <w:r w:rsidRPr="003F588C">
        <w:rPr>
          <w:rFonts w:ascii="Times New Roman" w:eastAsia="微软雅黑" w:hAnsi="微软雅黑" w:cs="宋体" w:hint="eastAsia"/>
          <w:szCs w:val="18"/>
        </w:rPr>
        <w:t xml:space="preserve"> </w:t>
      </w:r>
      <w:r w:rsidRPr="003F588C">
        <w:rPr>
          <w:rFonts w:ascii="Times New Roman" w:eastAsia="微软雅黑" w:hAnsi="微软雅黑" w:cs="宋体" w:hint="eastAsia"/>
          <w:szCs w:val="18"/>
        </w:rPr>
        <w:t>寻找</w:t>
      </w:r>
    </w:p>
    <w:p w:rsidR="003F588C" w14:paraId="203A2779"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b/>
          <w:color w:val="228B22"/>
          <w:szCs w:val="18"/>
        </w:rPr>
        <w:t>答案：</w:t>
      </w:r>
      <w:r w:rsidRPr="003F588C">
        <w:rPr>
          <w:rFonts w:ascii="Times New Roman" w:eastAsia="微软雅黑" w:hAnsi="微软雅黑" w:cs="宋体" w:hint="eastAsia"/>
          <w:szCs w:val="18"/>
        </w:rPr>
        <w:t>D</w:t>
      </w:r>
    </w:p>
    <w:p w:rsidR="003F588C" w14:paraId="7209041A" w14:textId="77777777">
      <w:pPr>
        <w:pStyle w:val="NormalWeb"/>
        <w:widowControl/>
        <w:spacing w:beforeAutospacing="0" w:after="260" w:afterAutospacing="0" w:line="360" w:lineRule="auto"/>
        <w:rPr>
          <w:rFonts w:ascii="微软雅黑" w:eastAsia="微软雅黑" w:hAnsi="微软雅黑" w:cs="微软雅黑"/>
          <w:b/>
          <w:color w:val="4066F4"/>
          <w:szCs w:val="18"/>
        </w:rPr>
      </w:pPr>
      <w:r w:rsidRPr="003F588C">
        <w:rPr>
          <w:rFonts w:ascii="Times New Roman" w:eastAsia="微软雅黑" w:hAnsi="微软雅黑" w:cs="宋体" w:hint="eastAsia"/>
          <w:color w:val="228B22"/>
          <w:szCs w:val="18"/>
        </w:rPr>
        <w:t>解析：</w:t>
      </w:r>
      <w:r w:rsidRPr="003F588C">
        <w:rPr>
          <w:rFonts w:ascii="Times New Roman" w:eastAsia="微软雅黑" w:hAnsi="微软雅黑" w:cs="宋体" w:hint="eastAsia"/>
          <w:szCs w:val="18"/>
        </w:rPr>
        <w:t>第一空，“判断”“测算”均不能与“环境”搭配，排除</w:t>
      </w:r>
      <w:r w:rsidRPr="003F588C">
        <w:rPr>
          <w:rFonts w:ascii="Times New Roman" w:eastAsia="微软雅黑" w:hAnsi="微软雅黑" w:cs="宋体" w:hint="eastAsia"/>
          <w:szCs w:val="18"/>
        </w:rPr>
        <w:t>B</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C</w:t>
      </w:r>
      <w:r w:rsidRPr="003F588C">
        <w:rPr>
          <w:rFonts w:ascii="Times New Roman" w:eastAsia="微软雅黑" w:hAnsi="微软雅黑" w:cs="宋体" w:hint="eastAsia"/>
          <w:szCs w:val="18"/>
        </w:rPr>
        <w:t>。第二空，与“找寻”相比，“探索”更符合科技说明文的语境。故选</w:t>
      </w:r>
      <w:r w:rsidRPr="003F588C">
        <w:rPr>
          <w:rFonts w:ascii="Times New Roman" w:eastAsia="微软雅黑" w:hAnsi="微软雅黑" w:cs="宋体" w:hint="eastAsia"/>
          <w:szCs w:val="18"/>
        </w:rPr>
        <w:t>D</w:t>
      </w:r>
      <w:r w:rsidRPr="003F588C">
        <w:rPr>
          <w:rFonts w:ascii="Times New Roman" w:eastAsia="微软雅黑" w:hAnsi="微软雅黑" w:cs="宋体" w:hint="eastAsia"/>
          <w:szCs w:val="18"/>
        </w:rPr>
        <w:t>。</w:t>
      </w:r>
    </w:p>
    <w:p w:rsidR="003F588C" w14:paraId="5EEF4DA8" w14:textId="77777777">
      <w:pPr>
        <w:pStyle w:val="NormalWeb"/>
        <w:widowControl/>
        <w:spacing w:beforeAutospacing="0" w:after="260" w:afterAutospacing="0" w:line="360" w:lineRule="auto"/>
        <w:rPr>
          <w:rFonts w:ascii="微软雅黑" w:eastAsia="微软雅黑" w:hAnsi="微软雅黑" w:cs="微软雅黑"/>
          <w:szCs w:val="18"/>
        </w:rPr>
      </w:pPr>
      <w:r w:rsidRPr="003F588C">
        <w:rPr>
          <w:rFonts w:ascii="Times New Roman" w:eastAsia="微软雅黑" w:hAnsi="微软雅黑" w:cs="宋体" w:hint="eastAsia"/>
          <w:color w:val="0000FF"/>
          <w:szCs w:val="18"/>
        </w:rPr>
        <w:t>4</w:t>
      </w:r>
      <w:r w:rsidRPr="003F588C">
        <w:rPr>
          <w:rFonts w:ascii="Times New Roman" w:eastAsia="微软雅黑" w:hAnsi="微软雅黑" w:cs="宋体" w:hint="eastAsia"/>
          <w:color w:val="0000FF"/>
          <w:szCs w:val="18"/>
        </w:rPr>
        <w:t>．</w:t>
      </w:r>
      <w:r w:rsidRPr="003F588C">
        <w:rPr>
          <w:rFonts w:ascii="Times New Roman" w:eastAsia="微软雅黑" w:hAnsi="微软雅黑" w:cs="宋体" w:hint="eastAsia"/>
          <w:szCs w:val="18"/>
        </w:rPr>
        <w:t>当中原的青铜文化如火如荼之时，面对铜料欠缺的窘境，务实的越人</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，开创了瓷器生产的新纪元。秦汉时期是中国历史上大动荡大变革的时代，各行各业的面貌都</w:t>
      </w:r>
      <w:r w:rsidRPr="003F588C">
        <w:rPr>
          <w:rFonts w:ascii="Times New Roman" w:eastAsia="微软雅黑" w:hAnsi="微软雅黑" w:cs="宋体" w:hint="eastAsia"/>
          <w:szCs w:val="18"/>
        </w:rPr>
        <w:t>________</w:t>
      </w:r>
      <w:r w:rsidRPr="003F588C">
        <w:rPr>
          <w:rFonts w:ascii="Times New Roman" w:eastAsia="微软雅黑" w:hAnsi="微软雅黑" w:cs="宋体" w:hint="eastAsia"/>
          <w:szCs w:val="18"/>
        </w:rPr>
        <w:t>，古老越地的陶瓷业也是如此。进入东汉，过去的原始瓷</w:t>
      </w:r>
      <w:r w:rsidRPr="003F588C">
        <w:rPr>
          <w:rFonts w:ascii="Times New Roman" w:eastAsia="微软雅黑" w:hAnsi="微软雅黑" w:cs="宋体" w:hint="eastAsia"/>
          <w:szCs w:val="18"/>
        </w:rPr>
        <w:t>_____</w:t>
      </w:r>
      <w:r w:rsidRPr="003F588C">
        <w:rPr>
          <w:rFonts w:ascii="Times New Roman" w:eastAsia="微软雅黑" w:hAnsi="微软雅黑" w:cs="宋体" w:hint="eastAsia"/>
          <w:szCs w:val="18"/>
        </w:rPr>
        <w:t>退出历史的舞台，一种面貌全新的青瓷在上虞曹娥江中游地区的窑场随之诞生。依次填入划横线部分最恰当的一项是</w:t>
      </w:r>
      <w:r w:rsidRPr="003F588C">
        <w:rPr>
          <w:rFonts w:ascii="Times New Roman" w:eastAsia="微软雅黑" w:hAnsi="微软雅黑" w:cs="宋体" w:hint="eastAsia"/>
          <w:szCs w:val="18"/>
        </w:rPr>
        <w:t>()</w:t>
      </w:r>
      <w:r w:rsidRPr="003F588C">
        <w:rPr>
          <w:rFonts w:ascii="Times New Roman" w:eastAsia="微软雅黑" w:hAnsi="微软雅黑" w:cs="宋体" w:hint="eastAsia"/>
          <w:szCs w:val="18"/>
        </w:rPr>
        <w:t>。</w:t>
      </w:r>
      <w:r>
        <w:rPr>
          <w:rFonts w:ascii="微软雅黑" w:eastAsia="微软雅黑" w:hAnsi="微软雅黑" w:cs="微软雅黑"/>
          <w:szCs w:val="18"/>
        </w:rPr>
        <w:br/>
      </w:r>
      <w:r>
        <w:rPr>
          <w:rFonts w:ascii="微软雅黑" w:eastAsia="微软雅黑" w:hAnsi="微软雅黑" w:cs="微软雅黑"/>
          <w:szCs w:val="18"/>
        </w:rPr>
        <w:br/>
      </w:r>
    </w:p>
    <w:p>
      <w:pPr>
        <w:rPr>
          <w:rFonts w:ascii="SimSun" w:eastAsia="SimSun" w:hAnsi="SimSun" w:cs="SimSun"/>
          <w:b/>
          <w:bCs/>
          <w:color w:val="000000"/>
          <w:sz w:val="30"/>
          <w:szCs w:val="30"/>
        </w:rPr>
      </w:pPr>
      <w:r>
        <w:rPr>
          <w:rFonts w:ascii="SimSun" w:eastAsia="SimSun" w:hAnsi="SimSun" w:cs="SimSun"/>
          <w:b/>
          <w:bCs/>
          <w:color w:val="000000"/>
          <w:sz w:val="30"/>
          <w:szCs w:val="30"/>
        </w:rPr>
        <w:t>以上内容仅为本文档的试下载部分，为可阅读页数的一半内容。如要下载或阅读全文，请访问：</w:t>
      </w:r>
      <w:hyperlink r:id="rId16" w:history="1">
        <w:r>
          <w:rPr>
            <w:rFonts w:ascii="SimSun" w:eastAsia="SimSun" w:hAnsi="SimSun" w:cs="SimSun"/>
            <w:b/>
            <w:bCs/>
            <w:color w:val="0000EE"/>
            <w:sz w:val="30"/>
            <w:szCs w:val="30"/>
            <w:u w:val="single" w:color="0000EE"/>
          </w:rPr>
          <w:t>https://d.book118.com/348026047060006026</w:t>
        </w:r>
      </w:hyperlink>
    </w:p>
    <w:p w:rsidR="003F588C">
      <w:pPr>
        <w:pStyle w:val="NormalWeb"/>
        <w:widowControl/>
        <w:spacing w:beforeAutospacing="0" w:after="260" w:afterAutospacing="0" w:line="360" w:lineRule="auto"/>
        <w:rPr>
          <w:rFonts w:ascii="微软雅黑" w:eastAsia="微软雅黑" w:hAnsi="微软雅黑" w:cs="微软雅黑"/>
          <w:szCs w:val="18"/>
        </w:rPr>
      </w:pPr>
    </w:p>
    <w:sectPr>
      <w:headerReference w:type="even" r:id="rId17"/>
      <w:headerReference w:type="default" r:id="rId18"/>
      <w:footerReference w:type="even" r:id="rId19"/>
      <w:footerReference w:type="default" r:id="rId20"/>
      <w:headerReference w:type="first" r:id="rId21"/>
      <w:footerReference w:type="first" r:id="rId22"/>
      <w:type w:val="nextPage"/>
      <w:pgSz w:w="11906" w:h="16838"/>
      <w:pgMar w:top="1134" w:right="1474" w:bottom="1134" w:left="1474" w:header="708" w:footer="708" w:gutter="0"/>
      <w:pgNumType w:start="3"/>
      <w:cols w:sep="1" w:space="708"/>
      <w:titlePg w:val="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华文中宋">
    <w:panose1 w:val="02010600040101010101"/>
    <w:charset w:val="86"/>
    <w:family w:val="auto"/>
    <w:pitch w:val="variable"/>
    <w:sig w:usb0="00000287" w:usb1="080F0000" w:usb2="00000010" w:usb3="00000000" w:csb0="0004009F" w:csb1="00000000"/>
  </w:font>
  <w:font w:name="微软雅黑">
    <w:panose1 w:val="020B0503020204020204"/>
    <w:charset w:val="86"/>
    <w:family w:val="swiss"/>
    <w:pitch w:val="variable"/>
    <w:sig w:usb0="80000287" w:usb1="2ACF3C50" w:usb2="00000016" w:usb3="00000000" w:csb0="0004001F" w:csb1="00000000"/>
  </w:font>
  <w:font w:name="宋体">
    <w:altName w:val="SimSun"/>
    <w:panose1 w:val="02010600030101010101"/>
    <w:charset w:val="86"/>
    <w:family w:val="auto"/>
    <w:pitch w:val="variable"/>
    <w:sig w:usb0="000000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rsidP="005E01B6" w14:paraId="6CBDEEF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2CC" w14:paraId="6C2B54DD"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rsidP="005E01B6" w14:paraId="4D8536DF" w14:textId="0F6B1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rsidR="000772CC" w14:paraId="6A843572"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paraId="1F3BD8E4"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2CC"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rsidP="005E01B6" w14:textId="0F6B1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rsidR="000772CC"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rsidP="005E01B6" w14:textId="77777777">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p w:rsidR="000772CC"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rsidP="005E01B6" w14:textId="0F6B1092">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rsidR="000772CC"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paraId="69F89AB4"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paraId="090F5416"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paraId="3307E99E" w14:textId="7777777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textId="7777777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textId="77777777">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textId="77777777">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textId="77777777">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textId="77777777">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0772CC" w14:textId="777777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772CC"/>
    <w:rsid w:val="003F588C"/>
    <w:rsid w:val="00541498"/>
    <w:rsid w:val="005E01B6"/>
    <w:rsid w:val="007675BD"/>
    <w:rsid w:val="009C641C"/>
    <w:rsid w:val="00A77B3E"/>
    <w:rsid w:val="00A95C3D"/>
    <w:rsid w:val="00CA2A55"/>
    <w:rsid w:val="00E0697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136500A3"/>
  <w15:docId w15:val="{3F7510CE-B7C4-4190-A7CF-AEBA112FA6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hAnsi="Times New Roman" w:eastAsiaTheme="minorEastAsia"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
    <w:name w:val="正文1"/>
    <w:qFormat/>
    <w:pPr>
      <w:widowControl w:val="0"/>
      <w:jc w:val="both"/>
    </w:pPr>
    <w:rPr>
      <w:kern w:val="2"/>
      <w:sz w:val="21"/>
      <w:szCs w:val="22"/>
      <w:lang w:eastAsia="zh-CN"/>
    </w:rPr>
  </w:style>
  <w:style w:type="paragraph" w:styleId="NormalWeb">
    <w:name w:val="Normal (Web)"/>
    <w:basedOn w:val="1"/>
    <w:rsid w:val="00A95C3D"/>
    <w:pPr>
      <w:spacing w:beforeAutospacing="1" w:afterAutospacing="1"/>
      <w:jc w:val="left"/>
    </w:pPr>
    <w:rPr>
      <w:rFonts w:ascii="等线" w:eastAsia="等线" w:hAnsi="等线"/>
      <w:kern w:val="0"/>
      <w:sz w:val="24"/>
      <w:szCs w:val="24"/>
    </w:rPr>
  </w:style>
  <w:style w:type="paragraph" w:customStyle="1" w:styleId="0">
    <w:name w:val="正文_0"/>
    <w:qFormat/>
    <w:pPr>
      <w:widowControl w:val="0"/>
      <w:jc w:val="both"/>
    </w:pPr>
    <w:rPr>
      <w:rFonts w:ascii="等线" w:eastAsia="等线" w:hAnsi="等线"/>
      <w:kern w:val="2"/>
      <w:sz w:val="21"/>
      <w:szCs w:val="22"/>
      <w:lang w:eastAsia="zh-CN"/>
    </w:rPr>
  </w:style>
  <w:style w:type="paragraph" w:customStyle="1" w:styleId="00">
    <w:name w:val="普通(网站)_0"/>
    <w:basedOn w:val="0"/>
    <w:qFormat/>
    <w:rsid w:val="007675BD"/>
    <w:pPr>
      <w:spacing w:beforeAutospacing="1" w:afterAutospacing="1"/>
      <w:jc w:val="left"/>
    </w:pPr>
    <w:rPr>
      <w:kern w:val="0"/>
      <w:sz w:val="24"/>
      <w:szCs w:val="24"/>
    </w:rPr>
  </w:style>
  <w:style w:type="paragraph" w:styleId="Header">
    <w:name w:val="header"/>
    <w:basedOn w:val="Normal"/>
    <w:link w:val="a"/>
    <w:rsid w:val="000772CC"/>
    <w:pPr>
      <w:tabs>
        <w:tab w:val="center" w:pos="4153"/>
        <w:tab w:val="right" w:pos="8306"/>
      </w:tabs>
      <w:snapToGrid w:val="0"/>
      <w:jc w:val="center"/>
    </w:pPr>
    <w:rPr>
      <w:sz w:val="18"/>
      <w:szCs w:val="18"/>
    </w:rPr>
  </w:style>
  <w:style w:type="character" w:customStyle="1" w:styleId="a">
    <w:name w:val="页眉 字符"/>
    <w:basedOn w:val="DefaultParagraphFont"/>
    <w:link w:val="Header"/>
    <w:rsid w:val="000772CC"/>
    <w:rPr>
      <w:sz w:val="18"/>
      <w:szCs w:val="18"/>
    </w:rPr>
  </w:style>
  <w:style w:type="paragraph" w:styleId="Footer">
    <w:name w:val="footer"/>
    <w:basedOn w:val="Normal"/>
    <w:link w:val="a0"/>
    <w:rsid w:val="000772CC"/>
    <w:pPr>
      <w:tabs>
        <w:tab w:val="center" w:pos="4153"/>
        <w:tab w:val="right" w:pos="8306"/>
      </w:tabs>
      <w:snapToGrid w:val="0"/>
    </w:pPr>
    <w:rPr>
      <w:sz w:val="18"/>
      <w:szCs w:val="18"/>
    </w:rPr>
  </w:style>
  <w:style w:type="character" w:customStyle="1" w:styleId="a0">
    <w:name w:val="页脚 字符"/>
    <w:basedOn w:val="DefaultParagraphFont"/>
    <w:link w:val="Footer"/>
    <w:rsid w:val="000772CC"/>
    <w:rPr>
      <w:sz w:val="18"/>
      <w:szCs w:val="18"/>
    </w:rPr>
  </w:style>
  <w:style w:type="character" w:styleId="PageNumber">
    <w:name w:val="page number"/>
    <w:basedOn w:val="DefaultParagraphFont"/>
    <w:rsid w:val="000772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header" Target="header5.xml" /><Relationship Id="rId12" Type="http://schemas.openxmlformats.org/officeDocument/2006/relationships/footer" Target="footer4.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yperlink" Target="https://d.book118.com/348026047060006026" TargetMode="External" /><Relationship Id="rId17" Type="http://schemas.openxmlformats.org/officeDocument/2006/relationships/header" Target="header7.xml" /><Relationship Id="rId18" Type="http://schemas.openxmlformats.org/officeDocument/2006/relationships/header" Target="header8.xml" /><Relationship Id="rId19" Type="http://schemas.openxmlformats.org/officeDocument/2006/relationships/footer" Target="footer7.xml" /><Relationship Id="rId2" Type="http://schemas.openxmlformats.org/officeDocument/2006/relationships/webSettings" Target="webSettings.xml" /><Relationship Id="rId20" Type="http://schemas.openxmlformats.org/officeDocument/2006/relationships/footer" Target="footer8.xml" /><Relationship Id="rId21" Type="http://schemas.openxmlformats.org/officeDocument/2006/relationships/header" Target="header9.xml" /><Relationship Id="rId22" Type="http://schemas.openxmlformats.org/officeDocument/2006/relationships/footer" Target="footer9.xml" /><Relationship Id="rId23" Type="http://schemas.openxmlformats.org/officeDocument/2006/relationships/theme" Target="theme/theme1.xml" /><Relationship Id="rId24"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3911</Words>
  <Characters>22295</Characters>
  <Application>Microsoft Office Word</Application>
  <DocSecurity>0</DocSecurity>
  <Lines>185</Lines>
  <Paragraphs>52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26154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铭基 席</cp:lastModifiedBy>
  <cp:revision>2</cp:revision>
  <dcterms:created xsi:type="dcterms:W3CDTF">2024-01-14T03:12:00Z</dcterms:created>
  <dcterms:modified xsi:type="dcterms:W3CDTF">2024-01-14T03:12:00Z</dcterms:modified>
</cp:coreProperties>
</file>