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jc w:val="center"/>
        <w:textAlignment w:val="auto"/>
        <w:rPr>
          <w:rFonts w:ascii="华文中宋" w:eastAsia="华文中宋" w:hAnsi="华文中宋" w:cs="华文中宋" w:hint="eastAsia"/>
          <w:b w:val="0"/>
          <w:bCs w:val="0"/>
          <w:sz w:val="44"/>
          <w:szCs w:val="44"/>
        </w:rPr>
      </w:pPr>
      <w:bookmarkStart w:id="0" w:name="_Hlk533694683"/>
      <w:bookmarkEnd w:id="0"/>
      <w:r>
        <w:rPr>
          <w:rFonts w:ascii="华文中宋" w:eastAsia="华文中宋" w:hAnsi="华文中宋" w:cs="华文中宋" w:hint="eastAsia"/>
          <w:b w:val="0"/>
          <w:bCs w:val="0"/>
          <w:sz w:val="44"/>
          <w:szCs w:val="44"/>
          <w:lang w:val="en-US" w:eastAsia="zh-CN"/>
        </w:rPr>
        <w:t>摘要</w:t>
      </w:r>
    </w:p>
    <w:p>
      <w:pPr>
        <w:ind w:firstLine="480" w:firstLineChars="200"/>
        <w:rPr>
          <w:rFonts w:asciiTheme="minorEastAsia" w:hAnsiTheme="minorEastAsia" w:cstheme="minorEastAsia" w:hint="eastAsia"/>
          <w:b/>
          <w:bCs/>
          <w:sz w:val="24"/>
        </w:rPr>
      </w:pPr>
      <w:r>
        <w:rPr>
          <w:rFonts w:asciiTheme="minorEastAsia" w:eastAsiaTheme="minorEastAsia" w:hAnsiTheme="minorEastAsia" w:cstheme="minorEastAsia" w:hint="eastAsia"/>
          <w:b/>
          <w:bCs/>
          <w:sz w:val="24"/>
          <w:szCs w:val="24"/>
          <w:lang w:val="en-US" w:eastAsia="zh-CN"/>
        </w:rPr>
        <w:t>股市规模的不断扩大使其对中国的经济发展具有更为重要意义，因此股票指数越来越受到许多学者、投资者以及金融机构的广泛关注，而沪深300 指数作为上海和深圳交易所联合发布的反映A股市场整体走势的指数，其收益率走势极具代表性。从实证角度分析，我国股票市场远没有达到弱有效市场的条件，基于行为金融理论，金融政策、交易制度、社会规范、生活习惯以及羊群效应等都会对股票市场收益率的波动产生重要影响。本文基于GARCH族模型，包括GARCH、IGARCH和EGARCH模型，研究沪深300指数的收益率与波动性是否具有“周内效应”，并给出相应的交易策略。研究结果表明，沪深300指数收益率具有正的“周二效应”。</w:t>
      </w:r>
    </w:p>
    <w:p>
      <w:pPr>
        <w:ind w:firstLine="480" w:firstLineChars="200"/>
        <w:rPr>
          <w:rFonts w:hint="eastAsia"/>
        </w:rPr>
      </w:pPr>
      <w:r>
        <w:rPr>
          <w:rFonts w:asciiTheme="minorEastAsia" w:eastAsiaTheme="minorEastAsia" w:hAnsiTheme="minorEastAsia" w:cstheme="minorEastAsia" w:hint="eastAsia"/>
          <w:b/>
          <w:bCs/>
          <w:sz w:val="24"/>
          <w:szCs w:val="24"/>
          <w:lang w:val="en-US" w:eastAsia="zh-CN"/>
        </w:rPr>
        <w:t>关键词：沪深300指数；行为金融；周内效应；羊群效应；GARCH族模型</w:t>
      </w: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jc w:val="center"/>
        <w:textAlignment w:val="auto"/>
        <w:rPr>
          <w:rFonts w:ascii="Times New Roman" w:eastAsia="华文中宋" w:hAnsi="Times New Roman" w:cs="Times New Roman" w:hint="default"/>
          <w:b/>
          <w:bCs/>
          <w:sz w:val="44"/>
          <w:szCs w:val="44"/>
        </w:rPr>
      </w:pP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jc w:val="center"/>
        <w:textAlignment w:val="auto"/>
        <w:rPr>
          <w:rFonts w:ascii="Times New Roman" w:eastAsia="华文中宋" w:hAnsi="Times New Roman" w:cs="Times New Roman" w:hint="default"/>
          <w:b/>
          <w:bCs/>
          <w:sz w:val="44"/>
          <w:szCs w:val="44"/>
        </w:rPr>
      </w:pP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jc w:val="center"/>
        <w:textAlignment w:val="auto"/>
        <w:rPr>
          <w:rFonts w:ascii="Times New Roman" w:eastAsia="华文中宋" w:hAnsi="Times New Roman" w:cs="Times New Roman" w:hint="default"/>
          <w:b/>
          <w:bCs/>
          <w:sz w:val="44"/>
          <w:szCs w:val="44"/>
        </w:rPr>
        <w:sectPr>
          <w:headerReference w:type="default" r:id="rId5"/>
          <w:footerReference w:type="default" r:id="rId6"/>
          <w:pgSz w:w="11906" w:h="16838"/>
          <w:pgMar w:top="1440" w:right="1236" w:bottom="1440" w:left="1236" w:header="851" w:footer="680" w:gutter="0"/>
          <w:pgBorders>
            <w:top w:val="none" w:sz="0" w:space="0" w:color="auto"/>
            <w:left w:val="none" w:sz="0" w:space="0" w:color="auto"/>
            <w:bottom w:val="none" w:sz="0" w:space="0" w:color="auto"/>
            <w:right w:val="none" w:sz="0" w:space="0" w:color="auto"/>
          </w:pgBorders>
          <w:pgNumType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jc w:val="center"/>
        <w:textAlignment w:val="auto"/>
        <w:rPr>
          <w:rFonts w:ascii="Times New Roman" w:eastAsia="华文中宋" w:hAnsi="Times New Roman" w:cs="Times New Roman" w:hint="default"/>
          <w:b/>
          <w:bCs/>
          <w:sz w:val="44"/>
          <w:szCs w:val="44"/>
        </w:rPr>
      </w:pPr>
      <w:r>
        <w:rPr>
          <w:rFonts w:ascii="Times New Roman" w:eastAsia="华文中宋" w:hAnsi="Times New Roman" w:cs="Times New Roman" w:hint="default"/>
          <w:b/>
          <w:bCs/>
          <w:sz w:val="44"/>
          <w:szCs w:val="44"/>
          <w:lang w:val="en-US" w:eastAsia="zh-CN"/>
        </w:rPr>
        <w:t>Abstract</w:t>
      </w:r>
    </w:p>
    <w:p>
      <w:pPr>
        <w:ind w:firstLine="420" w:firstLineChars="200"/>
        <w:rPr>
          <w:rFonts w:ascii="Times New Roman" w:hAnsi="Times New Roman" w:cs="Times New Roman" w:hint="default"/>
          <w:b/>
          <w:bCs/>
          <w:sz w:val="24"/>
        </w:rPr>
      </w:pPr>
      <w:r>
        <w:rPr>
          <w:rFonts w:ascii="Times New Roman" w:hAnsi="Times New Roman" w:cs="Times New Roman" w:hint="default"/>
          <w:b/>
          <w:bCs/>
          <w:lang w:val="en-US" w:eastAsia="zh-CN"/>
        </w:rPr>
        <w:t xml:space="preserve"> </w:t>
      </w:r>
      <w:r>
        <w:rPr>
          <w:rFonts w:ascii="Times New Roman" w:hAnsi="Times New Roman" w:cs="Times New Roman" w:hint="default"/>
          <w:b/>
          <w:bCs/>
          <w:sz w:val="24"/>
          <w:szCs w:val="24"/>
          <w:lang w:val="en-US" w:eastAsia="zh-CN"/>
        </w:rPr>
        <w:t xml:space="preserve">The continuous expansion of the stock market makes it more important for China's economic development. Therefore, the stock index has attracted more and more attention from many scholars, investors and financial institutions. The Shanghai and Shenzhen 300 Index, a joint index issued by Shanghai and Shenzhen Exchanges, has a representative return trend. From the empirical point of view, China's stock market is far from meeting the conditions of a weak effective market. Based on behavioral finance theory, financial policies, trading systems, social norms, living habits and herd effect will have important impact on the volatility of stock market returns. Based on GARCH family models, including GARCH(1,1), </w:t>
      </w:r>
      <w:r>
        <w:rPr>
          <w:rFonts w:ascii="Times New Roman" w:hAnsi="Times New Roman" w:cs="Times New Roman" w:hint="eastAsia"/>
          <w:b/>
          <w:bCs/>
          <w:sz w:val="24"/>
          <w:szCs w:val="24"/>
          <w:lang w:val="en-US" w:eastAsia="zh-CN"/>
        </w:rPr>
        <w:t>I</w:t>
      </w:r>
      <w:r>
        <w:rPr>
          <w:rFonts w:ascii="Times New Roman" w:hAnsi="Times New Roman" w:cs="Times New Roman" w:hint="default"/>
          <w:b/>
          <w:bCs/>
          <w:sz w:val="24"/>
          <w:szCs w:val="24"/>
          <w:lang w:val="en-US" w:eastAsia="zh-CN"/>
        </w:rPr>
        <w:t xml:space="preserve">GARCH (1,1) and </w:t>
      </w:r>
      <w:r>
        <w:rPr>
          <w:rFonts w:ascii="Times New Roman" w:hAnsi="Times New Roman" w:cs="Times New Roman" w:hint="eastAsia"/>
          <w:b/>
          <w:bCs/>
          <w:sz w:val="24"/>
          <w:szCs w:val="24"/>
          <w:lang w:val="en-US" w:eastAsia="zh-CN"/>
        </w:rPr>
        <w:t>E</w:t>
      </w:r>
      <w:r>
        <w:rPr>
          <w:rFonts w:ascii="Times New Roman" w:hAnsi="Times New Roman" w:cs="Times New Roman" w:hint="default"/>
          <w:b/>
          <w:bCs/>
          <w:sz w:val="24"/>
          <w:szCs w:val="24"/>
          <w:lang w:val="en-US" w:eastAsia="zh-CN"/>
        </w:rPr>
        <w:t>GARCH(1,1) models, this paper studied whether the returns and volatility of Shanghai and Shenzhen 300 Index had "intra-week effect" and gave corresponding trading strategies. The results showed that the Shanghai and Shenzhen 300 index returns had a positive "Tuesday effect".</w:t>
      </w:r>
    </w:p>
    <w:p>
      <w:pPr>
        <w:ind w:firstLine="480" w:firstLineChars="200"/>
        <w:rPr>
          <w:rFonts w:ascii="Times New Roman" w:hAnsi="Times New Roman" w:cs="Times New Roman" w:hint="default"/>
          <w:b/>
          <w:bCs/>
          <w:sz w:val="24"/>
        </w:rPr>
      </w:pPr>
      <w:r>
        <w:rPr>
          <w:rFonts w:ascii="Times New Roman" w:hAnsi="Times New Roman" w:cs="Times New Roman" w:hint="default"/>
          <w:b/>
          <w:bCs/>
          <w:sz w:val="24"/>
          <w:szCs w:val="24"/>
          <w:lang w:val="en-US" w:eastAsia="zh-CN"/>
        </w:rPr>
        <w:t>Key words: Shanghai and Shenzhen 300 Index; Behavioral finance; Intra-week effect; Herd effect; GARCH family models</w:t>
      </w: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ind w:left="0" w:right="0" w:firstLine="0" w:leftChars="0" w:rightChars="0" w:firstLineChars="0"/>
        <w:jc w:val="center"/>
        <w:textAlignment w:val="auto"/>
        <w:rPr>
          <w:rFonts w:ascii="宋体" w:eastAsia="宋体" w:hAnsi="宋体"/>
        </w:rPr>
      </w:pP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ind w:left="0" w:right="0" w:firstLine="0" w:leftChars="0" w:rightChars="0" w:firstLineChars="0"/>
        <w:jc w:val="center"/>
        <w:textAlignment w:val="auto"/>
        <w:rPr>
          <w:rFonts w:ascii="宋体" w:eastAsia="宋体" w:hAnsi="宋体"/>
        </w:rPr>
      </w:pP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ind w:left="0" w:right="0" w:firstLine="0" w:leftChars="0" w:rightChars="0" w:firstLineChars="0"/>
        <w:jc w:val="center"/>
        <w:textAlignment w:val="auto"/>
        <w:rPr>
          <w:rFonts w:ascii="宋体" w:eastAsia="宋体" w:hAnsi="宋体"/>
        </w:rPr>
      </w:pPr>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ind w:left="0" w:right="0" w:firstLine="0" w:leftChars="0" w:rightChars="0" w:firstLineChars="0"/>
        <w:jc w:val="center"/>
        <w:textAlignment w:val="auto"/>
        <w:rPr>
          <w:rFonts w:ascii="宋体" w:eastAsia="宋体" w:hAnsi="宋体"/>
        </w:rPr>
      </w:pPr>
      <w:r>
        <w:rPr>
          <w:rFonts w:ascii="宋体" w:eastAsia="宋体" w:hAnsi="宋体"/>
        </w:rPr>
        <w:br/>
      </w:r>
      <w:r>
        <w:rPr>
          <w:rFonts w:ascii="宋体" w:eastAsia="宋体" w:hAnsi="宋体"/>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https://d.book118.com/348033102056006027</w:t>
        </w:r>
      </w:hyperlink>
    </w:p>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ind w:left="0" w:right="0" w:firstLine="0" w:leftChars="0" w:rightChars="0" w:firstLineChars="0"/>
        <w:jc w:val="center"/>
        <w:textAlignment w:val="auto"/>
        <w:rPr>
          <w:rFonts w:ascii="宋体" w:eastAsia="宋体" w:hAnsi="宋体"/>
        </w:rPr>
      </w:pPr>
    </w:p>
    <w:sectPr>
      <w:headerReference w:type="default" r:id="rId8"/>
      <w:footerReference w:type="default" r:id="rId9"/>
      <w:pgSz w:w="11906" w:h="16838"/>
      <w:pgMar w:top="1440" w:right="1236" w:bottom="1440" w:left="1236" w:header="851" w:footer="680" w:gutter="0"/>
      <w:pgBorders>
        <w:top w:val="none" w:sz="0" w:space="0" w:color="auto"/>
        <w:left w:val="none" w:sz="0" w:space="0" w:color="auto"/>
        <w:bottom w:val="none" w:sz="0" w:space="0" w:color="auto"/>
        <w:right w:val="none" w:sz="0" w:space="0" w:color="auto"/>
      </w:pgBorders>
      <w:pgNumType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新魏">
    <w:panose1 w:val="02010800040101010101"/>
    <w:charset w:val="86"/>
    <w:family w:val="auto"/>
    <w:pitch w:val="default"/>
    <w:sig w:usb0="00000001" w:usb1="080F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Beijing">
    <w:altName w:val="黑体"/>
    <w:panose1 w:val="00000000000000000000"/>
    <w:charset w:val="86"/>
    <w:family w:val="auto"/>
    <w:pitch w:val="default"/>
    <w:sig w:usb0="00000000" w:usb1="00000000" w:usb2="1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Lucida Console">
    <w:panose1 w:val="020B0609040504020204"/>
    <w:charset w:val="00"/>
    <w:family w:val="auto"/>
    <w:pitch w:val="default"/>
    <w:sig w:usb0="8000028F" w:usb1="00001800" w:usb2="00000000" w:usb3="00000000" w:csb0="0000001F" w:csb1="D7D70000"/>
  </w:font>
  <w:font w:name="华文行楷">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Times New Roman" w:eastAsia="华文仿宋" w:hAnsi="Times New Roman" w:cs="Times New Roman" w:hint="default"/>
        <w:sz w:val="21"/>
        <w:szCs w:val="21"/>
        <w:lang w:val="en-US"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Times New Roman" w:eastAsia="华文仿宋" w:hAnsi="Times New Roman" w:cs="Times New Roman" w:hint="default"/>
        <w:sz w:val="21"/>
        <w:szCs w:val="21"/>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20E8C26"/>
    <w:multiLevelType w:val="singleLevel"/>
    <w:tmpl w:val="C20E8C26"/>
    <w:lvl w:ilvl="0">
      <w:start w:val="1"/>
      <w:numFmt w:val="decimal"/>
      <w:suff w:val="nothing"/>
      <w:lvlText w:val="（%1）"/>
      <w:lvlJc w:val="left"/>
    </w:lvl>
  </w:abstractNum>
  <w:abstractNum w:abstractNumId="1">
    <w:nsid w:val="3D44FE86"/>
    <w:multiLevelType w:val="singleLevel"/>
    <w:tmpl w:val="3D44FE86"/>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504F5"/>
    <w:rsid w:val="02D942E0"/>
    <w:rsid w:val="03AB147A"/>
    <w:rsid w:val="049F0244"/>
    <w:rsid w:val="07F953B4"/>
    <w:rsid w:val="0F2828C5"/>
    <w:rsid w:val="13BB74A0"/>
    <w:rsid w:val="1422280E"/>
    <w:rsid w:val="14B4470A"/>
    <w:rsid w:val="15FD1F0D"/>
    <w:rsid w:val="17D576C4"/>
    <w:rsid w:val="17E2768E"/>
    <w:rsid w:val="198E1AA3"/>
    <w:rsid w:val="1B7B7746"/>
    <w:rsid w:val="1C9A1754"/>
    <w:rsid w:val="1DB737F1"/>
    <w:rsid w:val="1EE46809"/>
    <w:rsid w:val="2051467A"/>
    <w:rsid w:val="223E6D22"/>
    <w:rsid w:val="23B60D42"/>
    <w:rsid w:val="24DE2D0A"/>
    <w:rsid w:val="25667855"/>
    <w:rsid w:val="25AA42BA"/>
    <w:rsid w:val="268075B1"/>
    <w:rsid w:val="271B3167"/>
    <w:rsid w:val="279327F7"/>
    <w:rsid w:val="27E66528"/>
    <w:rsid w:val="2E9F60E9"/>
    <w:rsid w:val="31F302E8"/>
    <w:rsid w:val="34742A0F"/>
    <w:rsid w:val="35E87356"/>
    <w:rsid w:val="36132635"/>
    <w:rsid w:val="36975973"/>
    <w:rsid w:val="383A3E75"/>
    <w:rsid w:val="393B0C78"/>
    <w:rsid w:val="3B197EC5"/>
    <w:rsid w:val="3CE07866"/>
    <w:rsid w:val="414C239F"/>
    <w:rsid w:val="42AA2B25"/>
    <w:rsid w:val="42DC68F6"/>
    <w:rsid w:val="4351396A"/>
    <w:rsid w:val="44A02D4A"/>
    <w:rsid w:val="450730A1"/>
    <w:rsid w:val="47E4275F"/>
    <w:rsid w:val="482C41D8"/>
    <w:rsid w:val="485A0873"/>
    <w:rsid w:val="49563B85"/>
    <w:rsid w:val="4C7E401D"/>
    <w:rsid w:val="4CD278C1"/>
    <w:rsid w:val="4D782F5A"/>
    <w:rsid w:val="4F1C4B31"/>
    <w:rsid w:val="50610772"/>
    <w:rsid w:val="507D3A81"/>
    <w:rsid w:val="51122D69"/>
    <w:rsid w:val="542C2A10"/>
    <w:rsid w:val="54474236"/>
    <w:rsid w:val="54EB485D"/>
    <w:rsid w:val="55361DED"/>
    <w:rsid w:val="557130EA"/>
    <w:rsid w:val="59946AA2"/>
    <w:rsid w:val="5AFB7E16"/>
    <w:rsid w:val="5E6000A7"/>
    <w:rsid w:val="5FBC1054"/>
    <w:rsid w:val="624D796D"/>
    <w:rsid w:val="62E53F1A"/>
    <w:rsid w:val="6405221F"/>
    <w:rsid w:val="667061D1"/>
    <w:rsid w:val="668C0A35"/>
    <w:rsid w:val="681F0251"/>
    <w:rsid w:val="690738B1"/>
    <w:rsid w:val="6961582B"/>
    <w:rsid w:val="6E583214"/>
    <w:rsid w:val="7152145C"/>
    <w:rsid w:val="72F15CC0"/>
    <w:rsid w:val="745E7EEC"/>
    <w:rsid w:val="753F69F8"/>
    <w:rsid w:val="759F65F8"/>
    <w:rsid w:val="76943609"/>
    <w:rsid w:val="775902BA"/>
    <w:rsid w:val="78D462ED"/>
    <w:rsid w:val="7AE02EF6"/>
    <w:rsid w:val="7BA05313"/>
    <w:rsid w:val="7C3576F6"/>
    <w:rsid w:val="7E7121F0"/>
    <w:rsid w:val="7E985931"/>
    <w:rsid w:val="7FAB4F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aption">
    <w:name w:val="caption"/>
    <w:basedOn w:val="Normal"/>
    <w:next w:val="Normal"/>
    <w:semiHidden/>
    <w:unhideWhenUsed/>
    <w:qFormat/>
    <w:rPr>
      <w:rFonts w:ascii="Arial" w:eastAsia="黑体" w:hAnsi="Arial"/>
      <w:sz w:val="20"/>
    </w:r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348033102056006027"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loenovo</dc:creator>
  <cp:lastModifiedBy>A deux°§</cp:lastModifiedBy>
  <cp:revision>0</cp:revision>
  <dcterms:created xsi:type="dcterms:W3CDTF">2014-10-29T12:08:00Z</dcterms:created>
  <dcterms:modified xsi:type="dcterms:W3CDTF">2020-03-31T03:37:26Z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