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车载娱乐项目规划设计方案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90" w:history="1">
        <w:r>
          <w:rPr>
            <w:rFonts w:ascii="仿宋" w:eastAsia="仿宋" w:hAnsi="仿宋" w:cs="仿宋" w:hint="eastAsia"/>
            <w:lang w:eastAsia="zh-CN"/>
          </w:rPr>
          <w:t>序言</w:t>
        </w:r>
        <w:r>
          <w:tab/>
        </w:r>
        <w:r>
          <w:fldChar w:fldCharType="begin"/>
        </w:r>
        <w:r>
          <w:instrText xml:space="preserve"> PAGEREF _Toc15390 \h </w:instrText>
        </w:r>
        <w:r>
          <w:fldChar w:fldCharType="separate"/>
        </w:r>
        <w:r>
          <w:t>3</w:t>
        </w:r>
        <w:r>
          <w:fldChar w:fldCharType="end"/>
        </w:r>
      </w:hyperlink>
    </w:p>
    <w:p>
      <w:pPr>
        <w:pStyle w:val="TOC1"/>
        <w:tabs>
          <w:tab w:val="right" w:leader="dot" w:pos="8306"/>
        </w:tabs>
      </w:pPr>
      <w:hyperlink w:anchor="_Toc8173" w:history="1">
        <w:r>
          <w:rPr>
            <w:rFonts w:ascii="仿宋" w:eastAsia="仿宋" w:hAnsi="仿宋" w:cs="仿宋" w:hint="eastAsia"/>
            <w:lang w:eastAsia="zh-CN"/>
          </w:rPr>
          <w:t>一、产品规划分析</w:t>
        </w:r>
        <w:r>
          <w:tab/>
        </w:r>
        <w:r>
          <w:fldChar w:fldCharType="begin"/>
        </w:r>
        <w:r>
          <w:instrText xml:space="preserve"> PAGEREF _Toc8173 \h </w:instrText>
        </w:r>
        <w:r>
          <w:fldChar w:fldCharType="separate"/>
        </w:r>
        <w:r>
          <w:t>3</w:t>
        </w:r>
        <w:r>
          <w:fldChar w:fldCharType="end"/>
        </w:r>
      </w:hyperlink>
    </w:p>
    <w:p>
      <w:pPr>
        <w:pStyle w:val="TOC2"/>
        <w:tabs>
          <w:tab w:val="right" w:leader="dot" w:pos="8306"/>
        </w:tabs>
      </w:pPr>
      <w:hyperlink w:anchor="_Toc31113" w:history="1">
        <w:r>
          <w:rPr>
            <w:rFonts w:ascii="仿宋" w:eastAsia="仿宋" w:hAnsi="仿宋" w:cs="仿宋" w:hint="eastAsia"/>
            <w:lang w:eastAsia="zh-CN"/>
          </w:rPr>
          <w:t>(一)、产品规划</w:t>
        </w:r>
        <w:r>
          <w:tab/>
        </w:r>
        <w:r>
          <w:fldChar w:fldCharType="begin"/>
        </w:r>
        <w:r>
          <w:instrText xml:space="preserve"> PAGEREF _Toc31113 \h </w:instrText>
        </w:r>
        <w:r>
          <w:fldChar w:fldCharType="separate"/>
        </w:r>
        <w:r>
          <w:t>3</w:t>
        </w:r>
        <w:r>
          <w:fldChar w:fldCharType="end"/>
        </w:r>
      </w:hyperlink>
    </w:p>
    <w:p>
      <w:pPr>
        <w:pStyle w:val="TOC2"/>
        <w:tabs>
          <w:tab w:val="right" w:leader="dot" w:pos="8306"/>
        </w:tabs>
      </w:pPr>
      <w:hyperlink w:anchor="_Toc27469" w:history="1">
        <w:r>
          <w:rPr>
            <w:rFonts w:ascii="仿宋" w:eastAsia="仿宋" w:hAnsi="仿宋" w:cs="仿宋" w:hint="eastAsia"/>
            <w:lang w:eastAsia="zh-CN"/>
          </w:rPr>
          <w:t>(二)、建设规模</w:t>
        </w:r>
        <w:r>
          <w:tab/>
        </w:r>
        <w:r>
          <w:fldChar w:fldCharType="begin"/>
        </w:r>
        <w:r>
          <w:instrText xml:space="preserve"> PAGEREF _Toc27469 \h </w:instrText>
        </w:r>
        <w:r>
          <w:fldChar w:fldCharType="separate"/>
        </w:r>
        <w:r>
          <w:t>4</w:t>
        </w:r>
        <w:r>
          <w:fldChar w:fldCharType="end"/>
        </w:r>
      </w:hyperlink>
    </w:p>
    <w:p>
      <w:pPr>
        <w:pStyle w:val="TOC1"/>
        <w:tabs>
          <w:tab w:val="right" w:leader="dot" w:pos="8306"/>
        </w:tabs>
      </w:pPr>
      <w:hyperlink w:anchor="_Toc12583" w:history="1">
        <w:r>
          <w:rPr>
            <w:rFonts w:ascii="仿宋" w:eastAsia="仿宋" w:hAnsi="仿宋" w:cs="仿宋" w:hint="eastAsia"/>
            <w:lang w:eastAsia="zh-CN"/>
          </w:rPr>
          <w:t>二、市场分析、调研</w:t>
        </w:r>
        <w:r>
          <w:tab/>
        </w:r>
        <w:r>
          <w:fldChar w:fldCharType="begin"/>
        </w:r>
        <w:r>
          <w:instrText xml:space="preserve"> PAGEREF _Toc12583 \h </w:instrText>
        </w:r>
        <w:r>
          <w:fldChar w:fldCharType="separate"/>
        </w:r>
        <w:r>
          <w:t>5</w:t>
        </w:r>
        <w:r>
          <w:fldChar w:fldCharType="end"/>
        </w:r>
      </w:hyperlink>
    </w:p>
    <w:p>
      <w:pPr>
        <w:pStyle w:val="TOC2"/>
        <w:tabs>
          <w:tab w:val="right" w:leader="dot" w:pos="8306"/>
        </w:tabs>
      </w:pPr>
      <w:hyperlink w:anchor="_Toc2393" w:history="1">
        <w:r>
          <w:rPr>
            <w:rFonts w:ascii="仿宋" w:eastAsia="仿宋" w:hAnsi="仿宋" w:cs="仿宋" w:hint="eastAsia"/>
            <w:lang w:eastAsia="zh-CN"/>
          </w:rPr>
          <w:t>(一)、车载娱乐行业分析</w:t>
        </w:r>
        <w:r>
          <w:tab/>
        </w:r>
        <w:r>
          <w:fldChar w:fldCharType="begin"/>
        </w:r>
        <w:r>
          <w:instrText xml:space="preserve"> PAGEREF _Toc2393 \h </w:instrText>
        </w:r>
        <w:r>
          <w:fldChar w:fldCharType="separate"/>
        </w:r>
        <w:r>
          <w:t>5</w:t>
        </w:r>
        <w:r>
          <w:fldChar w:fldCharType="end"/>
        </w:r>
      </w:hyperlink>
    </w:p>
    <w:p>
      <w:pPr>
        <w:pStyle w:val="TOC2"/>
        <w:tabs>
          <w:tab w:val="right" w:leader="dot" w:pos="8306"/>
        </w:tabs>
      </w:pPr>
      <w:hyperlink w:anchor="_Toc20977" w:history="1">
        <w:r>
          <w:rPr>
            <w:rFonts w:ascii="仿宋" w:eastAsia="仿宋" w:hAnsi="仿宋" w:cs="仿宋" w:hint="eastAsia"/>
            <w:lang w:eastAsia="zh-CN"/>
          </w:rPr>
          <w:t>(二)、车载娱乐市场分析预测</w:t>
        </w:r>
        <w:r>
          <w:tab/>
        </w:r>
        <w:r>
          <w:fldChar w:fldCharType="begin"/>
        </w:r>
        <w:r>
          <w:instrText xml:space="preserve"> PAGEREF _Toc20977 \h </w:instrText>
        </w:r>
        <w:r>
          <w:fldChar w:fldCharType="separate"/>
        </w:r>
        <w:r>
          <w:t>6</w:t>
        </w:r>
        <w:r>
          <w:fldChar w:fldCharType="end"/>
        </w:r>
      </w:hyperlink>
    </w:p>
    <w:p>
      <w:pPr>
        <w:pStyle w:val="TOC1"/>
        <w:tabs>
          <w:tab w:val="right" w:leader="dot" w:pos="8306"/>
        </w:tabs>
      </w:pPr>
      <w:hyperlink w:anchor="_Toc22864" w:history="1">
        <w:r>
          <w:rPr>
            <w:rFonts w:ascii="仿宋" w:eastAsia="仿宋" w:hAnsi="仿宋" w:cs="仿宋" w:hint="eastAsia"/>
            <w:lang w:eastAsia="zh-CN"/>
          </w:rPr>
          <w:t>三、车载娱乐项目建设单位说明</w:t>
        </w:r>
        <w:r>
          <w:tab/>
        </w:r>
        <w:r>
          <w:fldChar w:fldCharType="begin"/>
        </w:r>
        <w:r>
          <w:instrText xml:space="preserve"> PAGEREF _Toc22864 \h </w:instrText>
        </w:r>
        <w:r>
          <w:fldChar w:fldCharType="separate"/>
        </w:r>
        <w:r>
          <w:t>6</w:t>
        </w:r>
        <w:r>
          <w:fldChar w:fldCharType="end"/>
        </w:r>
      </w:hyperlink>
    </w:p>
    <w:p>
      <w:pPr>
        <w:pStyle w:val="TOC2"/>
        <w:tabs>
          <w:tab w:val="right" w:leader="dot" w:pos="8306"/>
        </w:tabs>
      </w:pPr>
      <w:hyperlink w:anchor="_Toc25004" w:history="1">
        <w:r>
          <w:rPr>
            <w:rFonts w:ascii="仿宋" w:eastAsia="仿宋" w:hAnsi="仿宋" w:cs="仿宋" w:hint="eastAsia"/>
            <w:lang w:eastAsia="zh-CN"/>
          </w:rPr>
          <w:t>(一)、车载娱乐项目承办单位基本情况</w:t>
        </w:r>
        <w:r>
          <w:tab/>
        </w:r>
        <w:r>
          <w:fldChar w:fldCharType="begin"/>
        </w:r>
        <w:r>
          <w:instrText xml:space="preserve"> PAGEREF _Toc25004 \h </w:instrText>
        </w:r>
        <w:r>
          <w:fldChar w:fldCharType="separate"/>
        </w:r>
        <w:r>
          <w:t>6</w:t>
        </w:r>
        <w:r>
          <w:fldChar w:fldCharType="end"/>
        </w:r>
      </w:hyperlink>
    </w:p>
    <w:p>
      <w:pPr>
        <w:pStyle w:val="TOC2"/>
        <w:tabs>
          <w:tab w:val="right" w:leader="dot" w:pos="8306"/>
        </w:tabs>
      </w:pPr>
      <w:hyperlink w:anchor="_Toc26461" w:history="1">
        <w:r>
          <w:rPr>
            <w:rFonts w:ascii="仿宋" w:eastAsia="仿宋" w:hAnsi="仿宋" w:cs="仿宋" w:hint="eastAsia"/>
            <w:lang w:eastAsia="zh-CN"/>
          </w:rPr>
          <w:t>(二)、公司经济效益分析</w:t>
        </w:r>
        <w:r>
          <w:tab/>
        </w:r>
        <w:r>
          <w:fldChar w:fldCharType="begin"/>
        </w:r>
        <w:r>
          <w:instrText xml:space="preserve"> PAGEREF _Toc26461 \h </w:instrText>
        </w:r>
        <w:r>
          <w:fldChar w:fldCharType="separate"/>
        </w:r>
        <w:r>
          <w:t>7</w:t>
        </w:r>
        <w:r>
          <w:fldChar w:fldCharType="end"/>
        </w:r>
      </w:hyperlink>
    </w:p>
    <w:p>
      <w:pPr>
        <w:pStyle w:val="TOC1"/>
        <w:tabs>
          <w:tab w:val="right" w:leader="dot" w:pos="8306"/>
        </w:tabs>
      </w:pPr>
      <w:hyperlink w:anchor="_Toc19307" w:history="1">
        <w:r>
          <w:rPr>
            <w:rFonts w:ascii="仿宋" w:eastAsia="仿宋" w:hAnsi="仿宋" w:cs="仿宋" w:hint="eastAsia"/>
            <w:lang w:eastAsia="zh-CN"/>
          </w:rPr>
          <w:t>四、车载娱乐项目绩效评估</w:t>
        </w:r>
        <w:r>
          <w:tab/>
        </w:r>
        <w:r>
          <w:fldChar w:fldCharType="begin"/>
        </w:r>
        <w:r>
          <w:instrText xml:space="preserve"> PAGEREF _Toc19307 \h </w:instrText>
        </w:r>
        <w:r>
          <w:fldChar w:fldCharType="separate"/>
        </w:r>
        <w:r>
          <w:t>8</w:t>
        </w:r>
        <w:r>
          <w:fldChar w:fldCharType="end"/>
        </w:r>
      </w:hyperlink>
    </w:p>
    <w:p>
      <w:pPr>
        <w:pStyle w:val="TOC2"/>
        <w:tabs>
          <w:tab w:val="right" w:leader="dot" w:pos="8306"/>
        </w:tabs>
      </w:pPr>
      <w:hyperlink w:anchor="_Toc2964" w:history="1">
        <w:r>
          <w:rPr>
            <w:rFonts w:ascii="仿宋" w:eastAsia="仿宋" w:hAnsi="仿宋" w:cs="仿宋" w:hint="eastAsia"/>
            <w:lang w:eastAsia="zh-CN"/>
          </w:rPr>
          <w:t>(一)、绩效评估指标</w:t>
        </w:r>
        <w:r>
          <w:tab/>
        </w:r>
        <w:r>
          <w:fldChar w:fldCharType="begin"/>
        </w:r>
        <w:r>
          <w:instrText xml:space="preserve"> PAGEREF _Toc2964 \h </w:instrText>
        </w:r>
        <w:r>
          <w:fldChar w:fldCharType="separate"/>
        </w:r>
        <w:r>
          <w:t>8</w:t>
        </w:r>
        <w:r>
          <w:fldChar w:fldCharType="end"/>
        </w:r>
      </w:hyperlink>
    </w:p>
    <w:p>
      <w:pPr>
        <w:pStyle w:val="TOC2"/>
        <w:tabs>
          <w:tab w:val="right" w:leader="dot" w:pos="8306"/>
        </w:tabs>
      </w:pPr>
      <w:hyperlink w:anchor="_Toc25360" w:history="1">
        <w:r>
          <w:rPr>
            <w:rFonts w:ascii="仿宋" w:eastAsia="仿宋" w:hAnsi="仿宋" w:cs="仿宋" w:hint="eastAsia"/>
            <w:lang w:eastAsia="zh-CN"/>
          </w:rPr>
          <w:t>(二)、绩效评估方法</w:t>
        </w:r>
        <w:r>
          <w:tab/>
        </w:r>
        <w:r>
          <w:fldChar w:fldCharType="begin"/>
        </w:r>
        <w:r>
          <w:instrText xml:space="preserve"> PAGEREF _Toc25360 \h </w:instrText>
        </w:r>
        <w:r>
          <w:fldChar w:fldCharType="separate"/>
        </w:r>
        <w:r>
          <w:t>9</w:t>
        </w:r>
        <w:r>
          <w:fldChar w:fldCharType="end"/>
        </w:r>
      </w:hyperlink>
    </w:p>
    <w:p>
      <w:pPr>
        <w:pStyle w:val="TOC2"/>
        <w:tabs>
          <w:tab w:val="right" w:leader="dot" w:pos="8306"/>
        </w:tabs>
      </w:pPr>
      <w:hyperlink w:anchor="_Toc15843" w:history="1">
        <w:r>
          <w:rPr>
            <w:rFonts w:ascii="仿宋" w:eastAsia="仿宋" w:hAnsi="仿宋" w:cs="仿宋" w:hint="eastAsia"/>
            <w:lang w:eastAsia="zh-CN"/>
          </w:rPr>
          <w:t>(三)、绩效评估周期</w:t>
        </w:r>
        <w:r>
          <w:tab/>
        </w:r>
        <w:r>
          <w:fldChar w:fldCharType="begin"/>
        </w:r>
        <w:r>
          <w:instrText xml:space="preserve"> PAGEREF _Toc15843 \h </w:instrText>
        </w:r>
        <w:r>
          <w:fldChar w:fldCharType="separate"/>
        </w:r>
        <w:r>
          <w:t>10</w:t>
        </w:r>
        <w:r>
          <w:fldChar w:fldCharType="end"/>
        </w:r>
      </w:hyperlink>
    </w:p>
    <w:p>
      <w:pPr>
        <w:pStyle w:val="TOC1"/>
        <w:tabs>
          <w:tab w:val="right" w:leader="dot" w:pos="8306"/>
        </w:tabs>
      </w:pPr>
      <w:hyperlink w:anchor="_Toc19973" w:history="1">
        <w:r>
          <w:rPr>
            <w:rFonts w:ascii="仿宋" w:eastAsia="仿宋" w:hAnsi="仿宋" w:cs="仿宋" w:hint="eastAsia"/>
            <w:lang w:eastAsia="zh-CN"/>
          </w:rPr>
          <w:t>五、车载娱乐项目危机管理</w:t>
        </w:r>
        <w:r>
          <w:tab/>
        </w:r>
        <w:r>
          <w:fldChar w:fldCharType="begin"/>
        </w:r>
        <w:r>
          <w:instrText xml:space="preserve"> PAGEREF _Toc19973 \h </w:instrText>
        </w:r>
        <w:r>
          <w:fldChar w:fldCharType="separate"/>
        </w:r>
        <w:r>
          <w:t>11</w:t>
        </w:r>
        <w:r>
          <w:fldChar w:fldCharType="end"/>
        </w:r>
      </w:hyperlink>
    </w:p>
    <w:p>
      <w:pPr>
        <w:pStyle w:val="TOC2"/>
        <w:tabs>
          <w:tab w:val="right" w:leader="dot" w:pos="8306"/>
        </w:tabs>
      </w:pPr>
      <w:hyperlink w:anchor="_Toc11898" w:history="1">
        <w:r>
          <w:rPr>
            <w:rFonts w:ascii="仿宋" w:eastAsia="仿宋" w:hAnsi="仿宋" w:cs="仿宋" w:hint="eastAsia"/>
            <w:lang w:eastAsia="zh-CN"/>
          </w:rPr>
          <w:t>(一)、危机预警与识别</w:t>
        </w:r>
        <w:r>
          <w:tab/>
        </w:r>
        <w:r>
          <w:fldChar w:fldCharType="begin"/>
        </w:r>
        <w:r>
          <w:instrText xml:space="preserve"> PAGEREF _Toc11898 \h </w:instrText>
        </w:r>
        <w:r>
          <w:fldChar w:fldCharType="separate"/>
        </w:r>
        <w:r>
          <w:t>11</w:t>
        </w:r>
        <w:r>
          <w:fldChar w:fldCharType="end"/>
        </w:r>
      </w:hyperlink>
    </w:p>
    <w:p>
      <w:pPr>
        <w:pStyle w:val="TOC2"/>
        <w:tabs>
          <w:tab w:val="right" w:leader="dot" w:pos="8306"/>
        </w:tabs>
      </w:pPr>
      <w:hyperlink w:anchor="_Toc17024" w:history="1">
        <w:r>
          <w:rPr>
            <w:rFonts w:ascii="仿宋" w:eastAsia="仿宋" w:hAnsi="仿宋" w:cs="仿宋" w:hint="eastAsia"/>
            <w:lang w:eastAsia="zh-CN"/>
          </w:rPr>
          <w:t>(二)、危机应对与恢复</w:t>
        </w:r>
        <w:r>
          <w:tab/>
        </w:r>
        <w:r>
          <w:fldChar w:fldCharType="begin"/>
        </w:r>
        <w:r>
          <w:instrText xml:space="preserve"> PAGEREF _Toc17024 \h </w:instrText>
        </w:r>
        <w:r>
          <w:fldChar w:fldCharType="separate"/>
        </w:r>
        <w:r>
          <w:t>12</w:t>
        </w:r>
        <w:r>
          <w:fldChar w:fldCharType="end"/>
        </w:r>
      </w:hyperlink>
    </w:p>
    <w:p>
      <w:pPr>
        <w:pStyle w:val="TOC1"/>
        <w:tabs>
          <w:tab w:val="right" w:leader="dot" w:pos="8306"/>
        </w:tabs>
      </w:pPr>
      <w:hyperlink w:anchor="_Toc28272" w:history="1">
        <w:r>
          <w:rPr>
            <w:rFonts w:ascii="仿宋" w:eastAsia="仿宋" w:hAnsi="仿宋" w:cs="仿宋" w:hint="eastAsia"/>
            <w:lang w:eastAsia="zh-CN"/>
          </w:rPr>
          <w:t>六、车载娱乐项目选址可行性分析</w:t>
        </w:r>
        <w:r>
          <w:tab/>
        </w:r>
        <w:r>
          <w:fldChar w:fldCharType="begin"/>
        </w:r>
        <w:r>
          <w:instrText xml:space="preserve"> PAGEREF _Toc28272 \h </w:instrText>
        </w:r>
        <w:r>
          <w:fldChar w:fldCharType="separate"/>
        </w:r>
        <w:r>
          <w:t>13</w:t>
        </w:r>
        <w:r>
          <w:fldChar w:fldCharType="end"/>
        </w:r>
      </w:hyperlink>
    </w:p>
    <w:p>
      <w:pPr>
        <w:pStyle w:val="TOC2"/>
        <w:tabs>
          <w:tab w:val="right" w:leader="dot" w:pos="8306"/>
        </w:tabs>
      </w:pPr>
      <w:hyperlink w:anchor="_Toc23048" w:history="1">
        <w:r>
          <w:rPr>
            <w:rFonts w:ascii="仿宋" w:eastAsia="仿宋" w:hAnsi="仿宋" w:cs="仿宋" w:hint="eastAsia"/>
            <w:lang w:eastAsia="zh-CN"/>
          </w:rPr>
          <w:t>(一)、车载娱乐项目选址</w:t>
        </w:r>
        <w:r>
          <w:tab/>
        </w:r>
        <w:r>
          <w:fldChar w:fldCharType="begin"/>
        </w:r>
        <w:r>
          <w:instrText xml:space="preserve"> PAGEREF _Toc23048 \h </w:instrText>
        </w:r>
        <w:r>
          <w:fldChar w:fldCharType="separate"/>
        </w:r>
        <w:r>
          <w:t>13</w:t>
        </w:r>
        <w:r>
          <w:fldChar w:fldCharType="end"/>
        </w:r>
      </w:hyperlink>
    </w:p>
    <w:p>
      <w:pPr>
        <w:pStyle w:val="TOC2"/>
        <w:tabs>
          <w:tab w:val="right" w:leader="dot" w:pos="8306"/>
        </w:tabs>
      </w:pPr>
      <w:hyperlink w:anchor="_Toc4795" w:history="1">
        <w:r>
          <w:rPr>
            <w:rFonts w:ascii="仿宋" w:eastAsia="仿宋" w:hAnsi="仿宋" w:cs="仿宋" w:hint="eastAsia"/>
            <w:lang w:eastAsia="zh-CN"/>
          </w:rPr>
          <w:t>(二)、用地控制指标</w:t>
        </w:r>
        <w:r>
          <w:tab/>
        </w:r>
        <w:r>
          <w:fldChar w:fldCharType="begin"/>
        </w:r>
        <w:r>
          <w:instrText xml:space="preserve"> PAGEREF _Toc4795 \h </w:instrText>
        </w:r>
        <w:r>
          <w:fldChar w:fldCharType="separate"/>
        </w:r>
        <w:r>
          <w:t>14</w:t>
        </w:r>
        <w:r>
          <w:fldChar w:fldCharType="end"/>
        </w:r>
      </w:hyperlink>
    </w:p>
    <w:p>
      <w:pPr>
        <w:pStyle w:val="TOC2"/>
        <w:tabs>
          <w:tab w:val="right" w:leader="dot" w:pos="8306"/>
        </w:tabs>
      </w:pPr>
      <w:hyperlink w:anchor="_Toc22814" w:history="1">
        <w:r>
          <w:rPr>
            <w:rFonts w:ascii="仿宋" w:eastAsia="仿宋" w:hAnsi="仿宋" w:cs="仿宋" w:hint="eastAsia"/>
            <w:lang w:eastAsia="zh-CN"/>
          </w:rPr>
          <w:t>(三)、节约用地措施</w:t>
        </w:r>
        <w:r>
          <w:tab/>
        </w:r>
        <w:r>
          <w:fldChar w:fldCharType="begin"/>
        </w:r>
        <w:r>
          <w:instrText xml:space="preserve"> PAGEREF _Toc22814 \h </w:instrText>
        </w:r>
        <w:r>
          <w:fldChar w:fldCharType="separate"/>
        </w:r>
        <w:r>
          <w:t>15</w:t>
        </w:r>
        <w:r>
          <w:fldChar w:fldCharType="end"/>
        </w:r>
      </w:hyperlink>
    </w:p>
    <w:p>
      <w:pPr>
        <w:pStyle w:val="TOC2"/>
        <w:tabs>
          <w:tab w:val="right" w:leader="dot" w:pos="8306"/>
        </w:tabs>
      </w:pPr>
      <w:hyperlink w:anchor="_Toc19376" w:history="1">
        <w:r>
          <w:rPr>
            <w:rFonts w:ascii="仿宋" w:eastAsia="仿宋" w:hAnsi="仿宋" w:cs="仿宋" w:hint="eastAsia"/>
            <w:lang w:eastAsia="zh-CN"/>
          </w:rPr>
          <w:t>(四)、总图布置方案</w:t>
        </w:r>
        <w:r>
          <w:tab/>
        </w:r>
        <w:r>
          <w:fldChar w:fldCharType="begin"/>
        </w:r>
        <w:r>
          <w:instrText xml:space="preserve"> PAGEREF _Toc19376 \h </w:instrText>
        </w:r>
        <w:r>
          <w:fldChar w:fldCharType="separate"/>
        </w:r>
        <w:r>
          <w:t>17</w:t>
        </w:r>
        <w:r>
          <w:fldChar w:fldCharType="end"/>
        </w:r>
      </w:hyperlink>
    </w:p>
    <w:p>
      <w:pPr>
        <w:pStyle w:val="TOC2"/>
        <w:tabs>
          <w:tab w:val="right" w:leader="dot" w:pos="8306"/>
        </w:tabs>
      </w:pPr>
      <w:hyperlink w:anchor="_Toc7478" w:history="1">
        <w:r>
          <w:rPr>
            <w:rFonts w:ascii="仿宋" w:eastAsia="仿宋" w:hAnsi="仿宋" w:cs="仿宋" w:hint="eastAsia"/>
            <w:lang w:eastAsia="zh-CN"/>
          </w:rPr>
          <w:t>(五)、选址综合评价</w:t>
        </w:r>
        <w:r>
          <w:tab/>
        </w:r>
        <w:r>
          <w:fldChar w:fldCharType="begin"/>
        </w:r>
        <w:r>
          <w:instrText xml:space="preserve"> PAGEREF _Toc7478 \h </w:instrText>
        </w:r>
        <w:r>
          <w:fldChar w:fldCharType="separate"/>
        </w:r>
        <w:r>
          <w:t>18</w:t>
        </w:r>
        <w:r>
          <w:fldChar w:fldCharType="end"/>
        </w:r>
      </w:hyperlink>
    </w:p>
    <w:p>
      <w:pPr>
        <w:pStyle w:val="TOC1"/>
        <w:tabs>
          <w:tab w:val="right" w:leader="dot" w:pos="8306"/>
        </w:tabs>
      </w:pPr>
      <w:hyperlink w:anchor="_Toc32161" w:history="1">
        <w:r>
          <w:rPr>
            <w:rFonts w:ascii="仿宋" w:eastAsia="仿宋" w:hAnsi="仿宋" w:cs="仿宋" w:hint="eastAsia"/>
            <w:lang w:eastAsia="zh-CN"/>
          </w:rPr>
          <w:t>七、车载娱乐项目风险管理</w:t>
        </w:r>
        <w:r>
          <w:tab/>
        </w:r>
        <w:r>
          <w:fldChar w:fldCharType="begin"/>
        </w:r>
        <w:r>
          <w:instrText xml:space="preserve"> PAGEREF _Toc32161 \h </w:instrText>
        </w:r>
        <w:r>
          <w:fldChar w:fldCharType="separate"/>
        </w:r>
        <w:r>
          <w:t>19</w:t>
        </w:r>
        <w:r>
          <w:fldChar w:fldCharType="end"/>
        </w:r>
      </w:hyperlink>
    </w:p>
    <w:p>
      <w:pPr>
        <w:pStyle w:val="TOC2"/>
        <w:tabs>
          <w:tab w:val="right" w:leader="dot" w:pos="8306"/>
        </w:tabs>
      </w:pPr>
      <w:hyperlink w:anchor="_Toc11103" w:history="1">
        <w:r>
          <w:rPr>
            <w:rFonts w:ascii="仿宋" w:eastAsia="仿宋" w:hAnsi="仿宋" w:cs="仿宋" w:hint="eastAsia"/>
            <w:lang w:eastAsia="zh-CN"/>
          </w:rPr>
          <w:t>(一)、风险识别与评估</w:t>
        </w:r>
        <w:r>
          <w:tab/>
        </w:r>
        <w:r>
          <w:fldChar w:fldCharType="begin"/>
        </w:r>
        <w:r>
          <w:instrText xml:space="preserve"> PAGEREF _Toc11103 \h </w:instrText>
        </w:r>
        <w:r>
          <w:fldChar w:fldCharType="separate"/>
        </w:r>
        <w:r>
          <w:t>19</w:t>
        </w:r>
        <w:r>
          <w:fldChar w:fldCharType="end"/>
        </w:r>
      </w:hyperlink>
    </w:p>
    <w:p>
      <w:pPr>
        <w:pStyle w:val="TOC2"/>
        <w:tabs>
          <w:tab w:val="right" w:leader="dot" w:pos="8306"/>
        </w:tabs>
      </w:pPr>
      <w:hyperlink w:anchor="_Toc2902" w:history="1">
        <w:r>
          <w:rPr>
            <w:rFonts w:ascii="仿宋" w:eastAsia="仿宋" w:hAnsi="仿宋" w:cs="仿宋" w:hint="eastAsia"/>
            <w:lang w:eastAsia="zh-CN"/>
          </w:rPr>
          <w:t>(二)、风险应对策略</w:t>
        </w:r>
        <w:r>
          <w:tab/>
        </w:r>
        <w:r>
          <w:fldChar w:fldCharType="begin"/>
        </w:r>
        <w:r>
          <w:instrText xml:space="preserve"> PAGEREF _Toc2902 \h </w:instrText>
        </w:r>
        <w:r>
          <w:fldChar w:fldCharType="separate"/>
        </w:r>
        <w:r>
          <w:t>20</w:t>
        </w:r>
        <w:r>
          <w:fldChar w:fldCharType="end"/>
        </w:r>
      </w:hyperlink>
    </w:p>
    <w:p>
      <w:pPr>
        <w:pStyle w:val="TOC2"/>
        <w:tabs>
          <w:tab w:val="right" w:leader="dot" w:pos="8306"/>
        </w:tabs>
      </w:pPr>
      <w:hyperlink w:anchor="_Toc27984" w:history="1">
        <w:r>
          <w:rPr>
            <w:rFonts w:ascii="仿宋" w:eastAsia="仿宋" w:hAnsi="仿宋" w:cs="仿宋" w:hint="eastAsia"/>
            <w:lang w:eastAsia="zh-CN"/>
          </w:rPr>
          <w:t>(三)、风险监控与控制</w:t>
        </w:r>
        <w:r>
          <w:tab/>
        </w:r>
        <w:r>
          <w:fldChar w:fldCharType="begin"/>
        </w:r>
        <w:r>
          <w:instrText xml:space="preserve"> PAGEREF _Toc27984 \h </w:instrText>
        </w:r>
        <w:r>
          <w:fldChar w:fldCharType="separate"/>
        </w:r>
        <w:r>
          <w:t>22</w:t>
        </w:r>
        <w:r>
          <w:fldChar w:fldCharType="end"/>
        </w:r>
      </w:hyperlink>
    </w:p>
    <w:p>
      <w:pPr>
        <w:pStyle w:val="TOC1"/>
        <w:tabs>
          <w:tab w:val="right" w:leader="dot" w:pos="8306"/>
        </w:tabs>
      </w:pPr>
      <w:hyperlink w:anchor="_Toc18807" w:history="1">
        <w:r>
          <w:rPr>
            <w:rFonts w:ascii="仿宋" w:eastAsia="仿宋" w:hAnsi="仿宋" w:cs="仿宋" w:hint="eastAsia"/>
            <w:lang w:eastAsia="zh-CN"/>
          </w:rPr>
          <w:t>八、车载娱乐项目技术管理</w:t>
        </w:r>
        <w:r>
          <w:tab/>
        </w:r>
        <w:r>
          <w:fldChar w:fldCharType="begin"/>
        </w:r>
        <w:r>
          <w:instrText xml:space="preserve"> PAGEREF _Toc18807 \h </w:instrText>
        </w:r>
        <w:r>
          <w:fldChar w:fldCharType="separate"/>
        </w:r>
        <w:r>
          <w:t>23</w:t>
        </w:r>
        <w:r>
          <w:fldChar w:fldCharType="end"/>
        </w:r>
      </w:hyperlink>
    </w:p>
    <w:p>
      <w:pPr>
        <w:pStyle w:val="TOC2"/>
        <w:tabs>
          <w:tab w:val="right" w:leader="dot" w:pos="8306"/>
        </w:tabs>
      </w:pPr>
      <w:hyperlink w:anchor="_Toc22449" w:history="1">
        <w:r>
          <w:rPr>
            <w:rFonts w:ascii="仿宋" w:eastAsia="仿宋" w:hAnsi="仿宋" w:cs="仿宋" w:hint="eastAsia"/>
            <w:lang w:eastAsia="zh-CN"/>
          </w:rPr>
          <w:t>(一)、技术方案选用方向</w:t>
        </w:r>
        <w:r>
          <w:tab/>
        </w:r>
        <w:r>
          <w:fldChar w:fldCharType="begin"/>
        </w:r>
        <w:r>
          <w:instrText xml:space="preserve"> PAGEREF _Toc22449 \h </w:instrText>
        </w:r>
        <w:r>
          <w:fldChar w:fldCharType="separate"/>
        </w:r>
        <w:r>
          <w:t>23</w:t>
        </w:r>
        <w:r>
          <w:fldChar w:fldCharType="end"/>
        </w:r>
      </w:hyperlink>
    </w:p>
    <w:p>
      <w:pPr>
        <w:pStyle w:val="TOC2"/>
        <w:tabs>
          <w:tab w:val="right" w:leader="dot" w:pos="8306"/>
        </w:tabs>
      </w:pPr>
      <w:hyperlink w:anchor="_Toc2595" w:history="1">
        <w:r>
          <w:rPr>
            <w:rFonts w:ascii="仿宋" w:eastAsia="仿宋" w:hAnsi="仿宋" w:cs="仿宋" w:hint="eastAsia"/>
            <w:lang w:eastAsia="zh-CN"/>
          </w:rPr>
          <w:t>(二)、工艺技术方案选用原则</w:t>
        </w:r>
        <w:r>
          <w:tab/>
        </w:r>
        <w:r>
          <w:fldChar w:fldCharType="begin"/>
        </w:r>
        <w:r>
          <w:instrText xml:space="preserve"> PAGEREF _Toc2595 \h </w:instrText>
        </w:r>
        <w:r>
          <w:fldChar w:fldCharType="separate"/>
        </w:r>
        <w:r>
          <w:t>24</w:t>
        </w:r>
        <w:r>
          <w:fldChar w:fldCharType="end"/>
        </w:r>
      </w:hyperlink>
    </w:p>
    <w:p>
      <w:pPr>
        <w:pStyle w:val="TOC2"/>
        <w:tabs>
          <w:tab w:val="right" w:leader="dot" w:pos="8306"/>
        </w:tabs>
      </w:pPr>
      <w:hyperlink w:anchor="_Toc19419" w:history="1">
        <w:r>
          <w:rPr>
            <w:rFonts w:ascii="仿宋" w:eastAsia="仿宋" w:hAnsi="仿宋" w:cs="仿宋" w:hint="eastAsia"/>
            <w:lang w:eastAsia="zh-CN"/>
          </w:rPr>
          <w:t>(三)、工艺技术方案要求</w:t>
        </w:r>
        <w:r>
          <w:tab/>
        </w:r>
        <w:r>
          <w:fldChar w:fldCharType="begin"/>
        </w:r>
        <w:r>
          <w:instrText xml:space="preserve"> PAGEREF _Toc19419 \h </w:instrText>
        </w:r>
        <w:r>
          <w:fldChar w:fldCharType="separate"/>
        </w:r>
        <w:r>
          <w:t>26</w:t>
        </w:r>
        <w:r>
          <w:fldChar w:fldCharType="end"/>
        </w:r>
      </w:hyperlink>
    </w:p>
    <w:p>
      <w:pPr>
        <w:pStyle w:val="TOC1"/>
        <w:tabs>
          <w:tab w:val="right" w:leader="dot" w:pos="8306"/>
        </w:tabs>
      </w:pPr>
      <w:hyperlink w:anchor="_Toc27198" w:history="1">
        <w:r>
          <w:rPr>
            <w:rFonts w:ascii="仿宋" w:eastAsia="仿宋" w:hAnsi="仿宋" w:cs="仿宋" w:hint="eastAsia"/>
            <w:lang w:eastAsia="zh-CN"/>
          </w:rPr>
          <w:t>九、车载娱乐项目人力资源培养与发展</w:t>
        </w:r>
        <w:r>
          <w:tab/>
        </w:r>
        <w:r>
          <w:fldChar w:fldCharType="begin"/>
        </w:r>
        <w:r>
          <w:instrText xml:space="preserve"> PAGEREF _Toc27198 \h </w:instrText>
        </w:r>
        <w:r>
          <w:fldChar w:fldCharType="separate"/>
        </w:r>
        <w:r>
          <w:t>29</w:t>
        </w:r>
        <w:r>
          <w:fldChar w:fldCharType="end"/>
        </w:r>
      </w:hyperlink>
    </w:p>
    <w:p>
      <w:pPr>
        <w:pStyle w:val="TOC2"/>
        <w:tabs>
          <w:tab w:val="right" w:leader="dot" w:pos="8306"/>
        </w:tabs>
      </w:pPr>
      <w:hyperlink w:anchor="_Toc22626" w:history="1">
        <w:r>
          <w:rPr>
            <w:rFonts w:ascii="仿宋" w:eastAsia="仿宋" w:hAnsi="仿宋" w:cs="仿宋" w:hint="eastAsia"/>
            <w:lang w:eastAsia="zh-CN"/>
          </w:rPr>
          <w:t>(一)、人才需求与规划</w:t>
        </w:r>
        <w:r>
          <w:tab/>
        </w:r>
        <w:r>
          <w:fldChar w:fldCharType="begin"/>
        </w:r>
        <w:r>
          <w:instrText xml:space="preserve"> PAGEREF _Toc22626 \h </w:instrText>
        </w:r>
        <w:r>
          <w:fldChar w:fldCharType="separate"/>
        </w:r>
        <w:r>
          <w:t>29</w:t>
        </w:r>
        <w:r>
          <w:fldChar w:fldCharType="end"/>
        </w:r>
      </w:hyperlink>
    </w:p>
    <w:p>
      <w:pPr>
        <w:pStyle w:val="TOC2"/>
        <w:tabs>
          <w:tab w:val="right" w:leader="dot" w:pos="8306"/>
        </w:tabs>
      </w:pPr>
      <w:hyperlink w:anchor="_Toc5699" w:history="1">
        <w:r>
          <w:rPr>
            <w:rFonts w:ascii="仿宋" w:eastAsia="仿宋" w:hAnsi="仿宋" w:cs="仿宋" w:hint="eastAsia"/>
            <w:lang w:eastAsia="zh-CN"/>
          </w:rPr>
          <w:t>(二)、培训与发展计划</w:t>
        </w:r>
        <w:r>
          <w:tab/>
        </w:r>
        <w:r>
          <w:fldChar w:fldCharType="begin"/>
        </w:r>
        <w:r>
          <w:instrText xml:space="preserve"> PAGEREF _Toc5699 \h </w:instrText>
        </w:r>
        <w:r>
          <w:fldChar w:fldCharType="separate"/>
        </w:r>
        <w:r>
          <w:t>29</w:t>
        </w:r>
        <w:r>
          <w:fldChar w:fldCharType="end"/>
        </w:r>
      </w:hyperlink>
    </w:p>
    <w:p>
      <w:pPr>
        <w:pStyle w:val="TOC1"/>
        <w:tabs>
          <w:tab w:val="right" w:leader="dot" w:pos="8306"/>
        </w:tabs>
      </w:pPr>
      <w:hyperlink w:anchor="_Toc22308" w:history="1">
        <w:r>
          <w:rPr>
            <w:rFonts w:ascii="仿宋" w:eastAsia="仿宋" w:hAnsi="仿宋" w:cs="仿宋" w:hint="eastAsia"/>
            <w:lang w:eastAsia="zh-CN"/>
          </w:rPr>
          <w:t>十、车载娱乐项目创新与研发</w:t>
        </w:r>
        <w:r>
          <w:tab/>
        </w:r>
        <w:r>
          <w:fldChar w:fldCharType="begin"/>
        </w:r>
        <w:r>
          <w:instrText xml:space="preserve"> PAGEREF _Toc22308 \h </w:instrText>
        </w:r>
        <w:r>
          <w:fldChar w:fldCharType="separate"/>
        </w:r>
        <w:r>
          <w:t>30</w:t>
        </w:r>
        <w:r>
          <w:fldChar w:fldCharType="end"/>
        </w:r>
      </w:hyperlink>
    </w:p>
    <w:p>
      <w:pPr>
        <w:pStyle w:val="TOC2"/>
        <w:tabs>
          <w:tab w:val="right" w:leader="dot" w:pos="8306"/>
        </w:tabs>
      </w:pPr>
      <w:hyperlink w:anchor="_Toc10913" w:history="1">
        <w:r>
          <w:rPr>
            <w:rFonts w:ascii="仿宋" w:eastAsia="仿宋" w:hAnsi="仿宋" w:cs="仿宋" w:hint="eastAsia"/>
            <w:lang w:eastAsia="zh-CN"/>
          </w:rPr>
          <w:t>(一)、创新策略与方向</w:t>
        </w:r>
        <w:r>
          <w:tab/>
        </w:r>
        <w:r>
          <w:fldChar w:fldCharType="begin"/>
        </w:r>
        <w:r>
          <w:instrText xml:space="preserve"> PAGEREF _Toc10913 \h </w:instrText>
        </w:r>
        <w:r>
          <w:fldChar w:fldCharType="separate"/>
        </w:r>
        <w:r>
          <w:t>30</w:t>
        </w:r>
        <w:r>
          <w:fldChar w:fldCharType="end"/>
        </w:r>
      </w:hyperlink>
    </w:p>
    <w:p>
      <w:pPr>
        <w:pStyle w:val="TOC2"/>
        <w:tabs>
          <w:tab w:val="right" w:leader="dot" w:pos="8306"/>
        </w:tabs>
      </w:pPr>
      <w:hyperlink w:anchor="_Toc7357" w:history="1">
        <w:r>
          <w:rPr>
            <w:rFonts w:ascii="仿宋" w:eastAsia="仿宋" w:hAnsi="仿宋" w:cs="仿宋" w:hint="eastAsia"/>
            <w:lang w:eastAsia="zh-CN"/>
          </w:rPr>
          <w:t>(二)、研发规划与投入</w:t>
        </w:r>
        <w:r>
          <w:tab/>
        </w:r>
        <w:r>
          <w:fldChar w:fldCharType="begin"/>
        </w:r>
        <w:r>
          <w:instrText xml:space="preserve"> PAGEREF _Toc7357 \h </w:instrText>
        </w:r>
        <w:r>
          <w:fldChar w:fldCharType="separate"/>
        </w:r>
        <w:r>
          <w:t>31</w:t>
        </w:r>
        <w:r>
          <w:fldChar w:fldCharType="end"/>
        </w:r>
      </w:hyperlink>
    </w:p>
    <w:p>
      <w:pPr>
        <w:pStyle w:val="TOC1"/>
        <w:tabs>
          <w:tab w:val="right" w:leader="dot" w:pos="8306"/>
        </w:tabs>
      </w:pPr>
      <w:hyperlink w:anchor="_Toc13280" w:history="1">
        <w:r>
          <w:rPr>
            <w:rFonts w:ascii="仿宋" w:eastAsia="仿宋" w:hAnsi="仿宋" w:cs="仿宋" w:hint="eastAsia"/>
            <w:lang w:eastAsia="zh-CN"/>
          </w:rPr>
          <w:t>十一、车载娱乐项目投资规划</w:t>
        </w:r>
        <w:r>
          <w:tab/>
        </w:r>
        <w:r>
          <w:fldChar w:fldCharType="begin"/>
        </w:r>
        <w:r>
          <w:instrText xml:space="preserve"> PAGEREF _Toc13280 \h </w:instrText>
        </w:r>
        <w:r>
          <w:fldChar w:fldCharType="separate"/>
        </w:r>
        <w:r>
          <w:t>33</w:t>
        </w:r>
        <w:r>
          <w:fldChar w:fldCharType="end"/>
        </w:r>
      </w:hyperlink>
    </w:p>
    <w:p>
      <w:pPr>
        <w:pStyle w:val="TOC2"/>
        <w:tabs>
          <w:tab w:val="right" w:leader="dot" w:pos="8306"/>
        </w:tabs>
      </w:pPr>
      <w:hyperlink w:anchor="_Toc19586" w:history="1">
        <w:r>
          <w:rPr>
            <w:rFonts w:ascii="仿宋" w:eastAsia="仿宋" w:hAnsi="仿宋" w:cs="仿宋" w:hint="eastAsia"/>
            <w:lang w:eastAsia="zh-CN"/>
          </w:rPr>
          <w:t>(一)、车载娱乐项目总投资估算</w:t>
        </w:r>
        <w:r>
          <w:tab/>
        </w:r>
        <w:r>
          <w:fldChar w:fldCharType="begin"/>
        </w:r>
        <w:r>
          <w:instrText xml:space="preserve"> PAGEREF _Toc19586 \h </w:instrText>
        </w:r>
        <w:r>
          <w:fldChar w:fldCharType="separate"/>
        </w:r>
        <w:r>
          <w:t>33</w:t>
        </w:r>
        <w:r>
          <w:fldChar w:fldCharType="end"/>
        </w:r>
      </w:hyperlink>
    </w:p>
    <w:p>
      <w:pPr>
        <w:pStyle w:val="TOC2"/>
        <w:tabs>
          <w:tab w:val="right" w:leader="dot" w:pos="8306"/>
        </w:tabs>
      </w:pPr>
      <w:hyperlink w:anchor="_Toc13611" w:history="1">
        <w:r>
          <w:rPr>
            <w:rFonts w:ascii="仿宋" w:eastAsia="仿宋" w:hAnsi="仿宋" w:cs="仿宋" w:hint="eastAsia"/>
            <w:lang w:eastAsia="zh-CN"/>
          </w:rPr>
          <w:t>(二)、资金筹措</w:t>
        </w:r>
        <w:r>
          <w:tab/>
        </w:r>
        <w:r>
          <w:fldChar w:fldCharType="begin"/>
        </w:r>
        <w:r>
          <w:instrText xml:space="preserve"> PAGEREF _Toc13611 \h </w:instrText>
        </w:r>
        <w:r>
          <w:fldChar w:fldCharType="separate"/>
        </w:r>
        <w:r>
          <w:t>34</w:t>
        </w:r>
        <w:r>
          <w:fldChar w:fldCharType="end"/>
        </w:r>
      </w:hyperlink>
    </w:p>
    <w:p>
      <w:pPr>
        <w:pStyle w:val="TOC1"/>
        <w:tabs>
          <w:tab w:val="right" w:leader="dot" w:pos="8306"/>
        </w:tabs>
      </w:pPr>
      <w:hyperlink w:anchor="_Toc15734" w:history="1">
        <w:r>
          <w:rPr>
            <w:rFonts w:ascii="仿宋" w:eastAsia="仿宋" w:hAnsi="仿宋" w:cs="仿宋" w:hint="eastAsia"/>
            <w:lang w:eastAsia="zh-CN"/>
          </w:rPr>
          <w:t>十二、车载娱乐项目计划安排</w:t>
        </w:r>
        <w:r>
          <w:tab/>
        </w:r>
        <w:r>
          <w:fldChar w:fldCharType="begin"/>
        </w:r>
        <w:r>
          <w:instrText xml:space="preserve"> PAGEREF _Toc15734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82" w:history="1">
        <w:r>
          <w:rPr>
            <w:rFonts w:ascii="仿宋" w:eastAsia="仿宋" w:hAnsi="仿宋" w:cs="仿宋" w:hint="eastAsia"/>
            <w:lang w:eastAsia="zh-CN"/>
          </w:rPr>
          <w:t>(一)、建设周期</w:t>
        </w:r>
        <w:r>
          <w:tab/>
        </w:r>
        <w:r>
          <w:fldChar w:fldCharType="begin"/>
        </w:r>
        <w:r>
          <w:instrText xml:space="preserve"> PAGEREF _Toc4082 \h </w:instrText>
        </w:r>
        <w:r>
          <w:fldChar w:fldCharType="separate"/>
        </w:r>
        <w:r>
          <w:t>35</w:t>
        </w:r>
        <w:r>
          <w:fldChar w:fldCharType="end"/>
        </w:r>
      </w:hyperlink>
    </w:p>
    <w:p>
      <w:pPr>
        <w:pStyle w:val="TOC2"/>
        <w:tabs>
          <w:tab w:val="right" w:leader="dot" w:pos="8306"/>
        </w:tabs>
      </w:pPr>
      <w:hyperlink w:anchor="_Toc32731" w:history="1">
        <w:r>
          <w:rPr>
            <w:rFonts w:ascii="仿宋" w:eastAsia="仿宋" w:hAnsi="仿宋" w:cs="仿宋" w:hint="eastAsia"/>
            <w:lang w:eastAsia="zh-CN"/>
          </w:rPr>
          <w:t>(二)、建设进度</w:t>
        </w:r>
        <w:r>
          <w:tab/>
        </w:r>
        <w:r>
          <w:fldChar w:fldCharType="begin"/>
        </w:r>
        <w:r>
          <w:instrText xml:space="preserve"> PAGEREF _Toc32731 \h </w:instrText>
        </w:r>
        <w:r>
          <w:fldChar w:fldCharType="separate"/>
        </w:r>
        <w:r>
          <w:t>36</w:t>
        </w:r>
        <w:r>
          <w:fldChar w:fldCharType="end"/>
        </w:r>
      </w:hyperlink>
    </w:p>
    <w:p>
      <w:pPr>
        <w:pStyle w:val="TOC2"/>
        <w:tabs>
          <w:tab w:val="right" w:leader="dot" w:pos="8306"/>
        </w:tabs>
      </w:pPr>
      <w:hyperlink w:anchor="_Toc15800" w:history="1">
        <w:r>
          <w:rPr>
            <w:rFonts w:ascii="仿宋" w:eastAsia="仿宋" w:hAnsi="仿宋" w:cs="仿宋" w:hint="eastAsia"/>
            <w:lang w:eastAsia="zh-CN"/>
          </w:rPr>
          <w:t>(三)、进度安排注意事项</w:t>
        </w:r>
        <w:r>
          <w:tab/>
        </w:r>
        <w:r>
          <w:fldChar w:fldCharType="begin"/>
        </w:r>
        <w:r>
          <w:instrText xml:space="preserve"> PAGEREF _Toc15800 \h </w:instrText>
        </w:r>
        <w:r>
          <w:fldChar w:fldCharType="separate"/>
        </w:r>
        <w:r>
          <w:t>37</w:t>
        </w:r>
        <w:r>
          <w:fldChar w:fldCharType="end"/>
        </w:r>
      </w:hyperlink>
    </w:p>
    <w:p>
      <w:pPr>
        <w:pStyle w:val="TOC2"/>
        <w:tabs>
          <w:tab w:val="right" w:leader="dot" w:pos="8306"/>
        </w:tabs>
      </w:pPr>
      <w:hyperlink w:anchor="_Toc20552" w:history="1">
        <w:r>
          <w:rPr>
            <w:rFonts w:ascii="仿宋" w:eastAsia="仿宋" w:hAnsi="仿宋" w:cs="仿宋" w:hint="eastAsia"/>
            <w:lang w:eastAsia="zh-CN"/>
          </w:rPr>
          <w:t>(四)、人力资源配置</w:t>
        </w:r>
        <w:r>
          <w:tab/>
        </w:r>
        <w:r>
          <w:fldChar w:fldCharType="begin"/>
        </w:r>
        <w:r>
          <w:instrText xml:space="preserve"> PAGEREF _Toc20552 \h </w:instrText>
        </w:r>
        <w:r>
          <w:fldChar w:fldCharType="separate"/>
        </w:r>
        <w:r>
          <w:t>38</w:t>
        </w:r>
        <w:r>
          <w:fldChar w:fldCharType="end"/>
        </w:r>
      </w:hyperlink>
    </w:p>
    <w:p>
      <w:pPr>
        <w:pStyle w:val="TOC1"/>
        <w:tabs>
          <w:tab w:val="right" w:leader="dot" w:pos="8306"/>
        </w:tabs>
      </w:pPr>
      <w:hyperlink w:anchor="_Toc5460" w:history="1">
        <w:r>
          <w:rPr>
            <w:rFonts w:ascii="仿宋" w:eastAsia="仿宋" w:hAnsi="仿宋" w:cs="仿宋" w:hint="eastAsia"/>
            <w:lang w:eastAsia="zh-CN"/>
          </w:rPr>
          <w:t>十三、车载娱乐项目变更管理</w:t>
        </w:r>
        <w:r>
          <w:tab/>
        </w:r>
        <w:r>
          <w:fldChar w:fldCharType="begin"/>
        </w:r>
        <w:r>
          <w:instrText xml:space="preserve"> PAGEREF _Toc5460 \h </w:instrText>
        </w:r>
        <w:r>
          <w:fldChar w:fldCharType="separate"/>
        </w:r>
        <w:r>
          <w:t>39</w:t>
        </w:r>
        <w:r>
          <w:fldChar w:fldCharType="end"/>
        </w:r>
      </w:hyperlink>
    </w:p>
    <w:p>
      <w:pPr>
        <w:pStyle w:val="TOC2"/>
        <w:tabs>
          <w:tab w:val="right" w:leader="dot" w:pos="8306"/>
        </w:tabs>
      </w:pPr>
      <w:hyperlink w:anchor="_Toc27753" w:history="1">
        <w:r>
          <w:rPr>
            <w:rFonts w:ascii="仿宋" w:eastAsia="仿宋" w:hAnsi="仿宋" w:cs="仿宋" w:hint="eastAsia"/>
            <w:lang w:eastAsia="zh-CN"/>
          </w:rPr>
          <w:t>(一)、变更申请与评估</w:t>
        </w:r>
        <w:r>
          <w:tab/>
        </w:r>
        <w:r>
          <w:fldChar w:fldCharType="begin"/>
        </w:r>
        <w:r>
          <w:instrText xml:space="preserve"> PAGEREF _Toc27753 \h </w:instrText>
        </w:r>
        <w:r>
          <w:fldChar w:fldCharType="separate"/>
        </w:r>
        <w:r>
          <w:t>39</w:t>
        </w:r>
        <w:r>
          <w:fldChar w:fldCharType="end"/>
        </w:r>
      </w:hyperlink>
    </w:p>
    <w:p>
      <w:pPr>
        <w:pStyle w:val="TOC2"/>
        <w:tabs>
          <w:tab w:val="right" w:leader="dot" w:pos="8306"/>
        </w:tabs>
      </w:pPr>
      <w:hyperlink w:anchor="_Toc24361" w:history="1">
        <w:r>
          <w:rPr>
            <w:rFonts w:ascii="仿宋" w:eastAsia="仿宋" w:hAnsi="仿宋" w:cs="仿宋" w:hint="eastAsia"/>
            <w:lang w:eastAsia="zh-CN"/>
          </w:rPr>
          <w:t>(二)、变更实施与控制</w:t>
        </w:r>
        <w:r>
          <w:tab/>
        </w:r>
        <w:r>
          <w:fldChar w:fldCharType="begin"/>
        </w:r>
        <w:r>
          <w:instrText xml:space="preserve"> PAGEREF _Toc24361 \h </w:instrText>
        </w:r>
        <w:r>
          <w:fldChar w:fldCharType="separate"/>
        </w:r>
        <w:r>
          <w:t>39</w:t>
        </w:r>
        <w:r>
          <w:fldChar w:fldCharType="end"/>
        </w:r>
      </w:hyperlink>
    </w:p>
    <w:p>
      <w:pPr>
        <w:pStyle w:val="TOC1"/>
        <w:tabs>
          <w:tab w:val="right" w:leader="dot" w:pos="8306"/>
        </w:tabs>
      </w:pPr>
      <w:hyperlink w:anchor="_Toc7900" w:history="1">
        <w:r>
          <w:rPr>
            <w:rFonts w:ascii="仿宋" w:eastAsia="仿宋" w:hAnsi="仿宋" w:cs="仿宋" w:hint="eastAsia"/>
            <w:lang w:eastAsia="zh-CN"/>
          </w:rPr>
          <w:t>十四、质量管理体系</w:t>
        </w:r>
        <w:r>
          <w:tab/>
        </w:r>
        <w:r>
          <w:fldChar w:fldCharType="begin"/>
        </w:r>
        <w:r>
          <w:instrText xml:space="preserve"> PAGEREF _Toc7900 \h </w:instrText>
        </w:r>
        <w:r>
          <w:fldChar w:fldCharType="separate"/>
        </w:r>
        <w:r>
          <w:t>40</w:t>
        </w:r>
        <w:r>
          <w:fldChar w:fldCharType="end"/>
        </w:r>
      </w:hyperlink>
    </w:p>
    <w:p>
      <w:pPr>
        <w:pStyle w:val="TOC2"/>
        <w:tabs>
          <w:tab w:val="right" w:leader="dot" w:pos="8306"/>
        </w:tabs>
      </w:pPr>
      <w:hyperlink w:anchor="_Toc22557" w:history="1">
        <w:r>
          <w:rPr>
            <w:rFonts w:ascii="仿宋" w:eastAsia="仿宋" w:hAnsi="仿宋" w:cs="仿宋" w:hint="eastAsia"/>
            <w:lang w:eastAsia="zh-CN"/>
          </w:rPr>
          <w:t>(一)、质量目标与方针</w:t>
        </w:r>
        <w:r>
          <w:tab/>
        </w:r>
        <w:r>
          <w:fldChar w:fldCharType="begin"/>
        </w:r>
        <w:r>
          <w:instrText xml:space="preserve"> PAGEREF _Toc22557 \h </w:instrText>
        </w:r>
        <w:r>
          <w:fldChar w:fldCharType="separate"/>
        </w:r>
        <w:r>
          <w:t>40</w:t>
        </w:r>
        <w:r>
          <w:fldChar w:fldCharType="end"/>
        </w:r>
      </w:hyperlink>
    </w:p>
    <w:p>
      <w:pPr>
        <w:pStyle w:val="TOC2"/>
        <w:tabs>
          <w:tab w:val="right" w:leader="dot" w:pos="8306"/>
        </w:tabs>
      </w:pPr>
      <w:hyperlink w:anchor="_Toc17086" w:history="1">
        <w:r>
          <w:rPr>
            <w:rFonts w:ascii="仿宋" w:eastAsia="仿宋" w:hAnsi="仿宋" w:cs="仿宋" w:hint="eastAsia"/>
            <w:lang w:eastAsia="zh-CN"/>
          </w:rPr>
          <w:t>(二)、质量管理责任</w:t>
        </w:r>
        <w:r>
          <w:tab/>
        </w:r>
        <w:r>
          <w:fldChar w:fldCharType="begin"/>
        </w:r>
        <w:r>
          <w:instrText xml:space="preserve"> PAGEREF _Toc17086 \h </w:instrText>
        </w:r>
        <w:r>
          <w:fldChar w:fldCharType="separate"/>
        </w:r>
        <w:r>
          <w:t>41</w:t>
        </w:r>
        <w:r>
          <w:fldChar w:fldCharType="end"/>
        </w:r>
      </w:hyperlink>
    </w:p>
    <w:p>
      <w:pPr>
        <w:pStyle w:val="TOC2"/>
        <w:tabs>
          <w:tab w:val="right" w:leader="dot" w:pos="8306"/>
        </w:tabs>
      </w:pPr>
      <w:hyperlink w:anchor="_Toc348" w:history="1">
        <w:r>
          <w:rPr>
            <w:rFonts w:ascii="仿宋" w:eastAsia="仿宋" w:hAnsi="仿宋" w:cs="仿宋" w:hint="eastAsia"/>
            <w:lang w:eastAsia="zh-CN"/>
          </w:rPr>
          <w:t>(三)、质量管理体系文件</w:t>
        </w:r>
        <w:r>
          <w:tab/>
        </w:r>
        <w:r>
          <w:fldChar w:fldCharType="begin"/>
        </w:r>
        <w:r>
          <w:instrText xml:space="preserve"> PAGEREF _Toc348 \h </w:instrText>
        </w:r>
        <w:r>
          <w:fldChar w:fldCharType="separate"/>
        </w:r>
        <w:r>
          <w:t>42</w:t>
        </w:r>
        <w:r>
          <w:fldChar w:fldCharType="end"/>
        </w:r>
      </w:hyperlink>
    </w:p>
    <w:p>
      <w:pPr>
        <w:pStyle w:val="TOC2"/>
        <w:tabs>
          <w:tab w:val="right" w:leader="dot" w:pos="8306"/>
        </w:tabs>
      </w:pPr>
      <w:hyperlink w:anchor="_Toc17645" w:history="1">
        <w:r>
          <w:rPr>
            <w:rFonts w:ascii="仿宋" w:eastAsia="仿宋" w:hAnsi="仿宋" w:cs="仿宋" w:hint="eastAsia"/>
            <w:lang w:eastAsia="zh-CN"/>
          </w:rPr>
          <w:t>(四)、质量培训与教育</w:t>
        </w:r>
        <w:r>
          <w:tab/>
        </w:r>
        <w:r>
          <w:fldChar w:fldCharType="begin"/>
        </w:r>
        <w:r>
          <w:instrText xml:space="preserve"> PAGEREF _Toc17645 \h </w:instrText>
        </w:r>
        <w:r>
          <w:fldChar w:fldCharType="separate"/>
        </w:r>
        <w:r>
          <w:t>45</w:t>
        </w:r>
        <w:r>
          <w:fldChar w:fldCharType="end"/>
        </w:r>
      </w:hyperlink>
    </w:p>
    <w:p>
      <w:pPr>
        <w:pStyle w:val="TOC2"/>
        <w:tabs>
          <w:tab w:val="right" w:leader="dot" w:pos="8306"/>
        </w:tabs>
      </w:pPr>
      <w:hyperlink w:anchor="_Toc19245" w:history="1">
        <w:r>
          <w:rPr>
            <w:rFonts w:ascii="仿宋" w:eastAsia="仿宋" w:hAnsi="仿宋" w:cs="仿宋" w:hint="eastAsia"/>
            <w:lang w:eastAsia="zh-CN"/>
          </w:rPr>
          <w:t>(五)、质量审核与评价</w:t>
        </w:r>
        <w:r>
          <w:tab/>
        </w:r>
        <w:r>
          <w:fldChar w:fldCharType="begin"/>
        </w:r>
        <w:r>
          <w:instrText xml:space="preserve"> PAGEREF _Toc19245 \h </w:instrText>
        </w:r>
        <w:r>
          <w:fldChar w:fldCharType="separate"/>
        </w:r>
        <w:r>
          <w:t>46</w:t>
        </w:r>
        <w:r>
          <w:fldChar w:fldCharType="end"/>
        </w:r>
      </w:hyperlink>
    </w:p>
    <w:p>
      <w:pPr>
        <w:pStyle w:val="TOC2"/>
        <w:tabs>
          <w:tab w:val="right" w:leader="dot" w:pos="8306"/>
        </w:tabs>
      </w:pPr>
      <w:hyperlink w:anchor="_Toc6150" w:history="1">
        <w:r>
          <w:rPr>
            <w:rFonts w:ascii="仿宋" w:eastAsia="仿宋" w:hAnsi="仿宋" w:cs="仿宋" w:hint="eastAsia"/>
            <w:lang w:eastAsia="zh-CN"/>
          </w:rPr>
          <w:t>(六)、不符合与纠正措施</w:t>
        </w:r>
        <w:r>
          <w:tab/>
        </w:r>
        <w:r>
          <w:fldChar w:fldCharType="begin"/>
        </w:r>
        <w:r>
          <w:instrText xml:space="preserve"> PAGEREF _Toc6150 \h </w:instrText>
        </w:r>
        <w:r>
          <w:fldChar w:fldCharType="separate"/>
        </w:r>
        <w:r>
          <w:t>47</w:t>
        </w:r>
        <w:r>
          <w:fldChar w:fldCharType="end"/>
        </w:r>
      </w:hyperlink>
    </w:p>
    <w:p>
      <w:pPr>
        <w:pStyle w:val="TOC1"/>
        <w:tabs>
          <w:tab w:val="right" w:leader="dot" w:pos="8306"/>
        </w:tabs>
      </w:pPr>
      <w:hyperlink w:anchor="_Toc23388" w:history="1">
        <w:r>
          <w:rPr>
            <w:rFonts w:ascii="仿宋" w:eastAsia="仿宋" w:hAnsi="仿宋" w:cs="仿宋" w:hint="eastAsia"/>
            <w:lang w:eastAsia="zh-CN"/>
          </w:rPr>
          <w:t>十五、供应链管理</w:t>
        </w:r>
        <w:r>
          <w:tab/>
        </w:r>
        <w:r>
          <w:fldChar w:fldCharType="begin"/>
        </w:r>
        <w:r>
          <w:instrText xml:space="preserve"> PAGEREF _Toc23388 \h </w:instrText>
        </w:r>
        <w:r>
          <w:fldChar w:fldCharType="separate"/>
        </w:r>
        <w:r>
          <w:t>48</w:t>
        </w:r>
        <w:r>
          <w:fldChar w:fldCharType="end"/>
        </w:r>
      </w:hyperlink>
    </w:p>
    <w:p>
      <w:pPr>
        <w:pStyle w:val="TOC2"/>
        <w:tabs>
          <w:tab w:val="right" w:leader="dot" w:pos="8306"/>
        </w:tabs>
      </w:pPr>
      <w:hyperlink w:anchor="_Toc31146" w:history="1">
        <w:r>
          <w:rPr>
            <w:rFonts w:ascii="仿宋" w:eastAsia="仿宋" w:hAnsi="仿宋" w:cs="仿宋" w:hint="eastAsia"/>
            <w:lang w:eastAsia="zh-CN"/>
          </w:rPr>
          <w:t>(一)、供应链战略规划</w:t>
        </w:r>
        <w:r>
          <w:tab/>
        </w:r>
        <w:r>
          <w:fldChar w:fldCharType="begin"/>
        </w:r>
        <w:r>
          <w:instrText xml:space="preserve"> PAGEREF _Toc31146 \h </w:instrText>
        </w:r>
        <w:r>
          <w:fldChar w:fldCharType="separate"/>
        </w:r>
        <w:r>
          <w:t>48</w:t>
        </w:r>
        <w:r>
          <w:fldChar w:fldCharType="end"/>
        </w:r>
      </w:hyperlink>
    </w:p>
    <w:p>
      <w:pPr>
        <w:pStyle w:val="TOC2"/>
        <w:tabs>
          <w:tab w:val="right" w:leader="dot" w:pos="8306"/>
        </w:tabs>
      </w:pPr>
      <w:hyperlink w:anchor="_Toc29702" w:history="1">
        <w:r>
          <w:rPr>
            <w:rFonts w:ascii="仿宋" w:eastAsia="仿宋" w:hAnsi="仿宋" w:cs="仿宋" w:hint="eastAsia"/>
            <w:lang w:eastAsia="zh-CN"/>
          </w:rPr>
          <w:t>(二)、供应商选择与合作</w:t>
        </w:r>
        <w:r>
          <w:tab/>
        </w:r>
        <w:r>
          <w:fldChar w:fldCharType="begin"/>
        </w:r>
        <w:r>
          <w:instrText xml:space="preserve"> PAGEREF _Toc29702 \h </w:instrText>
        </w:r>
        <w:r>
          <w:fldChar w:fldCharType="separate"/>
        </w:r>
        <w:r>
          <w:t>49</w:t>
        </w:r>
        <w:r>
          <w:fldChar w:fldCharType="end"/>
        </w:r>
      </w:hyperlink>
    </w:p>
    <w:p>
      <w:pPr>
        <w:pStyle w:val="TOC2"/>
        <w:tabs>
          <w:tab w:val="right" w:leader="dot" w:pos="8306"/>
        </w:tabs>
      </w:pPr>
      <w:hyperlink w:anchor="_Toc6797" w:history="1">
        <w:r>
          <w:rPr>
            <w:rFonts w:ascii="仿宋" w:eastAsia="仿宋" w:hAnsi="仿宋" w:cs="仿宋" w:hint="eastAsia"/>
            <w:lang w:eastAsia="zh-CN"/>
          </w:rPr>
          <w:t>(三)、物流与库存管理</w:t>
        </w:r>
        <w:r>
          <w:tab/>
        </w:r>
        <w:r>
          <w:fldChar w:fldCharType="begin"/>
        </w:r>
        <w:r>
          <w:instrText xml:space="preserve"> PAGEREF _Toc6797 \h </w:instrText>
        </w:r>
        <w:r>
          <w:fldChar w:fldCharType="separate"/>
        </w:r>
        <w:r>
          <w:t>51</w:t>
        </w:r>
        <w:r>
          <w:fldChar w:fldCharType="end"/>
        </w:r>
      </w:hyperlink>
    </w:p>
    <w:p>
      <w:pPr>
        <w:pStyle w:val="TOC1"/>
        <w:tabs>
          <w:tab w:val="right" w:leader="dot" w:pos="8306"/>
        </w:tabs>
      </w:pPr>
      <w:hyperlink w:anchor="_Toc26068" w:history="1">
        <w:r>
          <w:rPr>
            <w:rFonts w:ascii="仿宋" w:eastAsia="仿宋" w:hAnsi="仿宋" w:cs="仿宋" w:hint="eastAsia"/>
            <w:lang w:eastAsia="zh-CN"/>
          </w:rPr>
          <w:t>十六、车载娱乐项目治理与监督</w:t>
        </w:r>
        <w:r>
          <w:tab/>
        </w:r>
        <w:r>
          <w:fldChar w:fldCharType="begin"/>
        </w:r>
        <w:r>
          <w:instrText xml:space="preserve"> PAGEREF _Toc26068 \h </w:instrText>
        </w:r>
        <w:r>
          <w:fldChar w:fldCharType="separate"/>
        </w:r>
        <w:r>
          <w:t>52</w:t>
        </w:r>
        <w:r>
          <w:fldChar w:fldCharType="end"/>
        </w:r>
      </w:hyperlink>
    </w:p>
    <w:p>
      <w:pPr>
        <w:pStyle w:val="TOC2"/>
        <w:tabs>
          <w:tab w:val="right" w:leader="dot" w:pos="8306"/>
        </w:tabs>
      </w:pPr>
      <w:hyperlink w:anchor="_Toc2139" w:history="1">
        <w:r>
          <w:rPr>
            <w:rFonts w:ascii="仿宋" w:eastAsia="仿宋" w:hAnsi="仿宋" w:cs="仿宋" w:hint="eastAsia"/>
            <w:lang w:eastAsia="zh-CN"/>
          </w:rPr>
          <w:t>(一)、车载娱乐项目治理结构</w:t>
        </w:r>
        <w:r>
          <w:tab/>
        </w:r>
        <w:r>
          <w:fldChar w:fldCharType="begin"/>
        </w:r>
        <w:r>
          <w:instrText xml:space="preserve"> PAGEREF _Toc2139 \h </w:instrText>
        </w:r>
        <w:r>
          <w:fldChar w:fldCharType="separate"/>
        </w:r>
        <w:r>
          <w:t>52</w:t>
        </w:r>
        <w:r>
          <w:fldChar w:fldCharType="end"/>
        </w:r>
      </w:hyperlink>
    </w:p>
    <w:p>
      <w:pPr>
        <w:pStyle w:val="TOC2"/>
        <w:tabs>
          <w:tab w:val="right" w:leader="dot" w:pos="8306"/>
        </w:tabs>
      </w:pPr>
      <w:hyperlink w:anchor="_Toc4318" w:history="1">
        <w:r>
          <w:rPr>
            <w:rFonts w:ascii="仿宋" w:eastAsia="仿宋" w:hAnsi="仿宋" w:cs="仿宋" w:hint="eastAsia"/>
            <w:lang w:eastAsia="zh-CN"/>
          </w:rPr>
          <w:t>(二)、监督与审计</w:t>
        </w:r>
        <w:r>
          <w:tab/>
        </w:r>
        <w:r>
          <w:fldChar w:fldCharType="begin"/>
        </w:r>
        <w:r>
          <w:instrText xml:space="preserve"> PAGEREF _Toc4318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1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车载娱乐项目的主要产品是XXXX，预计年产值为XXX万元。这一产品在市场中占据着重要的地位，其广泛的应用范围使得该车载娱乐项目的市场前景非常广阔。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载娱乐项目的xxx产品作为重要的原材料之一，将在多个领域发挥关键作用。其在建筑、交通、能源等方面的广泛应用将为整个产业链提供强大的支持，形成产业协同效应。车载娱乐项目的年产值XXX万XXX万XXX万万元不仅反映了其在市场上的巨大潜力，更预示着它对国民经济的积极贡献。这种关联度高、涉及面广的产业关系，使得该车载娱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4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总征地面积为XXXX平方米，相当于约XX.XX亩，其中净用地面积为XXXX平方米，红线范围内相当于约XX.XX亩。这一用地规模充分考虑了车载娱乐项目的建设需求，保障了车载娱乐项目在合适的空间内得以充分发展。车载娱乐项目规划的总建筑面积为XXXX平方米，其中主体工程建设占XXXX平方米，计容建筑面积达XXXX平方米。预计建筑工程的投资将达到XXXX万元，为车载娱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计划购置的设备共计XXXX台（套），设备购置费用为XXXX万元。这一设备购置计划充分考虑到车载娱乐项目的生产需求和技术要求，确保了车载娱乐项目在生产运营中具备先进的技术装备和高效的生产能力。设备的合理配置将为车载娱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计划总投资为XXXX万元，预计年实现营业收入为XXXX万元。这一产能规模的设定旨在确保车载娱乐项目能够在投资与回报之间取得平衡，实现长期可持续的发展。车载娱乐项目的总投资充分考虑到各个方面的需求，包括用地建设、设备购置等多个环节，以确保车载娱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58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93"/>
      <w:r>
        <w:rPr>
          <w:rFonts w:ascii="仿宋" w:eastAsia="仿宋" w:hAnsi="仿宋" w:cs="仿宋" w:hint="eastAsia"/>
          <w:lang w:eastAsia="zh-CN"/>
        </w:rPr>
        <w:t>(一)、车载娱乐行业分析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行业一直以来都是市场的关注焦点。行业内的发展趋势、竞争态势以及潜在机会都对车载娱乐项目的推进产生深远的影响。通过深入研究行业的整体概貌，我们将更好地理解行业的核心特征，为车载娱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娱乐行业，技术一直是推动创新和发展的关键因素。我们将对当前技术趋势进行详尽分析，包括但不限于人工智能、大数据应用、先进制造技术等。这有助于车载娱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车载娱乐项目成功的基础。我们将对主要竞争对手进行深入研究，包括其市场份额、产品特点、市场定位等。通过全面了解竞争对手的优势和劣势，车载娱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977"/>
      <w:r>
        <w:rPr>
          <w:rFonts w:ascii="仿宋" w:eastAsia="仿宋" w:hAnsi="仿宋" w:cs="仿宋" w:hint="eastAsia"/>
          <w:sz w:val="28"/>
          <w:lang w:eastAsia="zh-CN"/>
        </w:rPr>
        <w:t>(二)、车载娱乐市场分析预测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通过对市场规模的深入调研，我们将预测车载娱乐市场未来的增长趋势。这包括市场的整体规模、各细分领域的发展趋势等。车载娱乐项目可以根据市场的扩张速度和潜在机会，制定更符合市场需求的发展策略。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载娱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载娱乐项目实施过程中需要充分考虑的因素。我们将对市场风险进行全面评估，包括但不限于政策法规风险、市场竞争风险、技术变革风险等。通过对潜在风险的深入分析，车载娱乐项目可以制定相应的风险缓解策略，降低不确定性对车载娱乐项目的影响。</w:t>
      </w:r>
    </w:p>
    <w:p>
      <w:pPr>
        <w:pStyle w:val="Heading1"/>
        <w:ind w:firstLine="560" w:firstLineChars="200"/>
        <w:rPr>
          <w:rFonts w:ascii="仿宋" w:eastAsia="仿宋" w:hAnsi="仿宋" w:cs="仿宋" w:hint="eastAsia"/>
          <w:sz w:val="28"/>
          <w:lang w:eastAsia="zh-CN"/>
        </w:rPr>
      </w:pPr>
      <w:bookmarkStart w:id="8" w:name="_Toc22864"/>
      <w:r>
        <w:rPr>
          <w:rFonts w:ascii="仿宋" w:eastAsia="仿宋" w:hAnsi="仿宋" w:cs="仿宋" w:hint="eastAsia"/>
          <w:sz w:val="28"/>
          <w:lang w:eastAsia="zh-CN"/>
        </w:rPr>
        <w:t>三、车载娱乐项目建设单位说明</w:t>
      </w:r>
      <w:bookmarkEnd w:id="8"/>
    </w:p>
    <w:p>
      <w:pPr>
        <w:pStyle w:val="Heading2"/>
        <w:rPr>
          <w:rFonts w:ascii="仿宋" w:eastAsia="仿宋" w:hAnsi="仿宋" w:cs="仿宋" w:hint="eastAsia"/>
          <w:lang w:eastAsia="zh-CN"/>
        </w:rPr>
      </w:pPr>
      <w:bookmarkStart w:id="9" w:name="_Toc25004"/>
      <w:r>
        <w:rPr>
          <w:rFonts w:ascii="仿宋" w:eastAsia="仿宋" w:hAnsi="仿宋" w:cs="仿宋" w:hint="eastAsia"/>
          <w:lang w:eastAsia="zh-CN"/>
        </w:rPr>
        <w:t>(一)、车载娱乐项目承办单位基本情况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46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载娱乐项目承办单位的XXXX，我们着眼于实现可持续的经济效益。通过技术创新和解决方案的提供，公司预计在车载娱乐项目执行期间将获得可观的收入增长。这一收入来源主要包括车载娱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同时，我们注重成本控制和效率提升，以确保车载娱乐项目的可持续盈利。透过精细的管理和资源优化，公司期望实现车载娱乐项目利润最大化。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载娱乐项目实施进行全面的投资评估，包括车载娱乐项目启动阶段的资金投入和后续运营成本。通过对车载娱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车载娱乐项目实施过程中具备足够的资金流动性，公司将进行详尽的现金流分析。这包括资金需求的合理预测、车载娱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307"/>
      <w:r>
        <w:rPr>
          <w:rFonts w:ascii="仿宋" w:eastAsia="仿宋" w:hAnsi="仿宋" w:cs="仿宋" w:hint="eastAsia"/>
          <w:sz w:val="28"/>
          <w:lang w:eastAsia="zh-CN"/>
        </w:rPr>
        <w:t>四、车载娱乐项目绩效评估</w:t>
      </w:r>
      <w:bookmarkEnd w:id="11"/>
    </w:p>
    <w:p>
      <w:pPr>
        <w:pStyle w:val="Heading2"/>
        <w:rPr>
          <w:rFonts w:ascii="仿宋" w:eastAsia="仿宋" w:hAnsi="仿宋" w:cs="仿宋" w:hint="eastAsia"/>
          <w:lang w:eastAsia="zh-CN"/>
        </w:rPr>
      </w:pPr>
      <w:bookmarkStart w:id="12" w:name="_Toc296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娱乐项目中，我们设计了一套全面的绩效评估指标，以确保车载娱乐项目的可控和成功交付。这些指标跨足车载娱乐项目目标、成本、进度和质量等多个维度，为我们提供了全面洞察车载娱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目标达成率是我们关注的首要指标。我们设定了明确的目标，并通过定期监测和评估，迅速发现并应对潜在的目标偏差。这为车载娱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成本绩效是另一个核心关注点。通过实际成本与预算成本的对比分析，我们深入了解成本差异的原因，及时调整资源分配，保持车载娱乐项目在经济效益方面的合理水平。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进度作为关键的绩效指标之一，得到了精心的关注。我们制定了详细的车载娱乐项目进度计划，并设立了进度符合度指标，确保实际进度与计划进度保持一致。这使我们能够快速发现和解决潜在的进度问题，保持车载娱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载娱乐项目绩效的不可或缺的一环。我们引入了一系列的质量标准和客户满意度指标，以确保车载娱乐项目交付的成果在质量上达到或超越预期水平。通过持续监测这些指标，我们努力提升车载娱乐项目整体质量水平，为车载娱乐项目的成功交付提供有力保障。通过这些科学且全面的绩效评估，我们能够更好地引导车载娱乐项目的持续改进，确保车载娱乐项目目标的顺利达成。</w:t>
      </w:r>
    </w:p>
    <w:p>
      <w:pPr>
        <w:pStyle w:val="Heading2"/>
        <w:ind w:firstLine="560" w:firstLineChars="200"/>
        <w:rPr>
          <w:rFonts w:ascii="仿宋" w:eastAsia="仿宋" w:hAnsi="仿宋" w:cs="仿宋" w:hint="eastAsia"/>
          <w:sz w:val="28"/>
          <w:lang w:eastAsia="zh-CN"/>
        </w:rPr>
      </w:pPr>
      <w:bookmarkStart w:id="13" w:name="_Toc2536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绩效评估是车载娱乐项目中的关键环节，为确保车载娱乐项目达到预期目标，我们采用了多层次、多维度的绩效评估方法。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载娱乐项目的战略目标对齐，确保每个决策和行动都与车载娱乐项目整体目标保持一致。团队会定期召开战略对齐会议，审视当前工作与车载娱乐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载娱乐项目进度、质量、成本和风险等方面。这些指标通过数据收集和分析，为车载娱乐项目管理团队提供了客观的评估依据。例如，我们通过车载娱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绩效评估不仅仅停留在车载娱乐项目内部，还考虑了车载娱乐项目对外部环境的影响。我们定期进行干系人满意度调查，以了解各利益相关方对车载娱乐项目的期望和满意度，并及时做出调整。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这种多层次、多角度的绩效评估方法，使得我们能够全面了解车载娱乐项目的运行状态，及时做出调整，确保车载娱乐项目在不断变化的环境中保持稳健前行。</w:t>
      </w:r>
    </w:p>
    <w:p>
      <w:pPr>
        <w:pStyle w:val="Heading2"/>
        <w:ind w:firstLine="560" w:firstLineChars="200"/>
        <w:rPr>
          <w:rFonts w:ascii="仿宋" w:eastAsia="仿宋" w:hAnsi="仿宋" w:cs="仿宋" w:hint="eastAsia"/>
          <w:sz w:val="28"/>
          <w:lang w:eastAsia="zh-CN"/>
        </w:rPr>
      </w:pPr>
      <w:bookmarkStart w:id="14" w:name="_Toc1584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为了确保车载娱乐项目的有效管理和不断优化，我们采用了精心设计的绩效评估周期。这个周期旨在实现灵活、实时和全面的评估，以适应车载娱乐项目执行中的各种挑战。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载娱乐项目的不同需求，分为短期、中期和长期。短期评估关注每个迭代或工作周期，以及时发现和解决当前任务中的问题。中期评估涵盖几个迭代，深入了解整体车载娱乐项目的趋势和性能。长期评估则着眼于整个车载娱乐项目阶段，确保车载娱乐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载娱乐项目管理工具和协作平台，团队成员能够随时更新和分享车载娱乐项目数据。这种实时性的反馈机制使我们能够及时察觉潜在问题，快速调整，保持车载娱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载娱乐项目的决策制定密不可分。每个周期的车载娱乐项目回顾会议成为集体总结经验、识别问题深层次原因并找到创新解决方案的平台。这种定期的反思与调整机制使车载娱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973"/>
      <w:r>
        <w:rPr>
          <w:rFonts w:ascii="仿宋" w:eastAsia="仿宋" w:hAnsi="仿宋" w:cs="仿宋" w:hint="eastAsia"/>
          <w:sz w:val="28"/>
          <w:lang w:eastAsia="zh-CN"/>
        </w:rPr>
        <w:t>五、车载娱乐项目危机管理</w:t>
      </w:r>
      <w:bookmarkEnd w:id="15"/>
    </w:p>
    <w:p>
      <w:pPr>
        <w:pStyle w:val="Heading2"/>
        <w:rPr>
          <w:rFonts w:ascii="仿宋" w:eastAsia="仿宋" w:hAnsi="仿宋" w:cs="仿宋" w:hint="eastAsia"/>
          <w:lang w:eastAsia="zh-CN"/>
        </w:rPr>
      </w:pPr>
      <w:bookmarkStart w:id="16" w:name="_Toc1189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娱乐项目危机管理中，危机预警与识别是确保车载娱乐项目稳健运行的核心步骤。通过建立全面的监测机制，车载娱乐项目团队旨在及时发现和理解潜在的风险和危机因素，以便采取及时的预防和应对措施，确保车载娱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首先，通过深入的风险评估，车载娱乐项目团队全面分析了整个车载娱乐项目和各个阶段可能存在的威胁。这包括准确评估每个潜在风险的发生概率和可能影响的程度，为后续危机预警提供了有力支持。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载娱乐项目团队着重于明确定义车载娱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载娱乐项目进展的持续监控，团队能够及时发现潜在问题并作出迅速反应。车载娱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在这一阶段，团队的专业素养和反应速度将发挥至关重要的作用，以确保潜在危机能够在初期得到有效的处理，最大程度地减轻负面影响。通过危机预警与识别，车载娱乐项目得以更有序、可控地推进。</w:t>
      </w:r>
    </w:p>
    <w:p>
      <w:pPr>
        <w:pStyle w:val="Heading2"/>
        <w:ind w:firstLine="560" w:firstLineChars="200"/>
        <w:rPr>
          <w:rFonts w:ascii="仿宋" w:eastAsia="仿宋" w:hAnsi="仿宋" w:cs="仿宋" w:hint="eastAsia"/>
          <w:sz w:val="28"/>
          <w:lang w:eastAsia="zh-CN"/>
        </w:rPr>
      </w:pPr>
      <w:bookmarkStart w:id="17" w:name="_Toc1702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在危机发生时，车载娱乐项目团队立即行动，成立了应急小组。该小组的任务是迅速制定并实施紧急应对措施，以最小化潜在损失。以下是采取的主要措施：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暂停车载娱乐项目进度：为遏制危机蔓延，车载娱乐项目暂时停止进行，以便全面评估当前状况。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资源重新分配：重新评估车载娱乐项目资源的分配，确保最大限度地减小损失。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实时沟通：与关键利益相关者建立实时沟通机制，向他们传递车载娱乐项目危机的实际状况，保障车载娱乐项目核心利益。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在紧急应对的同时，车载娱乐项目团队强调了团队协作和有效沟通的重要性。以下是团队协作的关键举措：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信息共享机制：建立了信息共享平台，确保团队成员能够及时获取车载娱乐项目危机的实时信息。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领导者沟通：车载娱乐项目领导者通过定期会议和即时沟通工具，指导团队应对危机，保持团队稳定运行。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随着危机得到初步控制，车载娱乐项目团队转向制定恢复计划，以确保车载娱乐项目能够从中迅速恢复。主要恢复计划包括：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修复受损的进度计划：重新评估车载娱乐项目进度，制定修复计划，确保车载娱乐项目尽快回归正常进程。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重新调整资源分配：优化资源分配，确保车载娱乐项目在有限资源下高效运转。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风险管理机制加强：对车载娱乐项目风险进行全面评估，制定更强化的风险管理策略，以预防未来可能的危机。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8272"/>
      <w:r>
        <w:rPr>
          <w:rFonts w:ascii="仿宋" w:eastAsia="仿宋" w:hAnsi="仿宋" w:cs="仿宋" w:hint="eastAsia"/>
          <w:sz w:val="28"/>
          <w:lang w:eastAsia="zh-CN"/>
        </w:rPr>
        <w:t>六、车载娱乐项目选址可行性分析</w:t>
      </w:r>
      <w:bookmarkEnd w:id="18"/>
    </w:p>
    <w:p>
      <w:pPr>
        <w:pStyle w:val="Heading2"/>
        <w:rPr>
          <w:rFonts w:ascii="仿宋" w:eastAsia="仿宋" w:hAnsi="仿宋" w:cs="仿宋" w:hint="eastAsia"/>
          <w:lang w:eastAsia="zh-CN"/>
        </w:rPr>
      </w:pPr>
      <w:bookmarkStart w:id="19" w:name="_Toc23048"/>
      <w:r>
        <w:rPr>
          <w:rFonts w:ascii="仿宋" w:eastAsia="仿宋" w:hAnsi="仿宋" w:cs="仿宋" w:hint="eastAsia"/>
          <w:lang w:eastAsia="zh-CN"/>
        </w:rPr>
        <w:t>(一)、车载娱乐项目选址</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该车载娱乐项目选址位于XX省XX市XX区XXX街道</w:t>
      </w:r>
    </w:p>
    <w:p>
      <w:pPr>
        <w:pStyle w:val="Heading2"/>
        <w:ind w:firstLine="560" w:firstLineChars="200"/>
        <w:rPr>
          <w:rFonts w:ascii="仿宋" w:eastAsia="仿宋" w:hAnsi="仿宋" w:cs="仿宋" w:hint="eastAsia"/>
          <w:sz w:val="28"/>
          <w:lang w:eastAsia="zh-CN"/>
        </w:rPr>
      </w:pPr>
      <w:bookmarkStart w:id="20" w:name="_Toc479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车载娱乐项目的征地面积将根据车载娱乐项目的实际规模和需求进行精确规划。具体面积XXX平方米，旨在确保车载娱乐项目不仅能够满足当前的发展需求，还能够预留空间以适应未来的扩展。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净用地面积是在征地面积基础上去除不可利用面积后的实际可开发用地。具体面积XXX平方米，考虑到环保、交通、安全等多方面因素，以确保车载娱乐项目在整体利用效率上达到最优。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车载娱乐项目计划建设的建筑总规模具体面积XXX平方米。这一规模的确定综合考虑了车载娱乐项目的性质、规模，以及城市规划的相关要求，确保建筑布局与周边环境协调一致。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绿地率是车载娱乐项目用地中被规划为绿地的比例。具体面积XXX平方米，旨在通过合理规划绿地，改善车载娱乐项目周边环境，提升居民生活质量，并符合城市整体绿化规划。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容积率是用地上可以建设的建筑总体积与用地面积之比。具体面积XXX，通过合理的容积率规划，确保车载娱乐项目建筑规模与周边环境和谐共生。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确保车载娱乐项目选址与当地城市规划相一致，具体面积XXX平方米。通过与城市规划部门深入沟通，确保车载娱乐项目不仅符合城市的整体发展方向，还能够融入城市的发展布局，为城市的长远发展贡献力量。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车载娱乐项目选址符合当地产业政策，具体面积XXX平方米。这包括车载娱乐项目对当地经济的促进作用，以及对相关产业的带动效应，确保车载娱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用地总体要求必须符合环保和可持续发展的原则，具体面积XXX平方米。通过采用绿色建筑设计、节能减排等措施，确保车载娱乐项目在建设和运营过程中对环境的影响最小化，达到可持续发展的要求。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确保车载娱乐项目选址具备必要的公共设施配套，具体面积XXX平方米。这包括交通便利性、教育、医疗等基础设施，以提高居民生活品质，使得车载娱乐项目选址更具吸引力。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考虑用地总体要求对当地社会稳定性的影响，具体面积XXX平方米。通过深入了解当地社区反馈，确保车载娱乐项目的选址和建设过程对当地社会和谐稳定产生积极作用。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载娱乐项目选址不仅符合法规和规划，还在实际操作中具有可行性。这一全面规划将为车载娱乐项目的成功实施提供坚实的基础，确保车载娱乐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2814"/>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娱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载娱乐项目的设备规划和空间设计中，我们将采取灵活设备布局的措施。设备布局将根据实际需求进行灵活设计，避免不必要的浪费。通过合理规划设备摆放位置，我们将提高设备的利用率，减少设备间距，以确保车载娱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载娱乐项目内部引入共享设施的概念，例如共享会议室、办公区等。通过这种方式，我们可以减少对资源的重复建设，提高资源共享效率，从而减小车载娱乐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https://d.book118.com/348071116106006022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7F1053"/>
    <w:rsid w:val="3D7F1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7111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2023-12-31T05:15:00Z</dcterms:created>
  <dcterms:modified xsi:type="dcterms:W3CDTF">2023-12-31T05:15:19Z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C032117EFD1448729461F5E89D859255_11</vt:lpwstr>
  </property>
  <property fmtid="{D5CDD505-2E9C-101B-9397-08002B2CF9AE}" pid="3" name="KSOProductBuildVer">
    <vt:lpwstr>2052-12.1.0.16120</vt:lpwstr>
  </property>
</Properties>
</file>