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非有毒有害固体废弃物处理设备项目规划设计纲要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20" w:history="1">
        <w:r>
          <w:rPr>
            <w:rFonts w:ascii="仿宋" w:eastAsia="仿宋" w:hAnsi="仿宋" w:cs="仿宋" w:hint="eastAsia"/>
            <w:lang w:eastAsia="zh-CN"/>
          </w:rPr>
          <w:t>序言</w:t>
        </w:r>
        <w:r>
          <w:tab/>
        </w:r>
        <w:r>
          <w:fldChar w:fldCharType="begin"/>
        </w:r>
        <w:r>
          <w:instrText xml:space="preserve"> PAGEREF _Toc4220 \h </w:instrText>
        </w:r>
        <w:r>
          <w:fldChar w:fldCharType="separate"/>
        </w:r>
        <w:r>
          <w:t>3</w:t>
        </w:r>
        <w:r>
          <w:fldChar w:fldCharType="end"/>
        </w:r>
      </w:hyperlink>
    </w:p>
    <w:p>
      <w:pPr>
        <w:pStyle w:val="TOC1"/>
        <w:tabs>
          <w:tab w:val="right" w:leader="dot" w:pos="8306"/>
        </w:tabs>
      </w:pPr>
      <w:hyperlink w:anchor="_Toc28208" w:history="1">
        <w:r>
          <w:rPr>
            <w:rFonts w:ascii="仿宋" w:eastAsia="仿宋" w:hAnsi="仿宋" w:cs="仿宋" w:hint="eastAsia"/>
            <w:lang w:eastAsia="zh-CN"/>
          </w:rPr>
          <w:t>一、非有毒有害固体废弃物处理设备项目土建工程</w:t>
        </w:r>
        <w:r>
          <w:tab/>
        </w:r>
        <w:r>
          <w:fldChar w:fldCharType="begin"/>
        </w:r>
        <w:r>
          <w:instrText xml:space="preserve"> PAGEREF _Toc28208 \h </w:instrText>
        </w:r>
        <w:r>
          <w:fldChar w:fldCharType="separate"/>
        </w:r>
        <w:r>
          <w:t>3</w:t>
        </w:r>
        <w:r>
          <w:fldChar w:fldCharType="end"/>
        </w:r>
      </w:hyperlink>
    </w:p>
    <w:p>
      <w:pPr>
        <w:pStyle w:val="TOC2"/>
        <w:tabs>
          <w:tab w:val="right" w:leader="dot" w:pos="8306"/>
        </w:tabs>
      </w:pPr>
      <w:hyperlink w:anchor="_Toc19374" w:history="1">
        <w:r>
          <w:rPr>
            <w:rFonts w:ascii="仿宋" w:eastAsia="仿宋" w:hAnsi="仿宋" w:cs="仿宋" w:hint="eastAsia"/>
            <w:lang w:eastAsia="zh-CN"/>
          </w:rPr>
          <w:t>(一)、建筑工程设计原则</w:t>
        </w:r>
        <w:r>
          <w:tab/>
        </w:r>
        <w:r>
          <w:fldChar w:fldCharType="begin"/>
        </w:r>
        <w:r>
          <w:instrText xml:space="preserve"> PAGEREF _Toc19374 \h </w:instrText>
        </w:r>
        <w:r>
          <w:fldChar w:fldCharType="separate"/>
        </w:r>
        <w:r>
          <w:t>3</w:t>
        </w:r>
        <w:r>
          <w:fldChar w:fldCharType="end"/>
        </w:r>
      </w:hyperlink>
    </w:p>
    <w:p>
      <w:pPr>
        <w:pStyle w:val="TOC2"/>
        <w:tabs>
          <w:tab w:val="right" w:leader="dot" w:pos="8306"/>
        </w:tabs>
      </w:pPr>
      <w:hyperlink w:anchor="_Toc24858" w:history="1">
        <w:r>
          <w:rPr>
            <w:rFonts w:ascii="仿宋" w:eastAsia="仿宋" w:hAnsi="仿宋" w:cs="仿宋" w:hint="eastAsia"/>
            <w:lang w:eastAsia="zh-CN"/>
          </w:rPr>
          <w:t>(二)、土建工程设计年限及安全等级</w:t>
        </w:r>
        <w:r>
          <w:tab/>
        </w:r>
        <w:r>
          <w:fldChar w:fldCharType="begin"/>
        </w:r>
        <w:r>
          <w:instrText xml:space="preserve"> PAGEREF _Toc24858 \h </w:instrText>
        </w:r>
        <w:r>
          <w:fldChar w:fldCharType="separate"/>
        </w:r>
        <w:r>
          <w:t>4</w:t>
        </w:r>
        <w:r>
          <w:fldChar w:fldCharType="end"/>
        </w:r>
      </w:hyperlink>
    </w:p>
    <w:p>
      <w:pPr>
        <w:pStyle w:val="TOC2"/>
        <w:tabs>
          <w:tab w:val="right" w:leader="dot" w:pos="8306"/>
        </w:tabs>
      </w:pPr>
      <w:hyperlink w:anchor="_Toc8723" w:history="1">
        <w:r>
          <w:rPr>
            <w:rFonts w:ascii="仿宋" w:eastAsia="仿宋" w:hAnsi="仿宋" w:cs="仿宋" w:hint="eastAsia"/>
            <w:lang w:eastAsia="zh-CN"/>
          </w:rPr>
          <w:t>(三)、建筑工程设计总体要求</w:t>
        </w:r>
        <w:r>
          <w:tab/>
        </w:r>
        <w:r>
          <w:fldChar w:fldCharType="begin"/>
        </w:r>
        <w:r>
          <w:instrText xml:space="preserve"> PAGEREF _Toc8723 \h </w:instrText>
        </w:r>
        <w:r>
          <w:fldChar w:fldCharType="separate"/>
        </w:r>
        <w:r>
          <w:t>5</w:t>
        </w:r>
        <w:r>
          <w:fldChar w:fldCharType="end"/>
        </w:r>
      </w:hyperlink>
    </w:p>
    <w:p>
      <w:pPr>
        <w:pStyle w:val="TOC2"/>
        <w:tabs>
          <w:tab w:val="right" w:leader="dot" w:pos="8306"/>
        </w:tabs>
      </w:pPr>
      <w:hyperlink w:anchor="_Toc31389" w:history="1">
        <w:r>
          <w:rPr>
            <w:rFonts w:ascii="仿宋" w:eastAsia="仿宋" w:hAnsi="仿宋" w:cs="仿宋" w:hint="eastAsia"/>
            <w:lang w:eastAsia="zh-CN"/>
          </w:rPr>
          <w:t>(四)、土建工程建设指标</w:t>
        </w:r>
        <w:r>
          <w:tab/>
        </w:r>
        <w:r>
          <w:fldChar w:fldCharType="begin"/>
        </w:r>
        <w:r>
          <w:instrText xml:space="preserve"> PAGEREF _Toc31389 \h </w:instrText>
        </w:r>
        <w:r>
          <w:fldChar w:fldCharType="separate"/>
        </w:r>
        <w:r>
          <w:t>6</w:t>
        </w:r>
        <w:r>
          <w:fldChar w:fldCharType="end"/>
        </w:r>
      </w:hyperlink>
    </w:p>
    <w:p>
      <w:pPr>
        <w:pStyle w:val="TOC1"/>
        <w:tabs>
          <w:tab w:val="right" w:leader="dot" w:pos="8306"/>
        </w:tabs>
      </w:pPr>
      <w:hyperlink w:anchor="_Toc270" w:history="1">
        <w:r>
          <w:rPr>
            <w:rFonts w:ascii="仿宋" w:eastAsia="仿宋" w:hAnsi="仿宋" w:cs="仿宋" w:hint="eastAsia"/>
            <w:lang w:eastAsia="zh-CN"/>
          </w:rPr>
          <w:t>二、工艺说明</w:t>
        </w:r>
        <w:r>
          <w:tab/>
        </w:r>
        <w:r>
          <w:fldChar w:fldCharType="begin"/>
        </w:r>
        <w:r>
          <w:instrText xml:space="preserve"> PAGEREF _Toc270 \h </w:instrText>
        </w:r>
        <w:r>
          <w:fldChar w:fldCharType="separate"/>
        </w:r>
        <w:r>
          <w:t>6</w:t>
        </w:r>
        <w:r>
          <w:fldChar w:fldCharType="end"/>
        </w:r>
      </w:hyperlink>
    </w:p>
    <w:p>
      <w:pPr>
        <w:pStyle w:val="TOC2"/>
        <w:tabs>
          <w:tab w:val="right" w:leader="dot" w:pos="8306"/>
        </w:tabs>
      </w:pPr>
      <w:hyperlink w:anchor="_Toc22081" w:history="1">
        <w:r>
          <w:rPr>
            <w:rFonts w:ascii="仿宋" w:eastAsia="仿宋" w:hAnsi="仿宋" w:cs="仿宋" w:hint="eastAsia"/>
            <w:lang w:eastAsia="zh-CN"/>
          </w:rPr>
          <w:t>(一)、技术管理特点</w:t>
        </w:r>
        <w:r>
          <w:tab/>
        </w:r>
        <w:r>
          <w:fldChar w:fldCharType="begin"/>
        </w:r>
        <w:r>
          <w:instrText xml:space="preserve"> PAGEREF _Toc22081 \h </w:instrText>
        </w:r>
        <w:r>
          <w:fldChar w:fldCharType="separate"/>
        </w:r>
        <w:r>
          <w:t>6</w:t>
        </w:r>
        <w:r>
          <w:fldChar w:fldCharType="end"/>
        </w:r>
      </w:hyperlink>
    </w:p>
    <w:p>
      <w:pPr>
        <w:pStyle w:val="TOC2"/>
        <w:tabs>
          <w:tab w:val="right" w:leader="dot" w:pos="8306"/>
        </w:tabs>
      </w:pPr>
      <w:hyperlink w:anchor="_Toc4873" w:history="1">
        <w:r>
          <w:rPr>
            <w:rFonts w:ascii="仿宋" w:eastAsia="仿宋" w:hAnsi="仿宋" w:cs="仿宋" w:hint="eastAsia"/>
            <w:lang w:eastAsia="zh-CN"/>
          </w:rPr>
          <w:t>(二)、非有毒有害固体废弃物处理设备项目工艺技术设计方案</w:t>
        </w:r>
        <w:r>
          <w:tab/>
        </w:r>
        <w:r>
          <w:fldChar w:fldCharType="begin"/>
        </w:r>
        <w:r>
          <w:instrText xml:space="preserve"> PAGEREF _Toc4873 \h </w:instrText>
        </w:r>
        <w:r>
          <w:fldChar w:fldCharType="separate"/>
        </w:r>
        <w:r>
          <w:t>8</w:t>
        </w:r>
        <w:r>
          <w:fldChar w:fldCharType="end"/>
        </w:r>
      </w:hyperlink>
    </w:p>
    <w:p>
      <w:pPr>
        <w:pStyle w:val="TOC2"/>
        <w:tabs>
          <w:tab w:val="right" w:leader="dot" w:pos="8306"/>
        </w:tabs>
      </w:pPr>
      <w:hyperlink w:anchor="_Toc1467" w:history="1">
        <w:r>
          <w:rPr>
            <w:rFonts w:ascii="仿宋" w:eastAsia="仿宋" w:hAnsi="仿宋" w:cs="仿宋" w:hint="eastAsia"/>
            <w:lang w:eastAsia="zh-CN"/>
          </w:rPr>
          <w:t>(三)、设备选型方案</w:t>
        </w:r>
        <w:r>
          <w:tab/>
        </w:r>
        <w:r>
          <w:fldChar w:fldCharType="begin"/>
        </w:r>
        <w:r>
          <w:instrText xml:space="preserve"> PAGEREF _Toc1467 \h </w:instrText>
        </w:r>
        <w:r>
          <w:fldChar w:fldCharType="separate"/>
        </w:r>
        <w:r>
          <w:t>9</w:t>
        </w:r>
        <w:r>
          <w:fldChar w:fldCharType="end"/>
        </w:r>
      </w:hyperlink>
    </w:p>
    <w:p>
      <w:pPr>
        <w:pStyle w:val="TOC1"/>
        <w:tabs>
          <w:tab w:val="right" w:leader="dot" w:pos="8306"/>
        </w:tabs>
      </w:pPr>
      <w:hyperlink w:anchor="_Toc22517" w:history="1">
        <w:r>
          <w:rPr>
            <w:rFonts w:ascii="仿宋" w:eastAsia="仿宋" w:hAnsi="仿宋" w:cs="仿宋" w:hint="eastAsia"/>
            <w:lang w:eastAsia="zh-CN"/>
          </w:rPr>
          <w:t>三、非有毒有害固体废弃物处理设备项目可持续发展</w:t>
        </w:r>
        <w:r>
          <w:tab/>
        </w:r>
        <w:r>
          <w:fldChar w:fldCharType="begin"/>
        </w:r>
        <w:r>
          <w:instrText xml:space="preserve"> PAGEREF _Toc22517 \h </w:instrText>
        </w:r>
        <w:r>
          <w:fldChar w:fldCharType="separate"/>
        </w:r>
        <w:r>
          <w:t>11</w:t>
        </w:r>
        <w:r>
          <w:fldChar w:fldCharType="end"/>
        </w:r>
      </w:hyperlink>
    </w:p>
    <w:p>
      <w:pPr>
        <w:pStyle w:val="TOC2"/>
        <w:tabs>
          <w:tab w:val="right" w:leader="dot" w:pos="8306"/>
        </w:tabs>
      </w:pPr>
      <w:hyperlink w:anchor="_Toc12807" w:history="1">
        <w:r>
          <w:rPr>
            <w:rFonts w:ascii="仿宋" w:eastAsia="仿宋" w:hAnsi="仿宋" w:cs="仿宋" w:hint="eastAsia"/>
            <w:lang w:eastAsia="zh-CN"/>
          </w:rPr>
          <w:t>(一)、可持续战略与实践</w:t>
        </w:r>
        <w:r>
          <w:tab/>
        </w:r>
        <w:r>
          <w:fldChar w:fldCharType="begin"/>
        </w:r>
        <w:r>
          <w:instrText xml:space="preserve"> PAGEREF _Toc12807 \h </w:instrText>
        </w:r>
        <w:r>
          <w:fldChar w:fldCharType="separate"/>
        </w:r>
        <w:r>
          <w:t>11</w:t>
        </w:r>
        <w:r>
          <w:fldChar w:fldCharType="end"/>
        </w:r>
      </w:hyperlink>
    </w:p>
    <w:p>
      <w:pPr>
        <w:pStyle w:val="TOC2"/>
        <w:tabs>
          <w:tab w:val="right" w:leader="dot" w:pos="8306"/>
        </w:tabs>
      </w:pPr>
      <w:hyperlink w:anchor="_Toc642" w:history="1">
        <w:r>
          <w:rPr>
            <w:rFonts w:ascii="仿宋" w:eastAsia="仿宋" w:hAnsi="仿宋" w:cs="仿宋" w:hint="eastAsia"/>
            <w:lang w:eastAsia="zh-CN"/>
          </w:rPr>
          <w:t>(二)、环保与社会责任</w:t>
        </w:r>
        <w:r>
          <w:tab/>
        </w:r>
        <w:r>
          <w:fldChar w:fldCharType="begin"/>
        </w:r>
        <w:r>
          <w:instrText xml:space="preserve"> PAGEREF _Toc642 \h </w:instrText>
        </w:r>
        <w:r>
          <w:fldChar w:fldCharType="separate"/>
        </w:r>
        <w:r>
          <w:t>12</w:t>
        </w:r>
        <w:r>
          <w:fldChar w:fldCharType="end"/>
        </w:r>
      </w:hyperlink>
    </w:p>
    <w:p>
      <w:pPr>
        <w:pStyle w:val="TOC1"/>
        <w:tabs>
          <w:tab w:val="right" w:leader="dot" w:pos="8306"/>
        </w:tabs>
      </w:pPr>
      <w:hyperlink w:anchor="_Toc16939" w:history="1">
        <w:r>
          <w:rPr>
            <w:rFonts w:ascii="仿宋" w:eastAsia="仿宋" w:hAnsi="仿宋" w:cs="仿宋" w:hint="eastAsia"/>
            <w:lang w:eastAsia="zh-CN"/>
          </w:rPr>
          <w:t>四、非有毒有害固体废弃物处理设备项目危机管理</w:t>
        </w:r>
        <w:r>
          <w:tab/>
        </w:r>
        <w:r>
          <w:fldChar w:fldCharType="begin"/>
        </w:r>
        <w:r>
          <w:instrText xml:space="preserve"> PAGEREF _Toc16939 \h </w:instrText>
        </w:r>
        <w:r>
          <w:fldChar w:fldCharType="separate"/>
        </w:r>
        <w:r>
          <w:t>13</w:t>
        </w:r>
        <w:r>
          <w:fldChar w:fldCharType="end"/>
        </w:r>
      </w:hyperlink>
    </w:p>
    <w:p>
      <w:pPr>
        <w:pStyle w:val="TOC2"/>
        <w:tabs>
          <w:tab w:val="right" w:leader="dot" w:pos="8306"/>
        </w:tabs>
      </w:pPr>
      <w:hyperlink w:anchor="_Toc18510" w:history="1">
        <w:r>
          <w:rPr>
            <w:rFonts w:ascii="仿宋" w:eastAsia="仿宋" w:hAnsi="仿宋" w:cs="仿宋" w:hint="eastAsia"/>
            <w:lang w:eastAsia="zh-CN"/>
          </w:rPr>
          <w:t>(一)、危机预警与识别</w:t>
        </w:r>
        <w:r>
          <w:tab/>
        </w:r>
        <w:r>
          <w:fldChar w:fldCharType="begin"/>
        </w:r>
        <w:r>
          <w:instrText xml:space="preserve"> PAGEREF _Toc18510 \h </w:instrText>
        </w:r>
        <w:r>
          <w:fldChar w:fldCharType="separate"/>
        </w:r>
        <w:r>
          <w:t>13</w:t>
        </w:r>
        <w:r>
          <w:fldChar w:fldCharType="end"/>
        </w:r>
      </w:hyperlink>
    </w:p>
    <w:p>
      <w:pPr>
        <w:pStyle w:val="TOC2"/>
        <w:tabs>
          <w:tab w:val="right" w:leader="dot" w:pos="8306"/>
        </w:tabs>
      </w:pPr>
      <w:hyperlink w:anchor="_Toc7483" w:history="1">
        <w:r>
          <w:rPr>
            <w:rFonts w:ascii="仿宋" w:eastAsia="仿宋" w:hAnsi="仿宋" w:cs="仿宋" w:hint="eastAsia"/>
            <w:lang w:eastAsia="zh-CN"/>
          </w:rPr>
          <w:t>(二)、危机应对与恢复</w:t>
        </w:r>
        <w:r>
          <w:tab/>
        </w:r>
        <w:r>
          <w:fldChar w:fldCharType="begin"/>
        </w:r>
        <w:r>
          <w:instrText xml:space="preserve"> PAGEREF _Toc7483 \h </w:instrText>
        </w:r>
        <w:r>
          <w:fldChar w:fldCharType="separate"/>
        </w:r>
        <w:r>
          <w:t>14</w:t>
        </w:r>
        <w:r>
          <w:fldChar w:fldCharType="end"/>
        </w:r>
      </w:hyperlink>
    </w:p>
    <w:p>
      <w:pPr>
        <w:pStyle w:val="TOC1"/>
        <w:tabs>
          <w:tab w:val="right" w:leader="dot" w:pos="8306"/>
        </w:tabs>
      </w:pPr>
      <w:hyperlink w:anchor="_Toc1121" w:history="1">
        <w:r>
          <w:rPr>
            <w:rFonts w:ascii="仿宋" w:eastAsia="仿宋" w:hAnsi="仿宋" w:cs="仿宋" w:hint="eastAsia"/>
            <w:lang w:eastAsia="zh-CN"/>
          </w:rPr>
          <w:t>五、市场分析、调研</w:t>
        </w:r>
        <w:r>
          <w:tab/>
        </w:r>
        <w:r>
          <w:fldChar w:fldCharType="begin"/>
        </w:r>
        <w:r>
          <w:instrText xml:space="preserve"> PAGEREF _Toc1121 \h </w:instrText>
        </w:r>
        <w:r>
          <w:fldChar w:fldCharType="separate"/>
        </w:r>
        <w:r>
          <w:t>15</w:t>
        </w:r>
        <w:r>
          <w:fldChar w:fldCharType="end"/>
        </w:r>
      </w:hyperlink>
    </w:p>
    <w:p>
      <w:pPr>
        <w:pStyle w:val="TOC2"/>
        <w:tabs>
          <w:tab w:val="right" w:leader="dot" w:pos="8306"/>
        </w:tabs>
      </w:pPr>
      <w:hyperlink w:anchor="_Toc2392" w:history="1">
        <w:r>
          <w:rPr>
            <w:rFonts w:ascii="仿宋" w:eastAsia="仿宋" w:hAnsi="仿宋" w:cs="仿宋" w:hint="eastAsia"/>
            <w:lang w:eastAsia="zh-CN"/>
          </w:rPr>
          <w:t>(一)、非有毒有害固体废弃物处理设备行业分析</w:t>
        </w:r>
        <w:r>
          <w:tab/>
        </w:r>
        <w:r>
          <w:fldChar w:fldCharType="begin"/>
        </w:r>
        <w:r>
          <w:instrText xml:space="preserve"> PAGEREF _Toc2392 \h </w:instrText>
        </w:r>
        <w:r>
          <w:fldChar w:fldCharType="separate"/>
        </w:r>
        <w:r>
          <w:t>15</w:t>
        </w:r>
        <w:r>
          <w:fldChar w:fldCharType="end"/>
        </w:r>
      </w:hyperlink>
    </w:p>
    <w:p>
      <w:pPr>
        <w:pStyle w:val="TOC2"/>
        <w:tabs>
          <w:tab w:val="right" w:leader="dot" w:pos="8306"/>
        </w:tabs>
      </w:pPr>
      <w:hyperlink w:anchor="_Toc18092" w:history="1">
        <w:r>
          <w:rPr>
            <w:rFonts w:ascii="仿宋" w:eastAsia="仿宋" w:hAnsi="仿宋" w:cs="仿宋" w:hint="eastAsia"/>
            <w:lang w:eastAsia="zh-CN"/>
          </w:rPr>
          <w:t>(二)、非有毒有害固体废弃物处理设备市场分析预测</w:t>
        </w:r>
        <w:r>
          <w:tab/>
        </w:r>
        <w:r>
          <w:fldChar w:fldCharType="begin"/>
        </w:r>
        <w:r>
          <w:instrText xml:space="preserve"> PAGEREF _Toc18092 \h </w:instrText>
        </w:r>
        <w:r>
          <w:fldChar w:fldCharType="separate"/>
        </w:r>
        <w:r>
          <w:t>16</w:t>
        </w:r>
        <w:r>
          <w:fldChar w:fldCharType="end"/>
        </w:r>
      </w:hyperlink>
    </w:p>
    <w:p>
      <w:pPr>
        <w:pStyle w:val="TOC1"/>
        <w:tabs>
          <w:tab w:val="right" w:leader="dot" w:pos="8306"/>
        </w:tabs>
      </w:pPr>
      <w:hyperlink w:anchor="_Toc30648" w:history="1">
        <w:r>
          <w:rPr>
            <w:rFonts w:ascii="仿宋" w:eastAsia="仿宋" w:hAnsi="仿宋" w:cs="仿宋" w:hint="eastAsia"/>
            <w:lang w:eastAsia="zh-CN"/>
          </w:rPr>
          <w:t>六、非有毒有害固体废弃物处理设备项目建设背景及必要性分析</w:t>
        </w:r>
        <w:r>
          <w:tab/>
        </w:r>
        <w:r>
          <w:fldChar w:fldCharType="begin"/>
        </w:r>
        <w:r>
          <w:instrText xml:space="preserve"> PAGEREF _Toc30648 \h </w:instrText>
        </w:r>
        <w:r>
          <w:fldChar w:fldCharType="separate"/>
        </w:r>
        <w:r>
          <w:t>17</w:t>
        </w:r>
        <w:r>
          <w:fldChar w:fldCharType="end"/>
        </w:r>
      </w:hyperlink>
    </w:p>
    <w:p>
      <w:pPr>
        <w:pStyle w:val="TOC2"/>
        <w:tabs>
          <w:tab w:val="right" w:leader="dot" w:pos="8306"/>
        </w:tabs>
      </w:pPr>
      <w:hyperlink w:anchor="_Toc105" w:history="1">
        <w:r>
          <w:rPr>
            <w:rFonts w:ascii="仿宋" w:eastAsia="仿宋" w:hAnsi="仿宋" w:cs="仿宋" w:hint="eastAsia"/>
            <w:lang w:eastAsia="zh-CN"/>
          </w:rPr>
          <w:t>(一)、非有毒有害固体废弃物处理设备项目背景分析</w:t>
        </w:r>
        <w:r>
          <w:tab/>
        </w:r>
        <w:r>
          <w:fldChar w:fldCharType="begin"/>
        </w:r>
        <w:r>
          <w:instrText xml:space="preserve"> PAGEREF _Toc105 \h </w:instrText>
        </w:r>
        <w:r>
          <w:fldChar w:fldCharType="separate"/>
        </w:r>
        <w:r>
          <w:t>17</w:t>
        </w:r>
        <w:r>
          <w:fldChar w:fldCharType="end"/>
        </w:r>
      </w:hyperlink>
    </w:p>
    <w:p>
      <w:pPr>
        <w:pStyle w:val="TOC2"/>
        <w:tabs>
          <w:tab w:val="right" w:leader="dot" w:pos="8306"/>
        </w:tabs>
      </w:pPr>
      <w:hyperlink w:anchor="_Toc19975" w:history="1">
        <w:r>
          <w:rPr>
            <w:rFonts w:ascii="仿宋" w:eastAsia="仿宋" w:hAnsi="仿宋" w:cs="仿宋" w:hint="eastAsia"/>
            <w:lang w:eastAsia="zh-CN"/>
          </w:rPr>
          <w:t>(二)、非有毒有害固体废弃物处理设备项目建设必要性分析</w:t>
        </w:r>
        <w:r>
          <w:tab/>
        </w:r>
        <w:r>
          <w:fldChar w:fldCharType="begin"/>
        </w:r>
        <w:r>
          <w:instrText xml:space="preserve"> PAGEREF _Toc19975 \h </w:instrText>
        </w:r>
        <w:r>
          <w:fldChar w:fldCharType="separate"/>
        </w:r>
        <w:r>
          <w:t>19</w:t>
        </w:r>
        <w:r>
          <w:fldChar w:fldCharType="end"/>
        </w:r>
      </w:hyperlink>
    </w:p>
    <w:p>
      <w:pPr>
        <w:pStyle w:val="TOC1"/>
        <w:tabs>
          <w:tab w:val="right" w:leader="dot" w:pos="8306"/>
        </w:tabs>
      </w:pPr>
      <w:hyperlink w:anchor="_Toc15500" w:history="1">
        <w:r>
          <w:rPr>
            <w:rFonts w:ascii="仿宋" w:eastAsia="仿宋" w:hAnsi="仿宋" w:cs="仿宋" w:hint="eastAsia"/>
            <w:lang w:eastAsia="zh-CN"/>
          </w:rPr>
          <w:t>七、非有毒有害固体废弃物处理设备项目创新与研发</w:t>
        </w:r>
        <w:r>
          <w:tab/>
        </w:r>
        <w:r>
          <w:fldChar w:fldCharType="begin"/>
        </w:r>
        <w:r>
          <w:instrText xml:space="preserve"> PAGEREF _Toc15500 \h </w:instrText>
        </w:r>
        <w:r>
          <w:fldChar w:fldCharType="separate"/>
        </w:r>
        <w:r>
          <w:t>21</w:t>
        </w:r>
        <w:r>
          <w:fldChar w:fldCharType="end"/>
        </w:r>
      </w:hyperlink>
    </w:p>
    <w:p>
      <w:pPr>
        <w:pStyle w:val="TOC2"/>
        <w:tabs>
          <w:tab w:val="right" w:leader="dot" w:pos="8306"/>
        </w:tabs>
      </w:pPr>
      <w:hyperlink w:anchor="_Toc32661" w:history="1">
        <w:r>
          <w:rPr>
            <w:rFonts w:ascii="仿宋" w:eastAsia="仿宋" w:hAnsi="仿宋" w:cs="仿宋" w:hint="eastAsia"/>
            <w:lang w:eastAsia="zh-CN"/>
          </w:rPr>
          <w:t>(一)、创新策略与方向</w:t>
        </w:r>
        <w:r>
          <w:tab/>
        </w:r>
        <w:r>
          <w:fldChar w:fldCharType="begin"/>
        </w:r>
        <w:r>
          <w:instrText xml:space="preserve"> PAGEREF _Toc32661 \h </w:instrText>
        </w:r>
        <w:r>
          <w:fldChar w:fldCharType="separate"/>
        </w:r>
        <w:r>
          <w:t>21</w:t>
        </w:r>
        <w:r>
          <w:fldChar w:fldCharType="end"/>
        </w:r>
      </w:hyperlink>
    </w:p>
    <w:p>
      <w:pPr>
        <w:pStyle w:val="TOC2"/>
        <w:tabs>
          <w:tab w:val="right" w:leader="dot" w:pos="8306"/>
        </w:tabs>
      </w:pPr>
      <w:hyperlink w:anchor="_Toc3234" w:history="1">
        <w:r>
          <w:rPr>
            <w:rFonts w:ascii="仿宋" w:eastAsia="仿宋" w:hAnsi="仿宋" w:cs="仿宋" w:hint="eastAsia"/>
            <w:lang w:eastAsia="zh-CN"/>
          </w:rPr>
          <w:t>(二)、研发规划与投入</w:t>
        </w:r>
        <w:r>
          <w:tab/>
        </w:r>
        <w:r>
          <w:fldChar w:fldCharType="begin"/>
        </w:r>
        <w:r>
          <w:instrText xml:space="preserve"> PAGEREF _Toc3234 \h </w:instrText>
        </w:r>
        <w:r>
          <w:fldChar w:fldCharType="separate"/>
        </w:r>
        <w:r>
          <w:t>22</w:t>
        </w:r>
        <w:r>
          <w:fldChar w:fldCharType="end"/>
        </w:r>
      </w:hyperlink>
    </w:p>
    <w:p>
      <w:pPr>
        <w:pStyle w:val="TOC1"/>
        <w:tabs>
          <w:tab w:val="right" w:leader="dot" w:pos="8306"/>
        </w:tabs>
      </w:pPr>
      <w:hyperlink w:anchor="_Toc7471" w:history="1">
        <w:r>
          <w:rPr>
            <w:rFonts w:ascii="仿宋" w:eastAsia="仿宋" w:hAnsi="仿宋" w:cs="仿宋" w:hint="eastAsia"/>
            <w:lang w:eastAsia="zh-CN"/>
          </w:rPr>
          <w:t>八、非有毒有害固体废弃物处理设备项目人力资源培养与发展</w:t>
        </w:r>
        <w:r>
          <w:tab/>
        </w:r>
        <w:r>
          <w:fldChar w:fldCharType="begin"/>
        </w:r>
        <w:r>
          <w:instrText xml:space="preserve"> PAGEREF _Toc7471 \h </w:instrText>
        </w:r>
        <w:r>
          <w:fldChar w:fldCharType="separate"/>
        </w:r>
        <w:r>
          <w:t>24</w:t>
        </w:r>
        <w:r>
          <w:fldChar w:fldCharType="end"/>
        </w:r>
      </w:hyperlink>
    </w:p>
    <w:p>
      <w:pPr>
        <w:pStyle w:val="TOC2"/>
        <w:tabs>
          <w:tab w:val="right" w:leader="dot" w:pos="8306"/>
        </w:tabs>
      </w:pPr>
      <w:hyperlink w:anchor="_Toc21978" w:history="1">
        <w:r>
          <w:rPr>
            <w:rFonts w:ascii="仿宋" w:eastAsia="仿宋" w:hAnsi="仿宋" w:cs="仿宋" w:hint="eastAsia"/>
            <w:lang w:eastAsia="zh-CN"/>
          </w:rPr>
          <w:t>(一)、人才需求与规划</w:t>
        </w:r>
        <w:r>
          <w:tab/>
        </w:r>
        <w:r>
          <w:fldChar w:fldCharType="begin"/>
        </w:r>
        <w:r>
          <w:instrText xml:space="preserve"> PAGEREF _Toc21978 \h </w:instrText>
        </w:r>
        <w:r>
          <w:fldChar w:fldCharType="separate"/>
        </w:r>
        <w:r>
          <w:t>24</w:t>
        </w:r>
        <w:r>
          <w:fldChar w:fldCharType="end"/>
        </w:r>
      </w:hyperlink>
    </w:p>
    <w:p>
      <w:pPr>
        <w:pStyle w:val="TOC2"/>
        <w:tabs>
          <w:tab w:val="right" w:leader="dot" w:pos="8306"/>
        </w:tabs>
      </w:pPr>
      <w:hyperlink w:anchor="_Toc30875" w:history="1">
        <w:r>
          <w:rPr>
            <w:rFonts w:ascii="仿宋" w:eastAsia="仿宋" w:hAnsi="仿宋" w:cs="仿宋" w:hint="eastAsia"/>
            <w:lang w:eastAsia="zh-CN"/>
          </w:rPr>
          <w:t>(二)、培训与发展计划</w:t>
        </w:r>
        <w:r>
          <w:tab/>
        </w:r>
        <w:r>
          <w:fldChar w:fldCharType="begin"/>
        </w:r>
        <w:r>
          <w:instrText xml:space="preserve"> PAGEREF _Toc30875 \h </w:instrText>
        </w:r>
        <w:r>
          <w:fldChar w:fldCharType="separate"/>
        </w:r>
        <w:r>
          <w:t>25</w:t>
        </w:r>
        <w:r>
          <w:fldChar w:fldCharType="end"/>
        </w:r>
      </w:hyperlink>
    </w:p>
    <w:p>
      <w:pPr>
        <w:pStyle w:val="TOC1"/>
        <w:tabs>
          <w:tab w:val="right" w:leader="dot" w:pos="8306"/>
        </w:tabs>
      </w:pPr>
      <w:hyperlink w:anchor="_Toc18175" w:history="1">
        <w:r>
          <w:rPr>
            <w:rFonts w:ascii="仿宋" w:eastAsia="仿宋" w:hAnsi="仿宋" w:cs="仿宋" w:hint="eastAsia"/>
            <w:lang w:eastAsia="zh-CN"/>
          </w:rPr>
          <w:t>九、非有毒有害固体废弃物处理设备项目风险管理</w:t>
        </w:r>
        <w:r>
          <w:tab/>
        </w:r>
        <w:r>
          <w:fldChar w:fldCharType="begin"/>
        </w:r>
        <w:r>
          <w:instrText xml:space="preserve"> PAGEREF _Toc18175 \h </w:instrText>
        </w:r>
        <w:r>
          <w:fldChar w:fldCharType="separate"/>
        </w:r>
        <w:r>
          <w:t>25</w:t>
        </w:r>
        <w:r>
          <w:fldChar w:fldCharType="end"/>
        </w:r>
      </w:hyperlink>
    </w:p>
    <w:p>
      <w:pPr>
        <w:pStyle w:val="TOC2"/>
        <w:tabs>
          <w:tab w:val="right" w:leader="dot" w:pos="8306"/>
        </w:tabs>
      </w:pPr>
      <w:hyperlink w:anchor="_Toc8458" w:history="1">
        <w:r>
          <w:rPr>
            <w:rFonts w:ascii="仿宋" w:eastAsia="仿宋" w:hAnsi="仿宋" w:cs="仿宋" w:hint="eastAsia"/>
            <w:lang w:eastAsia="zh-CN"/>
          </w:rPr>
          <w:t>(一)、风险识别与评估</w:t>
        </w:r>
        <w:r>
          <w:tab/>
        </w:r>
        <w:r>
          <w:fldChar w:fldCharType="begin"/>
        </w:r>
        <w:r>
          <w:instrText xml:space="preserve"> PAGEREF _Toc8458 \h </w:instrText>
        </w:r>
        <w:r>
          <w:fldChar w:fldCharType="separate"/>
        </w:r>
        <w:r>
          <w:t>25</w:t>
        </w:r>
        <w:r>
          <w:fldChar w:fldCharType="end"/>
        </w:r>
      </w:hyperlink>
    </w:p>
    <w:p>
      <w:pPr>
        <w:pStyle w:val="TOC2"/>
        <w:tabs>
          <w:tab w:val="right" w:leader="dot" w:pos="8306"/>
        </w:tabs>
      </w:pPr>
      <w:hyperlink w:anchor="_Toc18358" w:history="1">
        <w:r>
          <w:rPr>
            <w:rFonts w:ascii="仿宋" w:eastAsia="仿宋" w:hAnsi="仿宋" w:cs="仿宋" w:hint="eastAsia"/>
            <w:lang w:eastAsia="zh-CN"/>
          </w:rPr>
          <w:t>(二)、风险应对策略</w:t>
        </w:r>
        <w:r>
          <w:tab/>
        </w:r>
        <w:r>
          <w:fldChar w:fldCharType="begin"/>
        </w:r>
        <w:r>
          <w:instrText xml:space="preserve"> PAGEREF _Toc18358 \h </w:instrText>
        </w:r>
        <w:r>
          <w:fldChar w:fldCharType="separate"/>
        </w:r>
        <w:r>
          <w:t>26</w:t>
        </w:r>
        <w:r>
          <w:fldChar w:fldCharType="end"/>
        </w:r>
      </w:hyperlink>
    </w:p>
    <w:p>
      <w:pPr>
        <w:pStyle w:val="TOC2"/>
        <w:tabs>
          <w:tab w:val="right" w:leader="dot" w:pos="8306"/>
        </w:tabs>
      </w:pPr>
      <w:hyperlink w:anchor="_Toc26620" w:history="1">
        <w:r>
          <w:rPr>
            <w:rFonts w:ascii="仿宋" w:eastAsia="仿宋" w:hAnsi="仿宋" w:cs="仿宋" w:hint="eastAsia"/>
            <w:lang w:eastAsia="zh-CN"/>
          </w:rPr>
          <w:t>(三)、风险监控与控制</w:t>
        </w:r>
        <w:r>
          <w:tab/>
        </w:r>
        <w:r>
          <w:fldChar w:fldCharType="begin"/>
        </w:r>
        <w:r>
          <w:instrText xml:space="preserve"> PAGEREF _Toc26620 \h </w:instrText>
        </w:r>
        <w:r>
          <w:fldChar w:fldCharType="separate"/>
        </w:r>
        <w:r>
          <w:t>28</w:t>
        </w:r>
        <w:r>
          <w:fldChar w:fldCharType="end"/>
        </w:r>
      </w:hyperlink>
    </w:p>
    <w:p>
      <w:pPr>
        <w:pStyle w:val="TOC1"/>
        <w:tabs>
          <w:tab w:val="right" w:leader="dot" w:pos="8306"/>
        </w:tabs>
      </w:pPr>
      <w:hyperlink w:anchor="_Toc29245" w:history="1">
        <w:r>
          <w:rPr>
            <w:rFonts w:ascii="仿宋" w:eastAsia="仿宋" w:hAnsi="仿宋" w:cs="仿宋" w:hint="eastAsia"/>
            <w:lang w:eastAsia="zh-CN"/>
          </w:rPr>
          <w:t>十、非有毒有害固体废弃物处理设备项目财务管理</w:t>
        </w:r>
        <w:r>
          <w:tab/>
        </w:r>
        <w:r>
          <w:fldChar w:fldCharType="begin"/>
        </w:r>
        <w:r>
          <w:instrText xml:space="preserve"> PAGEREF _Toc29245 \h </w:instrText>
        </w:r>
        <w:r>
          <w:fldChar w:fldCharType="separate"/>
        </w:r>
        <w:r>
          <w:t>29</w:t>
        </w:r>
        <w:r>
          <w:fldChar w:fldCharType="end"/>
        </w:r>
      </w:hyperlink>
    </w:p>
    <w:p>
      <w:pPr>
        <w:pStyle w:val="TOC2"/>
        <w:tabs>
          <w:tab w:val="right" w:leader="dot" w:pos="8306"/>
        </w:tabs>
      </w:pPr>
      <w:hyperlink w:anchor="_Toc23148" w:history="1">
        <w:r>
          <w:rPr>
            <w:rFonts w:ascii="仿宋" w:eastAsia="仿宋" w:hAnsi="仿宋" w:cs="仿宋" w:hint="eastAsia"/>
            <w:lang w:eastAsia="zh-CN"/>
          </w:rPr>
          <w:t>(一)、资金需求大</w:t>
        </w:r>
        <w:r>
          <w:tab/>
        </w:r>
        <w:r>
          <w:fldChar w:fldCharType="begin"/>
        </w:r>
        <w:r>
          <w:instrText xml:space="preserve"> PAGEREF _Toc23148 \h </w:instrText>
        </w:r>
        <w:r>
          <w:fldChar w:fldCharType="separate"/>
        </w:r>
        <w:r>
          <w:t>29</w:t>
        </w:r>
        <w:r>
          <w:fldChar w:fldCharType="end"/>
        </w:r>
      </w:hyperlink>
    </w:p>
    <w:p>
      <w:pPr>
        <w:pStyle w:val="TOC2"/>
        <w:tabs>
          <w:tab w:val="right" w:leader="dot" w:pos="8306"/>
        </w:tabs>
      </w:pPr>
      <w:hyperlink w:anchor="_Toc29815" w:history="1">
        <w:r>
          <w:rPr>
            <w:rFonts w:ascii="仿宋" w:eastAsia="仿宋" w:hAnsi="仿宋" w:cs="仿宋" w:hint="eastAsia"/>
            <w:lang w:eastAsia="zh-CN"/>
          </w:rPr>
          <w:t>(二)、研发周期长</w:t>
        </w:r>
        <w:r>
          <w:tab/>
        </w:r>
        <w:r>
          <w:fldChar w:fldCharType="begin"/>
        </w:r>
        <w:r>
          <w:instrText xml:space="preserve"> PAGEREF _Toc29815 \h </w:instrText>
        </w:r>
        <w:r>
          <w:fldChar w:fldCharType="separate"/>
        </w:r>
        <w:r>
          <w:t>31</w:t>
        </w:r>
        <w:r>
          <w:fldChar w:fldCharType="end"/>
        </w:r>
      </w:hyperlink>
    </w:p>
    <w:p>
      <w:pPr>
        <w:pStyle w:val="TOC2"/>
        <w:tabs>
          <w:tab w:val="right" w:leader="dot" w:pos="8306"/>
        </w:tabs>
      </w:pPr>
      <w:hyperlink w:anchor="_Toc14401" w:history="1">
        <w:r>
          <w:rPr>
            <w:rFonts w:ascii="仿宋" w:eastAsia="仿宋" w:hAnsi="仿宋" w:cs="仿宋" w:hint="eastAsia"/>
            <w:lang w:eastAsia="zh-CN"/>
          </w:rPr>
          <w:t>(三)、市场风险大</w:t>
        </w:r>
        <w:r>
          <w:tab/>
        </w:r>
        <w:r>
          <w:fldChar w:fldCharType="begin"/>
        </w:r>
        <w:r>
          <w:instrText xml:space="preserve"> PAGEREF _Toc14401 \h </w:instrText>
        </w:r>
        <w:r>
          <w:fldChar w:fldCharType="separate"/>
        </w:r>
        <w:r>
          <w:t>32</w:t>
        </w:r>
        <w:r>
          <w:fldChar w:fldCharType="end"/>
        </w:r>
      </w:hyperlink>
    </w:p>
    <w:p>
      <w:pPr>
        <w:pStyle w:val="TOC2"/>
        <w:tabs>
          <w:tab w:val="right" w:leader="dot" w:pos="8306"/>
        </w:tabs>
      </w:pPr>
      <w:hyperlink w:anchor="_Toc23054" w:history="1">
        <w:r>
          <w:rPr>
            <w:rFonts w:ascii="仿宋" w:eastAsia="仿宋" w:hAnsi="仿宋" w:cs="仿宋" w:hint="eastAsia"/>
            <w:lang w:eastAsia="zh-CN"/>
          </w:rPr>
          <w:t>(四)、利润率高</w:t>
        </w:r>
        <w:r>
          <w:tab/>
        </w:r>
        <w:r>
          <w:fldChar w:fldCharType="begin"/>
        </w:r>
        <w:r>
          <w:instrText xml:space="preserve"> PAGEREF _Toc23054 \h </w:instrText>
        </w:r>
        <w:r>
          <w:fldChar w:fldCharType="separate"/>
        </w:r>
        <w:r>
          <w:t>35</w:t>
        </w:r>
        <w:r>
          <w:fldChar w:fldCharType="end"/>
        </w:r>
      </w:hyperlink>
    </w:p>
    <w:p>
      <w:pPr>
        <w:pStyle w:val="TOC1"/>
        <w:tabs>
          <w:tab w:val="right" w:leader="dot" w:pos="8306"/>
        </w:tabs>
      </w:pPr>
      <w:hyperlink w:anchor="_Toc1108" w:history="1">
        <w:r>
          <w:rPr>
            <w:rFonts w:ascii="仿宋" w:eastAsia="仿宋" w:hAnsi="仿宋" w:cs="仿宋" w:hint="eastAsia"/>
            <w:lang w:eastAsia="zh-CN"/>
          </w:rPr>
          <w:t>十一、非有毒有害固体废弃物处理设备项目人力资源管理</w:t>
        </w:r>
        <w:r>
          <w:tab/>
        </w:r>
        <w:r>
          <w:fldChar w:fldCharType="begin"/>
        </w:r>
        <w:r>
          <w:instrText xml:space="preserve"> PAGEREF _Toc1108 \h </w:instrText>
        </w:r>
        <w:r>
          <w:fldChar w:fldCharType="separate"/>
        </w:r>
        <w:r>
          <w:t>37</w:t>
        </w:r>
        <w:r>
          <w:fldChar w:fldCharType="end"/>
        </w:r>
      </w:hyperlink>
    </w:p>
    <w:p>
      <w:pPr>
        <w:pStyle w:val="TOC2"/>
        <w:tabs>
          <w:tab w:val="right" w:leader="dot" w:pos="8306"/>
        </w:tabs>
      </w:pPr>
      <w:hyperlink w:anchor="_Toc4336" w:history="1">
        <w:r>
          <w:rPr>
            <w:rFonts w:ascii="仿宋" w:eastAsia="仿宋" w:hAnsi="仿宋" w:cs="仿宋" w:hint="eastAsia"/>
            <w:lang w:eastAsia="zh-CN"/>
          </w:rPr>
          <w:t>(一)、建立健全的预算管理制度</w:t>
        </w:r>
        <w:r>
          <w:tab/>
        </w:r>
        <w:r>
          <w:fldChar w:fldCharType="begin"/>
        </w:r>
        <w:r>
          <w:instrText xml:space="preserve"> PAGEREF _Toc4336 \h </w:instrText>
        </w:r>
        <w:r>
          <w:fldChar w:fldCharType="separate"/>
        </w:r>
        <w:r>
          <w:t>37</w:t>
        </w:r>
        <w:r>
          <w:fldChar w:fldCharType="end"/>
        </w:r>
      </w:hyperlink>
    </w:p>
    <w:p>
      <w:pPr>
        <w:pStyle w:val="TOC2"/>
        <w:tabs>
          <w:tab w:val="right" w:leader="dot" w:pos="8306"/>
        </w:tabs>
      </w:pPr>
      <w:hyperlink w:anchor="_Toc22917" w:history="1">
        <w:r>
          <w:rPr>
            <w:rFonts w:ascii="仿宋" w:eastAsia="仿宋" w:hAnsi="仿宋" w:cs="仿宋" w:hint="eastAsia"/>
            <w:lang w:eastAsia="zh-CN"/>
          </w:rPr>
          <w:t>(二)、加强资金流动监控</w:t>
        </w:r>
        <w:r>
          <w:tab/>
        </w:r>
        <w:r>
          <w:fldChar w:fldCharType="begin"/>
        </w:r>
        <w:r>
          <w:instrText xml:space="preserve"> PAGEREF _Toc22917 \h </w:instrText>
        </w:r>
        <w:r>
          <w:fldChar w:fldCharType="separate"/>
        </w:r>
        <w:r>
          <w:t>39</w:t>
        </w:r>
        <w:r>
          <w:fldChar w:fldCharType="end"/>
        </w:r>
      </w:hyperlink>
    </w:p>
    <w:p>
      <w:pPr>
        <w:pStyle w:val="TOC2"/>
        <w:tabs>
          <w:tab w:val="right" w:leader="dot" w:pos="8306"/>
        </w:tabs>
      </w:pPr>
      <w:hyperlink w:anchor="_Toc17015" w:history="1">
        <w:r>
          <w:rPr>
            <w:rFonts w:ascii="仿宋" w:eastAsia="仿宋" w:hAnsi="仿宋" w:cs="仿宋" w:hint="eastAsia"/>
            <w:lang w:eastAsia="zh-CN"/>
          </w:rPr>
          <w:t>(三)、制定完善的风险控制机制</w:t>
        </w:r>
        <w:r>
          <w:tab/>
        </w:r>
        <w:r>
          <w:fldChar w:fldCharType="begin"/>
        </w:r>
        <w:r>
          <w:instrText xml:space="preserve"> PAGEREF _Toc17015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52" w:history="1">
        <w:r>
          <w:rPr>
            <w:rFonts w:ascii="仿宋" w:eastAsia="仿宋" w:hAnsi="仿宋" w:cs="仿宋" w:hint="eastAsia"/>
            <w:lang w:eastAsia="zh-CN"/>
          </w:rPr>
          <w:t>(四)、优化成本管理</w:t>
        </w:r>
        <w:r>
          <w:tab/>
        </w:r>
        <w:r>
          <w:fldChar w:fldCharType="begin"/>
        </w:r>
        <w:r>
          <w:instrText xml:space="preserve"> PAGEREF _Toc21952 \h </w:instrText>
        </w:r>
        <w:r>
          <w:fldChar w:fldCharType="separate"/>
        </w:r>
        <w:r>
          <w:t>42</w:t>
        </w:r>
        <w:r>
          <w:fldChar w:fldCharType="end"/>
        </w:r>
      </w:hyperlink>
    </w:p>
    <w:p>
      <w:pPr>
        <w:pStyle w:val="TOC1"/>
        <w:tabs>
          <w:tab w:val="right" w:leader="dot" w:pos="8306"/>
        </w:tabs>
      </w:pPr>
      <w:hyperlink w:anchor="_Toc12019" w:history="1">
        <w:r>
          <w:rPr>
            <w:rFonts w:ascii="仿宋" w:eastAsia="仿宋" w:hAnsi="仿宋" w:cs="仿宋" w:hint="eastAsia"/>
            <w:lang w:eastAsia="zh-CN"/>
          </w:rPr>
          <w:t>十二、非有毒有害固体废弃物处理设备项目计划安排</w:t>
        </w:r>
        <w:r>
          <w:tab/>
        </w:r>
        <w:r>
          <w:fldChar w:fldCharType="begin"/>
        </w:r>
        <w:r>
          <w:instrText xml:space="preserve"> PAGEREF _Toc12019 \h </w:instrText>
        </w:r>
        <w:r>
          <w:fldChar w:fldCharType="separate"/>
        </w:r>
        <w:r>
          <w:t>44</w:t>
        </w:r>
        <w:r>
          <w:fldChar w:fldCharType="end"/>
        </w:r>
      </w:hyperlink>
    </w:p>
    <w:p>
      <w:pPr>
        <w:pStyle w:val="TOC2"/>
        <w:tabs>
          <w:tab w:val="right" w:leader="dot" w:pos="8306"/>
        </w:tabs>
      </w:pPr>
      <w:hyperlink w:anchor="_Toc12769" w:history="1">
        <w:r>
          <w:rPr>
            <w:rFonts w:ascii="仿宋" w:eastAsia="仿宋" w:hAnsi="仿宋" w:cs="仿宋" w:hint="eastAsia"/>
            <w:lang w:eastAsia="zh-CN"/>
          </w:rPr>
          <w:t>(一)、建设周期</w:t>
        </w:r>
        <w:r>
          <w:tab/>
        </w:r>
        <w:r>
          <w:fldChar w:fldCharType="begin"/>
        </w:r>
        <w:r>
          <w:instrText xml:space="preserve"> PAGEREF _Toc12769 \h </w:instrText>
        </w:r>
        <w:r>
          <w:fldChar w:fldCharType="separate"/>
        </w:r>
        <w:r>
          <w:t>44</w:t>
        </w:r>
        <w:r>
          <w:fldChar w:fldCharType="end"/>
        </w:r>
      </w:hyperlink>
    </w:p>
    <w:p>
      <w:pPr>
        <w:pStyle w:val="TOC2"/>
        <w:tabs>
          <w:tab w:val="right" w:leader="dot" w:pos="8306"/>
        </w:tabs>
      </w:pPr>
      <w:hyperlink w:anchor="_Toc26231" w:history="1">
        <w:r>
          <w:rPr>
            <w:rFonts w:ascii="仿宋" w:eastAsia="仿宋" w:hAnsi="仿宋" w:cs="仿宋" w:hint="eastAsia"/>
            <w:lang w:eastAsia="zh-CN"/>
          </w:rPr>
          <w:t>(二)、建设进度</w:t>
        </w:r>
        <w:r>
          <w:tab/>
        </w:r>
        <w:r>
          <w:fldChar w:fldCharType="begin"/>
        </w:r>
        <w:r>
          <w:instrText xml:space="preserve"> PAGEREF _Toc26231 \h </w:instrText>
        </w:r>
        <w:r>
          <w:fldChar w:fldCharType="separate"/>
        </w:r>
        <w:r>
          <w:t>45</w:t>
        </w:r>
        <w:r>
          <w:fldChar w:fldCharType="end"/>
        </w:r>
      </w:hyperlink>
    </w:p>
    <w:p>
      <w:pPr>
        <w:pStyle w:val="TOC2"/>
        <w:tabs>
          <w:tab w:val="right" w:leader="dot" w:pos="8306"/>
        </w:tabs>
      </w:pPr>
      <w:hyperlink w:anchor="_Toc5574" w:history="1">
        <w:r>
          <w:rPr>
            <w:rFonts w:ascii="仿宋" w:eastAsia="仿宋" w:hAnsi="仿宋" w:cs="仿宋" w:hint="eastAsia"/>
            <w:lang w:eastAsia="zh-CN"/>
          </w:rPr>
          <w:t>(三)、进度安排注意事项</w:t>
        </w:r>
        <w:r>
          <w:tab/>
        </w:r>
        <w:r>
          <w:fldChar w:fldCharType="begin"/>
        </w:r>
        <w:r>
          <w:instrText xml:space="preserve"> PAGEREF _Toc5574 \h </w:instrText>
        </w:r>
        <w:r>
          <w:fldChar w:fldCharType="separate"/>
        </w:r>
        <w:r>
          <w:t>46</w:t>
        </w:r>
        <w:r>
          <w:fldChar w:fldCharType="end"/>
        </w:r>
      </w:hyperlink>
    </w:p>
    <w:p>
      <w:pPr>
        <w:pStyle w:val="TOC2"/>
        <w:tabs>
          <w:tab w:val="right" w:leader="dot" w:pos="8306"/>
        </w:tabs>
      </w:pPr>
      <w:hyperlink w:anchor="_Toc20756" w:history="1">
        <w:r>
          <w:rPr>
            <w:rFonts w:ascii="仿宋" w:eastAsia="仿宋" w:hAnsi="仿宋" w:cs="仿宋" w:hint="eastAsia"/>
            <w:lang w:eastAsia="zh-CN"/>
          </w:rPr>
          <w:t>(四)、人力资源配置</w:t>
        </w:r>
        <w:r>
          <w:tab/>
        </w:r>
        <w:r>
          <w:fldChar w:fldCharType="begin"/>
        </w:r>
        <w:r>
          <w:instrText xml:space="preserve"> PAGEREF _Toc20756 \h </w:instrText>
        </w:r>
        <w:r>
          <w:fldChar w:fldCharType="separate"/>
        </w:r>
        <w:r>
          <w:t>48</w:t>
        </w:r>
        <w:r>
          <w:fldChar w:fldCharType="end"/>
        </w:r>
      </w:hyperlink>
    </w:p>
    <w:p>
      <w:pPr>
        <w:pStyle w:val="TOC1"/>
        <w:tabs>
          <w:tab w:val="right" w:leader="dot" w:pos="8306"/>
        </w:tabs>
      </w:pPr>
      <w:hyperlink w:anchor="_Toc29223" w:history="1">
        <w:r>
          <w:rPr>
            <w:rFonts w:ascii="仿宋" w:eastAsia="仿宋" w:hAnsi="仿宋" w:cs="仿宋" w:hint="eastAsia"/>
            <w:lang w:eastAsia="zh-CN"/>
          </w:rPr>
          <w:t>十三、供应链管理</w:t>
        </w:r>
        <w:r>
          <w:tab/>
        </w:r>
        <w:r>
          <w:fldChar w:fldCharType="begin"/>
        </w:r>
        <w:r>
          <w:instrText xml:space="preserve"> PAGEREF _Toc29223 \h </w:instrText>
        </w:r>
        <w:r>
          <w:fldChar w:fldCharType="separate"/>
        </w:r>
        <w:r>
          <w:t>48</w:t>
        </w:r>
        <w:r>
          <w:fldChar w:fldCharType="end"/>
        </w:r>
      </w:hyperlink>
    </w:p>
    <w:p>
      <w:pPr>
        <w:pStyle w:val="TOC2"/>
        <w:tabs>
          <w:tab w:val="right" w:leader="dot" w:pos="8306"/>
        </w:tabs>
      </w:pPr>
      <w:hyperlink w:anchor="_Toc18921" w:history="1">
        <w:r>
          <w:rPr>
            <w:rFonts w:ascii="仿宋" w:eastAsia="仿宋" w:hAnsi="仿宋" w:cs="仿宋" w:hint="eastAsia"/>
            <w:lang w:eastAsia="zh-CN"/>
          </w:rPr>
          <w:t>(一)、供应链战略规划</w:t>
        </w:r>
        <w:r>
          <w:tab/>
        </w:r>
        <w:r>
          <w:fldChar w:fldCharType="begin"/>
        </w:r>
        <w:r>
          <w:instrText xml:space="preserve"> PAGEREF _Toc18921 \h </w:instrText>
        </w:r>
        <w:r>
          <w:fldChar w:fldCharType="separate"/>
        </w:r>
        <w:r>
          <w:t>48</w:t>
        </w:r>
        <w:r>
          <w:fldChar w:fldCharType="end"/>
        </w:r>
      </w:hyperlink>
    </w:p>
    <w:p>
      <w:pPr>
        <w:pStyle w:val="TOC2"/>
        <w:tabs>
          <w:tab w:val="right" w:leader="dot" w:pos="8306"/>
        </w:tabs>
      </w:pPr>
      <w:hyperlink w:anchor="_Toc13793" w:history="1">
        <w:r>
          <w:rPr>
            <w:rFonts w:ascii="仿宋" w:eastAsia="仿宋" w:hAnsi="仿宋" w:cs="仿宋" w:hint="eastAsia"/>
            <w:lang w:eastAsia="zh-CN"/>
          </w:rPr>
          <w:t>(二)、供应商选择与合作</w:t>
        </w:r>
        <w:r>
          <w:tab/>
        </w:r>
        <w:r>
          <w:fldChar w:fldCharType="begin"/>
        </w:r>
        <w:r>
          <w:instrText xml:space="preserve"> PAGEREF _Toc13793 \h </w:instrText>
        </w:r>
        <w:r>
          <w:fldChar w:fldCharType="separate"/>
        </w:r>
        <w:r>
          <w:t>50</w:t>
        </w:r>
        <w:r>
          <w:fldChar w:fldCharType="end"/>
        </w:r>
      </w:hyperlink>
    </w:p>
    <w:p>
      <w:pPr>
        <w:pStyle w:val="TOC2"/>
        <w:tabs>
          <w:tab w:val="right" w:leader="dot" w:pos="8306"/>
        </w:tabs>
      </w:pPr>
      <w:hyperlink w:anchor="_Toc27567" w:history="1">
        <w:r>
          <w:rPr>
            <w:rFonts w:ascii="仿宋" w:eastAsia="仿宋" w:hAnsi="仿宋" w:cs="仿宋" w:hint="eastAsia"/>
            <w:lang w:eastAsia="zh-CN"/>
          </w:rPr>
          <w:t>(三)、物流与库存管理</w:t>
        </w:r>
        <w:r>
          <w:tab/>
        </w:r>
        <w:r>
          <w:fldChar w:fldCharType="begin"/>
        </w:r>
        <w:r>
          <w:instrText xml:space="preserve"> PAGEREF _Toc27567 \h </w:instrText>
        </w:r>
        <w:r>
          <w:fldChar w:fldCharType="separate"/>
        </w:r>
        <w:r>
          <w:t>51</w:t>
        </w:r>
        <w:r>
          <w:fldChar w:fldCharType="end"/>
        </w:r>
      </w:hyperlink>
    </w:p>
    <w:p>
      <w:pPr>
        <w:pStyle w:val="TOC1"/>
        <w:tabs>
          <w:tab w:val="right" w:leader="dot" w:pos="8306"/>
        </w:tabs>
      </w:pPr>
      <w:hyperlink w:anchor="_Toc8915" w:history="1">
        <w:r>
          <w:rPr>
            <w:rFonts w:ascii="仿宋" w:eastAsia="仿宋" w:hAnsi="仿宋" w:cs="仿宋" w:hint="eastAsia"/>
            <w:lang w:eastAsia="zh-CN"/>
          </w:rPr>
          <w:t>十四、风险识别与分类</w:t>
        </w:r>
        <w:r>
          <w:tab/>
        </w:r>
        <w:r>
          <w:fldChar w:fldCharType="begin"/>
        </w:r>
        <w:r>
          <w:instrText xml:space="preserve"> PAGEREF _Toc8915 \h </w:instrText>
        </w:r>
        <w:r>
          <w:fldChar w:fldCharType="separate"/>
        </w:r>
        <w:r>
          <w:t>53</w:t>
        </w:r>
        <w:r>
          <w:fldChar w:fldCharType="end"/>
        </w:r>
      </w:hyperlink>
    </w:p>
    <w:p>
      <w:pPr>
        <w:pStyle w:val="TOC2"/>
        <w:tabs>
          <w:tab w:val="right" w:leader="dot" w:pos="8306"/>
        </w:tabs>
      </w:pPr>
      <w:hyperlink w:anchor="_Toc25259" w:history="1">
        <w:r>
          <w:rPr>
            <w:rFonts w:ascii="仿宋" w:eastAsia="仿宋" w:hAnsi="仿宋" w:cs="仿宋" w:hint="eastAsia"/>
            <w:lang w:eastAsia="zh-CN"/>
          </w:rPr>
          <w:t>(一)、风险识别</w:t>
        </w:r>
        <w:r>
          <w:tab/>
        </w:r>
        <w:r>
          <w:fldChar w:fldCharType="begin"/>
        </w:r>
        <w:r>
          <w:instrText xml:space="preserve"> PAGEREF _Toc25259 \h </w:instrText>
        </w:r>
        <w:r>
          <w:fldChar w:fldCharType="separate"/>
        </w:r>
        <w:r>
          <w:t>53</w:t>
        </w:r>
        <w:r>
          <w:fldChar w:fldCharType="end"/>
        </w:r>
      </w:hyperlink>
    </w:p>
    <w:p>
      <w:pPr>
        <w:pStyle w:val="TOC2"/>
        <w:tabs>
          <w:tab w:val="right" w:leader="dot" w:pos="8306"/>
        </w:tabs>
      </w:pPr>
      <w:hyperlink w:anchor="_Toc26249" w:history="1">
        <w:r>
          <w:rPr>
            <w:rFonts w:ascii="仿宋" w:eastAsia="仿宋" w:hAnsi="仿宋" w:cs="仿宋" w:hint="eastAsia"/>
            <w:lang w:eastAsia="zh-CN"/>
          </w:rPr>
          <w:t>(二)、风险分类</w:t>
        </w:r>
        <w:r>
          <w:tab/>
        </w:r>
        <w:r>
          <w:fldChar w:fldCharType="begin"/>
        </w:r>
        <w:r>
          <w:instrText xml:space="preserve"> PAGEREF _Toc26249 \h </w:instrText>
        </w:r>
        <w:r>
          <w:fldChar w:fldCharType="separate"/>
        </w:r>
        <w:r>
          <w:t>54</w:t>
        </w:r>
        <w:r>
          <w:fldChar w:fldCharType="end"/>
        </w:r>
      </w:hyperlink>
    </w:p>
    <w:p>
      <w:pPr>
        <w:pStyle w:val="TOC1"/>
        <w:tabs>
          <w:tab w:val="right" w:leader="dot" w:pos="8306"/>
        </w:tabs>
      </w:pPr>
      <w:hyperlink w:anchor="_Toc30509" w:history="1">
        <w:r>
          <w:rPr>
            <w:rFonts w:ascii="仿宋" w:eastAsia="仿宋" w:hAnsi="仿宋" w:cs="仿宋" w:hint="eastAsia"/>
            <w:lang w:eastAsia="zh-CN"/>
          </w:rPr>
          <w:t>十五、非有毒有害固体废弃物处理设备项目变更管理</w:t>
        </w:r>
        <w:r>
          <w:tab/>
        </w:r>
        <w:r>
          <w:fldChar w:fldCharType="begin"/>
        </w:r>
        <w:r>
          <w:instrText xml:space="preserve"> PAGEREF _Toc30509 \h </w:instrText>
        </w:r>
        <w:r>
          <w:fldChar w:fldCharType="separate"/>
        </w:r>
        <w:r>
          <w:t>56</w:t>
        </w:r>
        <w:r>
          <w:fldChar w:fldCharType="end"/>
        </w:r>
      </w:hyperlink>
    </w:p>
    <w:p>
      <w:pPr>
        <w:pStyle w:val="TOC2"/>
        <w:tabs>
          <w:tab w:val="right" w:leader="dot" w:pos="8306"/>
        </w:tabs>
      </w:pPr>
      <w:hyperlink w:anchor="_Toc32062" w:history="1">
        <w:r>
          <w:rPr>
            <w:rFonts w:ascii="仿宋" w:eastAsia="仿宋" w:hAnsi="仿宋" w:cs="仿宋" w:hint="eastAsia"/>
            <w:lang w:eastAsia="zh-CN"/>
          </w:rPr>
          <w:t>(一)、变更申请与评估</w:t>
        </w:r>
        <w:r>
          <w:tab/>
        </w:r>
        <w:r>
          <w:fldChar w:fldCharType="begin"/>
        </w:r>
        <w:r>
          <w:instrText xml:space="preserve"> PAGEREF _Toc32062 \h </w:instrText>
        </w:r>
        <w:r>
          <w:fldChar w:fldCharType="separate"/>
        </w:r>
        <w:r>
          <w:t>56</w:t>
        </w:r>
        <w:r>
          <w:fldChar w:fldCharType="end"/>
        </w:r>
      </w:hyperlink>
    </w:p>
    <w:p>
      <w:pPr>
        <w:pStyle w:val="TOC2"/>
        <w:tabs>
          <w:tab w:val="right" w:leader="dot" w:pos="8306"/>
        </w:tabs>
      </w:pPr>
      <w:hyperlink w:anchor="_Toc23808" w:history="1">
        <w:r>
          <w:rPr>
            <w:rFonts w:ascii="仿宋" w:eastAsia="仿宋" w:hAnsi="仿宋" w:cs="仿宋" w:hint="eastAsia"/>
            <w:lang w:eastAsia="zh-CN"/>
          </w:rPr>
          <w:t>(二)、变更实施与控制</w:t>
        </w:r>
        <w:r>
          <w:tab/>
        </w:r>
        <w:r>
          <w:fldChar w:fldCharType="begin"/>
        </w:r>
        <w:r>
          <w:instrText xml:space="preserve"> PAGEREF _Toc23808 \h </w:instrText>
        </w:r>
        <w:r>
          <w:fldChar w:fldCharType="separate"/>
        </w:r>
        <w:r>
          <w:t>57</w:t>
        </w:r>
        <w:r>
          <w:fldChar w:fldCharType="end"/>
        </w:r>
      </w:hyperlink>
    </w:p>
    <w:p>
      <w:pPr>
        <w:pStyle w:val="TOC1"/>
        <w:tabs>
          <w:tab w:val="right" w:leader="dot" w:pos="8306"/>
        </w:tabs>
      </w:pPr>
      <w:hyperlink w:anchor="_Toc23046" w:history="1">
        <w:r>
          <w:rPr>
            <w:rFonts w:ascii="仿宋" w:eastAsia="仿宋" w:hAnsi="仿宋" w:cs="仿宋" w:hint="eastAsia"/>
            <w:lang w:eastAsia="zh-CN"/>
          </w:rPr>
          <w:t>十六、非有毒有害固体废弃物处理设备项目实施保障措施</w:t>
        </w:r>
        <w:r>
          <w:tab/>
        </w:r>
        <w:r>
          <w:fldChar w:fldCharType="begin"/>
        </w:r>
        <w:r>
          <w:instrText xml:space="preserve"> PAGEREF _Toc23046 \h </w:instrText>
        </w:r>
        <w:r>
          <w:fldChar w:fldCharType="separate"/>
        </w:r>
        <w:r>
          <w:t>58</w:t>
        </w:r>
        <w:r>
          <w:fldChar w:fldCharType="end"/>
        </w:r>
      </w:hyperlink>
    </w:p>
    <w:p>
      <w:pPr>
        <w:pStyle w:val="TOC2"/>
        <w:tabs>
          <w:tab w:val="right" w:leader="dot" w:pos="8306"/>
        </w:tabs>
      </w:pPr>
      <w:hyperlink w:anchor="_Toc30594" w:history="1">
        <w:r>
          <w:rPr>
            <w:rFonts w:ascii="仿宋" w:eastAsia="仿宋" w:hAnsi="仿宋" w:cs="仿宋" w:hint="eastAsia"/>
            <w:lang w:eastAsia="zh-CN"/>
          </w:rPr>
          <w:t>(一)、非有毒有害固体废弃物处理设备项目实施保障机制</w:t>
        </w:r>
        <w:r>
          <w:tab/>
        </w:r>
        <w:r>
          <w:fldChar w:fldCharType="begin"/>
        </w:r>
        <w:r>
          <w:instrText xml:space="preserve"> PAGEREF _Toc30594 \h </w:instrText>
        </w:r>
        <w:r>
          <w:fldChar w:fldCharType="separate"/>
        </w:r>
        <w:r>
          <w:t>58</w:t>
        </w:r>
        <w:r>
          <w:fldChar w:fldCharType="end"/>
        </w:r>
      </w:hyperlink>
    </w:p>
    <w:p>
      <w:pPr>
        <w:pStyle w:val="TOC2"/>
        <w:tabs>
          <w:tab w:val="right" w:leader="dot" w:pos="8306"/>
        </w:tabs>
      </w:pPr>
      <w:hyperlink w:anchor="_Toc25877" w:history="1">
        <w:r>
          <w:rPr>
            <w:rFonts w:ascii="仿宋" w:eastAsia="仿宋" w:hAnsi="仿宋" w:cs="仿宋" w:hint="eastAsia"/>
            <w:lang w:eastAsia="zh-CN"/>
          </w:rPr>
          <w:t>(二)、非有毒有害固体废弃物处理设备项目法律合规要求</w:t>
        </w:r>
        <w:r>
          <w:tab/>
        </w:r>
        <w:r>
          <w:fldChar w:fldCharType="begin"/>
        </w:r>
        <w:r>
          <w:instrText xml:space="preserve"> PAGEREF _Toc25877 \h </w:instrText>
        </w:r>
        <w:r>
          <w:fldChar w:fldCharType="separate"/>
        </w:r>
        <w:r>
          <w:t>62</w:t>
        </w:r>
        <w:r>
          <w:fldChar w:fldCharType="end"/>
        </w:r>
      </w:hyperlink>
    </w:p>
    <w:p>
      <w:pPr>
        <w:pStyle w:val="TOC2"/>
        <w:tabs>
          <w:tab w:val="right" w:leader="dot" w:pos="8306"/>
        </w:tabs>
      </w:pPr>
      <w:hyperlink w:anchor="_Toc32563" w:history="1">
        <w:r>
          <w:rPr>
            <w:rFonts w:ascii="仿宋" w:eastAsia="仿宋" w:hAnsi="仿宋" w:cs="仿宋" w:hint="eastAsia"/>
            <w:lang w:eastAsia="zh-CN"/>
          </w:rPr>
          <w:t>(三)、非有毒有害固体废弃物处理设备项目合同管理与法律事务</w:t>
        </w:r>
        <w:r>
          <w:tab/>
        </w:r>
        <w:r>
          <w:fldChar w:fldCharType="begin"/>
        </w:r>
        <w:r>
          <w:instrText xml:space="preserve"> PAGEREF _Toc32563 \h </w:instrText>
        </w:r>
        <w:r>
          <w:fldChar w:fldCharType="separate"/>
        </w:r>
        <w:r>
          <w:t>67</w:t>
        </w:r>
        <w:r>
          <w:fldChar w:fldCharType="end"/>
        </w:r>
      </w:hyperlink>
    </w:p>
    <w:p>
      <w:pPr>
        <w:pStyle w:val="TOC2"/>
        <w:tabs>
          <w:tab w:val="right" w:leader="dot" w:pos="8306"/>
        </w:tabs>
      </w:pPr>
      <w:hyperlink w:anchor="_Toc10629" w:history="1">
        <w:r>
          <w:rPr>
            <w:rFonts w:ascii="仿宋" w:eastAsia="仿宋" w:hAnsi="仿宋" w:cs="仿宋" w:hint="eastAsia"/>
            <w:lang w:eastAsia="zh-CN"/>
          </w:rPr>
          <w:t>(四)、非有毒有害固体废弃物处理设备项目知识产权保护策略</w:t>
        </w:r>
        <w:r>
          <w:tab/>
        </w:r>
        <w:r>
          <w:fldChar w:fldCharType="begin"/>
        </w:r>
        <w:r>
          <w:instrText xml:space="preserve"> PAGEREF _Toc10629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08"/>
      <w:r>
        <w:rPr>
          <w:rFonts w:ascii="仿宋" w:eastAsia="仿宋" w:hAnsi="仿宋" w:cs="仿宋" w:hint="eastAsia"/>
          <w:sz w:val="28"/>
          <w:lang w:eastAsia="zh-CN"/>
        </w:rPr>
        <w:t>一、非有毒有害固体废弃物处理设备项目土建工程</w:t>
      </w:r>
      <w:bookmarkEnd w:id="2"/>
    </w:p>
    <w:p>
      <w:pPr>
        <w:pStyle w:val="Heading2"/>
        <w:rPr>
          <w:rFonts w:ascii="仿宋" w:eastAsia="仿宋" w:hAnsi="仿宋" w:cs="仿宋" w:hint="eastAsia"/>
          <w:lang w:eastAsia="zh-CN"/>
        </w:rPr>
      </w:pPr>
      <w:bookmarkStart w:id="3" w:name="_Toc1937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在非有毒有害固体废弃物处理设备项目的建筑工程设计中，我们将秉承一系列重要的设计原则，以确保非有毒有害固体废弃物处理设备项目建筑在功能、美观、可持续性等方面达到最佳效果。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首要原则是确保建筑的功能性得到最大化的发挥。我们将充分理解非有毒有害固体废弃物处理设备项目的实际需求，合理布局各个功能区域，保证建筑在满足业务需求的同时，提供高效的工作环境。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在建筑设计中，我们将综合考虑建设和运营成本。通过精细的经济效益分析，确保设计方案在高效利用资源的同时，对非有毒有害固体废弃物处理设备项目的长期盈利能力有积极的贡献。</w:t>
      </w:r>
    </w:p>
    <w:p>
      <w:pPr>
        <w:pStyle w:val="Heading2"/>
        <w:ind w:firstLine="560" w:firstLineChars="200"/>
        <w:rPr>
          <w:rFonts w:ascii="仿宋" w:eastAsia="仿宋" w:hAnsi="仿宋" w:cs="仿宋" w:hint="eastAsia"/>
          <w:sz w:val="28"/>
          <w:lang w:eastAsia="zh-CN"/>
        </w:rPr>
      </w:pPr>
      <w:bookmarkStart w:id="4" w:name="_Toc2485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有毒有害固体废弃物处理设备项目的土建工程设计中，我们将精准设定设计年限，结合非有毒有害固体废弃物处理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非有毒有害固体废弃物处理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72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非有毒有害固体废弃物处理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非有毒有害固体废弃物处理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非有毒有害固体废弃物处理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38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本期工程非有毒有害固体废弃物处理设备项目预计总建筑面积XXX平方米，其中：计容建筑面积XXX平方米，计划建筑工程投资XX万元，占非有毒有害固体废弃物处理设备项目总投资的XX%。</w:t>
      </w:r>
    </w:p>
    <w:p>
      <w:pPr>
        <w:pStyle w:val="Heading1"/>
        <w:ind w:firstLine="560" w:firstLineChars="200"/>
        <w:rPr>
          <w:rFonts w:ascii="仿宋" w:eastAsia="仿宋" w:hAnsi="仿宋" w:cs="仿宋" w:hint="eastAsia"/>
          <w:sz w:val="28"/>
          <w:lang w:eastAsia="zh-CN"/>
        </w:rPr>
      </w:pPr>
      <w:bookmarkStart w:id="7" w:name="_Toc270"/>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2081"/>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有毒有害固体废弃物处理设备项目的技术管理特点体现在其创新导向。通过引入最先进的技术趋势和解决方案，非有毒有害固体废弃物处理设备项目致力于提升科技含量、提高质量和效率水平。这意味着我们将采用最新的工具和方法，确保非有毒有害固体废弃物处理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有毒有害固体废弃物处理设备项目技术管理的显著特征。通过整合不同领域的技术资源，我们实现了跨学科的协同工作。这有助于优化技术架构，提高整体效能。此外，整合性策略还促进了不同技术团队之间的紧密沟通和高效合作，确保非有毒有害固体废弃物处理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有毒有害固体废弃物处理设备项目所采用的技术。通过不断优化技术方案，非有毒有害固体废弃物处理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非有毒有害固体废弃物处理设备项目团队将在非有毒有害固体废弃物处理设备项目初期识别可能的技术风险，并采取相应的预防和应对措施。通过建立健全的风险评估机制，非有毒有害固体废弃物处理设备项目能够在实施过程中及时发现并解决潜在的技术问题，保障非有毒有害固体废弃物处理设备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非有毒有害固体废弃物处理设备项目中，技术将成为非有毒有害固体废弃物处理设备项目成功的有力支持。这一深度剖析揭示了技术管理在非有毒有害固体废弃物处理设备项目实施中的关键作用，为非有毒有害固体废弃物处理设备项目的技术基础奠定了坚实的基础。</w:t>
      </w:r>
    </w:p>
    <w:p>
      <w:pPr>
        <w:pStyle w:val="Heading2"/>
        <w:ind w:firstLine="560" w:firstLineChars="200"/>
        <w:rPr>
          <w:rFonts w:ascii="仿宋" w:eastAsia="仿宋" w:hAnsi="仿宋" w:cs="仿宋" w:hint="eastAsia"/>
          <w:sz w:val="28"/>
          <w:lang w:eastAsia="zh-CN"/>
        </w:rPr>
      </w:pPr>
      <w:bookmarkStart w:id="9" w:name="_Toc4873"/>
      <w:r>
        <w:rPr>
          <w:rFonts w:ascii="仿宋" w:eastAsia="仿宋" w:hAnsi="仿宋" w:cs="仿宋" w:hint="eastAsia"/>
          <w:sz w:val="28"/>
          <w:lang w:eastAsia="zh-CN"/>
        </w:rPr>
        <w:t>(二)、非有毒有害固体废弃物处理设备项目工艺技术设计方案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有毒有害固体废弃物处理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非有毒有害固体废弃物处理设备项目将严格按照相关行业规范要求进行组织。通过有效控制产品质量，非有毒有害固体废弃物处理设备项目将致力于为顾客提供优质的非有毒有害固体废弃物处理设备项目产品和良好的服务。这体现了非有毒有害固体废弃物处理设备项目对于生产活动合规性和质量标准的高度重视，为非有毒有害固体废弃物处理设备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非有毒有害固体废弃物处理设备项目注重生态效益和清洁生产原则。非有毒有害固体废弃物处理设备项目建设将紧密结合地方特色经济发展，与社会经济发展规划和区域环境保护规划方案相协调一致。通过与当地区域自然生态系统的结合，非有毒有害固体废弃物处理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有毒有害固体废弃物处理设备项目产品具有多样化的客户需求和个性化的特点。因此，非有毒有害固体废弃物处理设备项目产品规格品种多样，且单批生产数量较小。为满足这一特点，非有毒有害固体废弃物处理设备项目承办单位将建设先进的柔性制造生产线。通过广泛应用柔性制造技术，非有毒有害固体废弃物处理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非有毒有害固体废弃物处理设备项目采用的技术具有较高的技术含量和自动化水平，处于国内先进水平。这一技术选用不仅体现了对生产效率、质量和环境友好性的高标准要求，同时为非有毒有害固体废弃物处理设备项目的可持续发展奠定了坚实的基础。</w:t>
      </w:r>
    </w:p>
    <w:p>
      <w:pPr>
        <w:pStyle w:val="Heading2"/>
        <w:ind w:firstLine="560" w:firstLineChars="200"/>
        <w:rPr>
          <w:rFonts w:ascii="仿宋" w:eastAsia="仿宋" w:hAnsi="仿宋" w:cs="仿宋" w:hint="eastAsia"/>
          <w:sz w:val="28"/>
          <w:lang w:eastAsia="zh-CN"/>
        </w:rPr>
      </w:pPr>
      <w:bookmarkStart w:id="10" w:name="_Toc1467"/>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为确保非有毒有害固体废弃物处理设备项目的高效生产和技术实施，我们制定了一套精心设计的设备选型方案，以满足非有毒有害固体废弃物处理设备项目生产、质量和环保的要求。该方案的主要特点如下：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非有毒有害固体废弃物处理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非有毒有害固体废弃物处理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2517"/>
      <w:r>
        <w:rPr>
          <w:rFonts w:ascii="仿宋" w:eastAsia="仿宋" w:hAnsi="仿宋" w:cs="仿宋" w:hint="eastAsia"/>
          <w:sz w:val="28"/>
          <w:lang w:eastAsia="zh-CN"/>
        </w:rPr>
        <w:t>三、非有毒有害固体废弃物处理设备项目可持续发展</w:t>
      </w:r>
      <w:bookmarkEnd w:id="11"/>
    </w:p>
    <w:p>
      <w:pPr>
        <w:pStyle w:val="Heading2"/>
        <w:rPr>
          <w:rFonts w:ascii="仿宋" w:eastAsia="仿宋" w:hAnsi="仿宋" w:cs="仿宋" w:hint="eastAsia"/>
          <w:lang w:eastAsia="zh-CN"/>
        </w:rPr>
      </w:pPr>
      <w:bookmarkStart w:id="12" w:name="_Toc1280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有毒有害固体废弃物处理设备项目中，非有毒有害固体废弃物处理设备项目团队着眼于未来，明确了可持续发展的战略方向。制定的具体可持续发展目标包括降低资源使用、采用环保技术、最大化社会效益等。这一步骤不仅有助于非有毒有害固体废弃物处理设备项目在环保和社会责任方面达到最高标准，也为未来提供了明确的指引，确保非有毒有害固体废弃物处理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可持续实践的融入非有毒有害固体废弃物处理设备项目管理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非有毒有害固体废弃物处理设备项目管理周期。从非有毒有害固体废弃物处理设备项目规划开始，非有毒有害固体废弃物处理设备项目团队就考虑了环境和社会的因素。在执行阶段，非有毒有害固体废弃物处理设备项目团队积极推动绿色技术的应用，优化资源利用。此外，关注员工的社会责任，通过培训和沟通活动提高员工对可持续发展的认知，使他们能够在日常工作中践行可持续实践。这些举措不仅为非有毒有害固体废弃物处理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64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有毒有害固体废弃物处理设备项目的可持续发展理念，我们深信环保与社会责任是非有毒有害固体废弃物处理设备项目成功的关键支柱。在非有毒有害固体废弃物处理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有毒有害固体废弃物处理设备项目团队通过引入先进的环保技术、建立高效的废物处理系统以及推动能源节约措施，积极履行环保责任。定期的环保监测和评估确保非有毒有害固体废弃物处理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有毒有害固体废弃物处理设备项目不仅致力于自身可持续发展，还注重对社会的回馈。通过支持社区非有毒有害固体废弃物处理设备项目、参与慈善事业、提供培训机会等方式，非有毒有害固体废弃物处理设备项目积极履行社会责任。与当地社区建立积极互动，关注员工的工作与生活平衡，以及员工的身心健康，是非有毒有害固体废弃物处理设备项目在社会责任层面的关键举措。这样的实践不仅增强了非有毒有害固体废弃物处理设备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6939"/>
      <w:r>
        <w:rPr>
          <w:rFonts w:ascii="仿宋" w:eastAsia="仿宋" w:hAnsi="仿宋" w:cs="仿宋" w:hint="eastAsia"/>
          <w:sz w:val="28"/>
          <w:lang w:eastAsia="zh-CN"/>
        </w:rPr>
        <w:t>四、非有毒有害固体废弃物处理设备项目危机管理</w:t>
      </w:r>
      <w:bookmarkEnd w:id="14"/>
    </w:p>
    <w:p>
      <w:pPr>
        <w:pStyle w:val="Heading2"/>
        <w:rPr>
          <w:rFonts w:ascii="仿宋" w:eastAsia="仿宋" w:hAnsi="仿宋" w:cs="仿宋" w:hint="eastAsia"/>
          <w:lang w:eastAsia="zh-CN"/>
        </w:rPr>
      </w:pPr>
      <w:bookmarkStart w:id="15" w:name="_Toc1851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非有毒有害固体废弃物处理设备项目危机管理中，危机预警与识别是确保非有毒有害固体废弃物处理设备项目稳健运行的核心步骤。通过建立全面的监测机制，非有毒有害固体废弃物处理设备项目团队旨在及时发现和理解潜在的风险和危机因素，以便采取及时的预防和应对措施，确保非有毒有害固体废弃物处理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有毒有害固体废弃物处理设备项目团队全面分析了整个非有毒有害固体废弃物处理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有毒有害固体废弃物处理设备项目团队着重于明确定义非有毒有害固体废弃物处理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非有毒有害固体废弃物处理设备项目进展的持续监控，团队能够及时发现潜在问题并作出迅速反应。非有毒有害固体废弃物处理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有毒有害固体废弃物处理设备项目得以更有序、可控地推进。</w:t>
      </w:r>
    </w:p>
    <w:p>
      <w:pPr>
        <w:pStyle w:val="Heading2"/>
        <w:ind w:firstLine="560" w:firstLineChars="200"/>
        <w:rPr>
          <w:rFonts w:ascii="仿宋" w:eastAsia="仿宋" w:hAnsi="仿宋" w:cs="仿宋" w:hint="eastAsia"/>
          <w:sz w:val="28"/>
          <w:lang w:eastAsia="zh-CN"/>
        </w:rPr>
      </w:pPr>
      <w:bookmarkStart w:id="16" w:name="_Toc748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在危机发生时，非有毒有害固体废弃物处理设备项目团队立即行动，成立了应急小组。该小组的任务是迅速制定并实施紧急应对措施，以最小化潜在损失。以下是采取的主要措施：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暂停非有毒有害固体废弃物处理设备项目进度：为遏制危机蔓延，非有毒有害固体废弃物处理设备项目暂时停止进行，以便全面评估当前状况。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资源重新分配：重新评估非有毒有害固体废弃物处理设备项目资源的分配，确保最大限度地减小损失。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实时沟通：与关键利益相关者建立实时沟通机制，向他们传递非有毒有害固体废弃物处理设备项目危机的实际状况，保障非有毒有害固体废弃物处理设备项目核心利益。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在紧急应对的同时，非有毒有害固体废弃物处理设备项目团队强调了团队协作和有效沟通的重要性。以下是团队协作的关键举措：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信息共享机制：建立了信息共享平台，确保团队成员能够及时获取非有毒有害固体废弃物处理设备项目危机的实时信息。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领导者沟通：非有毒有害固体废弃物处理设备项目领导者通过定期会议和即时沟通工具，指导团队应对危机，保持团队稳定运行。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随着危机得到初步控制，非有毒有害固体废弃物处理设备项目团队转向制定恢复计划，以确保非有毒有害固体废弃物处理设备项目能够从中迅速恢复。主要恢复计划包括：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修复受损的进度计划：重新评估非有毒有害固体废弃物处理设备项目进度，制定修复计划，确保非有毒有害固体废弃物处理设备项目尽快回归正常进程。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重新调整资源分配：优化资源分配，确保非有毒有害固体废弃物处理设备项目在有限资源下高效运转。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风险管理机制加强：对非有毒有害固体废弃物处理设备项目风险进行全面评估，制定更强化的风险管理策略，以预防未来可能的危机。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121"/>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392"/>
      <w:r>
        <w:rPr>
          <w:rFonts w:ascii="仿宋" w:eastAsia="仿宋" w:hAnsi="仿宋" w:cs="仿宋" w:hint="eastAsia"/>
          <w:lang w:eastAsia="zh-CN"/>
        </w:rPr>
        <w:t>(一)、非有毒有害固体废弃物处理设备行业分析</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有毒有害固体废弃物处理设备行业一直以来都是市场的关注焦点。行业内的发展趋势、竞争态势以及潜在机会都对非有毒有害固体废弃物处理设备项目的推进产生深远的影响。通过深入研究行业的整体概貌，我们将更好地理解行业的核心特征，为非有毒有害固体废弃物处理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有毒有害固体废弃物处理设备行业，技术一直是推动创新和发展的关键因素。我们将对当前技术趋势进行详尽分析，包括但不限于人工智能、大数据应用、先进制造技术等。这有助于非有毒有害固体废弃物处理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有毒有害固体废弃物处理设备项目成功的基础。我们将对主要竞争对手进行深入研究，包括其市场份额、产品特点、市场定位等。通过全面了解竞争对手的优势和劣势，非有毒有害固体废弃物处理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8092"/>
      <w:r>
        <w:rPr>
          <w:rFonts w:ascii="仿宋" w:eastAsia="仿宋" w:hAnsi="仿宋" w:cs="仿宋" w:hint="eastAsia"/>
          <w:sz w:val="28"/>
          <w:lang w:eastAsia="zh-CN"/>
        </w:rPr>
        <w:t>(二)、非有毒有害固体废弃物处理设备市场分析预测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有毒有害固体废弃物处理设备市场未来的增长趋势。这包括市场的整体规模、各细分领域的发展趋势等。非有毒有害固体废弃物处理设备项目可以根据市场的扩张速度和潜在机会，制定更符合市场需求的发展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https://d.book118.com/348121014053006041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68228E"/>
    <w:rsid w:val="276822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121014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2024-02-24T02:42:00Z</dcterms:created>
  <dcterms:modified xsi:type="dcterms:W3CDTF">2024-02-24T02:42:41Z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043CCC2346E44AAFAB655758B7B77052_11</vt:lpwstr>
  </property>
  <property fmtid="{D5CDD505-2E9C-101B-9397-08002B2CF9AE}" pid="3" name="KSOProductBuildVer">
    <vt:lpwstr>2052-12.1.0.16388</vt:lpwstr>
  </property>
</Properties>
</file>