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环境污染处理专用药剂材料项目规划设计纲要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57" w:history="1">
        <w:r>
          <w:rPr>
            <w:rFonts w:ascii="仿宋" w:eastAsia="仿宋" w:hAnsi="仿宋" w:cs="仿宋" w:hint="eastAsia"/>
            <w:lang w:eastAsia="zh-CN"/>
          </w:rPr>
          <w:t>前言</w:t>
        </w:r>
        <w:r>
          <w:tab/>
        </w:r>
        <w:r>
          <w:fldChar w:fldCharType="begin"/>
        </w:r>
        <w:r>
          <w:instrText xml:space="preserve"> PAGEREF _Toc5657 \h </w:instrText>
        </w:r>
        <w:r>
          <w:fldChar w:fldCharType="separate"/>
        </w:r>
        <w:r>
          <w:t>3</w:t>
        </w:r>
        <w:r>
          <w:fldChar w:fldCharType="end"/>
        </w:r>
      </w:hyperlink>
    </w:p>
    <w:p>
      <w:pPr>
        <w:pStyle w:val="TOC1"/>
        <w:tabs>
          <w:tab w:val="right" w:leader="dot" w:pos="8306"/>
        </w:tabs>
      </w:pPr>
      <w:hyperlink w:anchor="_Toc30553" w:history="1">
        <w:r>
          <w:rPr>
            <w:rFonts w:ascii="仿宋" w:eastAsia="仿宋" w:hAnsi="仿宋" w:cs="仿宋" w:hint="eastAsia"/>
            <w:lang w:eastAsia="zh-CN"/>
          </w:rPr>
          <w:t>一、环境污染处理专用药剂材料项目绩效评估</w:t>
        </w:r>
        <w:r>
          <w:tab/>
        </w:r>
        <w:r>
          <w:fldChar w:fldCharType="begin"/>
        </w:r>
        <w:r>
          <w:instrText xml:space="preserve"> PAGEREF _Toc30553 \h </w:instrText>
        </w:r>
        <w:r>
          <w:fldChar w:fldCharType="separate"/>
        </w:r>
        <w:r>
          <w:t>3</w:t>
        </w:r>
        <w:r>
          <w:fldChar w:fldCharType="end"/>
        </w:r>
      </w:hyperlink>
    </w:p>
    <w:p>
      <w:pPr>
        <w:pStyle w:val="TOC2"/>
        <w:tabs>
          <w:tab w:val="right" w:leader="dot" w:pos="8306"/>
        </w:tabs>
      </w:pPr>
      <w:hyperlink w:anchor="_Toc9788" w:history="1">
        <w:r>
          <w:rPr>
            <w:rFonts w:ascii="仿宋" w:eastAsia="仿宋" w:hAnsi="仿宋" w:cs="仿宋" w:hint="eastAsia"/>
            <w:lang w:eastAsia="zh-CN"/>
          </w:rPr>
          <w:t>(一)、绩效评估指标</w:t>
        </w:r>
        <w:r>
          <w:tab/>
        </w:r>
        <w:r>
          <w:fldChar w:fldCharType="begin"/>
        </w:r>
        <w:r>
          <w:instrText xml:space="preserve"> PAGEREF _Toc9788 \h </w:instrText>
        </w:r>
        <w:r>
          <w:fldChar w:fldCharType="separate"/>
        </w:r>
        <w:r>
          <w:t>3</w:t>
        </w:r>
        <w:r>
          <w:fldChar w:fldCharType="end"/>
        </w:r>
      </w:hyperlink>
    </w:p>
    <w:p>
      <w:pPr>
        <w:pStyle w:val="TOC2"/>
        <w:tabs>
          <w:tab w:val="right" w:leader="dot" w:pos="8306"/>
        </w:tabs>
      </w:pPr>
      <w:hyperlink w:anchor="_Toc25375" w:history="1">
        <w:r>
          <w:rPr>
            <w:rFonts w:ascii="仿宋" w:eastAsia="仿宋" w:hAnsi="仿宋" w:cs="仿宋" w:hint="eastAsia"/>
            <w:lang w:eastAsia="zh-CN"/>
          </w:rPr>
          <w:t>(二)、绩效评估方法</w:t>
        </w:r>
        <w:r>
          <w:tab/>
        </w:r>
        <w:r>
          <w:fldChar w:fldCharType="begin"/>
        </w:r>
        <w:r>
          <w:instrText xml:space="preserve"> PAGEREF _Toc25375 \h </w:instrText>
        </w:r>
        <w:r>
          <w:fldChar w:fldCharType="separate"/>
        </w:r>
        <w:r>
          <w:t>4</w:t>
        </w:r>
        <w:r>
          <w:fldChar w:fldCharType="end"/>
        </w:r>
      </w:hyperlink>
    </w:p>
    <w:p>
      <w:pPr>
        <w:pStyle w:val="TOC2"/>
        <w:tabs>
          <w:tab w:val="right" w:leader="dot" w:pos="8306"/>
        </w:tabs>
      </w:pPr>
      <w:hyperlink w:anchor="_Toc19332" w:history="1">
        <w:r>
          <w:rPr>
            <w:rFonts w:ascii="仿宋" w:eastAsia="仿宋" w:hAnsi="仿宋" w:cs="仿宋" w:hint="eastAsia"/>
            <w:lang w:eastAsia="zh-CN"/>
          </w:rPr>
          <w:t>(三)、绩效评估周期</w:t>
        </w:r>
        <w:r>
          <w:tab/>
        </w:r>
        <w:r>
          <w:fldChar w:fldCharType="begin"/>
        </w:r>
        <w:r>
          <w:instrText xml:space="preserve"> PAGEREF _Toc19332 \h </w:instrText>
        </w:r>
        <w:r>
          <w:fldChar w:fldCharType="separate"/>
        </w:r>
        <w:r>
          <w:t>5</w:t>
        </w:r>
        <w:r>
          <w:fldChar w:fldCharType="end"/>
        </w:r>
      </w:hyperlink>
    </w:p>
    <w:p>
      <w:pPr>
        <w:pStyle w:val="TOC1"/>
        <w:tabs>
          <w:tab w:val="right" w:leader="dot" w:pos="8306"/>
        </w:tabs>
      </w:pPr>
      <w:hyperlink w:anchor="_Toc537" w:history="1">
        <w:r>
          <w:rPr>
            <w:rFonts w:ascii="仿宋" w:eastAsia="仿宋" w:hAnsi="仿宋" w:cs="仿宋" w:hint="eastAsia"/>
            <w:lang w:eastAsia="zh-CN"/>
          </w:rPr>
          <w:t>二、市场分析、调研</w:t>
        </w:r>
        <w:r>
          <w:tab/>
        </w:r>
        <w:r>
          <w:fldChar w:fldCharType="begin"/>
        </w:r>
        <w:r>
          <w:instrText xml:space="preserve"> PAGEREF _Toc537 \h </w:instrText>
        </w:r>
        <w:r>
          <w:fldChar w:fldCharType="separate"/>
        </w:r>
        <w:r>
          <w:t>7</w:t>
        </w:r>
        <w:r>
          <w:fldChar w:fldCharType="end"/>
        </w:r>
      </w:hyperlink>
    </w:p>
    <w:p>
      <w:pPr>
        <w:pStyle w:val="TOC2"/>
        <w:tabs>
          <w:tab w:val="right" w:leader="dot" w:pos="8306"/>
        </w:tabs>
      </w:pPr>
      <w:hyperlink w:anchor="_Toc26684" w:history="1">
        <w:r>
          <w:rPr>
            <w:rFonts w:ascii="仿宋" w:eastAsia="仿宋" w:hAnsi="仿宋" w:cs="仿宋" w:hint="eastAsia"/>
            <w:lang w:eastAsia="zh-CN"/>
          </w:rPr>
          <w:t>(一)、环境污染处理专用药剂材料行业分析</w:t>
        </w:r>
        <w:r>
          <w:tab/>
        </w:r>
        <w:r>
          <w:fldChar w:fldCharType="begin"/>
        </w:r>
        <w:r>
          <w:instrText xml:space="preserve"> PAGEREF _Toc26684 \h </w:instrText>
        </w:r>
        <w:r>
          <w:fldChar w:fldCharType="separate"/>
        </w:r>
        <w:r>
          <w:t>7</w:t>
        </w:r>
        <w:r>
          <w:fldChar w:fldCharType="end"/>
        </w:r>
      </w:hyperlink>
    </w:p>
    <w:p>
      <w:pPr>
        <w:pStyle w:val="TOC2"/>
        <w:tabs>
          <w:tab w:val="right" w:leader="dot" w:pos="8306"/>
        </w:tabs>
      </w:pPr>
      <w:hyperlink w:anchor="_Toc19611" w:history="1">
        <w:r>
          <w:rPr>
            <w:rFonts w:ascii="仿宋" w:eastAsia="仿宋" w:hAnsi="仿宋" w:cs="仿宋" w:hint="eastAsia"/>
            <w:lang w:eastAsia="zh-CN"/>
          </w:rPr>
          <w:t>(二)、环境污染处理专用药剂材料市场分析预测</w:t>
        </w:r>
        <w:r>
          <w:tab/>
        </w:r>
        <w:r>
          <w:fldChar w:fldCharType="begin"/>
        </w:r>
        <w:r>
          <w:instrText xml:space="preserve"> PAGEREF _Toc19611 \h </w:instrText>
        </w:r>
        <w:r>
          <w:fldChar w:fldCharType="separate"/>
        </w:r>
        <w:r>
          <w:t>8</w:t>
        </w:r>
        <w:r>
          <w:fldChar w:fldCharType="end"/>
        </w:r>
      </w:hyperlink>
    </w:p>
    <w:p>
      <w:pPr>
        <w:pStyle w:val="TOC1"/>
        <w:tabs>
          <w:tab w:val="right" w:leader="dot" w:pos="8306"/>
        </w:tabs>
      </w:pPr>
      <w:hyperlink w:anchor="_Toc32212" w:history="1">
        <w:r>
          <w:rPr>
            <w:rFonts w:ascii="仿宋" w:eastAsia="仿宋" w:hAnsi="仿宋" w:cs="仿宋" w:hint="eastAsia"/>
            <w:lang w:eastAsia="zh-CN"/>
          </w:rPr>
          <w:t>三、环境污染处理专用药剂材料项目危机管理</w:t>
        </w:r>
        <w:r>
          <w:tab/>
        </w:r>
        <w:r>
          <w:fldChar w:fldCharType="begin"/>
        </w:r>
        <w:r>
          <w:instrText xml:space="preserve"> PAGEREF _Toc32212 \h </w:instrText>
        </w:r>
        <w:r>
          <w:fldChar w:fldCharType="separate"/>
        </w:r>
        <w:r>
          <w:t>8</w:t>
        </w:r>
        <w:r>
          <w:fldChar w:fldCharType="end"/>
        </w:r>
      </w:hyperlink>
    </w:p>
    <w:p>
      <w:pPr>
        <w:pStyle w:val="TOC2"/>
        <w:tabs>
          <w:tab w:val="right" w:leader="dot" w:pos="8306"/>
        </w:tabs>
      </w:pPr>
      <w:hyperlink w:anchor="_Toc10009" w:history="1">
        <w:r>
          <w:rPr>
            <w:rFonts w:ascii="仿宋" w:eastAsia="仿宋" w:hAnsi="仿宋" w:cs="仿宋" w:hint="eastAsia"/>
            <w:lang w:eastAsia="zh-CN"/>
          </w:rPr>
          <w:t>(一)、危机预警与识别</w:t>
        </w:r>
        <w:r>
          <w:tab/>
        </w:r>
        <w:r>
          <w:fldChar w:fldCharType="begin"/>
        </w:r>
        <w:r>
          <w:instrText xml:space="preserve"> PAGEREF _Toc10009 \h </w:instrText>
        </w:r>
        <w:r>
          <w:fldChar w:fldCharType="separate"/>
        </w:r>
        <w:r>
          <w:t>8</w:t>
        </w:r>
        <w:r>
          <w:fldChar w:fldCharType="end"/>
        </w:r>
      </w:hyperlink>
    </w:p>
    <w:p>
      <w:pPr>
        <w:pStyle w:val="TOC2"/>
        <w:tabs>
          <w:tab w:val="right" w:leader="dot" w:pos="8306"/>
        </w:tabs>
      </w:pPr>
      <w:hyperlink w:anchor="_Toc11433" w:history="1">
        <w:r>
          <w:rPr>
            <w:rFonts w:ascii="仿宋" w:eastAsia="仿宋" w:hAnsi="仿宋" w:cs="仿宋" w:hint="eastAsia"/>
            <w:lang w:eastAsia="zh-CN"/>
          </w:rPr>
          <w:t>(二)、危机应对与恢复</w:t>
        </w:r>
        <w:r>
          <w:tab/>
        </w:r>
        <w:r>
          <w:fldChar w:fldCharType="begin"/>
        </w:r>
        <w:r>
          <w:instrText xml:space="preserve"> PAGEREF _Toc11433 \h </w:instrText>
        </w:r>
        <w:r>
          <w:fldChar w:fldCharType="separate"/>
        </w:r>
        <w:r>
          <w:t>10</w:t>
        </w:r>
        <w:r>
          <w:fldChar w:fldCharType="end"/>
        </w:r>
      </w:hyperlink>
    </w:p>
    <w:p>
      <w:pPr>
        <w:pStyle w:val="TOC1"/>
        <w:tabs>
          <w:tab w:val="right" w:leader="dot" w:pos="8306"/>
        </w:tabs>
      </w:pPr>
      <w:hyperlink w:anchor="_Toc12109" w:history="1">
        <w:r>
          <w:rPr>
            <w:rFonts w:ascii="仿宋" w:eastAsia="仿宋" w:hAnsi="仿宋" w:cs="仿宋" w:hint="eastAsia"/>
            <w:lang w:eastAsia="zh-CN"/>
          </w:rPr>
          <w:t>四、环境污染处理专用药剂材料项目概论</w:t>
        </w:r>
        <w:r>
          <w:tab/>
        </w:r>
        <w:r>
          <w:fldChar w:fldCharType="begin"/>
        </w:r>
        <w:r>
          <w:instrText xml:space="preserve"> PAGEREF _Toc12109 \h </w:instrText>
        </w:r>
        <w:r>
          <w:fldChar w:fldCharType="separate"/>
        </w:r>
        <w:r>
          <w:t>11</w:t>
        </w:r>
        <w:r>
          <w:fldChar w:fldCharType="end"/>
        </w:r>
      </w:hyperlink>
    </w:p>
    <w:p>
      <w:pPr>
        <w:pStyle w:val="TOC2"/>
        <w:tabs>
          <w:tab w:val="right" w:leader="dot" w:pos="8306"/>
        </w:tabs>
      </w:pPr>
      <w:hyperlink w:anchor="_Toc26392" w:history="1">
        <w:r>
          <w:rPr>
            <w:rFonts w:ascii="仿宋" w:eastAsia="仿宋" w:hAnsi="仿宋" w:cs="仿宋" w:hint="eastAsia"/>
            <w:lang w:eastAsia="zh-CN"/>
          </w:rPr>
          <w:t>(一)、环境污染处理专用药剂材料项目概况</w:t>
        </w:r>
        <w:r>
          <w:tab/>
        </w:r>
        <w:r>
          <w:fldChar w:fldCharType="begin"/>
        </w:r>
        <w:r>
          <w:instrText xml:space="preserve"> PAGEREF _Toc26392 \h </w:instrText>
        </w:r>
        <w:r>
          <w:fldChar w:fldCharType="separate"/>
        </w:r>
        <w:r>
          <w:t>11</w:t>
        </w:r>
        <w:r>
          <w:fldChar w:fldCharType="end"/>
        </w:r>
      </w:hyperlink>
    </w:p>
    <w:p>
      <w:pPr>
        <w:pStyle w:val="TOC2"/>
        <w:tabs>
          <w:tab w:val="right" w:leader="dot" w:pos="8306"/>
        </w:tabs>
      </w:pPr>
      <w:hyperlink w:anchor="_Toc21374" w:history="1">
        <w:r>
          <w:rPr>
            <w:rFonts w:ascii="仿宋" w:eastAsia="仿宋" w:hAnsi="仿宋" w:cs="仿宋" w:hint="eastAsia"/>
            <w:lang w:eastAsia="zh-CN"/>
          </w:rPr>
          <w:t>(二)、环境污染处理专用药剂材料项目目标</w:t>
        </w:r>
        <w:r>
          <w:tab/>
        </w:r>
        <w:r>
          <w:fldChar w:fldCharType="begin"/>
        </w:r>
        <w:r>
          <w:instrText xml:space="preserve"> PAGEREF _Toc21374 \h </w:instrText>
        </w:r>
        <w:r>
          <w:fldChar w:fldCharType="separate"/>
        </w:r>
        <w:r>
          <w:t>14</w:t>
        </w:r>
        <w:r>
          <w:fldChar w:fldCharType="end"/>
        </w:r>
      </w:hyperlink>
    </w:p>
    <w:p>
      <w:pPr>
        <w:pStyle w:val="TOC2"/>
        <w:tabs>
          <w:tab w:val="right" w:leader="dot" w:pos="8306"/>
        </w:tabs>
      </w:pPr>
      <w:hyperlink w:anchor="_Toc6692" w:history="1">
        <w:r>
          <w:rPr>
            <w:rFonts w:ascii="仿宋" w:eastAsia="仿宋" w:hAnsi="仿宋" w:cs="仿宋" w:hint="eastAsia"/>
            <w:lang w:eastAsia="zh-CN"/>
          </w:rPr>
          <w:t>(三)、环境污染处理专用药剂材料项目提出的理由</w:t>
        </w:r>
        <w:r>
          <w:tab/>
        </w:r>
        <w:r>
          <w:fldChar w:fldCharType="begin"/>
        </w:r>
        <w:r>
          <w:instrText xml:space="preserve"> PAGEREF _Toc6692 \h </w:instrText>
        </w:r>
        <w:r>
          <w:fldChar w:fldCharType="separate"/>
        </w:r>
        <w:r>
          <w:t>15</w:t>
        </w:r>
        <w:r>
          <w:fldChar w:fldCharType="end"/>
        </w:r>
      </w:hyperlink>
    </w:p>
    <w:p>
      <w:pPr>
        <w:pStyle w:val="TOC2"/>
        <w:tabs>
          <w:tab w:val="right" w:leader="dot" w:pos="8306"/>
        </w:tabs>
      </w:pPr>
      <w:hyperlink w:anchor="_Toc3355" w:history="1">
        <w:r>
          <w:rPr>
            <w:rFonts w:ascii="仿宋" w:eastAsia="仿宋" w:hAnsi="仿宋" w:cs="仿宋" w:hint="eastAsia"/>
            <w:lang w:eastAsia="zh-CN"/>
          </w:rPr>
          <w:t>(四)、环境污染处理专用药剂材料项目意义</w:t>
        </w:r>
        <w:r>
          <w:tab/>
        </w:r>
        <w:r>
          <w:fldChar w:fldCharType="begin"/>
        </w:r>
        <w:r>
          <w:instrText xml:space="preserve"> PAGEREF _Toc3355 \h </w:instrText>
        </w:r>
        <w:r>
          <w:fldChar w:fldCharType="separate"/>
        </w:r>
        <w:r>
          <w:t>17</w:t>
        </w:r>
        <w:r>
          <w:fldChar w:fldCharType="end"/>
        </w:r>
      </w:hyperlink>
    </w:p>
    <w:p>
      <w:pPr>
        <w:pStyle w:val="TOC2"/>
        <w:tabs>
          <w:tab w:val="right" w:leader="dot" w:pos="8306"/>
        </w:tabs>
      </w:pPr>
      <w:hyperlink w:anchor="_Toc24622" w:history="1">
        <w:r>
          <w:rPr>
            <w:rFonts w:ascii="仿宋" w:eastAsia="仿宋" w:hAnsi="仿宋" w:cs="仿宋" w:hint="eastAsia"/>
            <w:lang w:eastAsia="zh-CN"/>
          </w:rPr>
          <w:t>(五)、环境污染处理专用药剂材料项目背景</w:t>
        </w:r>
        <w:r>
          <w:tab/>
        </w:r>
        <w:r>
          <w:fldChar w:fldCharType="begin"/>
        </w:r>
        <w:r>
          <w:instrText xml:space="preserve"> PAGEREF _Toc24622 \h </w:instrText>
        </w:r>
        <w:r>
          <w:fldChar w:fldCharType="separate"/>
        </w:r>
        <w:r>
          <w:t>18</w:t>
        </w:r>
        <w:r>
          <w:fldChar w:fldCharType="end"/>
        </w:r>
      </w:hyperlink>
    </w:p>
    <w:p>
      <w:pPr>
        <w:pStyle w:val="TOC1"/>
        <w:tabs>
          <w:tab w:val="right" w:leader="dot" w:pos="8306"/>
        </w:tabs>
      </w:pPr>
      <w:hyperlink w:anchor="_Toc8450" w:history="1">
        <w:r>
          <w:rPr>
            <w:rFonts w:ascii="仿宋" w:eastAsia="仿宋" w:hAnsi="仿宋" w:cs="仿宋" w:hint="eastAsia"/>
            <w:lang w:eastAsia="zh-CN"/>
          </w:rPr>
          <w:t>五、产品规划分析</w:t>
        </w:r>
        <w:r>
          <w:tab/>
        </w:r>
        <w:r>
          <w:fldChar w:fldCharType="begin"/>
        </w:r>
        <w:r>
          <w:instrText xml:space="preserve"> PAGEREF _Toc8450 \h </w:instrText>
        </w:r>
        <w:r>
          <w:fldChar w:fldCharType="separate"/>
        </w:r>
        <w:r>
          <w:t>19</w:t>
        </w:r>
        <w:r>
          <w:fldChar w:fldCharType="end"/>
        </w:r>
      </w:hyperlink>
    </w:p>
    <w:p>
      <w:pPr>
        <w:pStyle w:val="TOC2"/>
        <w:tabs>
          <w:tab w:val="right" w:leader="dot" w:pos="8306"/>
        </w:tabs>
      </w:pPr>
      <w:hyperlink w:anchor="_Toc13970" w:history="1">
        <w:r>
          <w:rPr>
            <w:rFonts w:ascii="仿宋" w:eastAsia="仿宋" w:hAnsi="仿宋" w:cs="仿宋" w:hint="eastAsia"/>
            <w:lang w:eastAsia="zh-CN"/>
          </w:rPr>
          <w:t>(一)、产品规划</w:t>
        </w:r>
        <w:r>
          <w:tab/>
        </w:r>
        <w:r>
          <w:fldChar w:fldCharType="begin"/>
        </w:r>
        <w:r>
          <w:instrText xml:space="preserve"> PAGEREF _Toc13970 \h </w:instrText>
        </w:r>
        <w:r>
          <w:fldChar w:fldCharType="separate"/>
        </w:r>
        <w:r>
          <w:t>19</w:t>
        </w:r>
        <w:r>
          <w:fldChar w:fldCharType="end"/>
        </w:r>
      </w:hyperlink>
    </w:p>
    <w:p>
      <w:pPr>
        <w:pStyle w:val="TOC2"/>
        <w:tabs>
          <w:tab w:val="right" w:leader="dot" w:pos="8306"/>
        </w:tabs>
      </w:pPr>
      <w:hyperlink w:anchor="_Toc6955" w:history="1">
        <w:r>
          <w:rPr>
            <w:rFonts w:ascii="仿宋" w:eastAsia="仿宋" w:hAnsi="仿宋" w:cs="仿宋" w:hint="eastAsia"/>
            <w:lang w:eastAsia="zh-CN"/>
          </w:rPr>
          <w:t>(二)、建设规模</w:t>
        </w:r>
        <w:r>
          <w:tab/>
        </w:r>
        <w:r>
          <w:fldChar w:fldCharType="begin"/>
        </w:r>
        <w:r>
          <w:instrText xml:space="preserve"> PAGEREF _Toc6955 \h </w:instrText>
        </w:r>
        <w:r>
          <w:fldChar w:fldCharType="separate"/>
        </w:r>
        <w:r>
          <w:t>19</w:t>
        </w:r>
        <w:r>
          <w:fldChar w:fldCharType="end"/>
        </w:r>
      </w:hyperlink>
    </w:p>
    <w:p>
      <w:pPr>
        <w:pStyle w:val="TOC1"/>
        <w:tabs>
          <w:tab w:val="right" w:leader="dot" w:pos="8306"/>
        </w:tabs>
      </w:pPr>
      <w:hyperlink w:anchor="_Toc13619" w:history="1">
        <w:r>
          <w:rPr>
            <w:rFonts w:ascii="仿宋" w:eastAsia="仿宋" w:hAnsi="仿宋" w:cs="仿宋" w:hint="eastAsia"/>
            <w:lang w:eastAsia="zh-CN"/>
          </w:rPr>
          <w:t>六、环境污染处理专用药剂材料项目可持续发展</w:t>
        </w:r>
        <w:r>
          <w:tab/>
        </w:r>
        <w:r>
          <w:fldChar w:fldCharType="begin"/>
        </w:r>
        <w:r>
          <w:instrText xml:space="preserve"> PAGEREF _Toc13619 \h </w:instrText>
        </w:r>
        <w:r>
          <w:fldChar w:fldCharType="separate"/>
        </w:r>
        <w:r>
          <w:t>21</w:t>
        </w:r>
        <w:r>
          <w:fldChar w:fldCharType="end"/>
        </w:r>
      </w:hyperlink>
    </w:p>
    <w:p>
      <w:pPr>
        <w:pStyle w:val="TOC2"/>
        <w:tabs>
          <w:tab w:val="right" w:leader="dot" w:pos="8306"/>
        </w:tabs>
      </w:pPr>
      <w:hyperlink w:anchor="_Toc10390" w:history="1">
        <w:r>
          <w:rPr>
            <w:rFonts w:ascii="仿宋" w:eastAsia="仿宋" w:hAnsi="仿宋" w:cs="仿宋" w:hint="eastAsia"/>
            <w:lang w:eastAsia="zh-CN"/>
          </w:rPr>
          <w:t>(一)、可持续战略与实践</w:t>
        </w:r>
        <w:r>
          <w:tab/>
        </w:r>
        <w:r>
          <w:fldChar w:fldCharType="begin"/>
        </w:r>
        <w:r>
          <w:instrText xml:space="preserve"> PAGEREF _Toc10390 \h </w:instrText>
        </w:r>
        <w:r>
          <w:fldChar w:fldCharType="separate"/>
        </w:r>
        <w:r>
          <w:t>21</w:t>
        </w:r>
        <w:r>
          <w:fldChar w:fldCharType="end"/>
        </w:r>
      </w:hyperlink>
    </w:p>
    <w:p>
      <w:pPr>
        <w:pStyle w:val="TOC2"/>
        <w:tabs>
          <w:tab w:val="right" w:leader="dot" w:pos="8306"/>
        </w:tabs>
      </w:pPr>
      <w:hyperlink w:anchor="_Toc32554" w:history="1">
        <w:r>
          <w:rPr>
            <w:rFonts w:ascii="仿宋" w:eastAsia="仿宋" w:hAnsi="仿宋" w:cs="仿宋" w:hint="eastAsia"/>
            <w:lang w:eastAsia="zh-CN"/>
          </w:rPr>
          <w:t>(二)、环保与社会责任</w:t>
        </w:r>
        <w:r>
          <w:tab/>
        </w:r>
        <w:r>
          <w:fldChar w:fldCharType="begin"/>
        </w:r>
        <w:r>
          <w:instrText xml:space="preserve"> PAGEREF _Toc32554 \h </w:instrText>
        </w:r>
        <w:r>
          <w:fldChar w:fldCharType="separate"/>
        </w:r>
        <w:r>
          <w:t>22</w:t>
        </w:r>
        <w:r>
          <w:fldChar w:fldCharType="end"/>
        </w:r>
      </w:hyperlink>
    </w:p>
    <w:p>
      <w:pPr>
        <w:pStyle w:val="TOC1"/>
        <w:tabs>
          <w:tab w:val="right" w:leader="dot" w:pos="8306"/>
        </w:tabs>
      </w:pPr>
      <w:hyperlink w:anchor="_Toc18853" w:history="1">
        <w:r>
          <w:rPr>
            <w:rFonts w:ascii="仿宋" w:eastAsia="仿宋" w:hAnsi="仿宋" w:cs="仿宋" w:hint="eastAsia"/>
            <w:lang w:eastAsia="zh-CN"/>
          </w:rPr>
          <w:t>七、环境污染处理专用药剂材料项目创新与研发</w:t>
        </w:r>
        <w:r>
          <w:tab/>
        </w:r>
        <w:r>
          <w:fldChar w:fldCharType="begin"/>
        </w:r>
        <w:r>
          <w:instrText xml:space="preserve"> PAGEREF _Toc18853 \h </w:instrText>
        </w:r>
        <w:r>
          <w:fldChar w:fldCharType="separate"/>
        </w:r>
        <w:r>
          <w:t>23</w:t>
        </w:r>
        <w:r>
          <w:fldChar w:fldCharType="end"/>
        </w:r>
      </w:hyperlink>
    </w:p>
    <w:p>
      <w:pPr>
        <w:pStyle w:val="TOC2"/>
        <w:tabs>
          <w:tab w:val="right" w:leader="dot" w:pos="8306"/>
        </w:tabs>
      </w:pPr>
      <w:hyperlink w:anchor="_Toc7741" w:history="1">
        <w:r>
          <w:rPr>
            <w:rFonts w:ascii="仿宋" w:eastAsia="仿宋" w:hAnsi="仿宋" w:cs="仿宋" w:hint="eastAsia"/>
            <w:lang w:eastAsia="zh-CN"/>
          </w:rPr>
          <w:t>(一)、创新策略与方向</w:t>
        </w:r>
        <w:r>
          <w:tab/>
        </w:r>
        <w:r>
          <w:fldChar w:fldCharType="begin"/>
        </w:r>
        <w:r>
          <w:instrText xml:space="preserve"> PAGEREF _Toc7741 \h </w:instrText>
        </w:r>
        <w:r>
          <w:fldChar w:fldCharType="separate"/>
        </w:r>
        <w:r>
          <w:t>23</w:t>
        </w:r>
        <w:r>
          <w:fldChar w:fldCharType="end"/>
        </w:r>
      </w:hyperlink>
    </w:p>
    <w:p>
      <w:pPr>
        <w:pStyle w:val="TOC2"/>
        <w:tabs>
          <w:tab w:val="right" w:leader="dot" w:pos="8306"/>
        </w:tabs>
      </w:pPr>
      <w:hyperlink w:anchor="_Toc26699" w:history="1">
        <w:r>
          <w:rPr>
            <w:rFonts w:ascii="仿宋" w:eastAsia="仿宋" w:hAnsi="仿宋" w:cs="仿宋" w:hint="eastAsia"/>
            <w:lang w:eastAsia="zh-CN"/>
          </w:rPr>
          <w:t>(二)、研发规划与投入</w:t>
        </w:r>
        <w:r>
          <w:tab/>
        </w:r>
        <w:r>
          <w:fldChar w:fldCharType="begin"/>
        </w:r>
        <w:r>
          <w:instrText xml:space="preserve"> PAGEREF _Toc26699 \h </w:instrText>
        </w:r>
        <w:r>
          <w:fldChar w:fldCharType="separate"/>
        </w:r>
        <w:r>
          <w:t>24</w:t>
        </w:r>
        <w:r>
          <w:fldChar w:fldCharType="end"/>
        </w:r>
      </w:hyperlink>
    </w:p>
    <w:p>
      <w:pPr>
        <w:pStyle w:val="TOC1"/>
        <w:tabs>
          <w:tab w:val="right" w:leader="dot" w:pos="8306"/>
        </w:tabs>
      </w:pPr>
      <w:hyperlink w:anchor="_Toc18124" w:history="1">
        <w:r>
          <w:rPr>
            <w:rFonts w:ascii="仿宋" w:eastAsia="仿宋" w:hAnsi="仿宋" w:cs="仿宋" w:hint="eastAsia"/>
            <w:lang w:eastAsia="zh-CN"/>
          </w:rPr>
          <w:t>八、环境污染处理专用药剂材料项目风险管理</w:t>
        </w:r>
        <w:r>
          <w:tab/>
        </w:r>
        <w:r>
          <w:fldChar w:fldCharType="begin"/>
        </w:r>
        <w:r>
          <w:instrText xml:space="preserve"> PAGEREF _Toc18124 \h </w:instrText>
        </w:r>
        <w:r>
          <w:fldChar w:fldCharType="separate"/>
        </w:r>
        <w:r>
          <w:t>26</w:t>
        </w:r>
        <w:r>
          <w:fldChar w:fldCharType="end"/>
        </w:r>
      </w:hyperlink>
    </w:p>
    <w:p>
      <w:pPr>
        <w:pStyle w:val="TOC2"/>
        <w:tabs>
          <w:tab w:val="right" w:leader="dot" w:pos="8306"/>
        </w:tabs>
      </w:pPr>
      <w:hyperlink w:anchor="_Toc30906" w:history="1">
        <w:r>
          <w:rPr>
            <w:rFonts w:ascii="仿宋" w:eastAsia="仿宋" w:hAnsi="仿宋" w:cs="仿宋" w:hint="eastAsia"/>
            <w:lang w:eastAsia="zh-CN"/>
          </w:rPr>
          <w:t>(一)、风险识别与评估</w:t>
        </w:r>
        <w:r>
          <w:tab/>
        </w:r>
        <w:r>
          <w:fldChar w:fldCharType="begin"/>
        </w:r>
        <w:r>
          <w:instrText xml:space="preserve"> PAGEREF _Toc30906 \h </w:instrText>
        </w:r>
        <w:r>
          <w:fldChar w:fldCharType="separate"/>
        </w:r>
        <w:r>
          <w:t>26</w:t>
        </w:r>
        <w:r>
          <w:fldChar w:fldCharType="end"/>
        </w:r>
      </w:hyperlink>
    </w:p>
    <w:p>
      <w:pPr>
        <w:pStyle w:val="TOC2"/>
        <w:tabs>
          <w:tab w:val="right" w:leader="dot" w:pos="8306"/>
        </w:tabs>
      </w:pPr>
      <w:hyperlink w:anchor="_Toc12365" w:history="1">
        <w:r>
          <w:rPr>
            <w:rFonts w:ascii="仿宋" w:eastAsia="仿宋" w:hAnsi="仿宋" w:cs="仿宋" w:hint="eastAsia"/>
            <w:lang w:eastAsia="zh-CN"/>
          </w:rPr>
          <w:t>(二)、风险应对策略</w:t>
        </w:r>
        <w:r>
          <w:tab/>
        </w:r>
        <w:r>
          <w:fldChar w:fldCharType="begin"/>
        </w:r>
        <w:r>
          <w:instrText xml:space="preserve"> PAGEREF _Toc12365 \h </w:instrText>
        </w:r>
        <w:r>
          <w:fldChar w:fldCharType="separate"/>
        </w:r>
        <w:r>
          <w:t>27</w:t>
        </w:r>
        <w:r>
          <w:fldChar w:fldCharType="end"/>
        </w:r>
      </w:hyperlink>
    </w:p>
    <w:p>
      <w:pPr>
        <w:pStyle w:val="TOC2"/>
        <w:tabs>
          <w:tab w:val="right" w:leader="dot" w:pos="8306"/>
        </w:tabs>
      </w:pPr>
      <w:hyperlink w:anchor="_Toc16498" w:history="1">
        <w:r>
          <w:rPr>
            <w:rFonts w:ascii="仿宋" w:eastAsia="仿宋" w:hAnsi="仿宋" w:cs="仿宋" w:hint="eastAsia"/>
            <w:lang w:eastAsia="zh-CN"/>
          </w:rPr>
          <w:t>(三)、风险监控与控制</w:t>
        </w:r>
        <w:r>
          <w:tab/>
        </w:r>
        <w:r>
          <w:fldChar w:fldCharType="begin"/>
        </w:r>
        <w:r>
          <w:instrText xml:space="preserve"> PAGEREF _Toc16498 \h </w:instrText>
        </w:r>
        <w:r>
          <w:fldChar w:fldCharType="separate"/>
        </w:r>
        <w:r>
          <w:t>29</w:t>
        </w:r>
        <w:r>
          <w:fldChar w:fldCharType="end"/>
        </w:r>
      </w:hyperlink>
    </w:p>
    <w:p>
      <w:pPr>
        <w:pStyle w:val="TOC1"/>
        <w:tabs>
          <w:tab w:val="right" w:leader="dot" w:pos="8306"/>
        </w:tabs>
      </w:pPr>
      <w:hyperlink w:anchor="_Toc20117" w:history="1">
        <w:r>
          <w:rPr>
            <w:rFonts w:ascii="仿宋" w:eastAsia="仿宋" w:hAnsi="仿宋" w:cs="仿宋" w:hint="eastAsia"/>
            <w:lang w:eastAsia="zh-CN"/>
          </w:rPr>
          <w:t>九、环境污染处理专用药剂材料项目社会影响</w:t>
        </w:r>
        <w:r>
          <w:tab/>
        </w:r>
        <w:r>
          <w:fldChar w:fldCharType="begin"/>
        </w:r>
        <w:r>
          <w:instrText xml:space="preserve"> PAGEREF _Toc20117 \h </w:instrText>
        </w:r>
        <w:r>
          <w:fldChar w:fldCharType="separate"/>
        </w:r>
        <w:r>
          <w:t>30</w:t>
        </w:r>
        <w:r>
          <w:fldChar w:fldCharType="end"/>
        </w:r>
      </w:hyperlink>
    </w:p>
    <w:p>
      <w:pPr>
        <w:pStyle w:val="TOC2"/>
        <w:tabs>
          <w:tab w:val="right" w:leader="dot" w:pos="8306"/>
        </w:tabs>
      </w:pPr>
      <w:hyperlink w:anchor="_Toc32485" w:history="1">
        <w:r>
          <w:rPr>
            <w:rFonts w:ascii="仿宋" w:eastAsia="仿宋" w:hAnsi="仿宋" w:cs="仿宋" w:hint="eastAsia"/>
            <w:lang w:eastAsia="zh-CN"/>
          </w:rPr>
          <w:t>(一)、社会责任与义务</w:t>
        </w:r>
        <w:r>
          <w:tab/>
        </w:r>
        <w:r>
          <w:fldChar w:fldCharType="begin"/>
        </w:r>
        <w:r>
          <w:instrText xml:space="preserve"> PAGEREF _Toc32485 \h </w:instrText>
        </w:r>
        <w:r>
          <w:fldChar w:fldCharType="separate"/>
        </w:r>
        <w:r>
          <w:t>30</w:t>
        </w:r>
        <w:r>
          <w:fldChar w:fldCharType="end"/>
        </w:r>
      </w:hyperlink>
    </w:p>
    <w:p>
      <w:pPr>
        <w:pStyle w:val="TOC2"/>
        <w:tabs>
          <w:tab w:val="right" w:leader="dot" w:pos="8306"/>
        </w:tabs>
      </w:pPr>
      <w:hyperlink w:anchor="_Toc23167" w:history="1">
        <w:r>
          <w:rPr>
            <w:rFonts w:ascii="仿宋" w:eastAsia="仿宋" w:hAnsi="仿宋" w:cs="仿宋" w:hint="eastAsia"/>
            <w:lang w:eastAsia="zh-CN"/>
          </w:rPr>
          <w:t>(二)、社会参与与沟通</w:t>
        </w:r>
        <w:r>
          <w:tab/>
        </w:r>
        <w:r>
          <w:fldChar w:fldCharType="begin"/>
        </w:r>
        <w:r>
          <w:instrText xml:space="preserve"> PAGEREF _Toc23167 \h </w:instrText>
        </w:r>
        <w:r>
          <w:fldChar w:fldCharType="separate"/>
        </w:r>
        <w:r>
          <w:t>31</w:t>
        </w:r>
        <w:r>
          <w:fldChar w:fldCharType="end"/>
        </w:r>
      </w:hyperlink>
    </w:p>
    <w:p>
      <w:pPr>
        <w:pStyle w:val="TOC1"/>
        <w:tabs>
          <w:tab w:val="right" w:leader="dot" w:pos="8306"/>
        </w:tabs>
      </w:pPr>
      <w:hyperlink w:anchor="_Toc19458" w:history="1">
        <w:r>
          <w:rPr>
            <w:rFonts w:ascii="仿宋" w:eastAsia="仿宋" w:hAnsi="仿宋" w:cs="仿宋" w:hint="eastAsia"/>
            <w:lang w:eastAsia="zh-CN"/>
          </w:rPr>
          <w:t>十、生产安全保护</w:t>
        </w:r>
        <w:r>
          <w:tab/>
        </w:r>
        <w:r>
          <w:fldChar w:fldCharType="begin"/>
        </w:r>
        <w:r>
          <w:instrText xml:space="preserve"> PAGEREF _Toc19458 \h </w:instrText>
        </w:r>
        <w:r>
          <w:fldChar w:fldCharType="separate"/>
        </w:r>
        <w:r>
          <w:t>32</w:t>
        </w:r>
        <w:r>
          <w:fldChar w:fldCharType="end"/>
        </w:r>
      </w:hyperlink>
    </w:p>
    <w:p>
      <w:pPr>
        <w:pStyle w:val="TOC2"/>
        <w:tabs>
          <w:tab w:val="right" w:leader="dot" w:pos="8306"/>
        </w:tabs>
      </w:pPr>
      <w:hyperlink w:anchor="_Toc19632" w:history="1">
        <w:r>
          <w:rPr>
            <w:rFonts w:ascii="仿宋" w:eastAsia="仿宋" w:hAnsi="仿宋" w:cs="仿宋" w:hint="eastAsia"/>
            <w:lang w:eastAsia="zh-CN"/>
          </w:rPr>
          <w:t>(一)、消防安全</w:t>
        </w:r>
        <w:r>
          <w:tab/>
        </w:r>
        <w:r>
          <w:fldChar w:fldCharType="begin"/>
        </w:r>
        <w:r>
          <w:instrText xml:space="preserve"> PAGEREF _Toc19632 \h </w:instrText>
        </w:r>
        <w:r>
          <w:fldChar w:fldCharType="separate"/>
        </w:r>
        <w:r>
          <w:t>32</w:t>
        </w:r>
        <w:r>
          <w:fldChar w:fldCharType="end"/>
        </w:r>
      </w:hyperlink>
    </w:p>
    <w:p>
      <w:pPr>
        <w:pStyle w:val="TOC2"/>
        <w:tabs>
          <w:tab w:val="right" w:leader="dot" w:pos="8306"/>
        </w:tabs>
      </w:pPr>
      <w:hyperlink w:anchor="_Toc25712" w:history="1">
        <w:r>
          <w:rPr>
            <w:rFonts w:ascii="仿宋" w:eastAsia="仿宋" w:hAnsi="仿宋" w:cs="仿宋" w:hint="eastAsia"/>
            <w:lang w:eastAsia="zh-CN"/>
          </w:rPr>
          <w:t>(二)、防火防爆总图布置措施</w:t>
        </w:r>
        <w:r>
          <w:tab/>
        </w:r>
        <w:r>
          <w:fldChar w:fldCharType="begin"/>
        </w:r>
        <w:r>
          <w:instrText xml:space="preserve"> PAGEREF _Toc25712 \h </w:instrText>
        </w:r>
        <w:r>
          <w:fldChar w:fldCharType="separate"/>
        </w:r>
        <w:r>
          <w:t>34</w:t>
        </w:r>
        <w:r>
          <w:fldChar w:fldCharType="end"/>
        </w:r>
      </w:hyperlink>
    </w:p>
    <w:p>
      <w:pPr>
        <w:pStyle w:val="TOC2"/>
        <w:tabs>
          <w:tab w:val="right" w:leader="dot" w:pos="8306"/>
        </w:tabs>
      </w:pPr>
      <w:hyperlink w:anchor="_Toc17284" w:history="1">
        <w:r>
          <w:rPr>
            <w:rFonts w:ascii="仿宋" w:eastAsia="仿宋" w:hAnsi="仿宋" w:cs="仿宋" w:hint="eastAsia"/>
            <w:lang w:eastAsia="zh-CN"/>
          </w:rPr>
          <w:t>(三)、自然灾害防范措施</w:t>
        </w:r>
        <w:r>
          <w:tab/>
        </w:r>
        <w:r>
          <w:fldChar w:fldCharType="begin"/>
        </w:r>
        <w:r>
          <w:instrText xml:space="preserve"> PAGEREF _Toc17284 \h </w:instrText>
        </w:r>
        <w:r>
          <w:fldChar w:fldCharType="separate"/>
        </w:r>
        <w:r>
          <w:t>35</w:t>
        </w:r>
        <w:r>
          <w:fldChar w:fldCharType="end"/>
        </w:r>
      </w:hyperlink>
    </w:p>
    <w:p>
      <w:pPr>
        <w:pStyle w:val="TOC2"/>
        <w:tabs>
          <w:tab w:val="right" w:leader="dot" w:pos="8306"/>
        </w:tabs>
      </w:pPr>
      <w:hyperlink w:anchor="_Toc6203" w:history="1">
        <w:r>
          <w:rPr>
            <w:rFonts w:ascii="仿宋" w:eastAsia="仿宋" w:hAnsi="仿宋" w:cs="仿宋" w:hint="eastAsia"/>
            <w:lang w:eastAsia="zh-CN"/>
          </w:rPr>
          <w:t>(四)、安全色及安全标志使用要求</w:t>
        </w:r>
        <w:r>
          <w:tab/>
        </w:r>
        <w:r>
          <w:fldChar w:fldCharType="begin"/>
        </w:r>
        <w:r>
          <w:instrText xml:space="preserve"> PAGEREF _Toc6203 \h </w:instrText>
        </w:r>
        <w:r>
          <w:fldChar w:fldCharType="separate"/>
        </w:r>
        <w:r>
          <w:t>36</w:t>
        </w:r>
        <w:r>
          <w:fldChar w:fldCharType="end"/>
        </w:r>
      </w:hyperlink>
    </w:p>
    <w:p>
      <w:pPr>
        <w:pStyle w:val="TOC2"/>
        <w:tabs>
          <w:tab w:val="right" w:leader="dot" w:pos="8306"/>
        </w:tabs>
      </w:pPr>
      <w:hyperlink w:anchor="_Toc21871" w:history="1">
        <w:r>
          <w:rPr>
            <w:rFonts w:ascii="仿宋" w:eastAsia="仿宋" w:hAnsi="仿宋" w:cs="仿宋" w:hint="eastAsia"/>
            <w:lang w:eastAsia="zh-CN"/>
          </w:rPr>
          <w:t>(五)、防尘防毒措施</w:t>
        </w:r>
        <w:r>
          <w:tab/>
        </w:r>
        <w:r>
          <w:fldChar w:fldCharType="begin"/>
        </w:r>
        <w:r>
          <w:instrText xml:space="preserve"> PAGEREF _Toc21871 \h </w:instrText>
        </w:r>
        <w:r>
          <w:fldChar w:fldCharType="separate"/>
        </w:r>
        <w:r>
          <w:t>37</w:t>
        </w:r>
        <w:r>
          <w:fldChar w:fldCharType="end"/>
        </w:r>
      </w:hyperlink>
    </w:p>
    <w:p>
      <w:pPr>
        <w:pStyle w:val="TOC2"/>
        <w:tabs>
          <w:tab w:val="right" w:leader="dot" w:pos="8306"/>
        </w:tabs>
      </w:pPr>
      <w:hyperlink w:anchor="_Toc30779" w:history="1">
        <w:r>
          <w:rPr>
            <w:rFonts w:ascii="仿宋" w:eastAsia="仿宋" w:hAnsi="仿宋" w:cs="仿宋" w:hint="eastAsia"/>
            <w:lang w:eastAsia="zh-CN"/>
          </w:rPr>
          <w:t>(六)、防静电、触电防护及防雷措施</w:t>
        </w:r>
        <w:r>
          <w:tab/>
        </w:r>
        <w:r>
          <w:fldChar w:fldCharType="begin"/>
        </w:r>
        <w:r>
          <w:instrText xml:space="preserve"> PAGEREF _Toc30779 \h </w:instrText>
        </w:r>
        <w:r>
          <w:fldChar w:fldCharType="separate"/>
        </w:r>
        <w:r>
          <w:t>38</w:t>
        </w:r>
        <w:r>
          <w:fldChar w:fldCharType="end"/>
        </w:r>
      </w:hyperlink>
    </w:p>
    <w:p>
      <w:pPr>
        <w:pStyle w:val="TOC2"/>
        <w:tabs>
          <w:tab w:val="right" w:leader="dot" w:pos="8306"/>
        </w:tabs>
      </w:pPr>
      <w:hyperlink w:anchor="_Toc6994" w:history="1">
        <w:r>
          <w:rPr>
            <w:rFonts w:ascii="仿宋" w:eastAsia="仿宋" w:hAnsi="仿宋" w:cs="仿宋" w:hint="eastAsia"/>
            <w:lang w:eastAsia="zh-CN"/>
          </w:rPr>
          <w:t>(七)、机械设备安全保障措施</w:t>
        </w:r>
        <w:r>
          <w:tab/>
        </w:r>
        <w:r>
          <w:fldChar w:fldCharType="begin"/>
        </w:r>
        <w:r>
          <w:instrText xml:space="preserve"> PAGEREF _Toc6994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49" w:history="1">
        <w:r>
          <w:rPr>
            <w:rFonts w:ascii="仿宋" w:eastAsia="仿宋" w:hAnsi="仿宋" w:cs="仿宋" w:hint="eastAsia"/>
            <w:lang w:eastAsia="zh-CN"/>
          </w:rPr>
          <w:t>十一、环境污染处理专用药剂材料项目人力资源培养与发展</w:t>
        </w:r>
        <w:r>
          <w:tab/>
        </w:r>
        <w:r>
          <w:fldChar w:fldCharType="begin"/>
        </w:r>
        <w:r>
          <w:instrText xml:space="preserve"> PAGEREF _Toc32649 \h </w:instrText>
        </w:r>
        <w:r>
          <w:fldChar w:fldCharType="separate"/>
        </w:r>
        <w:r>
          <w:t>41</w:t>
        </w:r>
        <w:r>
          <w:fldChar w:fldCharType="end"/>
        </w:r>
      </w:hyperlink>
    </w:p>
    <w:p>
      <w:pPr>
        <w:pStyle w:val="TOC2"/>
        <w:tabs>
          <w:tab w:val="right" w:leader="dot" w:pos="8306"/>
        </w:tabs>
      </w:pPr>
      <w:hyperlink w:anchor="_Toc23194" w:history="1">
        <w:r>
          <w:rPr>
            <w:rFonts w:ascii="仿宋" w:eastAsia="仿宋" w:hAnsi="仿宋" w:cs="仿宋" w:hint="eastAsia"/>
            <w:lang w:eastAsia="zh-CN"/>
          </w:rPr>
          <w:t>(一)、人才需求与规划</w:t>
        </w:r>
        <w:r>
          <w:tab/>
        </w:r>
        <w:r>
          <w:fldChar w:fldCharType="begin"/>
        </w:r>
        <w:r>
          <w:instrText xml:space="preserve"> PAGEREF _Toc23194 \h </w:instrText>
        </w:r>
        <w:r>
          <w:fldChar w:fldCharType="separate"/>
        </w:r>
        <w:r>
          <w:t>41</w:t>
        </w:r>
        <w:r>
          <w:fldChar w:fldCharType="end"/>
        </w:r>
      </w:hyperlink>
    </w:p>
    <w:p>
      <w:pPr>
        <w:pStyle w:val="TOC2"/>
        <w:tabs>
          <w:tab w:val="right" w:leader="dot" w:pos="8306"/>
        </w:tabs>
      </w:pPr>
      <w:hyperlink w:anchor="_Toc8633" w:history="1">
        <w:r>
          <w:rPr>
            <w:rFonts w:ascii="仿宋" w:eastAsia="仿宋" w:hAnsi="仿宋" w:cs="仿宋" w:hint="eastAsia"/>
            <w:lang w:eastAsia="zh-CN"/>
          </w:rPr>
          <w:t>(二)、培训与发展计划</w:t>
        </w:r>
        <w:r>
          <w:tab/>
        </w:r>
        <w:r>
          <w:fldChar w:fldCharType="begin"/>
        </w:r>
        <w:r>
          <w:instrText xml:space="preserve"> PAGEREF _Toc8633 \h </w:instrText>
        </w:r>
        <w:r>
          <w:fldChar w:fldCharType="separate"/>
        </w:r>
        <w:r>
          <w:t>41</w:t>
        </w:r>
        <w:r>
          <w:fldChar w:fldCharType="end"/>
        </w:r>
      </w:hyperlink>
    </w:p>
    <w:p>
      <w:pPr>
        <w:pStyle w:val="TOC1"/>
        <w:tabs>
          <w:tab w:val="right" w:leader="dot" w:pos="8306"/>
        </w:tabs>
      </w:pPr>
      <w:hyperlink w:anchor="_Toc13594" w:history="1">
        <w:r>
          <w:rPr>
            <w:rFonts w:ascii="仿宋" w:eastAsia="仿宋" w:hAnsi="仿宋" w:cs="仿宋" w:hint="eastAsia"/>
            <w:lang w:eastAsia="zh-CN"/>
          </w:rPr>
          <w:t>十二、环境污染处理专用药剂材料项目计划安排</w:t>
        </w:r>
        <w:r>
          <w:tab/>
        </w:r>
        <w:r>
          <w:fldChar w:fldCharType="begin"/>
        </w:r>
        <w:r>
          <w:instrText xml:space="preserve"> PAGEREF _Toc13594 \h </w:instrText>
        </w:r>
        <w:r>
          <w:fldChar w:fldCharType="separate"/>
        </w:r>
        <w:r>
          <w:t>42</w:t>
        </w:r>
        <w:r>
          <w:fldChar w:fldCharType="end"/>
        </w:r>
      </w:hyperlink>
    </w:p>
    <w:p>
      <w:pPr>
        <w:pStyle w:val="TOC2"/>
        <w:tabs>
          <w:tab w:val="right" w:leader="dot" w:pos="8306"/>
        </w:tabs>
      </w:pPr>
      <w:hyperlink w:anchor="_Toc11179" w:history="1">
        <w:r>
          <w:rPr>
            <w:rFonts w:ascii="仿宋" w:eastAsia="仿宋" w:hAnsi="仿宋" w:cs="仿宋" w:hint="eastAsia"/>
            <w:lang w:eastAsia="zh-CN"/>
          </w:rPr>
          <w:t>(一)、建设周期</w:t>
        </w:r>
        <w:r>
          <w:tab/>
        </w:r>
        <w:r>
          <w:fldChar w:fldCharType="begin"/>
        </w:r>
        <w:r>
          <w:instrText xml:space="preserve"> PAGEREF _Toc11179 \h </w:instrText>
        </w:r>
        <w:r>
          <w:fldChar w:fldCharType="separate"/>
        </w:r>
        <w:r>
          <w:t>42</w:t>
        </w:r>
        <w:r>
          <w:fldChar w:fldCharType="end"/>
        </w:r>
      </w:hyperlink>
    </w:p>
    <w:p>
      <w:pPr>
        <w:pStyle w:val="TOC2"/>
        <w:tabs>
          <w:tab w:val="right" w:leader="dot" w:pos="8306"/>
        </w:tabs>
      </w:pPr>
      <w:hyperlink w:anchor="_Toc13575" w:history="1">
        <w:r>
          <w:rPr>
            <w:rFonts w:ascii="仿宋" w:eastAsia="仿宋" w:hAnsi="仿宋" w:cs="仿宋" w:hint="eastAsia"/>
            <w:lang w:eastAsia="zh-CN"/>
          </w:rPr>
          <w:t>(二)、建设进度</w:t>
        </w:r>
        <w:r>
          <w:tab/>
        </w:r>
        <w:r>
          <w:fldChar w:fldCharType="begin"/>
        </w:r>
        <w:r>
          <w:instrText xml:space="preserve"> PAGEREF _Toc13575 \h </w:instrText>
        </w:r>
        <w:r>
          <w:fldChar w:fldCharType="separate"/>
        </w:r>
        <w:r>
          <w:t>43</w:t>
        </w:r>
        <w:r>
          <w:fldChar w:fldCharType="end"/>
        </w:r>
      </w:hyperlink>
    </w:p>
    <w:p>
      <w:pPr>
        <w:pStyle w:val="TOC2"/>
        <w:tabs>
          <w:tab w:val="right" w:leader="dot" w:pos="8306"/>
        </w:tabs>
      </w:pPr>
      <w:hyperlink w:anchor="_Toc5179" w:history="1">
        <w:r>
          <w:rPr>
            <w:rFonts w:ascii="仿宋" w:eastAsia="仿宋" w:hAnsi="仿宋" w:cs="仿宋" w:hint="eastAsia"/>
            <w:lang w:eastAsia="zh-CN"/>
          </w:rPr>
          <w:t>(三)、进度安排注意事项</w:t>
        </w:r>
        <w:r>
          <w:tab/>
        </w:r>
        <w:r>
          <w:fldChar w:fldCharType="begin"/>
        </w:r>
        <w:r>
          <w:instrText xml:space="preserve"> PAGEREF _Toc5179 \h </w:instrText>
        </w:r>
        <w:r>
          <w:fldChar w:fldCharType="separate"/>
        </w:r>
        <w:r>
          <w:t>44</w:t>
        </w:r>
        <w:r>
          <w:fldChar w:fldCharType="end"/>
        </w:r>
      </w:hyperlink>
    </w:p>
    <w:p>
      <w:pPr>
        <w:pStyle w:val="TOC2"/>
        <w:tabs>
          <w:tab w:val="right" w:leader="dot" w:pos="8306"/>
        </w:tabs>
      </w:pPr>
      <w:hyperlink w:anchor="_Toc32123" w:history="1">
        <w:r>
          <w:rPr>
            <w:rFonts w:ascii="仿宋" w:eastAsia="仿宋" w:hAnsi="仿宋" w:cs="仿宋" w:hint="eastAsia"/>
            <w:lang w:eastAsia="zh-CN"/>
          </w:rPr>
          <w:t>(四)、人力资源配置</w:t>
        </w:r>
        <w:r>
          <w:tab/>
        </w:r>
        <w:r>
          <w:fldChar w:fldCharType="begin"/>
        </w:r>
        <w:r>
          <w:instrText xml:space="preserve"> PAGEREF _Toc32123 \h </w:instrText>
        </w:r>
        <w:r>
          <w:fldChar w:fldCharType="separate"/>
        </w:r>
        <w:r>
          <w:t>46</w:t>
        </w:r>
        <w:r>
          <w:fldChar w:fldCharType="end"/>
        </w:r>
      </w:hyperlink>
    </w:p>
    <w:p>
      <w:pPr>
        <w:pStyle w:val="TOC1"/>
        <w:tabs>
          <w:tab w:val="right" w:leader="dot" w:pos="8306"/>
        </w:tabs>
      </w:pPr>
      <w:hyperlink w:anchor="_Toc788" w:history="1">
        <w:r>
          <w:rPr>
            <w:rFonts w:ascii="仿宋" w:eastAsia="仿宋" w:hAnsi="仿宋" w:cs="仿宋" w:hint="eastAsia"/>
            <w:lang w:eastAsia="zh-CN"/>
          </w:rPr>
          <w:t>十三、营销与推广策略</w:t>
        </w:r>
        <w:r>
          <w:tab/>
        </w:r>
        <w:r>
          <w:fldChar w:fldCharType="begin"/>
        </w:r>
        <w:r>
          <w:instrText xml:space="preserve"> PAGEREF _Toc788 \h </w:instrText>
        </w:r>
        <w:r>
          <w:fldChar w:fldCharType="separate"/>
        </w:r>
        <w:r>
          <w:t>47</w:t>
        </w:r>
        <w:r>
          <w:fldChar w:fldCharType="end"/>
        </w:r>
      </w:hyperlink>
    </w:p>
    <w:p>
      <w:pPr>
        <w:pStyle w:val="TOC2"/>
        <w:tabs>
          <w:tab w:val="right" w:leader="dot" w:pos="8306"/>
        </w:tabs>
      </w:pPr>
      <w:hyperlink w:anchor="_Toc27754" w:history="1">
        <w:r>
          <w:rPr>
            <w:rFonts w:ascii="仿宋" w:eastAsia="仿宋" w:hAnsi="仿宋" w:cs="仿宋" w:hint="eastAsia"/>
            <w:lang w:eastAsia="zh-CN"/>
          </w:rPr>
          <w:t>(一)、产品/服务定位与特点</w:t>
        </w:r>
        <w:r>
          <w:tab/>
        </w:r>
        <w:r>
          <w:fldChar w:fldCharType="begin"/>
        </w:r>
        <w:r>
          <w:instrText xml:space="preserve"> PAGEREF _Toc27754 \h </w:instrText>
        </w:r>
        <w:r>
          <w:fldChar w:fldCharType="separate"/>
        </w:r>
        <w:r>
          <w:t>47</w:t>
        </w:r>
        <w:r>
          <w:fldChar w:fldCharType="end"/>
        </w:r>
      </w:hyperlink>
    </w:p>
    <w:p>
      <w:pPr>
        <w:pStyle w:val="TOC2"/>
        <w:tabs>
          <w:tab w:val="right" w:leader="dot" w:pos="8306"/>
        </w:tabs>
      </w:pPr>
      <w:hyperlink w:anchor="_Toc18289" w:history="1">
        <w:r>
          <w:rPr>
            <w:rFonts w:ascii="仿宋" w:eastAsia="仿宋" w:hAnsi="仿宋" w:cs="仿宋" w:hint="eastAsia"/>
            <w:lang w:eastAsia="zh-CN"/>
          </w:rPr>
          <w:t>(二)、市场定位与竞争分析</w:t>
        </w:r>
        <w:r>
          <w:tab/>
        </w:r>
        <w:r>
          <w:fldChar w:fldCharType="begin"/>
        </w:r>
        <w:r>
          <w:instrText xml:space="preserve"> PAGEREF _Toc18289 \h </w:instrText>
        </w:r>
        <w:r>
          <w:fldChar w:fldCharType="separate"/>
        </w:r>
        <w:r>
          <w:t>48</w:t>
        </w:r>
        <w:r>
          <w:fldChar w:fldCharType="end"/>
        </w:r>
      </w:hyperlink>
    </w:p>
    <w:p>
      <w:pPr>
        <w:pStyle w:val="TOC2"/>
        <w:tabs>
          <w:tab w:val="right" w:leader="dot" w:pos="8306"/>
        </w:tabs>
      </w:pPr>
      <w:hyperlink w:anchor="_Toc8437" w:history="1">
        <w:r>
          <w:rPr>
            <w:rFonts w:ascii="仿宋" w:eastAsia="仿宋" w:hAnsi="仿宋" w:cs="仿宋" w:hint="eastAsia"/>
            <w:lang w:eastAsia="zh-CN"/>
          </w:rPr>
          <w:t>(三)、营销渠道与策略</w:t>
        </w:r>
        <w:r>
          <w:tab/>
        </w:r>
        <w:r>
          <w:fldChar w:fldCharType="begin"/>
        </w:r>
        <w:r>
          <w:instrText xml:space="preserve"> PAGEREF _Toc8437 \h </w:instrText>
        </w:r>
        <w:r>
          <w:fldChar w:fldCharType="separate"/>
        </w:r>
        <w:r>
          <w:t>49</w:t>
        </w:r>
        <w:r>
          <w:fldChar w:fldCharType="end"/>
        </w:r>
      </w:hyperlink>
    </w:p>
    <w:p>
      <w:pPr>
        <w:pStyle w:val="TOC2"/>
        <w:tabs>
          <w:tab w:val="right" w:leader="dot" w:pos="8306"/>
        </w:tabs>
      </w:pPr>
      <w:hyperlink w:anchor="_Toc1426" w:history="1">
        <w:r>
          <w:rPr>
            <w:rFonts w:ascii="仿宋" w:eastAsia="仿宋" w:hAnsi="仿宋" w:cs="仿宋" w:hint="eastAsia"/>
            <w:lang w:eastAsia="zh-CN"/>
          </w:rPr>
          <w:t>(四)、推广与宣传活动</w:t>
        </w:r>
        <w:r>
          <w:tab/>
        </w:r>
        <w:r>
          <w:fldChar w:fldCharType="begin"/>
        </w:r>
        <w:r>
          <w:instrText xml:space="preserve"> PAGEREF _Toc1426 \h </w:instrText>
        </w:r>
        <w:r>
          <w:fldChar w:fldCharType="separate"/>
        </w:r>
        <w:r>
          <w:t>50</w:t>
        </w:r>
        <w:r>
          <w:fldChar w:fldCharType="end"/>
        </w:r>
      </w:hyperlink>
    </w:p>
    <w:p>
      <w:pPr>
        <w:pStyle w:val="TOC1"/>
        <w:tabs>
          <w:tab w:val="right" w:leader="dot" w:pos="8306"/>
        </w:tabs>
      </w:pPr>
      <w:hyperlink w:anchor="_Toc12655" w:history="1">
        <w:r>
          <w:rPr>
            <w:rFonts w:ascii="仿宋" w:eastAsia="仿宋" w:hAnsi="仿宋" w:cs="仿宋" w:hint="eastAsia"/>
            <w:lang w:eastAsia="zh-CN"/>
          </w:rPr>
          <w:t>十四、环境污染处理专用药剂材料项目工程方案分析</w:t>
        </w:r>
        <w:r>
          <w:tab/>
        </w:r>
        <w:r>
          <w:fldChar w:fldCharType="begin"/>
        </w:r>
        <w:r>
          <w:instrText xml:space="preserve"> PAGEREF _Toc12655 \h </w:instrText>
        </w:r>
        <w:r>
          <w:fldChar w:fldCharType="separate"/>
        </w:r>
        <w:r>
          <w:t>56</w:t>
        </w:r>
        <w:r>
          <w:fldChar w:fldCharType="end"/>
        </w:r>
      </w:hyperlink>
    </w:p>
    <w:p>
      <w:pPr>
        <w:pStyle w:val="TOC2"/>
        <w:tabs>
          <w:tab w:val="right" w:leader="dot" w:pos="8306"/>
        </w:tabs>
      </w:pPr>
      <w:hyperlink w:anchor="_Toc22829" w:history="1">
        <w:r>
          <w:rPr>
            <w:rFonts w:ascii="仿宋" w:eastAsia="仿宋" w:hAnsi="仿宋" w:cs="仿宋" w:hint="eastAsia"/>
            <w:lang w:eastAsia="zh-CN"/>
          </w:rPr>
          <w:t>(一)、建筑工程设计原则</w:t>
        </w:r>
        <w:r>
          <w:tab/>
        </w:r>
        <w:r>
          <w:fldChar w:fldCharType="begin"/>
        </w:r>
        <w:r>
          <w:instrText xml:space="preserve"> PAGEREF _Toc22829 \h </w:instrText>
        </w:r>
        <w:r>
          <w:fldChar w:fldCharType="separate"/>
        </w:r>
        <w:r>
          <w:t>56</w:t>
        </w:r>
        <w:r>
          <w:fldChar w:fldCharType="end"/>
        </w:r>
      </w:hyperlink>
    </w:p>
    <w:p>
      <w:pPr>
        <w:pStyle w:val="TOC2"/>
        <w:tabs>
          <w:tab w:val="right" w:leader="dot" w:pos="8306"/>
        </w:tabs>
      </w:pPr>
      <w:hyperlink w:anchor="_Toc30368" w:history="1">
        <w:r>
          <w:rPr>
            <w:rFonts w:ascii="仿宋" w:eastAsia="仿宋" w:hAnsi="仿宋" w:cs="仿宋" w:hint="eastAsia"/>
            <w:lang w:eastAsia="zh-CN"/>
          </w:rPr>
          <w:t>(二)、土建工程建设指标</w:t>
        </w:r>
        <w:r>
          <w:tab/>
        </w:r>
        <w:r>
          <w:fldChar w:fldCharType="begin"/>
        </w:r>
        <w:r>
          <w:instrText xml:space="preserve"> PAGEREF _Toc30368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53"/>
      <w:r>
        <w:rPr>
          <w:rFonts w:ascii="仿宋" w:eastAsia="仿宋" w:hAnsi="仿宋" w:cs="仿宋" w:hint="eastAsia"/>
          <w:sz w:val="28"/>
          <w:lang w:eastAsia="zh-CN"/>
        </w:rPr>
        <w:t>一、环境污染处理专用药剂材料项目绩效评估</w:t>
      </w:r>
      <w:bookmarkEnd w:id="2"/>
    </w:p>
    <w:p>
      <w:pPr>
        <w:pStyle w:val="Heading2"/>
        <w:rPr>
          <w:rFonts w:ascii="仿宋" w:eastAsia="仿宋" w:hAnsi="仿宋" w:cs="仿宋" w:hint="eastAsia"/>
          <w:lang w:eastAsia="zh-CN"/>
        </w:rPr>
      </w:pPr>
      <w:bookmarkStart w:id="3" w:name="_Toc97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处理专用药剂材料项目中，我们设计了一套全面的绩效评估指标，以确保环境污染处理专用药剂材料项目的可控和成功交付。这些指标跨足环境污染处理专用药剂材料项目目标、成本、进度和质量等多个维度，为我们提供了全面洞察环境污染处理专用药剂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目标达成率是我们关注的首要指标。我们设定了明确的目标，并通过定期监测和评估，迅速发现并应对潜在的目标偏差。这为环境污染处理专用药剂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成本绩效是另一个核心关注点。通过实际成本与预算成本的对比分析，我们深入了解成本差异的原因，及时调整资源分配，保持环境污染处理专用药剂材料项目在经济效益方面的合理水平。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进度作为关键的绩效指标之一，得到了精心的关注。我们制定了详细的环境污染处理专用药剂材料项目进度计划，并设立了进度符合度指标，确保实际进度与计划进度保持一致。这使我们能够快速发现和解决潜在的进度问题，保持环境污染处理专用药剂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境污染处理专用药剂材料项目绩效的不可或缺的一环。我们引入了一系列的质量标准和客户满意度指标，以确保环境污染处理专用药剂材料项目交付的成果在质量上达到或超越预期水平。通过持续监测这些指标，我们努力提升环境污染处理专用药剂材料项目整体质量水平，为环境污染处理专用药剂材料项目的成功交付提供有力保障。通过这些科学且全面的绩效评估，我们能够更好地引导环境污染处理专用药剂材料项目的持续改进，确保环境污染处理专用药剂材料项目目标的顺利达成。</w:t>
      </w:r>
    </w:p>
    <w:p>
      <w:pPr>
        <w:pStyle w:val="Heading2"/>
        <w:ind w:firstLine="560" w:firstLineChars="200"/>
        <w:rPr>
          <w:rFonts w:ascii="仿宋" w:eastAsia="仿宋" w:hAnsi="仿宋" w:cs="仿宋" w:hint="eastAsia"/>
          <w:sz w:val="28"/>
          <w:lang w:eastAsia="zh-CN"/>
        </w:rPr>
      </w:pPr>
      <w:bookmarkStart w:id="4" w:name="_Toc253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绩效评估是环境污染处理专用药剂材料项目中的关键环节，为确保环境污染处理专用药剂材料项目达到预期目标，我们采用了多层次、多维度的绩效评估方法。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境污染处理专用药剂材料项目的战略目标对齐，确保每个决策和行动都与环境污染处理专用药剂材料项目整体目标保持一致。团队会定期召开战略对齐会议，审视当前工作与环境污染处理专用药剂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污染处理专用药剂材料项目进度、质量、成本和风险等方面。这些指标通过数据收集和分析，为环境污染处理专用药剂材料项目管理团队提供了客观的评估依据。例如，我们通过环境污染处理专用药剂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境污染处理专用药剂材料项目内部，还考虑了环境污染处理专用药剂材料项目对外部环境的影响。我们定期进行干系人满意度调查，以了解各利益相关方对环境污染处理专用药剂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这种多层次、多角度的绩效评估方法，使得我们能够全面了解环境污染处理专用药剂材料项目的运行状态，及时做出调整，确保环境污染处理专用药剂材料项目在不断变化的环境中保持稳健前行。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93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为了确保环境污染处理专用药剂材料项目的有效管理和不断优化，我们采用了精心设计的绩效评估周期。这个周期旨在实现灵活、实时和全面的评估，以适应环境污染处理专用药剂材料项目执行中的各种挑战。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污染处理专用药剂材料项目的不同需求，分为短期、中期和长期。短期评估关注每个迭代或工作周期，以及时发现和解决当前任务中的问题。中期评估涵盖几个迭代，深入了解整体环境污染处理专用药剂材料项目的趋势和性能。长期评估则着眼于整个环境污染处理专用药剂材料项目阶段，确保环境污染处理专用药剂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境污染处理专用药剂材料项目管理工具和协作平台，团队成员能够随时更新和分享环境污染处理专用药剂材料项目数据。这种实时性的反馈机制使我们能够及时察觉潜在问题，快速调整，保持环境污染处理专用药剂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环境污染处理专用药剂材料项目的决策制定密不可分。每个周期的环境污染处理专用药剂材料项目回顾会议成为集体总结经验、识别问题深层次原因并找到创新解决方案的平台。这种定期的反思与调整机制使环境污染处理专用药剂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3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6684"/>
      <w:r>
        <w:rPr>
          <w:rFonts w:ascii="仿宋" w:eastAsia="仿宋" w:hAnsi="仿宋" w:cs="仿宋" w:hint="eastAsia"/>
          <w:lang w:eastAsia="zh-CN"/>
        </w:rPr>
        <w:t>(一)、环境污染处理专用药剂材料行业分析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行业一直以来都是市场的关注焦点。行业内的发展趋势、竞争态势以及潜在机会都对环境污染处理专用药剂材料项目的推进产生深远的影响。通过深入研究行业的整体概貌，我们将更好地理解行业的核心特征，为环境污染处理专用药剂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处理专用药剂材料行业，技术一直是推动创新和发展的关键因素。我们将对当前技术趋势进行详尽分析，包括但不限于人工智能、大数据应用、先进制造技术等。这有助于环境污染处理专用药剂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环境污染处理专用药剂材料项目成功的基础。我们将对主要竞争对手进行深入研究，包括其市场份额、产品特点、市场定位等。通过全面了解竞争对手的优势和劣势，环境污染处理专用药剂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611"/>
      <w:r>
        <w:rPr>
          <w:rFonts w:ascii="仿宋" w:eastAsia="仿宋" w:hAnsi="仿宋" w:cs="仿宋" w:hint="eastAsia"/>
          <w:sz w:val="28"/>
          <w:lang w:eastAsia="zh-CN"/>
        </w:rPr>
        <w:t>(二)、环境污染处理专用药剂材料市场分析预测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境污染处理专用药剂材料市场未来的增长趋势。这包括市场的整体规模、各细分领域的发展趋势等。环境污染处理专用药剂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境污染处理专用药剂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境污染处理专用药剂材料项目实施过程中需要充分考虑的因素。我们将对市场风险进行全面评估，包括但不限于政策法规风险、市场竞争风险、技术变革风险等。通过对潜在风险的深入分析，环境污染处理专用药剂材料项目可以制定相应的风险缓解策略，降低不确定性对环境污染处理专用药剂材料项目的影响。</w:t>
      </w:r>
    </w:p>
    <w:p>
      <w:pPr>
        <w:pStyle w:val="Heading1"/>
        <w:ind w:firstLine="560" w:firstLineChars="200"/>
        <w:rPr>
          <w:rFonts w:ascii="仿宋" w:eastAsia="仿宋" w:hAnsi="仿宋" w:cs="仿宋" w:hint="eastAsia"/>
          <w:sz w:val="28"/>
          <w:lang w:eastAsia="zh-CN"/>
        </w:rPr>
      </w:pPr>
      <w:bookmarkStart w:id="9" w:name="_Toc32212"/>
      <w:r>
        <w:rPr>
          <w:rFonts w:ascii="仿宋" w:eastAsia="仿宋" w:hAnsi="仿宋" w:cs="仿宋" w:hint="eastAsia"/>
          <w:sz w:val="28"/>
          <w:lang w:eastAsia="zh-CN"/>
        </w:rPr>
        <w:t>三、环境污染处理专用药剂材料项目危机管理</w:t>
      </w:r>
      <w:bookmarkEnd w:id="9"/>
    </w:p>
    <w:p>
      <w:pPr>
        <w:pStyle w:val="Heading2"/>
        <w:rPr>
          <w:rFonts w:ascii="仿宋" w:eastAsia="仿宋" w:hAnsi="仿宋" w:cs="仿宋" w:hint="eastAsia"/>
          <w:lang w:eastAsia="zh-CN"/>
        </w:rPr>
      </w:pPr>
      <w:bookmarkStart w:id="10" w:name="_Toc1000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处理专用药剂材料项目危机管理中，危机预警与识别是确保环境污染处理专用药剂材料项目稳健运行的核心步骤。通过建立全面的监测机制，环境污染处理专用药剂材料项目团队旨在及时发现和理解潜在的风险和危机因素，以便采取及时的预防和应对措施，确保环境污染处理专用药剂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境污染处理专用药剂材料项目团队全面分析了整个环境污染处理专用药剂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境污染处理专用药剂材料项目团队着重于明确定义环境污染处理专用药剂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境污染处理专用药剂材料项目进展的持续监控，团队能够及时发现潜在问题并作出迅速反应。环境污染处理专用药剂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境污染处理专用药剂材料项目得以更有序、可控地推进。</w:t>
      </w:r>
    </w:p>
    <w:p>
      <w:pPr>
        <w:pStyle w:val="Heading2"/>
        <w:ind w:firstLine="560" w:firstLineChars="200"/>
        <w:rPr>
          <w:rFonts w:ascii="仿宋" w:eastAsia="仿宋" w:hAnsi="仿宋" w:cs="仿宋" w:hint="eastAsia"/>
          <w:sz w:val="28"/>
          <w:lang w:eastAsia="zh-CN"/>
        </w:rPr>
      </w:pPr>
      <w:bookmarkStart w:id="11" w:name="_Toc1143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在危机发生时，环境污染处理专用药剂材料项目团队立即行动，成立了应急小组。该小组的任务是迅速制定并实施紧急应对措施，以最小化潜在损失。以下是采取的主要措施：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暂停环境污染处理专用药剂材料项目进度：为遏制危机蔓延，环境污染处理专用药剂材料项目暂时停止进行，以便全面评估当前状况。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资源重新分配：重新评估环境污染处理专用药剂材料项目资源的分配，确保最大限度地减小损失。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实时沟通：与关键利益相关者建立实时沟通机制，向他们传递环境污染处理专用药剂材料项目危机的实际状况，保障环境污染处理专用药剂材料项目核心利益。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在紧急应对的同时，环境污染处理专用药剂材料项目团队强调了团队协作和有效沟通的重要性。以下是团队协作的关键举措：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信息共享机制：建立了信息共享平台，确保团队成员能够及时获取环境污染处理专用药剂材料项目危机的实时信息。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领导者沟通：环境污染处理专用药剂材料项目领导者通过定期会议和即时沟通工具，指导团队应对危机，保持团队稳定运行。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随着危机得到初步控制，环境污染处理专用药剂材料项目团队转向制定恢复计划，以确保环境污染处理专用药剂材料项目能够从中迅速恢复。主要恢复计划包括：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修复受损的进度计划：重新评估环境污染处理专用药剂材料项目进度，制定修复计划，确保环境污染处理专用药剂材料项目尽快回归正常进程。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重新调整资源分配：优化资源分配，确保环境污染处理专用药剂材料项目在有限资源下高效运转。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风险管理机制加强：对环境污染处理专用药剂材料项目风险进行全面评估，制定更强化的风险管理策略，以预防未来可能的危机。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109"/>
      <w:r>
        <w:rPr>
          <w:rFonts w:ascii="仿宋" w:eastAsia="仿宋" w:hAnsi="仿宋" w:cs="仿宋" w:hint="eastAsia"/>
          <w:sz w:val="28"/>
          <w:lang w:eastAsia="zh-CN"/>
        </w:rPr>
        <w:t>四、环境污染处理专用药剂材料项目概论</w:t>
      </w:r>
      <w:bookmarkEnd w:id="12"/>
    </w:p>
    <w:p>
      <w:pPr>
        <w:pStyle w:val="Heading2"/>
        <w:rPr>
          <w:rFonts w:ascii="仿宋" w:eastAsia="仿宋" w:hAnsi="仿宋" w:cs="仿宋" w:hint="eastAsia"/>
          <w:lang w:eastAsia="zh-CN"/>
        </w:rPr>
      </w:pPr>
      <w:bookmarkStart w:id="13" w:name="_Toc26392"/>
      <w:r>
        <w:rPr>
          <w:rFonts w:ascii="仿宋" w:eastAsia="仿宋" w:hAnsi="仿宋" w:cs="仿宋" w:hint="eastAsia"/>
          <w:lang w:eastAsia="zh-CN"/>
        </w:rPr>
        <w:t>(一)、环境污染处理专用药剂材料项目概况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境污染处理专用药剂材料项目的起源追溯至对市场的深入洞察。市场的不断演变与变革为环境污染处理专用药剂材料项目提供了难得的机遇。当前市场存在的需求缺口和变革的大环境共同构成了环境污染处理专用药剂材料项目的背景。这个环境污染处理专用药剂材料项目旨在充分利用市场机遇，填补行业中尚未满足的需求，为客户提供全新的解决方案。市场的变革和需求的增长使得这个环境污染处理专用药剂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环境污染处理专用药剂材料项目名称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正式命名为环境污染处理专用药剂材料。这个名称不仅仅是一个标识，更代表了环境污染处理专用药剂材料项目的核心理念和愿景。它蕴含着环境污染处理专用药剂材料项目所要解决问题的关键字，具有强烈的表达和辨识度，为环境污染处理专用药剂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环境污染处理专用药剂材料项目目标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核心目标是提供一种全新、高效的解决方案，满足客户日益增长的需求。环境污染处理专用药剂材料项目追求的不仅仅是满足市场需求，更是在市场中获得卓越的竞争优势。通过不断提升产品或服务的质量和创新水平，环境污染处理专用药剂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环境污染处理专用药剂材料项目范围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全面涵盖了产品研发、制造、市场推广和售后服务，确保从产品设计到最终用户体验的全方位关注。这一全面的环境污染处理专用药剂材料项目范围是为了确保环境污染处理专用药剂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环境污染处理专用药剂材料项目时间表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计划在未来18个月内完成，包括研发、测试、市场试点和正式推出等不同阶段。这个时间表的合理设计是为了确保环境污染处理专用药剂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环境污染处理专用药剂材料项目预算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总预算估算为XX百万美元，主要分配在研发、市场推广、人员培训和运营等方面。这一充足的预算为环境污染处理专用药剂材料项目提供了充足的资源，确保环境污染处理专用药剂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环境污染处理专用药剂材料项目风险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可能面临的风险包括市场接受度低、技术难题、竞争激烈等。环境污染处理专用药剂材料项目团队已经制定了相应的风险应对计划，通过前瞻性的风险管理，确保环境污染处理专用药剂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环境污染处理专用药剂材料项目团队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汇聚了一支经验丰富、多领域专业素养的核心团队，确保环境污染处理专用药剂材料项目在各个方面都能拥有高水平的执行力。团队的协同作战是环境污染处理专用药剂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环境污染处理专用药剂材料项目背景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环境污染处理专用药剂材料项目的背景根植于市场对更高效、创新产品的渴望，同时也受到科技发展对行业格局的深刻改变的影响。这为环境污染处理专用药剂材料项目提供了广阔的发展空间和市场需求。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环境污染处理专用药剂材料项目现状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截至目前，环境污染处理专用药剂材料项目已完成市场调研和技术验证，取得了初步的成功。这为环境污染处理专用药剂材料项目在未来的发展奠定了坚实的基础，为更远大的目标打下了坚实的基石。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374"/>
      <w:r>
        <w:rPr>
          <w:rFonts w:ascii="仿宋" w:eastAsia="仿宋" w:hAnsi="仿宋" w:cs="仿宋" w:hint="eastAsia"/>
          <w:sz w:val="28"/>
          <w:lang w:eastAsia="zh-CN"/>
        </w:rPr>
        <w:t>(二)、环境污染处理专用药剂材料项目目标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污染处理专用药剂材料项目首要业务目标是在市场中占据有利地位，实现产品/服务的成功推广和销售。通过不断提升产品质量、创新性，环境污染处理专用药剂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污染处理专用药剂材料项目着眼于技术创新。通过持续的研发和技术升级，环境污染处理专用药剂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污染处理专用药剂材料项目设定了客户满意度目标。通过提供卓越的产品质量和优质的客户服务，环境污染处理专用药剂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注重社会责任和可持续发展。通过实施环保、社会责任环境污染处理专用药剂材料项目，环境污染处理专用药剂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环境污染处理专用药剂材料项目的团队是实现目标的核心驱动力。因此，环境污染处理专用药剂材料项目设定了团队发展目标，包括提升团队成员的专业技能、培养领导力，以及搭建协同高效的团队工作氛围。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692"/>
      <w:r>
        <w:rPr>
          <w:rFonts w:ascii="仿宋" w:eastAsia="仿宋" w:hAnsi="仿宋" w:cs="仿宋" w:hint="eastAsia"/>
          <w:sz w:val="28"/>
          <w:lang w:eastAsia="zh-CN"/>
        </w:rPr>
        <w:t>(三)、环境污染处理专用药剂材料项目提出的理由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环境污染处理专用药剂材料项目提出的理由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提出源于对市场机遇的深刻洞察。当前市场中存在的需求缺口和行业发展趋势表明，有巨大的商业机会等待被开发。通过准确捕捉市场机遇，环境污染处理专用药剂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理念基于对技术创新的信仰。通过持续的研发和技术投入，环境污染处理专用药剂材料项目有望推出更具创新性的产品或服务。在科技飞速发展的当下，环境污染处理专用药剂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提出是为了增强企业的行业竞争力。通过提升产品或服务的质量和独特性，环境污染处理专用药剂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响应了消费者需求的变化。随着社会和科技的不断发展，消费者对产品和服务的需求也在发生变化。通过深入了解并及时回应消费者的新需求，环境污染处理专用药剂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提出是企业战略发展规划的一部分。在面对日益激烈的市场竞争和不断变化的商业环境中，环境污染处理专用药剂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提出不仅仅是基于商业考量，还注重社会责任。通过推出环保、社会责任等方面的环境污染处理专用药剂材料项目，环境污染处理专用药剂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处理专用药剂材料项目的提出反映了对利益相关者期望的关注。包括客户、员工、投资者等利益相关者在企业发展中都有着各自的期望，环境污染处理专用药剂材料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https://d.book118.com/355011010102011044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环境污染处理专用药剂材料项目规划设计纲要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46C7E"/>
    <w:rsid w:val="22646C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0110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2024-01-21T21:39:00Z</dcterms:created>
  <dcterms:modified xsi:type="dcterms:W3CDTF">2024-01-21T21:39:24Z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B128AAFCED234AAE982EE8A6DE69915A_11</vt:lpwstr>
  </property>
  <property fmtid="{D5CDD505-2E9C-101B-9397-08002B2CF9AE}" pid="3" name="KSOProductBuildVer">
    <vt:lpwstr>2052-12.1.0.16120</vt:lpwstr>
  </property>
</Properties>
</file>