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2018-2023年齐齐哈尔高等师范专科学校高职单招（数学／语文／英语）历年常考试题库含答案解析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下列各句中，同时采用了对偶、夸张的是（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A.恨相见得迟，怨归去得疾。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B.泪添九曲黄河溢，恨压三峰华岳低。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C.晓镜但愁云鬓改，夜吟应觉月光寒。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D.忽如一夜春风来，千树万树梨花开。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在《爱尔克的灯光》中，“爱尔克的灯光”的象征意义是（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A.封建家庭和礼教的没落与崩溃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B.对新生活的信念和对理想的追求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C.对旧家庭的憎恶和对财富的鄙弃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D.美好希望的破灭和生活的悲剧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下列句子中，含有使动用法的是（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A.故今具道所以，冀君实或见恕也。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B.若弗与，则请除之，无生民心。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C.及尔偕老，老使我怨。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D.千金，重币也；百乘，显使也。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先秦散文中最多采用寓言形式、最富浪漫色彩的是（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B.《庄子》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D.《战国策》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“多行不义必自毙”“贻笑大方”“夙兴夜寐”三个成语依次出自（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A.《寡人之于国也》、《庄子·秋水》、《季氏将伐颛臾》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B.《郑伯克段于鄢》、《庄子·秋水》、《诗经·氓》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C.《陈情表》、《诗经·氓》、《郑伯克段于鄢》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D.《礼记·大同》、《寡人之于国也》、《庄子·秋水》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主张文章应该“有补于世”、“以适用为本”的作家是（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A.柳宗元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B.韩愈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C.王安石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D.欧阳修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准确描述《五代史伶官传序》中心论点的一组对应词语是（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A.兴盛与衰败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B.天命与人事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C.自满与谦虚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D.忧劳与逸豫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以1870年“普法战争”为背景的小说是（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A.《断魂枪》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B.《米龙老爹》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C.《麦琪的礼物》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D.《苦恼》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《苦恼》一文在刻画人物形象时运用了哪些手法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A.肖像描写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B.环境烘托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C.白描手法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D.对话、细节与心理描写方法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“文章的布局也就是一种阵势，每一段就是一个队伍，摆在最得力的地位才可以发生最大效用”，这句话的修辞方法是（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D.反复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在先秦诸子中，文风以想象丰富、词藻瑰丽、汪洋恣肆著称的是（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A.孟子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B.庄子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C.韩非子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D.墨子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绝句属于（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A.古体诗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B.楚辞体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C.乐府诗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D.格律诗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李煜《虞美人》“雕栏玉砌应犹在，只是朱颜改”的言外之意是（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A.美景依旧，故人已老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B.岁月流逝，青春不再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C.故国宫殿，令人牵挂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D.江山易主，物是人非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下列画横线的句子翻译正确的是（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A.孟尝君不说，曰：“诺，先生休矣！”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https://d.book118.com/355041140330011112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35504114033001111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