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0"/>
        </w:rPr>
      </w:pPr>
    </w:p>
    <w:p>
      <w:pPr>
        <w:pStyle w:val="Title"/>
        <w:spacing w:line="1524" w:lineRule="exact"/>
        <w:ind w:right="1174"/>
      </w:pPr>
      <w:r>
        <w:t>市政道路人行道改造工程</w:t>
      </w:r>
    </w:p>
    <w:p>
      <w:pPr>
        <w:pStyle w:val="Title"/>
        <w:spacing w:before="221"/>
      </w:pPr>
      <w:r>
        <w:t>施工组织设计</w:t>
      </w:r>
    </w:p>
    <w:p>
      <w:pPr>
        <w:spacing w:after="0"/>
        <w:sectPr>
          <w:headerReference w:type="default" r:id="rId4"/>
          <w:type w:val="continuous"/>
          <w:pgSz w:w="17860" w:h="25260"/>
          <w:pgMar w:top="1400" w:right="1080" w:bottom="280" w:left="2240" w:header="1098" w:footer="708"/>
          <w:cols w:space="708"/>
        </w:sectPr>
      </w:pPr>
    </w:p>
    <w:p>
      <w:pPr>
        <w:pStyle w:val="BodyText"/>
        <w:rPr>
          <w:rFonts w:ascii="华文隶书"/>
          <w:b/>
          <w:sz w:val="20"/>
        </w:rPr>
      </w:pPr>
    </w:p>
    <w:p>
      <w:pPr>
        <w:pStyle w:val="BodyText"/>
        <w:rPr>
          <w:rFonts w:ascii="华文隶书"/>
          <w:b/>
          <w:sz w:val="20"/>
        </w:rPr>
      </w:pPr>
    </w:p>
    <w:p>
      <w:pPr>
        <w:pStyle w:val="BodyText"/>
        <w:rPr>
          <w:rFonts w:ascii="华文隶书"/>
          <w:b/>
          <w:sz w:val="20"/>
        </w:rPr>
      </w:pPr>
    </w:p>
    <w:p>
      <w:pPr>
        <w:pStyle w:val="BodyText"/>
        <w:rPr>
          <w:rFonts w:ascii="华文隶书"/>
          <w:b/>
          <w:sz w:val="20"/>
        </w:rPr>
      </w:pPr>
    </w:p>
    <w:p>
      <w:pPr>
        <w:pStyle w:val="BodyText"/>
        <w:rPr>
          <w:rFonts w:ascii="华文隶书"/>
          <w:b/>
          <w:sz w:val="20"/>
        </w:rPr>
      </w:pPr>
    </w:p>
    <w:p>
      <w:pPr>
        <w:pStyle w:val="BodyText"/>
        <w:rPr>
          <w:rFonts w:ascii="华文隶书"/>
          <w:b/>
          <w:sz w:val="20"/>
        </w:rPr>
      </w:pPr>
    </w:p>
    <w:p>
      <w:pPr>
        <w:pStyle w:val="BodyText"/>
        <w:rPr>
          <w:rFonts w:ascii="华文隶书"/>
          <w:b/>
          <w:sz w:val="20"/>
        </w:rPr>
      </w:pPr>
    </w:p>
    <w:p>
      <w:pPr>
        <w:pStyle w:val="BodyText"/>
        <w:rPr>
          <w:rFonts w:ascii="华文隶书"/>
          <w:b/>
          <w:sz w:val="20"/>
        </w:rPr>
      </w:pPr>
    </w:p>
    <w:p>
      <w:pPr>
        <w:pStyle w:val="BodyText"/>
        <w:rPr>
          <w:rFonts w:ascii="华文隶书"/>
          <w:b/>
          <w:sz w:val="20"/>
        </w:rPr>
      </w:pPr>
    </w:p>
    <w:p>
      <w:pPr>
        <w:pStyle w:val="BodyText"/>
        <w:spacing w:before="7"/>
        <w:rPr>
          <w:rFonts w:ascii="华文隶书"/>
          <w:b/>
          <w:sz w:val="29"/>
        </w:rPr>
      </w:pPr>
    </w:p>
    <w:p>
      <w:pPr>
        <w:tabs>
          <w:tab w:val="left" w:pos="1627"/>
        </w:tabs>
        <w:spacing w:before="24"/>
        <w:ind w:left="0" w:right="1158" w:firstLine="0"/>
        <w:jc w:val="center"/>
        <w:rPr>
          <w:b/>
          <w:sz w:val="54"/>
        </w:rPr>
      </w:pPr>
      <w:r>
        <w:rPr>
          <w:b/>
          <w:sz w:val="54"/>
        </w:rPr>
        <w:t>目</w:t>
        <w:tab/>
        <w:t>录</w:t>
      </w:r>
    </w:p>
    <w:p>
      <w:pPr>
        <w:spacing w:after="0"/>
        <w:jc w:val="center"/>
        <w:rPr>
          <w:sz w:val="54"/>
        </w:rPr>
        <w:sectPr>
          <w:headerReference w:type="default" r:id="rId5"/>
          <w:pgSz w:w="17860" w:h="25260"/>
          <w:pgMar w:top="1400" w:right="1080" w:bottom="2781" w:left="2240" w:header="1098" w:footer="0"/>
          <w:pgNumType w:start="2"/>
          <w:cols w:space="708"/>
        </w:sectPr>
      </w:pPr>
    </w:p>
    <w:sdt>
      <w:sdtPr>
        <w:id w:val="1997365811"/>
        <w:docPartObj>
          <w:docPartGallery w:val="Table of Contents"/>
          <w:docPartUnique/>
        </w:docPartObj>
      </w:sdtPr>
      <w:sdtContent>
        <w:p>
          <w:pPr>
            <w:pStyle w:val="TOC1"/>
            <w:tabs>
              <w:tab w:val="left" w:pos="1666"/>
              <w:tab w:val="right" w:leader="dot" w:pos="12906"/>
            </w:tabs>
            <w:spacing w:before="551"/>
            <w:rPr>
              <w:rFonts w:ascii="Arial" w:eastAsia="Arial"/>
            </w:rPr>
          </w:pPr>
          <w:hyperlink w:anchor="_TOC_250050" w:history="1">
            <w:r>
              <w:t>第一章</w:t>
              <w:tab/>
              <w:t>编制说明</w:t>
              <w:tab/>
            </w:r>
            <w:r>
              <w:rPr>
                <w:rFonts w:ascii="Arial" w:eastAsia="Arial"/>
              </w:rPr>
              <w:t>1</w:t>
            </w:r>
          </w:hyperlink>
        </w:p>
        <w:p>
          <w:pPr>
            <w:pStyle w:val="TOC2"/>
            <w:tabs>
              <w:tab w:val="right" w:leader="dot" w:pos="12906"/>
            </w:tabs>
            <w:spacing w:before="264"/>
            <w:rPr>
              <w:rFonts w:ascii="Arial" w:eastAsia="Arial"/>
              <w:b w:val="0"/>
            </w:rPr>
          </w:pPr>
          <w:hyperlink w:anchor="_TOC_250049" w:history="1">
            <w:r>
              <w:t>一、编制依据</w:t>
              <w:tab/>
            </w:r>
            <w:r>
              <w:rPr>
                <w:rFonts w:ascii="Arial" w:eastAsia="Arial"/>
                <w:b w:val="0"/>
              </w:rPr>
              <w:t>1</w:t>
            </w:r>
          </w:hyperlink>
        </w:p>
        <w:p>
          <w:pPr>
            <w:pStyle w:val="TOC2"/>
            <w:tabs>
              <w:tab w:val="right" w:leader="dot" w:pos="12906"/>
            </w:tabs>
            <w:spacing w:before="83"/>
            <w:rPr>
              <w:rFonts w:ascii="Arial" w:eastAsia="Arial"/>
              <w:b w:val="0"/>
            </w:rPr>
          </w:pPr>
          <w:hyperlink w:anchor="_TOC_250048" w:history="1">
            <w:r>
              <w:t>二、编制原则</w:t>
              <w:tab/>
            </w:r>
            <w:r>
              <w:rPr>
                <w:rFonts w:ascii="Arial" w:eastAsia="Arial"/>
                <w:b w:val="0"/>
              </w:rPr>
              <w:t>1</w:t>
            </w:r>
          </w:hyperlink>
        </w:p>
        <w:p>
          <w:pPr>
            <w:pStyle w:val="TOC1"/>
            <w:tabs>
              <w:tab w:val="left" w:pos="1666"/>
              <w:tab w:val="right" w:leader="dot" w:pos="12906"/>
            </w:tabs>
            <w:spacing w:before="265"/>
            <w:rPr>
              <w:rFonts w:ascii="Arial" w:eastAsia="Arial"/>
            </w:rPr>
          </w:pPr>
          <w:hyperlink w:anchor="_TOC_250047" w:history="1">
            <w:r>
              <w:t>第二章</w:t>
              <w:tab/>
              <w:t>工程概况</w:t>
              <w:tab/>
            </w:r>
            <w:r>
              <w:rPr>
                <w:rFonts w:ascii="Arial" w:eastAsia="Arial"/>
              </w:rPr>
              <w:t>3</w:t>
            </w:r>
          </w:hyperlink>
        </w:p>
        <w:p>
          <w:pPr>
            <w:pStyle w:val="TOC1"/>
            <w:tabs>
              <w:tab w:val="left" w:pos="1666"/>
              <w:tab w:val="right" w:leader="dot" w:pos="12906"/>
            </w:tabs>
            <w:rPr>
              <w:rFonts w:ascii="Arial" w:eastAsia="Arial"/>
            </w:rPr>
          </w:pPr>
          <w:hyperlink w:anchor="_TOC_250046" w:history="1">
            <w:r>
              <w:t>第三章</w:t>
              <w:tab/>
              <w:t>施工准备</w:t>
              <w:tab/>
            </w:r>
            <w:r>
              <w:rPr>
                <w:rFonts w:ascii="Arial" w:eastAsia="Arial"/>
              </w:rPr>
              <w:t>3</w:t>
            </w:r>
          </w:hyperlink>
        </w:p>
        <w:p>
          <w:pPr>
            <w:pStyle w:val="TOC1"/>
            <w:tabs>
              <w:tab w:val="left" w:pos="1666"/>
              <w:tab w:val="right" w:leader="dot" w:pos="12906"/>
            </w:tabs>
            <w:spacing w:before="263"/>
            <w:rPr>
              <w:rFonts w:ascii="Arial" w:eastAsia="Arial"/>
            </w:rPr>
          </w:pPr>
          <w:hyperlink w:anchor="_TOC_250045" w:history="1">
            <w:r>
              <w:t>第四章</w:t>
              <w:tab/>
              <w:t>施工布置</w:t>
              <w:tab/>
            </w:r>
            <w:r>
              <w:rPr>
                <w:rFonts w:ascii="Arial" w:eastAsia="Arial"/>
              </w:rPr>
              <w:t>5</w:t>
            </w:r>
          </w:hyperlink>
        </w:p>
        <w:p>
          <w:pPr>
            <w:pStyle w:val="TOC1"/>
            <w:tabs>
              <w:tab w:val="left" w:pos="1666"/>
              <w:tab w:val="right" w:leader="dot" w:pos="12906"/>
            </w:tabs>
            <w:rPr>
              <w:rFonts w:ascii="Arial" w:eastAsia="Arial"/>
            </w:rPr>
          </w:pPr>
          <w:hyperlink w:anchor="_TOC_250044" w:history="1">
            <w:r>
              <w:t>第五章</w:t>
              <w:tab/>
              <w:t>施工方案与技术措施</w:t>
              <w:tab/>
            </w:r>
            <w:r>
              <w:rPr>
                <w:rFonts w:ascii="Arial" w:eastAsia="Arial"/>
              </w:rPr>
              <w:t>6</w:t>
            </w:r>
          </w:hyperlink>
        </w:p>
        <w:p>
          <w:pPr>
            <w:pStyle w:val="TOC2"/>
            <w:tabs>
              <w:tab w:val="right" w:leader="dot" w:pos="12906"/>
            </w:tabs>
            <w:spacing w:before="263"/>
            <w:rPr>
              <w:rFonts w:ascii="Arial" w:eastAsia="Arial"/>
              <w:b w:val="0"/>
            </w:rPr>
          </w:pPr>
          <w:hyperlink w:anchor="_TOC_250043" w:history="1">
            <w:r>
              <w:t>一、施工总体部署</w:t>
              <w:tab/>
            </w:r>
            <w:r>
              <w:rPr>
                <w:rFonts w:ascii="Arial" w:eastAsia="Arial"/>
                <w:b w:val="0"/>
              </w:rPr>
              <w:t>6</w:t>
            </w:r>
          </w:hyperlink>
        </w:p>
        <w:p>
          <w:pPr>
            <w:pStyle w:val="TOC2"/>
            <w:tabs>
              <w:tab w:val="right" w:leader="dot" w:pos="12906"/>
            </w:tabs>
            <w:rPr>
              <w:rFonts w:ascii="Arial" w:eastAsia="Arial"/>
              <w:b w:val="0"/>
            </w:rPr>
          </w:pPr>
          <w:hyperlink w:anchor="_TOC_250042" w:history="1">
            <w:r>
              <w:t>二、工程施工测量</w:t>
              <w:tab/>
            </w:r>
            <w:r>
              <w:rPr>
                <w:rFonts w:ascii="Arial" w:eastAsia="Arial"/>
                <w:b w:val="0"/>
              </w:rPr>
              <w:t>7</w:t>
            </w:r>
          </w:hyperlink>
        </w:p>
        <w:p>
          <w:pPr>
            <w:pStyle w:val="TOC2"/>
            <w:tabs>
              <w:tab w:val="right" w:leader="dot" w:pos="12906"/>
            </w:tabs>
            <w:rPr>
              <w:rFonts w:ascii="Arial" w:eastAsia="Arial"/>
              <w:b w:val="0"/>
            </w:rPr>
          </w:pPr>
          <w:hyperlink w:anchor="_TOC_250041" w:history="1">
            <w:r>
              <w:t>三、拆除工程及基础工程施工</w:t>
              <w:tab/>
            </w:r>
            <w:r>
              <w:rPr>
                <w:rFonts w:ascii="Arial" w:eastAsia="Arial"/>
                <w:b w:val="0"/>
              </w:rPr>
              <w:t>8</w:t>
            </w:r>
          </w:hyperlink>
        </w:p>
        <w:p>
          <w:pPr>
            <w:pStyle w:val="TOC2"/>
            <w:tabs>
              <w:tab w:val="right" w:leader="dot" w:pos="12840"/>
            </w:tabs>
            <w:spacing w:before="83"/>
            <w:rPr>
              <w:rFonts w:ascii="Arial" w:eastAsia="Arial"/>
              <w:b w:val="0"/>
            </w:rPr>
          </w:pPr>
          <w:hyperlink w:anchor="_TOC_250040" w:history="1">
            <w:r>
              <w:t>四、人行道路工程</w:t>
              <w:tab/>
            </w:r>
            <w:r>
              <w:rPr>
                <w:rFonts w:ascii="Arial" w:eastAsia="Arial"/>
                <w:b w:val="0"/>
              </w:rPr>
              <w:t>11</w:t>
            </w:r>
          </w:hyperlink>
        </w:p>
        <w:p>
          <w:pPr>
            <w:pStyle w:val="TOC2"/>
            <w:tabs>
              <w:tab w:val="right" w:leader="dot" w:pos="12909"/>
            </w:tabs>
            <w:rPr>
              <w:rFonts w:ascii="Arial" w:eastAsia="Arial"/>
              <w:b w:val="0"/>
            </w:rPr>
          </w:pPr>
          <w:hyperlink w:anchor="_TOC_250039" w:history="1">
            <w:r>
              <w:t>五、新设备、新技术、新工艺、新材料的采用及降低工程成本计划</w:t>
              <w:tab/>
            </w:r>
            <w:r>
              <w:rPr>
                <w:rFonts w:ascii="Arial" w:eastAsia="Arial"/>
                <w:b w:val="0"/>
              </w:rPr>
              <w:t>20</w:t>
            </w:r>
          </w:hyperlink>
        </w:p>
        <w:p>
          <w:pPr>
            <w:pStyle w:val="TOC1"/>
            <w:tabs>
              <w:tab w:val="left" w:pos="1666"/>
              <w:tab w:val="right" w:leader="dot" w:pos="12909"/>
            </w:tabs>
            <w:rPr>
              <w:rFonts w:ascii="Arial" w:eastAsia="Arial"/>
            </w:rPr>
          </w:pPr>
          <w:hyperlink w:anchor="_TOC_250038" w:history="1">
            <w:r>
              <w:t>第六章</w:t>
              <w:tab/>
              <w:t>质量管理体系与措施</w:t>
              <w:tab/>
            </w:r>
            <w:r>
              <w:rPr>
                <w:rFonts w:ascii="Arial" w:eastAsia="Arial"/>
              </w:rPr>
              <w:t>20</w:t>
            </w:r>
          </w:hyperlink>
        </w:p>
        <w:p>
          <w:pPr>
            <w:pStyle w:val="TOC2"/>
            <w:tabs>
              <w:tab w:val="right" w:leader="dot" w:pos="12909"/>
            </w:tabs>
            <w:spacing w:before="264"/>
            <w:rPr>
              <w:rFonts w:ascii="Arial" w:eastAsia="Arial"/>
              <w:b w:val="0"/>
            </w:rPr>
          </w:pPr>
          <w:hyperlink w:anchor="_TOC_250037" w:history="1">
            <w:r>
              <w:t>一、工程质量目标</w:t>
              <w:tab/>
            </w:r>
            <w:r>
              <w:rPr>
                <w:rFonts w:ascii="Arial" w:eastAsia="Arial"/>
                <w:b w:val="0"/>
              </w:rPr>
              <w:t>20</w:t>
            </w:r>
          </w:hyperlink>
        </w:p>
        <w:p>
          <w:pPr>
            <w:pStyle w:val="TOC2"/>
            <w:tabs>
              <w:tab w:val="right" w:leader="dot" w:pos="12909"/>
            </w:tabs>
            <w:spacing w:before="83"/>
            <w:rPr>
              <w:rFonts w:ascii="Arial" w:eastAsia="Arial"/>
              <w:b w:val="0"/>
            </w:rPr>
          </w:pPr>
          <w:r>
            <w:t>二、质量保证体系</w:t>
            <w:tab/>
          </w:r>
          <w:r>
            <w:rPr>
              <w:rFonts w:ascii="Arial" w:eastAsia="Arial"/>
              <w:b w:val="0"/>
            </w:rPr>
            <w:t>21</w:t>
          </w:r>
        </w:p>
        <w:p>
          <w:pPr>
            <w:pStyle w:val="TOC2"/>
            <w:tabs>
              <w:tab w:val="right" w:leader="dot" w:pos="12909"/>
            </w:tabs>
            <w:rPr>
              <w:rFonts w:ascii="Arial" w:eastAsia="Arial"/>
              <w:b w:val="0"/>
            </w:rPr>
          </w:pPr>
          <w:hyperlink w:anchor="_TOC_250036" w:history="1">
            <w:r>
              <w:t>三、</w:t>
            </w:r>
            <w:r>
              <w:rPr>
                <w:spacing w:val="-27"/>
              </w:rPr>
              <w:t xml:space="preserve"> </w:t>
            </w:r>
            <w:r>
              <w:t>质量保证措施</w:t>
              <w:tab/>
            </w:r>
            <w:r>
              <w:rPr>
                <w:rFonts w:ascii="Arial" w:eastAsia="Arial"/>
                <w:b w:val="0"/>
              </w:rPr>
              <w:t>23</w:t>
            </w:r>
          </w:hyperlink>
        </w:p>
        <w:p>
          <w:pPr>
            <w:pStyle w:val="TOC2"/>
            <w:tabs>
              <w:tab w:val="right" w:leader="dot" w:pos="12909"/>
            </w:tabs>
            <w:rPr>
              <w:rFonts w:ascii="Arial" w:eastAsia="Arial"/>
              <w:b w:val="0"/>
            </w:rPr>
          </w:pPr>
          <w:r>
            <w:t>四、试验、检验及资料</w:t>
            <w:tab/>
          </w:r>
          <w:r>
            <w:rPr>
              <w:rFonts w:ascii="Arial" w:eastAsia="Arial"/>
              <w:b w:val="0"/>
            </w:rPr>
            <w:t>26</w:t>
          </w:r>
        </w:p>
        <w:p>
          <w:pPr>
            <w:pStyle w:val="TOC2"/>
            <w:tabs>
              <w:tab w:val="right" w:leader="dot" w:pos="12909"/>
            </w:tabs>
            <w:spacing w:before="83"/>
            <w:rPr>
              <w:rFonts w:ascii="Arial" w:eastAsia="Arial"/>
              <w:b w:val="0"/>
            </w:rPr>
          </w:pPr>
          <w:r>
            <w:t>五、分项工程各工序质量观感要求</w:t>
            <w:tab/>
          </w:r>
          <w:r>
            <w:rPr>
              <w:rFonts w:ascii="Arial" w:eastAsia="Arial"/>
              <w:b w:val="0"/>
            </w:rPr>
            <w:t>28</w:t>
          </w:r>
        </w:p>
        <w:p>
          <w:pPr>
            <w:pStyle w:val="TOC1"/>
            <w:tabs>
              <w:tab w:val="left" w:pos="1666"/>
              <w:tab w:val="right" w:leader="dot" w:pos="12909"/>
            </w:tabs>
            <w:rPr>
              <w:rFonts w:ascii="Arial" w:eastAsia="Arial"/>
            </w:rPr>
          </w:pPr>
          <w:hyperlink w:anchor="_TOC_250035" w:history="1">
            <w:r>
              <w:t>第七章</w:t>
              <w:tab/>
              <w:t>安全管理体系与措施</w:t>
              <w:tab/>
            </w:r>
            <w:r>
              <w:rPr>
                <w:rFonts w:ascii="Arial" w:eastAsia="Arial"/>
              </w:rPr>
              <w:t>29</w:t>
            </w:r>
          </w:hyperlink>
        </w:p>
        <w:p>
          <w:pPr>
            <w:pStyle w:val="TOC2"/>
            <w:tabs>
              <w:tab w:val="right" w:leader="dot" w:pos="12909"/>
            </w:tabs>
            <w:spacing w:before="263"/>
            <w:rPr>
              <w:rFonts w:ascii="Arial" w:eastAsia="Arial"/>
              <w:b w:val="0"/>
            </w:rPr>
          </w:pPr>
          <w:r>
            <w:t>一、建立安全管理机构</w:t>
            <w:tab/>
          </w:r>
          <w:r>
            <w:rPr>
              <w:rFonts w:ascii="Arial" w:eastAsia="Arial"/>
              <w:b w:val="0"/>
            </w:rPr>
            <w:t>29</w:t>
          </w:r>
        </w:p>
        <w:p>
          <w:pPr>
            <w:pStyle w:val="TOC2"/>
            <w:tabs>
              <w:tab w:val="right" w:leader="dot" w:pos="12909"/>
            </w:tabs>
            <w:rPr>
              <w:rFonts w:ascii="Arial" w:eastAsia="Arial"/>
              <w:b w:val="0"/>
            </w:rPr>
          </w:pPr>
          <w:hyperlink w:anchor="_TOC_250034" w:history="1">
            <w:r>
              <w:t>二、安全管理体系</w:t>
              <w:tab/>
            </w:r>
            <w:r>
              <w:rPr>
                <w:rFonts w:ascii="Arial" w:eastAsia="Arial"/>
                <w:b w:val="0"/>
              </w:rPr>
              <w:t>30</w:t>
            </w:r>
          </w:hyperlink>
        </w:p>
        <w:p>
          <w:pPr>
            <w:pStyle w:val="TOC2"/>
            <w:tabs>
              <w:tab w:val="right" w:leader="dot" w:pos="12909"/>
            </w:tabs>
            <w:rPr>
              <w:rFonts w:ascii="Arial" w:eastAsia="Arial"/>
              <w:b w:val="0"/>
            </w:rPr>
          </w:pPr>
          <w:r>
            <w:t>三、建立各级安全管理责任制</w:t>
            <w:tab/>
          </w:r>
          <w:r>
            <w:rPr>
              <w:rFonts w:ascii="Arial" w:eastAsia="Arial"/>
              <w:b w:val="0"/>
            </w:rPr>
            <w:t>30</w:t>
          </w:r>
        </w:p>
        <w:p>
          <w:pPr>
            <w:pStyle w:val="TOC2"/>
            <w:tabs>
              <w:tab w:val="right" w:leader="dot" w:pos="12909"/>
            </w:tabs>
            <w:spacing w:before="83"/>
            <w:rPr>
              <w:rFonts w:ascii="Arial" w:eastAsia="Arial"/>
              <w:b w:val="0"/>
            </w:rPr>
          </w:pPr>
          <w:r>
            <w:t>四、安全检查制度</w:t>
            <w:tab/>
          </w:r>
          <w:r>
            <w:rPr>
              <w:rFonts w:ascii="Arial" w:eastAsia="Arial"/>
              <w:b w:val="0"/>
            </w:rPr>
            <w:t>31</w:t>
          </w:r>
        </w:p>
        <w:p>
          <w:pPr>
            <w:pStyle w:val="TOC2"/>
            <w:tabs>
              <w:tab w:val="right" w:leader="dot" w:pos="12909"/>
            </w:tabs>
            <w:spacing w:before="85"/>
            <w:rPr>
              <w:rFonts w:ascii="Arial" w:eastAsia="Arial"/>
              <w:b w:val="0"/>
            </w:rPr>
          </w:pPr>
          <w:hyperlink w:anchor="_TOC_250033" w:history="1">
            <w:r>
              <w:t>五、安全教育与安全技术交底</w:t>
              <w:tab/>
            </w:r>
            <w:r>
              <w:rPr>
                <w:rFonts w:ascii="Arial" w:eastAsia="Arial"/>
                <w:b w:val="0"/>
              </w:rPr>
              <w:t>31</w:t>
            </w:r>
          </w:hyperlink>
        </w:p>
        <w:p>
          <w:pPr>
            <w:pStyle w:val="TOC3"/>
            <w:tabs>
              <w:tab w:val="right" w:leader="dot" w:pos="12909"/>
            </w:tabs>
            <w:rPr>
              <w:rFonts w:ascii="Arial" w:eastAsia="Arial"/>
              <w:b w:val="0"/>
              <w:i w:val="0"/>
              <w:sz w:val="30"/>
            </w:rPr>
          </w:pPr>
          <w:hyperlink w:anchor="_TOC_250032" w:history="1">
            <w:r>
              <w:rPr>
                <w:i w:val="0"/>
                <w:sz w:val="30"/>
              </w:rPr>
              <w:t>六、安全措施</w:t>
              <w:tab/>
            </w:r>
            <w:r>
              <w:rPr>
                <w:rFonts w:ascii="Arial" w:eastAsia="Arial"/>
                <w:b w:val="0"/>
                <w:i w:val="0"/>
                <w:sz w:val="30"/>
              </w:rPr>
              <w:t>32</w:t>
            </w:r>
          </w:hyperlink>
        </w:p>
        <w:p>
          <w:pPr>
            <w:pStyle w:val="TOC1"/>
            <w:tabs>
              <w:tab w:val="left" w:pos="1666"/>
              <w:tab w:val="right" w:leader="dot" w:pos="12909"/>
            </w:tabs>
            <w:spacing w:before="263"/>
            <w:rPr>
              <w:rFonts w:ascii="Arial" w:eastAsia="Arial"/>
            </w:rPr>
          </w:pPr>
          <w:hyperlink w:anchor="_TOC_250031" w:history="1">
            <w:r>
              <w:t>第八章</w:t>
              <w:tab/>
              <w:t>环境保护管理体系与措施</w:t>
              <w:tab/>
            </w:r>
            <w:r>
              <w:rPr>
                <w:rFonts w:ascii="Arial" w:eastAsia="Arial"/>
              </w:rPr>
              <w:t>33</w:t>
            </w:r>
          </w:hyperlink>
        </w:p>
        <w:p>
          <w:pPr>
            <w:pStyle w:val="TOC2"/>
            <w:tabs>
              <w:tab w:val="right" w:leader="dot" w:pos="12909"/>
            </w:tabs>
            <w:spacing w:before="264"/>
            <w:rPr>
              <w:rFonts w:ascii="Arial" w:eastAsia="Arial"/>
              <w:b w:val="0"/>
            </w:rPr>
          </w:pPr>
          <w:hyperlink w:anchor="_TOC_250030" w:history="1">
            <w:r>
              <w:t>一、防止大气污染</w:t>
              <w:tab/>
            </w:r>
            <w:r>
              <w:rPr>
                <w:rFonts w:ascii="Arial" w:eastAsia="Arial"/>
                <w:b w:val="0"/>
              </w:rPr>
              <w:t>33</w:t>
            </w:r>
          </w:hyperlink>
        </w:p>
        <w:p>
          <w:pPr>
            <w:pStyle w:val="TOC2"/>
            <w:tabs>
              <w:tab w:val="right" w:leader="dot" w:pos="12909"/>
            </w:tabs>
            <w:spacing w:before="83"/>
            <w:rPr>
              <w:rFonts w:ascii="Arial" w:eastAsia="Arial"/>
              <w:b w:val="0"/>
            </w:rPr>
          </w:pPr>
          <w:hyperlink w:anchor="_TOC_250029" w:history="1">
            <w:r>
              <w:t>二、防止水污染</w:t>
              <w:tab/>
            </w:r>
            <w:r>
              <w:rPr>
                <w:rFonts w:ascii="Arial" w:eastAsia="Arial"/>
                <w:b w:val="0"/>
              </w:rPr>
              <w:t>33</w:t>
            </w:r>
          </w:hyperlink>
        </w:p>
        <w:p>
          <w:pPr>
            <w:pStyle w:val="TOC2"/>
            <w:tabs>
              <w:tab w:val="right" w:leader="dot" w:pos="12909"/>
            </w:tabs>
            <w:rPr>
              <w:rFonts w:ascii="Arial" w:eastAsia="Arial"/>
              <w:b w:val="0"/>
            </w:rPr>
          </w:pPr>
          <w:hyperlink w:anchor="_TOC_250028" w:history="1">
            <w:r>
              <w:t>三、防止施工噪声污染</w:t>
              <w:tab/>
            </w:r>
            <w:r>
              <w:rPr>
                <w:rFonts w:ascii="Arial" w:eastAsia="Arial"/>
                <w:b w:val="0"/>
              </w:rPr>
              <w:t>33</w:t>
            </w:r>
          </w:hyperlink>
        </w:p>
        <w:p>
          <w:pPr>
            <w:pStyle w:val="TOC2"/>
            <w:tabs>
              <w:tab w:val="right" w:leader="dot" w:pos="12909"/>
            </w:tabs>
            <w:rPr>
              <w:rFonts w:ascii="Arial" w:eastAsia="Arial"/>
              <w:b w:val="0"/>
            </w:rPr>
          </w:pPr>
          <w:hyperlink w:anchor="_TOC_250027" w:history="1">
            <w:r>
              <w:t>四、建立和健全环境保护保证体系</w:t>
              <w:tab/>
            </w:r>
            <w:r>
              <w:rPr>
                <w:rFonts w:ascii="Arial" w:eastAsia="Arial"/>
                <w:b w:val="0"/>
              </w:rPr>
              <w:t>34</w:t>
            </w:r>
          </w:hyperlink>
        </w:p>
        <w:p>
          <w:pPr>
            <w:pStyle w:val="TOC2"/>
            <w:tabs>
              <w:tab w:val="right" w:leader="dot" w:pos="12909"/>
            </w:tabs>
            <w:spacing w:before="83" w:after="20"/>
            <w:rPr>
              <w:rFonts w:ascii="Arial" w:eastAsia="Arial"/>
              <w:b w:val="0"/>
            </w:rPr>
            <w:sectPr>
              <w:headerReference w:type="default" r:id="rId6"/>
              <w:type w:val="continuous"/>
              <w:pgSz w:w="17860" w:h="25260"/>
              <w:pgMar w:top="1402" w:right="1080" w:bottom="2781" w:left="2240" w:header="708" w:footer="708"/>
              <w:pgNumType w:start="3"/>
              <w:cols w:space="708"/>
            </w:sectPr>
          </w:pPr>
          <w:hyperlink w:anchor="_TOC_250026" w:history="1">
            <w:r>
              <w:t>五、落实《建筑施工安全检查标准》要求</w:t>
              <w:tab/>
            </w:r>
            <w:r>
              <w:rPr>
                <w:rFonts w:ascii="Arial" w:eastAsia="Arial"/>
                <w:b w:val="0"/>
              </w:rPr>
              <w:t>36</w:t>
            </w:r>
          </w:hyperlink>
        </w:p>
      </w:sdtContent>
    </w:sdt>
    <w:sdt>
      <w:sdtPr>
        <w:id w:val="1753697131"/>
        <w:docPartObj>
          <w:docPartGallery w:val="Table of Contents"/>
          <w:docPartUnique/>
        </w:docPartObj>
      </w:sdtPr>
      <w:sdtContent>
        <w:p>
          <w:pPr>
            <w:pStyle w:val="TOC2"/>
            <w:tabs>
              <w:tab w:val="right" w:leader="dot" w:pos="12909"/>
            </w:tabs>
            <w:spacing w:before="545"/>
            <w:rPr>
              <w:rFonts w:ascii="Arial" w:eastAsia="Arial"/>
              <w:b w:val="0"/>
            </w:rPr>
          </w:pPr>
          <w:hyperlink w:anchor="_TOC_250025" w:history="1">
            <w:r>
              <w:t>六、现场平面布置要求</w:t>
              <w:tab/>
            </w:r>
            <w:r>
              <w:rPr>
                <w:rFonts w:ascii="Arial" w:eastAsia="Arial"/>
                <w:b w:val="0"/>
              </w:rPr>
              <w:t>37</w:t>
            </w:r>
          </w:hyperlink>
        </w:p>
        <w:p>
          <w:pPr>
            <w:pStyle w:val="TOC2"/>
            <w:tabs>
              <w:tab w:val="right" w:leader="dot" w:pos="12909"/>
            </w:tabs>
            <w:rPr>
              <w:rFonts w:ascii="Arial" w:eastAsia="Arial"/>
              <w:b w:val="0"/>
            </w:rPr>
          </w:pPr>
          <w:hyperlink w:anchor="_TOC_250024" w:history="1">
            <w:r>
              <w:t>七、现场材料堆放要求</w:t>
              <w:tab/>
            </w:r>
            <w:r>
              <w:rPr>
                <w:rFonts w:ascii="Arial" w:eastAsia="Arial"/>
                <w:b w:val="0"/>
              </w:rPr>
              <w:t>38</w:t>
            </w:r>
          </w:hyperlink>
        </w:p>
        <w:p>
          <w:pPr>
            <w:pStyle w:val="TOC2"/>
            <w:tabs>
              <w:tab w:val="right" w:leader="dot" w:pos="12909"/>
            </w:tabs>
            <w:rPr>
              <w:rFonts w:ascii="Arial" w:eastAsia="Arial"/>
              <w:b w:val="0"/>
            </w:rPr>
          </w:pPr>
          <w:hyperlink w:anchor="_TOC_250023" w:history="1">
            <w:r>
              <w:t>八、施工机械、用具及用电管理要求</w:t>
              <w:tab/>
            </w:r>
            <w:r>
              <w:rPr>
                <w:rFonts w:ascii="Arial" w:eastAsia="Arial"/>
                <w:b w:val="0"/>
              </w:rPr>
              <w:t>38</w:t>
            </w:r>
          </w:hyperlink>
        </w:p>
        <w:p>
          <w:pPr>
            <w:pStyle w:val="TOC2"/>
            <w:tabs>
              <w:tab w:val="right" w:leader="dot" w:pos="12909"/>
            </w:tabs>
            <w:rPr>
              <w:rFonts w:ascii="Arial" w:eastAsia="Arial"/>
              <w:b w:val="0"/>
            </w:rPr>
          </w:pPr>
          <w:hyperlink w:anchor="_TOC_250022" w:history="1">
            <w:r>
              <w:t>九、办公室、生产区环境卫生</w:t>
              <w:tab/>
            </w:r>
            <w:r>
              <w:rPr>
                <w:rFonts w:ascii="Arial" w:eastAsia="Arial"/>
                <w:b w:val="0"/>
              </w:rPr>
              <w:t>38</w:t>
            </w:r>
          </w:hyperlink>
        </w:p>
        <w:p>
          <w:pPr>
            <w:pStyle w:val="TOC2"/>
            <w:tabs>
              <w:tab w:val="right" w:leader="dot" w:pos="12909"/>
            </w:tabs>
            <w:spacing w:before="83"/>
            <w:rPr>
              <w:rFonts w:ascii="Arial" w:eastAsia="Arial"/>
              <w:b w:val="0"/>
            </w:rPr>
          </w:pPr>
          <w:hyperlink w:anchor="_TOC_250021" w:history="1">
            <w:r>
              <w:t>十、现场宣传与人的精神面貌</w:t>
              <w:tab/>
            </w:r>
            <w:r>
              <w:rPr>
                <w:rFonts w:ascii="Arial" w:eastAsia="Arial"/>
                <w:b w:val="0"/>
              </w:rPr>
              <w:t>39</w:t>
            </w:r>
          </w:hyperlink>
        </w:p>
        <w:p>
          <w:pPr>
            <w:pStyle w:val="TOC1"/>
            <w:tabs>
              <w:tab w:val="left" w:pos="1666"/>
              <w:tab w:val="right" w:leader="dot" w:pos="12909"/>
            </w:tabs>
            <w:rPr>
              <w:rFonts w:ascii="Arial" w:eastAsia="Arial"/>
            </w:rPr>
          </w:pPr>
          <w:hyperlink w:anchor="_TOC_250020" w:history="1">
            <w:r>
              <w:t>第九章</w:t>
              <w:tab/>
              <w:t>工程进度计划与措施</w:t>
              <w:tab/>
            </w:r>
            <w:r>
              <w:rPr>
                <w:rFonts w:ascii="Arial" w:eastAsia="Arial"/>
              </w:rPr>
              <w:t>39</w:t>
            </w:r>
          </w:hyperlink>
        </w:p>
        <w:p>
          <w:pPr>
            <w:pStyle w:val="TOC2"/>
            <w:tabs>
              <w:tab w:val="right" w:leader="dot" w:pos="12909"/>
            </w:tabs>
            <w:spacing w:before="263"/>
            <w:rPr>
              <w:rFonts w:ascii="Arial" w:eastAsia="Arial"/>
              <w:b w:val="0"/>
            </w:rPr>
          </w:pPr>
          <w:hyperlink w:anchor="_TOC_250019" w:history="1">
            <w:r>
              <w:t>一、严格施工进度的控制</w:t>
              <w:tab/>
            </w:r>
            <w:r>
              <w:rPr>
                <w:rFonts w:ascii="Arial" w:eastAsia="Arial"/>
                <w:b w:val="0"/>
              </w:rPr>
              <w:t>39</w:t>
            </w:r>
          </w:hyperlink>
        </w:p>
        <w:p>
          <w:pPr>
            <w:pStyle w:val="TOC2"/>
            <w:tabs>
              <w:tab w:val="right" w:leader="dot" w:pos="12909"/>
            </w:tabs>
            <w:rPr>
              <w:rFonts w:ascii="Arial" w:eastAsia="Arial"/>
              <w:b w:val="0"/>
            </w:rPr>
          </w:pPr>
          <w:hyperlink w:anchor="_TOC_250018" w:history="1">
            <w:r>
              <w:t>二、从计划安排上保证工程进度</w:t>
              <w:tab/>
            </w:r>
            <w:r>
              <w:rPr>
                <w:rFonts w:ascii="Arial" w:eastAsia="Arial"/>
                <w:b w:val="0"/>
              </w:rPr>
              <w:t>40</w:t>
            </w:r>
          </w:hyperlink>
        </w:p>
        <w:p>
          <w:pPr>
            <w:pStyle w:val="TOC2"/>
            <w:tabs>
              <w:tab w:val="right" w:leader="dot" w:pos="12909"/>
            </w:tabs>
            <w:rPr>
              <w:rFonts w:ascii="Arial" w:eastAsia="Arial"/>
              <w:b w:val="0"/>
            </w:rPr>
          </w:pPr>
          <w:hyperlink w:anchor="_TOC_250017" w:history="1">
            <w:r>
              <w:t>三、从资源上保证工期</w:t>
              <w:tab/>
            </w:r>
            <w:r>
              <w:rPr>
                <w:rFonts w:ascii="Arial" w:eastAsia="Arial"/>
                <w:b w:val="0"/>
              </w:rPr>
              <w:t>41</w:t>
            </w:r>
          </w:hyperlink>
        </w:p>
        <w:p>
          <w:pPr>
            <w:pStyle w:val="TOC2"/>
            <w:tabs>
              <w:tab w:val="right" w:leader="dot" w:pos="12909"/>
            </w:tabs>
            <w:spacing w:before="83"/>
            <w:rPr>
              <w:rFonts w:ascii="Arial" w:eastAsia="Arial"/>
              <w:b w:val="0"/>
            </w:rPr>
          </w:pPr>
          <w:hyperlink w:anchor="_TOC_250016" w:history="1">
            <w:r>
              <w:t>四、从技术上保证工期</w:t>
              <w:tab/>
            </w:r>
            <w:r>
              <w:rPr>
                <w:rFonts w:ascii="Arial" w:eastAsia="Arial"/>
                <w:b w:val="0"/>
              </w:rPr>
              <w:t>42</w:t>
            </w:r>
          </w:hyperlink>
        </w:p>
        <w:p>
          <w:pPr>
            <w:pStyle w:val="TOC2"/>
            <w:tabs>
              <w:tab w:val="right" w:leader="dot" w:pos="12909"/>
            </w:tabs>
            <w:rPr>
              <w:rFonts w:ascii="Arial" w:eastAsia="Arial"/>
              <w:b w:val="0"/>
            </w:rPr>
          </w:pPr>
          <w:hyperlink w:anchor="_TOC_250015" w:history="1">
            <w:r>
              <w:t>五、其他保证措施</w:t>
              <w:tab/>
            </w:r>
            <w:r>
              <w:rPr>
                <w:rFonts w:ascii="Arial" w:eastAsia="Arial"/>
                <w:b w:val="0"/>
              </w:rPr>
              <w:t>43</w:t>
            </w:r>
          </w:hyperlink>
        </w:p>
        <w:p>
          <w:pPr>
            <w:pStyle w:val="TOC2"/>
            <w:tabs>
              <w:tab w:val="right" w:leader="dot" w:pos="12909"/>
            </w:tabs>
            <w:rPr>
              <w:rFonts w:ascii="Arial" w:eastAsia="Arial"/>
              <w:b w:val="0"/>
            </w:rPr>
          </w:pPr>
          <w:hyperlink w:anchor="_TOC_250014" w:history="1">
            <w:r>
              <w:t>六、工程施工进度监测系统</w:t>
              <w:tab/>
            </w:r>
            <w:r>
              <w:rPr>
                <w:rFonts w:ascii="Arial" w:eastAsia="Arial"/>
                <w:b w:val="0"/>
              </w:rPr>
              <w:t>43</w:t>
            </w:r>
          </w:hyperlink>
        </w:p>
        <w:p>
          <w:pPr>
            <w:pStyle w:val="TOC2"/>
            <w:tabs>
              <w:tab w:val="right" w:leader="dot" w:pos="12909"/>
            </w:tabs>
            <w:rPr>
              <w:rFonts w:ascii="Arial" w:eastAsia="Arial"/>
              <w:b w:val="0"/>
            </w:rPr>
          </w:pPr>
          <w:hyperlink w:anchor="_TOC_250013" w:history="1">
            <w:r>
              <w:t>七、工程施工进度调整系统</w:t>
              <w:tab/>
            </w:r>
            <w:r>
              <w:rPr>
                <w:rFonts w:ascii="Arial" w:eastAsia="Arial"/>
                <w:b w:val="0"/>
              </w:rPr>
              <w:t>43</w:t>
            </w:r>
          </w:hyperlink>
        </w:p>
        <w:p>
          <w:pPr>
            <w:pStyle w:val="TOC1"/>
            <w:tabs>
              <w:tab w:val="left" w:pos="1666"/>
              <w:tab w:val="right" w:leader="dot" w:pos="12909"/>
            </w:tabs>
            <w:rPr>
              <w:rFonts w:ascii="Arial" w:eastAsia="Arial"/>
            </w:rPr>
          </w:pPr>
          <w:hyperlink w:anchor="_TOC_250012" w:history="1">
            <w:r>
              <w:t>第十章</w:t>
              <w:tab/>
              <w:t>资源配备计划</w:t>
              <w:tab/>
            </w:r>
            <w:r>
              <w:rPr>
                <w:rFonts w:ascii="Arial" w:eastAsia="Arial"/>
              </w:rPr>
              <w:t>43</w:t>
            </w:r>
          </w:hyperlink>
        </w:p>
        <w:p>
          <w:pPr>
            <w:pStyle w:val="TOC2"/>
            <w:tabs>
              <w:tab w:val="right" w:leader="dot" w:pos="12909"/>
            </w:tabs>
            <w:spacing w:before="263"/>
            <w:rPr>
              <w:rFonts w:ascii="Arial" w:eastAsia="Arial"/>
              <w:b w:val="0"/>
            </w:rPr>
          </w:pPr>
          <w:hyperlink w:anchor="_TOC_250011" w:history="1">
            <w:r>
              <w:t>一、材料供应保证计划</w:t>
              <w:tab/>
            </w:r>
            <w:r>
              <w:rPr>
                <w:rFonts w:ascii="Arial" w:eastAsia="Arial"/>
                <w:b w:val="0"/>
              </w:rPr>
              <w:t>43</w:t>
            </w:r>
          </w:hyperlink>
        </w:p>
        <w:p>
          <w:pPr>
            <w:pStyle w:val="TOC2"/>
            <w:tabs>
              <w:tab w:val="right" w:leader="dot" w:pos="12909"/>
            </w:tabs>
            <w:rPr>
              <w:rFonts w:ascii="Arial" w:eastAsia="Arial"/>
              <w:b w:val="0"/>
            </w:rPr>
          </w:pPr>
          <w:hyperlink w:anchor="_TOC_250010" w:history="1">
            <w:r>
              <w:t>二、机械设备配备计划</w:t>
              <w:tab/>
            </w:r>
            <w:r>
              <w:rPr>
                <w:rFonts w:ascii="Arial" w:eastAsia="Arial"/>
                <w:b w:val="0"/>
              </w:rPr>
              <w:t>44</w:t>
            </w:r>
          </w:hyperlink>
        </w:p>
        <w:p>
          <w:pPr>
            <w:pStyle w:val="TOC1"/>
            <w:tabs>
              <w:tab w:val="left" w:pos="1968"/>
              <w:tab w:val="right" w:leader="dot" w:pos="12909"/>
            </w:tabs>
            <w:spacing w:before="263"/>
            <w:rPr>
              <w:rFonts w:ascii="Arial" w:eastAsia="Arial"/>
            </w:rPr>
          </w:pPr>
          <w:hyperlink w:anchor="_TOC_250009" w:history="1">
            <w:r>
              <w:t>第十一章</w:t>
              <w:tab/>
              <w:t>确保报价完成工程建设的技术和管理措施</w:t>
              <w:tab/>
            </w:r>
            <w:r>
              <w:rPr>
                <w:rFonts w:ascii="Arial" w:eastAsia="Arial"/>
              </w:rPr>
              <w:t>45</w:t>
            </w:r>
          </w:hyperlink>
        </w:p>
        <w:p>
          <w:pPr>
            <w:pStyle w:val="TOC1"/>
            <w:tabs>
              <w:tab w:val="left" w:pos="1968"/>
              <w:tab w:val="right" w:leader="dot" w:pos="12909"/>
            </w:tabs>
            <w:rPr>
              <w:rFonts w:ascii="Arial" w:eastAsia="Arial"/>
            </w:rPr>
          </w:pPr>
          <w:hyperlink w:anchor="_TOC_250008" w:history="1">
            <w:r>
              <w:t>第十二章</w:t>
              <w:tab/>
              <w:t>劳动力安排计划及劳务分包情况</w:t>
              <w:tab/>
            </w:r>
            <w:r>
              <w:rPr>
                <w:rFonts w:ascii="Arial" w:eastAsia="Arial"/>
              </w:rPr>
              <w:t>47</w:t>
            </w:r>
          </w:hyperlink>
        </w:p>
        <w:p>
          <w:pPr>
            <w:pStyle w:val="TOC2"/>
            <w:tabs>
              <w:tab w:val="right" w:leader="dot" w:pos="12909"/>
            </w:tabs>
            <w:spacing w:before="264"/>
            <w:rPr>
              <w:rFonts w:ascii="Arial" w:eastAsia="Arial"/>
              <w:b w:val="0"/>
            </w:rPr>
          </w:pPr>
          <w:hyperlink w:anchor="_TOC_250007" w:history="1">
            <w:r>
              <w:t>一、劳动力安排计划</w:t>
              <w:tab/>
            </w:r>
            <w:r>
              <w:rPr>
                <w:rFonts w:ascii="Arial" w:eastAsia="Arial"/>
                <w:b w:val="0"/>
              </w:rPr>
              <w:t>47</w:t>
            </w:r>
          </w:hyperlink>
        </w:p>
        <w:p>
          <w:pPr>
            <w:pStyle w:val="TOC2"/>
            <w:tabs>
              <w:tab w:val="right" w:leader="dot" w:pos="12909"/>
            </w:tabs>
            <w:spacing w:before="83"/>
            <w:rPr>
              <w:rFonts w:ascii="Arial" w:eastAsia="Arial"/>
              <w:b w:val="0"/>
            </w:rPr>
          </w:pPr>
          <w:hyperlink w:anchor="_TOC_250006" w:history="1">
            <w:r>
              <w:t>二、劳务分包情况</w:t>
              <w:tab/>
            </w:r>
            <w:r>
              <w:rPr>
                <w:rFonts w:ascii="Arial" w:eastAsia="Arial"/>
                <w:b w:val="0"/>
              </w:rPr>
              <w:t>49</w:t>
            </w:r>
          </w:hyperlink>
        </w:p>
        <w:p>
          <w:pPr>
            <w:pStyle w:val="TOC1"/>
            <w:tabs>
              <w:tab w:val="left" w:pos="1968"/>
              <w:tab w:val="right" w:leader="dot" w:pos="12909"/>
            </w:tabs>
            <w:rPr>
              <w:rFonts w:ascii="Arial" w:eastAsia="Arial"/>
            </w:rPr>
          </w:pPr>
          <w:hyperlink w:anchor="_TOC_250005" w:history="1">
            <w:r>
              <w:t>第十三章</w:t>
              <w:tab/>
              <w:t>施工总平面管理</w:t>
              <w:tab/>
            </w:r>
            <w:r>
              <w:rPr>
                <w:rFonts w:ascii="Arial" w:eastAsia="Arial"/>
              </w:rPr>
              <w:t>49</w:t>
            </w:r>
          </w:hyperlink>
        </w:p>
        <w:p>
          <w:pPr>
            <w:pStyle w:val="TOC1"/>
            <w:tabs>
              <w:tab w:val="left" w:pos="1968"/>
              <w:tab w:val="right" w:leader="dot" w:pos="12909"/>
            </w:tabs>
            <w:rPr>
              <w:rFonts w:ascii="Arial" w:eastAsia="Arial"/>
            </w:rPr>
          </w:pPr>
          <w:hyperlink w:anchor="_TOC_250004" w:history="1">
            <w:r>
              <w:t>第十四章</w:t>
              <w:tab/>
              <w:t>保修措施和交付使用后服务承诺条款</w:t>
              <w:tab/>
            </w:r>
            <w:r>
              <w:rPr>
                <w:rFonts w:ascii="Arial" w:eastAsia="Arial"/>
              </w:rPr>
              <w:t>50</w:t>
            </w:r>
          </w:hyperlink>
        </w:p>
        <w:p>
          <w:pPr>
            <w:pStyle w:val="TOC2"/>
            <w:tabs>
              <w:tab w:val="right" w:leader="dot" w:pos="12909"/>
            </w:tabs>
            <w:spacing w:before="264"/>
            <w:rPr>
              <w:rFonts w:ascii="Arial" w:eastAsia="Arial"/>
              <w:b w:val="0"/>
            </w:rPr>
          </w:pPr>
          <w:hyperlink w:anchor="_TOC_250003" w:history="1">
            <w:r>
              <w:t>附表一、拟投入本标段的主要施工设备表</w:t>
              <w:tab/>
            </w:r>
            <w:r>
              <w:rPr>
                <w:rFonts w:ascii="Arial" w:eastAsia="Arial"/>
                <w:b w:val="0"/>
              </w:rPr>
              <w:t>52</w:t>
            </w:r>
          </w:hyperlink>
        </w:p>
        <w:p>
          <w:pPr>
            <w:pStyle w:val="TOC2"/>
            <w:tabs>
              <w:tab w:val="right" w:leader="dot" w:pos="12909"/>
            </w:tabs>
            <w:spacing w:before="83"/>
            <w:rPr>
              <w:rFonts w:ascii="Arial" w:eastAsia="Arial"/>
              <w:b w:val="0"/>
            </w:rPr>
          </w:pPr>
          <w:hyperlink w:anchor="_TOC_250002" w:history="1">
            <w:r>
              <w:t>附表二、拟配备本工程的试验和检测仪器设备表</w:t>
              <w:tab/>
            </w:r>
            <w:r>
              <w:rPr>
                <w:rFonts w:ascii="Arial" w:eastAsia="Arial"/>
                <w:b w:val="0"/>
              </w:rPr>
              <w:t>53</w:t>
            </w:r>
          </w:hyperlink>
        </w:p>
        <w:p>
          <w:pPr>
            <w:pStyle w:val="TOC2"/>
            <w:tabs>
              <w:tab w:val="right" w:leader="dot" w:pos="12909"/>
            </w:tabs>
            <w:rPr>
              <w:rFonts w:ascii="Arial" w:eastAsia="Arial"/>
              <w:b w:val="0"/>
            </w:rPr>
          </w:pPr>
          <w:hyperlink w:anchor="_TOC_250001" w:history="1">
            <w:r>
              <w:t>附表三、劳动力计划表</w:t>
              <w:tab/>
            </w:r>
            <w:r>
              <w:rPr>
                <w:rFonts w:ascii="Arial" w:eastAsia="Arial"/>
                <w:b w:val="0"/>
              </w:rPr>
              <w:t>54</w:t>
            </w:r>
          </w:hyperlink>
        </w:p>
        <w:p>
          <w:pPr>
            <w:pStyle w:val="TOC2"/>
            <w:tabs>
              <w:tab w:val="right" w:leader="dot" w:pos="12909"/>
            </w:tabs>
            <w:rPr>
              <w:rFonts w:ascii="Arial" w:eastAsia="Arial"/>
              <w:b w:val="0"/>
            </w:rPr>
          </w:pPr>
          <w:r>
            <w:t>附表四、计划开竣工日期和施工进度网络图</w:t>
            <w:tab/>
          </w:r>
          <w:r>
            <w:rPr>
              <w:rFonts w:ascii="Arial" w:eastAsia="Arial"/>
              <w:b w:val="0"/>
            </w:rPr>
            <w:t>55</w:t>
          </w:r>
        </w:p>
        <w:p>
          <w:pPr>
            <w:pStyle w:val="TOC2"/>
            <w:tabs>
              <w:tab w:val="right" w:leader="dot" w:pos="12909"/>
            </w:tabs>
            <w:spacing w:before="83"/>
            <w:rPr>
              <w:rFonts w:ascii="Arial" w:eastAsia="Arial"/>
              <w:b w:val="0"/>
            </w:rPr>
          </w:pPr>
          <w:r>
            <w:t>附表五、施工总平面图</w:t>
            <w:tab/>
          </w:r>
          <w:r>
            <w:rPr>
              <w:rFonts w:ascii="Arial" w:eastAsia="Arial"/>
              <w:b w:val="0"/>
            </w:rPr>
            <w:t>56</w:t>
          </w:r>
        </w:p>
        <w:p>
          <w:pPr>
            <w:pStyle w:val="TOC2"/>
            <w:tabs>
              <w:tab w:val="right" w:leader="dot" w:pos="12909"/>
            </w:tabs>
            <w:rPr>
              <w:rFonts w:ascii="Arial" w:eastAsia="Arial"/>
              <w:b w:val="0"/>
            </w:rPr>
          </w:pPr>
          <w:hyperlink w:anchor="_TOC_250000" w:history="1">
            <w:r>
              <w:t>附表六、临时用地表</w:t>
              <w:tab/>
            </w:r>
            <w:r>
              <w:rPr>
                <w:rFonts w:ascii="Arial" w:eastAsia="Arial"/>
                <w:b w:val="0"/>
              </w:rPr>
              <w:t>57</w:t>
            </w:r>
          </w:hyperlink>
        </w:p>
      </w:sdtContent>
    </w:sdt>
    <w:p>
      <w:pPr>
        <w:spacing w:after="0"/>
        <w:rPr>
          <w:rFonts w:ascii="Arial" w:eastAsia="Arial"/>
        </w:rPr>
        <w:sectPr>
          <w:headerReference w:type="default" r:id="rId7"/>
          <w:type w:val="nextPage"/>
          <w:pgSz w:w="17860" w:h="25260"/>
          <w:pgMar w:top="1402" w:right="1080" w:bottom="2781" w:left="2240" w:header="708" w:footer="708"/>
          <w:pgNumType w:start="4"/>
          <w:cols w:space="708"/>
          <w:titlePg w:val="0"/>
        </w:sectPr>
      </w:pPr>
    </w:p>
    <w:p>
      <w:pPr>
        <w:pStyle w:val="BodyText"/>
        <w:rPr>
          <w:rFonts w:ascii="Arial"/>
          <w:sz w:val="54"/>
        </w:rPr>
      </w:pPr>
    </w:p>
    <w:p>
      <w:pPr>
        <w:pStyle w:val="BodyText"/>
        <w:spacing w:before="1"/>
        <w:rPr>
          <w:rFonts w:ascii="Arial"/>
          <w:sz w:val="75"/>
        </w:rPr>
      </w:pPr>
    </w:p>
    <w:p>
      <w:pPr>
        <w:pStyle w:val="Heading1"/>
        <w:tabs>
          <w:tab w:val="left" w:pos="6692"/>
        </w:tabs>
        <w:ind w:left="4522"/>
      </w:pPr>
      <w:bookmarkStart w:id="0" w:name="_TOC_250050"/>
      <w:bookmarkEnd w:id="0"/>
      <w:r>
        <w:t>第一章</w:t>
        <w:tab/>
        <w:t>编制说明</w:t>
      </w:r>
    </w:p>
    <w:p>
      <w:pPr>
        <w:pStyle w:val="BodyText"/>
        <w:spacing w:before="4"/>
        <w:rPr>
          <w:b/>
          <w:sz w:val="27"/>
        </w:rPr>
      </w:pPr>
    </w:p>
    <w:p>
      <w:pPr>
        <w:pStyle w:val="Heading2"/>
        <w:spacing w:before="32"/>
      </w:pPr>
      <w:bookmarkStart w:id="1" w:name="_TOC_250049"/>
      <w:bookmarkEnd w:id="1"/>
      <w:r>
        <w:t>一、编制依据</w:t>
      </w:r>
    </w:p>
    <w:p>
      <w:pPr>
        <w:pStyle w:val="BodyText"/>
        <w:spacing w:before="7"/>
        <w:rPr>
          <w:b/>
          <w:sz w:val="35"/>
        </w:rPr>
      </w:pPr>
    </w:p>
    <w:p>
      <w:pPr>
        <w:pStyle w:val="BodyText"/>
        <w:ind w:left="1299"/>
      </w:pPr>
      <w:r>
        <w:t>l、郑州市金水区城市管理执法局提供的本次招标设计图纸。</w:t>
      </w:r>
    </w:p>
    <w:p>
      <w:pPr>
        <w:pStyle w:val="BodyText"/>
        <w:spacing w:before="10"/>
        <w:rPr>
          <w:sz w:val="32"/>
        </w:rPr>
      </w:pPr>
    </w:p>
    <w:p>
      <w:pPr>
        <w:pStyle w:val="BodyText"/>
        <w:spacing w:line="429" w:lineRule="auto"/>
        <w:ind w:left="460" w:right="1653" w:firstLine="838"/>
      </w:pPr>
      <w:r>
        <w:t>2、郑州市金水区城市管理执法局提供的本次招标的有关说明和招标文件；标前会议纪要及补遗书资料。</w:t>
      </w:r>
    </w:p>
    <w:p>
      <w:pPr>
        <w:pStyle w:val="BodyText"/>
        <w:spacing w:line="427" w:lineRule="auto"/>
        <w:ind w:left="460" w:right="1653" w:firstLine="838"/>
      </w:pPr>
      <w:r>
        <w:t>3、本工程施工所处的季节，施工环境以及本工程的具体特点， 结合我公司的实际状况，施工力量等优势。</w:t>
      </w:r>
    </w:p>
    <w:p>
      <w:pPr>
        <w:pStyle w:val="BodyText"/>
        <w:ind w:left="1299"/>
      </w:pPr>
      <w:r>
        <w:t>4、国家现行设计规范、施工规范及验收标准；</w:t>
      </w:r>
    </w:p>
    <w:p>
      <w:pPr>
        <w:pStyle w:val="BodyText"/>
        <w:rPr>
          <w:sz w:val="33"/>
        </w:rPr>
      </w:pPr>
    </w:p>
    <w:p>
      <w:pPr>
        <w:pStyle w:val="BodyText"/>
        <w:ind w:left="1299"/>
      </w:pPr>
      <w:r>
        <w:t>5、通过对施工现场的踏勘、施工调查所获取的资料；</w:t>
      </w:r>
    </w:p>
    <w:p>
      <w:pPr>
        <w:pStyle w:val="BodyText"/>
        <w:spacing w:before="9"/>
        <w:rPr>
          <w:sz w:val="32"/>
        </w:rPr>
      </w:pPr>
    </w:p>
    <w:p>
      <w:pPr>
        <w:pStyle w:val="BodyText"/>
        <w:spacing w:line="429" w:lineRule="auto"/>
        <w:ind w:left="460" w:right="1611" w:firstLine="838"/>
        <w:jc w:val="both"/>
      </w:pPr>
      <w:r>
        <w:t>6、我公司承建本工程所具备的机械设备、人员技术能力、施工</w:t>
      </w:r>
      <w:r>
        <w:rPr>
          <w:spacing w:val="-8"/>
        </w:rPr>
        <w:t>管理水平及多年来参加同类型工程施工所积累的施工经验、技术方面</w:t>
      </w:r>
      <w:r>
        <w:t>的优势。</w:t>
      </w:r>
    </w:p>
    <w:p>
      <w:pPr>
        <w:pStyle w:val="Heading2"/>
        <w:spacing w:line="496" w:lineRule="exact"/>
      </w:pPr>
      <w:bookmarkStart w:id="2" w:name="_TOC_250048"/>
      <w:bookmarkEnd w:id="2"/>
      <w:r>
        <w:t>二、编制原则</w:t>
      </w:r>
    </w:p>
    <w:p>
      <w:pPr>
        <w:pStyle w:val="BodyText"/>
        <w:spacing w:before="7"/>
        <w:rPr>
          <w:b/>
          <w:sz w:val="35"/>
        </w:rPr>
      </w:pPr>
    </w:p>
    <w:p>
      <w:pPr>
        <w:pStyle w:val="BodyText"/>
        <w:ind w:left="1299"/>
      </w:pPr>
      <w:r>
        <w:t>1、遵循《招标文件》的原则</w:t>
      </w:r>
    </w:p>
    <w:p>
      <w:pPr>
        <w:pStyle w:val="BodyText"/>
        <w:spacing w:before="1"/>
        <w:rPr>
          <w:sz w:val="33"/>
        </w:rPr>
      </w:pPr>
    </w:p>
    <w:p>
      <w:pPr>
        <w:pStyle w:val="BodyText"/>
        <w:spacing w:line="427" w:lineRule="auto"/>
        <w:ind w:left="460" w:right="1444" w:firstLine="838"/>
      </w:pPr>
      <w:r>
        <w:t>严格按照招标文件中的工程规范、工期、质量、安全目标等要求编制施组，满足招标方各项要求。</w:t>
      </w:r>
    </w:p>
    <w:p>
      <w:pPr>
        <w:pStyle w:val="BodyText"/>
        <w:spacing w:before="4"/>
        <w:ind w:left="1299"/>
      </w:pPr>
      <w:r>
        <w:t>2、遵循设计文件的原则</w:t>
      </w:r>
    </w:p>
    <w:p>
      <w:pPr>
        <w:pStyle w:val="BodyText"/>
        <w:rPr>
          <w:sz w:val="33"/>
        </w:rPr>
      </w:pPr>
    </w:p>
    <w:p>
      <w:pPr>
        <w:pStyle w:val="BodyText"/>
        <w:spacing w:line="427" w:lineRule="auto"/>
        <w:ind w:left="460" w:right="1440" w:firstLine="838"/>
      </w:pPr>
      <w:r>
        <w:rPr>
          <w:spacing w:val="-13"/>
        </w:rPr>
        <w:t>在编制施组时，认真阅读核对获得的设计文件资料，了解设计意</w:t>
      </w:r>
      <w:r>
        <w:rPr>
          <w:spacing w:val="-14"/>
        </w:rPr>
        <w:t>图，掌握现场情况，严格按设计资料和设计原则编制施组，满足设计</w:t>
      </w:r>
      <w:r>
        <w:t>标准要求。</w:t>
      </w:r>
    </w:p>
    <w:p>
      <w:pPr>
        <w:spacing w:after="0" w:line="427" w:lineRule="auto"/>
        <w:sectPr>
          <w:headerReference w:type="default" r:id="rId8"/>
          <w:footerReference w:type="default" r:id="rId9"/>
          <w:pgSz w:w="17860" w:h="25260"/>
          <w:pgMar w:top="1400" w:right="1080" w:bottom="2040" w:left="2240" w:header="1088" w:footer="1843"/>
          <w:pgNumType w:start="5"/>
          <w:cols w:space="708"/>
        </w:sectPr>
      </w:pPr>
    </w:p>
    <w:p>
      <w:pPr>
        <w:pStyle w:val="BodyText"/>
        <w:rPr>
          <w:sz w:val="20"/>
        </w:rPr>
      </w:pPr>
    </w:p>
    <w:p>
      <w:pPr>
        <w:pStyle w:val="BodyText"/>
        <w:rPr>
          <w:sz w:val="20"/>
        </w:rPr>
      </w:pPr>
    </w:p>
    <w:p>
      <w:pPr>
        <w:pStyle w:val="BodyText"/>
        <w:spacing w:before="2"/>
        <w:rPr>
          <w:sz w:val="15"/>
        </w:rPr>
      </w:pPr>
    </w:p>
    <w:p>
      <w:pPr>
        <w:pStyle w:val="BodyText"/>
        <w:spacing w:before="42"/>
        <w:ind w:left="1299"/>
      </w:pPr>
      <w:r>
        <w:t>3、遵循施工技术规范和验收标准的原则</w:t>
      </w:r>
    </w:p>
    <w:p>
      <w:pPr>
        <w:pStyle w:val="BodyText"/>
        <w:spacing w:before="9"/>
        <w:rPr>
          <w:sz w:val="32"/>
        </w:rPr>
      </w:pPr>
    </w:p>
    <w:p>
      <w:pPr>
        <w:pStyle w:val="BodyText"/>
        <w:spacing w:before="1" w:line="429" w:lineRule="auto"/>
        <w:ind w:left="460" w:right="1596" w:firstLine="838"/>
      </w:pPr>
      <w:r>
        <w:rPr>
          <w:spacing w:val="-13"/>
        </w:rPr>
        <w:t>在编制施工组织设计时，严格按施工技术规范要求优化施工技术</w:t>
      </w:r>
      <w:r>
        <w:t>方案，认真执行工程质量检验及验收标准。</w:t>
      </w:r>
    </w:p>
    <w:p>
      <w:pPr>
        <w:pStyle w:val="BodyText"/>
        <w:spacing w:line="534" w:lineRule="exact"/>
        <w:ind w:left="1299"/>
      </w:pPr>
      <w:r>
        <w:t>4、遵循实事求是的原则</w:t>
      </w:r>
    </w:p>
    <w:p>
      <w:pPr>
        <w:pStyle w:val="BodyText"/>
        <w:spacing w:before="9"/>
        <w:rPr>
          <w:sz w:val="32"/>
        </w:rPr>
      </w:pPr>
    </w:p>
    <w:p>
      <w:pPr>
        <w:pStyle w:val="BodyText"/>
        <w:spacing w:line="427" w:lineRule="auto"/>
        <w:ind w:left="460" w:right="1402" w:firstLine="838"/>
      </w:pPr>
      <w:r>
        <w:rPr>
          <w:spacing w:val="-12"/>
        </w:rPr>
        <w:t>在编制施工组织设计时，根据该标段工程特点，突出体现城市施</w:t>
      </w:r>
      <w:r>
        <w:rPr>
          <w:spacing w:val="-25"/>
        </w:rPr>
        <w:t>工中交通疏解、环境保护和文明施工的要求，从实际出发、科学组织、</w:t>
      </w:r>
      <w:r>
        <w:t>均衡施工，把交通疏解、环境保护和文明施工作为重点内容，制定专</w:t>
      </w:r>
      <w:r>
        <w:rPr>
          <w:spacing w:val="-13"/>
        </w:rPr>
        <w:t>题方案，确保使施工对城市环境和城市交通的影响降到最低，体现快速，有序、优质、高效的施工作风和精神风貌。</w:t>
      </w:r>
    </w:p>
    <w:p>
      <w:pPr>
        <w:pStyle w:val="BodyText"/>
        <w:spacing w:before="14"/>
        <w:ind w:left="1299"/>
      </w:pPr>
      <w:r>
        <w:t>5、体现“安全第一、防范结合”的原则</w:t>
      </w:r>
    </w:p>
    <w:p>
      <w:pPr>
        <w:pStyle w:val="BodyText"/>
        <w:spacing w:before="9"/>
        <w:rPr>
          <w:sz w:val="32"/>
        </w:rPr>
      </w:pPr>
    </w:p>
    <w:p>
      <w:pPr>
        <w:pStyle w:val="BodyText"/>
        <w:spacing w:before="1" w:line="429" w:lineRule="auto"/>
        <w:ind w:left="460" w:right="1440" w:firstLine="838"/>
        <w:jc w:val="both"/>
      </w:pPr>
      <w:r>
        <w:t>严格按照施工安全操作规程，从制度、管理、方案、资源方面制定切实可行的措施，确保施工安全，服从建设单位指令，服从监理工程师的监督指导，严肃安全纪律，严格按规章程序办事。</w:t>
      </w:r>
    </w:p>
    <w:p>
      <w:pPr>
        <w:pStyle w:val="BodyText"/>
        <w:spacing w:line="529" w:lineRule="exact"/>
        <w:ind w:left="1299"/>
      </w:pPr>
      <w:r>
        <w:t>6、遵循科学技术是第一生产力的原则</w:t>
      </w:r>
    </w:p>
    <w:p>
      <w:pPr>
        <w:pStyle w:val="BodyText"/>
        <w:rPr>
          <w:sz w:val="33"/>
        </w:rPr>
      </w:pPr>
    </w:p>
    <w:p>
      <w:pPr>
        <w:pStyle w:val="BodyText"/>
        <w:spacing w:line="427" w:lineRule="auto"/>
        <w:ind w:left="460" w:right="1409" w:firstLine="838"/>
        <w:jc w:val="both"/>
      </w:pPr>
      <w:r>
        <w:rPr>
          <w:spacing w:val="-22"/>
        </w:rPr>
        <w:t xml:space="preserve">配备技术能力强、有丰富的同类工程施工经验的技术人员，同时， </w:t>
      </w:r>
      <w:r>
        <w:t>在编制施工组织设计时，充分应用“四新”成果，发挥科技在施工生产中的先导作用。</w:t>
      </w:r>
    </w:p>
    <w:p>
      <w:pPr>
        <w:pStyle w:val="BodyText"/>
        <w:spacing w:before="7"/>
        <w:ind w:left="1299"/>
      </w:pPr>
      <w:r>
        <w:t>7、遵循专业队伍施工和综合管理的原则</w:t>
      </w:r>
    </w:p>
    <w:p>
      <w:pPr>
        <w:pStyle w:val="BodyText"/>
        <w:rPr>
          <w:sz w:val="33"/>
        </w:rPr>
      </w:pPr>
    </w:p>
    <w:p>
      <w:pPr>
        <w:pStyle w:val="BodyText"/>
        <w:spacing w:line="427" w:lineRule="auto"/>
        <w:ind w:left="460" w:right="1614" w:firstLine="838"/>
      </w:pPr>
      <w:r>
        <w:rPr>
          <w:spacing w:val="-13"/>
        </w:rPr>
        <w:t>以专业化队伍为基本形式，配备必要的施工机械设备，同时采取</w:t>
      </w:r>
      <w:r>
        <w:t>综合管理手段合理调配，以达到整体优化的目的。</w:t>
      </w:r>
    </w:p>
    <w:p>
      <w:pPr>
        <w:pStyle w:val="BodyText"/>
        <w:spacing w:before="4"/>
        <w:ind w:left="1299"/>
      </w:pPr>
      <w:r>
        <w:t>8、遵循贯标机制的原则</w:t>
      </w:r>
    </w:p>
    <w:p>
      <w:pPr>
        <w:spacing w:after="0"/>
        <w:sectPr>
          <w:headerReference w:type="default" r:id="rId10"/>
          <w:footerReference w:type="default" r:id="rId11"/>
          <w:pgSz w:w="17860" w:h="25260"/>
          <w:pgMar w:top="1400" w:right="1080" w:bottom="2040" w:left="2240" w:header="1088" w:footer="1843"/>
          <w:pgNumType w:start="6"/>
          <w:cols w:space="708"/>
        </w:sectPr>
      </w:pPr>
    </w:p>
    <w:p>
      <w:pPr>
        <w:pStyle w:val="BodyText"/>
        <w:rPr>
          <w:sz w:val="20"/>
        </w:rPr>
      </w:pPr>
    </w:p>
    <w:p>
      <w:pPr>
        <w:pStyle w:val="BodyText"/>
        <w:rPr>
          <w:sz w:val="20"/>
        </w:rPr>
      </w:pPr>
    </w:p>
    <w:p>
      <w:pPr>
        <w:pStyle w:val="BodyText"/>
        <w:spacing w:before="2"/>
        <w:rPr>
          <w:sz w:val="15"/>
        </w:rPr>
      </w:pPr>
    </w:p>
    <w:p>
      <w:pPr>
        <w:pStyle w:val="BodyText"/>
        <w:spacing w:before="42" w:line="427" w:lineRule="auto"/>
        <w:ind w:left="460" w:right="1652" w:firstLine="838"/>
      </w:pPr>
      <w:r>
        <w:t>使 IS09002 质量标准体系在本项目工程中自始至终得到有效运行。</w:t>
      </w:r>
    </w:p>
    <w:p>
      <w:pPr>
        <w:pStyle w:val="BodyText"/>
        <w:spacing w:before="3"/>
        <w:ind w:left="1299"/>
      </w:pPr>
      <w:r>
        <w:t>9、遵循文明施工和环境保护的原则</w:t>
      </w:r>
    </w:p>
    <w:p>
      <w:pPr>
        <w:pStyle w:val="BodyText"/>
        <w:rPr>
          <w:sz w:val="33"/>
        </w:rPr>
      </w:pPr>
    </w:p>
    <w:p>
      <w:pPr>
        <w:pStyle w:val="BodyText"/>
        <w:spacing w:before="1" w:line="427" w:lineRule="auto"/>
        <w:ind w:left="460" w:right="1601" w:firstLine="838"/>
      </w:pPr>
      <w:r>
        <w:rPr>
          <w:spacing w:val="-15"/>
        </w:rPr>
        <w:t>施工中严格执行《环境保护法》和郑州市的有关文明施工和环境</w:t>
      </w:r>
      <w:r>
        <w:t>保护的地方法规，创建“文明施工现场</w:t>
      </w:r>
      <w:r>
        <w:rPr>
          <w:spacing w:val="-116"/>
        </w:rPr>
        <w:t>”。</w:t>
      </w:r>
    </w:p>
    <w:p>
      <w:pPr>
        <w:pStyle w:val="Heading1"/>
        <w:tabs>
          <w:tab w:val="left" w:pos="6692"/>
        </w:tabs>
        <w:spacing w:before="249"/>
        <w:ind w:left="4522"/>
      </w:pPr>
      <w:bookmarkStart w:id="3" w:name="_TOC_250047"/>
      <w:bookmarkEnd w:id="3"/>
      <w:r>
        <w:t>第二章</w:t>
        <w:tab/>
        <w:t>工程概况</w:t>
      </w:r>
    </w:p>
    <w:p>
      <w:pPr>
        <w:pStyle w:val="BodyText"/>
        <w:spacing w:before="11"/>
        <w:rPr>
          <w:b/>
          <w:sz w:val="74"/>
        </w:rPr>
      </w:pPr>
    </w:p>
    <w:p>
      <w:pPr>
        <w:pStyle w:val="BodyText"/>
        <w:spacing w:before="1" w:line="427" w:lineRule="auto"/>
        <w:ind w:left="460" w:right="1440" w:firstLine="838"/>
      </w:pPr>
      <w:r>
        <w:t>经一路精品街人行道改造工程位于郑州市红旗路-黄河路、农业路-枣庄路为南北向市政道路，人行道改造面积7828m2。主要工作内容包括：拆除旧侧石、人行道砖、树池石和基层等；道路水泥粉煤灰稳定碎石基层填筑碾压，侧石、树池石、树池篦子安装，道砖铺设， 检查井升高等。</w:t>
      </w:r>
    </w:p>
    <w:p>
      <w:pPr>
        <w:pStyle w:val="BodyText"/>
        <w:tabs>
          <w:tab w:val="left" w:pos="10955"/>
        </w:tabs>
        <w:spacing w:before="10" w:line="427" w:lineRule="auto"/>
        <w:ind w:left="460" w:right="1440" w:firstLine="838"/>
      </w:pPr>
      <w:r>
        <w:t>市民新村人行道旧砖改造工程位于郑州市北二七路</w:t>
        <w:tab/>
      </w:r>
      <w:r>
        <w:rPr>
          <w:spacing w:val="20"/>
        </w:rPr>
        <w:t>-</w:t>
      </w:r>
      <w:r>
        <w:t>杜岭街路段，人行道改造面积</w:t>
      </w:r>
      <w:r>
        <w:rPr>
          <w:spacing w:val="31"/>
        </w:rPr>
        <w:t xml:space="preserve"> </w:t>
      </w:r>
      <w:r>
        <w:t>3325m2。主要工作内容包括：拆除旧侧石、人行道砖、树池石和砼路面等；道路石灰稳定土基层填筑碾压，侧石</w:t>
      </w:r>
      <w:r>
        <w:rPr>
          <w:spacing w:val="-17"/>
        </w:rPr>
        <w:t>、</w:t>
      </w:r>
      <w:r>
        <w:t>树池石安装，道砖铺设，检查井升高等。</w:t>
      </w:r>
    </w:p>
    <w:p>
      <w:pPr>
        <w:pStyle w:val="BodyText"/>
        <w:spacing w:before="9" w:line="427" w:lineRule="auto"/>
        <w:ind w:left="460" w:right="1444" w:firstLine="838"/>
      </w:pPr>
      <w:r>
        <w:t>为确保工期，我单位将在保证工程质量的前提下加大施工投入， 采取先进的施工工艺，按照以下分阶段进行控制。</w:t>
      </w:r>
    </w:p>
    <w:p>
      <w:pPr>
        <w:pStyle w:val="Heading1"/>
        <w:tabs>
          <w:tab w:val="left" w:pos="6692"/>
        </w:tabs>
        <w:spacing w:before="251"/>
        <w:ind w:left="4522"/>
      </w:pPr>
      <w:bookmarkStart w:id="4" w:name="_TOC_250046"/>
      <w:bookmarkEnd w:id="4"/>
      <w:r>
        <w:t>第三章</w:t>
        <w:tab/>
        <w:t>施工准备</w:t>
      </w:r>
    </w:p>
    <w:p>
      <w:pPr>
        <w:pStyle w:val="BodyText"/>
        <w:spacing w:before="11"/>
        <w:rPr>
          <w:b/>
          <w:sz w:val="74"/>
        </w:rPr>
      </w:pPr>
    </w:p>
    <w:p>
      <w:pPr>
        <w:pStyle w:val="BodyText"/>
        <w:ind w:left="1299"/>
      </w:pPr>
      <w:r>
        <w:t>针对本工程量大、标准高等特点，为确保工期和质量，我单位将</w:t>
      </w:r>
    </w:p>
    <w:p>
      <w:pPr>
        <w:spacing w:after="0"/>
        <w:sectPr>
          <w:headerReference w:type="default" r:id="rId12"/>
          <w:footerReference w:type="default" r:id="rId13"/>
          <w:pgSz w:w="17860" w:h="25260"/>
          <w:pgMar w:top="1400" w:right="1080" w:bottom="2020" w:left="2240" w:header="1088" w:footer="1837"/>
          <w:pgNumType w:start="3"/>
          <w:cols w:space="708"/>
        </w:sectPr>
      </w:pPr>
    </w:p>
    <w:p>
      <w:pPr>
        <w:pStyle w:val="BodyText"/>
        <w:rPr>
          <w:sz w:val="20"/>
        </w:rPr>
      </w:pPr>
    </w:p>
    <w:p>
      <w:pPr>
        <w:pStyle w:val="BodyText"/>
        <w:rPr>
          <w:sz w:val="20"/>
        </w:rPr>
      </w:pPr>
    </w:p>
    <w:p>
      <w:pPr>
        <w:pStyle w:val="BodyText"/>
        <w:spacing w:before="2"/>
        <w:rPr>
          <w:sz w:val="15"/>
        </w:rPr>
      </w:pPr>
    </w:p>
    <w:p>
      <w:pPr>
        <w:pStyle w:val="BodyText"/>
        <w:spacing w:before="42" w:line="427" w:lineRule="auto"/>
        <w:ind w:left="460" w:right="1440"/>
      </w:pPr>
      <w:r>
        <w:rPr>
          <w:spacing w:val="-10"/>
        </w:rPr>
        <w:t>发扬能够吃苦耐劳敢打硬仗的作风，强化施工组织管理，按投标书的</w:t>
      </w:r>
      <w:r>
        <w:rPr>
          <w:spacing w:val="-15"/>
        </w:rPr>
        <w:t>承诺，调集我单位优秀的施工队伍和精良的机械装备，在业主规定的</w:t>
      </w:r>
      <w:r>
        <w:rPr>
          <w:spacing w:val="-16"/>
        </w:rPr>
        <w:t>期限内，以最快的方式提前进场，严格履行合同，分兵同时展开各项</w:t>
      </w:r>
      <w:r>
        <w:rPr>
          <w:spacing w:val="-1"/>
        </w:rPr>
        <w:t xml:space="preserve">施工准备工作。公司拟组成以公司副经理任项目经理的项目经理部， </w:t>
      </w:r>
      <w:r>
        <w:rPr>
          <w:spacing w:val="-13"/>
        </w:rPr>
        <w:t>同时配备经验丰富、工作能力强的施工管理人员。项目经理部设五个职能管理部门、五个施工项目分部。</w:t>
      </w:r>
    </w:p>
    <w:p>
      <w:pPr>
        <w:pStyle w:val="BodyText"/>
        <w:spacing w:before="14"/>
        <w:ind w:left="1299"/>
      </w:pPr>
      <w:r>
        <w:t>（一</w:t>
      </w:r>
      <w:r>
        <w:rPr>
          <w:spacing w:val="-213"/>
        </w:rPr>
        <w:t>）</w:t>
      </w:r>
      <w:r>
        <w:t>、人员准备</w:t>
      </w:r>
    </w:p>
    <w:p>
      <w:pPr>
        <w:pStyle w:val="BodyText"/>
        <w:spacing w:before="9"/>
        <w:rPr>
          <w:sz w:val="32"/>
        </w:rPr>
      </w:pPr>
    </w:p>
    <w:p>
      <w:pPr>
        <w:pStyle w:val="BodyText"/>
        <w:spacing w:before="1" w:line="427" w:lineRule="auto"/>
        <w:ind w:left="460" w:right="1607" w:firstLine="838"/>
        <w:jc w:val="both"/>
      </w:pPr>
      <w:r>
        <w:rPr>
          <w:spacing w:val="-14"/>
        </w:rPr>
        <w:t>接到中标通知书后，根据施工进度计划，组织五个职能部门主要</w:t>
      </w:r>
      <w:r>
        <w:rPr>
          <w:spacing w:val="-13"/>
        </w:rPr>
        <w:t>人员进场，每个项目分部对专业技术人员和一般劳力要均匀搭配，并</w:t>
      </w:r>
      <w:r>
        <w:rPr>
          <w:spacing w:val="-20"/>
        </w:rPr>
        <w:t>对技术性工种的施工人员进行岗位培训，实行持证上岗。</w:t>
      </w:r>
      <w:r>
        <w:t>（具体见劳动力安排表）</w:t>
      </w:r>
    </w:p>
    <w:p>
      <w:pPr>
        <w:pStyle w:val="BodyText"/>
        <w:spacing w:before="10"/>
        <w:ind w:left="1299"/>
      </w:pPr>
      <w:r>
        <w:t>（二</w:t>
      </w:r>
      <w:r>
        <w:rPr>
          <w:spacing w:val="-213"/>
        </w:rPr>
        <w:t>）</w:t>
      </w:r>
      <w:r>
        <w:t>、材料准备</w:t>
      </w:r>
    </w:p>
    <w:p>
      <w:pPr>
        <w:pStyle w:val="BodyText"/>
        <w:rPr>
          <w:sz w:val="33"/>
        </w:rPr>
      </w:pPr>
    </w:p>
    <w:p>
      <w:pPr>
        <w:pStyle w:val="BodyText"/>
        <w:spacing w:line="427" w:lineRule="auto"/>
        <w:ind w:left="460" w:right="1440" w:firstLine="838"/>
      </w:pPr>
      <w:r>
        <w:t xml:space="preserve">根据施工图编排好材料计划表。根据施工进度编排好材料进场 </w:t>
      </w:r>
      <w:r>
        <w:rPr>
          <w:spacing w:val="-1"/>
        </w:rPr>
        <w:t>表，按计划顺利进场，并根据实际情况及时调整。落实好铺装材料的</w:t>
      </w:r>
      <w:r>
        <w:rPr>
          <w:spacing w:val="-13"/>
        </w:rPr>
        <w:t>来源，进场时间及规格。对于部分加工材料应尽早落实与加工单位联</w:t>
      </w:r>
      <w:r>
        <w:rPr>
          <w:spacing w:val="-14"/>
        </w:rPr>
        <w:t>系，签订合同。做好各种水泥、砂石、道砖等原材料试验和混凝土级</w:t>
      </w:r>
      <w:r>
        <w:t>配试验。</w:t>
      </w:r>
    </w:p>
    <w:p>
      <w:pPr>
        <w:pStyle w:val="BodyText"/>
        <w:spacing w:before="10"/>
        <w:ind w:left="1299"/>
      </w:pPr>
      <w:r>
        <w:t>（三</w:t>
      </w:r>
      <w:r>
        <w:rPr>
          <w:spacing w:val="-213"/>
        </w:rPr>
        <w:t>）</w:t>
      </w:r>
      <w:r>
        <w:t>、机械准备</w:t>
      </w:r>
    </w:p>
    <w:p>
      <w:pPr>
        <w:pStyle w:val="BodyText"/>
        <w:rPr>
          <w:sz w:val="33"/>
        </w:rPr>
      </w:pPr>
    </w:p>
    <w:p>
      <w:pPr>
        <w:pStyle w:val="BodyText"/>
        <w:spacing w:before="1" w:line="427" w:lineRule="auto"/>
        <w:ind w:left="460" w:right="1613" w:firstLine="838"/>
        <w:jc w:val="both"/>
      </w:pPr>
      <w:r>
        <w:rPr>
          <w:spacing w:val="-11"/>
        </w:rPr>
        <w:t>我公司现已落实了施工机械，并对设备已进行维修和保养，尤其是对关键设备进行彻底检查。如我公司有幸接到中标通知书，各类机</w:t>
      </w:r>
      <w:r>
        <w:rPr>
          <w:spacing w:val="-35"/>
        </w:rPr>
        <w:t xml:space="preserve">械在 </w:t>
      </w:r>
      <w:r>
        <w:t>3</w:t>
      </w:r>
      <w:r>
        <w:rPr>
          <w:spacing w:val="-11"/>
        </w:rPr>
        <w:t xml:space="preserve"> 天内按合同要求和工期计划分批配套陆续进场。</w:t>
      </w:r>
    </w:p>
    <w:p>
      <w:pPr>
        <w:spacing w:after="0" w:line="427" w:lineRule="auto"/>
        <w:jc w:val="both"/>
        <w:sectPr>
          <w:headerReference w:type="default" r:id="rId14"/>
          <w:footerReference w:type="default" r:id="rId15"/>
          <w:pgSz w:w="17860" w:h="25260"/>
          <w:pgMar w:top="1400" w:right="1080" w:bottom="2040" w:left="2240" w:header="1088" w:footer="1837"/>
          <w:pgNumType w:start="4"/>
          <w:cols w:space="708"/>
        </w:sectPr>
      </w:pPr>
    </w:p>
    <w:p>
      <w:pPr>
        <w:pStyle w:val="BodyText"/>
        <w:rPr>
          <w:sz w:val="20"/>
        </w:rPr>
      </w:pPr>
    </w:p>
    <w:p>
      <w:pPr>
        <w:pStyle w:val="BodyText"/>
        <w:rPr>
          <w:sz w:val="20"/>
        </w:rPr>
      </w:pPr>
    </w:p>
    <w:p>
      <w:pPr>
        <w:pStyle w:val="BodyText"/>
        <w:spacing w:before="2"/>
        <w:rPr>
          <w:sz w:val="15"/>
        </w:rPr>
      </w:pPr>
    </w:p>
    <w:p>
      <w:pPr>
        <w:pStyle w:val="BodyText"/>
        <w:spacing w:before="42"/>
        <w:ind w:left="1299"/>
      </w:pPr>
      <w:r>
        <w:t>（四</w:t>
      </w:r>
      <w:r>
        <w:rPr>
          <w:spacing w:val="-213"/>
        </w:rPr>
        <w:t>）</w:t>
      </w:r>
      <w:r>
        <w:t>、施工现场准备</w:t>
      </w:r>
    </w:p>
    <w:p>
      <w:pPr>
        <w:pStyle w:val="BodyText"/>
        <w:spacing w:before="9"/>
        <w:rPr>
          <w:sz w:val="32"/>
        </w:rPr>
      </w:pPr>
    </w:p>
    <w:p>
      <w:pPr>
        <w:pStyle w:val="BodyText"/>
        <w:spacing w:before="1" w:line="429" w:lineRule="auto"/>
        <w:ind w:left="460" w:right="1440" w:firstLine="838"/>
      </w:pPr>
      <w:r>
        <w:rPr>
          <w:spacing w:val="-12"/>
        </w:rPr>
        <w:t>对集料场地全部进行硬化处理，同时将不同规格的集料分别用隔</w:t>
      </w:r>
      <w:r>
        <w:rPr>
          <w:spacing w:val="-13"/>
        </w:rPr>
        <w:t>离墙隔离，以保证原材料的质量。对石灰及所需细集料，采用防雨棚</w:t>
      </w:r>
      <w:r>
        <w:t>和雨布覆盖结合的办法。</w:t>
      </w:r>
    </w:p>
    <w:p>
      <w:pPr>
        <w:pStyle w:val="BodyText"/>
        <w:spacing w:line="528" w:lineRule="exact"/>
        <w:ind w:left="1299"/>
      </w:pPr>
      <w:r>
        <w:t>施工用电以工业用电为主，自发电为辅，并配备了相应数量的发</w:t>
      </w:r>
    </w:p>
    <w:p>
      <w:pPr>
        <w:pStyle w:val="BodyText"/>
        <w:rPr>
          <w:sz w:val="33"/>
        </w:rPr>
      </w:pPr>
    </w:p>
    <w:p>
      <w:pPr>
        <w:pStyle w:val="BodyText"/>
        <w:ind w:left="460"/>
      </w:pPr>
      <w:r>
        <w:t>电机组，以保证生产正常进行。施工用水用自来水。</w:t>
      </w:r>
    </w:p>
    <w:p>
      <w:pPr>
        <w:pStyle w:val="BodyText"/>
        <w:spacing w:before="3"/>
        <w:rPr>
          <w:sz w:val="52"/>
        </w:rPr>
      </w:pPr>
    </w:p>
    <w:p>
      <w:pPr>
        <w:pStyle w:val="Heading1"/>
        <w:tabs>
          <w:tab w:val="left" w:pos="6692"/>
        </w:tabs>
        <w:spacing w:before="1"/>
        <w:ind w:left="4522"/>
      </w:pPr>
      <w:bookmarkStart w:id="5" w:name="_TOC_250045"/>
      <w:r>
        <w:t>第四章</w:t>
        <w:tab/>
      </w:r>
      <w:bookmarkEnd w:id="5"/>
      <w:r>
        <w:rPr>
          <w:w w:val="95"/>
        </w:rPr>
        <w:t>施工布置</w:t>
      </w:r>
    </w:p>
    <w:p>
      <w:pPr>
        <w:pStyle w:val="BodyText"/>
        <w:spacing w:before="7"/>
        <w:rPr>
          <w:b/>
          <w:sz w:val="74"/>
        </w:rPr>
      </w:pPr>
    </w:p>
    <w:p>
      <w:pPr>
        <w:pStyle w:val="BodyText"/>
        <w:spacing w:line="427" w:lineRule="auto"/>
        <w:ind w:left="460" w:right="1440" w:firstLine="838"/>
      </w:pPr>
      <w:r>
        <w:rPr>
          <w:spacing w:val="-8"/>
        </w:rPr>
        <w:t>根据本工程总工期要求和现场情况及工程特点，充分利用现场有</w:t>
      </w:r>
      <w:r>
        <w:rPr>
          <w:spacing w:val="-9"/>
        </w:rPr>
        <w:t>利条件，合理安排作业面和进度，做好施工部署，并在人力、机械设</w:t>
      </w:r>
      <w:r>
        <w:rPr>
          <w:spacing w:val="-1"/>
        </w:rPr>
        <w:t>备、材料、技术上提供有力保障，以做到集中优势、合理布置、重点</w:t>
      </w:r>
      <w:r>
        <w:t>突破，达到保质、按期完成施工任务的目的。</w:t>
      </w:r>
    </w:p>
    <w:p>
      <w:pPr>
        <w:pStyle w:val="BodyText"/>
        <w:spacing w:before="11"/>
        <w:ind w:left="1299"/>
      </w:pPr>
      <w:r>
        <w:t>（一）施工组织机构</w:t>
      </w:r>
    </w:p>
    <w:p>
      <w:pPr>
        <w:pStyle w:val="BodyText"/>
        <w:rPr>
          <w:sz w:val="33"/>
        </w:rPr>
      </w:pPr>
    </w:p>
    <w:p>
      <w:pPr>
        <w:pStyle w:val="BodyText"/>
        <w:spacing w:line="427" w:lineRule="auto"/>
        <w:ind w:left="460" w:right="1440" w:firstLine="838"/>
      </w:pPr>
      <w:r>
        <w:rPr>
          <w:spacing w:val="-11"/>
        </w:rPr>
        <w:t>我方在确定参与本工程的投标后，就根据工程的特点及建设单位</w:t>
      </w:r>
      <w:r>
        <w:rPr>
          <w:spacing w:val="-12"/>
        </w:rPr>
        <w:t>的要求，结合我公司的实力、机械设备的配备等情况，组建了施工现</w:t>
      </w:r>
      <w:r>
        <w:t xml:space="preserve">场领导小组，并选派施工经验丰富的项目经理担任该工程的项目经 </w:t>
      </w:r>
      <w:r>
        <w:rPr>
          <w:spacing w:val="-1"/>
        </w:rPr>
        <w:t>理，全面负责该工程的施工准备，计划安排，文明施工，安全生产， 材料机具供应以及技术管理、工程质量、竣工验收、工程回访等方面</w:t>
      </w:r>
      <w:r>
        <w:t>的工作。</w:t>
      </w:r>
    </w:p>
    <w:p>
      <w:pPr>
        <w:pStyle w:val="BodyText"/>
        <w:spacing w:before="14"/>
        <w:ind w:left="1299"/>
      </w:pPr>
      <w:r>
        <w:t>（二）划分施工顺序</w:t>
      </w:r>
    </w:p>
    <w:p>
      <w:pPr>
        <w:pStyle w:val="BodyText"/>
        <w:spacing w:before="9"/>
        <w:rPr>
          <w:sz w:val="32"/>
        </w:rPr>
      </w:pPr>
    </w:p>
    <w:p>
      <w:pPr>
        <w:pStyle w:val="BodyText"/>
        <w:ind w:left="1299"/>
      </w:pPr>
      <w:r>
        <w:t>根据工程结构特点，本工程分、人行道工程施工八个施工阶段。</w:t>
      </w:r>
    </w:p>
    <w:p>
      <w:pPr>
        <w:spacing w:after="0"/>
        <w:sectPr>
          <w:headerReference w:type="default" r:id="rId16"/>
          <w:footerReference w:type="default" r:id="rId17"/>
          <w:pgSz w:w="17860" w:h="25260"/>
          <w:pgMar w:top="1400" w:right="1080" w:bottom="2020" w:left="2240" w:header="1088" w:footer="1837"/>
          <w:pgNumType w:start="5"/>
          <w:cols w:space="708"/>
        </w:sectPr>
      </w:pPr>
    </w:p>
    <w:p>
      <w:pPr>
        <w:pStyle w:val="BodyText"/>
        <w:rPr>
          <w:sz w:val="20"/>
        </w:rPr>
      </w:pPr>
    </w:p>
    <w:p>
      <w:pPr>
        <w:pStyle w:val="BodyText"/>
        <w:rPr>
          <w:sz w:val="20"/>
        </w:rPr>
      </w:pPr>
    </w:p>
    <w:p>
      <w:pPr>
        <w:pStyle w:val="BodyText"/>
        <w:spacing w:before="2"/>
        <w:rPr>
          <w:sz w:val="15"/>
        </w:rPr>
      </w:pPr>
    </w:p>
    <w:p>
      <w:pPr>
        <w:pStyle w:val="BodyText"/>
        <w:spacing w:before="42" w:line="427" w:lineRule="auto"/>
        <w:ind w:left="460" w:right="1596" w:firstLine="838"/>
        <w:jc w:val="both"/>
      </w:pPr>
      <w:r>
        <w:rPr>
          <w:spacing w:val="-10"/>
        </w:rPr>
        <w:t>旧路面拆除→场地找平→灰土、稳定碎石垫层→铺设路缘石、树</w:t>
      </w:r>
      <w:r>
        <w:rPr>
          <w:spacing w:val="-18"/>
        </w:rPr>
        <w:t xml:space="preserve">池石→检查井升高→细砂垫层、铺设水泥预制花砖→树池篦子安装→ </w:t>
      </w:r>
      <w:r>
        <w:t>清理卫生。</w:t>
      </w:r>
    </w:p>
    <w:p>
      <w:pPr>
        <w:pStyle w:val="BodyText"/>
        <w:spacing w:before="7"/>
        <w:ind w:left="1299"/>
      </w:pPr>
      <w:r>
        <w:t>（三）工程进度网络计划及说明</w:t>
      </w:r>
    </w:p>
    <w:p>
      <w:pPr>
        <w:pStyle w:val="BodyText"/>
        <w:spacing w:before="9"/>
        <w:rPr>
          <w:sz w:val="32"/>
        </w:rPr>
      </w:pPr>
    </w:p>
    <w:p>
      <w:pPr>
        <w:pStyle w:val="BodyText"/>
        <w:spacing w:line="427" w:lineRule="auto"/>
        <w:ind w:left="460" w:right="1401" w:firstLine="838"/>
      </w:pPr>
      <w:r>
        <w:rPr>
          <w:spacing w:val="-5"/>
        </w:rPr>
        <w:t xml:space="preserve">根据招标文件要求，确保工期在开工后 </w:t>
      </w:r>
      <w:r>
        <w:t>45</w:t>
      </w:r>
      <w:r>
        <w:rPr>
          <w:spacing w:val="-8"/>
        </w:rPr>
        <w:t xml:space="preserve"> 日历天内竣工，为了</w:t>
      </w:r>
      <w:r>
        <w:rPr>
          <w:spacing w:val="-24"/>
        </w:rPr>
        <w:t xml:space="preserve">确保按计划完成，合理地调配劳动力，控制材料、成品、半成品计划， </w:t>
      </w:r>
      <w:r>
        <w:rPr>
          <w:spacing w:val="-12"/>
        </w:rPr>
        <w:t>我们利用统筹法，对直接决定总工期的分部编制详细进度计划图、并进行计算，实行资源优化平衡，选择了最佳的进度计划方案，我们认为（也请评委相信）完全有能力实现工期目标。</w:t>
      </w:r>
    </w:p>
    <w:p>
      <w:pPr>
        <w:pStyle w:val="BodyText"/>
        <w:spacing w:before="14"/>
        <w:ind w:left="1299"/>
      </w:pPr>
      <w:r>
        <w:t>（四）主要设备安排计划</w:t>
      </w:r>
    </w:p>
    <w:p>
      <w:pPr>
        <w:pStyle w:val="BodyText"/>
        <w:spacing w:before="9"/>
        <w:rPr>
          <w:sz w:val="32"/>
        </w:rPr>
      </w:pPr>
    </w:p>
    <w:p>
      <w:pPr>
        <w:pStyle w:val="BodyText"/>
        <w:spacing w:line="429" w:lineRule="auto"/>
        <w:ind w:left="460" w:right="1617" w:firstLine="838"/>
      </w:pPr>
      <w:r>
        <w:rPr>
          <w:spacing w:val="-14"/>
        </w:rPr>
        <w:t>根据该工程的特点，保证施工机械设备按计划有序进场；并根据</w:t>
      </w:r>
      <w:r>
        <w:t>工程需要随时调配。</w:t>
      </w:r>
    </w:p>
    <w:p>
      <w:pPr>
        <w:pStyle w:val="BodyText"/>
        <w:spacing w:line="535" w:lineRule="exact"/>
        <w:ind w:left="1299"/>
      </w:pPr>
      <w:r>
        <w:t>（五）拟投入本工程的主要管理人员及劳动力安排计划</w:t>
      </w:r>
    </w:p>
    <w:p>
      <w:pPr>
        <w:pStyle w:val="BodyText"/>
        <w:spacing w:before="10"/>
        <w:rPr>
          <w:sz w:val="32"/>
        </w:rPr>
      </w:pPr>
    </w:p>
    <w:p>
      <w:pPr>
        <w:pStyle w:val="BodyText"/>
        <w:spacing w:line="429" w:lineRule="auto"/>
        <w:ind w:left="460" w:right="1591" w:firstLine="838"/>
        <w:jc w:val="both"/>
      </w:pPr>
      <w:r>
        <w:rPr>
          <w:spacing w:val="-13"/>
        </w:rPr>
        <w:t>根据总的工期安排，考虑季节施工等因素，为确保工程按计划完</w:t>
      </w:r>
      <w:r>
        <w:rPr>
          <w:spacing w:val="-19"/>
        </w:rPr>
        <w:t xml:space="preserve">成，我们拟投入 </w:t>
      </w:r>
      <w:r>
        <w:t>80</w:t>
      </w:r>
      <w:r>
        <w:rPr>
          <w:spacing w:val="-9"/>
        </w:rPr>
        <w:t xml:space="preserve"> 人，各工种均为持证上岗，各工种在施工过程中</w:t>
      </w:r>
      <w:r>
        <w:t>实行流水作业。</w:t>
      </w:r>
    </w:p>
    <w:p>
      <w:pPr>
        <w:pStyle w:val="Heading1"/>
        <w:tabs>
          <w:tab w:val="left" w:pos="5335"/>
        </w:tabs>
        <w:spacing w:before="241"/>
        <w:ind w:left="3164"/>
      </w:pPr>
      <w:bookmarkStart w:id="6" w:name="_TOC_250044"/>
      <w:bookmarkEnd w:id="6"/>
      <w:r>
        <w:t>第五章</w:t>
        <w:tab/>
        <w:t>施工方案与技术措施</w:t>
      </w:r>
    </w:p>
    <w:p>
      <w:pPr>
        <w:pStyle w:val="BodyText"/>
        <w:rPr>
          <w:b/>
          <w:sz w:val="66"/>
        </w:rPr>
      </w:pPr>
    </w:p>
    <w:p>
      <w:pPr>
        <w:pStyle w:val="Heading2"/>
        <w:spacing w:before="1"/>
      </w:pPr>
      <w:bookmarkStart w:id="7" w:name="_TOC_250043"/>
      <w:bookmarkEnd w:id="7"/>
      <w:r>
        <w:t>一、施工总体部署</w:t>
      </w:r>
    </w:p>
    <w:p>
      <w:pPr>
        <w:pStyle w:val="BodyText"/>
        <w:spacing w:before="6"/>
        <w:rPr>
          <w:b/>
          <w:sz w:val="35"/>
        </w:rPr>
      </w:pPr>
    </w:p>
    <w:p>
      <w:pPr>
        <w:pStyle w:val="BodyText"/>
        <w:spacing w:before="1" w:line="427" w:lineRule="auto"/>
        <w:ind w:left="460" w:right="1440" w:firstLine="838"/>
      </w:pPr>
      <w:r>
        <w:t>科学合理的施工部署是统筹项目生产的要素、组织工程施工的指导性文件，包括施工段的划分、施工总体安排等因素。根据本工程规</w:t>
      </w:r>
    </w:p>
    <w:p>
      <w:pPr>
        <w:spacing w:after="0" w:line="427" w:lineRule="auto"/>
        <w:sectPr>
          <w:headerReference w:type="default" r:id="rId18"/>
          <w:footerReference w:type="default" r:id="rId19"/>
          <w:pgSz w:w="17860" w:h="25260"/>
          <w:pgMar w:top="1400" w:right="1080" w:bottom="2020" w:left="2240" w:header="1088" w:footer="1837"/>
          <w:pgNumType w:start="6"/>
          <w:cols w:space="708"/>
        </w:sectPr>
      </w:pPr>
    </w:p>
    <w:p>
      <w:pPr>
        <w:pStyle w:val="BodyText"/>
        <w:rPr>
          <w:sz w:val="20"/>
        </w:rPr>
      </w:pPr>
    </w:p>
    <w:p>
      <w:pPr>
        <w:pStyle w:val="BodyText"/>
        <w:rPr>
          <w:sz w:val="20"/>
        </w:rPr>
      </w:pPr>
    </w:p>
    <w:p>
      <w:pPr>
        <w:pStyle w:val="BodyText"/>
        <w:spacing w:before="2"/>
        <w:rPr>
          <w:sz w:val="15"/>
        </w:rPr>
      </w:pPr>
    </w:p>
    <w:p>
      <w:pPr>
        <w:pStyle w:val="BodyText"/>
        <w:spacing w:before="42" w:line="427" w:lineRule="auto"/>
        <w:ind w:left="460" w:right="1440"/>
        <w:jc w:val="both"/>
      </w:pPr>
      <w:r>
        <w:t>模、结构特点、招标文件要求工期、结合本工程的实际情况，全盘规划本工程的工期及衔接流水的关系，达到业主对工程质量、工期、安全生产、文明施工等各项指挥要求，为业主提供满意的服务。</w:t>
      </w:r>
    </w:p>
    <w:p>
      <w:pPr>
        <w:pStyle w:val="BodyText"/>
        <w:spacing w:before="7" w:line="427" w:lineRule="auto"/>
        <w:ind w:left="460" w:right="1391" w:firstLine="838"/>
      </w:pPr>
      <w:r>
        <w:rPr>
          <w:spacing w:val="-21"/>
        </w:rPr>
        <w:t>本工程按照施工。根据总体设计，施工首先要牢牢把握原有拆除、</w:t>
      </w:r>
      <w:r>
        <w:t>基础、铺装三个关键环节，严格控制工期、质量的同时，尽可能的突</w:t>
      </w:r>
      <w:r>
        <w:rPr>
          <w:spacing w:val="-13"/>
        </w:rPr>
        <w:t>击该三阶段的进度。本工程具备整体同步开工的条件。计划按照施工量分施工段，分别由各施工队组织同步、交叉流水作业。</w:t>
      </w:r>
    </w:p>
    <w:p>
      <w:pPr>
        <w:pStyle w:val="Heading2"/>
        <w:spacing w:line="513" w:lineRule="exact"/>
      </w:pPr>
      <w:bookmarkStart w:id="8" w:name="_TOC_250042"/>
      <w:bookmarkEnd w:id="8"/>
      <w:r>
        <w:t>二、工程施工测量</w:t>
      </w:r>
    </w:p>
    <w:p>
      <w:pPr>
        <w:pStyle w:val="BodyText"/>
        <w:spacing w:before="7"/>
        <w:rPr>
          <w:b/>
          <w:sz w:val="35"/>
        </w:rPr>
      </w:pPr>
    </w:p>
    <w:p>
      <w:pPr>
        <w:pStyle w:val="BodyText"/>
        <w:spacing w:line="427" w:lineRule="auto"/>
        <w:ind w:left="460" w:right="1440" w:firstLine="838"/>
        <w:jc w:val="both"/>
      </w:pPr>
      <w:r>
        <w:t>我公司若能有幸中标，在要求时间内与建设单位进行现场交接， 派有关人员进驻施工现场，重点对各控制点、控制线、标高等进行复核，具体测量设想如下：</w:t>
      </w:r>
    </w:p>
    <w:p>
      <w:pPr>
        <w:pStyle w:val="BodyText"/>
        <w:spacing w:before="7" w:line="429" w:lineRule="auto"/>
        <w:ind w:left="460" w:right="1653" w:firstLine="838"/>
      </w:pPr>
      <w:r>
        <w:t>1、首先利用全站仪对建设单位提供的各控制点、控制线、标高等进行复核。</w:t>
      </w:r>
    </w:p>
    <w:p>
      <w:pPr>
        <w:pStyle w:val="BodyText"/>
        <w:spacing w:line="429" w:lineRule="auto"/>
        <w:ind w:left="460" w:right="1618" w:firstLine="838"/>
        <w:jc w:val="both"/>
      </w:pPr>
      <w:r>
        <w:t>2、建立现场一级测量控制网：以提供的各控制点、控制线、标</w:t>
      </w:r>
      <w:r>
        <w:rPr>
          <w:spacing w:val="-14"/>
        </w:rPr>
        <w:t>高为依据，分别在各施工段设置一个通视良好的测量一级控制桩，把</w:t>
      </w:r>
      <w:r>
        <w:t>全场的坐标值和高程值分别引测到各测量一级控制桩上。</w:t>
      </w:r>
    </w:p>
    <w:p>
      <w:pPr>
        <w:pStyle w:val="BodyText"/>
        <w:spacing w:line="528" w:lineRule="exact"/>
        <w:ind w:left="1299"/>
      </w:pPr>
      <w:r>
        <w:t>3、通过测设好的测量一级控制桩，用全站仪按照设计提供的平</w:t>
      </w:r>
    </w:p>
    <w:p>
      <w:pPr>
        <w:pStyle w:val="BodyText"/>
        <w:spacing w:before="6"/>
        <w:rPr>
          <w:sz w:val="32"/>
        </w:rPr>
      </w:pPr>
    </w:p>
    <w:p>
      <w:pPr>
        <w:pStyle w:val="BodyText"/>
        <w:spacing w:line="429" w:lineRule="auto"/>
        <w:ind w:left="460" w:right="1608"/>
      </w:pPr>
      <w:r>
        <w:rPr>
          <w:spacing w:val="-14"/>
        </w:rPr>
        <w:t>面定位图，把设计提供的二级测量定位原点桩测设好，并把高程引测</w:t>
      </w:r>
      <w:r>
        <w:t>到各二级测量定位原点桩上。</w:t>
      </w:r>
    </w:p>
    <w:p>
      <w:pPr>
        <w:pStyle w:val="BodyText"/>
        <w:spacing w:line="429" w:lineRule="auto"/>
        <w:ind w:left="460" w:right="1391" w:firstLine="838"/>
      </w:pPr>
      <w:r>
        <w:t>4、复核各个测量一级控制桩和各二级测量定位原点桩的坐标和</w:t>
      </w:r>
      <w:r>
        <w:rPr>
          <w:spacing w:val="-21"/>
        </w:rPr>
        <w:t>高程，确保符合设计要求，高程和位置正确。在测量记录上标注点号、</w:t>
      </w:r>
    </w:p>
    <w:p>
      <w:pPr>
        <w:spacing w:after="0" w:line="429" w:lineRule="auto"/>
        <w:sectPr>
          <w:headerReference w:type="default" r:id="rId20"/>
          <w:footerReference w:type="default" r:id="rId21"/>
          <w:pgSz w:w="17860" w:h="25260"/>
          <w:pgMar w:top="1400" w:right="1080" w:bottom="2040" w:left="2240" w:header="1088" w:footer="1837"/>
          <w:pgNumType w:start="7"/>
          <w:cols w:space="708"/>
        </w:sectPr>
      </w:pPr>
    </w:p>
    <w:p>
      <w:pPr>
        <w:pStyle w:val="BodyText"/>
        <w:rPr>
          <w:sz w:val="20"/>
        </w:rPr>
      </w:pPr>
    </w:p>
    <w:p>
      <w:pPr>
        <w:pStyle w:val="BodyText"/>
        <w:rPr>
          <w:sz w:val="20"/>
        </w:rPr>
      </w:pPr>
    </w:p>
    <w:p>
      <w:pPr>
        <w:pStyle w:val="BodyText"/>
        <w:spacing w:before="2"/>
        <w:rPr>
          <w:sz w:val="15"/>
        </w:rPr>
      </w:pPr>
    </w:p>
    <w:p>
      <w:pPr>
        <w:pStyle w:val="BodyText"/>
        <w:spacing w:before="42"/>
        <w:ind w:left="460"/>
      </w:pPr>
      <w:r>
        <w:t>高程，并绘制有关点号的平面示意图，自检合格后报监理验收。</w:t>
      </w:r>
    </w:p>
    <w:p>
      <w:pPr>
        <w:pStyle w:val="BodyText"/>
        <w:spacing w:before="9"/>
        <w:rPr>
          <w:sz w:val="32"/>
        </w:rPr>
      </w:pPr>
    </w:p>
    <w:p>
      <w:pPr>
        <w:pStyle w:val="BodyText"/>
        <w:spacing w:before="1" w:line="429" w:lineRule="auto"/>
        <w:ind w:left="460" w:right="1610" w:firstLine="838"/>
        <w:jc w:val="both"/>
      </w:pPr>
      <w:r>
        <w:t>5、用全站仪通过测量一级控制桩，结合总图和各区块平面图中</w:t>
      </w:r>
      <w:r>
        <w:rPr>
          <w:spacing w:val="-14"/>
        </w:rPr>
        <w:t>定位的尺寸数据，测出各区块之间和高差变化处节点、交接线的准确</w:t>
      </w:r>
      <w:r>
        <w:t>位置和高程。</w:t>
      </w:r>
    </w:p>
    <w:p>
      <w:pPr>
        <w:pStyle w:val="BodyText"/>
        <w:spacing w:line="528" w:lineRule="exact"/>
        <w:ind w:left="1299"/>
      </w:pPr>
      <w:r>
        <w:rPr>
          <w:spacing w:val="1"/>
          <w:w w:val="100"/>
        </w:rPr>
        <w:t>6</w:t>
      </w:r>
      <w:r>
        <w:rPr>
          <w:w w:val="100"/>
        </w:rPr>
        <w:t>、用经纬仪通过各二级测量定位原点桩，利用“直角坐标法</w:t>
      </w:r>
      <w:r>
        <w:rPr>
          <w:spacing w:val="-124"/>
          <w:w w:val="100"/>
        </w:rPr>
        <w:t>”，</w:t>
      </w:r>
    </w:p>
    <w:p>
      <w:pPr>
        <w:pStyle w:val="BodyText"/>
        <w:rPr>
          <w:sz w:val="33"/>
        </w:rPr>
      </w:pPr>
    </w:p>
    <w:p>
      <w:pPr>
        <w:pStyle w:val="BodyText"/>
        <w:spacing w:line="427" w:lineRule="auto"/>
        <w:ind w:left="460" w:right="1605"/>
        <w:jc w:val="both"/>
      </w:pPr>
      <w:r>
        <w:rPr>
          <w:spacing w:val="-11"/>
        </w:rPr>
        <w:t>验证各施工段之间和高差变化处节点、交接线的位置和高程定位的准</w:t>
      </w:r>
      <w:r>
        <w:rPr>
          <w:spacing w:val="-13"/>
        </w:rPr>
        <w:t>确性，并进行各自施工段内的最终定位及各条轴线的控制，在此基础上指导现场更详细的定位及轴线、标高的控制施工。</w:t>
      </w:r>
    </w:p>
    <w:p>
      <w:pPr>
        <w:pStyle w:val="BodyText"/>
        <w:spacing w:before="7" w:line="429" w:lineRule="auto"/>
        <w:ind w:left="460" w:right="1653" w:firstLine="838"/>
      </w:pPr>
      <w:r>
        <w:t>7、水准仪采用常规的往返“二等精密水准”测量，控制各施工段内的所有高程。</w:t>
      </w:r>
    </w:p>
    <w:p>
      <w:pPr>
        <w:pStyle w:val="Heading2"/>
        <w:spacing w:line="498" w:lineRule="exact"/>
      </w:pPr>
      <w:bookmarkStart w:id="9" w:name="_TOC_250041"/>
      <w:bookmarkEnd w:id="9"/>
      <w:r>
        <w:t>三、拆除工程及基础工程施工</w:t>
      </w:r>
    </w:p>
    <w:p>
      <w:pPr>
        <w:pStyle w:val="BodyText"/>
        <w:spacing w:before="8"/>
        <w:rPr>
          <w:b/>
          <w:sz w:val="35"/>
        </w:rPr>
      </w:pPr>
    </w:p>
    <w:p>
      <w:pPr>
        <w:pStyle w:val="BodyText"/>
        <w:ind w:left="1299"/>
      </w:pPr>
      <w:r>
        <w:t>（一）拆除及基础施工流程</w:t>
      </w:r>
    </w:p>
    <w:p>
      <w:pPr>
        <w:pStyle w:val="BodyText"/>
        <w:rPr>
          <w:sz w:val="20"/>
        </w:rPr>
      </w:pPr>
    </w:p>
    <w:p>
      <w:pPr>
        <w:pStyle w:val="BodyText"/>
        <w:spacing w:before="2"/>
        <w:rPr>
          <w:sz w:val="23"/>
        </w:rPr>
      </w:pPr>
      <w:r>
        <w:pict>
          <v:group id="_x0000_s1025" style="width:515pt;height:306pt;margin-top:16.82pt;margin-left:175pt;mso-position-horizontal-relative:page;mso-wrap-distance-left:0;mso-wrap-distance-right:0;position:absolute;z-index:-251658240" coordorigin="3500,336" coordsize="10300,61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300;height:6120;left:3500;position:absolute;top:336" stroked="f">
              <v:imagedata r:id="rId22" o:title=""/>
            </v:shape>
            <v:shapetype id="_x0000_t202" coordsize="21600,21600" o:spt="202" path="m,l,21600r21600,l21600,xe">
              <v:stroke joinstyle="miter"/>
              <v:path gradientshapeok="t" o:connecttype="rect"/>
            </v:shapetype>
            <v:shape id="_x0000_s1027" type="#_x0000_t202" style="width:1288;height:317;left:8281;position:absolute;top:570" filled="f" stroked="f">
              <v:textbox inset="0,0,0,0">
                <w:txbxContent>
                  <w:p>
                    <w:pPr>
                      <w:spacing w:before="0" w:line="317" w:lineRule="exact"/>
                      <w:ind w:left="0" w:right="0" w:firstLine="0"/>
                      <w:jc w:val="left"/>
                      <w:rPr>
                        <w:sz w:val="31"/>
                      </w:rPr>
                    </w:pPr>
                    <w:r>
                      <w:rPr>
                        <w:sz w:val="31"/>
                      </w:rPr>
                      <w:t>轴线放样</w:t>
                    </w:r>
                  </w:p>
                </w:txbxContent>
              </v:textbox>
            </v:shape>
            <v:shape id="_x0000_s1028" type="#_x0000_t202" style="width:1604;height:317;left:11766;position:absolute;top:570" filled="f" stroked="f">
              <v:textbox inset="0,0,0,0">
                <w:txbxContent>
                  <w:p>
                    <w:pPr>
                      <w:spacing w:before="0" w:line="317" w:lineRule="exact"/>
                      <w:ind w:left="0" w:right="0" w:firstLine="0"/>
                      <w:jc w:val="left"/>
                      <w:rPr>
                        <w:sz w:val="31"/>
                      </w:rPr>
                    </w:pPr>
                    <w:r>
                      <w:rPr>
                        <w:sz w:val="31"/>
                      </w:rPr>
                      <w:t>原地坪测算</w:t>
                    </w:r>
                  </w:p>
                </w:txbxContent>
              </v:textbox>
            </v:shape>
            <v:shape id="_x0000_s1029" type="#_x0000_t202" style="width:1921;height:317;left:3780;position:absolute;top:2208" filled="f" stroked="f">
              <v:textbox inset="0,0,0,0">
                <w:txbxContent>
                  <w:p>
                    <w:pPr>
                      <w:spacing w:before="0" w:line="317" w:lineRule="exact"/>
                      <w:ind w:left="0" w:right="0" w:firstLine="0"/>
                      <w:jc w:val="left"/>
                      <w:rPr>
                        <w:sz w:val="31"/>
                      </w:rPr>
                    </w:pPr>
                    <w:r>
                      <w:rPr>
                        <w:sz w:val="31"/>
                      </w:rPr>
                      <w:t>注意原有管线</w:t>
                    </w:r>
                  </w:p>
                </w:txbxContent>
              </v:textbox>
            </v:shape>
            <v:shape id="_x0000_s1030" type="#_x0000_t202" style="width:2872;height:317;left:7493;position:absolute;top:2208" filled="f" stroked="f">
              <v:textbox inset="0,0,0,0">
                <w:txbxContent>
                  <w:p>
                    <w:pPr>
                      <w:spacing w:before="0" w:line="317" w:lineRule="exact"/>
                      <w:ind w:left="0" w:right="0" w:firstLine="0"/>
                      <w:jc w:val="left"/>
                      <w:rPr>
                        <w:sz w:val="31"/>
                      </w:rPr>
                    </w:pPr>
                    <w:r>
                      <w:rPr>
                        <w:sz w:val="31"/>
                      </w:rPr>
                      <w:t>机械拆除，路基开挖</w:t>
                    </w:r>
                  </w:p>
                </w:txbxContent>
              </v:textbox>
            </v:shape>
            <v:shape id="_x0000_s1031" type="#_x0000_t202" style="width:1921;height:317;left:3780;position:absolute;top:3846" filled="f" stroked="f">
              <v:textbox inset="0,0,0,0">
                <w:txbxContent>
                  <w:p>
                    <w:pPr>
                      <w:spacing w:before="0" w:line="317" w:lineRule="exact"/>
                      <w:ind w:left="0" w:right="0" w:firstLine="0"/>
                      <w:jc w:val="left"/>
                      <w:rPr>
                        <w:sz w:val="31"/>
                      </w:rPr>
                    </w:pPr>
                    <w:r>
                      <w:rPr>
                        <w:sz w:val="31"/>
                      </w:rPr>
                      <w:t>注意槽底保护</w:t>
                    </w:r>
                  </w:p>
                </w:txbxContent>
              </v:textbox>
            </v:shape>
            <v:shape id="_x0000_s1032" type="#_x0000_t202" style="width:1604;height:317;left:8123;position:absolute;top:3846" filled="f" stroked="f">
              <v:textbox inset="0,0,0,0">
                <w:txbxContent>
                  <w:p>
                    <w:pPr>
                      <w:spacing w:before="0" w:line="317" w:lineRule="exact"/>
                      <w:ind w:left="0" w:right="0" w:firstLine="0"/>
                      <w:jc w:val="left"/>
                      <w:rPr>
                        <w:sz w:val="31"/>
                      </w:rPr>
                    </w:pPr>
                    <w:r>
                      <w:rPr>
                        <w:sz w:val="31"/>
                      </w:rPr>
                      <w:t>整平、碾压</w:t>
                    </w:r>
                  </w:p>
                </w:txbxContent>
              </v:textbox>
            </v:shape>
            <v:shape id="_x0000_s1033" type="#_x0000_t202" style="width:654;height:317;left:12242;position:absolute;top:5017" filled="f" stroked="f">
              <v:textbox inset="0,0,0,0">
                <w:txbxContent>
                  <w:p>
                    <w:pPr>
                      <w:spacing w:before="0" w:line="317" w:lineRule="exact"/>
                      <w:ind w:left="0" w:right="0" w:firstLine="0"/>
                      <w:jc w:val="left"/>
                      <w:rPr>
                        <w:sz w:val="31"/>
                      </w:rPr>
                    </w:pPr>
                    <w:r>
                      <w:rPr>
                        <w:sz w:val="31"/>
                      </w:rPr>
                      <w:t>验槽</w:t>
                    </w:r>
                  </w:p>
                </w:txbxContent>
              </v:textbox>
            </v:shape>
            <v:shape id="_x0000_s1034" type="#_x0000_t202" style="width:1921;height:317;left:3780;position:absolute;top:5953" filled="f" stroked="f">
              <v:textbox inset="0,0,0,0">
                <w:txbxContent>
                  <w:p>
                    <w:pPr>
                      <w:spacing w:before="0" w:line="317" w:lineRule="exact"/>
                      <w:ind w:left="0" w:right="0" w:firstLine="0"/>
                      <w:jc w:val="left"/>
                      <w:rPr>
                        <w:sz w:val="31"/>
                      </w:rPr>
                    </w:pPr>
                    <w:r>
                      <w:rPr>
                        <w:sz w:val="31"/>
                      </w:rPr>
                      <w:t>注意标高控制</w:t>
                    </w:r>
                  </w:p>
                </w:txbxContent>
              </v:textbox>
            </v:shape>
            <v:shape id="_x0000_s1035" type="#_x0000_t202" style="width:2238;height:317;left:7806;position:absolute;top:5953" filled="f" stroked="f">
              <v:textbox inset="0,0,0,0">
                <w:txbxContent>
                  <w:p>
                    <w:pPr>
                      <w:spacing w:before="0" w:line="317" w:lineRule="exact"/>
                      <w:ind w:left="0" w:right="0" w:firstLine="0"/>
                      <w:jc w:val="left"/>
                      <w:rPr>
                        <w:sz w:val="31"/>
                      </w:rPr>
                    </w:pPr>
                    <w:r>
                      <w:rPr>
                        <w:sz w:val="31"/>
                      </w:rPr>
                      <w:t>混凝土基础施工</w:t>
                    </w:r>
                  </w:p>
                </w:txbxContent>
              </v:textbox>
            </v:shape>
            <w10:wrap type="topAndBottom"/>
          </v:group>
        </w:pict>
      </w:r>
    </w:p>
    <w:p>
      <w:pPr>
        <w:pStyle w:val="BodyText"/>
      </w:pPr>
    </w:p>
    <w:p>
      <w:pPr>
        <w:pStyle w:val="BodyText"/>
      </w:pPr>
    </w:p>
    <w:p>
      <w:pPr>
        <w:pStyle w:val="BodyText"/>
        <w:spacing w:before="328"/>
        <w:ind w:left="1180"/>
      </w:pPr>
      <w:r>
        <w:rPr>
          <w:position w:val="-4"/>
          <w:sz w:val="36"/>
        </w:rPr>
        <w:t>（</w:t>
      </w:r>
      <w:r>
        <w:t>二）施工组织</w:t>
      </w:r>
    </w:p>
    <w:p>
      <w:pPr>
        <w:spacing w:after="0"/>
        <w:sectPr>
          <w:headerReference w:type="default" r:id="rId23"/>
          <w:footerReference w:type="default" r:id="rId24"/>
          <w:pgSz w:w="17860" w:h="25260"/>
          <w:pgMar w:top="1400" w:right="1080" w:bottom="2020" w:left="2240" w:header="1088" w:footer="1837"/>
          <w:pgNumType w:start="8"/>
          <w:cols w:space="708"/>
        </w:sectPr>
      </w:pPr>
    </w:p>
    <w:p>
      <w:pPr>
        <w:pStyle w:val="BodyText"/>
        <w:rPr>
          <w:sz w:val="20"/>
        </w:rPr>
      </w:pPr>
    </w:p>
    <w:p>
      <w:pPr>
        <w:pStyle w:val="BodyText"/>
        <w:rPr>
          <w:sz w:val="20"/>
        </w:rPr>
      </w:pPr>
    </w:p>
    <w:p>
      <w:pPr>
        <w:pStyle w:val="BodyText"/>
        <w:spacing w:before="2"/>
        <w:rPr>
          <w:sz w:val="15"/>
        </w:rPr>
      </w:pPr>
    </w:p>
    <w:p>
      <w:pPr>
        <w:pStyle w:val="BodyText"/>
        <w:spacing w:before="42" w:line="427" w:lineRule="auto"/>
        <w:ind w:left="460" w:right="1612" w:firstLine="838"/>
        <w:jc w:val="both"/>
      </w:pPr>
      <w:r>
        <w:t>1、工程施工前，对原土地坪组织测量并与设计标高比较，根据</w:t>
      </w:r>
      <w:r>
        <w:rPr>
          <w:spacing w:val="-14"/>
        </w:rPr>
        <w:t>现场实际情况，尽量不考虑土方外运而就地回填消化。降低成本的同</w:t>
      </w:r>
      <w:r>
        <w:rPr>
          <w:spacing w:val="-10"/>
        </w:rPr>
        <w:t>时根据现场的控制点进行测量放线，并在基坑外侧设置控制桩，桩附</w:t>
      </w:r>
      <w:r>
        <w:t>近不能堆土。</w:t>
      </w:r>
    </w:p>
    <w:p>
      <w:pPr>
        <w:pStyle w:val="BodyText"/>
        <w:spacing w:before="6" w:line="429" w:lineRule="auto"/>
        <w:ind w:left="460" w:right="1653" w:firstLine="838"/>
      </w:pPr>
      <w:r>
        <w:t>2、原有人行道拆除，采用挖掘机拆除，直接由自卸车拉出工程施工现场，自卸车开往指定地点倾倒。</w:t>
      </w:r>
    </w:p>
    <w:p>
      <w:pPr>
        <w:pStyle w:val="BodyText"/>
        <w:spacing w:line="427" w:lineRule="auto"/>
        <w:ind w:left="460" w:right="1653" w:firstLine="838"/>
      </w:pPr>
      <w:r>
        <w:t>3、土方的灰线一般为上口线，土方灰线放出后应经监理部门和其它相关的部门复核后方准开挖。</w:t>
      </w:r>
    </w:p>
    <w:p>
      <w:pPr>
        <w:pStyle w:val="BodyText"/>
        <w:spacing w:line="429" w:lineRule="auto"/>
        <w:ind w:left="460" w:right="1653" w:firstLine="838"/>
      </w:pPr>
      <w:r>
        <w:t>4、如有土方外运应根据现场的情况及时与建设单位、监理单位办理证明手续。</w:t>
      </w:r>
    </w:p>
    <w:p>
      <w:pPr>
        <w:pStyle w:val="BodyText"/>
        <w:spacing w:line="429" w:lineRule="auto"/>
        <w:ind w:left="460" w:right="1440" w:firstLine="838"/>
      </w:pPr>
      <w:r>
        <w:t>5、开挖拆除顺序一般按从一侧向另一侧，依次开挖。开挖时， 测量工作应跟踪进行，在开挖中，对挖出的边坡由人工清理。确保开挖深度符合设计要求。</w:t>
      </w:r>
    </w:p>
    <w:p>
      <w:pPr>
        <w:pStyle w:val="BodyText"/>
        <w:spacing w:line="529" w:lineRule="exact"/>
        <w:ind w:left="1299"/>
      </w:pPr>
      <w:r>
        <w:t>6、开挖前，应考虑土方开挖对周边环境的影响。</w:t>
      </w:r>
    </w:p>
    <w:p>
      <w:pPr>
        <w:pStyle w:val="BodyText"/>
        <w:spacing w:before="5"/>
        <w:rPr>
          <w:sz w:val="32"/>
        </w:rPr>
      </w:pPr>
    </w:p>
    <w:p>
      <w:pPr>
        <w:pStyle w:val="ListParagraph"/>
        <w:numPr>
          <w:ilvl w:val="0"/>
          <w:numId w:val="22"/>
        </w:numPr>
        <w:tabs>
          <w:tab w:val="left" w:pos="2356"/>
        </w:tabs>
        <w:spacing w:before="1" w:after="0" w:line="240" w:lineRule="auto"/>
        <w:ind w:left="2355" w:right="0" w:hanging="1057"/>
        <w:jc w:val="left"/>
        <w:rPr>
          <w:sz w:val="42"/>
        </w:rPr>
      </w:pPr>
      <w:r>
        <w:rPr>
          <w:sz w:val="42"/>
        </w:rPr>
        <w:t>开挖前应明确地下管线的布置，便于其它工种配合施工；</w:t>
      </w:r>
    </w:p>
    <w:p>
      <w:pPr>
        <w:pStyle w:val="BodyText"/>
        <w:rPr>
          <w:sz w:val="33"/>
        </w:rPr>
      </w:pPr>
    </w:p>
    <w:p>
      <w:pPr>
        <w:pStyle w:val="ListParagraph"/>
        <w:numPr>
          <w:ilvl w:val="0"/>
          <w:numId w:val="22"/>
        </w:numPr>
        <w:tabs>
          <w:tab w:val="left" w:pos="2356"/>
        </w:tabs>
        <w:spacing w:before="0" w:after="0" w:line="240" w:lineRule="auto"/>
        <w:ind w:left="2355" w:right="0" w:hanging="1057"/>
        <w:jc w:val="left"/>
        <w:rPr>
          <w:sz w:val="42"/>
        </w:rPr>
      </w:pPr>
      <w:r>
        <w:rPr>
          <w:sz w:val="42"/>
        </w:rPr>
        <w:t>明确地下障碍物的分布情况，及时做好施工准备；</w:t>
      </w:r>
    </w:p>
    <w:p>
      <w:pPr>
        <w:pStyle w:val="BodyText"/>
        <w:spacing w:before="9"/>
        <w:rPr>
          <w:sz w:val="32"/>
        </w:rPr>
      </w:pPr>
    </w:p>
    <w:p>
      <w:pPr>
        <w:pStyle w:val="BodyText"/>
        <w:spacing w:line="429" w:lineRule="auto"/>
        <w:ind w:left="460" w:right="1393" w:firstLine="838"/>
      </w:pPr>
      <w:r>
        <w:t>7</w:t>
      </w:r>
      <w:r>
        <w:rPr>
          <w:spacing w:val="-15"/>
        </w:rPr>
        <w:t xml:space="preserve">、开挖及清理结束后及时验收隐蔽，避免地基土裸露时间过长， </w:t>
      </w:r>
      <w:r>
        <w:t>严禁扰动地基土。</w:t>
      </w:r>
    </w:p>
    <w:p>
      <w:pPr>
        <w:pStyle w:val="BodyText"/>
        <w:spacing w:line="535" w:lineRule="exact"/>
        <w:ind w:left="1299"/>
      </w:pPr>
      <w:r>
        <w:t>8、土方开挖质量管理</w:t>
      </w:r>
    </w:p>
    <w:p>
      <w:pPr>
        <w:pStyle w:val="BodyText"/>
        <w:spacing w:before="10"/>
        <w:rPr>
          <w:sz w:val="32"/>
        </w:rPr>
      </w:pPr>
    </w:p>
    <w:p>
      <w:pPr>
        <w:pStyle w:val="ListParagraph"/>
        <w:numPr>
          <w:ilvl w:val="0"/>
          <w:numId w:val="21"/>
        </w:numPr>
        <w:tabs>
          <w:tab w:val="left" w:pos="2359"/>
        </w:tabs>
        <w:spacing w:before="0" w:after="0" w:line="429" w:lineRule="auto"/>
        <w:ind w:left="460" w:right="1649" w:firstLine="838"/>
        <w:jc w:val="left"/>
        <w:rPr>
          <w:sz w:val="42"/>
        </w:rPr>
      </w:pPr>
      <w:r>
        <w:rPr>
          <w:spacing w:val="-1"/>
          <w:sz w:val="42"/>
        </w:rPr>
        <w:t>开挖施工采用机械、人工结合的方式进行，堆场应选择对</w:t>
      </w:r>
      <w:r>
        <w:rPr>
          <w:sz w:val="42"/>
        </w:rPr>
        <w:t>下道工序周边施工影响较小处。</w:t>
      </w:r>
    </w:p>
    <w:p>
      <w:pPr>
        <w:spacing w:after="0" w:line="429" w:lineRule="auto"/>
        <w:jc w:val="left"/>
        <w:rPr>
          <w:sz w:val="42"/>
        </w:rPr>
        <w:sectPr>
          <w:headerReference w:type="default" r:id="rId25"/>
          <w:footerReference w:type="default" r:id="rId26"/>
          <w:pgSz w:w="17860" w:h="25260"/>
          <w:pgMar w:top="1400" w:right="1080" w:bottom="2020" w:left="2240" w:header="1088" w:footer="1837"/>
          <w:pgNumType w:start="9"/>
          <w:cols w:space="708"/>
        </w:sectPr>
      </w:pPr>
    </w:p>
    <w:p>
      <w:pPr>
        <w:pStyle w:val="BodyText"/>
        <w:rPr>
          <w:sz w:val="20"/>
        </w:rPr>
      </w:pPr>
    </w:p>
    <w:p>
      <w:pPr>
        <w:pStyle w:val="BodyText"/>
        <w:rPr>
          <w:sz w:val="20"/>
        </w:rPr>
      </w:pPr>
    </w:p>
    <w:p>
      <w:pPr>
        <w:pStyle w:val="BodyText"/>
        <w:spacing w:before="2"/>
        <w:rPr>
          <w:sz w:val="15"/>
        </w:rPr>
      </w:pPr>
    </w:p>
    <w:p>
      <w:pPr>
        <w:pStyle w:val="ListParagraph"/>
        <w:numPr>
          <w:ilvl w:val="0"/>
          <w:numId w:val="21"/>
        </w:numPr>
        <w:tabs>
          <w:tab w:val="left" w:pos="2359"/>
        </w:tabs>
        <w:spacing w:before="42" w:after="0" w:line="427" w:lineRule="auto"/>
        <w:ind w:left="460" w:right="1649" w:firstLine="838"/>
        <w:jc w:val="left"/>
        <w:rPr>
          <w:sz w:val="42"/>
        </w:rPr>
      </w:pPr>
      <w:r>
        <w:rPr>
          <w:spacing w:val="-1"/>
          <w:sz w:val="42"/>
        </w:rPr>
        <w:t>夜间施工要有充足的光照度，特别在挖土场地和主要通道</w:t>
      </w:r>
      <w:r>
        <w:rPr>
          <w:sz w:val="42"/>
        </w:rPr>
        <w:t>上要设置大功率照明灯具；</w:t>
      </w:r>
    </w:p>
    <w:p>
      <w:pPr>
        <w:pStyle w:val="ListParagraph"/>
        <w:numPr>
          <w:ilvl w:val="0"/>
          <w:numId w:val="21"/>
        </w:numPr>
        <w:tabs>
          <w:tab w:val="left" w:pos="2359"/>
        </w:tabs>
        <w:spacing w:before="3" w:after="0" w:line="427" w:lineRule="auto"/>
        <w:ind w:left="460" w:right="1440" w:firstLine="838"/>
        <w:jc w:val="left"/>
        <w:rPr>
          <w:sz w:val="42"/>
        </w:rPr>
      </w:pPr>
      <w:r>
        <w:rPr>
          <w:sz w:val="42"/>
        </w:rPr>
        <w:t xml:space="preserve">如开挖后发现局部地段土质情况与地质资料严重不符时， </w:t>
      </w:r>
      <w:r>
        <w:rPr>
          <w:spacing w:val="-13"/>
          <w:sz w:val="42"/>
        </w:rPr>
        <w:t>必须立即和建设单位、设计单位及监理人员到现场研究后，按新的设</w:t>
      </w:r>
      <w:r>
        <w:rPr>
          <w:spacing w:val="-14"/>
          <w:sz w:val="42"/>
        </w:rPr>
        <w:t>计方案处理。开挖时遇不明物体，应及时通知业主、监理，同时采取</w:t>
      </w:r>
      <w:r>
        <w:rPr>
          <w:sz w:val="42"/>
        </w:rPr>
        <w:t>有效手段保护好现场，做好纪录和签证工作。</w:t>
      </w:r>
    </w:p>
    <w:p>
      <w:pPr>
        <w:pStyle w:val="ListParagraph"/>
        <w:numPr>
          <w:ilvl w:val="0"/>
          <w:numId w:val="21"/>
        </w:numPr>
        <w:tabs>
          <w:tab w:val="left" w:pos="2359"/>
        </w:tabs>
        <w:spacing w:before="11" w:after="0" w:line="427" w:lineRule="auto"/>
        <w:ind w:left="460" w:right="1404" w:firstLine="838"/>
        <w:jc w:val="left"/>
        <w:rPr>
          <w:sz w:val="42"/>
        </w:rPr>
      </w:pPr>
      <w:r>
        <w:rPr>
          <w:sz w:val="42"/>
        </w:rPr>
        <w:t>基础挖好后，应及时通知质监、业主、监理地基验槽，符</w:t>
      </w:r>
      <w:r>
        <w:rPr>
          <w:spacing w:val="-22"/>
          <w:sz w:val="42"/>
        </w:rPr>
        <w:t xml:space="preserve">合后进行下一步施工，做好地基验槽记录，质监、业主、监理签字后， </w:t>
      </w:r>
      <w:r>
        <w:rPr>
          <w:sz w:val="42"/>
        </w:rPr>
        <w:t>交由项目部资料员保管。</w:t>
      </w:r>
    </w:p>
    <w:p>
      <w:pPr>
        <w:pStyle w:val="BodyText"/>
        <w:spacing w:before="6"/>
        <w:ind w:left="1299"/>
      </w:pPr>
      <w:r>
        <w:t>9、土方开挖安全管理</w:t>
      </w:r>
    </w:p>
    <w:p>
      <w:pPr>
        <w:pStyle w:val="BodyText"/>
        <w:spacing w:before="10"/>
        <w:rPr>
          <w:sz w:val="32"/>
        </w:rPr>
      </w:pPr>
    </w:p>
    <w:p>
      <w:pPr>
        <w:pStyle w:val="ListParagraph"/>
        <w:numPr>
          <w:ilvl w:val="0"/>
          <w:numId w:val="20"/>
        </w:numPr>
        <w:tabs>
          <w:tab w:val="left" w:pos="2359"/>
        </w:tabs>
        <w:spacing w:before="0" w:after="0" w:line="429" w:lineRule="auto"/>
        <w:ind w:left="460" w:right="1624" w:firstLine="838"/>
        <w:jc w:val="left"/>
        <w:rPr>
          <w:sz w:val="42"/>
        </w:rPr>
      </w:pPr>
      <w:r>
        <w:rPr>
          <w:spacing w:val="-1"/>
          <w:sz w:val="42"/>
        </w:rPr>
        <w:t>严格执行"挖土工程安全技术交底"中的各项规定，并组织</w:t>
      </w:r>
      <w:r>
        <w:rPr>
          <w:sz w:val="42"/>
        </w:rPr>
        <w:t>现场人员认真学习，严格遵守。</w:t>
      </w:r>
    </w:p>
    <w:p>
      <w:pPr>
        <w:pStyle w:val="ListParagraph"/>
        <w:numPr>
          <w:ilvl w:val="0"/>
          <w:numId w:val="20"/>
        </w:numPr>
        <w:tabs>
          <w:tab w:val="left" w:pos="2356"/>
        </w:tabs>
        <w:spacing w:before="0" w:after="0" w:line="535" w:lineRule="exact"/>
        <w:ind w:left="2355" w:right="0" w:hanging="1057"/>
        <w:jc w:val="left"/>
        <w:rPr>
          <w:sz w:val="42"/>
        </w:rPr>
      </w:pPr>
      <w:r>
        <w:rPr>
          <w:spacing w:val="-9"/>
          <w:sz w:val="42"/>
        </w:rPr>
        <w:t>遵守"建筑工地六大纪律"，进出基坑人员一律戴好安全帽。</w:t>
      </w:r>
    </w:p>
    <w:p>
      <w:pPr>
        <w:pStyle w:val="BodyText"/>
        <w:spacing w:before="9"/>
        <w:rPr>
          <w:sz w:val="32"/>
        </w:rPr>
      </w:pPr>
    </w:p>
    <w:p>
      <w:pPr>
        <w:pStyle w:val="ListParagraph"/>
        <w:numPr>
          <w:ilvl w:val="0"/>
          <w:numId w:val="20"/>
        </w:numPr>
        <w:tabs>
          <w:tab w:val="left" w:pos="2359"/>
        </w:tabs>
        <w:spacing w:before="0" w:after="0" w:line="429" w:lineRule="auto"/>
        <w:ind w:left="460" w:right="1440" w:firstLine="838"/>
        <w:jc w:val="left"/>
        <w:rPr>
          <w:sz w:val="42"/>
        </w:rPr>
      </w:pPr>
      <w:r>
        <w:rPr>
          <w:sz w:val="42"/>
        </w:rPr>
        <w:t>本工程开挖前，须请业主主持召开相关部门参加会议，审</w:t>
      </w:r>
      <w:r>
        <w:rPr>
          <w:spacing w:val="-1"/>
          <w:sz w:val="42"/>
        </w:rPr>
        <w:t>核开挖方案。挖土前，须将挖土时间、行走路线等情况通报业主，使</w:t>
      </w:r>
      <w:r>
        <w:rPr>
          <w:sz w:val="42"/>
        </w:rPr>
        <w:t>其做好充分准备。</w:t>
      </w:r>
    </w:p>
    <w:p>
      <w:pPr>
        <w:pStyle w:val="BodyText"/>
        <w:spacing w:line="528" w:lineRule="exact"/>
        <w:ind w:left="1299"/>
      </w:pPr>
      <w:r>
        <w:t>（三）成品保护</w:t>
      </w:r>
    </w:p>
    <w:p>
      <w:pPr>
        <w:pStyle w:val="BodyText"/>
        <w:spacing w:before="1"/>
        <w:rPr>
          <w:sz w:val="33"/>
        </w:rPr>
      </w:pPr>
    </w:p>
    <w:p>
      <w:pPr>
        <w:pStyle w:val="ListParagraph"/>
        <w:numPr>
          <w:ilvl w:val="0"/>
          <w:numId w:val="19"/>
        </w:numPr>
        <w:tabs>
          <w:tab w:val="left" w:pos="2359"/>
        </w:tabs>
        <w:spacing w:before="0" w:after="0" w:line="427" w:lineRule="auto"/>
        <w:ind w:left="460" w:right="1440" w:firstLine="838"/>
        <w:jc w:val="left"/>
        <w:rPr>
          <w:sz w:val="42"/>
        </w:rPr>
      </w:pPr>
      <w:r>
        <w:rPr>
          <w:sz w:val="42"/>
        </w:rPr>
        <w:t>施工时，对测量控制桩、轴线引桩、标准水准点、龙门板</w:t>
      </w:r>
      <w:r>
        <w:rPr>
          <w:spacing w:val="-1"/>
          <w:sz w:val="42"/>
        </w:rPr>
        <w:t>等，填运土时不得撞碰，也不得在龙门板上休息。并应定期复测和检</w:t>
      </w:r>
      <w:r>
        <w:rPr>
          <w:spacing w:val="-11"/>
          <w:sz w:val="42"/>
        </w:rPr>
        <w:t>查这些标准桩点是否正确。基础的现浇混凝土应达到一定强度，不致因填土而受损坏时，方可回填。</w:t>
      </w:r>
    </w:p>
    <w:p>
      <w:pPr>
        <w:spacing w:after="0" w:line="427" w:lineRule="auto"/>
        <w:jc w:val="left"/>
        <w:rPr>
          <w:sz w:val="42"/>
        </w:rPr>
        <w:sectPr>
          <w:headerReference w:type="default" r:id="rId27"/>
          <w:footerReference w:type="default" r:id="rId28"/>
          <w:pgSz w:w="17860" w:h="25260"/>
          <w:pgMar w:top="1400" w:right="1080" w:bottom="2020" w:left="2240" w:header="1088" w:footer="1837"/>
          <w:pgNumType w:start="10"/>
          <w:cols w:space="708"/>
        </w:sectPr>
      </w:pPr>
    </w:p>
    <w:p>
      <w:pPr>
        <w:pStyle w:val="BodyText"/>
        <w:rPr>
          <w:sz w:val="20"/>
        </w:rPr>
      </w:pPr>
    </w:p>
    <w:p>
      <w:pPr>
        <w:pStyle w:val="BodyText"/>
        <w:rPr>
          <w:sz w:val="20"/>
        </w:rPr>
      </w:pPr>
    </w:p>
    <w:p>
      <w:pPr>
        <w:pStyle w:val="BodyText"/>
        <w:spacing w:before="2"/>
        <w:rPr>
          <w:sz w:val="15"/>
        </w:rPr>
      </w:pPr>
    </w:p>
    <w:p>
      <w:pPr>
        <w:pStyle w:val="ListParagraph"/>
        <w:numPr>
          <w:ilvl w:val="0"/>
          <w:numId w:val="19"/>
        </w:numPr>
        <w:tabs>
          <w:tab w:val="left" w:pos="2356"/>
        </w:tabs>
        <w:spacing w:before="42" w:after="0" w:line="240" w:lineRule="auto"/>
        <w:ind w:left="2355" w:right="0" w:hanging="1057"/>
        <w:jc w:val="left"/>
        <w:rPr>
          <w:sz w:val="42"/>
        </w:rPr>
      </w:pPr>
      <w:r>
        <w:rPr>
          <w:sz w:val="42"/>
        </w:rPr>
        <w:t>夜间施工时，应合理安排施工顺序，设有足够的照明设施。</w:t>
      </w:r>
    </w:p>
    <w:p>
      <w:pPr>
        <w:pStyle w:val="BodyText"/>
        <w:spacing w:before="9"/>
        <w:rPr>
          <w:sz w:val="32"/>
        </w:rPr>
      </w:pPr>
    </w:p>
    <w:p>
      <w:pPr>
        <w:pStyle w:val="ListParagraph"/>
        <w:numPr>
          <w:ilvl w:val="0"/>
          <w:numId w:val="19"/>
        </w:numPr>
        <w:tabs>
          <w:tab w:val="left" w:pos="2359"/>
        </w:tabs>
        <w:spacing w:before="1" w:after="0" w:line="427" w:lineRule="auto"/>
        <w:ind w:left="460" w:right="1440" w:firstLine="838"/>
        <w:jc w:val="left"/>
        <w:rPr>
          <w:sz w:val="42"/>
        </w:rPr>
      </w:pPr>
      <w:r>
        <w:rPr>
          <w:sz w:val="42"/>
        </w:rPr>
        <w:t>雨期施工时应有防雨措施，要防止地面水流入基坑（糟） 内，以免边基土遭到破坏。基坑（槽）</w:t>
      </w:r>
      <w:r>
        <w:rPr>
          <w:spacing w:val="-2"/>
          <w:sz w:val="42"/>
        </w:rPr>
        <w:t>的回填土应连续进行，尽快完</w:t>
      </w:r>
      <w:r>
        <w:rPr>
          <w:spacing w:val="-1"/>
          <w:sz w:val="42"/>
        </w:rPr>
        <w:t xml:space="preserve">成。施工中注意雨情，雨前应及时夯完已填土层，并做成一定坡势， </w:t>
      </w:r>
      <w:r>
        <w:rPr>
          <w:sz w:val="42"/>
        </w:rPr>
        <w:t>以利排除雨水。</w:t>
      </w:r>
    </w:p>
    <w:p>
      <w:pPr>
        <w:pStyle w:val="Heading2"/>
        <w:spacing w:line="515" w:lineRule="exact"/>
      </w:pPr>
      <w:bookmarkStart w:id="10" w:name="_TOC_250040"/>
      <w:bookmarkEnd w:id="10"/>
      <w:r>
        <w:t>四、人行道路工程</w:t>
      </w:r>
    </w:p>
    <w:p>
      <w:pPr>
        <w:pStyle w:val="BodyText"/>
        <w:spacing w:before="7"/>
        <w:rPr>
          <w:b/>
          <w:sz w:val="35"/>
        </w:rPr>
      </w:pPr>
    </w:p>
    <w:p>
      <w:pPr>
        <w:pStyle w:val="BodyText"/>
        <w:spacing w:before="1"/>
        <w:ind w:left="1299"/>
      </w:pPr>
      <w:r>
        <w:t>（一）施工准备：</w:t>
      </w:r>
    </w:p>
    <w:p>
      <w:pPr>
        <w:pStyle w:val="BodyText"/>
        <w:spacing w:before="9"/>
        <w:rPr>
          <w:sz w:val="32"/>
        </w:rPr>
      </w:pPr>
    </w:p>
    <w:p>
      <w:pPr>
        <w:pStyle w:val="BodyText"/>
        <w:spacing w:line="429" w:lineRule="auto"/>
        <w:ind w:left="460" w:right="1397" w:firstLine="838"/>
      </w:pPr>
      <w:r>
        <w:rPr>
          <w:spacing w:val="-10"/>
        </w:rPr>
        <w:t xml:space="preserve">应先进行路面高程的测量,准确测得各处的高程，根据测量数据， </w:t>
      </w:r>
      <w:r>
        <w:rPr>
          <w:spacing w:val="-9"/>
        </w:rPr>
        <w:t>和保证石灰稳定土基层不小于的原则，定出各段标高。根据图纸设计高程,采用挖掘机、推土机、自卸汽车相结合的方法进行施工。</w:t>
      </w:r>
    </w:p>
    <w:p>
      <w:pPr>
        <w:pStyle w:val="BodyText"/>
        <w:spacing w:line="528" w:lineRule="exact"/>
        <w:ind w:left="1299"/>
      </w:pPr>
      <w:r>
        <w:t>（二）施工方法</w:t>
      </w:r>
    </w:p>
    <w:p>
      <w:pPr>
        <w:pStyle w:val="BodyText"/>
        <w:spacing w:before="1"/>
        <w:rPr>
          <w:sz w:val="33"/>
        </w:rPr>
      </w:pPr>
    </w:p>
    <w:p>
      <w:pPr>
        <w:pStyle w:val="BodyText"/>
        <w:spacing w:line="429" w:lineRule="auto"/>
        <w:ind w:left="460" w:right="1616" w:firstLine="838"/>
      </w:pPr>
      <w:r>
        <w:t>1、清基:施工时必须先将原灰土，清除深度不能少于 30cm。路基上的树根挖出后应将坑穴填平夯实。</w:t>
      </w:r>
    </w:p>
    <w:p>
      <w:pPr>
        <w:pStyle w:val="BodyText"/>
        <w:spacing w:line="427" w:lineRule="auto"/>
        <w:ind w:left="460" w:right="1402" w:firstLine="838"/>
      </w:pPr>
      <w:r>
        <w:t>2</w:t>
      </w:r>
      <w:r>
        <w:rPr>
          <w:spacing w:val="-6"/>
        </w:rPr>
        <w:t>、填筑路基:，可直接填筑路基；坡度在</w:t>
      </w:r>
      <w:r>
        <w:t>1:10—1:5</w:t>
      </w:r>
      <w:r>
        <w:rPr>
          <w:spacing w:val="-17"/>
        </w:rPr>
        <w:t xml:space="preserve"> 时，将原地</w:t>
      </w:r>
      <w:r>
        <w:rPr>
          <w:spacing w:val="-21"/>
        </w:rPr>
        <w:t xml:space="preserve">面翻松后再进行填筑；地面横坡陡于 </w:t>
      </w:r>
      <w:r>
        <w:t>1：5</w:t>
      </w:r>
      <w:r>
        <w:rPr>
          <w:spacing w:val="-8"/>
        </w:rPr>
        <w:t xml:space="preserve"> 时将原地面挖成宽度不小</w:t>
      </w:r>
      <w:r>
        <w:rPr>
          <w:spacing w:val="-25"/>
        </w:rPr>
        <w:t xml:space="preserve">于 </w:t>
      </w:r>
      <w:r>
        <w:t>1</w:t>
      </w:r>
      <w:r>
        <w:rPr>
          <w:spacing w:val="-11"/>
        </w:rPr>
        <w:t xml:space="preserve"> 米的台阶，台阶顶面做成 </w:t>
      </w:r>
      <w:r>
        <w:t>2%—4%的向内倾斜坡，再进行路基填</w:t>
      </w:r>
      <w:r>
        <w:rPr>
          <w:spacing w:val="-22"/>
        </w:rPr>
        <w:t xml:space="preserve">筑。填筑高度小于 </w:t>
      </w:r>
      <w:r>
        <w:t>0.8</w:t>
      </w:r>
      <w:r>
        <w:rPr>
          <w:spacing w:val="-20"/>
        </w:rPr>
        <w:t xml:space="preserve"> 米的地段，将清除表土后的地面翻松 </w:t>
      </w:r>
      <w:r>
        <w:t>30</w:t>
      </w:r>
      <w:r>
        <w:rPr>
          <w:spacing w:val="-29"/>
        </w:rPr>
        <w:t xml:space="preserve"> 厘米， </w:t>
      </w:r>
      <w:r>
        <w:t>并分层碾压，其压实度应达到规范要求。每层填料铺设的宽度，超出</w:t>
      </w:r>
      <w:r>
        <w:rPr>
          <w:spacing w:val="2"/>
        </w:rPr>
        <w:t xml:space="preserve">每层路基的设计宽度的 </w:t>
      </w:r>
      <w:r>
        <w:t>30 厘米以上,以保证完工后的路基边缘有足</w:t>
      </w:r>
      <w:r>
        <w:rPr>
          <w:spacing w:val="-14"/>
        </w:rPr>
        <w:t>够的压实度。路基填方分层平行摊铺，每层松铺厚度根据现场实验确</w:t>
      </w:r>
      <w:r>
        <w:rPr>
          <w:spacing w:val="-22"/>
        </w:rPr>
        <w:t xml:space="preserve">定一般最大松铺厚度不大于 </w:t>
      </w:r>
      <w:r>
        <w:t>20</w:t>
      </w:r>
      <w:r>
        <w:rPr>
          <w:spacing w:val="-19"/>
        </w:rPr>
        <w:t xml:space="preserve"> 厘米，最小压实厚度不小于 </w:t>
      </w:r>
      <w:r>
        <w:t>10</w:t>
      </w:r>
      <w:r>
        <w:rPr>
          <w:spacing w:val="-25"/>
        </w:rPr>
        <w:t xml:space="preserve"> 厘米。</w:t>
      </w:r>
    </w:p>
    <w:p>
      <w:pPr>
        <w:spacing w:after="0" w:line="427" w:lineRule="auto"/>
        <w:sectPr>
          <w:headerReference w:type="default" r:id="rId29"/>
          <w:footerReference w:type="default" r:id="rId30"/>
          <w:pgSz w:w="17860" w:h="25260"/>
          <w:pgMar w:top="1400" w:right="1080" w:bottom="2040" w:left="2240" w:header="1088" w:footer="1837"/>
          <w:pgNumType w:start="11"/>
          <w:cols w:space="708"/>
        </w:sectPr>
      </w:pPr>
    </w:p>
    <w:p>
      <w:pPr>
        <w:pStyle w:val="BodyText"/>
        <w:rPr>
          <w:sz w:val="20"/>
        </w:rPr>
      </w:pPr>
    </w:p>
    <w:p>
      <w:pPr>
        <w:pStyle w:val="BodyText"/>
        <w:rPr>
          <w:sz w:val="20"/>
        </w:rPr>
      </w:pPr>
    </w:p>
    <w:p>
      <w:pPr>
        <w:pStyle w:val="BodyText"/>
        <w:spacing w:before="2"/>
        <w:rPr>
          <w:sz w:val="15"/>
        </w:rPr>
      </w:pPr>
    </w:p>
    <w:p>
      <w:pPr>
        <w:pStyle w:val="BodyText"/>
        <w:spacing w:before="42" w:line="427" w:lineRule="auto"/>
        <w:ind w:left="460" w:right="1440" w:firstLine="838"/>
      </w:pPr>
      <w:r>
        <w:t>3、路基碾压：当路基按规定厚度布土后，由人工进行整平，然后用振动压路机振实。压实过程中，要检查土质的含水量，应保证在最佳含水量状态压实，土湿则翻晒，过干要洒水。</w:t>
      </w:r>
    </w:p>
    <w:p>
      <w:pPr>
        <w:pStyle w:val="BodyText"/>
        <w:spacing w:before="7" w:line="427" w:lineRule="auto"/>
        <w:ind w:left="1299" w:right="9026"/>
      </w:pPr>
      <w:r>
        <w:t>（三）石灰土施工方法1、准备下承层</w:t>
      </w:r>
    </w:p>
    <w:p>
      <w:pPr>
        <w:pStyle w:val="BodyText"/>
        <w:spacing w:before="3" w:line="429" w:lineRule="auto"/>
        <w:ind w:left="460" w:right="1611" w:firstLine="838"/>
      </w:pPr>
      <w:r>
        <w:rPr>
          <w:spacing w:val="-11"/>
        </w:rPr>
        <w:t>石灰稳定土底基层的下承层表面应平整、密实，具有规定的横坡</w:t>
      </w:r>
      <w:r>
        <w:t>度，无松散材料和软弱地点。</w:t>
      </w:r>
    </w:p>
    <w:p>
      <w:pPr>
        <w:pStyle w:val="BodyText"/>
        <w:spacing w:line="531" w:lineRule="exact"/>
        <w:ind w:left="1299"/>
      </w:pPr>
      <w:r>
        <w:t>2、施工放样</w:t>
      </w:r>
    </w:p>
    <w:p>
      <w:pPr>
        <w:pStyle w:val="BodyText"/>
        <w:rPr>
          <w:sz w:val="33"/>
        </w:rPr>
      </w:pPr>
    </w:p>
    <w:p>
      <w:pPr>
        <w:pStyle w:val="BodyText"/>
        <w:spacing w:line="427" w:lineRule="auto"/>
        <w:ind w:left="460" w:right="1440" w:firstLine="838"/>
      </w:pPr>
      <w:r>
        <w:rPr>
          <w:spacing w:val="-16"/>
        </w:rPr>
        <w:t xml:space="preserve">在土基上恢复中桩，直线段每 </w:t>
      </w:r>
      <w:r>
        <w:t>20</w:t>
      </w:r>
      <w:r>
        <w:rPr>
          <w:spacing w:val="-28"/>
        </w:rPr>
        <w:t xml:space="preserve"> 米设一桩，平曲线每 </w:t>
      </w:r>
      <w:r>
        <w:t>10</w:t>
      </w:r>
      <w:r>
        <w:rPr>
          <w:spacing w:val="-27"/>
        </w:rPr>
        <w:t xml:space="preserve"> 米设一桩，并在两侧设指示桩，用白灰标出内外侧边线。进行水平测量，在</w:t>
      </w:r>
      <w:r>
        <w:rPr>
          <w:spacing w:val="-1"/>
        </w:rPr>
        <w:t>两侧指示桩上用明显标记标出石灰稳定土基层内外边缘的设计高程。</w:t>
      </w:r>
    </w:p>
    <w:p>
      <w:pPr>
        <w:pStyle w:val="BodyText"/>
        <w:spacing w:before="7"/>
        <w:ind w:left="1299"/>
      </w:pPr>
      <w:r>
        <w:t>3、原材料的要求</w:t>
      </w:r>
    </w:p>
    <w:p>
      <w:pPr>
        <w:pStyle w:val="BodyText"/>
        <w:rPr>
          <w:sz w:val="33"/>
        </w:rPr>
      </w:pPr>
    </w:p>
    <w:p>
      <w:pPr>
        <w:pStyle w:val="BodyText"/>
        <w:spacing w:line="427" w:lineRule="auto"/>
        <w:ind w:left="460" w:right="1639" w:firstLine="838"/>
      </w:pPr>
      <w:r>
        <w:t>土；塑性指数控制在 15—20，偏大的粘性土要粉碎，粉碎后最大的土块尺寸不应大于 16mm。</w:t>
      </w:r>
    </w:p>
    <w:p>
      <w:pPr>
        <w:pStyle w:val="BodyText"/>
        <w:spacing w:before="3" w:line="429" w:lineRule="auto"/>
        <w:ind w:left="460" w:right="1616" w:firstLine="838"/>
      </w:pPr>
      <w:r>
        <w:t>石灰：石灰质量达到三级以上标准，生石灰要充分消解，至少7 天后方可使用，并尽量缩短石灰存放时间。</w:t>
      </w:r>
    </w:p>
    <w:p>
      <w:pPr>
        <w:pStyle w:val="BodyText"/>
        <w:spacing w:line="530" w:lineRule="exact"/>
        <w:ind w:left="1299"/>
      </w:pPr>
      <w:r>
        <w:t>水：人或牲畜饮用水均可使用。</w:t>
      </w:r>
    </w:p>
    <w:p>
      <w:pPr>
        <w:pStyle w:val="BodyText"/>
        <w:spacing w:before="1"/>
        <w:rPr>
          <w:sz w:val="33"/>
        </w:rPr>
      </w:pPr>
    </w:p>
    <w:p>
      <w:pPr>
        <w:pStyle w:val="BodyText"/>
        <w:spacing w:line="427" w:lineRule="auto"/>
        <w:ind w:left="460" w:right="1440" w:firstLine="838"/>
      </w:pPr>
      <w:r>
        <w:t>4、石灰土用土可直接备在路槽上，根据实验所得压实系数确定</w:t>
      </w:r>
      <w:r>
        <w:rPr>
          <w:spacing w:val="-14"/>
        </w:rPr>
        <w:t>土的体积数。备好后用人工初平，由测量人员用水准仪按设计高程打</w:t>
      </w:r>
      <w:r>
        <w:rPr>
          <w:spacing w:val="-15"/>
        </w:rPr>
        <w:t>点，然后用刮板刮到合适高度。为准确控制灰剂量，石灰土用石灰应</w:t>
      </w:r>
      <w:r>
        <w:t>先码方后摊铺。摊铺石灰时应注意用扣锨铺灰，铺灰应均匀。</w:t>
      </w:r>
    </w:p>
    <w:p>
      <w:pPr>
        <w:spacing w:after="0" w:line="427" w:lineRule="auto"/>
        <w:sectPr>
          <w:headerReference w:type="default" r:id="rId31"/>
          <w:footerReference w:type="default" r:id="rId32"/>
          <w:pgSz w:w="17860" w:h="25260"/>
          <w:pgMar w:top="1400" w:right="1080" w:bottom="2040" w:left="2240" w:header="1088" w:footer="1837"/>
          <w:pgNumType w:start="12"/>
          <w:cols w:space="708"/>
        </w:sectPr>
      </w:pPr>
    </w:p>
    <w:p>
      <w:pPr>
        <w:pStyle w:val="BodyText"/>
        <w:rPr>
          <w:sz w:val="20"/>
        </w:rPr>
      </w:pPr>
    </w:p>
    <w:p>
      <w:pPr>
        <w:pStyle w:val="BodyText"/>
        <w:rPr>
          <w:sz w:val="20"/>
        </w:rPr>
      </w:pPr>
    </w:p>
    <w:p>
      <w:pPr>
        <w:pStyle w:val="BodyText"/>
        <w:spacing w:before="2"/>
        <w:rPr>
          <w:sz w:val="15"/>
        </w:rPr>
      </w:pPr>
    </w:p>
    <w:p>
      <w:pPr>
        <w:pStyle w:val="BodyText"/>
        <w:spacing w:before="42"/>
        <w:ind w:left="1299"/>
      </w:pPr>
      <w:r>
        <w:t>5、洒水闷料</w:t>
      </w:r>
    </w:p>
    <w:p>
      <w:pPr>
        <w:pStyle w:val="BodyText"/>
        <w:spacing w:before="9"/>
        <w:rPr>
          <w:sz w:val="32"/>
        </w:rPr>
      </w:pPr>
    </w:p>
    <w:p>
      <w:pPr>
        <w:pStyle w:val="BodyText"/>
        <w:spacing w:before="1" w:line="429" w:lineRule="auto"/>
        <w:ind w:left="460" w:right="1440" w:firstLine="838"/>
      </w:pPr>
      <w:r>
        <w:t>如土过干应现洒水闷料，使土的含水量接近最佳值。洒水闷料应在施工前晚上进行，并注意洒水均匀，禁止出现漏洒或过湿的现象。</w:t>
      </w:r>
    </w:p>
    <w:p>
      <w:pPr>
        <w:pStyle w:val="BodyText"/>
        <w:spacing w:line="534" w:lineRule="exact"/>
        <w:ind w:left="1299"/>
      </w:pPr>
      <w:r>
        <w:t>6、拌和</w:t>
      </w:r>
    </w:p>
    <w:p>
      <w:pPr>
        <w:pStyle w:val="BodyText"/>
        <w:spacing w:before="9"/>
        <w:rPr>
          <w:sz w:val="32"/>
        </w:rPr>
      </w:pPr>
    </w:p>
    <w:p>
      <w:pPr>
        <w:pStyle w:val="ListParagraph"/>
        <w:numPr>
          <w:ilvl w:val="0"/>
          <w:numId w:val="18"/>
        </w:numPr>
        <w:tabs>
          <w:tab w:val="left" w:pos="1933"/>
        </w:tabs>
        <w:spacing w:before="0" w:after="0" w:line="427" w:lineRule="auto"/>
        <w:ind w:left="460" w:right="1613" w:firstLine="838"/>
        <w:jc w:val="both"/>
        <w:rPr>
          <w:sz w:val="42"/>
        </w:rPr>
      </w:pPr>
      <w:r>
        <w:rPr>
          <w:sz w:val="42"/>
        </w:rPr>
        <w:t>石灰土采用拖拉机拌和，拌和深度达到稳定土底层。应设专</w:t>
      </w:r>
      <w:r>
        <w:rPr>
          <w:spacing w:val="-8"/>
          <w:sz w:val="42"/>
        </w:rPr>
        <w:t>人随时检查拌和深度并配合拌和机操作员调整拌和深度。严禁在拌和</w:t>
      </w:r>
      <w:r>
        <w:rPr>
          <w:sz w:val="42"/>
        </w:rPr>
        <w:t>底部留有“素土”夹层，拌和时应略破坏(约 1CM</w:t>
      </w:r>
      <w:r>
        <w:rPr>
          <w:spacing w:val="-1"/>
          <w:sz w:val="42"/>
        </w:rPr>
        <w:t xml:space="preserve"> 左右，不宜过多) </w:t>
      </w:r>
      <w:r>
        <w:rPr>
          <w:sz w:val="42"/>
        </w:rPr>
        <w:t>下承层的表面，以利上下层的粘结。</w:t>
      </w:r>
    </w:p>
    <w:p>
      <w:pPr>
        <w:pStyle w:val="ListParagraph"/>
        <w:numPr>
          <w:ilvl w:val="0"/>
          <w:numId w:val="18"/>
        </w:numPr>
        <w:tabs>
          <w:tab w:val="left" w:pos="1933"/>
        </w:tabs>
        <w:spacing w:before="11" w:after="0" w:line="429" w:lineRule="auto"/>
        <w:ind w:left="460" w:right="1653" w:firstLine="838"/>
        <w:jc w:val="left"/>
        <w:rPr>
          <w:sz w:val="42"/>
        </w:rPr>
      </w:pPr>
      <w:r>
        <w:rPr>
          <w:spacing w:val="-1"/>
          <w:sz w:val="42"/>
        </w:rPr>
        <w:t xml:space="preserve">在拌和过程中，应及时检查含水量。用喷管或洒水车洒水， </w:t>
      </w:r>
      <w:r>
        <w:rPr>
          <w:sz w:val="42"/>
        </w:rPr>
        <w:t>使混合料的含水量等于或略大于最佳值。</w:t>
      </w:r>
    </w:p>
    <w:p>
      <w:pPr>
        <w:pStyle w:val="BodyText"/>
        <w:spacing w:line="530" w:lineRule="exact"/>
        <w:ind w:left="1299"/>
      </w:pPr>
      <w:r>
        <w:t>7、整形</w:t>
      </w:r>
    </w:p>
    <w:p>
      <w:pPr>
        <w:pStyle w:val="BodyText"/>
        <w:rPr>
          <w:sz w:val="33"/>
        </w:rPr>
      </w:pPr>
    </w:p>
    <w:p>
      <w:pPr>
        <w:pStyle w:val="BodyText"/>
        <w:spacing w:before="1" w:line="427" w:lineRule="auto"/>
        <w:ind w:left="460" w:right="1444" w:firstLine="838"/>
      </w:pPr>
      <w:r>
        <w:rPr>
          <w:spacing w:val="-1"/>
        </w:rPr>
        <w:t>拌和完毕，迅速用履带拖拉机稳压，并用人工粗平。测量人员根</w:t>
      </w:r>
      <w:r>
        <w:rPr>
          <w:spacing w:val="-13"/>
        </w:rPr>
        <w:t xml:space="preserve">据设计标高每隔 </w:t>
      </w:r>
      <w:r>
        <w:t>20M</w:t>
      </w:r>
      <w:r>
        <w:rPr>
          <w:spacing w:val="-19"/>
        </w:rPr>
        <w:t xml:space="preserve"> 在内外两侧放桩，采用挂线打点法控制标高，随后用平地机进行仔细控平。</w:t>
      </w:r>
    </w:p>
    <w:p>
      <w:pPr>
        <w:pStyle w:val="BodyText"/>
        <w:spacing w:before="6"/>
        <w:ind w:left="1299"/>
      </w:pPr>
      <w:r>
        <w:t>8、碾压</w:t>
      </w:r>
    </w:p>
    <w:p>
      <w:pPr>
        <w:pStyle w:val="BodyText"/>
        <w:rPr>
          <w:sz w:val="33"/>
        </w:rPr>
      </w:pPr>
    </w:p>
    <w:p>
      <w:pPr>
        <w:pStyle w:val="ListParagraph"/>
        <w:numPr>
          <w:ilvl w:val="0"/>
          <w:numId w:val="17"/>
        </w:numPr>
        <w:tabs>
          <w:tab w:val="left" w:pos="1933"/>
        </w:tabs>
        <w:spacing w:before="0" w:after="0" w:line="427" w:lineRule="auto"/>
        <w:ind w:left="460" w:right="1653" w:firstLine="838"/>
        <w:jc w:val="left"/>
        <w:rPr>
          <w:sz w:val="42"/>
        </w:rPr>
      </w:pPr>
      <w:r>
        <w:rPr>
          <w:sz w:val="42"/>
        </w:rPr>
        <w:t>整形后，当混合料处于最佳含水量±1%</w:t>
      </w:r>
      <w:r>
        <w:rPr>
          <w:spacing w:val="-2"/>
          <w:sz w:val="42"/>
        </w:rPr>
        <w:t>时，可进行碾压。如</w:t>
      </w:r>
      <w:r>
        <w:rPr>
          <w:sz w:val="42"/>
        </w:rPr>
        <w:t>表面水分不足，应适当洒水。</w:t>
      </w:r>
    </w:p>
    <w:p>
      <w:pPr>
        <w:pStyle w:val="ListParagraph"/>
        <w:numPr>
          <w:ilvl w:val="0"/>
          <w:numId w:val="17"/>
        </w:numPr>
        <w:tabs>
          <w:tab w:val="left" w:pos="1933"/>
        </w:tabs>
        <w:spacing w:before="4" w:after="0" w:line="427" w:lineRule="auto"/>
        <w:ind w:left="460" w:right="1440" w:firstLine="838"/>
        <w:jc w:val="left"/>
        <w:rPr>
          <w:sz w:val="42"/>
        </w:rPr>
      </w:pPr>
      <w:r>
        <w:rPr>
          <w:spacing w:val="-51"/>
          <w:sz w:val="42"/>
        </w:rPr>
        <w:t xml:space="preserve">用 </w:t>
      </w:r>
      <w:r>
        <w:rPr>
          <w:sz w:val="42"/>
        </w:rPr>
        <w:t>8T</w:t>
      </w:r>
      <w:r>
        <w:rPr>
          <w:spacing w:val="-17"/>
          <w:sz w:val="42"/>
        </w:rPr>
        <w:t xml:space="preserve"> 以上三轮压路机、重型轮胎压路机或振动压路机进行碾</w:t>
      </w:r>
      <w:r>
        <w:rPr>
          <w:spacing w:val="-21"/>
          <w:sz w:val="42"/>
        </w:rPr>
        <w:t xml:space="preserve">压，碾压由外侧向内侧进行。碾压时，主轮应重叠 </w:t>
      </w:r>
      <w:r>
        <w:rPr>
          <w:sz w:val="42"/>
        </w:rPr>
        <w:t>1／2</w:t>
      </w:r>
      <w:r>
        <w:rPr>
          <w:spacing w:val="-11"/>
          <w:sz w:val="42"/>
        </w:rPr>
        <w:t xml:space="preserve"> 轮宽。主轮</w:t>
      </w:r>
      <w:r>
        <w:rPr>
          <w:spacing w:val="-12"/>
          <w:sz w:val="42"/>
        </w:rPr>
        <w:t>必须超过两段的接缝处，主轮压完路面全宽时，即为一遍。碾压一直</w:t>
      </w:r>
      <w:r>
        <w:rPr>
          <w:sz w:val="42"/>
        </w:rPr>
        <w:t>进行到要求的密实度为止。同时表面无明显轮迹。</w:t>
      </w:r>
    </w:p>
    <w:p>
      <w:pPr>
        <w:spacing w:after="0" w:line="427" w:lineRule="auto"/>
        <w:jc w:val="left"/>
        <w:rPr>
          <w:sz w:val="42"/>
        </w:rPr>
        <w:sectPr>
          <w:headerReference w:type="default" r:id="rId33"/>
          <w:footerReference w:type="default" r:id="rId34"/>
          <w:pgSz w:w="17860" w:h="25260"/>
          <w:pgMar w:top="1400" w:right="1080" w:bottom="2020" w:left="2240" w:header="1088" w:footer="1837"/>
          <w:pgNumType w:start="13"/>
          <w:cols w:space="708"/>
        </w:sectPr>
      </w:pPr>
    </w:p>
    <w:p>
      <w:pPr>
        <w:pStyle w:val="BodyText"/>
        <w:rPr>
          <w:sz w:val="20"/>
        </w:rPr>
      </w:pPr>
    </w:p>
    <w:p>
      <w:pPr>
        <w:pStyle w:val="BodyText"/>
        <w:rPr>
          <w:sz w:val="20"/>
        </w:rPr>
      </w:pPr>
    </w:p>
    <w:p>
      <w:pPr>
        <w:pStyle w:val="BodyText"/>
        <w:spacing w:before="2"/>
        <w:rPr>
          <w:sz w:val="15"/>
        </w:rPr>
      </w:pPr>
    </w:p>
    <w:p>
      <w:pPr>
        <w:pStyle w:val="ListParagraph"/>
        <w:numPr>
          <w:ilvl w:val="0"/>
          <w:numId w:val="17"/>
        </w:numPr>
        <w:tabs>
          <w:tab w:val="left" w:pos="1933"/>
        </w:tabs>
        <w:spacing w:before="42" w:after="0" w:line="427" w:lineRule="auto"/>
        <w:ind w:left="460" w:right="1653" w:firstLine="838"/>
        <w:jc w:val="left"/>
        <w:rPr>
          <w:sz w:val="42"/>
        </w:rPr>
      </w:pPr>
      <w:r>
        <w:rPr>
          <w:spacing w:val="-1"/>
          <w:sz w:val="42"/>
        </w:rPr>
        <w:t>严禁压路机在已完成的或正在碾压的路段上调头和急刹以保</w:t>
      </w:r>
      <w:r>
        <w:rPr>
          <w:sz w:val="42"/>
        </w:rPr>
        <w:t>证稳定土层表面不受破坏。</w:t>
      </w:r>
    </w:p>
    <w:p>
      <w:pPr>
        <w:pStyle w:val="ListParagraph"/>
        <w:numPr>
          <w:ilvl w:val="0"/>
          <w:numId w:val="17"/>
        </w:numPr>
        <w:tabs>
          <w:tab w:val="left" w:pos="1933"/>
        </w:tabs>
        <w:spacing w:before="3" w:after="0" w:line="429" w:lineRule="auto"/>
        <w:ind w:left="460" w:right="1653" w:firstLine="838"/>
        <w:jc w:val="left"/>
        <w:rPr>
          <w:sz w:val="42"/>
        </w:rPr>
      </w:pPr>
      <w:r>
        <w:rPr>
          <w:spacing w:val="-1"/>
          <w:sz w:val="42"/>
        </w:rPr>
        <w:t>碾压过程中，石灰稳定土表面应始终保持湿润，如表面蒸发</w:t>
      </w:r>
      <w:r>
        <w:rPr>
          <w:sz w:val="42"/>
        </w:rPr>
        <w:t>过快应补洒少量的水。</w:t>
      </w:r>
    </w:p>
    <w:p>
      <w:pPr>
        <w:pStyle w:val="ListParagraph"/>
        <w:numPr>
          <w:ilvl w:val="0"/>
          <w:numId w:val="17"/>
        </w:numPr>
        <w:tabs>
          <w:tab w:val="left" w:pos="1933"/>
        </w:tabs>
        <w:spacing w:before="0" w:after="0" w:line="429" w:lineRule="auto"/>
        <w:ind w:left="460" w:right="1653" w:firstLine="838"/>
        <w:jc w:val="left"/>
        <w:rPr>
          <w:sz w:val="42"/>
        </w:rPr>
      </w:pPr>
      <w:r>
        <w:rPr>
          <w:spacing w:val="-1"/>
          <w:sz w:val="42"/>
        </w:rPr>
        <w:t>碾压过程中，如有“弹簧”、松散、起皮现象，应及时翻开</w:t>
      </w:r>
      <w:r>
        <w:rPr>
          <w:sz w:val="42"/>
        </w:rPr>
        <w:t>重新拌和或用其他方法处理，使其达到质量要求。</w:t>
      </w:r>
    </w:p>
    <w:p>
      <w:pPr>
        <w:pStyle w:val="BodyText"/>
        <w:spacing w:line="535" w:lineRule="exact"/>
        <w:ind w:left="1299"/>
      </w:pPr>
      <w:r>
        <w:t>9、养生</w:t>
      </w:r>
    </w:p>
    <w:p>
      <w:pPr>
        <w:pStyle w:val="BodyText"/>
        <w:spacing w:before="2"/>
        <w:rPr>
          <w:sz w:val="32"/>
        </w:rPr>
      </w:pPr>
    </w:p>
    <w:p>
      <w:pPr>
        <w:pStyle w:val="BodyText"/>
        <w:spacing w:line="429" w:lineRule="auto"/>
        <w:ind w:left="1299" w:right="2414"/>
      </w:pPr>
      <w:r>
        <w:t>(1</w:t>
      </w:r>
      <w:r>
        <w:rPr>
          <w:spacing w:val="-5"/>
        </w:rPr>
        <w:t xml:space="preserve">)石灰土碾压完毕后，先进行自检，压实度应达到 </w:t>
      </w:r>
      <w:r>
        <w:t>95</w:t>
      </w:r>
      <w:r>
        <w:rPr>
          <w:spacing w:val="-9"/>
        </w:rPr>
        <w:t>％。</w:t>
      </w:r>
      <w:r>
        <w:t>(2)对验收合格的石灰土应及时洒水养生。</w:t>
      </w:r>
    </w:p>
    <w:p>
      <w:pPr>
        <w:pStyle w:val="BodyText"/>
        <w:spacing w:line="534" w:lineRule="exact"/>
        <w:ind w:left="1299"/>
      </w:pPr>
      <w:r>
        <w:t>（四）水泥粉煤灰稳定碎石基层土施工方法</w:t>
      </w:r>
    </w:p>
    <w:p>
      <w:pPr>
        <w:pStyle w:val="BodyText"/>
        <w:spacing w:before="10"/>
        <w:rPr>
          <w:sz w:val="32"/>
        </w:rPr>
      </w:pPr>
    </w:p>
    <w:p>
      <w:pPr>
        <w:pStyle w:val="BodyText"/>
        <w:ind w:left="1299"/>
      </w:pPr>
      <w:r>
        <w:t>本工程路面基层采用粉煤灰三渣层，施工中做好以下几点：</w:t>
      </w:r>
    </w:p>
    <w:p>
      <w:pPr>
        <w:pStyle w:val="BodyText"/>
        <w:rPr>
          <w:sz w:val="33"/>
        </w:rPr>
      </w:pPr>
    </w:p>
    <w:p>
      <w:pPr>
        <w:pStyle w:val="BodyText"/>
        <w:spacing w:before="1" w:line="427" w:lineRule="auto"/>
        <w:ind w:left="460" w:right="1488" w:firstLine="838"/>
        <w:jc w:val="both"/>
      </w:pPr>
      <w:r>
        <w:t>1</w:t>
      </w:r>
      <w:r>
        <w:rPr>
          <w:spacing w:val="-2"/>
        </w:rPr>
        <w:t>、集料压碎值应≤</w:t>
      </w:r>
      <w:r>
        <w:rPr>
          <w:spacing w:val="-12"/>
        </w:rPr>
        <w:t>30</w:t>
      </w:r>
      <w:r>
        <w:rPr>
          <w:spacing w:val="-4"/>
        </w:rPr>
        <w:t>%。混合料可掺入水泥，水泥掺量、具体集</w:t>
      </w:r>
      <w:r>
        <w:rPr>
          <w:spacing w:val="-14"/>
        </w:rPr>
        <w:t>料、混合料的配比组成应根据试验结果确定。混合料含水量应满足最佳压实含水量的要求。</w:t>
      </w:r>
    </w:p>
    <w:p>
      <w:pPr>
        <w:pStyle w:val="BodyText"/>
        <w:spacing w:before="6" w:line="427" w:lineRule="auto"/>
        <w:ind w:left="460" w:right="1440" w:firstLine="838"/>
      </w:pPr>
      <w:r>
        <w:t>2、水泥稳定碎石混合料采用连续式稳定土厂拌设备集中拌和， 配料应准确，拌和应均匀。在拌和过程中应控制好拌和质量，随时观察混合料有无灰条、灰团和花面，色泽是否均匀，有无离析现象，并做好各种试验确定是否满足规范要求。为了延长水泥终凝时间，以有利于施工，可掺入缓凝剂。</w:t>
      </w:r>
    </w:p>
    <w:p>
      <w:pPr>
        <w:pStyle w:val="BodyText"/>
        <w:spacing w:before="11" w:line="429" w:lineRule="auto"/>
        <w:ind w:left="460" w:right="1596" w:firstLine="838"/>
      </w:pPr>
      <w:r>
        <w:t>3、送料时，必须保证使现场摊铺机连续摊铺。混合料应及时运</w:t>
      </w:r>
      <w:r>
        <w:rPr>
          <w:spacing w:val="-6"/>
        </w:rPr>
        <w:t xml:space="preserve">送到现场，当运输时间在 </w:t>
      </w:r>
      <w:r>
        <w:t>15</w:t>
      </w:r>
      <w:r>
        <w:rPr>
          <w:spacing w:val="-9"/>
        </w:rPr>
        <w:t xml:space="preserve"> 分钟以上时，应采取覆盖措施，以减少</w:t>
      </w:r>
    </w:p>
    <w:p>
      <w:pPr>
        <w:spacing w:after="0" w:line="429" w:lineRule="auto"/>
        <w:sectPr>
          <w:headerReference w:type="default" r:id="rId35"/>
          <w:footerReference w:type="default" r:id="rId36"/>
          <w:pgSz w:w="17860" w:h="25260"/>
          <w:pgMar w:top="1400" w:right="1080" w:bottom="2040" w:left="2240" w:header="1088" w:footer="1837"/>
          <w:pgNumType w:start="14"/>
          <w:cols w:space="708"/>
        </w:sectPr>
      </w:pPr>
    </w:p>
    <w:p>
      <w:pPr>
        <w:pStyle w:val="BodyText"/>
        <w:rPr>
          <w:sz w:val="20"/>
        </w:rPr>
      </w:pPr>
    </w:p>
    <w:p>
      <w:pPr>
        <w:pStyle w:val="BodyText"/>
        <w:rPr>
          <w:sz w:val="20"/>
        </w:rPr>
      </w:pPr>
    </w:p>
    <w:p>
      <w:pPr>
        <w:pStyle w:val="BodyText"/>
        <w:spacing w:before="2"/>
        <w:rPr>
          <w:sz w:val="15"/>
        </w:rPr>
      </w:pPr>
    </w:p>
    <w:p>
      <w:pPr>
        <w:pStyle w:val="BodyText"/>
        <w:spacing w:before="42"/>
        <w:ind w:left="460"/>
      </w:pPr>
      <w:r>
        <w:t>水分损失。</w:t>
      </w:r>
    </w:p>
    <w:p>
      <w:pPr>
        <w:pStyle w:val="BodyText"/>
        <w:spacing w:before="9"/>
        <w:rPr>
          <w:sz w:val="32"/>
        </w:rPr>
      </w:pPr>
    </w:p>
    <w:p>
      <w:pPr>
        <w:pStyle w:val="BodyText"/>
        <w:spacing w:before="1" w:line="427" w:lineRule="auto"/>
        <w:ind w:left="460" w:right="1391" w:firstLine="838"/>
      </w:pPr>
      <w:r>
        <w:t>4、水泥稳定碎石层下基层采用装载机粗平、平地机精平或挖掘机粗平、人工精平的方法摊铺。在摊铺集料前，应先通过试验确定松</w:t>
      </w:r>
      <w:r>
        <w:rPr>
          <w:spacing w:val="-22"/>
        </w:rPr>
        <w:t xml:space="preserve">铺系数。摊铺机宜连续摊铺。应避免纵向接缝，在必须分两幅施工时， </w:t>
      </w:r>
      <w:r>
        <w:rPr>
          <w:spacing w:val="-6"/>
        </w:rPr>
        <w:t xml:space="preserve">采用两台摊铺机一前一后相隔约 </w:t>
      </w:r>
      <w:r>
        <w:t>5～10m</w:t>
      </w:r>
      <w:r>
        <w:rPr>
          <w:spacing w:val="-8"/>
        </w:rPr>
        <w:t xml:space="preserve"> 同步往前摊铺混合料，并一起进行碾压。纵缝必须垂直相接，不应斜接。摊铺机摊铺混合料时， </w:t>
      </w:r>
      <w:r>
        <w:rPr>
          <w:spacing w:val="-18"/>
        </w:rPr>
        <w:t xml:space="preserve">每天的工作缝应作横向接缝。如因故中断时间超过 </w:t>
      </w:r>
      <w:r>
        <w:t>2</w:t>
      </w:r>
      <w:r>
        <w:rPr>
          <w:spacing w:val="-23"/>
        </w:rPr>
        <w:t xml:space="preserve"> 小时，也应设置横向接缝。</w:t>
      </w:r>
    </w:p>
    <w:p>
      <w:pPr>
        <w:pStyle w:val="BodyText"/>
        <w:spacing w:before="17" w:line="427" w:lineRule="auto"/>
        <w:ind w:left="460" w:right="1398" w:firstLine="838"/>
        <w:jc w:val="both"/>
      </w:pPr>
      <w:r>
        <w:t>5、每一段碾压完成并经压实度检查合格后，应立即开始养生。</w:t>
      </w:r>
      <w:r>
        <w:rPr>
          <w:spacing w:val="-12"/>
        </w:rPr>
        <w:t xml:space="preserve">养生期不宜少于 </w:t>
      </w:r>
      <w:r>
        <w:t>7</w:t>
      </w:r>
      <w:r>
        <w:rPr>
          <w:spacing w:val="-38"/>
        </w:rPr>
        <w:t xml:space="preserve"> 天。第 </w:t>
      </w:r>
      <w:r>
        <w:t>1</w:t>
      </w:r>
      <w:r>
        <w:rPr>
          <w:spacing w:val="-17"/>
        </w:rPr>
        <w:t xml:space="preserve"> 天先用塑料薄膜覆盖养生。第 </w:t>
      </w:r>
      <w:r>
        <w:t>2～7</w:t>
      </w:r>
      <w:r>
        <w:rPr>
          <w:spacing w:val="-31"/>
        </w:rPr>
        <w:t xml:space="preserve"> 天用</w:t>
      </w:r>
      <w:r>
        <w:rPr>
          <w:spacing w:val="-25"/>
        </w:rPr>
        <w:t>洒水车经常洒水进行养生。每天洒水的次数应视气候而定。养生期间</w:t>
      </w:r>
      <w:r>
        <w:rPr>
          <w:spacing w:val="-27"/>
        </w:rPr>
        <w:t>应始终保持基层表面潮湿，不应忽干忽湿。除洒水车外，应封闭交通。</w:t>
      </w:r>
    </w:p>
    <w:p>
      <w:pPr>
        <w:pStyle w:val="BodyText"/>
        <w:spacing w:before="10" w:line="427" w:lineRule="auto"/>
        <w:ind w:left="1299" w:right="8183"/>
      </w:pPr>
      <w:r>
        <w:t>（五）路缘石和树池石按砌1、、材料选用：</w:t>
      </w:r>
    </w:p>
    <w:p>
      <w:pPr>
        <w:pStyle w:val="ListParagraph"/>
        <w:numPr>
          <w:ilvl w:val="0"/>
          <w:numId w:val="16"/>
        </w:numPr>
        <w:tabs>
          <w:tab w:val="left" w:pos="1970"/>
        </w:tabs>
        <w:spacing w:before="3" w:after="0" w:line="240" w:lineRule="auto"/>
        <w:ind w:left="1970" w:right="0" w:hanging="671"/>
        <w:jc w:val="left"/>
        <w:rPr>
          <w:sz w:val="42"/>
        </w:rPr>
      </w:pPr>
      <w:r>
        <w:rPr>
          <w:sz w:val="42"/>
        </w:rPr>
        <w:t>）水泥：采用符合国家标准规定的普通硅酸盐水泥，采用</w:t>
      </w:r>
    </w:p>
    <w:p>
      <w:pPr>
        <w:pStyle w:val="BodyText"/>
        <w:rPr>
          <w:sz w:val="33"/>
        </w:rPr>
      </w:pPr>
    </w:p>
    <w:p>
      <w:pPr>
        <w:pStyle w:val="BodyText"/>
        <w:ind w:left="460"/>
      </w:pPr>
      <w:r>
        <w:t>P.0.32.5 级；</w:t>
      </w:r>
    </w:p>
    <w:p>
      <w:pPr>
        <w:pStyle w:val="BodyText"/>
        <w:spacing w:before="10"/>
        <w:rPr>
          <w:sz w:val="32"/>
        </w:rPr>
      </w:pPr>
    </w:p>
    <w:p>
      <w:pPr>
        <w:pStyle w:val="ListParagraph"/>
        <w:numPr>
          <w:ilvl w:val="0"/>
          <w:numId w:val="16"/>
        </w:numPr>
        <w:tabs>
          <w:tab w:val="left" w:pos="1934"/>
        </w:tabs>
        <w:spacing w:before="0" w:after="0" w:line="240" w:lineRule="auto"/>
        <w:ind w:left="1934" w:right="0" w:hanging="635"/>
        <w:jc w:val="left"/>
        <w:rPr>
          <w:sz w:val="42"/>
        </w:rPr>
      </w:pPr>
      <w:r>
        <w:rPr>
          <w:sz w:val="42"/>
        </w:rPr>
        <w:t>黄砂：选用中砂</w:t>
      </w:r>
    </w:p>
    <w:p>
      <w:pPr>
        <w:pStyle w:val="BodyText"/>
        <w:spacing w:before="1"/>
        <w:rPr>
          <w:sz w:val="33"/>
        </w:rPr>
      </w:pPr>
    </w:p>
    <w:p>
      <w:pPr>
        <w:pStyle w:val="ListParagraph"/>
        <w:numPr>
          <w:ilvl w:val="0"/>
          <w:numId w:val="16"/>
        </w:numPr>
        <w:tabs>
          <w:tab w:val="left" w:pos="1934"/>
        </w:tabs>
        <w:spacing w:before="0" w:after="0" w:line="240" w:lineRule="auto"/>
        <w:ind w:left="1934" w:right="0" w:hanging="635"/>
        <w:jc w:val="left"/>
        <w:rPr>
          <w:sz w:val="42"/>
        </w:rPr>
      </w:pPr>
      <w:r>
        <w:rPr>
          <w:sz w:val="42"/>
        </w:rPr>
        <w:t>路牙石：符合设计图纸要求的材料</w:t>
      </w:r>
    </w:p>
    <w:p>
      <w:pPr>
        <w:pStyle w:val="BodyText"/>
        <w:rPr>
          <w:sz w:val="33"/>
        </w:rPr>
      </w:pPr>
    </w:p>
    <w:p>
      <w:pPr>
        <w:pStyle w:val="BodyText"/>
        <w:ind w:left="1299"/>
      </w:pPr>
      <w:r>
        <w:t>（二</w:t>
      </w:r>
      <w:r>
        <w:rPr>
          <w:spacing w:val="-213"/>
        </w:rPr>
        <w:t>）</w:t>
      </w:r>
      <w:r>
        <w:t>、施工工艺：</w:t>
      </w:r>
    </w:p>
    <w:p>
      <w:pPr>
        <w:pStyle w:val="BodyText"/>
        <w:spacing w:before="10"/>
        <w:rPr>
          <w:sz w:val="32"/>
        </w:rPr>
      </w:pPr>
    </w:p>
    <w:p>
      <w:pPr>
        <w:pStyle w:val="ListParagraph"/>
        <w:numPr>
          <w:ilvl w:val="0"/>
          <w:numId w:val="15"/>
        </w:numPr>
        <w:tabs>
          <w:tab w:val="left" w:pos="1722"/>
        </w:tabs>
        <w:spacing w:before="0" w:after="0" w:line="429" w:lineRule="auto"/>
        <w:ind w:left="460" w:right="1620" w:firstLine="838"/>
        <w:jc w:val="left"/>
        <w:rPr>
          <w:sz w:val="42"/>
        </w:rPr>
      </w:pPr>
      <w:r>
        <w:rPr>
          <w:spacing w:val="-8"/>
          <w:sz w:val="42"/>
        </w:rPr>
        <w:t>我们采用第一步先按上面层标高控制施工现浇垫层基础，达到</w:t>
      </w:r>
      <w:r>
        <w:rPr>
          <w:sz w:val="42"/>
        </w:rPr>
        <w:t>设计路牙石底面标高；</w:t>
      </w:r>
    </w:p>
    <w:p>
      <w:pPr>
        <w:spacing w:after="0" w:line="429" w:lineRule="auto"/>
        <w:jc w:val="left"/>
        <w:rPr>
          <w:sz w:val="42"/>
        </w:rPr>
        <w:sectPr>
          <w:headerReference w:type="default" r:id="rId37"/>
          <w:footerReference w:type="default" r:id="rId38"/>
          <w:pgSz w:w="17860" w:h="25260"/>
          <w:pgMar w:top="1400" w:right="1080" w:bottom="2020" w:left="2240" w:header="1088" w:footer="1837"/>
          <w:pgNumType w:start="15"/>
          <w:cols w:space="708"/>
        </w:sectPr>
      </w:pPr>
    </w:p>
    <w:p>
      <w:pPr>
        <w:pStyle w:val="BodyText"/>
        <w:rPr>
          <w:sz w:val="20"/>
        </w:rPr>
      </w:pPr>
    </w:p>
    <w:p>
      <w:pPr>
        <w:pStyle w:val="BodyText"/>
        <w:rPr>
          <w:sz w:val="20"/>
        </w:rPr>
      </w:pPr>
    </w:p>
    <w:p>
      <w:pPr>
        <w:pStyle w:val="BodyText"/>
        <w:spacing w:before="2"/>
        <w:rPr>
          <w:sz w:val="15"/>
        </w:rPr>
      </w:pPr>
    </w:p>
    <w:p>
      <w:pPr>
        <w:pStyle w:val="ListParagraph"/>
        <w:numPr>
          <w:ilvl w:val="0"/>
          <w:numId w:val="15"/>
        </w:numPr>
        <w:tabs>
          <w:tab w:val="left" w:pos="1722"/>
        </w:tabs>
        <w:spacing w:before="42" w:after="0" w:line="240" w:lineRule="auto"/>
        <w:ind w:left="1721" w:right="0" w:hanging="423"/>
        <w:jc w:val="left"/>
        <w:rPr>
          <w:sz w:val="42"/>
        </w:rPr>
      </w:pPr>
      <w:r>
        <w:rPr>
          <w:sz w:val="42"/>
        </w:rPr>
        <w:t>放线：在基础垫层上弹出墨线，用经纬仪进行校正。</w:t>
      </w:r>
    </w:p>
    <w:p>
      <w:pPr>
        <w:pStyle w:val="BodyText"/>
        <w:spacing w:before="9"/>
        <w:rPr>
          <w:sz w:val="32"/>
        </w:rPr>
      </w:pPr>
    </w:p>
    <w:p>
      <w:pPr>
        <w:pStyle w:val="ListParagraph"/>
        <w:numPr>
          <w:ilvl w:val="0"/>
          <w:numId w:val="15"/>
        </w:numPr>
        <w:tabs>
          <w:tab w:val="left" w:pos="1722"/>
        </w:tabs>
        <w:spacing w:before="1" w:after="0" w:line="429" w:lineRule="auto"/>
        <w:ind w:left="460" w:right="1610" w:firstLine="838"/>
        <w:jc w:val="left"/>
        <w:rPr>
          <w:sz w:val="42"/>
        </w:rPr>
      </w:pPr>
      <w:r>
        <w:rPr>
          <w:spacing w:val="-13"/>
          <w:sz w:val="42"/>
        </w:rPr>
        <w:t>在已完的基础上正确放样，并用石灰线打出，确保石灰线线型</w:t>
      </w:r>
      <w:r>
        <w:rPr>
          <w:sz w:val="42"/>
        </w:rPr>
        <w:t>正确、顺适、美观；</w:t>
      </w:r>
    </w:p>
    <w:p>
      <w:pPr>
        <w:pStyle w:val="ListParagraph"/>
        <w:numPr>
          <w:ilvl w:val="0"/>
          <w:numId w:val="15"/>
        </w:numPr>
        <w:tabs>
          <w:tab w:val="left" w:pos="1722"/>
        </w:tabs>
        <w:spacing w:before="0" w:after="0" w:line="534" w:lineRule="exact"/>
        <w:ind w:left="1721" w:right="0" w:hanging="423"/>
        <w:jc w:val="left"/>
        <w:rPr>
          <w:sz w:val="42"/>
        </w:rPr>
      </w:pPr>
      <w:r>
        <w:rPr>
          <w:sz w:val="42"/>
        </w:rPr>
        <w:t>依据放好的灰线进行施工。施工中控制好拼接。</w:t>
      </w:r>
    </w:p>
    <w:p>
      <w:pPr>
        <w:pStyle w:val="BodyText"/>
        <w:spacing w:before="9"/>
        <w:rPr>
          <w:sz w:val="32"/>
        </w:rPr>
      </w:pPr>
    </w:p>
    <w:p>
      <w:pPr>
        <w:pStyle w:val="ListParagraph"/>
        <w:numPr>
          <w:ilvl w:val="0"/>
          <w:numId w:val="15"/>
        </w:numPr>
        <w:tabs>
          <w:tab w:val="left" w:pos="1722"/>
        </w:tabs>
        <w:spacing w:before="0" w:after="0" w:line="427" w:lineRule="auto"/>
        <w:ind w:left="460" w:right="1596" w:firstLine="838"/>
        <w:jc w:val="both"/>
        <w:rPr>
          <w:sz w:val="42"/>
        </w:rPr>
      </w:pPr>
      <w:r>
        <w:rPr>
          <w:spacing w:val="-17"/>
          <w:sz w:val="42"/>
        </w:rPr>
        <w:t xml:space="preserve">立缘石每 </w:t>
      </w:r>
      <w:r>
        <w:rPr>
          <w:sz w:val="42"/>
        </w:rPr>
        <w:t>5m</w:t>
      </w:r>
      <w:r>
        <w:rPr>
          <w:spacing w:val="-55"/>
          <w:sz w:val="42"/>
        </w:rPr>
        <w:t xml:space="preserve"> 设 </w:t>
      </w:r>
      <w:r>
        <w:rPr>
          <w:sz w:val="42"/>
        </w:rPr>
        <w:t>1</w:t>
      </w:r>
      <w:r>
        <w:rPr>
          <w:spacing w:val="-11"/>
          <w:sz w:val="42"/>
        </w:rPr>
        <w:t xml:space="preserve"> 控制点挂线安装砌筑，缘石下用设计要求的</w:t>
      </w:r>
      <w:r>
        <w:rPr>
          <w:spacing w:val="-7"/>
          <w:sz w:val="42"/>
        </w:rPr>
        <w:t xml:space="preserve">混合料回填密实，立缘石采用 </w:t>
      </w:r>
      <w:r>
        <w:rPr>
          <w:sz w:val="42"/>
        </w:rPr>
        <w:t>M5</w:t>
      </w:r>
      <w:r>
        <w:rPr>
          <w:spacing w:val="-21"/>
          <w:sz w:val="42"/>
        </w:rPr>
        <w:t xml:space="preserve"> 水泥砂浆卧底厚 </w:t>
      </w:r>
      <w:r>
        <w:rPr>
          <w:sz w:val="42"/>
        </w:rPr>
        <w:t>2</w:t>
      </w:r>
      <w:r>
        <w:rPr>
          <w:spacing w:val="-12"/>
          <w:sz w:val="42"/>
        </w:rPr>
        <w:t xml:space="preserve"> ㎝。立缘石安装</w:t>
      </w:r>
      <w:r>
        <w:rPr>
          <w:spacing w:val="-33"/>
          <w:sz w:val="42"/>
        </w:rPr>
        <w:t xml:space="preserve">接缝为 </w:t>
      </w:r>
      <w:r>
        <w:rPr>
          <w:sz w:val="42"/>
        </w:rPr>
        <w:t>10</w:t>
      </w:r>
      <w:r>
        <w:rPr>
          <w:spacing w:val="1"/>
          <w:sz w:val="42"/>
        </w:rPr>
        <w:t xml:space="preserve"> ㎜用</w:t>
      </w:r>
      <w:r>
        <w:rPr>
          <w:sz w:val="42"/>
        </w:rPr>
        <w:t>M7.5</w:t>
      </w:r>
      <w:r>
        <w:rPr>
          <w:spacing w:val="-19"/>
          <w:sz w:val="42"/>
        </w:rPr>
        <w:t xml:space="preserve"> 水泥砂浆勾缝。在路缘石外回填素土并夯实，表</w:t>
      </w:r>
      <w:r>
        <w:rPr>
          <w:spacing w:val="-16"/>
          <w:sz w:val="42"/>
        </w:rPr>
        <w:t>层土回填完成后其标高比路缘石、集水井或其他结构物低</w:t>
      </w:r>
      <w:r>
        <w:rPr>
          <w:sz w:val="42"/>
        </w:rPr>
        <w:t>2.5</w:t>
      </w:r>
      <w:r>
        <w:rPr>
          <w:spacing w:val="-32"/>
          <w:sz w:val="42"/>
        </w:rPr>
        <w:t xml:space="preserve"> ㎝。</w:t>
      </w:r>
    </w:p>
    <w:p>
      <w:pPr>
        <w:pStyle w:val="ListParagraph"/>
        <w:numPr>
          <w:ilvl w:val="0"/>
          <w:numId w:val="15"/>
        </w:numPr>
        <w:tabs>
          <w:tab w:val="left" w:pos="1722"/>
        </w:tabs>
        <w:spacing w:before="11" w:after="0" w:line="429" w:lineRule="auto"/>
        <w:ind w:left="460" w:right="1402" w:firstLine="838"/>
        <w:jc w:val="both"/>
        <w:rPr>
          <w:sz w:val="42"/>
        </w:rPr>
      </w:pPr>
      <w:r>
        <w:rPr>
          <w:spacing w:val="-23"/>
          <w:sz w:val="42"/>
        </w:rPr>
        <w:t>铺砌好的路缘石应缝宽均匀、线条顺直、顶面平整、砌筑牢固。</w:t>
      </w:r>
      <w:r>
        <w:rPr>
          <w:spacing w:val="-19"/>
          <w:sz w:val="42"/>
        </w:rPr>
        <w:t xml:space="preserve">养护不少于 </w:t>
      </w:r>
      <w:r>
        <w:rPr>
          <w:sz w:val="42"/>
        </w:rPr>
        <w:t>7</w:t>
      </w:r>
      <w:r>
        <w:rPr>
          <w:spacing w:val="-12"/>
          <w:sz w:val="42"/>
        </w:rPr>
        <w:t xml:space="preserve"> 天，此期间严禁碰撞。</w:t>
      </w:r>
    </w:p>
    <w:p>
      <w:pPr>
        <w:pStyle w:val="BodyText"/>
        <w:spacing w:line="429" w:lineRule="auto"/>
        <w:ind w:left="1299" w:right="10289"/>
      </w:pPr>
      <w:r>
        <w:t>（六）花砖路面1、施工准备</w:t>
      </w:r>
    </w:p>
    <w:p>
      <w:pPr>
        <w:pStyle w:val="ListParagraph"/>
        <w:numPr>
          <w:ilvl w:val="0"/>
          <w:numId w:val="14"/>
        </w:numPr>
        <w:tabs>
          <w:tab w:val="left" w:pos="1934"/>
        </w:tabs>
        <w:spacing w:before="0" w:after="0" w:line="535" w:lineRule="exact"/>
        <w:ind w:left="1934" w:right="0" w:hanging="635"/>
        <w:jc w:val="left"/>
        <w:rPr>
          <w:sz w:val="42"/>
        </w:rPr>
      </w:pPr>
      <w:r>
        <w:rPr>
          <w:sz w:val="42"/>
        </w:rPr>
        <w:t>材料准备应符合下列要求：</w:t>
      </w:r>
    </w:p>
    <w:p>
      <w:pPr>
        <w:pStyle w:val="BodyText"/>
        <w:spacing w:before="1"/>
        <w:rPr>
          <w:sz w:val="32"/>
        </w:rPr>
      </w:pPr>
    </w:p>
    <w:p>
      <w:pPr>
        <w:pStyle w:val="BodyText"/>
        <w:spacing w:line="429" w:lineRule="auto"/>
        <w:ind w:left="460" w:right="1383" w:firstLine="838"/>
      </w:pPr>
      <w:r>
        <w:rPr>
          <w:spacing w:val="-8"/>
        </w:rPr>
        <w:t>根据设计要求及规范规定对所用材料应进行质量检验，合格后方可进场；花砖必须表面平整，色彩均匀一致，且表面有一定的防滑性</w:t>
      </w:r>
      <w:r>
        <w:rPr>
          <w:spacing w:val="-22"/>
        </w:rPr>
        <w:t xml:space="preserve">能。线路清晰，棱角整齐，如采用彩色花砖其彩色表面采用耐候性好， </w:t>
      </w:r>
      <w:r>
        <w:t>不易褪色的颜料。路面砖码放时应轻拿轻放码放，整齐并按批量、颜</w:t>
      </w:r>
      <w:r>
        <w:rPr>
          <w:spacing w:val="-21"/>
        </w:rPr>
        <w:t>色、块形、厚度、抗压强度分别堆放；垫砂层及接缝用砂应分别堆放， 并应采取防止雨淋的措施。</w:t>
      </w:r>
    </w:p>
    <w:p>
      <w:pPr>
        <w:pStyle w:val="ListParagraph"/>
        <w:numPr>
          <w:ilvl w:val="0"/>
          <w:numId w:val="14"/>
        </w:numPr>
        <w:tabs>
          <w:tab w:val="left" w:pos="1934"/>
        </w:tabs>
        <w:spacing w:before="0" w:after="0" w:line="520" w:lineRule="exact"/>
        <w:ind w:left="1934" w:right="0" w:hanging="635"/>
        <w:jc w:val="left"/>
        <w:rPr>
          <w:sz w:val="42"/>
        </w:rPr>
      </w:pPr>
      <w:r>
        <w:rPr>
          <w:sz w:val="42"/>
        </w:rPr>
        <w:t>定位标定高程及基层复查</w:t>
      </w:r>
    </w:p>
    <w:p>
      <w:pPr>
        <w:pStyle w:val="BodyText"/>
        <w:spacing w:before="1"/>
        <w:rPr>
          <w:sz w:val="33"/>
        </w:rPr>
      </w:pPr>
    </w:p>
    <w:p>
      <w:pPr>
        <w:pStyle w:val="BodyText"/>
        <w:ind w:left="1299"/>
      </w:pPr>
      <w:r>
        <w:t>根据设计图纸应进行路面的定位及标定高程。应对基层表面进行</w:t>
      </w:r>
    </w:p>
    <w:p>
      <w:pPr>
        <w:spacing w:after="0"/>
        <w:sectPr>
          <w:headerReference w:type="default" r:id="rId39"/>
          <w:footerReference w:type="default" r:id="rId40"/>
          <w:pgSz w:w="17860" w:h="25260"/>
          <w:pgMar w:top="1400" w:right="1080" w:bottom="2020" w:left="2240" w:header="1088" w:footer="1837"/>
          <w:pgNumType w:start="16"/>
          <w:cols w:space="708"/>
        </w:sectPr>
      </w:pPr>
    </w:p>
    <w:p>
      <w:pPr>
        <w:spacing w:before="52"/>
        <w:ind w:left="4396" w:right="0" w:firstLine="0"/>
        <w:jc w:val="left"/>
        <w:rPr>
          <w:sz w:val="27"/>
        </w:rPr>
      </w:pPr>
      <w:r>
        <w:pict>
          <v:group id="_x0000_s1036" style="width:893pt;height:1248pt;margin-top:0;margin-left:0;mso-position-horizontal-relative:page;mso-position-vertical-relative:page;position:absolute;z-index:-251657216" coordorigin="0,0" coordsize="17860,24960">
            <v:shape id="_x0000_s1037" type="#_x0000_t75" style="width:12780;height:260;left:2540;position:absolute;top:1240" stroked="f">
              <v:imagedata r:id="rId41" o:title=""/>
            </v:shape>
            <v:shape id="_x0000_s1038" type="#_x0000_t75" style="width:17860;height:24960;position:absolute" stroked="f">
              <v:imagedata r:id="rId42" o:title=""/>
            </v:shape>
            <v:shape id="_x0000_s1039" type="#_x0000_t75" style="width:2460;height:980;left:5400;position:absolute;top:10840" stroked="f">
              <v:imagedata r:id="rId43" o:title=""/>
            </v:shape>
          </v:group>
        </w:pict>
      </w:r>
      <w:r>
        <w:rPr>
          <w:sz w:val="27"/>
        </w:rPr>
        <w:t>市政道路人行道改造工程施工组织设计</w:t>
      </w:r>
    </w:p>
    <w:p>
      <w:pPr>
        <w:pStyle w:val="BodyText"/>
        <w:rPr>
          <w:sz w:val="26"/>
        </w:rPr>
      </w:pPr>
    </w:p>
    <w:p>
      <w:pPr>
        <w:pStyle w:val="BodyText"/>
        <w:spacing w:before="10"/>
        <w:rPr>
          <w:sz w:val="32"/>
        </w:rPr>
      </w:pPr>
    </w:p>
    <w:p>
      <w:pPr>
        <w:pStyle w:val="BodyText"/>
        <w:spacing w:line="427" w:lineRule="auto"/>
        <w:ind w:left="460" w:right="1440"/>
      </w:pPr>
      <w:r>
        <w:rPr>
          <w:spacing w:val="-1"/>
        </w:rPr>
        <w:t>复查，不符合要求，应进行修整。路面砖基准点和基准线的设定，根</w:t>
      </w:r>
      <w:r>
        <w:rPr>
          <w:spacing w:val="-13"/>
        </w:rPr>
        <w:t>据铺筑平面设计图，在路缘石边应设定路面砖基准点。通过路面砖基</w:t>
      </w:r>
      <w:r>
        <w:rPr>
          <w:spacing w:val="-15"/>
        </w:rPr>
        <w:t>准点，应设置两条相互垂直的路面砖基准线，其中一条基准线与路缘</w:t>
      </w:r>
      <w:r>
        <w:rPr>
          <w:spacing w:val="-26"/>
        </w:rPr>
        <w:t xml:space="preserve">石基准线的夹角宜为 </w:t>
      </w:r>
      <w:r>
        <w:t>0</w:t>
      </w:r>
      <w:r>
        <w:rPr>
          <w:spacing w:val="-37"/>
        </w:rPr>
        <w:t xml:space="preserve">°或 </w:t>
      </w:r>
      <w:r>
        <w:t>45°如图所示。</w:t>
      </w: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pPr>
    </w:p>
    <w:p>
      <w:pPr>
        <w:pStyle w:val="BodyText"/>
        <w:spacing w:before="5"/>
        <w:rPr>
          <w:sz w:val="55"/>
        </w:rPr>
      </w:pPr>
    </w:p>
    <w:p>
      <w:pPr>
        <w:pStyle w:val="BodyText"/>
        <w:spacing w:line="429" w:lineRule="auto"/>
        <w:ind w:left="460" w:right="1389" w:firstLine="838"/>
      </w:pPr>
      <w:r>
        <w:rPr>
          <w:spacing w:val="-8"/>
        </w:rPr>
        <w:t>设置两个及以上路面砖基准点同时铺筑路面砖时，根据工程规模</w:t>
      </w:r>
      <w:r>
        <w:rPr>
          <w:spacing w:val="-24"/>
        </w:rPr>
        <w:t xml:space="preserve">及路面砖块形尺寸，宜设间距为 </w:t>
      </w:r>
      <w:r>
        <w:t>5～１０m</w:t>
      </w:r>
      <w:r>
        <w:rPr>
          <w:spacing w:val="-11"/>
        </w:rPr>
        <w:t xml:space="preserve"> 的纵横平行路面砖基准线。</w:t>
      </w:r>
    </w:p>
    <w:p>
      <w:pPr>
        <w:pStyle w:val="BodyText"/>
        <w:spacing w:line="535" w:lineRule="exact"/>
        <w:ind w:left="1299"/>
      </w:pPr>
      <w:r>
        <w:t>2、砂浆垫层的摊铺</w:t>
      </w:r>
    </w:p>
    <w:p>
      <w:pPr>
        <w:pStyle w:val="BodyText"/>
        <w:spacing w:before="10"/>
        <w:rPr>
          <w:sz w:val="32"/>
        </w:rPr>
      </w:pPr>
    </w:p>
    <w:p>
      <w:pPr>
        <w:pStyle w:val="BodyText"/>
        <w:spacing w:line="429" w:lineRule="auto"/>
        <w:ind w:left="460" w:right="1444" w:firstLine="838"/>
      </w:pPr>
      <w:r>
        <w:t>砂浆垫层的虚铺厚度应由设计和试验确定。根据工程量的大小， 摊铺垫层的方法采用刮板法施工。在已摊铺好的垫层上，不得有任何扰动。</w:t>
      </w:r>
    </w:p>
    <w:p>
      <w:pPr>
        <w:pStyle w:val="BodyText"/>
        <w:spacing w:line="528" w:lineRule="exact"/>
        <w:ind w:left="1299"/>
      </w:pPr>
      <w:r>
        <w:t>3、路面砖的铺筑</w:t>
      </w:r>
    </w:p>
    <w:p>
      <w:pPr>
        <w:pStyle w:val="BodyText"/>
        <w:spacing w:before="1"/>
        <w:rPr>
          <w:sz w:val="33"/>
        </w:rPr>
      </w:pPr>
    </w:p>
    <w:p>
      <w:pPr>
        <w:pStyle w:val="BodyText"/>
        <w:spacing w:line="429" w:lineRule="auto"/>
        <w:ind w:left="460" w:right="1614" w:firstLine="838"/>
      </w:pPr>
      <w:r>
        <w:rPr>
          <w:spacing w:val="-14"/>
        </w:rPr>
        <w:t>根据设计图纸，路面砖的铺筑应从路面砖基准点开始，并应以路</w:t>
      </w:r>
      <w:r>
        <w:t>面砖基准线为基准，按设计规定的图案铺筑路面砖。</w:t>
      </w:r>
    </w:p>
    <w:p>
      <w:pPr>
        <w:pStyle w:val="BodyText"/>
        <w:spacing w:line="429" w:lineRule="auto"/>
        <w:ind w:left="460" w:right="1609" w:firstLine="838"/>
      </w:pPr>
      <w:r>
        <w:t>路面砖的接缝宽度应符合规范要求</w:t>
      </w:r>
      <w:r>
        <w:rPr>
          <w:spacing w:val="-18"/>
        </w:rPr>
        <w:t>，铺筑到路边产生不大于</w:t>
      </w:r>
      <w:r>
        <w:t xml:space="preserve">20mm </w:t>
      </w:r>
      <w:r>
        <w:rPr>
          <w:spacing w:val="-9"/>
        </w:rPr>
        <w:t>的缝隙时可适当调整路面砖之间的接缝宽度来弥补，不宜使用水泥砂</w:t>
      </w:r>
    </w:p>
    <w:p>
      <w:pPr>
        <w:pStyle w:val="BodyText"/>
        <w:spacing w:before="7"/>
        <w:rPr>
          <w:sz w:val="45"/>
        </w:rPr>
      </w:pPr>
    </w:p>
    <w:p>
      <w:pPr>
        <w:spacing w:before="0"/>
        <w:ind w:left="0" w:right="1616" w:firstLine="0"/>
        <w:jc w:val="right"/>
        <w:rPr>
          <w:rFonts w:ascii="Arial"/>
          <w:sz w:val="27"/>
        </w:rPr>
      </w:pPr>
      <w:r>
        <w:rPr>
          <w:rFonts w:ascii="Arial"/>
          <w:spacing w:val="-1"/>
          <w:w w:val="90"/>
          <w:sz w:val="27"/>
        </w:rPr>
        <w:t>17</w:t>
      </w:r>
    </w:p>
    <w:p>
      <w:pPr>
        <w:spacing w:after="0"/>
        <w:jc w:val="right"/>
        <w:rPr>
          <w:rFonts w:ascii="Arial"/>
          <w:sz w:val="27"/>
        </w:rPr>
        <w:sectPr>
          <w:headerReference w:type="default" r:id="rId44"/>
          <w:footerReference w:type="default" r:id="rId45"/>
          <w:pgSz w:w="17860" w:h="25260"/>
          <w:pgMar w:top="980" w:right="1080" w:bottom="280" w:left="2240" w:header="0" w:footer="0"/>
          <w:pgNumType w:start="17"/>
          <w:cols w:space="708"/>
        </w:sectPr>
      </w:pPr>
    </w:p>
    <w:p>
      <w:pPr>
        <w:pStyle w:val="BodyText"/>
        <w:rPr>
          <w:rFonts w:ascii="Arial"/>
          <w:sz w:val="20"/>
        </w:rPr>
      </w:pPr>
    </w:p>
    <w:p>
      <w:pPr>
        <w:pStyle w:val="BodyText"/>
        <w:rPr>
          <w:rFonts w:ascii="Arial"/>
          <w:sz w:val="20"/>
        </w:rPr>
      </w:pPr>
    </w:p>
    <w:p>
      <w:pPr>
        <w:pStyle w:val="BodyText"/>
        <w:spacing w:before="5"/>
        <w:rPr>
          <w:rFonts w:ascii="Arial"/>
          <w:sz w:val="21"/>
        </w:rPr>
      </w:pPr>
    </w:p>
    <w:p>
      <w:pPr>
        <w:pStyle w:val="BodyText"/>
        <w:spacing w:before="42" w:line="427" w:lineRule="auto"/>
        <w:ind w:left="460" w:right="1588"/>
        <w:jc w:val="both"/>
      </w:pPr>
      <w:r>
        <w:rPr>
          <w:spacing w:val="-14"/>
        </w:rPr>
        <w:t>浆填补。需用细石混凝土填补的地方，应在当日用规定强度等级的细</w:t>
      </w:r>
      <w:r>
        <w:rPr>
          <w:spacing w:val="-17"/>
        </w:rPr>
        <w:t>石混凝土填补。接缝应确定两条相互垂直的路面砖基准线为基准拉线</w:t>
      </w:r>
      <w:r>
        <w:t>进行调整。</w:t>
      </w:r>
    </w:p>
    <w:p>
      <w:pPr>
        <w:pStyle w:val="BodyText"/>
        <w:spacing w:before="7" w:line="427" w:lineRule="auto"/>
        <w:ind w:left="460" w:right="1387" w:firstLine="838"/>
      </w:pPr>
      <w:r>
        <w:rPr>
          <w:spacing w:val="-12"/>
        </w:rPr>
        <w:t>花砖铺砌前先将基层整平，以两侧路缘石顶为准挂纵向与横向高程线，先分段冲筋，后填空铺装，随时检查位置与高程。彩砖铺砌的</w:t>
      </w:r>
      <w:r>
        <w:rPr>
          <w:spacing w:val="-7"/>
        </w:rPr>
        <w:t>垫层采用细砂，厚度为</w:t>
      </w:r>
      <w:r>
        <w:t>2</w:t>
      </w:r>
      <w:r>
        <w:rPr>
          <w:spacing w:val="-10"/>
        </w:rPr>
        <w:t xml:space="preserve"> ㎝，铺砌时轻轻平放，用橡胶锤敲打稳定找</w:t>
      </w:r>
      <w:r>
        <w:rPr>
          <w:spacing w:val="-22"/>
        </w:rPr>
        <w:t xml:space="preserve">平，不得向砖底塞砂或支垫硬料，必须使砖平铺在满实的砂浆上稳定， </w:t>
      </w:r>
      <w:r>
        <w:rPr>
          <w:spacing w:val="-13"/>
        </w:rPr>
        <w:t xml:space="preserve">无任何空隙。铺砌时为保证平整度应随时用直尺检验平整度，出现问题及时修整。砌筑时应避免与侧石出现空隙，如有空隙应甩在一侧， </w:t>
      </w:r>
      <w:r>
        <w:rPr>
          <w:spacing w:val="-21"/>
        </w:rPr>
        <w:t>当建筑物一侧及井边出现空隙可用切割砖填平，必要时也可用细石砼补齐并刻缝与花砖相仿，以保美观。灌缝用细砂灌缝，分多次灌入扫墁，直至缝隙饱满。铺好花砖应检查稳固程度及面层平整度，发现方砖有活动现象时，应立即整修。花砖的养生期一般不少于</w:t>
      </w:r>
      <w:r>
        <w:t>7</w:t>
      </w:r>
      <w:r>
        <w:rPr>
          <w:spacing w:val="-19"/>
        </w:rPr>
        <w:t xml:space="preserve"> 天，在此期间应严禁行人、车辆等的走动和碰撞。铺筑路面砖时，不得站在垫</w:t>
      </w:r>
      <w:r>
        <w:rPr>
          <w:spacing w:val="-17"/>
        </w:rPr>
        <w:t>砂层上作业，可在刚铺筑的路面砖上垫上一块大于</w:t>
      </w:r>
      <w:r>
        <w:t>0.3m²的木板站在木板上铺筑。</w:t>
      </w:r>
    </w:p>
    <w:p>
      <w:pPr>
        <w:pStyle w:val="BodyText"/>
        <w:spacing w:before="27"/>
        <w:ind w:left="1299"/>
      </w:pPr>
      <w:r>
        <w:t>4、路面砖灌缝</w:t>
      </w:r>
    </w:p>
    <w:p>
      <w:pPr>
        <w:pStyle w:val="BodyText"/>
        <w:spacing w:before="1"/>
        <w:rPr>
          <w:sz w:val="33"/>
        </w:rPr>
      </w:pPr>
    </w:p>
    <w:p>
      <w:pPr>
        <w:pStyle w:val="BodyText"/>
        <w:spacing w:line="427" w:lineRule="auto"/>
        <w:ind w:left="460" w:right="1596" w:firstLine="838"/>
        <w:jc w:val="both"/>
      </w:pPr>
      <w:r>
        <w:rPr>
          <w:spacing w:val="-10"/>
        </w:rPr>
        <w:t>路面砖之间的接缝中应采用砂灌满填实，接缝灌砂的方法应符合</w:t>
      </w:r>
      <w:r>
        <w:rPr>
          <w:spacing w:val="-16"/>
        </w:rPr>
        <w:t>下列要求：在路表面均匀撒薄薄一层接缝用砂；用苕帚或板刷等工具</w:t>
      </w:r>
      <w:r>
        <w:rPr>
          <w:spacing w:val="-20"/>
        </w:rPr>
        <w:t>将路面上的砂子扫入接缝中；用振动碾压机按本规程第条中所示的方</w:t>
      </w:r>
      <w:r>
        <w:rPr>
          <w:spacing w:val="-13"/>
        </w:rPr>
        <w:t>法碾压使砂灌入接缝；接缝灌砂与振压要反复进行，直至接缝灌满填</w:t>
      </w:r>
    </w:p>
    <w:p>
      <w:pPr>
        <w:spacing w:after="0" w:line="427" w:lineRule="auto"/>
        <w:jc w:val="both"/>
        <w:sectPr>
          <w:headerReference w:type="default" r:id="rId46"/>
          <w:footerReference w:type="default" r:id="rId47"/>
          <w:pgSz w:w="17860" w:h="25260"/>
          <w:pgMar w:top="1400" w:right="1080" w:bottom="2020" w:left="2240" w:header="1088" w:footer="1837"/>
          <w:pgNumType w:start="18"/>
          <w:cols w:space="708"/>
        </w:sectPr>
      </w:pPr>
    </w:p>
    <w:p>
      <w:pPr>
        <w:pStyle w:val="BodyText"/>
        <w:rPr>
          <w:sz w:val="20"/>
        </w:rPr>
      </w:pPr>
    </w:p>
    <w:p>
      <w:pPr>
        <w:pStyle w:val="BodyText"/>
        <w:rPr>
          <w:sz w:val="20"/>
        </w:rPr>
      </w:pPr>
    </w:p>
    <w:p>
      <w:pPr>
        <w:pStyle w:val="BodyText"/>
        <w:spacing w:before="2"/>
        <w:rPr>
          <w:sz w:val="15"/>
        </w:rPr>
      </w:pPr>
    </w:p>
    <w:p>
      <w:pPr>
        <w:pStyle w:val="BodyText"/>
        <w:spacing w:before="42" w:line="427" w:lineRule="auto"/>
        <w:ind w:left="1299" w:right="3546" w:hanging="839"/>
      </w:pPr>
      <w:r>
        <w:t>实为止。路面砖路面施工完后，路面上砂子应清扫干净。5、特殊部位的施工</w:t>
      </w:r>
    </w:p>
    <w:p>
      <w:pPr>
        <w:pStyle w:val="BodyText"/>
        <w:spacing w:before="3" w:line="427" w:lineRule="auto"/>
        <w:ind w:left="460" w:right="1440" w:firstLine="838"/>
      </w:pPr>
      <w:r>
        <w:rPr>
          <w:spacing w:val="-10"/>
        </w:rPr>
        <w:t>路面设施周围的施工应符合下列要求：检查井、污水井等周围突</w:t>
      </w:r>
      <w:r>
        <w:rPr>
          <w:spacing w:val="-17"/>
        </w:rPr>
        <w:t>出部位应予清除，并用基层材料修整至基层顶面标高；检查井等周围的路面砖，不得使用切断块，未铺筑部分，应及时用细石混凝土填补</w:t>
      </w:r>
      <w:r>
        <w:t>好。</w:t>
      </w:r>
    </w:p>
    <w:p>
      <w:pPr>
        <w:pStyle w:val="BodyText"/>
        <w:spacing w:before="11" w:line="427" w:lineRule="auto"/>
        <w:ind w:left="460" w:right="1565" w:firstLine="838"/>
      </w:pPr>
      <w:r>
        <w:rPr>
          <w:spacing w:val="-8"/>
        </w:rPr>
        <w:t>平面弯曲路面的施工可采用调整路面砖接缝宽度进行，其接缝宽</w:t>
      </w:r>
      <w:r>
        <w:rPr>
          <w:spacing w:val="-6"/>
        </w:rPr>
        <w:t xml:space="preserve">度应符合下列要求：弯道外周路面砖的接缝宽度不应大于 </w:t>
      </w:r>
      <w:r>
        <w:t>6</w:t>
      </w:r>
      <w:r>
        <w:rPr>
          <w:spacing w:val="15"/>
        </w:rPr>
        <w:t xml:space="preserve"> </w:t>
      </w:r>
      <w:r>
        <w:t>mm，弯</w:t>
      </w:r>
      <w:r>
        <w:rPr>
          <w:spacing w:val="-6"/>
        </w:rPr>
        <w:t xml:space="preserve">道内周路面砖的接缝宽度不应小于 </w:t>
      </w:r>
      <w:r>
        <w:t>2mm</w:t>
      </w:r>
      <w:r>
        <w:rPr>
          <w:spacing w:val="-2"/>
        </w:rPr>
        <w:t>，竖向弯曲路面的施工应将路</w:t>
      </w:r>
      <w:r>
        <w:rPr>
          <w:spacing w:val="-6"/>
        </w:rPr>
        <w:t xml:space="preserve">面基层及垫砂层采用竖向曲线过度,其接缝宽度宜为 </w:t>
      </w:r>
      <w:r>
        <w:t>2～6mm。一字形铺筑的路面，转角处路面砖的铺筑方法可采用一字形或人字形的形式。</w:t>
      </w:r>
    </w:p>
    <w:p>
      <w:pPr>
        <w:pStyle w:val="BodyText"/>
        <w:spacing w:before="13" w:line="427" w:lineRule="auto"/>
        <w:ind w:left="1299" w:right="9868"/>
      </w:pPr>
      <w:r>
        <w:t>（七）检查井工程1、定位放线：</w:t>
      </w:r>
    </w:p>
    <w:p>
      <w:pPr>
        <w:pStyle w:val="BodyText"/>
        <w:spacing w:before="3" w:line="429" w:lineRule="auto"/>
        <w:ind w:left="460" w:right="1592" w:firstLine="838"/>
      </w:pPr>
      <w:r>
        <w:rPr>
          <w:spacing w:val="-14"/>
        </w:rPr>
        <w:t>为保证尺寸准确，定位放线后必须经甲方及规划部门复核后方可</w:t>
      </w:r>
      <w:r>
        <w:t>正式开挖。</w:t>
      </w:r>
    </w:p>
    <w:p>
      <w:pPr>
        <w:pStyle w:val="BodyText"/>
        <w:spacing w:line="530" w:lineRule="exact"/>
        <w:ind w:left="1299"/>
      </w:pPr>
      <w:r>
        <w:t>2、土方：</w:t>
      </w:r>
    </w:p>
    <w:p>
      <w:pPr>
        <w:pStyle w:val="BodyText"/>
        <w:spacing w:before="1"/>
        <w:rPr>
          <w:sz w:val="33"/>
        </w:rPr>
      </w:pPr>
    </w:p>
    <w:p>
      <w:pPr>
        <w:pStyle w:val="ListParagraph"/>
        <w:numPr>
          <w:ilvl w:val="0"/>
          <w:numId w:val="13"/>
        </w:numPr>
        <w:tabs>
          <w:tab w:val="left" w:pos="1933"/>
        </w:tabs>
        <w:spacing w:before="1" w:after="0" w:line="429" w:lineRule="auto"/>
        <w:ind w:left="460" w:right="1653" w:firstLine="838"/>
        <w:jc w:val="left"/>
        <w:rPr>
          <w:sz w:val="42"/>
        </w:rPr>
      </w:pPr>
      <w:r>
        <w:rPr>
          <w:spacing w:val="-1"/>
          <w:sz w:val="42"/>
        </w:rPr>
        <w:t xml:space="preserve">工艺流程：确定开挖顺序和坡度→沿灰线切除槽边轮廓线→ </w:t>
      </w:r>
      <w:r>
        <w:rPr>
          <w:sz w:val="42"/>
        </w:rPr>
        <w:t>挖土→修整槽边→井口升高砌筑。</w:t>
      </w:r>
    </w:p>
    <w:p>
      <w:pPr>
        <w:pStyle w:val="ListParagraph"/>
        <w:numPr>
          <w:ilvl w:val="0"/>
          <w:numId w:val="13"/>
        </w:numPr>
        <w:tabs>
          <w:tab w:val="left" w:pos="1933"/>
        </w:tabs>
        <w:spacing w:before="0" w:after="0" w:line="530" w:lineRule="exact"/>
        <w:ind w:left="1933" w:right="0" w:hanging="634"/>
        <w:jc w:val="left"/>
        <w:rPr>
          <w:sz w:val="42"/>
        </w:rPr>
      </w:pPr>
      <w:r>
        <w:rPr>
          <w:sz w:val="42"/>
        </w:rPr>
        <w:t>井口升高砌筑</w:t>
      </w:r>
    </w:p>
    <w:p>
      <w:pPr>
        <w:pStyle w:val="BodyText"/>
        <w:rPr>
          <w:sz w:val="33"/>
        </w:rPr>
      </w:pPr>
    </w:p>
    <w:p>
      <w:pPr>
        <w:pStyle w:val="ListParagraph"/>
        <w:numPr>
          <w:ilvl w:val="0"/>
          <w:numId w:val="12"/>
        </w:numPr>
        <w:tabs>
          <w:tab w:val="left" w:pos="1934"/>
        </w:tabs>
        <w:spacing w:before="0" w:after="0" w:line="240" w:lineRule="auto"/>
        <w:ind w:left="1934" w:right="0" w:hanging="635"/>
        <w:jc w:val="left"/>
        <w:rPr>
          <w:sz w:val="42"/>
        </w:rPr>
      </w:pPr>
      <w:r>
        <w:rPr>
          <w:spacing w:val="-6"/>
          <w:sz w:val="42"/>
        </w:rPr>
        <w:t xml:space="preserve">砌筑井墙，随砌筑随勾平缝，用 </w:t>
      </w:r>
      <w:r>
        <w:rPr>
          <w:sz w:val="42"/>
        </w:rPr>
        <w:t>C10</w:t>
      </w:r>
      <w:r>
        <w:rPr>
          <w:spacing w:val="-9"/>
          <w:sz w:val="42"/>
        </w:rPr>
        <w:t xml:space="preserve"> 混凝土将墙外肥槽回填</w:t>
      </w:r>
    </w:p>
    <w:p>
      <w:pPr>
        <w:spacing w:after="0" w:line="240" w:lineRule="auto"/>
        <w:jc w:val="left"/>
        <w:rPr>
          <w:sz w:val="42"/>
        </w:rPr>
        <w:sectPr>
          <w:headerReference w:type="default" r:id="rId48"/>
          <w:footerReference w:type="default" r:id="rId49"/>
          <w:pgSz w:w="17860" w:h="25260"/>
          <w:pgMar w:top="1400" w:right="1080" w:bottom="2020" w:left="2240" w:header="1088" w:footer="1837"/>
          <w:pgNumType w:start="19"/>
          <w:cols w:space="708"/>
        </w:sectPr>
      </w:pPr>
    </w:p>
    <w:p>
      <w:pPr>
        <w:pStyle w:val="BodyText"/>
        <w:rPr>
          <w:sz w:val="20"/>
        </w:rPr>
      </w:pPr>
    </w:p>
    <w:p>
      <w:pPr>
        <w:pStyle w:val="BodyText"/>
        <w:rPr>
          <w:sz w:val="20"/>
        </w:rPr>
      </w:pPr>
    </w:p>
    <w:p>
      <w:pPr>
        <w:pStyle w:val="BodyText"/>
        <w:spacing w:before="2"/>
        <w:rPr>
          <w:sz w:val="15"/>
        </w:rPr>
      </w:pPr>
    </w:p>
    <w:p>
      <w:pPr>
        <w:pStyle w:val="BodyText"/>
        <w:spacing w:before="42"/>
        <w:ind w:left="460"/>
      </w:pPr>
      <w:r>
        <w:t>捣实。</w:t>
      </w:r>
    </w:p>
    <w:p>
      <w:pPr>
        <w:pStyle w:val="ListParagraph"/>
        <w:numPr>
          <w:ilvl w:val="0"/>
          <w:numId w:val="23"/>
        </w:numPr>
        <w:tabs>
          <w:tab w:val="left" w:pos="1934"/>
        </w:tabs>
        <w:spacing w:before="70" w:after="0" w:line="962" w:lineRule="exact"/>
        <w:ind w:left="460" w:right="1653" w:firstLine="838"/>
        <w:jc w:val="left"/>
        <w:rPr>
          <w:sz w:val="42"/>
        </w:rPr>
      </w:pPr>
      <w:r>
        <w:rPr>
          <w:spacing w:val="-1"/>
          <w:sz w:val="42"/>
        </w:rPr>
        <w:t>井口与路面施工相互配合、同时升高，井圈安装好后，盖木</w:t>
      </w:r>
      <w:r>
        <w:rPr>
          <w:sz w:val="42"/>
        </w:rPr>
        <w:t>板或用铁板覆盖，以备在道路面层施工时，不致被压坏。</w:t>
      </w:r>
    </w:p>
    <w:p>
      <w:pPr>
        <w:pStyle w:val="Heading2"/>
        <w:spacing w:before="109" w:line="364" w:lineRule="auto"/>
        <w:ind w:right="1629"/>
      </w:pPr>
      <w:bookmarkStart w:id="11" w:name="_TOC_250039"/>
      <w:r>
        <w:rPr>
          <w:spacing w:val="-1"/>
          <w:w w:val="95"/>
        </w:rPr>
        <w:t xml:space="preserve">五、新设备、新技术、新工艺、新材料的采用及降低工程成 </w:t>
      </w:r>
      <w:bookmarkEnd w:id="11"/>
      <w:r>
        <w:t>本计划</w:t>
      </w:r>
    </w:p>
    <w:p>
      <w:pPr>
        <w:pStyle w:val="BodyText"/>
        <w:spacing w:before="90" w:line="417" w:lineRule="auto"/>
        <w:ind w:left="460" w:right="1653" w:firstLine="838"/>
      </w:pPr>
      <w:r>
        <w:rPr>
          <w:rFonts w:ascii="Arial" w:eastAsia="Arial"/>
        </w:rPr>
        <w:t>1</w:t>
      </w:r>
      <w:r>
        <w:t>、由于建筑施工是综合性的过程，施工现场的污染是多方面， 如粉尘污染、环境噪声、污水及建筑垃圾等</w:t>
      </w:r>
    </w:p>
    <w:p>
      <w:pPr>
        <w:pStyle w:val="ListParagraph"/>
        <w:numPr>
          <w:ilvl w:val="0"/>
          <w:numId w:val="11"/>
        </w:numPr>
        <w:tabs>
          <w:tab w:val="left" w:pos="1933"/>
        </w:tabs>
        <w:spacing w:before="152" w:after="0" w:line="427" w:lineRule="auto"/>
        <w:ind w:left="460" w:right="1603" w:firstLine="838"/>
        <w:jc w:val="both"/>
        <w:rPr>
          <w:sz w:val="42"/>
        </w:rPr>
      </w:pPr>
      <w:r>
        <w:rPr>
          <w:sz w:val="42"/>
        </w:rPr>
        <w:t>积极推行建筑业十项新技术，建筑业十项新技术不但对提高</w:t>
      </w:r>
      <w:r>
        <w:rPr>
          <w:spacing w:val="-14"/>
          <w:sz w:val="42"/>
        </w:rPr>
        <w:t>企业的科技水平、经济效益有着巨大的作用，而且对环保语文明施工</w:t>
      </w:r>
      <w:r>
        <w:rPr>
          <w:sz w:val="42"/>
        </w:rPr>
        <w:t>也是不可少的技术措施。</w:t>
      </w:r>
    </w:p>
    <w:p>
      <w:pPr>
        <w:pStyle w:val="ListParagraph"/>
        <w:numPr>
          <w:ilvl w:val="0"/>
          <w:numId w:val="11"/>
        </w:numPr>
        <w:tabs>
          <w:tab w:val="left" w:pos="1933"/>
        </w:tabs>
        <w:spacing w:before="6" w:after="0" w:line="427" w:lineRule="auto"/>
        <w:ind w:left="460" w:right="1440" w:firstLine="838"/>
        <w:jc w:val="left"/>
        <w:rPr>
          <w:sz w:val="42"/>
        </w:rPr>
      </w:pPr>
      <w:r>
        <w:rPr>
          <w:sz w:val="42"/>
        </w:rPr>
        <w:t>推广新技术、新工艺施工中尽量减少或限制高噪声的施工机</w:t>
      </w:r>
      <w:r>
        <w:rPr>
          <w:spacing w:val="-1"/>
          <w:sz w:val="42"/>
        </w:rPr>
        <w:t>械，采用流水作业，增加有效作业班次，避免夜间扰民，合理安排施工顺序，做好配合施工，消除噪声。在及砂浆处设淀集水并，及时回</w:t>
      </w:r>
      <w:r>
        <w:rPr>
          <w:sz w:val="42"/>
        </w:rPr>
        <w:t>收废水。</w:t>
      </w:r>
    </w:p>
    <w:p>
      <w:pPr>
        <w:pStyle w:val="BodyText"/>
        <w:spacing w:before="7" w:line="427" w:lineRule="auto"/>
        <w:ind w:left="460" w:right="1402" w:firstLine="838"/>
      </w:pPr>
      <w:r>
        <w:t>2、推广现代化管理的方法，提高建筑施工企业水平，有利于提高工程质量，加快施工进度。通过现代化管理体制，使施工、经济、</w:t>
      </w:r>
      <w:r>
        <w:rPr>
          <w:spacing w:val="-25"/>
        </w:rPr>
        <w:t xml:space="preserve">质量、环保等各方面有实际的效益。在施工中按照 </w:t>
      </w:r>
      <w:r>
        <w:t>ISO9002</w:t>
      </w:r>
      <w:r>
        <w:rPr>
          <w:spacing w:val="-20"/>
        </w:rPr>
        <w:t xml:space="preserve"> 国际标准， </w:t>
      </w:r>
      <w:r>
        <w:rPr>
          <w:spacing w:val="6"/>
        </w:rPr>
        <w:t>建立质量保证体系，推行项目</w:t>
      </w:r>
      <w:r>
        <w:t>QC</w:t>
      </w:r>
      <w:r>
        <w:rPr>
          <w:spacing w:val="-12"/>
        </w:rPr>
        <w:t xml:space="preserve"> 项目管理，文明施工。</w:t>
      </w:r>
    </w:p>
    <w:p>
      <w:pPr>
        <w:pStyle w:val="Heading1"/>
        <w:tabs>
          <w:tab w:val="left" w:pos="5335"/>
        </w:tabs>
        <w:spacing w:before="257"/>
        <w:ind w:left="3164"/>
      </w:pPr>
      <w:bookmarkStart w:id="12" w:name="_TOC_250038"/>
      <w:bookmarkEnd w:id="12"/>
      <w:r>
        <w:t>第六章</w:t>
        <w:tab/>
        <w:t>质量管理体系与措施</w:t>
      </w:r>
    </w:p>
    <w:p>
      <w:pPr>
        <w:pStyle w:val="BodyText"/>
        <w:spacing w:before="11"/>
        <w:rPr>
          <w:b/>
          <w:sz w:val="74"/>
        </w:rPr>
      </w:pPr>
    </w:p>
    <w:p>
      <w:pPr>
        <w:spacing w:before="0"/>
        <w:ind w:left="673" w:right="0" w:firstLine="0"/>
        <w:jc w:val="left"/>
        <w:rPr>
          <w:b/>
          <w:sz w:val="42"/>
        </w:rPr>
      </w:pPr>
      <w:bookmarkStart w:id="13" w:name="_TOC_250037"/>
      <w:bookmarkEnd w:id="13"/>
      <w:r>
        <w:rPr>
          <w:b/>
          <w:sz w:val="42"/>
        </w:rPr>
        <w:t>一、工程质量目标</w:t>
      </w:r>
    </w:p>
    <w:p>
      <w:pPr>
        <w:spacing w:after="0"/>
        <w:jc w:val="left"/>
        <w:rPr>
          <w:sz w:val="42"/>
        </w:rPr>
        <w:sectPr>
          <w:headerReference w:type="default" r:id="rId50"/>
          <w:footerReference w:type="default" r:id="rId51"/>
          <w:pgSz w:w="17860" w:h="25260"/>
          <w:pgMar w:top="1400" w:right="1080" w:bottom="2020" w:left="2240" w:header="1088" w:footer="1837"/>
          <w:pgNumType w:start="20"/>
          <w:cols w:space="708"/>
        </w:sectPr>
      </w:pPr>
    </w:p>
    <w:p>
      <w:pPr>
        <w:pStyle w:val="BodyText"/>
        <w:rPr>
          <w:b/>
          <w:sz w:val="20"/>
        </w:rPr>
      </w:pPr>
    </w:p>
    <w:p>
      <w:pPr>
        <w:pStyle w:val="BodyText"/>
        <w:rPr>
          <w:b/>
          <w:sz w:val="20"/>
        </w:rPr>
      </w:pPr>
    </w:p>
    <w:p>
      <w:pPr>
        <w:pStyle w:val="BodyText"/>
        <w:spacing w:before="2"/>
        <w:rPr>
          <w:b/>
          <w:sz w:val="15"/>
        </w:rPr>
      </w:pPr>
    </w:p>
    <w:p>
      <w:pPr>
        <w:pStyle w:val="BodyText"/>
        <w:spacing w:before="42"/>
        <w:ind w:left="1299"/>
      </w:pPr>
      <w:r>
        <w:t>工程质量达到合格。</w:t>
      </w:r>
    </w:p>
    <w:p>
      <w:pPr>
        <w:pStyle w:val="BodyText"/>
        <w:spacing w:before="9"/>
        <w:rPr>
          <w:sz w:val="32"/>
        </w:rPr>
      </w:pPr>
    </w:p>
    <w:p>
      <w:pPr>
        <w:pStyle w:val="BodyText"/>
        <w:spacing w:before="1" w:line="429" w:lineRule="auto"/>
        <w:ind w:left="1299" w:right="6407"/>
      </w:pPr>
      <w:r>
        <w:rPr>
          <w:spacing w:val="-8"/>
        </w:rPr>
        <w:t xml:space="preserve">单位工程竣工验收合格率达到 </w:t>
      </w:r>
      <w:r>
        <w:t>100%</w:t>
      </w:r>
      <w:r>
        <w:rPr>
          <w:spacing w:val="-16"/>
        </w:rPr>
        <w:t>。</w:t>
      </w:r>
      <w:r>
        <w:rPr>
          <w:spacing w:val="-10"/>
        </w:rPr>
        <w:t xml:space="preserve">单位工程核验合格率达到 </w:t>
      </w:r>
      <w:r>
        <w:t>100%。</w:t>
      </w:r>
    </w:p>
    <w:p>
      <w:pPr>
        <w:pStyle w:val="BodyText"/>
        <w:spacing w:line="534" w:lineRule="exact"/>
        <w:ind w:left="1299"/>
      </w:pPr>
      <w:r>
        <w:t>单位工程优良级品率达到 85%以上。</w:t>
      </w:r>
    </w:p>
    <w:p>
      <w:pPr>
        <w:pStyle w:val="BodyText"/>
        <w:spacing w:before="9"/>
        <w:rPr>
          <w:sz w:val="32"/>
        </w:rPr>
      </w:pPr>
    </w:p>
    <w:p>
      <w:pPr>
        <w:spacing w:before="0" w:line="429" w:lineRule="auto"/>
        <w:ind w:left="673" w:right="4394" w:firstLine="626"/>
        <w:jc w:val="left"/>
        <w:rPr>
          <w:b/>
          <w:sz w:val="42"/>
        </w:rPr>
      </w:pPr>
      <w:r>
        <w:rPr>
          <w:sz w:val="42"/>
        </w:rPr>
        <w:t>工程确保无重大质量事故发生。争创市优工程。</w:t>
      </w:r>
      <w:r>
        <w:rPr>
          <w:b/>
          <w:sz w:val="42"/>
        </w:rPr>
        <w:t>二、质量保证体系</w:t>
      </w:r>
    </w:p>
    <w:p>
      <w:pPr>
        <w:pStyle w:val="BodyText"/>
        <w:spacing w:line="427" w:lineRule="auto"/>
        <w:ind w:left="460" w:right="1406" w:firstLine="838"/>
      </w:pPr>
      <w:r>
        <w:rPr>
          <w:spacing w:val="-10"/>
        </w:rPr>
        <w:t>建立以项目经理为首的质量保证体系，并执行项目质量岗位制及</w:t>
      </w:r>
      <w:r>
        <w:rPr>
          <w:spacing w:val="-25"/>
        </w:rPr>
        <w:t xml:space="preserve">工程质量责任终身制。项目部设专职质量检查人员及测量、试验人员， </w:t>
      </w:r>
      <w:r>
        <w:rPr>
          <w:spacing w:val="-8"/>
        </w:rPr>
        <w:t>负责施工及施工过程中的质量检查和试验工作，施工专业队设专职质量员，协助专业队长及施工员进行各工序的自检及交接检工作。</w:t>
      </w:r>
    </w:p>
    <w:p>
      <w:pPr>
        <w:spacing w:after="0" w:line="427" w:lineRule="auto"/>
        <w:sectPr>
          <w:headerReference w:type="default" r:id="rId52"/>
          <w:footerReference w:type="default" r:id="rId53"/>
          <w:pgSz w:w="17860" w:h="25260"/>
          <w:pgMar w:top="1400" w:right="1080" w:bottom="2040" w:left="2240" w:header="1088" w:footer="1837"/>
          <w:pgNumType w:start="21"/>
          <w:cols w:space="708"/>
        </w:sectPr>
      </w:pPr>
    </w:p>
    <w:p>
      <w:pPr>
        <w:pStyle w:val="BodyText"/>
        <w:rPr>
          <w:sz w:val="20"/>
        </w:rPr>
      </w:pPr>
    </w:p>
    <w:p>
      <w:pPr>
        <w:pStyle w:val="BodyText"/>
        <w:spacing w:before="7"/>
        <w:rPr>
          <w:sz w:val="22"/>
        </w:rPr>
      </w:pPr>
    </w:p>
    <w:p>
      <w:pPr>
        <w:spacing w:before="100"/>
        <w:ind w:left="460" w:right="0" w:firstLine="0"/>
        <w:jc w:val="left"/>
        <w:rPr>
          <w:rFonts w:ascii="黑体" w:eastAsia="黑体" w:hint="eastAsia"/>
          <w:sz w:val="36"/>
        </w:rPr>
      </w:pPr>
      <w:r>
        <w:rPr>
          <w:rFonts w:ascii="Arial" w:eastAsia="Arial"/>
          <w:sz w:val="36"/>
        </w:rPr>
        <w:t>1</w:t>
      </w:r>
      <w:r>
        <w:rPr>
          <w:rFonts w:ascii="黑体" w:eastAsia="黑体" w:hint="eastAsia"/>
          <w:sz w:val="36"/>
        </w:rPr>
        <w:t>、管理组织保证体系</w:t>
      </w:r>
    </w:p>
    <w:p>
      <w:pPr>
        <w:pStyle w:val="BodyText"/>
        <w:rPr>
          <w:rFonts w:ascii="黑体"/>
          <w:sz w:val="20"/>
        </w:rPr>
      </w:pPr>
    </w:p>
    <w:p>
      <w:pPr>
        <w:pStyle w:val="BodyText"/>
        <w:spacing w:before="10"/>
        <w:rPr>
          <w:rFonts w:ascii="黑体"/>
          <w:sz w:val="10"/>
        </w:rPr>
      </w:pPr>
      <w:r>
        <w:pict>
          <v:group id="_x0000_s1040" style="width:179pt;height:39pt;margin-top:8.87pt;margin-left:358pt;mso-position-horizontal-relative:page;mso-wrap-distance-left:0;mso-wrap-distance-right:0;position:absolute;z-index:-251656192" coordorigin="7160,177" coordsize="3580,780">
            <v:shape id="_x0000_s1041" type="#_x0000_t75" style="width:3580;height:780;left:7160;position:absolute;top:177" stroked="f">
              <v:imagedata r:id="rId54" o:title=""/>
            </v:shape>
            <v:shape id="_x0000_s1042" type="#_x0000_t202" style="width:3580;height:780;left:7160;position:absolute;top:177" filled="f" stroked="f">
              <v:textbox inset="0,0,0,0">
                <w:txbxContent>
                  <w:p>
                    <w:pPr>
                      <w:spacing w:before="193"/>
                      <w:ind w:left="520" w:right="0" w:firstLine="0"/>
                      <w:jc w:val="left"/>
                      <w:rPr>
                        <w:sz w:val="31"/>
                      </w:rPr>
                    </w:pPr>
                    <w:r>
                      <w:rPr>
                        <w:sz w:val="31"/>
                      </w:rPr>
                      <w:t>公司质量都督部门</w:t>
                    </w:r>
                  </w:p>
                </w:txbxContent>
              </v:textbox>
            </v:shape>
            <w10:wrap type="topAndBottom"/>
          </v:group>
        </w:pict>
      </w:r>
    </w:p>
    <w:p>
      <w:pPr>
        <w:pStyle w:val="BodyText"/>
        <w:spacing w:before="6"/>
        <w:rPr>
          <w:rFonts w:ascii="黑体"/>
          <w:sz w:val="5"/>
        </w:rPr>
      </w:pPr>
    </w:p>
    <w:p>
      <w:pPr>
        <w:pStyle w:val="BodyText"/>
        <w:ind w:left="760"/>
        <w:rPr>
          <w:rFonts w:ascii="黑体"/>
          <w:sz w:val="20"/>
        </w:rPr>
      </w:pPr>
      <w:r>
        <w:rPr>
          <w:rFonts w:ascii="黑体"/>
          <w:sz w:val="20"/>
        </w:rPr>
        <w:pict>
          <v:group id="_x0000_i1043" style="width:567pt;height:264pt;mso-position-horizontal-relative:char;mso-position-vertical-relative:line" coordorigin="0,0" coordsize="11340,5280">
            <v:shape id="_x0000_s1044" type="#_x0000_t75" style="width:11340;height:5280;position:absolute" stroked="f">
              <v:imagedata r:id="rId55" o:title=""/>
            </v:shape>
            <v:shape id="_x0000_s1045" type="#_x0000_t202" style="width:2541;height:360;left:579;position:absolute;top:1394" filled="f" stroked="f">
              <v:textbox inset="0,0,0,0">
                <w:txbxContent>
                  <w:p>
                    <w:pPr>
                      <w:tabs>
                        <w:tab w:val="left" w:pos="719"/>
                        <w:tab w:val="left" w:pos="1439"/>
                        <w:tab w:val="left" w:pos="2160"/>
                      </w:tabs>
                      <w:spacing w:before="0" w:line="360" w:lineRule="exact"/>
                      <w:ind w:left="0" w:right="0" w:firstLine="0"/>
                      <w:jc w:val="left"/>
                      <w:rPr>
                        <w:sz w:val="36"/>
                      </w:rPr>
                    </w:pPr>
                    <w:r>
                      <w:rPr>
                        <w:sz w:val="36"/>
                      </w:rPr>
                      <w:t>项</w:t>
                      <w:tab/>
                      <w:t>目</w:t>
                      <w:tab/>
                      <w:t>经</w:t>
                      <w:tab/>
                      <w:t>理</w:t>
                    </w:r>
                  </w:p>
                </w:txbxContent>
              </v:textbox>
            </v:shape>
            <v:shape id="_x0000_s1046" type="#_x0000_t202" style="width:2541;height:360;left:8478;position:absolute;top:1394" filled="f" stroked="f">
              <v:textbox inset="0,0,0,0">
                <w:txbxContent>
                  <w:p>
                    <w:pPr>
                      <w:spacing w:before="0" w:line="360" w:lineRule="exact"/>
                      <w:ind w:left="0" w:right="0" w:firstLine="0"/>
                      <w:jc w:val="left"/>
                      <w:rPr>
                        <w:sz w:val="36"/>
                      </w:rPr>
                    </w:pPr>
                    <w:r>
                      <w:rPr>
                        <w:sz w:val="36"/>
                      </w:rPr>
                      <w:t>项 目 工 程 师</w:t>
                    </w:r>
                  </w:p>
                </w:txbxContent>
              </v:textbox>
            </v:shape>
            <v:shape id="_x0000_s1047" type="#_x0000_t202" style="width:2541;height:360;left:4734;position:absolute;top:2394" filled="f" stroked="f">
              <v:textbox inset="0,0,0,0">
                <w:txbxContent>
                  <w:p>
                    <w:pPr>
                      <w:spacing w:before="0" w:line="360" w:lineRule="exact"/>
                      <w:ind w:left="0" w:right="0" w:firstLine="0"/>
                      <w:jc w:val="left"/>
                      <w:rPr>
                        <w:sz w:val="36"/>
                      </w:rPr>
                    </w:pPr>
                    <w:r>
                      <w:rPr>
                        <w:sz w:val="36"/>
                      </w:rPr>
                      <w:t>项 目 质 监 员</w:t>
                    </w:r>
                  </w:p>
                </w:txbxContent>
              </v:textbox>
            </v:shape>
            <v:shape id="_x0000_s1048" type="#_x0000_t202" style="width:2541;height:360;left:4644;position:absolute;top:3605" filled="f" stroked="f">
              <v:textbox inset="0,0,0,0">
                <w:txbxContent>
                  <w:p>
                    <w:pPr>
                      <w:tabs>
                        <w:tab w:val="left" w:pos="719"/>
                        <w:tab w:val="left" w:pos="1439"/>
                        <w:tab w:val="left" w:pos="2160"/>
                      </w:tabs>
                      <w:spacing w:before="0" w:line="360" w:lineRule="exact"/>
                      <w:ind w:left="0" w:right="0" w:firstLine="0"/>
                      <w:jc w:val="left"/>
                      <w:rPr>
                        <w:sz w:val="36"/>
                      </w:rPr>
                    </w:pPr>
                    <w:r>
                      <w:rPr>
                        <w:sz w:val="36"/>
                      </w:rPr>
                      <w:t>施</w:t>
                      <w:tab/>
                      <w:t>工</w:t>
                      <w:tab/>
                      <w:t>工</w:t>
                      <w:tab/>
                      <w:t>长</w:t>
                    </w:r>
                  </w:p>
                </w:txbxContent>
              </v:textbox>
            </v:shape>
            <v:shape id="_x0000_s1049" type="#_x0000_t202" style="width:2238;height:317;left:4799;position:absolute;top:4878" filled="f" stroked="f">
              <v:textbox inset="0,0,0,0">
                <w:txbxContent>
                  <w:p>
                    <w:pPr>
                      <w:spacing w:before="0" w:line="317" w:lineRule="exact"/>
                      <w:ind w:left="0" w:right="0" w:firstLine="0"/>
                      <w:jc w:val="left"/>
                      <w:rPr>
                        <w:sz w:val="31"/>
                      </w:rPr>
                    </w:pPr>
                    <w:r>
                      <w:rPr>
                        <w:sz w:val="31"/>
                      </w:rPr>
                      <w:t>班组兼职质监员</w:t>
                    </w:r>
                  </w:p>
                </w:txbxContent>
              </v:textbox>
            </v:shape>
            <w10:wrap type="none"/>
          </v:group>
        </w:pict>
      </w:r>
    </w:p>
    <w:p>
      <w:pPr>
        <w:pStyle w:val="BodyText"/>
        <w:rPr>
          <w:rFonts w:ascii="黑体"/>
          <w:sz w:val="40"/>
        </w:rPr>
      </w:pPr>
    </w:p>
    <w:p>
      <w:pPr>
        <w:pStyle w:val="BodyText"/>
        <w:rPr>
          <w:rFonts w:ascii="黑体"/>
          <w:sz w:val="55"/>
        </w:rPr>
      </w:pPr>
    </w:p>
    <w:p>
      <w:pPr>
        <w:spacing w:before="0"/>
        <w:ind w:left="460" w:right="0" w:firstLine="0"/>
        <w:jc w:val="left"/>
        <w:rPr>
          <w:rFonts w:ascii="黑体" w:eastAsia="黑体" w:hint="eastAsia"/>
          <w:sz w:val="36"/>
        </w:rPr>
      </w:pPr>
      <w:r>
        <w:rPr>
          <w:rFonts w:ascii="Arial" w:eastAsia="Arial"/>
          <w:sz w:val="36"/>
        </w:rPr>
        <w:t>2</w:t>
      </w:r>
      <w:r>
        <w:rPr>
          <w:rFonts w:ascii="黑体" w:eastAsia="黑体" w:hint="eastAsia"/>
          <w:sz w:val="36"/>
        </w:rPr>
        <w:t>、施工现场质量保证体系：</w:t>
      </w:r>
    </w:p>
    <w:p>
      <w:pPr>
        <w:pStyle w:val="BodyText"/>
        <w:rPr>
          <w:rFonts w:ascii="黑体"/>
          <w:sz w:val="20"/>
        </w:rPr>
      </w:pPr>
    </w:p>
    <w:p>
      <w:pPr>
        <w:pStyle w:val="BodyText"/>
        <w:spacing w:before="12"/>
        <w:rPr>
          <w:rFonts w:ascii="黑体"/>
          <w:sz w:val="16"/>
        </w:rPr>
      </w:pPr>
      <w:r>
        <w:pict>
          <v:group id="_x0000_s1050" style="width:609pt;height:463.45pt;margin-top:12.81pt;margin-left:162pt;mso-position-horizontal-relative:page;mso-wrap-distance-left:0;mso-wrap-distance-right:0;position:absolute;z-index:-251655168" coordorigin="3240,256" coordsize="12180,9269">
            <v:shape id="_x0000_s1051" type="#_x0000_t75" style="width:11680;height:2940;left:3380;position:absolute;top:256" stroked="f">
              <v:imagedata r:id="rId56" o:title=""/>
            </v:shape>
            <v:shape id="_x0000_s1052" type="#_x0000_t75" style="width:12180;height:6280;left:3240;position:absolute;top:3245" stroked="f">
              <v:imagedata r:id="rId57" o:title=""/>
            </v:shape>
            <v:shape id="_x0000_s1053" type="#_x0000_t202" style="width:3620;height:360;left:7428;position:absolute;top:431" filled="f" stroked="f">
              <v:textbox inset="0,0,0,0">
                <w:txbxContent>
                  <w:p>
                    <w:pPr>
                      <w:spacing w:before="0" w:line="360" w:lineRule="exact"/>
                      <w:ind w:left="0" w:right="0" w:firstLine="0"/>
                      <w:jc w:val="left"/>
                      <w:rPr>
                        <w:sz w:val="36"/>
                      </w:rPr>
                    </w:pPr>
                    <w:r>
                      <w:rPr>
                        <w:sz w:val="36"/>
                      </w:rPr>
                      <w:t>施工现场质量保证体系</w:t>
                    </w:r>
                  </w:p>
                </w:txbxContent>
              </v:textbox>
            </v:shape>
            <v:shape id="_x0000_s1054" type="#_x0000_t202" style="width:2541;height:360;left:4061;position:absolute;top:1825" filled="f" stroked="f">
              <v:textbox inset="0,0,0,0">
                <w:txbxContent>
                  <w:p>
                    <w:pPr>
                      <w:tabs>
                        <w:tab w:val="left" w:pos="719"/>
                        <w:tab w:val="left" w:pos="1439"/>
                        <w:tab w:val="left" w:pos="2160"/>
                      </w:tabs>
                      <w:spacing w:before="0" w:line="360" w:lineRule="exact"/>
                      <w:ind w:left="0" w:right="0" w:firstLine="0"/>
                      <w:jc w:val="left"/>
                      <w:rPr>
                        <w:sz w:val="36"/>
                      </w:rPr>
                    </w:pPr>
                    <w:r>
                      <w:rPr>
                        <w:sz w:val="36"/>
                      </w:rPr>
                      <w:t>质</w:t>
                      <w:tab/>
                      <w:t>量</w:t>
                      <w:tab/>
                      <w:t>检</w:t>
                      <w:tab/>
                      <w:t>验</w:t>
                    </w:r>
                  </w:p>
                </w:txbxContent>
              </v:textbox>
            </v:shape>
            <v:shape id="_x0000_s1055" type="#_x0000_t202" style="width:380;height:360;left:11626;position:absolute;top:1825" filled="f" stroked="f">
              <v:textbox inset="0,0,0,0">
                <w:txbxContent>
                  <w:p>
                    <w:pPr>
                      <w:spacing w:before="0" w:line="360" w:lineRule="exact"/>
                      <w:ind w:left="0" w:right="0" w:firstLine="0"/>
                      <w:jc w:val="left"/>
                      <w:rPr>
                        <w:sz w:val="36"/>
                      </w:rPr>
                    </w:pPr>
                    <w:r>
                      <w:rPr>
                        <w:sz w:val="36"/>
                      </w:rPr>
                      <w:t>工</w:t>
                    </w:r>
                  </w:p>
                </w:txbxContent>
              </v:textbox>
            </v:shape>
            <v:shape id="_x0000_s1056" type="#_x0000_t202" style="width:380;height:360;left:12526;position:absolute;top:1825" filled="f" stroked="f">
              <v:textbox inset="0,0,0,0">
                <w:txbxContent>
                  <w:p>
                    <w:pPr>
                      <w:spacing w:before="0" w:line="360" w:lineRule="exact"/>
                      <w:ind w:left="0" w:right="0" w:firstLine="0"/>
                      <w:jc w:val="left"/>
                      <w:rPr>
                        <w:sz w:val="36"/>
                      </w:rPr>
                    </w:pPr>
                    <w:r>
                      <w:rPr>
                        <w:sz w:val="36"/>
                      </w:rPr>
                      <w:t>序</w:t>
                    </w:r>
                  </w:p>
                </w:txbxContent>
              </v:textbox>
            </v:shape>
            <v:shape id="_x0000_s1057" type="#_x0000_t202" style="width:380;height:360;left:13427;position:absolute;top:1825" filled="f" stroked="f">
              <v:textbox inset="0,0,0,0">
                <w:txbxContent>
                  <w:p>
                    <w:pPr>
                      <w:spacing w:before="0" w:line="360" w:lineRule="exact"/>
                      <w:ind w:left="0" w:right="0" w:firstLine="0"/>
                      <w:jc w:val="left"/>
                      <w:rPr>
                        <w:sz w:val="36"/>
                      </w:rPr>
                    </w:pPr>
                    <w:r>
                      <w:rPr>
                        <w:sz w:val="36"/>
                      </w:rPr>
                      <w:t>控</w:t>
                    </w:r>
                  </w:p>
                </w:txbxContent>
              </v:textbox>
            </v:shape>
            <v:shape id="_x0000_s1058" type="#_x0000_t202" style="width:380;height:360;left:14327;position:absolute;top:1825" filled="f" stroked="f">
              <v:textbox inset="0,0,0,0">
                <w:txbxContent>
                  <w:p>
                    <w:pPr>
                      <w:spacing w:before="0" w:line="360" w:lineRule="exact"/>
                      <w:ind w:left="0" w:right="0" w:firstLine="0"/>
                      <w:jc w:val="left"/>
                      <w:rPr>
                        <w:sz w:val="36"/>
                      </w:rPr>
                    </w:pPr>
                    <w:r>
                      <w:rPr>
                        <w:sz w:val="36"/>
                      </w:rPr>
                      <w:t>制</w:t>
                    </w:r>
                  </w:p>
                </w:txbxContent>
              </v:textbox>
            </v:shape>
            <v:shape id="_x0000_s1059" type="#_x0000_t202" style="width:380;height:1440;left:3647;position:absolute;top:4067" filled="f" stroked="f">
              <v:textbox inset="0,0,0,0">
                <w:txbxContent>
                  <w:p>
                    <w:pPr>
                      <w:spacing w:before="0" w:line="411" w:lineRule="exact"/>
                      <w:ind w:left="0" w:right="0" w:firstLine="0"/>
                      <w:jc w:val="left"/>
                      <w:rPr>
                        <w:sz w:val="36"/>
                      </w:rPr>
                    </w:pPr>
                    <w:r>
                      <w:rPr>
                        <w:sz w:val="36"/>
                      </w:rPr>
                      <w:t>进</w:t>
                    </w:r>
                  </w:p>
                  <w:p>
                    <w:pPr>
                      <w:spacing w:before="0" w:line="540" w:lineRule="atLeast"/>
                      <w:ind w:left="0" w:right="18" w:firstLine="0"/>
                      <w:jc w:val="left"/>
                      <w:rPr>
                        <w:sz w:val="36"/>
                      </w:rPr>
                    </w:pPr>
                    <w:r>
                      <w:rPr>
                        <w:sz w:val="36"/>
                      </w:rPr>
                      <w:t>料检</w:t>
                    </w:r>
                  </w:p>
                </w:txbxContent>
              </v:textbox>
            </v:shape>
            <v:shape id="_x0000_s1060" type="#_x0000_t202" style="width:381;height:1440;left:5069;position:absolute;top:4067" filled="f" stroked="f">
              <v:textbox inset="0,0,0,0">
                <w:txbxContent>
                  <w:p>
                    <w:pPr>
                      <w:spacing w:before="28" w:line="187" w:lineRule="auto"/>
                      <w:ind w:left="0" w:right="18" w:hanging="1"/>
                      <w:jc w:val="both"/>
                      <w:rPr>
                        <w:sz w:val="36"/>
                      </w:rPr>
                    </w:pPr>
                    <w:r>
                      <w:rPr>
                        <w:sz w:val="36"/>
                      </w:rPr>
                      <w:t>工程质量</w:t>
                    </w:r>
                  </w:p>
                </w:txbxContent>
              </v:textbox>
            </v:shape>
            <v:shape id="_x0000_s1061" type="#_x0000_t202" style="width:1820;height:1296;left:6773;position:absolute;top:4010" filled="f" stroked="f">
              <v:textbox inset="0,0,0,0">
                <w:txbxContent>
                  <w:p>
                    <w:pPr>
                      <w:spacing w:before="0" w:line="411" w:lineRule="exact"/>
                      <w:ind w:left="0" w:right="0" w:firstLine="0"/>
                      <w:jc w:val="left"/>
                      <w:rPr>
                        <w:sz w:val="36"/>
                      </w:rPr>
                    </w:pPr>
                    <w:r>
                      <w:rPr>
                        <w:sz w:val="36"/>
                      </w:rPr>
                      <w:t>工序分析</w:t>
                    </w:r>
                  </w:p>
                  <w:p>
                    <w:pPr>
                      <w:spacing w:before="6" w:line="460" w:lineRule="atLeast"/>
                      <w:ind w:left="0" w:right="18" w:firstLine="0"/>
                      <w:jc w:val="left"/>
                      <w:rPr>
                        <w:sz w:val="36"/>
                      </w:rPr>
                    </w:pPr>
                    <w:r>
                      <w:rPr>
                        <w:sz w:val="36"/>
                      </w:rPr>
                      <w:t>管理人材机主导性要素</w:t>
                    </w:r>
                  </w:p>
                </w:txbxContent>
              </v:textbox>
            </v:shape>
            <v:shape id="_x0000_s1062" type="#_x0000_t202" style="width:1460;height:1296;left:10082;position:absolute;top:4010" filled="f" stroked="f">
              <v:textbox inset="0,0,0,0">
                <w:txbxContent>
                  <w:p>
                    <w:pPr>
                      <w:spacing w:before="0" w:line="411" w:lineRule="exact"/>
                      <w:ind w:left="0" w:right="0" w:firstLine="0"/>
                      <w:jc w:val="left"/>
                      <w:rPr>
                        <w:sz w:val="36"/>
                      </w:rPr>
                    </w:pPr>
                    <w:r>
                      <w:rPr>
                        <w:sz w:val="36"/>
                      </w:rPr>
                      <w:t>建立与加</w:t>
                    </w:r>
                  </w:p>
                  <w:p>
                    <w:pPr>
                      <w:spacing w:before="6" w:line="460" w:lineRule="atLeast"/>
                      <w:ind w:left="0" w:right="18" w:firstLine="0"/>
                      <w:jc w:val="left"/>
                      <w:rPr>
                        <w:sz w:val="36"/>
                      </w:rPr>
                    </w:pPr>
                    <w:r>
                      <w:rPr>
                        <w:sz w:val="36"/>
                      </w:rPr>
                      <w:t>强工序控制</w:t>
                    </w:r>
                  </w:p>
                </w:txbxContent>
              </v:textbox>
            </v:shape>
            <v:shape id="_x0000_s1063" type="#_x0000_t202" style="width:2238;height:1250;left:12918;position:absolute;top:4074" filled="f" stroked="f">
              <v:textbox inset="0,0,0,0">
                <w:txbxContent>
                  <w:p>
                    <w:pPr>
                      <w:spacing w:before="0" w:line="359" w:lineRule="exact"/>
                      <w:ind w:left="0" w:right="0" w:firstLine="0"/>
                      <w:jc w:val="left"/>
                      <w:rPr>
                        <w:sz w:val="31"/>
                      </w:rPr>
                    </w:pPr>
                    <w:r>
                      <w:rPr>
                        <w:sz w:val="31"/>
                      </w:rPr>
                      <w:t>开展群众性质量</w:t>
                    </w:r>
                  </w:p>
                  <w:p>
                    <w:pPr>
                      <w:spacing w:before="3" w:line="468" w:lineRule="exact"/>
                      <w:ind w:left="0" w:right="18" w:firstLine="0"/>
                      <w:jc w:val="left"/>
                      <w:rPr>
                        <w:sz w:val="31"/>
                      </w:rPr>
                    </w:pPr>
                    <w:r>
                      <w:rPr>
                        <w:sz w:val="31"/>
                      </w:rPr>
                      <w:t>管理活动，加强三检一控</w:t>
                    </w:r>
                  </w:p>
                </w:txbxContent>
              </v:textbox>
            </v:shape>
            <v:shape id="_x0000_s1064" type="#_x0000_t202" style="width:2541;height:360;left:3690;position:absolute;top:7226" filled="f" stroked="f">
              <v:textbox inset="0,0,0,0">
                <w:txbxContent>
                  <w:p>
                    <w:pPr>
                      <w:tabs>
                        <w:tab w:val="left" w:pos="719"/>
                        <w:tab w:val="left" w:pos="1439"/>
                        <w:tab w:val="left" w:pos="2160"/>
                      </w:tabs>
                      <w:spacing w:before="0" w:line="360" w:lineRule="exact"/>
                      <w:ind w:left="0" w:right="0" w:firstLine="0"/>
                      <w:jc w:val="left"/>
                      <w:rPr>
                        <w:sz w:val="36"/>
                      </w:rPr>
                    </w:pPr>
                    <w:r>
                      <w:rPr>
                        <w:sz w:val="36"/>
                      </w:rPr>
                      <w:t>质</w:t>
                      <w:tab/>
                      <w:t>量</w:t>
                      <w:tab/>
                      <w:t>把</w:t>
                      <w:tab/>
                      <w:t>关</w:t>
                    </w:r>
                  </w:p>
                </w:txbxContent>
              </v:textbox>
            </v:shape>
            <v:shape id="_x0000_s1065" type="#_x0000_t202" style="width:2541;height:360;left:11623;position:absolute;top:7226" filled="f" stroked="f">
              <v:textbox inset="0,0,0,0">
                <w:txbxContent>
                  <w:p>
                    <w:pPr>
                      <w:tabs>
                        <w:tab w:val="left" w:pos="719"/>
                        <w:tab w:val="left" w:pos="1439"/>
                        <w:tab w:val="left" w:pos="2160"/>
                      </w:tabs>
                      <w:spacing w:before="0" w:line="360" w:lineRule="exact"/>
                      <w:ind w:left="0" w:right="0" w:firstLine="0"/>
                      <w:jc w:val="left"/>
                      <w:rPr>
                        <w:sz w:val="36"/>
                      </w:rPr>
                    </w:pPr>
                    <w:r>
                      <w:rPr>
                        <w:sz w:val="36"/>
                      </w:rPr>
                      <w:t>质</w:t>
                      <w:tab/>
                      <w:t>量</w:t>
                      <w:tab/>
                      <w:t>预</w:t>
                      <w:tab/>
                      <w:t>防</w:t>
                    </w:r>
                  </w:p>
                </w:txbxContent>
              </v:textbox>
            </v:shape>
            <v:shape id="_x0000_s1066" type="#_x0000_t202" style="width:2231;height:317;left:7111;position:absolute;top:9035" filled="f" stroked="f">
              <v:textbox inset="0,0,0,0">
                <w:txbxContent>
                  <w:p>
                    <w:pPr>
                      <w:tabs>
                        <w:tab w:val="left" w:pos="633"/>
                        <w:tab w:val="left" w:pos="1263"/>
                        <w:tab w:val="left" w:pos="1893"/>
                      </w:tabs>
                      <w:spacing w:before="0" w:line="317" w:lineRule="exact"/>
                      <w:ind w:left="0" w:right="0" w:firstLine="0"/>
                      <w:jc w:val="left"/>
                      <w:rPr>
                        <w:sz w:val="31"/>
                      </w:rPr>
                    </w:pPr>
                    <w:r>
                      <w:rPr>
                        <w:sz w:val="31"/>
                      </w:rPr>
                      <w:t>质</w:t>
                      <w:tab/>
                      <w:t>量</w:t>
                      <w:tab/>
                      <w:t>保</w:t>
                      <w:tab/>
                      <w:t>证</w:t>
                    </w:r>
                  </w:p>
                </w:txbxContent>
              </v:textbox>
            </v:shape>
            <w10:wrap type="topAndBottom"/>
          </v:group>
        </w:pict>
      </w:r>
    </w:p>
    <w:p>
      <w:pPr>
        <w:spacing w:after="0"/>
        <w:rPr>
          <w:rFonts w:ascii="黑体"/>
          <w:sz w:val="16"/>
        </w:rPr>
        <w:sectPr>
          <w:headerReference w:type="default" r:id="rId58"/>
          <w:footerReference w:type="default" r:id="rId59"/>
          <w:pgSz w:w="17860" w:h="25260"/>
          <w:pgMar w:top="1400" w:right="1080" w:bottom="2040" w:left="2240" w:header="1088" w:footer="1837"/>
          <w:pgNumType w:start="22"/>
          <w:cols w:space="708"/>
        </w:sect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1"/>
        <w:rPr>
          <w:rFonts w:ascii="黑体"/>
          <w:sz w:val="23"/>
        </w:rPr>
      </w:pPr>
    </w:p>
    <w:tbl>
      <w:tblPr>
        <w:tblStyle w:val="TableNormal0"/>
        <w:tblW w:w="0" w:type="auto"/>
        <w:jc w:val="left"/>
        <w:tblInd w:w="4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468"/>
        <w:gridCol w:w="630"/>
        <w:gridCol w:w="1532"/>
        <w:gridCol w:w="2617"/>
      </w:tblGrid>
      <w:tr>
        <w:tblPrEx>
          <w:tblW w:w="0" w:type="auto"/>
          <w:jc w:val="left"/>
          <w:tblInd w:w="4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61"/>
          <w:jc w:val="left"/>
        </w:trPr>
        <w:tc>
          <w:tcPr>
            <w:tcW w:w="6468" w:type="dxa"/>
          </w:tcPr>
          <w:p>
            <w:pPr>
              <w:pStyle w:val="TableParagraph"/>
              <w:spacing w:line="456" w:lineRule="exact"/>
              <w:ind w:left="50"/>
              <w:rPr>
                <w:rFonts w:ascii="黑体" w:eastAsia="黑体" w:hint="eastAsia"/>
                <w:sz w:val="36"/>
              </w:rPr>
            </w:pPr>
            <w:r>
              <w:rPr>
                <w:rFonts w:ascii="Arial" w:eastAsia="Arial"/>
                <w:sz w:val="36"/>
              </w:rPr>
              <w:t>3</w:t>
            </w:r>
            <w:r>
              <w:rPr>
                <w:rFonts w:ascii="黑体" w:eastAsia="黑体" w:hint="eastAsia"/>
                <w:sz w:val="36"/>
              </w:rPr>
              <w:t>、施工组织管理机构：</w:t>
            </w:r>
          </w:p>
        </w:tc>
        <w:tc>
          <w:tcPr>
            <w:tcW w:w="4779" w:type="dxa"/>
            <w:gridSpan w:val="3"/>
          </w:tcPr>
          <w:p>
            <w:pPr>
              <w:pStyle w:val="TableParagraph"/>
              <w:rPr>
                <w:rFonts w:ascii="Times New Roman"/>
                <w:sz w:val="40"/>
              </w:rPr>
            </w:pPr>
          </w:p>
        </w:tc>
      </w:tr>
      <w:tr>
        <w:tblPrEx>
          <w:tblW w:w="0" w:type="auto"/>
          <w:jc w:val="left"/>
          <w:tblInd w:w="418" w:type="dxa"/>
          <w:tblLayout w:type="fixed"/>
          <w:tblCellMar>
            <w:top w:w="0" w:type="dxa"/>
            <w:left w:w="0" w:type="dxa"/>
            <w:bottom w:w="0" w:type="dxa"/>
            <w:right w:w="0" w:type="dxa"/>
          </w:tblCellMar>
          <w:tblLook w:val="01E0"/>
        </w:tblPrEx>
        <w:trPr>
          <w:trHeight w:val="1356"/>
          <w:jc w:val="left"/>
        </w:trPr>
        <w:tc>
          <w:tcPr>
            <w:tcW w:w="6468" w:type="dxa"/>
          </w:tcPr>
          <w:p>
            <w:pPr>
              <w:pStyle w:val="TableParagraph"/>
              <w:spacing w:before="1"/>
              <w:rPr>
                <w:rFonts w:ascii="黑体"/>
                <w:sz w:val="31"/>
              </w:rPr>
            </w:pPr>
          </w:p>
          <w:p>
            <w:pPr>
              <w:pStyle w:val="TableParagraph"/>
              <w:tabs>
                <w:tab w:val="left" w:pos="842"/>
              </w:tabs>
              <w:ind w:right="309"/>
              <w:jc w:val="right"/>
              <w:rPr>
                <w:rFonts w:ascii="黑体" w:eastAsia="黑体" w:hint="eastAsia"/>
                <w:sz w:val="42"/>
              </w:rPr>
            </w:pPr>
            <w:r>
              <w:rPr>
                <w:rFonts w:ascii="黑体" w:eastAsia="黑体" w:hint="eastAsia"/>
                <w:sz w:val="42"/>
              </w:rPr>
              <w:t>公</w:t>
              <w:tab/>
              <w:t>司</w:t>
            </w:r>
          </w:p>
        </w:tc>
        <w:tc>
          <w:tcPr>
            <w:tcW w:w="630" w:type="dxa"/>
          </w:tcPr>
          <w:p>
            <w:pPr>
              <w:pStyle w:val="TableParagraph"/>
              <w:spacing w:before="1"/>
              <w:rPr>
                <w:rFonts w:ascii="黑体"/>
                <w:sz w:val="31"/>
              </w:rPr>
            </w:pPr>
          </w:p>
          <w:p>
            <w:pPr>
              <w:pStyle w:val="TableParagraph"/>
              <w:ind w:left="105"/>
              <w:rPr>
                <w:rFonts w:ascii="黑体" w:eastAsia="黑体" w:hint="eastAsia"/>
                <w:sz w:val="42"/>
              </w:rPr>
            </w:pPr>
            <w:r>
              <w:rPr>
                <w:rFonts w:ascii="黑体" w:eastAsia="黑体" w:hint="eastAsia"/>
                <w:w w:val="100"/>
                <w:sz w:val="42"/>
              </w:rPr>
              <w:t>经</w:t>
            </w:r>
          </w:p>
        </w:tc>
        <w:tc>
          <w:tcPr>
            <w:tcW w:w="1532" w:type="dxa"/>
          </w:tcPr>
          <w:p>
            <w:pPr>
              <w:pStyle w:val="TableParagraph"/>
              <w:spacing w:before="1"/>
              <w:rPr>
                <w:rFonts w:ascii="黑体"/>
                <w:sz w:val="31"/>
              </w:rPr>
            </w:pPr>
          </w:p>
          <w:p>
            <w:pPr>
              <w:pStyle w:val="TableParagraph"/>
              <w:ind w:left="319"/>
              <w:rPr>
                <w:rFonts w:ascii="黑体" w:eastAsia="黑体" w:hint="eastAsia"/>
                <w:sz w:val="42"/>
              </w:rPr>
            </w:pPr>
            <w:r>
              <w:rPr>
                <w:rFonts w:ascii="黑体" w:eastAsia="黑体" w:hint="eastAsia"/>
                <w:w w:val="100"/>
                <w:sz w:val="42"/>
              </w:rPr>
              <w:t>理</w:t>
            </w:r>
          </w:p>
        </w:tc>
        <w:tc>
          <w:tcPr>
            <w:tcW w:w="2617" w:type="dxa"/>
          </w:tcPr>
          <w:p>
            <w:pPr>
              <w:pStyle w:val="TableParagraph"/>
              <w:rPr>
                <w:rFonts w:ascii="Times New Roman"/>
                <w:sz w:val="40"/>
              </w:rPr>
            </w:pPr>
          </w:p>
        </w:tc>
      </w:tr>
      <w:tr>
        <w:tblPrEx>
          <w:tblW w:w="0" w:type="auto"/>
          <w:jc w:val="left"/>
          <w:tblInd w:w="418" w:type="dxa"/>
          <w:tblLayout w:type="fixed"/>
          <w:tblCellMar>
            <w:top w:w="0" w:type="dxa"/>
            <w:left w:w="0" w:type="dxa"/>
            <w:bottom w:w="0" w:type="dxa"/>
            <w:right w:w="0" w:type="dxa"/>
          </w:tblCellMar>
          <w:tblLook w:val="01E0"/>
        </w:tblPrEx>
        <w:trPr>
          <w:trHeight w:val="1380"/>
          <w:jc w:val="left"/>
        </w:trPr>
        <w:tc>
          <w:tcPr>
            <w:tcW w:w="6468" w:type="dxa"/>
          </w:tcPr>
          <w:p>
            <w:pPr>
              <w:pStyle w:val="TableParagraph"/>
              <w:spacing w:before="10"/>
              <w:rPr>
                <w:rFonts w:ascii="黑体"/>
                <w:sz w:val="32"/>
              </w:rPr>
            </w:pPr>
          </w:p>
          <w:p>
            <w:pPr>
              <w:pStyle w:val="TableParagraph"/>
              <w:ind w:right="943"/>
              <w:jc w:val="right"/>
              <w:rPr>
                <w:rFonts w:ascii="黑体" w:eastAsia="黑体" w:hint="eastAsia"/>
                <w:sz w:val="42"/>
              </w:rPr>
            </w:pPr>
            <w:r>
              <w:rPr>
                <w:rFonts w:ascii="黑体" w:eastAsia="黑体" w:hint="eastAsia"/>
                <w:w w:val="100"/>
                <w:sz w:val="42"/>
              </w:rPr>
              <w:t>总</w:t>
            </w:r>
          </w:p>
        </w:tc>
        <w:tc>
          <w:tcPr>
            <w:tcW w:w="630" w:type="dxa"/>
          </w:tcPr>
          <w:p>
            <w:pPr>
              <w:pStyle w:val="TableParagraph"/>
              <w:rPr>
                <w:rFonts w:ascii="Times New Roman"/>
                <w:sz w:val="40"/>
              </w:rPr>
            </w:pPr>
          </w:p>
        </w:tc>
        <w:tc>
          <w:tcPr>
            <w:tcW w:w="1532" w:type="dxa"/>
          </w:tcPr>
          <w:p>
            <w:pPr>
              <w:pStyle w:val="TableParagraph"/>
              <w:spacing w:before="10"/>
              <w:rPr>
                <w:rFonts w:ascii="黑体"/>
                <w:sz w:val="32"/>
              </w:rPr>
            </w:pPr>
          </w:p>
          <w:p>
            <w:pPr>
              <w:pStyle w:val="TableParagraph"/>
              <w:ind w:left="319"/>
              <w:rPr>
                <w:rFonts w:ascii="黑体" w:eastAsia="黑体" w:hint="eastAsia"/>
                <w:sz w:val="42"/>
              </w:rPr>
            </w:pPr>
            <w:r>
              <w:rPr>
                <w:rFonts w:ascii="黑体" w:eastAsia="黑体" w:hint="eastAsia"/>
                <w:w w:val="100"/>
                <w:sz w:val="42"/>
              </w:rPr>
              <w:t>工</w:t>
            </w:r>
          </w:p>
        </w:tc>
        <w:tc>
          <w:tcPr>
            <w:tcW w:w="2617" w:type="dxa"/>
          </w:tcPr>
          <w:p>
            <w:pPr>
              <w:pStyle w:val="TableParagraph"/>
              <w:rPr>
                <w:rFonts w:ascii="Times New Roman"/>
                <w:sz w:val="40"/>
              </w:rPr>
            </w:pPr>
          </w:p>
        </w:tc>
      </w:tr>
      <w:tr>
        <w:tblPrEx>
          <w:tblW w:w="0" w:type="auto"/>
          <w:jc w:val="left"/>
          <w:tblInd w:w="418" w:type="dxa"/>
          <w:tblLayout w:type="fixed"/>
          <w:tblCellMar>
            <w:top w:w="0" w:type="dxa"/>
            <w:left w:w="0" w:type="dxa"/>
            <w:bottom w:w="0" w:type="dxa"/>
            <w:right w:w="0" w:type="dxa"/>
          </w:tblCellMar>
          <w:tblLook w:val="01E0"/>
        </w:tblPrEx>
        <w:trPr>
          <w:trHeight w:val="1380"/>
          <w:jc w:val="left"/>
        </w:trPr>
        <w:tc>
          <w:tcPr>
            <w:tcW w:w="6468" w:type="dxa"/>
          </w:tcPr>
          <w:p>
            <w:pPr>
              <w:pStyle w:val="TableParagraph"/>
              <w:spacing w:before="12"/>
              <w:rPr>
                <w:rFonts w:ascii="黑体"/>
                <w:sz w:val="32"/>
              </w:rPr>
            </w:pPr>
          </w:p>
          <w:p>
            <w:pPr>
              <w:pStyle w:val="TableParagraph"/>
              <w:ind w:right="187"/>
              <w:jc w:val="right"/>
              <w:rPr>
                <w:rFonts w:ascii="黑体" w:eastAsia="黑体" w:hint="eastAsia"/>
                <w:sz w:val="42"/>
              </w:rPr>
            </w:pPr>
            <w:r>
              <w:rPr>
                <w:rFonts w:ascii="黑体" w:eastAsia="黑体" w:hint="eastAsia"/>
                <w:sz w:val="42"/>
              </w:rPr>
              <w:t>公 司 职</w:t>
            </w:r>
          </w:p>
        </w:tc>
        <w:tc>
          <w:tcPr>
            <w:tcW w:w="630" w:type="dxa"/>
          </w:tcPr>
          <w:p>
            <w:pPr>
              <w:pStyle w:val="TableParagraph"/>
              <w:spacing w:before="12"/>
              <w:rPr>
                <w:rFonts w:ascii="黑体"/>
                <w:sz w:val="32"/>
              </w:rPr>
            </w:pPr>
          </w:p>
          <w:p>
            <w:pPr>
              <w:pStyle w:val="TableParagraph"/>
              <w:ind w:left="19"/>
              <w:rPr>
                <w:rFonts w:ascii="黑体" w:eastAsia="黑体" w:hint="eastAsia"/>
                <w:sz w:val="42"/>
              </w:rPr>
            </w:pPr>
            <w:r>
              <w:rPr>
                <w:rFonts w:ascii="黑体" w:eastAsia="黑体" w:hint="eastAsia"/>
                <w:w w:val="100"/>
                <w:sz w:val="42"/>
              </w:rPr>
              <w:t>能</w:t>
            </w:r>
          </w:p>
        </w:tc>
        <w:tc>
          <w:tcPr>
            <w:tcW w:w="1532" w:type="dxa"/>
          </w:tcPr>
          <w:p>
            <w:pPr>
              <w:pStyle w:val="TableParagraph"/>
              <w:spacing w:before="12"/>
              <w:rPr>
                <w:rFonts w:ascii="黑体"/>
                <w:sz w:val="32"/>
              </w:rPr>
            </w:pPr>
          </w:p>
          <w:p>
            <w:pPr>
              <w:pStyle w:val="TableParagraph"/>
              <w:ind w:left="20"/>
              <w:rPr>
                <w:rFonts w:ascii="黑体" w:eastAsia="黑体" w:hint="eastAsia"/>
                <w:sz w:val="42"/>
              </w:rPr>
            </w:pPr>
            <w:r>
              <w:rPr>
                <w:rFonts w:ascii="黑体" w:eastAsia="黑体" w:hint="eastAsia"/>
                <w:sz w:val="42"/>
              </w:rPr>
              <w:t>部 门</w:t>
            </w:r>
          </w:p>
        </w:tc>
        <w:tc>
          <w:tcPr>
            <w:tcW w:w="2617" w:type="dxa"/>
          </w:tcPr>
          <w:p>
            <w:pPr>
              <w:pStyle w:val="TableParagraph"/>
              <w:rPr>
                <w:rFonts w:ascii="Times New Roman"/>
                <w:sz w:val="40"/>
              </w:rPr>
            </w:pPr>
          </w:p>
        </w:tc>
      </w:tr>
      <w:tr>
        <w:tblPrEx>
          <w:tblW w:w="0" w:type="auto"/>
          <w:jc w:val="left"/>
          <w:tblInd w:w="418" w:type="dxa"/>
          <w:tblLayout w:type="fixed"/>
          <w:tblCellMar>
            <w:top w:w="0" w:type="dxa"/>
            <w:left w:w="0" w:type="dxa"/>
            <w:bottom w:w="0" w:type="dxa"/>
            <w:right w:w="0" w:type="dxa"/>
          </w:tblCellMar>
          <w:tblLook w:val="01E0"/>
        </w:tblPrEx>
        <w:trPr>
          <w:trHeight w:val="1732"/>
          <w:jc w:val="left"/>
        </w:trPr>
        <w:tc>
          <w:tcPr>
            <w:tcW w:w="6468" w:type="dxa"/>
          </w:tcPr>
          <w:p>
            <w:pPr>
              <w:pStyle w:val="TableParagraph"/>
              <w:spacing w:before="11"/>
              <w:rPr>
                <w:rFonts w:ascii="黑体"/>
                <w:sz w:val="32"/>
              </w:rPr>
            </w:pPr>
          </w:p>
          <w:p>
            <w:pPr>
              <w:pStyle w:val="TableParagraph"/>
              <w:tabs>
                <w:tab w:val="left" w:pos="842"/>
              </w:tabs>
              <w:ind w:right="309"/>
              <w:jc w:val="right"/>
              <w:rPr>
                <w:rFonts w:ascii="黑体" w:eastAsia="黑体" w:hint="eastAsia"/>
                <w:sz w:val="42"/>
              </w:rPr>
            </w:pPr>
            <w:r>
              <w:rPr>
                <w:rFonts w:ascii="黑体" w:eastAsia="黑体" w:hint="eastAsia"/>
                <w:sz w:val="42"/>
              </w:rPr>
              <w:t>项</w:t>
              <w:tab/>
              <w:t>目</w:t>
            </w:r>
          </w:p>
        </w:tc>
        <w:tc>
          <w:tcPr>
            <w:tcW w:w="630" w:type="dxa"/>
          </w:tcPr>
          <w:p>
            <w:pPr>
              <w:pStyle w:val="TableParagraph"/>
              <w:spacing w:before="11"/>
              <w:rPr>
                <w:rFonts w:ascii="黑体"/>
                <w:sz w:val="32"/>
              </w:rPr>
            </w:pPr>
          </w:p>
          <w:p>
            <w:pPr>
              <w:pStyle w:val="TableParagraph"/>
              <w:ind w:left="105"/>
              <w:rPr>
                <w:rFonts w:ascii="黑体" w:eastAsia="黑体" w:hint="eastAsia"/>
                <w:sz w:val="42"/>
              </w:rPr>
            </w:pPr>
            <w:r>
              <w:rPr>
                <w:rFonts w:ascii="黑体" w:eastAsia="黑体" w:hint="eastAsia"/>
                <w:w w:val="100"/>
                <w:sz w:val="42"/>
              </w:rPr>
              <w:t>经</w:t>
            </w:r>
          </w:p>
        </w:tc>
        <w:tc>
          <w:tcPr>
            <w:tcW w:w="1532" w:type="dxa"/>
          </w:tcPr>
          <w:p>
            <w:pPr>
              <w:pStyle w:val="TableParagraph"/>
              <w:spacing w:before="11"/>
              <w:rPr>
                <w:rFonts w:ascii="黑体"/>
                <w:sz w:val="32"/>
              </w:rPr>
            </w:pPr>
          </w:p>
          <w:p>
            <w:pPr>
              <w:pStyle w:val="TableParagraph"/>
              <w:ind w:left="319"/>
              <w:rPr>
                <w:rFonts w:ascii="黑体" w:eastAsia="黑体" w:hint="eastAsia"/>
                <w:sz w:val="42"/>
              </w:rPr>
            </w:pPr>
            <w:r>
              <w:rPr>
                <w:rFonts w:ascii="黑体" w:eastAsia="黑体" w:hint="eastAsia"/>
                <w:w w:val="100"/>
                <w:sz w:val="42"/>
              </w:rPr>
              <w:t>理</w:t>
            </w:r>
          </w:p>
        </w:tc>
        <w:tc>
          <w:tcPr>
            <w:tcW w:w="2617" w:type="dxa"/>
          </w:tcPr>
          <w:p>
            <w:pPr>
              <w:pStyle w:val="TableParagraph"/>
              <w:rPr>
                <w:rFonts w:ascii="Times New Roman"/>
                <w:sz w:val="40"/>
              </w:rPr>
            </w:pPr>
          </w:p>
        </w:tc>
      </w:tr>
      <w:tr>
        <w:tblPrEx>
          <w:tblW w:w="0" w:type="auto"/>
          <w:jc w:val="left"/>
          <w:tblInd w:w="418" w:type="dxa"/>
          <w:tblLayout w:type="fixed"/>
          <w:tblCellMar>
            <w:top w:w="0" w:type="dxa"/>
            <w:left w:w="0" w:type="dxa"/>
            <w:bottom w:w="0" w:type="dxa"/>
            <w:right w:w="0" w:type="dxa"/>
          </w:tblCellMar>
          <w:tblLook w:val="01E0"/>
        </w:tblPrEx>
        <w:trPr>
          <w:trHeight w:val="1387"/>
          <w:jc w:val="left"/>
        </w:trPr>
        <w:tc>
          <w:tcPr>
            <w:tcW w:w="6468" w:type="dxa"/>
          </w:tcPr>
          <w:p>
            <w:pPr>
              <w:pStyle w:val="TableParagraph"/>
              <w:spacing w:before="4"/>
              <w:rPr>
                <w:rFonts w:ascii="黑体"/>
                <w:sz w:val="60"/>
              </w:rPr>
            </w:pPr>
          </w:p>
          <w:p>
            <w:pPr>
              <w:pStyle w:val="TableParagraph"/>
              <w:tabs>
                <w:tab w:val="left" w:pos="2483"/>
                <w:tab w:val="left" w:pos="5649"/>
              </w:tabs>
              <w:spacing w:before="1"/>
              <w:ind w:right="19"/>
              <w:jc w:val="right"/>
              <w:rPr>
                <w:rFonts w:ascii="黑体" w:eastAsia="黑体" w:hint="eastAsia"/>
                <w:sz w:val="42"/>
              </w:rPr>
            </w:pPr>
            <w:r>
              <w:rPr>
                <w:rFonts w:ascii="黑体" w:eastAsia="黑体" w:hint="eastAsia"/>
                <w:sz w:val="42"/>
              </w:rPr>
              <w:t>项</w:t>
            </w:r>
            <w:r>
              <w:rPr>
                <w:rFonts w:ascii="黑体" w:eastAsia="黑体" w:hint="eastAsia"/>
                <w:spacing w:val="-1"/>
                <w:sz w:val="42"/>
              </w:rPr>
              <w:t xml:space="preserve"> </w:t>
            </w:r>
            <w:r>
              <w:rPr>
                <w:rFonts w:ascii="黑体" w:eastAsia="黑体" w:hint="eastAsia"/>
                <w:sz w:val="42"/>
              </w:rPr>
              <w:t>目</w:t>
            </w:r>
            <w:r>
              <w:rPr>
                <w:rFonts w:ascii="黑体" w:eastAsia="黑体" w:hint="eastAsia"/>
                <w:spacing w:val="-1"/>
                <w:sz w:val="42"/>
              </w:rPr>
              <w:t xml:space="preserve"> </w:t>
            </w:r>
            <w:r>
              <w:rPr>
                <w:rFonts w:ascii="黑体" w:eastAsia="黑体" w:hint="eastAsia"/>
                <w:sz w:val="42"/>
              </w:rPr>
              <w:t>部</w:t>
              <w:tab/>
              <w:t>项 目</w:t>
            </w:r>
            <w:r>
              <w:rPr>
                <w:rFonts w:ascii="黑体" w:eastAsia="黑体" w:hint="eastAsia"/>
                <w:spacing w:val="-1"/>
                <w:sz w:val="42"/>
              </w:rPr>
              <w:t xml:space="preserve"> </w:t>
            </w:r>
            <w:r>
              <w:rPr>
                <w:rFonts w:ascii="黑体" w:eastAsia="黑体" w:hint="eastAsia"/>
                <w:sz w:val="42"/>
              </w:rPr>
              <w:t>部</w:t>
              <w:tab/>
              <w:t>项</w:t>
            </w:r>
          </w:p>
        </w:tc>
        <w:tc>
          <w:tcPr>
            <w:tcW w:w="630" w:type="dxa"/>
          </w:tcPr>
          <w:p>
            <w:pPr>
              <w:pStyle w:val="TableParagraph"/>
              <w:spacing w:before="4"/>
              <w:rPr>
                <w:rFonts w:ascii="黑体"/>
                <w:sz w:val="60"/>
              </w:rPr>
            </w:pPr>
          </w:p>
          <w:p>
            <w:pPr>
              <w:pStyle w:val="TableParagraph"/>
              <w:spacing w:before="1"/>
              <w:ind w:right="19"/>
              <w:jc w:val="right"/>
              <w:rPr>
                <w:rFonts w:ascii="黑体" w:eastAsia="黑体" w:hint="eastAsia"/>
                <w:sz w:val="42"/>
              </w:rPr>
            </w:pPr>
            <w:r>
              <w:rPr>
                <w:rFonts w:ascii="黑体" w:eastAsia="黑体" w:hint="eastAsia"/>
                <w:w w:val="100"/>
                <w:sz w:val="42"/>
              </w:rPr>
              <w:t>目</w:t>
            </w:r>
          </w:p>
        </w:tc>
        <w:tc>
          <w:tcPr>
            <w:tcW w:w="1532" w:type="dxa"/>
          </w:tcPr>
          <w:p>
            <w:pPr>
              <w:pStyle w:val="TableParagraph"/>
              <w:spacing w:before="4"/>
              <w:rPr>
                <w:rFonts w:ascii="黑体"/>
                <w:sz w:val="60"/>
              </w:rPr>
            </w:pPr>
          </w:p>
          <w:p>
            <w:pPr>
              <w:pStyle w:val="TableParagraph"/>
              <w:spacing w:before="1"/>
              <w:ind w:left="189"/>
              <w:rPr>
                <w:rFonts w:ascii="黑体" w:eastAsia="黑体" w:hint="eastAsia"/>
                <w:sz w:val="42"/>
              </w:rPr>
            </w:pPr>
            <w:r>
              <w:rPr>
                <w:rFonts w:ascii="黑体" w:eastAsia="黑体" w:hint="eastAsia"/>
                <w:w w:val="100"/>
                <w:sz w:val="42"/>
              </w:rPr>
              <w:t>部</w:t>
            </w:r>
          </w:p>
        </w:tc>
        <w:tc>
          <w:tcPr>
            <w:tcW w:w="2617" w:type="dxa"/>
          </w:tcPr>
          <w:p>
            <w:pPr>
              <w:pStyle w:val="TableParagraph"/>
              <w:spacing w:before="4"/>
              <w:rPr>
                <w:rFonts w:ascii="黑体"/>
                <w:sz w:val="60"/>
              </w:rPr>
            </w:pPr>
          </w:p>
          <w:p>
            <w:pPr>
              <w:pStyle w:val="TableParagraph"/>
              <w:spacing w:before="1"/>
              <w:ind w:left="436" w:right="33"/>
              <w:jc w:val="center"/>
              <w:rPr>
                <w:rFonts w:ascii="黑体" w:eastAsia="黑体" w:hint="eastAsia"/>
                <w:sz w:val="42"/>
              </w:rPr>
            </w:pPr>
            <w:r>
              <w:rPr>
                <w:rFonts w:ascii="黑体" w:eastAsia="黑体" w:hint="eastAsia"/>
                <w:sz w:val="42"/>
              </w:rPr>
              <w:t>项 目 部</w:t>
            </w:r>
          </w:p>
        </w:tc>
      </w:tr>
      <w:tr>
        <w:tblPrEx>
          <w:tblW w:w="0" w:type="auto"/>
          <w:jc w:val="left"/>
          <w:tblInd w:w="418" w:type="dxa"/>
          <w:tblLayout w:type="fixed"/>
          <w:tblCellMar>
            <w:top w:w="0" w:type="dxa"/>
            <w:left w:w="0" w:type="dxa"/>
            <w:bottom w:w="0" w:type="dxa"/>
            <w:right w:w="0" w:type="dxa"/>
          </w:tblCellMar>
          <w:tblLook w:val="01E0"/>
        </w:tblPrEx>
        <w:trPr>
          <w:trHeight w:val="556"/>
          <w:jc w:val="left"/>
        </w:trPr>
        <w:tc>
          <w:tcPr>
            <w:tcW w:w="6468" w:type="dxa"/>
          </w:tcPr>
          <w:p>
            <w:pPr>
              <w:pStyle w:val="TableParagraph"/>
              <w:tabs>
                <w:tab w:val="left" w:pos="2483"/>
                <w:tab w:val="left" w:pos="5649"/>
              </w:tabs>
              <w:spacing w:before="77" w:line="459" w:lineRule="exact"/>
              <w:ind w:right="19"/>
              <w:jc w:val="right"/>
              <w:rPr>
                <w:rFonts w:ascii="黑体" w:eastAsia="黑体" w:hint="eastAsia"/>
                <w:sz w:val="42"/>
              </w:rPr>
            </w:pPr>
            <w:r>
              <w:rPr>
                <w:rFonts w:ascii="黑体" w:eastAsia="黑体" w:hint="eastAsia"/>
                <w:sz w:val="42"/>
              </w:rPr>
              <w:t>生产经理</w:t>
              <w:tab/>
              <w:t>技术负责人</w:t>
              <w:tab/>
              <w:t>施</w:t>
            </w:r>
          </w:p>
        </w:tc>
        <w:tc>
          <w:tcPr>
            <w:tcW w:w="630" w:type="dxa"/>
          </w:tcPr>
          <w:p>
            <w:pPr>
              <w:pStyle w:val="TableParagraph"/>
              <w:spacing w:before="77" w:line="459" w:lineRule="exact"/>
              <w:ind w:right="19"/>
              <w:jc w:val="right"/>
              <w:rPr>
                <w:rFonts w:ascii="黑体" w:eastAsia="黑体" w:hint="eastAsia"/>
                <w:sz w:val="42"/>
              </w:rPr>
            </w:pPr>
            <w:r>
              <w:rPr>
                <w:rFonts w:ascii="黑体" w:eastAsia="黑体" w:hint="eastAsia"/>
                <w:w w:val="100"/>
                <w:sz w:val="42"/>
              </w:rPr>
              <w:t>工</w:t>
            </w:r>
          </w:p>
        </w:tc>
        <w:tc>
          <w:tcPr>
            <w:tcW w:w="1532" w:type="dxa"/>
          </w:tcPr>
          <w:p>
            <w:pPr>
              <w:pStyle w:val="TableParagraph"/>
              <w:spacing w:before="77" w:line="459" w:lineRule="exact"/>
              <w:ind w:left="189"/>
              <w:rPr>
                <w:rFonts w:ascii="黑体" w:eastAsia="黑体" w:hint="eastAsia"/>
                <w:sz w:val="42"/>
              </w:rPr>
            </w:pPr>
            <w:r>
              <w:rPr>
                <w:rFonts w:ascii="黑体" w:eastAsia="黑体" w:hint="eastAsia"/>
                <w:w w:val="100"/>
                <w:sz w:val="42"/>
              </w:rPr>
              <w:t>员</w:t>
            </w:r>
          </w:p>
        </w:tc>
        <w:tc>
          <w:tcPr>
            <w:tcW w:w="2617" w:type="dxa"/>
          </w:tcPr>
          <w:p>
            <w:pPr>
              <w:pStyle w:val="TableParagraph"/>
              <w:spacing w:before="77" w:line="459" w:lineRule="exact"/>
              <w:ind w:left="444" w:right="33"/>
              <w:jc w:val="center"/>
              <w:rPr>
                <w:rFonts w:ascii="黑体" w:eastAsia="黑体" w:hint="eastAsia"/>
                <w:sz w:val="42"/>
              </w:rPr>
            </w:pPr>
            <w:r>
              <w:rPr>
                <w:rFonts w:ascii="黑体" w:eastAsia="黑体" w:hint="eastAsia"/>
                <w:sz w:val="42"/>
              </w:rPr>
              <w:t>专职质检员</w:t>
            </w:r>
          </w:p>
        </w:tc>
      </w:tr>
    </w:tbl>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12"/>
        <w:rPr>
          <w:rFonts w:ascii="黑体"/>
          <w:sz w:val="24"/>
        </w:rPr>
      </w:pPr>
    </w:p>
    <w:p>
      <w:pPr>
        <w:spacing w:before="42"/>
        <w:ind w:left="673" w:right="0" w:firstLine="0"/>
        <w:jc w:val="left"/>
        <w:rPr>
          <w:b/>
          <w:sz w:val="42"/>
        </w:rPr>
      </w:pPr>
      <w:r>
        <w:drawing>
          <wp:anchor distT="0" distB="0" distL="0" distR="0" simplePos="0" relativeHeight="251662336" behindDoc="1" locked="0" layoutInCell="1" allowOverlap="1">
            <wp:simplePos x="0" y="0"/>
            <wp:positionH relativeFrom="page">
              <wp:posOffset>1803400</wp:posOffset>
            </wp:positionH>
            <wp:positionV relativeFrom="paragraph">
              <wp:posOffset>-5367147</wp:posOffset>
            </wp:positionV>
            <wp:extent cx="7144947" cy="4775930"/>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60" cstate="print"/>
                    <a:stretch>
                      <a:fillRect/>
                    </a:stretch>
                  </pic:blipFill>
                  <pic:spPr>
                    <a:xfrm>
                      <a:off x="0" y="0"/>
                      <a:ext cx="7144947" cy="4775930"/>
                    </a:xfrm>
                    <a:prstGeom prst="rect">
                      <a:avLst/>
                    </a:prstGeom>
                  </pic:spPr>
                </pic:pic>
              </a:graphicData>
            </a:graphic>
          </wp:anchor>
        </w:drawing>
      </w:r>
      <w:bookmarkStart w:id="14" w:name="_TOC_250036"/>
      <w:bookmarkEnd w:id="14"/>
      <w:r>
        <w:rPr>
          <w:b/>
          <w:sz w:val="42"/>
        </w:rPr>
        <w:t>三、 质量保证措施</w:t>
      </w:r>
    </w:p>
    <w:p>
      <w:pPr>
        <w:pStyle w:val="BodyText"/>
        <w:rPr>
          <w:b/>
          <w:sz w:val="33"/>
        </w:rPr>
      </w:pPr>
    </w:p>
    <w:p>
      <w:pPr>
        <w:pStyle w:val="BodyText"/>
        <w:spacing w:line="429" w:lineRule="auto"/>
        <w:ind w:left="460" w:right="1653" w:firstLine="838"/>
      </w:pPr>
      <w:r>
        <w:t>1、建立完善的质量保证体系，强化质量意识，树立质量是企业生命的思想。</w:t>
      </w:r>
    </w:p>
    <w:p>
      <w:pPr>
        <w:pStyle w:val="BodyText"/>
        <w:spacing w:line="429" w:lineRule="auto"/>
        <w:ind w:left="460" w:right="1615" w:firstLine="838"/>
        <w:jc w:val="both"/>
      </w:pPr>
      <w:r>
        <w:rPr>
          <w:spacing w:val="5"/>
        </w:rPr>
        <w:t>2</w:t>
      </w:r>
      <w:r>
        <w:rPr>
          <w:spacing w:val="1"/>
        </w:rPr>
        <w:t>、本工程严格按项目法进行施工管理，将</w:t>
      </w:r>
      <w:r>
        <w:t>[ISO-9002</w:t>
      </w:r>
      <w:r>
        <w:rPr>
          <w:spacing w:val="-3"/>
        </w:rPr>
        <w:t>]工作程序</w:t>
      </w:r>
      <w:r>
        <w:rPr>
          <w:spacing w:val="-14"/>
        </w:rPr>
        <w:t>贯穿整个施工过程，认真贯彻公司的质量方针和质量目标，采取切实</w:t>
      </w:r>
      <w:r>
        <w:t>有效的保证措施。</w:t>
      </w:r>
    </w:p>
    <w:p>
      <w:pPr>
        <w:pStyle w:val="BodyText"/>
        <w:spacing w:line="429" w:lineRule="auto"/>
        <w:ind w:left="460" w:right="1440" w:firstLine="838"/>
      </w:pPr>
      <w:r>
        <w:t>3、项目部根据质量目标，编制创优计划，落实职责到人，有目的、有计划地开展质量评比活动，同时制定奖罚办法，调动各级人员的积极性，从而使质量目标得以实现。</w:t>
      </w:r>
    </w:p>
    <w:p>
      <w:pPr>
        <w:pStyle w:val="BodyText"/>
        <w:spacing w:line="528" w:lineRule="exact"/>
        <w:ind w:left="1299"/>
      </w:pPr>
      <w:r>
        <w:t>4、实行质量岗位责任制，奖优罚劣。各分项工程，各道工序，</w:t>
      </w:r>
    </w:p>
    <w:p>
      <w:pPr>
        <w:spacing w:after="0" w:line="528" w:lineRule="exact"/>
        <w:sectPr>
          <w:headerReference w:type="default" r:id="rId61"/>
          <w:footerReference w:type="default" r:id="rId62"/>
          <w:pgSz w:w="17860" w:h="25260"/>
          <w:pgMar w:top="1400" w:right="1080" w:bottom="2020" w:left="2240" w:header="1088" w:footer="1837"/>
          <w:pgNumType w:start="23"/>
          <w:cols w:space="708"/>
        </w:sectPr>
      </w:pPr>
    </w:p>
    <w:p>
      <w:pPr>
        <w:pStyle w:val="BodyText"/>
        <w:rPr>
          <w:sz w:val="20"/>
        </w:rPr>
      </w:pPr>
    </w:p>
    <w:p>
      <w:pPr>
        <w:pStyle w:val="BodyText"/>
        <w:rPr>
          <w:sz w:val="20"/>
        </w:rPr>
      </w:pPr>
    </w:p>
    <w:p>
      <w:pPr>
        <w:pStyle w:val="BodyText"/>
        <w:spacing w:before="2"/>
        <w:rPr>
          <w:sz w:val="15"/>
        </w:rPr>
      </w:pPr>
    </w:p>
    <w:p>
      <w:pPr>
        <w:pStyle w:val="BodyText"/>
        <w:spacing w:before="42" w:line="427" w:lineRule="auto"/>
        <w:ind w:left="460" w:right="1440"/>
      </w:pPr>
      <w:r>
        <w:t>定人、定岗、定责。验工计价，必须有质检人员签字，建立定期质量评比制度，奖优罚劣。</w:t>
      </w:r>
    </w:p>
    <w:p>
      <w:pPr>
        <w:pStyle w:val="BodyText"/>
        <w:spacing w:before="3" w:line="427" w:lineRule="auto"/>
        <w:ind w:left="460" w:right="1440" w:firstLine="838"/>
      </w:pPr>
      <w:r>
        <w:t xml:space="preserve">5、认真执行三检制度，加强重要结构、重要部位的质量检查， </w:t>
      </w:r>
      <w:r>
        <w:rPr>
          <w:spacing w:val="-10"/>
        </w:rPr>
        <w:t>认真执行工程项目监理规定；施工过程中严格执行质量自检，以抓好</w:t>
      </w:r>
      <w:r>
        <w:rPr>
          <w:spacing w:val="-16"/>
        </w:rPr>
        <w:t>工序质量，要做到每道工序未经质量部门检验、监理工程师验收不得</w:t>
      </w:r>
      <w:r>
        <w:rPr>
          <w:spacing w:val="-17"/>
        </w:rPr>
        <w:t>进行下道工序，从而使分项、分部、单位工程和整个建设项目的工程</w:t>
      </w:r>
      <w:r>
        <w:t>质量得到保证。</w:t>
      </w:r>
    </w:p>
    <w:p>
      <w:pPr>
        <w:pStyle w:val="BodyText"/>
        <w:spacing w:before="11" w:line="427" w:lineRule="auto"/>
        <w:ind w:left="460" w:right="1232" w:firstLine="838"/>
      </w:pPr>
      <w:r>
        <w:t>6、贯彻全面质量管理，成立对重点工序、重点环节的领导小组， 要经常对进度，质量情况进行分析、总结，各小组及质控部门每周必须进行一次质检活动，分析质量情况，总结经验教训，每次活动必须详细记录，活动内容要有措施，有预定目标。</w:t>
      </w:r>
    </w:p>
    <w:p>
      <w:pPr>
        <w:pStyle w:val="BodyText"/>
        <w:spacing w:before="10" w:line="429" w:lineRule="auto"/>
        <w:ind w:left="460" w:right="1399" w:firstLine="838"/>
      </w:pPr>
      <w:r>
        <w:t>7、实行“样板先行”，按规范要求每项工程开工前，首先安排</w:t>
      </w:r>
      <w:r>
        <w:rPr>
          <w:spacing w:val="-23"/>
          <w:w w:val="100"/>
        </w:rPr>
        <w:t>“试验段”，根据试验结果制定切实有效的施工方案，指导全面施工。</w:t>
      </w:r>
    </w:p>
    <w:p>
      <w:pPr>
        <w:pStyle w:val="BodyText"/>
        <w:spacing w:line="427" w:lineRule="auto"/>
        <w:ind w:left="460" w:right="1596" w:firstLine="838"/>
        <w:jc w:val="both"/>
      </w:pPr>
      <w:r>
        <w:t>8、为保证采购的原材料、成品及半成品满足工程质量要求，严</w:t>
      </w:r>
      <w:r>
        <w:rPr>
          <w:spacing w:val="-13"/>
        </w:rPr>
        <w:t>格审查供料方资质，所有使用的材料必须符合设计要求，原材料及成</w:t>
      </w:r>
      <w:r>
        <w:rPr>
          <w:spacing w:val="-14"/>
        </w:rPr>
        <w:t>品、半成品进入现场要提供合格证及相关试验报告，对于进入现场的</w:t>
      </w:r>
      <w:r>
        <w:rPr>
          <w:spacing w:val="-17"/>
        </w:rPr>
        <w:t>材料进行产品标识、状态标识、并及时送往有相应资质的试验室做材</w:t>
      </w:r>
      <w:r>
        <w:t>料复试。主要材料要经监理工程师确认后方可进场。</w:t>
      </w:r>
    </w:p>
    <w:p>
      <w:pPr>
        <w:pStyle w:val="BodyText"/>
        <w:spacing w:before="6" w:line="427" w:lineRule="auto"/>
        <w:ind w:left="460" w:right="1545" w:firstLine="838"/>
        <w:jc w:val="both"/>
      </w:pPr>
      <w:r>
        <w:t>9、施工中严格执行持证上岗制度，项目经理、总工、施工员、</w:t>
      </w:r>
      <w:r>
        <w:rPr>
          <w:spacing w:val="-12"/>
        </w:rPr>
        <w:t>质检人员、测量、试验人员及特殊工种均要取得上岗证，严禁无证上</w:t>
      </w:r>
      <w:r>
        <w:t>岗。</w:t>
      </w:r>
    </w:p>
    <w:p>
      <w:pPr>
        <w:spacing w:after="0" w:line="427" w:lineRule="auto"/>
        <w:jc w:val="both"/>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63" w:history="1">
        <w:r>
          <w:rPr>
            <w:rFonts w:ascii="SimSun" w:eastAsia="SimSun" w:hAnsi="SimSun" w:cs="SimSun"/>
            <w:b/>
            <w:bCs/>
            <w:color w:val="0000EE"/>
            <w:sz w:val="30"/>
            <w:szCs w:val="30"/>
            <w:u w:val="single" w:color="0000EE"/>
          </w:rPr>
          <w:t>https://d.book118.com/355100202242011100</w:t>
        </w:r>
      </w:hyperlink>
    </w:p>
    <w:p>
      <w:pPr>
        <w:spacing w:after="0" w:line="427" w:lineRule="auto"/>
        <w:jc w:val="both"/>
      </w:pPr>
    </w:p>
    <w:sectPr>
      <w:headerReference w:type="default" r:id="rId64"/>
      <w:footerReference w:type="default" r:id="rId65"/>
      <w:pgSz w:w="17860" w:h="25260"/>
      <w:pgMar w:top="1400" w:right="1080" w:bottom="2040" w:left="2240" w:header="1088" w:footer="1837"/>
      <w:pgNumType w:start="2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隶书">
    <w:altName w:val="华文隶书"/>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8.75pt;height:15.5pt;margin-top:1159.71pt;margin-left:750.29pt;mso-position-horizontal-relative:page;mso-position-vertical-relative:page;position:absolute;z-index:-251658240" filled="f" stroked="f">
          <v:textbox inset="0,0,0,0">
            <w:txbxContent>
              <w:p>
                <w:pPr>
                  <w:spacing w:before="36" w:line="273" w:lineRule="exact"/>
                  <w:ind w:left="20" w:right="0" w:firstLine="0"/>
                  <w:jc w:val="left"/>
                  <w:rPr>
                    <w:rFonts w:ascii="Arial"/>
                    <w:sz w:val="27"/>
                  </w:rPr>
                </w:pPr>
                <w:r>
                  <w:rPr>
                    <w:rFonts w:ascii="Arial"/>
                    <w:w w:val="89"/>
                    <w:sz w:val="27"/>
                  </w:rPr>
                  <w:t>1</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8.75pt;height:15.5pt;margin-top:1159.71pt;margin-left:750.29pt;mso-position-horizontal-relative:page;mso-position-vertical-relative:page;position:absolute;z-index:-251657216" filled="f" stroked="f">
          <v:textbox inset="0,0,0,0">
            <w:txbxContent>
              <w:p>
                <w:pPr>
                  <w:spacing w:before="36" w:line="273" w:lineRule="exact"/>
                  <w:ind w:left="20" w:right="0" w:firstLine="0"/>
                  <w:jc w:val="left"/>
                  <w:rPr>
                    <w:rFonts w:ascii="Arial"/>
                    <w:sz w:val="27"/>
                  </w:rPr>
                </w:pPr>
                <w:r>
                  <w:rPr>
                    <w:rFonts w:ascii="Arial"/>
                    <w:w w:val="89"/>
                    <w:sz w:val="27"/>
                  </w:rPr>
                  <w:t>2</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9.9pt;height:15.85pt;margin-top:1159.71pt;margin-left:741.63pt;mso-position-horizontal-relative:page;mso-position-vertical-relative:page;position:absolute;z-index:-25165619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9.9pt;height:15.85pt;margin-top:1159.71pt;margin-left:741.63pt;mso-position-horizontal-relative:page;mso-position-vertical-relative:page;position:absolute;z-index:-25165516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9.9pt;height:15.85pt;margin-top:1159.71pt;margin-left:741.63pt;mso-position-horizontal-relative:page;mso-position-vertical-relative:page;position:absolute;z-index:-25165414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9.9pt;height:15.85pt;margin-top:1159.71pt;margin-left:741.63pt;mso-position-horizontal-relative:page;mso-position-vertical-relative:page;position:absolute;z-index:-25165312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9.9pt;height:15.85pt;margin-top:1159.71pt;margin-left:741.63pt;mso-position-horizontal-relative:page;mso-position-vertical-relative:page;position:absolute;z-index:-25165209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9.9pt;height:15.85pt;margin-top:1159.71pt;margin-left:741.63pt;mso-position-horizontal-relative:page;mso-position-vertical-relative:page;position:absolute;z-index:-25165107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9.9pt;height:15.85pt;margin-top:1159.71pt;margin-left:741.63pt;mso-position-horizontal-relative:page;mso-position-vertical-relative:page;position:absolute;z-index:-25165004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9.9pt;height:15.85pt;margin-top:1159.71pt;margin-left:741.63pt;mso-position-horizontal-relative:page;mso-position-vertical-relative:page;position:absolute;z-index:-25164902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9.9pt;height:15.85pt;margin-top:1159.71pt;margin-left:741.63pt;mso-position-horizontal-relative:page;mso-position-vertical-relative:page;position:absolute;z-index:-25164800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9.9pt;height:15.85pt;margin-top:1159.71pt;margin-left:741.63pt;mso-position-horizontal-relative:page;mso-position-vertical-relative:page;position:absolute;z-index:-25164697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9.9pt;height:15.85pt;margin-top:1159.71pt;margin-left:741.63pt;mso-position-horizontal-relative:page;mso-position-vertical-relative:page;position:absolute;z-index:-25164595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9.9pt;height:15.85pt;margin-top:1159.71pt;margin-left:741.63pt;mso-position-horizontal-relative:page;mso-position-vertical-relative:page;position:absolute;z-index:-25164492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9.9pt;height:15.85pt;margin-top:1159.71pt;margin-left:741.63pt;mso-position-horizontal-relative:page;mso-position-vertical-relative:page;position:absolute;z-index:-25164390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15</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9.9pt;height:15.85pt;margin-top:1159.71pt;margin-left:741.63pt;mso-position-horizontal-relative:page;mso-position-vertical-relative:page;position:absolute;z-index:-25164288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16</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9.5pt;height:15.85pt;margin-top:1159.71pt;margin-left:741.63pt;mso-position-horizontal-relative:page;mso-position-vertical-relative:page;position:absolute;z-index:-25164185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18</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9.5pt;height:15.85pt;margin-top:1159.71pt;margin-left:741.63pt;mso-position-horizontal-relative:page;mso-position-vertical-relative:page;position:absolute;z-index:-25164083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19</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9.5pt;height:15.85pt;margin-top:1159.71pt;margin-left:741.63pt;mso-position-horizontal-relative:page;mso-position-vertical-relative:page;position:absolute;z-index:-25163980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20</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19.5pt;height:15.85pt;margin-top:1159.71pt;margin-left:741.63pt;mso-position-horizontal-relative:page;mso-position-vertical-relative:page;position:absolute;z-index:-25163878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21</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19.5pt;height:15.85pt;margin-top:1159.71pt;margin-left:741.63pt;mso-position-horizontal-relative:page;mso-position-vertical-relative:page;position:absolute;z-index:-25163776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22</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19.5pt;height:15.85pt;margin-top:1159.71pt;margin-left:741.63pt;mso-position-horizontal-relative:page;mso-position-vertical-relative:page;position:absolute;z-index:-25163673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23</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19.5pt;height:15.85pt;margin-top:1159.71pt;margin-left:741.63pt;mso-position-horizontal-relative:page;mso-position-vertical-relative:page;position:absolute;z-index:-25163571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24</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231.5pt;height:15.5pt;margin-top:53.91pt;margin-left:330.81pt;mso-position-horizontal-relative:page;mso-position-vertical-relative:page;position:absolute;z-index:-25165721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市政道路人行道改造工程施工组织设计</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0037284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72841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231.5pt;height:15.5pt;margin-top:53.91pt;margin-left:330.81pt;mso-position-horizontal-relative:page;mso-position-vertical-relative:page;position:absolute;z-index:-2516551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市政道路人行道改造工程施工组织设计</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939701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97017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231.5pt;height:15.5pt;margin-top:53.91pt;margin-left:330.81pt;mso-position-horizontal-relative:page;mso-position-vertical-relative:page;position:absolute;z-index:-25165312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市政道路人行道改造工程施工组织设计</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6820499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04995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231.5pt;height:15.5pt;margin-top:53.91pt;margin-left:330.81pt;mso-position-horizontal-relative:page;mso-position-vertical-relative:page;position:absolute;z-index:-25165107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市政道路人行道改造工程施工组织设计</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231.5pt;height:15.5pt;margin-top:53.38pt;margin-left:330.81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231.5pt;height:15.5pt;margin-top:53.38pt;margin-left:330.81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231.5pt;height:15.5pt;margin-top:53.38pt;margin-left:330.81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779331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793316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231.5pt;height:15.5pt;margin-top:53.38pt;margin-left:330.81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691048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910489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231.5pt;height:15.5pt;margin-top:53.38pt;margin-left:330.81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16617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617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231.5pt;height:15.5pt;margin-top:53.38pt;margin-left:330.81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174262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42621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231.5pt;height:15.5pt;margin-top:53.38pt;margin-left:330.81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693081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930814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231.5pt;height:15.5pt;margin-top:53.38pt;margin-left:330.81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638314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383144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231.5pt;height:15.5pt;margin-top:53.38pt;margin-left:330.81pt;mso-position-horizontal-relative:page;mso-position-vertical-relative:page;position:absolute;z-index:-251632640"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93524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5241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231.5pt;height:15.5pt;margin-top:53.38pt;margin-left:330.81pt;mso-position-horizontal-relative:page;mso-position-vertical-relative:page;position:absolute;z-index:-251630592"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985821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58217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231.5pt;height:15.5pt;margin-top:53.38pt;margin-left:330.81pt;mso-position-horizontal-relative:page;mso-position-vertical-relative:page;position:absolute;z-index:-251628544"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9078025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80252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231.5pt;height:15.5pt;margin-top:53.38pt;margin-left:330.81pt;mso-position-horizontal-relative:page;mso-position-vertical-relative:page;position:absolute;z-index:-251626496"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361035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610356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231.5pt;height:15.5pt;margin-top:53.38pt;margin-left:330.81pt;mso-position-horizontal-relative:page;mso-position-vertical-relative:page;position:absolute;z-index:-251624448"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6258512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585122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231.5pt;height:15.5pt;margin-top:53.38pt;margin-left:330.81pt;mso-position-horizontal-relative:page;mso-position-vertical-relative:page;position:absolute;z-index:-251622400"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3766504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65042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231.5pt;height:15.5pt;margin-top:53.38pt;margin-left:330.81pt;mso-position-horizontal-relative:page;mso-position-vertical-relative:page;position:absolute;z-index:-251620352"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091746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17462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231.5pt;height:15.5pt;margin-top:53.38pt;margin-left:330.81pt;mso-position-horizontal-relative:page;mso-position-vertical-relative:page;position:absolute;z-index:-251618304"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231.5pt;height:15.5pt;margin-top:53.38pt;margin-left:330.81pt;mso-position-horizontal-relative:page;mso-position-vertical-relative:page;position:absolute;z-index:-251616256"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378102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81021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231.5pt;height:15.5pt;margin-top:53.38pt;margin-left:330.81pt;mso-position-horizontal-relative:page;mso-position-vertical-relative:page;position:absolute;z-index:-251614208"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822300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223001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231.5pt;height:15.5pt;margin-top:53.38pt;margin-left:330.81pt;mso-position-horizontal-relative:page;mso-position-vertical-relative:page;position:absolute;z-index:-251612160"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692460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24609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231.5pt;height:15.5pt;margin-top:53.38pt;margin-left:330.81pt;mso-position-horizontal-relative:page;mso-position-vertical-relative:page;position:absolute;z-index:-251610112"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636104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61041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231.5pt;height:15.5pt;margin-top:53.38pt;margin-left:330.81pt;mso-position-horizontal-relative:page;mso-position-vertical-relative:page;position:absolute;z-index:-251608064"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971671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16713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231.5pt;height:15.5pt;margin-top:53.38pt;margin-left:330.81pt;mso-position-horizontal-relative:page;mso-position-vertical-relative:page;position:absolute;z-index:-251606016"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643557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435576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231.5pt;height:15.5pt;margin-top:53.38pt;margin-left:330.81pt;mso-position-horizontal-relative:page;mso-position-vertical-relative:page;position:absolute;z-index:-251603968" filled="f" stroked="f">
          <v:textbox inset="0,0,0,0">
            <w:txbxContent>
              <w:p>
                <w:pPr>
                  <w:spacing w:before="0" w:line="310" w:lineRule="exact"/>
                  <w:ind w:left="20" w:right="0" w:firstLine="0"/>
                  <w:jc w:val="left"/>
                  <w:rPr>
                    <w:sz w:val="27"/>
                  </w:rPr>
                </w:pPr>
                <w:r>
                  <w:rPr>
                    <w:sz w:val="27"/>
                  </w:rPr>
                  <w:t>市政道路人行道改造工程施工组织设计</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0BCBC"/>
    <w:multiLevelType w:val="hybridMultilevel"/>
    <w:tmpl w:val="00000000"/>
    <w:lvl w:ilvl="0">
      <w:start w:val="1"/>
      <w:numFmt w:val="decimal"/>
      <w:lvlText w:val="%1）"/>
      <w:lvlJc w:val="left"/>
      <w:pPr>
        <w:ind w:left="1934" w:hanging="635"/>
        <w:jc w:val="left"/>
      </w:pPr>
      <w:rPr>
        <w:rFonts w:ascii="宋体" w:eastAsia="宋体" w:hAnsi="宋体" w:cs="宋体" w:hint="default"/>
        <w:spacing w:val="0"/>
        <w:w w:val="100"/>
        <w:sz w:val="40"/>
        <w:szCs w:val="40"/>
      </w:rPr>
    </w:lvl>
    <w:lvl w:ilvl="1">
      <w:start w:val="0"/>
      <w:numFmt w:val="bullet"/>
      <w:lvlText w:val="•"/>
      <w:lvlJc w:val="left"/>
      <w:pPr>
        <w:ind w:left="3199" w:hanging="635"/>
      </w:pPr>
      <w:rPr>
        <w:rFonts w:hint="default"/>
      </w:rPr>
    </w:lvl>
    <w:lvl w:ilvl="2">
      <w:start w:val="0"/>
      <w:numFmt w:val="bullet"/>
      <w:lvlText w:val="•"/>
      <w:lvlJc w:val="left"/>
      <w:pPr>
        <w:ind w:left="4459" w:hanging="635"/>
      </w:pPr>
      <w:rPr>
        <w:rFonts w:hint="default"/>
      </w:rPr>
    </w:lvl>
    <w:lvl w:ilvl="3">
      <w:start w:val="0"/>
      <w:numFmt w:val="bullet"/>
      <w:lvlText w:val="•"/>
      <w:lvlJc w:val="left"/>
      <w:pPr>
        <w:ind w:left="5719" w:hanging="635"/>
      </w:pPr>
      <w:rPr>
        <w:rFonts w:hint="default"/>
      </w:rPr>
    </w:lvl>
    <w:lvl w:ilvl="4">
      <w:start w:val="0"/>
      <w:numFmt w:val="bullet"/>
      <w:lvlText w:val="•"/>
      <w:lvlJc w:val="left"/>
      <w:pPr>
        <w:ind w:left="6979" w:hanging="635"/>
      </w:pPr>
      <w:rPr>
        <w:rFonts w:hint="default"/>
      </w:rPr>
    </w:lvl>
    <w:lvl w:ilvl="5">
      <w:start w:val="0"/>
      <w:numFmt w:val="bullet"/>
      <w:lvlText w:val="•"/>
      <w:lvlJc w:val="left"/>
      <w:pPr>
        <w:ind w:left="8239" w:hanging="635"/>
      </w:pPr>
      <w:rPr>
        <w:rFonts w:hint="default"/>
      </w:rPr>
    </w:lvl>
    <w:lvl w:ilvl="6">
      <w:start w:val="0"/>
      <w:numFmt w:val="bullet"/>
      <w:lvlText w:val="•"/>
      <w:lvlJc w:val="left"/>
      <w:pPr>
        <w:ind w:left="9499" w:hanging="635"/>
      </w:pPr>
      <w:rPr>
        <w:rFonts w:hint="default"/>
      </w:rPr>
    </w:lvl>
    <w:lvl w:ilvl="7">
      <w:start w:val="0"/>
      <w:numFmt w:val="bullet"/>
      <w:lvlText w:val="•"/>
      <w:lvlJc w:val="left"/>
      <w:pPr>
        <w:ind w:left="10759" w:hanging="635"/>
      </w:pPr>
      <w:rPr>
        <w:rFonts w:hint="default"/>
      </w:rPr>
    </w:lvl>
    <w:lvl w:ilvl="8">
      <w:start w:val="0"/>
      <w:numFmt w:val="bullet"/>
      <w:lvlText w:val="•"/>
      <w:lvlJc w:val="left"/>
      <w:pPr>
        <w:ind w:left="12019" w:hanging="635"/>
      </w:pPr>
      <w:rPr>
        <w:rFonts w:hint="default"/>
      </w:rPr>
    </w:lvl>
  </w:abstractNum>
  <w:abstractNum w:abstractNumId="1">
    <w:nsid w:val="0B7C6884"/>
    <w:multiLevelType w:val="hybridMultilevel"/>
    <w:tmpl w:val="00000000"/>
    <w:lvl w:ilvl="0">
      <w:start w:val="1"/>
      <w:numFmt w:val="decimal"/>
      <w:lvlText w:val="（%1）"/>
      <w:lvlJc w:val="left"/>
      <w:pPr>
        <w:ind w:left="460" w:hanging="1060"/>
        <w:jc w:val="left"/>
      </w:pPr>
      <w:rPr>
        <w:rFonts w:ascii="宋体" w:eastAsia="宋体" w:hAnsi="宋体" w:cs="宋体" w:hint="default"/>
        <w:w w:val="100"/>
        <w:sz w:val="40"/>
        <w:szCs w:val="40"/>
      </w:rPr>
    </w:lvl>
    <w:lvl w:ilvl="1">
      <w:start w:val="0"/>
      <w:numFmt w:val="bullet"/>
      <w:lvlText w:val="•"/>
      <w:lvlJc w:val="left"/>
      <w:pPr>
        <w:ind w:left="1867" w:hanging="1060"/>
      </w:pPr>
      <w:rPr>
        <w:rFonts w:hint="default"/>
      </w:rPr>
    </w:lvl>
    <w:lvl w:ilvl="2">
      <w:start w:val="0"/>
      <w:numFmt w:val="bullet"/>
      <w:lvlText w:val="•"/>
      <w:lvlJc w:val="left"/>
      <w:pPr>
        <w:ind w:left="3275" w:hanging="1060"/>
      </w:pPr>
      <w:rPr>
        <w:rFonts w:hint="default"/>
      </w:rPr>
    </w:lvl>
    <w:lvl w:ilvl="3">
      <w:start w:val="0"/>
      <w:numFmt w:val="bullet"/>
      <w:lvlText w:val="•"/>
      <w:lvlJc w:val="left"/>
      <w:pPr>
        <w:ind w:left="4683" w:hanging="1060"/>
      </w:pPr>
      <w:rPr>
        <w:rFonts w:hint="default"/>
      </w:rPr>
    </w:lvl>
    <w:lvl w:ilvl="4">
      <w:start w:val="0"/>
      <w:numFmt w:val="bullet"/>
      <w:lvlText w:val="•"/>
      <w:lvlJc w:val="left"/>
      <w:pPr>
        <w:ind w:left="6091" w:hanging="1060"/>
      </w:pPr>
      <w:rPr>
        <w:rFonts w:hint="default"/>
      </w:rPr>
    </w:lvl>
    <w:lvl w:ilvl="5">
      <w:start w:val="0"/>
      <w:numFmt w:val="bullet"/>
      <w:lvlText w:val="•"/>
      <w:lvlJc w:val="left"/>
      <w:pPr>
        <w:ind w:left="7499" w:hanging="1060"/>
      </w:pPr>
      <w:rPr>
        <w:rFonts w:hint="default"/>
      </w:rPr>
    </w:lvl>
    <w:lvl w:ilvl="6">
      <w:start w:val="0"/>
      <w:numFmt w:val="bullet"/>
      <w:lvlText w:val="•"/>
      <w:lvlJc w:val="left"/>
      <w:pPr>
        <w:ind w:left="8907" w:hanging="1060"/>
      </w:pPr>
      <w:rPr>
        <w:rFonts w:hint="default"/>
      </w:rPr>
    </w:lvl>
    <w:lvl w:ilvl="7">
      <w:start w:val="0"/>
      <w:numFmt w:val="bullet"/>
      <w:lvlText w:val="•"/>
      <w:lvlJc w:val="left"/>
      <w:pPr>
        <w:ind w:left="10315" w:hanging="1060"/>
      </w:pPr>
      <w:rPr>
        <w:rFonts w:hint="default"/>
      </w:rPr>
    </w:lvl>
    <w:lvl w:ilvl="8">
      <w:start w:val="0"/>
      <w:numFmt w:val="bullet"/>
      <w:lvlText w:val="•"/>
      <w:lvlJc w:val="left"/>
      <w:pPr>
        <w:ind w:left="11723" w:hanging="1060"/>
      </w:pPr>
      <w:rPr>
        <w:rFonts w:hint="default"/>
      </w:rPr>
    </w:lvl>
  </w:abstractNum>
  <w:abstractNum w:abstractNumId="2">
    <w:nsid w:val="0C07CC35"/>
    <w:multiLevelType w:val="hybridMultilevel"/>
    <w:tmpl w:val="00000000"/>
    <w:lvl w:ilvl="0">
      <w:start w:val="1"/>
      <w:numFmt w:val="decimal"/>
      <w:lvlText w:val="%1）"/>
      <w:lvlJc w:val="left"/>
      <w:pPr>
        <w:ind w:left="1934" w:hanging="635"/>
        <w:jc w:val="left"/>
      </w:pPr>
      <w:rPr>
        <w:rFonts w:ascii="宋体" w:eastAsia="宋体" w:hAnsi="宋体" w:cs="宋体" w:hint="default"/>
        <w:spacing w:val="0"/>
        <w:w w:val="100"/>
        <w:sz w:val="40"/>
        <w:szCs w:val="40"/>
      </w:rPr>
    </w:lvl>
    <w:lvl w:ilvl="1">
      <w:start w:val="0"/>
      <w:numFmt w:val="bullet"/>
      <w:lvlText w:val="•"/>
      <w:lvlJc w:val="left"/>
      <w:pPr>
        <w:ind w:left="3199" w:hanging="635"/>
      </w:pPr>
      <w:rPr>
        <w:rFonts w:hint="default"/>
      </w:rPr>
    </w:lvl>
    <w:lvl w:ilvl="2">
      <w:start w:val="0"/>
      <w:numFmt w:val="bullet"/>
      <w:lvlText w:val="•"/>
      <w:lvlJc w:val="left"/>
      <w:pPr>
        <w:ind w:left="4459" w:hanging="635"/>
      </w:pPr>
      <w:rPr>
        <w:rFonts w:hint="default"/>
      </w:rPr>
    </w:lvl>
    <w:lvl w:ilvl="3">
      <w:start w:val="0"/>
      <w:numFmt w:val="bullet"/>
      <w:lvlText w:val="•"/>
      <w:lvlJc w:val="left"/>
      <w:pPr>
        <w:ind w:left="5719" w:hanging="635"/>
      </w:pPr>
      <w:rPr>
        <w:rFonts w:hint="default"/>
      </w:rPr>
    </w:lvl>
    <w:lvl w:ilvl="4">
      <w:start w:val="0"/>
      <w:numFmt w:val="bullet"/>
      <w:lvlText w:val="•"/>
      <w:lvlJc w:val="left"/>
      <w:pPr>
        <w:ind w:left="6979" w:hanging="635"/>
      </w:pPr>
      <w:rPr>
        <w:rFonts w:hint="default"/>
      </w:rPr>
    </w:lvl>
    <w:lvl w:ilvl="5">
      <w:start w:val="0"/>
      <w:numFmt w:val="bullet"/>
      <w:lvlText w:val="•"/>
      <w:lvlJc w:val="left"/>
      <w:pPr>
        <w:ind w:left="8239" w:hanging="635"/>
      </w:pPr>
      <w:rPr>
        <w:rFonts w:hint="default"/>
      </w:rPr>
    </w:lvl>
    <w:lvl w:ilvl="6">
      <w:start w:val="0"/>
      <w:numFmt w:val="bullet"/>
      <w:lvlText w:val="•"/>
      <w:lvlJc w:val="left"/>
      <w:pPr>
        <w:ind w:left="9499" w:hanging="635"/>
      </w:pPr>
      <w:rPr>
        <w:rFonts w:hint="default"/>
      </w:rPr>
    </w:lvl>
    <w:lvl w:ilvl="7">
      <w:start w:val="0"/>
      <w:numFmt w:val="bullet"/>
      <w:lvlText w:val="•"/>
      <w:lvlJc w:val="left"/>
      <w:pPr>
        <w:ind w:left="10759" w:hanging="635"/>
      </w:pPr>
      <w:rPr>
        <w:rFonts w:hint="default"/>
      </w:rPr>
    </w:lvl>
    <w:lvl w:ilvl="8">
      <w:start w:val="0"/>
      <w:numFmt w:val="bullet"/>
      <w:lvlText w:val="•"/>
      <w:lvlJc w:val="left"/>
      <w:pPr>
        <w:ind w:left="12019" w:hanging="635"/>
      </w:pPr>
      <w:rPr>
        <w:rFonts w:hint="default"/>
      </w:rPr>
    </w:lvl>
  </w:abstractNum>
  <w:abstractNum w:abstractNumId="3">
    <w:nsid w:val="178A2016"/>
    <w:multiLevelType w:val="hybridMultilevel"/>
    <w:tmpl w:val="00000000"/>
    <w:lvl w:ilvl="0">
      <w:start w:val="10"/>
      <w:numFmt w:val="decimal"/>
      <w:lvlText w:val="%1"/>
      <w:lvlJc w:val="left"/>
      <w:pPr>
        <w:ind w:left="1339" w:hanging="1005"/>
        <w:jc w:val="left"/>
      </w:pPr>
      <w:rPr>
        <w:rFonts w:ascii="Bookman Old Style" w:eastAsia="Bookman Old Style" w:hAnsi="Bookman Old Style" w:cs="Bookman Old Style" w:hint="default"/>
        <w:w w:val="82"/>
        <w:sz w:val="31"/>
        <w:szCs w:val="31"/>
      </w:rPr>
    </w:lvl>
    <w:lvl w:ilvl="1">
      <w:start w:val="0"/>
      <w:numFmt w:val="bullet"/>
      <w:lvlText w:val="•"/>
      <w:lvlJc w:val="left"/>
      <w:pPr>
        <w:ind w:left="2183" w:hanging="1005"/>
      </w:pPr>
      <w:rPr>
        <w:rFonts w:hint="default"/>
      </w:rPr>
    </w:lvl>
    <w:lvl w:ilvl="2">
      <w:start w:val="0"/>
      <w:numFmt w:val="bullet"/>
      <w:lvlText w:val="•"/>
      <w:lvlJc w:val="left"/>
      <w:pPr>
        <w:ind w:left="3027" w:hanging="1005"/>
      </w:pPr>
      <w:rPr>
        <w:rFonts w:hint="default"/>
      </w:rPr>
    </w:lvl>
    <w:lvl w:ilvl="3">
      <w:start w:val="0"/>
      <w:numFmt w:val="bullet"/>
      <w:lvlText w:val="•"/>
      <w:lvlJc w:val="left"/>
      <w:pPr>
        <w:ind w:left="3871" w:hanging="1005"/>
      </w:pPr>
      <w:rPr>
        <w:rFonts w:hint="default"/>
      </w:rPr>
    </w:lvl>
    <w:lvl w:ilvl="4">
      <w:start w:val="0"/>
      <w:numFmt w:val="bullet"/>
      <w:lvlText w:val="•"/>
      <w:lvlJc w:val="left"/>
      <w:pPr>
        <w:ind w:left="4715" w:hanging="1005"/>
      </w:pPr>
      <w:rPr>
        <w:rFonts w:hint="default"/>
      </w:rPr>
    </w:lvl>
    <w:lvl w:ilvl="5">
      <w:start w:val="0"/>
      <w:numFmt w:val="bullet"/>
      <w:lvlText w:val="•"/>
      <w:lvlJc w:val="left"/>
      <w:pPr>
        <w:ind w:left="5559" w:hanging="1005"/>
      </w:pPr>
      <w:rPr>
        <w:rFonts w:hint="default"/>
      </w:rPr>
    </w:lvl>
    <w:lvl w:ilvl="6">
      <w:start w:val="0"/>
      <w:numFmt w:val="bullet"/>
      <w:lvlText w:val="•"/>
      <w:lvlJc w:val="left"/>
      <w:pPr>
        <w:ind w:left="6403" w:hanging="1005"/>
      </w:pPr>
      <w:rPr>
        <w:rFonts w:hint="default"/>
      </w:rPr>
    </w:lvl>
    <w:lvl w:ilvl="7">
      <w:start w:val="0"/>
      <w:numFmt w:val="bullet"/>
      <w:lvlText w:val="•"/>
      <w:lvlJc w:val="left"/>
      <w:pPr>
        <w:ind w:left="7246" w:hanging="1005"/>
      </w:pPr>
      <w:rPr>
        <w:rFonts w:hint="default"/>
      </w:rPr>
    </w:lvl>
    <w:lvl w:ilvl="8">
      <w:start w:val="0"/>
      <w:numFmt w:val="bullet"/>
      <w:lvlText w:val="•"/>
      <w:lvlJc w:val="left"/>
      <w:pPr>
        <w:ind w:left="8090" w:hanging="1005"/>
      </w:pPr>
      <w:rPr>
        <w:rFonts w:hint="default"/>
      </w:rPr>
    </w:lvl>
  </w:abstractNum>
  <w:abstractNum w:abstractNumId="4">
    <w:nsid w:val="1BCA8C6C"/>
    <w:multiLevelType w:val="hybridMultilevel"/>
    <w:tmpl w:val="00000000"/>
    <w:lvl w:ilvl="0">
      <w:start w:val="1"/>
      <w:numFmt w:val="decimal"/>
      <w:lvlText w:val="(%1)"/>
      <w:lvlJc w:val="left"/>
      <w:pPr>
        <w:ind w:left="1933" w:hanging="634"/>
        <w:jc w:val="left"/>
      </w:pPr>
      <w:rPr>
        <w:rFonts w:ascii="宋体" w:eastAsia="宋体" w:hAnsi="宋体" w:cs="宋体" w:hint="default"/>
        <w:w w:val="100"/>
        <w:sz w:val="40"/>
        <w:szCs w:val="40"/>
      </w:rPr>
    </w:lvl>
    <w:lvl w:ilvl="1">
      <w:start w:val="0"/>
      <w:numFmt w:val="bullet"/>
      <w:lvlText w:val="•"/>
      <w:lvlJc w:val="left"/>
      <w:pPr>
        <w:ind w:left="3199" w:hanging="634"/>
      </w:pPr>
      <w:rPr>
        <w:rFonts w:hint="default"/>
      </w:rPr>
    </w:lvl>
    <w:lvl w:ilvl="2">
      <w:start w:val="0"/>
      <w:numFmt w:val="bullet"/>
      <w:lvlText w:val="•"/>
      <w:lvlJc w:val="left"/>
      <w:pPr>
        <w:ind w:left="4459" w:hanging="634"/>
      </w:pPr>
      <w:rPr>
        <w:rFonts w:hint="default"/>
      </w:rPr>
    </w:lvl>
    <w:lvl w:ilvl="3">
      <w:start w:val="0"/>
      <w:numFmt w:val="bullet"/>
      <w:lvlText w:val="•"/>
      <w:lvlJc w:val="left"/>
      <w:pPr>
        <w:ind w:left="5719" w:hanging="634"/>
      </w:pPr>
      <w:rPr>
        <w:rFonts w:hint="default"/>
      </w:rPr>
    </w:lvl>
    <w:lvl w:ilvl="4">
      <w:start w:val="0"/>
      <w:numFmt w:val="bullet"/>
      <w:lvlText w:val="•"/>
      <w:lvlJc w:val="left"/>
      <w:pPr>
        <w:ind w:left="6979" w:hanging="634"/>
      </w:pPr>
      <w:rPr>
        <w:rFonts w:hint="default"/>
      </w:rPr>
    </w:lvl>
    <w:lvl w:ilvl="5">
      <w:start w:val="0"/>
      <w:numFmt w:val="bullet"/>
      <w:lvlText w:val="•"/>
      <w:lvlJc w:val="left"/>
      <w:pPr>
        <w:ind w:left="8239" w:hanging="634"/>
      </w:pPr>
      <w:rPr>
        <w:rFonts w:hint="default"/>
      </w:rPr>
    </w:lvl>
    <w:lvl w:ilvl="6">
      <w:start w:val="0"/>
      <w:numFmt w:val="bullet"/>
      <w:lvlText w:val="•"/>
      <w:lvlJc w:val="left"/>
      <w:pPr>
        <w:ind w:left="9499" w:hanging="634"/>
      </w:pPr>
      <w:rPr>
        <w:rFonts w:hint="default"/>
      </w:rPr>
    </w:lvl>
    <w:lvl w:ilvl="7">
      <w:start w:val="0"/>
      <w:numFmt w:val="bullet"/>
      <w:lvlText w:val="•"/>
      <w:lvlJc w:val="left"/>
      <w:pPr>
        <w:ind w:left="10759" w:hanging="634"/>
      </w:pPr>
      <w:rPr>
        <w:rFonts w:hint="default"/>
      </w:rPr>
    </w:lvl>
    <w:lvl w:ilvl="8">
      <w:start w:val="0"/>
      <w:numFmt w:val="bullet"/>
      <w:lvlText w:val="•"/>
      <w:lvlJc w:val="left"/>
      <w:pPr>
        <w:ind w:left="12019" w:hanging="634"/>
      </w:pPr>
      <w:rPr>
        <w:rFonts w:hint="default"/>
      </w:rPr>
    </w:lvl>
  </w:abstractNum>
  <w:abstractNum w:abstractNumId="5">
    <w:nsid w:val="1E5AF759"/>
    <w:multiLevelType w:val="hybridMultilevel"/>
    <w:tmpl w:val="00000000"/>
    <w:lvl w:ilvl="0">
      <w:start w:val="1"/>
      <w:numFmt w:val="decimal"/>
      <w:lvlText w:val="（%1）"/>
      <w:lvlJc w:val="left"/>
      <w:pPr>
        <w:ind w:left="460" w:hanging="1060"/>
        <w:jc w:val="left"/>
      </w:pPr>
      <w:rPr>
        <w:rFonts w:ascii="宋体" w:eastAsia="宋体" w:hAnsi="宋体" w:cs="宋体" w:hint="default"/>
        <w:w w:val="100"/>
        <w:sz w:val="40"/>
        <w:szCs w:val="40"/>
      </w:rPr>
    </w:lvl>
    <w:lvl w:ilvl="1">
      <w:start w:val="0"/>
      <w:numFmt w:val="bullet"/>
      <w:lvlText w:val="•"/>
      <w:lvlJc w:val="left"/>
      <w:pPr>
        <w:ind w:left="1867" w:hanging="1060"/>
      </w:pPr>
      <w:rPr>
        <w:rFonts w:hint="default"/>
      </w:rPr>
    </w:lvl>
    <w:lvl w:ilvl="2">
      <w:start w:val="0"/>
      <w:numFmt w:val="bullet"/>
      <w:lvlText w:val="•"/>
      <w:lvlJc w:val="left"/>
      <w:pPr>
        <w:ind w:left="3275" w:hanging="1060"/>
      </w:pPr>
      <w:rPr>
        <w:rFonts w:hint="default"/>
      </w:rPr>
    </w:lvl>
    <w:lvl w:ilvl="3">
      <w:start w:val="0"/>
      <w:numFmt w:val="bullet"/>
      <w:lvlText w:val="•"/>
      <w:lvlJc w:val="left"/>
      <w:pPr>
        <w:ind w:left="4683" w:hanging="1060"/>
      </w:pPr>
      <w:rPr>
        <w:rFonts w:hint="default"/>
      </w:rPr>
    </w:lvl>
    <w:lvl w:ilvl="4">
      <w:start w:val="0"/>
      <w:numFmt w:val="bullet"/>
      <w:lvlText w:val="•"/>
      <w:lvlJc w:val="left"/>
      <w:pPr>
        <w:ind w:left="6091" w:hanging="1060"/>
      </w:pPr>
      <w:rPr>
        <w:rFonts w:hint="default"/>
      </w:rPr>
    </w:lvl>
    <w:lvl w:ilvl="5">
      <w:start w:val="0"/>
      <w:numFmt w:val="bullet"/>
      <w:lvlText w:val="•"/>
      <w:lvlJc w:val="left"/>
      <w:pPr>
        <w:ind w:left="7499" w:hanging="1060"/>
      </w:pPr>
      <w:rPr>
        <w:rFonts w:hint="default"/>
      </w:rPr>
    </w:lvl>
    <w:lvl w:ilvl="6">
      <w:start w:val="0"/>
      <w:numFmt w:val="bullet"/>
      <w:lvlText w:val="•"/>
      <w:lvlJc w:val="left"/>
      <w:pPr>
        <w:ind w:left="8907" w:hanging="1060"/>
      </w:pPr>
      <w:rPr>
        <w:rFonts w:hint="default"/>
      </w:rPr>
    </w:lvl>
    <w:lvl w:ilvl="7">
      <w:start w:val="0"/>
      <w:numFmt w:val="bullet"/>
      <w:lvlText w:val="•"/>
      <w:lvlJc w:val="left"/>
      <w:pPr>
        <w:ind w:left="10315" w:hanging="1060"/>
      </w:pPr>
      <w:rPr>
        <w:rFonts w:hint="default"/>
      </w:rPr>
    </w:lvl>
    <w:lvl w:ilvl="8">
      <w:start w:val="0"/>
      <w:numFmt w:val="bullet"/>
      <w:lvlText w:val="•"/>
      <w:lvlJc w:val="left"/>
      <w:pPr>
        <w:ind w:left="11723" w:hanging="1060"/>
      </w:pPr>
      <w:rPr>
        <w:rFonts w:hint="default"/>
      </w:rPr>
    </w:lvl>
  </w:abstractNum>
  <w:abstractNum w:abstractNumId="6">
    <w:nsid w:val="24ED7C02"/>
    <w:multiLevelType w:val="hybridMultilevel"/>
    <w:tmpl w:val="00000000"/>
    <w:lvl w:ilvl="0">
      <w:start w:val="13"/>
      <w:numFmt w:val="decimal"/>
      <w:lvlText w:val="%1"/>
      <w:lvlJc w:val="left"/>
      <w:pPr>
        <w:ind w:left="1497" w:hanging="1163"/>
        <w:jc w:val="left"/>
      </w:pPr>
      <w:rPr>
        <w:rFonts w:ascii="Bookman Old Style" w:eastAsia="Bookman Old Style" w:hAnsi="Bookman Old Style" w:cs="Bookman Old Style" w:hint="default"/>
        <w:w w:val="82"/>
        <w:sz w:val="31"/>
        <w:szCs w:val="31"/>
      </w:rPr>
    </w:lvl>
    <w:lvl w:ilvl="1">
      <w:start w:val="0"/>
      <w:numFmt w:val="bullet"/>
      <w:lvlText w:val="•"/>
      <w:lvlJc w:val="left"/>
      <w:pPr>
        <w:ind w:left="1599" w:hanging="1163"/>
      </w:pPr>
      <w:rPr>
        <w:rFonts w:hint="default"/>
      </w:rPr>
    </w:lvl>
    <w:lvl w:ilvl="2">
      <w:start w:val="0"/>
      <w:numFmt w:val="bullet"/>
      <w:lvlText w:val="•"/>
      <w:lvlJc w:val="left"/>
      <w:pPr>
        <w:ind w:left="1698" w:hanging="1163"/>
      </w:pPr>
      <w:rPr>
        <w:rFonts w:hint="default"/>
      </w:rPr>
    </w:lvl>
    <w:lvl w:ilvl="3">
      <w:start w:val="0"/>
      <w:numFmt w:val="bullet"/>
      <w:lvlText w:val="•"/>
      <w:lvlJc w:val="left"/>
      <w:pPr>
        <w:ind w:left="1797" w:hanging="1163"/>
      </w:pPr>
      <w:rPr>
        <w:rFonts w:hint="default"/>
      </w:rPr>
    </w:lvl>
    <w:lvl w:ilvl="4">
      <w:start w:val="0"/>
      <w:numFmt w:val="bullet"/>
      <w:lvlText w:val="•"/>
      <w:lvlJc w:val="left"/>
      <w:pPr>
        <w:ind w:left="1896" w:hanging="1163"/>
      </w:pPr>
      <w:rPr>
        <w:rFonts w:hint="default"/>
      </w:rPr>
    </w:lvl>
    <w:lvl w:ilvl="5">
      <w:start w:val="0"/>
      <w:numFmt w:val="bullet"/>
      <w:lvlText w:val="•"/>
      <w:lvlJc w:val="left"/>
      <w:pPr>
        <w:ind w:left="1995" w:hanging="1163"/>
      </w:pPr>
      <w:rPr>
        <w:rFonts w:hint="default"/>
      </w:rPr>
    </w:lvl>
    <w:lvl w:ilvl="6">
      <w:start w:val="0"/>
      <w:numFmt w:val="bullet"/>
      <w:lvlText w:val="•"/>
      <w:lvlJc w:val="left"/>
      <w:pPr>
        <w:ind w:left="2094" w:hanging="1163"/>
      </w:pPr>
      <w:rPr>
        <w:rFonts w:hint="default"/>
      </w:rPr>
    </w:lvl>
    <w:lvl w:ilvl="7">
      <w:start w:val="0"/>
      <w:numFmt w:val="bullet"/>
      <w:lvlText w:val="•"/>
      <w:lvlJc w:val="left"/>
      <w:pPr>
        <w:ind w:left="2193" w:hanging="1163"/>
      </w:pPr>
      <w:rPr>
        <w:rFonts w:hint="default"/>
      </w:rPr>
    </w:lvl>
    <w:lvl w:ilvl="8">
      <w:start w:val="0"/>
      <w:numFmt w:val="bullet"/>
      <w:lvlText w:val="•"/>
      <w:lvlJc w:val="left"/>
      <w:pPr>
        <w:ind w:left="2293" w:hanging="1163"/>
      </w:pPr>
      <w:rPr>
        <w:rFonts w:hint="default"/>
      </w:rPr>
    </w:lvl>
  </w:abstractNum>
  <w:abstractNum w:abstractNumId="7">
    <w:nsid w:val="2621DD8B"/>
    <w:multiLevelType w:val="hybridMultilevel"/>
    <w:tmpl w:val="00000000"/>
    <w:lvl w:ilvl="0">
      <w:start w:val="1"/>
      <w:numFmt w:val="decimal"/>
      <w:lvlText w:val="（%1）"/>
      <w:lvlJc w:val="left"/>
      <w:pPr>
        <w:ind w:left="460" w:hanging="1060"/>
        <w:jc w:val="left"/>
      </w:pPr>
      <w:rPr>
        <w:rFonts w:ascii="宋体" w:eastAsia="宋体" w:hAnsi="宋体" w:cs="宋体" w:hint="default"/>
        <w:w w:val="100"/>
        <w:sz w:val="40"/>
        <w:szCs w:val="40"/>
      </w:rPr>
    </w:lvl>
    <w:lvl w:ilvl="1">
      <w:start w:val="0"/>
      <w:numFmt w:val="bullet"/>
      <w:lvlText w:val="•"/>
      <w:lvlJc w:val="left"/>
      <w:pPr>
        <w:ind w:left="1867" w:hanging="1060"/>
      </w:pPr>
      <w:rPr>
        <w:rFonts w:hint="default"/>
      </w:rPr>
    </w:lvl>
    <w:lvl w:ilvl="2">
      <w:start w:val="0"/>
      <w:numFmt w:val="bullet"/>
      <w:lvlText w:val="•"/>
      <w:lvlJc w:val="left"/>
      <w:pPr>
        <w:ind w:left="3275" w:hanging="1060"/>
      </w:pPr>
      <w:rPr>
        <w:rFonts w:hint="default"/>
      </w:rPr>
    </w:lvl>
    <w:lvl w:ilvl="3">
      <w:start w:val="0"/>
      <w:numFmt w:val="bullet"/>
      <w:lvlText w:val="•"/>
      <w:lvlJc w:val="left"/>
      <w:pPr>
        <w:ind w:left="4683" w:hanging="1060"/>
      </w:pPr>
      <w:rPr>
        <w:rFonts w:hint="default"/>
      </w:rPr>
    </w:lvl>
    <w:lvl w:ilvl="4">
      <w:start w:val="0"/>
      <w:numFmt w:val="bullet"/>
      <w:lvlText w:val="•"/>
      <w:lvlJc w:val="left"/>
      <w:pPr>
        <w:ind w:left="6091" w:hanging="1060"/>
      </w:pPr>
      <w:rPr>
        <w:rFonts w:hint="default"/>
      </w:rPr>
    </w:lvl>
    <w:lvl w:ilvl="5">
      <w:start w:val="0"/>
      <w:numFmt w:val="bullet"/>
      <w:lvlText w:val="•"/>
      <w:lvlJc w:val="left"/>
      <w:pPr>
        <w:ind w:left="7499" w:hanging="1060"/>
      </w:pPr>
      <w:rPr>
        <w:rFonts w:hint="default"/>
      </w:rPr>
    </w:lvl>
    <w:lvl w:ilvl="6">
      <w:start w:val="0"/>
      <w:numFmt w:val="bullet"/>
      <w:lvlText w:val="•"/>
      <w:lvlJc w:val="left"/>
      <w:pPr>
        <w:ind w:left="8907" w:hanging="1060"/>
      </w:pPr>
      <w:rPr>
        <w:rFonts w:hint="default"/>
      </w:rPr>
    </w:lvl>
    <w:lvl w:ilvl="7">
      <w:start w:val="0"/>
      <w:numFmt w:val="bullet"/>
      <w:lvlText w:val="•"/>
      <w:lvlJc w:val="left"/>
      <w:pPr>
        <w:ind w:left="10315" w:hanging="1060"/>
      </w:pPr>
      <w:rPr>
        <w:rFonts w:hint="default"/>
      </w:rPr>
    </w:lvl>
    <w:lvl w:ilvl="8">
      <w:start w:val="0"/>
      <w:numFmt w:val="bullet"/>
      <w:lvlText w:val="•"/>
      <w:lvlJc w:val="left"/>
      <w:pPr>
        <w:ind w:left="11723" w:hanging="1060"/>
      </w:pPr>
      <w:rPr>
        <w:rFonts w:hint="default"/>
      </w:rPr>
    </w:lvl>
  </w:abstractNum>
  <w:abstractNum w:abstractNumId="8">
    <w:nsid w:val="2F935F28"/>
    <w:multiLevelType w:val="hybridMultilevel"/>
    <w:tmpl w:val="00000000"/>
    <w:lvl w:ilvl="0">
      <w:start w:val="1"/>
      <w:numFmt w:val="decimal"/>
      <w:lvlText w:val="(%1)"/>
      <w:lvlJc w:val="left"/>
      <w:pPr>
        <w:ind w:left="460" w:hanging="634"/>
        <w:jc w:val="left"/>
      </w:pPr>
      <w:rPr>
        <w:rFonts w:ascii="宋体" w:eastAsia="宋体" w:hAnsi="宋体" w:cs="宋体" w:hint="default"/>
        <w:w w:val="100"/>
        <w:sz w:val="40"/>
        <w:szCs w:val="40"/>
      </w:rPr>
    </w:lvl>
    <w:lvl w:ilvl="1">
      <w:start w:val="0"/>
      <w:numFmt w:val="bullet"/>
      <w:lvlText w:val="•"/>
      <w:lvlJc w:val="left"/>
      <w:pPr>
        <w:ind w:left="1867" w:hanging="634"/>
      </w:pPr>
      <w:rPr>
        <w:rFonts w:hint="default"/>
      </w:rPr>
    </w:lvl>
    <w:lvl w:ilvl="2">
      <w:start w:val="0"/>
      <w:numFmt w:val="bullet"/>
      <w:lvlText w:val="•"/>
      <w:lvlJc w:val="left"/>
      <w:pPr>
        <w:ind w:left="3275" w:hanging="634"/>
      </w:pPr>
      <w:rPr>
        <w:rFonts w:hint="default"/>
      </w:rPr>
    </w:lvl>
    <w:lvl w:ilvl="3">
      <w:start w:val="0"/>
      <w:numFmt w:val="bullet"/>
      <w:lvlText w:val="•"/>
      <w:lvlJc w:val="left"/>
      <w:pPr>
        <w:ind w:left="4683" w:hanging="634"/>
      </w:pPr>
      <w:rPr>
        <w:rFonts w:hint="default"/>
      </w:rPr>
    </w:lvl>
    <w:lvl w:ilvl="4">
      <w:start w:val="0"/>
      <w:numFmt w:val="bullet"/>
      <w:lvlText w:val="•"/>
      <w:lvlJc w:val="left"/>
      <w:pPr>
        <w:ind w:left="6091" w:hanging="634"/>
      </w:pPr>
      <w:rPr>
        <w:rFonts w:hint="default"/>
      </w:rPr>
    </w:lvl>
    <w:lvl w:ilvl="5">
      <w:start w:val="0"/>
      <w:numFmt w:val="bullet"/>
      <w:lvlText w:val="•"/>
      <w:lvlJc w:val="left"/>
      <w:pPr>
        <w:ind w:left="7499" w:hanging="634"/>
      </w:pPr>
      <w:rPr>
        <w:rFonts w:hint="default"/>
      </w:rPr>
    </w:lvl>
    <w:lvl w:ilvl="6">
      <w:start w:val="0"/>
      <w:numFmt w:val="bullet"/>
      <w:lvlText w:val="•"/>
      <w:lvlJc w:val="left"/>
      <w:pPr>
        <w:ind w:left="8907" w:hanging="634"/>
      </w:pPr>
      <w:rPr>
        <w:rFonts w:hint="default"/>
      </w:rPr>
    </w:lvl>
    <w:lvl w:ilvl="7">
      <w:start w:val="0"/>
      <w:numFmt w:val="bullet"/>
      <w:lvlText w:val="•"/>
      <w:lvlJc w:val="left"/>
      <w:pPr>
        <w:ind w:left="10315" w:hanging="634"/>
      </w:pPr>
      <w:rPr>
        <w:rFonts w:hint="default"/>
      </w:rPr>
    </w:lvl>
    <w:lvl w:ilvl="8">
      <w:start w:val="0"/>
      <w:numFmt w:val="bullet"/>
      <w:lvlText w:val="•"/>
      <w:lvlJc w:val="left"/>
      <w:pPr>
        <w:ind w:left="11723" w:hanging="634"/>
      </w:pPr>
      <w:rPr>
        <w:rFonts w:hint="default"/>
      </w:rPr>
    </w:lvl>
  </w:abstractNum>
  <w:abstractNum w:abstractNumId="9">
    <w:nsid w:val="33DF5E0E"/>
    <w:multiLevelType w:val="hybridMultilevel"/>
    <w:tmpl w:val="00000000"/>
    <w:lvl w:ilvl="0">
      <w:start w:val="1"/>
      <w:numFmt w:val="decimal"/>
      <w:lvlText w:val="%1）"/>
      <w:lvlJc w:val="left"/>
      <w:pPr>
        <w:ind w:left="1970" w:hanging="671"/>
        <w:jc w:val="left"/>
      </w:pPr>
      <w:rPr>
        <w:rFonts w:ascii="宋体" w:eastAsia="宋体" w:hAnsi="宋体" w:cs="宋体" w:hint="default"/>
        <w:spacing w:val="-173"/>
        <w:w w:val="100"/>
        <w:sz w:val="40"/>
        <w:szCs w:val="40"/>
      </w:rPr>
    </w:lvl>
    <w:lvl w:ilvl="1">
      <w:start w:val="0"/>
      <w:numFmt w:val="bullet"/>
      <w:lvlText w:val="•"/>
      <w:lvlJc w:val="left"/>
      <w:pPr>
        <w:ind w:left="3235" w:hanging="671"/>
      </w:pPr>
      <w:rPr>
        <w:rFonts w:hint="default"/>
      </w:rPr>
    </w:lvl>
    <w:lvl w:ilvl="2">
      <w:start w:val="0"/>
      <w:numFmt w:val="bullet"/>
      <w:lvlText w:val="•"/>
      <w:lvlJc w:val="left"/>
      <w:pPr>
        <w:ind w:left="4491" w:hanging="671"/>
      </w:pPr>
      <w:rPr>
        <w:rFonts w:hint="default"/>
      </w:rPr>
    </w:lvl>
    <w:lvl w:ilvl="3">
      <w:start w:val="0"/>
      <w:numFmt w:val="bullet"/>
      <w:lvlText w:val="•"/>
      <w:lvlJc w:val="left"/>
      <w:pPr>
        <w:ind w:left="5747" w:hanging="671"/>
      </w:pPr>
      <w:rPr>
        <w:rFonts w:hint="default"/>
      </w:rPr>
    </w:lvl>
    <w:lvl w:ilvl="4">
      <w:start w:val="0"/>
      <w:numFmt w:val="bullet"/>
      <w:lvlText w:val="•"/>
      <w:lvlJc w:val="left"/>
      <w:pPr>
        <w:ind w:left="7003" w:hanging="671"/>
      </w:pPr>
      <w:rPr>
        <w:rFonts w:hint="default"/>
      </w:rPr>
    </w:lvl>
    <w:lvl w:ilvl="5">
      <w:start w:val="0"/>
      <w:numFmt w:val="bullet"/>
      <w:lvlText w:val="•"/>
      <w:lvlJc w:val="left"/>
      <w:pPr>
        <w:ind w:left="8259" w:hanging="671"/>
      </w:pPr>
      <w:rPr>
        <w:rFonts w:hint="default"/>
      </w:rPr>
    </w:lvl>
    <w:lvl w:ilvl="6">
      <w:start w:val="0"/>
      <w:numFmt w:val="bullet"/>
      <w:lvlText w:val="•"/>
      <w:lvlJc w:val="left"/>
      <w:pPr>
        <w:ind w:left="9515" w:hanging="671"/>
      </w:pPr>
      <w:rPr>
        <w:rFonts w:hint="default"/>
      </w:rPr>
    </w:lvl>
    <w:lvl w:ilvl="7">
      <w:start w:val="0"/>
      <w:numFmt w:val="bullet"/>
      <w:lvlText w:val="•"/>
      <w:lvlJc w:val="left"/>
      <w:pPr>
        <w:ind w:left="10771" w:hanging="671"/>
      </w:pPr>
      <w:rPr>
        <w:rFonts w:hint="default"/>
      </w:rPr>
    </w:lvl>
    <w:lvl w:ilvl="8">
      <w:start w:val="0"/>
      <w:numFmt w:val="bullet"/>
      <w:lvlText w:val="•"/>
      <w:lvlJc w:val="left"/>
      <w:pPr>
        <w:ind w:left="12027" w:hanging="671"/>
      </w:pPr>
      <w:rPr>
        <w:rFonts w:hint="default"/>
      </w:rPr>
    </w:lvl>
  </w:abstractNum>
  <w:abstractNum w:abstractNumId="10">
    <w:nsid w:val="35805BAC"/>
    <w:multiLevelType w:val="hybridMultilevel"/>
    <w:tmpl w:val="00000000"/>
    <w:lvl w:ilvl="0">
      <w:start w:val="1"/>
      <w:numFmt w:val="decimal"/>
      <w:lvlText w:val="%1)"/>
      <w:lvlJc w:val="left"/>
      <w:pPr>
        <w:ind w:left="460" w:hanging="423"/>
        <w:jc w:val="left"/>
      </w:pPr>
      <w:rPr>
        <w:rFonts w:ascii="宋体" w:eastAsia="宋体" w:hAnsi="宋体" w:cs="宋体" w:hint="default"/>
        <w:w w:val="100"/>
        <w:sz w:val="40"/>
        <w:szCs w:val="40"/>
      </w:rPr>
    </w:lvl>
    <w:lvl w:ilvl="1">
      <w:start w:val="0"/>
      <w:numFmt w:val="bullet"/>
      <w:lvlText w:val="•"/>
      <w:lvlJc w:val="left"/>
      <w:pPr>
        <w:ind w:left="1867" w:hanging="423"/>
      </w:pPr>
      <w:rPr>
        <w:rFonts w:hint="default"/>
      </w:rPr>
    </w:lvl>
    <w:lvl w:ilvl="2">
      <w:start w:val="0"/>
      <w:numFmt w:val="bullet"/>
      <w:lvlText w:val="•"/>
      <w:lvlJc w:val="left"/>
      <w:pPr>
        <w:ind w:left="3275" w:hanging="423"/>
      </w:pPr>
      <w:rPr>
        <w:rFonts w:hint="default"/>
      </w:rPr>
    </w:lvl>
    <w:lvl w:ilvl="3">
      <w:start w:val="0"/>
      <w:numFmt w:val="bullet"/>
      <w:lvlText w:val="•"/>
      <w:lvlJc w:val="left"/>
      <w:pPr>
        <w:ind w:left="4683" w:hanging="423"/>
      </w:pPr>
      <w:rPr>
        <w:rFonts w:hint="default"/>
      </w:rPr>
    </w:lvl>
    <w:lvl w:ilvl="4">
      <w:start w:val="0"/>
      <w:numFmt w:val="bullet"/>
      <w:lvlText w:val="•"/>
      <w:lvlJc w:val="left"/>
      <w:pPr>
        <w:ind w:left="6091" w:hanging="423"/>
      </w:pPr>
      <w:rPr>
        <w:rFonts w:hint="default"/>
      </w:rPr>
    </w:lvl>
    <w:lvl w:ilvl="5">
      <w:start w:val="0"/>
      <w:numFmt w:val="bullet"/>
      <w:lvlText w:val="•"/>
      <w:lvlJc w:val="left"/>
      <w:pPr>
        <w:ind w:left="7499" w:hanging="423"/>
      </w:pPr>
      <w:rPr>
        <w:rFonts w:hint="default"/>
      </w:rPr>
    </w:lvl>
    <w:lvl w:ilvl="6">
      <w:start w:val="0"/>
      <w:numFmt w:val="bullet"/>
      <w:lvlText w:val="•"/>
      <w:lvlJc w:val="left"/>
      <w:pPr>
        <w:ind w:left="8907" w:hanging="423"/>
      </w:pPr>
      <w:rPr>
        <w:rFonts w:hint="default"/>
      </w:rPr>
    </w:lvl>
    <w:lvl w:ilvl="7">
      <w:start w:val="0"/>
      <w:numFmt w:val="bullet"/>
      <w:lvlText w:val="•"/>
      <w:lvlJc w:val="left"/>
      <w:pPr>
        <w:ind w:left="10315" w:hanging="423"/>
      </w:pPr>
      <w:rPr>
        <w:rFonts w:hint="default"/>
      </w:rPr>
    </w:lvl>
    <w:lvl w:ilvl="8">
      <w:start w:val="0"/>
      <w:numFmt w:val="bullet"/>
      <w:lvlText w:val="•"/>
      <w:lvlJc w:val="left"/>
      <w:pPr>
        <w:ind w:left="11723" w:hanging="423"/>
      </w:pPr>
      <w:rPr>
        <w:rFonts w:hint="default"/>
      </w:rPr>
    </w:lvl>
  </w:abstractNum>
  <w:abstractNum w:abstractNumId="11">
    <w:nsid w:val="38512F7E"/>
    <w:multiLevelType w:val="hybridMultilevel"/>
    <w:tmpl w:val="00000000"/>
    <w:lvl w:ilvl="0">
      <w:start w:val="2"/>
      <w:numFmt w:val="decimal"/>
      <w:lvlText w:val="%1"/>
      <w:lvlJc w:val="left"/>
      <w:pPr>
        <w:ind w:left="619" w:hanging="205"/>
        <w:jc w:val="left"/>
      </w:pPr>
      <w:rPr>
        <w:rFonts w:ascii="Bookman Old Style" w:eastAsia="Bookman Old Style" w:hAnsi="Bookman Old Style" w:cs="Bookman Old Style" w:hint="default"/>
        <w:w w:val="82"/>
        <w:sz w:val="31"/>
        <w:szCs w:val="31"/>
      </w:rPr>
    </w:lvl>
    <w:lvl w:ilvl="1">
      <w:start w:val="0"/>
      <w:numFmt w:val="bullet"/>
      <w:lvlText w:val="•"/>
      <w:lvlJc w:val="left"/>
      <w:pPr>
        <w:ind w:left="772" w:hanging="205"/>
      </w:pPr>
      <w:rPr>
        <w:rFonts w:hint="default"/>
      </w:rPr>
    </w:lvl>
    <w:lvl w:ilvl="2">
      <w:start w:val="0"/>
      <w:numFmt w:val="bullet"/>
      <w:lvlText w:val="•"/>
      <w:lvlJc w:val="left"/>
      <w:pPr>
        <w:ind w:left="925" w:hanging="205"/>
      </w:pPr>
      <w:rPr>
        <w:rFonts w:hint="default"/>
      </w:rPr>
    </w:lvl>
    <w:lvl w:ilvl="3">
      <w:start w:val="0"/>
      <w:numFmt w:val="bullet"/>
      <w:lvlText w:val="•"/>
      <w:lvlJc w:val="left"/>
      <w:pPr>
        <w:ind w:left="1077" w:hanging="205"/>
      </w:pPr>
      <w:rPr>
        <w:rFonts w:hint="default"/>
      </w:rPr>
    </w:lvl>
    <w:lvl w:ilvl="4">
      <w:start w:val="0"/>
      <w:numFmt w:val="bullet"/>
      <w:lvlText w:val="•"/>
      <w:lvlJc w:val="left"/>
      <w:pPr>
        <w:ind w:left="1230" w:hanging="205"/>
      </w:pPr>
      <w:rPr>
        <w:rFonts w:hint="default"/>
      </w:rPr>
    </w:lvl>
    <w:lvl w:ilvl="5">
      <w:start w:val="0"/>
      <w:numFmt w:val="bullet"/>
      <w:lvlText w:val="•"/>
      <w:lvlJc w:val="left"/>
      <w:pPr>
        <w:ind w:left="1382" w:hanging="205"/>
      </w:pPr>
      <w:rPr>
        <w:rFonts w:hint="default"/>
      </w:rPr>
    </w:lvl>
    <w:lvl w:ilvl="6">
      <w:start w:val="0"/>
      <w:numFmt w:val="bullet"/>
      <w:lvlText w:val="•"/>
      <w:lvlJc w:val="left"/>
      <w:pPr>
        <w:ind w:left="1535" w:hanging="205"/>
      </w:pPr>
      <w:rPr>
        <w:rFonts w:hint="default"/>
      </w:rPr>
    </w:lvl>
    <w:lvl w:ilvl="7">
      <w:start w:val="0"/>
      <w:numFmt w:val="bullet"/>
      <w:lvlText w:val="•"/>
      <w:lvlJc w:val="left"/>
      <w:pPr>
        <w:ind w:left="1688" w:hanging="205"/>
      </w:pPr>
      <w:rPr>
        <w:rFonts w:hint="default"/>
      </w:rPr>
    </w:lvl>
    <w:lvl w:ilvl="8">
      <w:start w:val="0"/>
      <w:numFmt w:val="bullet"/>
      <w:lvlText w:val="•"/>
      <w:lvlJc w:val="left"/>
      <w:pPr>
        <w:ind w:left="1840" w:hanging="205"/>
      </w:pPr>
      <w:rPr>
        <w:rFonts w:hint="default"/>
      </w:rPr>
    </w:lvl>
  </w:abstractNum>
  <w:abstractNum w:abstractNumId="12">
    <w:nsid w:val="3871264C"/>
    <w:multiLevelType w:val="hybridMultilevel"/>
    <w:tmpl w:val="00000000"/>
    <w:lvl w:ilvl="0">
      <w:start w:val="1"/>
      <w:numFmt w:val="decimal"/>
      <w:lvlText w:val="（%1）"/>
      <w:lvlJc w:val="left"/>
      <w:pPr>
        <w:ind w:left="460" w:hanging="1053"/>
        <w:jc w:val="left"/>
      </w:pPr>
      <w:rPr>
        <w:rFonts w:ascii="宋体" w:eastAsia="宋体" w:hAnsi="宋体" w:cs="宋体" w:hint="default"/>
        <w:spacing w:val="-87"/>
        <w:w w:val="100"/>
        <w:sz w:val="40"/>
        <w:szCs w:val="40"/>
      </w:rPr>
    </w:lvl>
    <w:lvl w:ilvl="1">
      <w:start w:val="0"/>
      <w:numFmt w:val="bullet"/>
      <w:lvlText w:val="•"/>
      <w:lvlJc w:val="left"/>
      <w:pPr>
        <w:ind w:left="1867" w:hanging="1053"/>
      </w:pPr>
      <w:rPr>
        <w:rFonts w:hint="default"/>
      </w:rPr>
    </w:lvl>
    <w:lvl w:ilvl="2">
      <w:start w:val="0"/>
      <w:numFmt w:val="bullet"/>
      <w:lvlText w:val="•"/>
      <w:lvlJc w:val="left"/>
      <w:pPr>
        <w:ind w:left="3275" w:hanging="1053"/>
      </w:pPr>
      <w:rPr>
        <w:rFonts w:hint="default"/>
      </w:rPr>
    </w:lvl>
    <w:lvl w:ilvl="3">
      <w:start w:val="0"/>
      <w:numFmt w:val="bullet"/>
      <w:lvlText w:val="•"/>
      <w:lvlJc w:val="left"/>
      <w:pPr>
        <w:ind w:left="4683" w:hanging="1053"/>
      </w:pPr>
      <w:rPr>
        <w:rFonts w:hint="default"/>
      </w:rPr>
    </w:lvl>
    <w:lvl w:ilvl="4">
      <w:start w:val="0"/>
      <w:numFmt w:val="bullet"/>
      <w:lvlText w:val="•"/>
      <w:lvlJc w:val="left"/>
      <w:pPr>
        <w:ind w:left="6091" w:hanging="1053"/>
      </w:pPr>
      <w:rPr>
        <w:rFonts w:hint="default"/>
      </w:rPr>
    </w:lvl>
    <w:lvl w:ilvl="5">
      <w:start w:val="0"/>
      <w:numFmt w:val="bullet"/>
      <w:lvlText w:val="•"/>
      <w:lvlJc w:val="left"/>
      <w:pPr>
        <w:ind w:left="7499" w:hanging="1053"/>
      </w:pPr>
      <w:rPr>
        <w:rFonts w:hint="default"/>
      </w:rPr>
    </w:lvl>
    <w:lvl w:ilvl="6">
      <w:start w:val="0"/>
      <w:numFmt w:val="bullet"/>
      <w:lvlText w:val="•"/>
      <w:lvlJc w:val="left"/>
      <w:pPr>
        <w:ind w:left="8907" w:hanging="1053"/>
      </w:pPr>
      <w:rPr>
        <w:rFonts w:hint="default"/>
      </w:rPr>
    </w:lvl>
    <w:lvl w:ilvl="7">
      <w:start w:val="0"/>
      <w:numFmt w:val="bullet"/>
      <w:lvlText w:val="•"/>
      <w:lvlJc w:val="left"/>
      <w:pPr>
        <w:ind w:left="10315" w:hanging="1053"/>
      </w:pPr>
      <w:rPr>
        <w:rFonts w:hint="default"/>
      </w:rPr>
    </w:lvl>
    <w:lvl w:ilvl="8">
      <w:start w:val="0"/>
      <w:numFmt w:val="bullet"/>
      <w:lvlText w:val="•"/>
      <w:lvlJc w:val="left"/>
      <w:pPr>
        <w:ind w:left="11723" w:hanging="1053"/>
      </w:pPr>
      <w:rPr>
        <w:rFonts w:hint="default"/>
      </w:rPr>
    </w:lvl>
  </w:abstractNum>
  <w:abstractNum w:abstractNumId="13">
    <w:nsid w:val="3E823704"/>
    <w:multiLevelType w:val="hybridMultilevel"/>
    <w:tmpl w:val="00000000"/>
    <w:lvl w:ilvl="0">
      <w:start w:val="6"/>
      <w:numFmt w:val="decimal"/>
      <w:lvlText w:val="%1"/>
      <w:lvlJc w:val="left"/>
      <w:pPr>
        <w:ind w:left="1339" w:hanging="925"/>
        <w:jc w:val="left"/>
      </w:pPr>
      <w:rPr>
        <w:rFonts w:ascii="Bookman Old Style" w:eastAsia="Bookman Old Style" w:hAnsi="Bookman Old Style" w:cs="Bookman Old Style" w:hint="default"/>
        <w:w w:val="82"/>
        <w:sz w:val="31"/>
        <w:szCs w:val="31"/>
      </w:rPr>
    </w:lvl>
    <w:lvl w:ilvl="1">
      <w:start w:val="0"/>
      <w:numFmt w:val="bullet"/>
      <w:lvlText w:val="•"/>
      <w:lvlJc w:val="left"/>
      <w:pPr>
        <w:ind w:left="1438" w:hanging="925"/>
      </w:pPr>
      <w:rPr>
        <w:rFonts w:hint="default"/>
      </w:rPr>
    </w:lvl>
    <w:lvl w:ilvl="2">
      <w:start w:val="0"/>
      <w:numFmt w:val="bullet"/>
      <w:lvlText w:val="•"/>
      <w:lvlJc w:val="left"/>
      <w:pPr>
        <w:ind w:left="1537" w:hanging="925"/>
      </w:pPr>
      <w:rPr>
        <w:rFonts w:hint="default"/>
      </w:rPr>
    </w:lvl>
    <w:lvl w:ilvl="3">
      <w:start w:val="0"/>
      <w:numFmt w:val="bullet"/>
      <w:lvlText w:val="•"/>
      <w:lvlJc w:val="left"/>
      <w:pPr>
        <w:ind w:left="1636" w:hanging="925"/>
      </w:pPr>
      <w:rPr>
        <w:rFonts w:hint="default"/>
      </w:rPr>
    </w:lvl>
    <w:lvl w:ilvl="4">
      <w:start w:val="0"/>
      <w:numFmt w:val="bullet"/>
      <w:lvlText w:val="•"/>
      <w:lvlJc w:val="left"/>
      <w:pPr>
        <w:ind w:left="1735" w:hanging="925"/>
      </w:pPr>
      <w:rPr>
        <w:rFonts w:hint="default"/>
      </w:rPr>
    </w:lvl>
    <w:lvl w:ilvl="5">
      <w:start w:val="0"/>
      <w:numFmt w:val="bullet"/>
      <w:lvlText w:val="•"/>
      <w:lvlJc w:val="left"/>
      <w:pPr>
        <w:ind w:left="1834" w:hanging="925"/>
      </w:pPr>
      <w:rPr>
        <w:rFonts w:hint="default"/>
      </w:rPr>
    </w:lvl>
    <w:lvl w:ilvl="6">
      <w:start w:val="0"/>
      <w:numFmt w:val="bullet"/>
      <w:lvlText w:val="•"/>
      <w:lvlJc w:val="left"/>
      <w:pPr>
        <w:ind w:left="1933" w:hanging="925"/>
      </w:pPr>
      <w:rPr>
        <w:rFonts w:hint="default"/>
      </w:rPr>
    </w:lvl>
    <w:lvl w:ilvl="7">
      <w:start w:val="0"/>
      <w:numFmt w:val="bullet"/>
      <w:lvlText w:val="•"/>
      <w:lvlJc w:val="left"/>
      <w:pPr>
        <w:ind w:left="2032" w:hanging="925"/>
      </w:pPr>
      <w:rPr>
        <w:rFonts w:hint="default"/>
      </w:rPr>
    </w:lvl>
    <w:lvl w:ilvl="8">
      <w:start w:val="0"/>
      <w:numFmt w:val="bullet"/>
      <w:lvlText w:val="•"/>
      <w:lvlJc w:val="left"/>
      <w:pPr>
        <w:ind w:left="2131" w:hanging="925"/>
      </w:pPr>
      <w:rPr>
        <w:rFonts w:hint="default"/>
      </w:rPr>
    </w:lvl>
  </w:abstractNum>
  <w:abstractNum w:abstractNumId="14">
    <w:nsid w:val="46601B9E"/>
    <w:multiLevelType w:val="hybridMultilevel"/>
    <w:tmpl w:val="00000000"/>
    <w:lvl w:ilvl="0">
      <w:start w:val="1"/>
      <w:numFmt w:val="decimal"/>
      <w:lvlText w:val="（%1）"/>
      <w:lvlJc w:val="left"/>
      <w:pPr>
        <w:ind w:left="2355" w:hanging="1056"/>
        <w:jc w:val="left"/>
      </w:pPr>
      <w:rPr>
        <w:rFonts w:ascii="宋体" w:eastAsia="宋体" w:hAnsi="宋体" w:cs="宋体" w:hint="default"/>
        <w:w w:val="100"/>
        <w:sz w:val="40"/>
        <w:szCs w:val="40"/>
      </w:rPr>
    </w:lvl>
    <w:lvl w:ilvl="1">
      <w:start w:val="0"/>
      <w:numFmt w:val="bullet"/>
      <w:lvlText w:val="•"/>
      <w:lvlJc w:val="left"/>
      <w:pPr>
        <w:ind w:left="3577" w:hanging="1056"/>
      </w:pPr>
      <w:rPr>
        <w:rFonts w:hint="default"/>
      </w:rPr>
    </w:lvl>
    <w:lvl w:ilvl="2">
      <w:start w:val="0"/>
      <w:numFmt w:val="bullet"/>
      <w:lvlText w:val="•"/>
      <w:lvlJc w:val="left"/>
      <w:pPr>
        <w:ind w:left="4795" w:hanging="1056"/>
      </w:pPr>
      <w:rPr>
        <w:rFonts w:hint="default"/>
      </w:rPr>
    </w:lvl>
    <w:lvl w:ilvl="3">
      <w:start w:val="0"/>
      <w:numFmt w:val="bullet"/>
      <w:lvlText w:val="•"/>
      <w:lvlJc w:val="left"/>
      <w:pPr>
        <w:ind w:left="6013" w:hanging="1056"/>
      </w:pPr>
      <w:rPr>
        <w:rFonts w:hint="default"/>
      </w:rPr>
    </w:lvl>
    <w:lvl w:ilvl="4">
      <w:start w:val="0"/>
      <w:numFmt w:val="bullet"/>
      <w:lvlText w:val="•"/>
      <w:lvlJc w:val="left"/>
      <w:pPr>
        <w:ind w:left="7231" w:hanging="1056"/>
      </w:pPr>
      <w:rPr>
        <w:rFonts w:hint="default"/>
      </w:rPr>
    </w:lvl>
    <w:lvl w:ilvl="5">
      <w:start w:val="0"/>
      <w:numFmt w:val="bullet"/>
      <w:lvlText w:val="•"/>
      <w:lvlJc w:val="left"/>
      <w:pPr>
        <w:ind w:left="8449" w:hanging="1056"/>
      </w:pPr>
      <w:rPr>
        <w:rFonts w:hint="default"/>
      </w:rPr>
    </w:lvl>
    <w:lvl w:ilvl="6">
      <w:start w:val="0"/>
      <w:numFmt w:val="bullet"/>
      <w:lvlText w:val="•"/>
      <w:lvlJc w:val="left"/>
      <w:pPr>
        <w:ind w:left="9667" w:hanging="1056"/>
      </w:pPr>
      <w:rPr>
        <w:rFonts w:hint="default"/>
      </w:rPr>
    </w:lvl>
    <w:lvl w:ilvl="7">
      <w:start w:val="0"/>
      <w:numFmt w:val="bullet"/>
      <w:lvlText w:val="•"/>
      <w:lvlJc w:val="left"/>
      <w:pPr>
        <w:ind w:left="10885" w:hanging="1056"/>
      </w:pPr>
      <w:rPr>
        <w:rFonts w:hint="default"/>
      </w:rPr>
    </w:lvl>
    <w:lvl w:ilvl="8">
      <w:start w:val="0"/>
      <w:numFmt w:val="bullet"/>
      <w:lvlText w:val="•"/>
      <w:lvlJc w:val="left"/>
      <w:pPr>
        <w:ind w:left="12103" w:hanging="1056"/>
      </w:pPr>
      <w:rPr>
        <w:rFonts w:hint="default"/>
      </w:rPr>
    </w:lvl>
  </w:abstractNum>
  <w:abstractNum w:abstractNumId="15">
    <w:nsid w:val="5EE47927"/>
    <w:multiLevelType w:val="hybridMultilevel"/>
    <w:tmpl w:val="00000000"/>
    <w:lvl w:ilvl="0">
      <w:start w:val="1"/>
      <w:numFmt w:val="decimal"/>
      <w:lvlText w:val="（%1）"/>
      <w:lvlJc w:val="left"/>
      <w:pPr>
        <w:ind w:left="460" w:hanging="1060"/>
        <w:jc w:val="left"/>
      </w:pPr>
      <w:rPr>
        <w:rFonts w:ascii="宋体" w:eastAsia="宋体" w:hAnsi="宋体" w:cs="宋体" w:hint="default"/>
        <w:w w:val="100"/>
        <w:sz w:val="40"/>
        <w:szCs w:val="40"/>
      </w:rPr>
    </w:lvl>
    <w:lvl w:ilvl="1">
      <w:start w:val="0"/>
      <w:numFmt w:val="bullet"/>
      <w:lvlText w:val="•"/>
      <w:lvlJc w:val="left"/>
      <w:pPr>
        <w:ind w:left="1867" w:hanging="1060"/>
      </w:pPr>
      <w:rPr>
        <w:rFonts w:hint="default"/>
      </w:rPr>
    </w:lvl>
    <w:lvl w:ilvl="2">
      <w:start w:val="0"/>
      <w:numFmt w:val="bullet"/>
      <w:lvlText w:val="•"/>
      <w:lvlJc w:val="left"/>
      <w:pPr>
        <w:ind w:left="3275" w:hanging="1060"/>
      </w:pPr>
      <w:rPr>
        <w:rFonts w:hint="default"/>
      </w:rPr>
    </w:lvl>
    <w:lvl w:ilvl="3">
      <w:start w:val="0"/>
      <w:numFmt w:val="bullet"/>
      <w:lvlText w:val="•"/>
      <w:lvlJc w:val="left"/>
      <w:pPr>
        <w:ind w:left="4683" w:hanging="1060"/>
      </w:pPr>
      <w:rPr>
        <w:rFonts w:hint="default"/>
      </w:rPr>
    </w:lvl>
    <w:lvl w:ilvl="4">
      <w:start w:val="0"/>
      <w:numFmt w:val="bullet"/>
      <w:lvlText w:val="•"/>
      <w:lvlJc w:val="left"/>
      <w:pPr>
        <w:ind w:left="6091" w:hanging="1060"/>
      </w:pPr>
      <w:rPr>
        <w:rFonts w:hint="default"/>
      </w:rPr>
    </w:lvl>
    <w:lvl w:ilvl="5">
      <w:start w:val="0"/>
      <w:numFmt w:val="bullet"/>
      <w:lvlText w:val="•"/>
      <w:lvlJc w:val="left"/>
      <w:pPr>
        <w:ind w:left="7499" w:hanging="1060"/>
      </w:pPr>
      <w:rPr>
        <w:rFonts w:hint="default"/>
      </w:rPr>
    </w:lvl>
    <w:lvl w:ilvl="6">
      <w:start w:val="0"/>
      <w:numFmt w:val="bullet"/>
      <w:lvlText w:val="•"/>
      <w:lvlJc w:val="left"/>
      <w:pPr>
        <w:ind w:left="8907" w:hanging="1060"/>
      </w:pPr>
      <w:rPr>
        <w:rFonts w:hint="default"/>
      </w:rPr>
    </w:lvl>
    <w:lvl w:ilvl="7">
      <w:start w:val="0"/>
      <w:numFmt w:val="bullet"/>
      <w:lvlText w:val="•"/>
      <w:lvlJc w:val="left"/>
      <w:pPr>
        <w:ind w:left="10315" w:hanging="1060"/>
      </w:pPr>
      <w:rPr>
        <w:rFonts w:hint="default"/>
      </w:rPr>
    </w:lvl>
    <w:lvl w:ilvl="8">
      <w:start w:val="0"/>
      <w:numFmt w:val="bullet"/>
      <w:lvlText w:val="•"/>
      <w:lvlJc w:val="left"/>
      <w:pPr>
        <w:ind w:left="11723" w:hanging="1060"/>
      </w:pPr>
      <w:rPr>
        <w:rFonts w:hint="default"/>
      </w:rPr>
    </w:lvl>
  </w:abstractNum>
  <w:abstractNum w:abstractNumId="16">
    <w:nsid w:val="5FE1A1B0"/>
    <w:multiLevelType w:val="hybridMultilevel"/>
    <w:tmpl w:val="00000000"/>
    <w:lvl w:ilvl="0">
      <w:start w:val="1"/>
      <w:numFmt w:val="decimal"/>
      <w:lvlText w:val="(%1)"/>
      <w:lvlJc w:val="left"/>
      <w:pPr>
        <w:ind w:left="460" w:hanging="634"/>
        <w:jc w:val="left"/>
      </w:pPr>
      <w:rPr>
        <w:rFonts w:ascii="宋体" w:eastAsia="宋体" w:hAnsi="宋体" w:cs="宋体" w:hint="default"/>
        <w:w w:val="100"/>
        <w:sz w:val="40"/>
        <w:szCs w:val="40"/>
      </w:rPr>
    </w:lvl>
    <w:lvl w:ilvl="1">
      <w:start w:val="0"/>
      <w:numFmt w:val="bullet"/>
      <w:lvlText w:val="•"/>
      <w:lvlJc w:val="left"/>
      <w:pPr>
        <w:ind w:left="1867" w:hanging="634"/>
      </w:pPr>
      <w:rPr>
        <w:rFonts w:hint="default"/>
      </w:rPr>
    </w:lvl>
    <w:lvl w:ilvl="2">
      <w:start w:val="0"/>
      <w:numFmt w:val="bullet"/>
      <w:lvlText w:val="•"/>
      <w:lvlJc w:val="left"/>
      <w:pPr>
        <w:ind w:left="3275" w:hanging="634"/>
      </w:pPr>
      <w:rPr>
        <w:rFonts w:hint="default"/>
      </w:rPr>
    </w:lvl>
    <w:lvl w:ilvl="3">
      <w:start w:val="0"/>
      <w:numFmt w:val="bullet"/>
      <w:lvlText w:val="•"/>
      <w:lvlJc w:val="left"/>
      <w:pPr>
        <w:ind w:left="4683" w:hanging="634"/>
      </w:pPr>
      <w:rPr>
        <w:rFonts w:hint="default"/>
      </w:rPr>
    </w:lvl>
    <w:lvl w:ilvl="4">
      <w:start w:val="0"/>
      <w:numFmt w:val="bullet"/>
      <w:lvlText w:val="•"/>
      <w:lvlJc w:val="left"/>
      <w:pPr>
        <w:ind w:left="6091" w:hanging="634"/>
      </w:pPr>
      <w:rPr>
        <w:rFonts w:hint="default"/>
      </w:rPr>
    </w:lvl>
    <w:lvl w:ilvl="5">
      <w:start w:val="0"/>
      <w:numFmt w:val="bullet"/>
      <w:lvlText w:val="•"/>
      <w:lvlJc w:val="left"/>
      <w:pPr>
        <w:ind w:left="7499" w:hanging="634"/>
      </w:pPr>
      <w:rPr>
        <w:rFonts w:hint="default"/>
      </w:rPr>
    </w:lvl>
    <w:lvl w:ilvl="6">
      <w:start w:val="0"/>
      <w:numFmt w:val="bullet"/>
      <w:lvlText w:val="•"/>
      <w:lvlJc w:val="left"/>
      <w:pPr>
        <w:ind w:left="8907" w:hanging="634"/>
      </w:pPr>
      <w:rPr>
        <w:rFonts w:hint="default"/>
      </w:rPr>
    </w:lvl>
    <w:lvl w:ilvl="7">
      <w:start w:val="0"/>
      <w:numFmt w:val="bullet"/>
      <w:lvlText w:val="•"/>
      <w:lvlJc w:val="left"/>
      <w:pPr>
        <w:ind w:left="10315" w:hanging="634"/>
      </w:pPr>
      <w:rPr>
        <w:rFonts w:hint="default"/>
      </w:rPr>
    </w:lvl>
    <w:lvl w:ilvl="8">
      <w:start w:val="0"/>
      <w:numFmt w:val="bullet"/>
      <w:lvlText w:val="•"/>
      <w:lvlJc w:val="left"/>
      <w:pPr>
        <w:ind w:left="11723" w:hanging="634"/>
      </w:pPr>
      <w:rPr>
        <w:rFonts w:hint="default"/>
      </w:rPr>
    </w:lvl>
  </w:abstractNum>
  <w:abstractNum w:abstractNumId="17">
    <w:nsid w:val="6BBD0C75"/>
    <w:multiLevelType w:val="hybridMultilevel"/>
    <w:tmpl w:val="00000000"/>
    <w:lvl w:ilvl="0">
      <w:start w:val="1"/>
      <w:numFmt w:val="decimal"/>
      <w:lvlText w:val="(%1)"/>
      <w:lvlJc w:val="left"/>
      <w:pPr>
        <w:ind w:left="460" w:hanging="634"/>
        <w:jc w:val="left"/>
      </w:pPr>
      <w:rPr>
        <w:rFonts w:ascii="宋体" w:eastAsia="宋体" w:hAnsi="宋体" w:cs="宋体" w:hint="default"/>
        <w:w w:val="100"/>
        <w:sz w:val="40"/>
        <w:szCs w:val="40"/>
      </w:rPr>
    </w:lvl>
    <w:lvl w:ilvl="1">
      <w:start w:val="0"/>
      <w:numFmt w:val="bullet"/>
      <w:lvlText w:val="•"/>
      <w:lvlJc w:val="left"/>
      <w:pPr>
        <w:ind w:left="1867" w:hanging="634"/>
      </w:pPr>
      <w:rPr>
        <w:rFonts w:hint="default"/>
      </w:rPr>
    </w:lvl>
    <w:lvl w:ilvl="2">
      <w:start w:val="0"/>
      <w:numFmt w:val="bullet"/>
      <w:lvlText w:val="•"/>
      <w:lvlJc w:val="left"/>
      <w:pPr>
        <w:ind w:left="3275" w:hanging="634"/>
      </w:pPr>
      <w:rPr>
        <w:rFonts w:hint="default"/>
      </w:rPr>
    </w:lvl>
    <w:lvl w:ilvl="3">
      <w:start w:val="0"/>
      <w:numFmt w:val="bullet"/>
      <w:lvlText w:val="•"/>
      <w:lvlJc w:val="left"/>
      <w:pPr>
        <w:ind w:left="4683" w:hanging="634"/>
      </w:pPr>
      <w:rPr>
        <w:rFonts w:hint="default"/>
      </w:rPr>
    </w:lvl>
    <w:lvl w:ilvl="4">
      <w:start w:val="0"/>
      <w:numFmt w:val="bullet"/>
      <w:lvlText w:val="•"/>
      <w:lvlJc w:val="left"/>
      <w:pPr>
        <w:ind w:left="6091" w:hanging="634"/>
      </w:pPr>
      <w:rPr>
        <w:rFonts w:hint="default"/>
      </w:rPr>
    </w:lvl>
    <w:lvl w:ilvl="5">
      <w:start w:val="0"/>
      <w:numFmt w:val="bullet"/>
      <w:lvlText w:val="•"/>
      <w:lvlJc w:val="left"/>
      <w:pPr>
        <w:ind w:left="7499" w:hanging="634"/>
      </w:pPr>
      <w:rPr>
        <w:rFonts w:hint="default"/>
      </w:rPr>
    </w:lvl>
    <w:lvl w:ilvl="6">
      <w:start w:val="0"/>
      <w:numFmt w:val="bullet"/>
      <w:lvlText w:val="•"/>
      <w:lvlJc w:val="left"/>
      <w:pPr>
        <w:ind w:left="8907" w:hanging="634"/>
      </w:pPr>
      <w:rPr>
        <w:rFonts w:hint="default"/>
      </w:rPr>
    </w:lvl>
    <w:lvl w:ilvl="7">
      <w:start w:val="0"/>
      <w:numFmt w:val="bullet"/>
      <w:lvlText w:val="•"/>
      <w:lvlJc w:val="left"/>
      <w:pPr>
        <w:ind w:left="10315" w:hanging="634"/>
      </w:pPr>
      <w:rPr>
        <w:rFonts w:hint="default"/>
      </w:rPr>
    </w:lvl>
    <w:lvl w:ilvl="8">
      <w:start w:val="0"/>
      <w:numFmt w:val="bullet"/>
      <w:lvlText w:val="•"/>
      <w:lvlJc w:val="left"/>
      <w:pPr>
        <w:ind w:left="11723" w:hanging="634"/>
      </w:pPr>
      <w:rPr>
        <w:rFonts w:hint="default"/>
      </w:rPr>
    </w:lvl>
  </w:abstractNum>
  <w:abstractNum w:abstractNumId="18">
    <w:nsid w:val="6C8BEE55"/>
    <w:multiLevelType w:val="hybridMultilevel"/>
    <w:tmpl w:val="00000000"/>
    <w:lvl w:ilvl="0">
      <w:start w:val="5"/>
      <w:numFmt w:val="decimal"/>
      <w:lvlText w:val="%1）"/>
      <w:lvlJc w:val="left"/>
      <w:pPr>
        <w:ind w:left="460" w:hanging="635"/>
        <w:jc w:val="left"/>
      </w:pPr>
      <w:rPr>
        <w:rFonts w:ascii="宋体" w:eastAsia="宋体" w:hAnsi="宋体" w:cs="宋体" w:hint="default"/>
        <w:spacing w:val="0"/>
        <w:w w:val="100"/>
        <w:sz w:val="40"/>
        <w:szCs w:val="40"/>
      </w:rPr>
    </w:lvl>
    <w:lvl w:ilvl="1">
      <w:start w:val="0"/>
      <w:numFmt w:val="bullet"/>
      <w:lvlText w:val="•"/>
      <w:lvlJc w:val="left"/>
      <w:pPr>
        <w:ind w:left="1867" w:hanging="635"/>
      </w:pPr>
      <w:rPr>
        <w:rFonts w:hint="default"/>
      </w:rPr>
    </w:lvl>
    <w:lvl w:ilvl="2">
      <w:start w:val="0"/>
      <w:numFmt w:val="bullet"/>
      <w:lvlText w:val="•"/>
      <w:lvlJc w:val="left"/>
      <w:pPr>
        <w:ind w:left="3275" w:hanging="635"/>
      </w:pPr>
      <w:rPr>
        <w:rFonts w:hint="default"/>
      </w:rPr>
    </w:lvl>
    <w:lvl w:ilvl="3">
      <w:start w:val="0"/>
      <w:numFmt w:val="bullet"/>
      <w:lvlText w:val="•"/>
      <w:lvlJc w:val="left"/>
      <w:pPr>
        <w:ind w:left="4683" w:hanging="635"/>
      </w:pPr>
      <w:rPr>
        <w:rFonts w:hint="default"/>
      </w:rPr>
    </w:lvl>
    <w:lvl w:ilvl="4">
      <w:start w:val="0"/>
      <w:numFmt w:val="bullet"/>
      <w:lvlText w:val="•"/>
      <w:lvlJc w:val="left"/>
      <w:pPr>
        <w:ind w:left="6091" w:hanging="635"/>
      </w:pPr>
      <w:rPr>
        <w:rFonts w:hint="default"/>
      </w:rPr>
    </w:lvl>
    <w:lvl w:ilvl="5">
      <w:start w:val="0"/>
      <w:numFmt w:val="bullet"/>
      <w:lvlText w:val="•"/>
      <w:lvlJc w:val="left"/>
      <w:pPr>
        <w:ind w:left="7499" w:hanging="635"/>
      </w:pPr>
      <w:rPr>
        <w:rFonts w:hint="default"/>
      </w:rPr>
    </w:lvl>
    <w:lvl w:ilvl="6">
      <w:start w:val="0"/>
      <w:numFmt w:val="bullet"/>
      <w:lvlText w:val="•"/>
      <w:lvlJc w:val="left"/>
      <w:pPr>
        <w:ind w:left="8907" w:hanging="635"/>
      </w:pPr>
      <w:rPr>
        <w:rFonts w:hint="default"/>
      </w:rPr>
    </w:lvl>
    <w:lvl w:ilvl="7">
      <w:start w:val="0"/>
      <w:numFmt w:val="bullet"/>
      <w:lvlText w:val="•"/>
      <w:lvlJc w:val="left"/>
      <w:pPr>
        <w:ind w:left="10315" w:hanging="635"/>
      </w:pPr>
      <w:rPr>
        <w:rFonts w:hint="default"/>
      </w:rPr>
    </w:lvl>
    <w:lvl w:ilvl="8">
      <w:start w:val="0"/>
      <w:numFmt w:val="bullet"/>
      <w:lvlText w:val="•"/>
      <w:lvlJc w:val="left"/>
      <w:pPr>
        <w:ind w:left="11723" w:hanging="635"/>
      </w:pPr>
      <w:rPr>
        <w:rFonts w:hint="default"/>
      </w:rPr>
    </w:lvl>
  </w:abstractNum>
  <w:abstractNum w:abstractNumId="19">
    <w:nsid w:val="717CFE82"/>
    <w:multiLevelType w:val="hybridMultilevel"/>
    <w:tmpl w:val="00000000"/>
    <w:lvl w:ilvl="0">
      <w:start w:val="1"/>
      <w:numFmt w:val="decimal"/>
      <w:lvlText w:val="%1）"/>
      <w:lvlJc w:val="left"/>
      <w:pPr>
        <w:ind w:left="1934" w:hanging="635"/>
        <w:jc w:val="left"/>
      </w:pPr>
      <w:rPr>
        <w:rFonts w:ascii="宋体" w:eastAsia="宋体" w:hAnsi="宋体" w:cs="宋体" w:hint="default"/>
        <w:spacing w:val="0"/>
        <w:w w:val="100"/>
        <w:sz w:val="40"/>
        <w:szCs w:val="40"/>
      </w:rPr>
    </w:lvl>
    <w:lvl w:ilvl="1">
      <w:start w:val="0"/>
      <w:numFmt w:val="bullet"/>
      <w:lvlText w:val="•"/>
      <w:lvlJc w:val="left"/>
      <w:pPr>
        <w:ind w:left="3199" w:hanging="635"/>
      </w:pPr>
      <w:rPr>
        <w:rFonts w:hint="default"/>
      </w:rPr>
    </w:lvl>
    <w:lvl w:ilvl="2">
      <w:start w:val="0"/>
      <w:numFmt w:val="bullet"/>
      <w:lvlText w:val="•"/>
      <w:lvlJc w:val="left"/>
      <w:pPr>
        <w:ind w:left="4459" w:hanging="635"/>
      </w:pPr>
      <w:rPr>
        <w:rFonts w:hint="default"/>
      </w:rPr>
    </w:lvl>
    <w:lvl w:ilvl="3">
      <w:start w:val="0"/>
      <w:numFmt w:val="bullet"/>
      <w:lvlText w:val="•"/>
      <w:lvlJc w:val="left"/>
      <w:pPr>
        <w:ind w:left="5719" w:hanging="635"/>
      </w:pPr>
      <w:rPr>
        <w:rFonts w:hint="default"/>
      </w:rPr>
    </w:lvl>
    <w:lvl w:ilvl="4">
      <w:start w:val="0"/>
      <w:numFmt w:val="bullet"/>
      <w:lvlText w:val="•"/>
      <w:lvlJc w:val="left"/>
      <w:pPr>
        <w:ind w:left="6979" w:hanging="635"/>
      </w:pPr>
      <w:rPr>
        <w:rFonts w:hint="default"/>
      </w:rPr>
    </w:lvl>
    <w:lvl w:ilvl="5">
      <w:start w:val="0"/>
      <w:numFmt w:val="bullet"/>
      <w:lvlText w:val="•"/>
      <w:lvlJc w:val="left"/>
      <w:pPr>
        <w:ind w:left="8239" w:hanging="635"/>
      </w:pPr>
      <w:rPr>
        <w:rFonts w:hint="default"/>
      </w:rPr>
    </w:lvl>
    <w:lvl w:ilvl="6">
      <w:start w:val="0"/>
      <w:numFmt w:val="bullet"/>
      <w:lvlText w:val="•"/>
      <w:lvlJc w:val="left"/>
      <w:pPr>
        <w:ind w:left="9499" w:hanging="635"/>
      </w:pPr>
      <w:rPr>
        <w:rFonts w:hint="default"/>
      </w:rPr>
    </w:lvl>
    <w:lvl w:ilvl="7">
      <w:start w:val="0"/>
      <w:numFmt w:val="bullet"/>
      <w:lvlText w:val="•"/>
      <w:lvlJc w:val="left"/>
      <w:pPr>
        <w:ind w:left="10759" w:hanging="635"/>
      </w:pPr>
      <w:rPr>
        <w:rFonts w:hint="default"/>
      </w:rPr>
    </w:lvl>
    <w:lvl w:ilvl="8">
      <w:start w:val="0"/>
      <w:numFmt w:val="bullet"/>
      <w:lvlText w:val="•"/>
      <w:lvlJc w:val="left"/>
      <w:pPr>
        <w:ind w:left="12019" w:hanging="635"/>
      </w:pPr>
      <w:rPr>
        <w:rFonts w:hint="default"/>
      </w:rPr>
    </w:lvl>
  </w:abstractNum>
  <w:abstractNum w:abstractNumId="20">
    <w:nsid w:val="76752E12"/>
    <w:multiLevelType w:val="hybridMultilevel"/>
    <w:tmpl w:val="00000000"/>
    <w:lvl w:ilvl="0">
      <w:start w:val="1"/>
      <w:numFmt w:val="decimal"/>
      <w:lvlText w:val="（%1）"/>
      <w:lvlJc w:val="left"/>
      <w:pPr>
        <w:ind w:left="460" w:hanging="1060"/>
        <w:jc w:val="left"/>
      </w:pPr>
      <w:rPr>
        <w:rFonts w:ascii="宋体" w:eastAsia="宋体" w:hAnsi="宋体" w:cs="宋体" w:hint="default"/>
        <w:w w:val="100"/>
        <w:sz w:val="40"/>
        <w:szCs w:val="40"/>
      </w:rPr>
    </w:lvl>
    <w:lvl w:ilvl="1">
      <w:start w:val="0"/>
      <w:numFmt w:val="bullet"/>
      <w:lvlText w:val="•"/>
      <w:lvlJc w:val="left"/>
      <w:pPr>
        <w:ind w:left="1867" w:hanging="1060"/>
      </w:pPr>
      <w:rPr>
        <w:rFonts w:hint="default"/>
      </w:rPr>
    </w:lvl>
    <w:lvl w:ilvl="2">
      <w:start w:val="0"/>
      <w:numFmt w:val="bullet"/>
      <w:lvlText w:val="•"/>
      <w:lvlJc w:val="left"/>
      <w:pPr>
        <w:ind w:left="3275" w:hanging="1060"/>
      </w:pPr>
      <w:rPr>
        <w:rFonts w:hint="default"/>
      </w:rPr>
    </w:lvl>
    <w:lvl w:ilvl="3">
      <w:start w:val="0"/>
      <w:numFmt w:val="bullet"/>
      <w:lvlText w:val="•"/>
      <w:lvlJc w:val="left"/>
      <w:pPr>
        <w:ind w:left="4683" w:hanging="1060"/>
      </w:pPr>
      <w:rPr>
        <w:rFonts w:hint="default"/>
      </w:rPr>
    </w:lvl>
    <w:lvl w:ilvl="4">
      <w:start w:val="0"/>
      <w:numFmt w:val="bullet"/>
      <w:lvlText w:val="•"/>
      <w:lvlJc w:val="left"/>
      <w:pPr>
        <w:ind w:left="6091" w:hanging="1060"/>
      </w:pPr>
      <w:rPr>
        <w:rFonts w:hint="default"/>
      </w:rPr>
    </w:lvl>
    <w:lvl w:ilvl="5">
      <w:start w:val="0"/>
      <w:numFmt w:val="bullet"/>
      <w:lvlText w:val="•"/>
      <w:lvlJc w:val="left"/>
      <w:pPr>
        <w:ind w:left="7499" w:hanging="1060"/>
      </w:pPr>
      <w:rPr>
        <w:rFonts w:hint="default"/>
      </w:rPr>
    </w:lvl>
    <w:lvl w:ilvl="6">
      <w:start w:val="0"/>
      <w:numFmt w:val="bullet"/>
      <w:lvlText w:val="•"/>
      <w:lvlJc w:val="left"/>
      <w:pPr>
        <w:ind w:left="8907" w:hanging="1060"/>
      </w:pPr>
      <w:rPr>
        <w:rFonts w:hint="default"/>
      </w:rPr>
    </w:lvl>
    <w:lvl w:ilvl="7">
      <w:start w:val="0"/>
      <w:numFmt w:val="bullet"/>
      <w:lvlText w:val="•"/>
      <w:lvlJc w:val="left"/>
      <w:pPr>
        <w:ind w:left="10315" w:hanging="1060"/>
      </w:pPr>
      <w:rPr>
        <w:rFonts w:hint="default"/>
      </w:rPr>
    </w:lvl>
    <w:lvl w:ilvl="8">
      <w:start w:val="0"/>
      <w:numFmt w:val="bullet"/>
      <w:lvlText w:val="•"/>
      <w:lvlJc w:val="left"/>
      <w:pPr>
        <w:ind w:left="11723" w:hanging="1060"/>
      </w:pPr>
      <w:rPr>
        <w:rFonts w:hint="default"/>
      </w:rPr>
    </w:lvl>
  </w:abstractNum>
  <w:abstractNum w:abstractNumId="21">
    <w:nsid w:val="771970E7"/>
    <w:multiLevelType w:val="hybridMultilevel"/>
    <w:tmpl w:val="00000000"/>
    <w:lvl w:ilvl="0">
      <w:start w:val="1"/>
      <w:numFmt w:val="decimal"/>
      <w:lvlText w:val="（%1）"/>
      <w:lvlJc w:val="left"/>
      <w:pPr>
        <w:ind w:left="460" w:hanging="1060"/>
        <w:jc w:val="left"/>
      </w:pPr>
      <w:rPr>
        <w:rFonts w:ascii="宋体" w:eastAsia="宋体" w:hAnsi="宋体" w:cs="宋体" w:hint="default"/>
        <w:w w:val="100"/>
        <w:sz w:val="40"/>
        <w:szCs w:val="40"/>
      </w:rPr>
    </w:lvl>
    <w:lvl w:ilvl="1">
      <w:start w:val="0"/>
      <w:numFmt w:val="bullet"/>
      <w:lvlText w:val="•"/>
      <w:lvlJc w:val="left"/>
      <w:pPr>
        <w:ind w:left="1867" w:hanging="1060"/>
      </w:pPr>
      <w:rPr>
        <w:rFonts w:hint="default"/>
      </w:rPr>
    </w:lvl>
    <w:lvl w:ilvl="2">
      <w:start w:val="0"/>
      <w:numFmt w:val="bullet"/>
      <w:lvlText w:val="•"/>
      <w:lvlJc w:val="left"/>
      <w:pPr>
        <w:ind w:left="3275" w:hanging="1060"/>
      </w:pPr>
      <w:rPr>
        <w:rFonts w:hint="default"/>
      </w:rPr>
    </w:lvl>
    <w:lvl w:ilvl="3">
      <w:start w:val="0"/>
      <w:numFmt w:val="bullet"/>
      <w:lvlText w:val="•"/>
      <w:lvlJc w:val="left"/>
      <w:pPr>
        <w:ind w:left="4683" w:hanging="1060"/>
      </w:pPr>
      <w:rPr>
        <w:rFonts w:hint="default"/>
      </w:rPr>
    </w:lvl>
    <w:lvl w:ilvl="4">
      <w:start w:val="0"/>
      <w:numFmt w:val="bullet"/>
      <w:lvlText w:val="•"/>
      <w:lvlJc w:val="left"/>
      <w:pPr>
        <w:ind w:left="6091" w:hanging="1060"/>
      </w:pPr>
      <w:rPr>
        <w:rFonts w:hint="default"/>
      </w:rPr>
    </w:lvl>
    <w:lvl w:ilvl="5">
      <w:start w:val="0"/>
      <w:numFmt w:val="bullet"/>
      <w:lvlText w:val="•"/>
      <w:lvlJc w:val="left"/>
      <w:pPr>
        <w:ind w:left="7499" w:hanging="1060"/>
      </w:pPr>
      <w:rPr>
        <w:rFonts w:hint="default"/>
      </w:rPr>
    </w:lvl>
    <w:lvl w:ilvl="6">
      <w:start w:val="0"/>
      <w:numFmt w:val="bullet"/>
      <w:lvlText w:val="•"/>
      <w:lvlJc w:val="left"/>
      <w:pPr>
        <w:ind w:left="8907" w:hanging="1060"/>
      </w:pPr>
      <w:rPr>
        <w:rFonts w:hint="default"/>
      </w:rPr>
    </w:lvl>
    <w:lvl w:ilvl="7">
      <w:start w:val="0"/>
      <w:numFmt w:val="bullet"/>
      <w:lvlText w:val="•"/>
      <w:lvlJc w:val="left"/>
      <w:pPr>
        <w:ind w:left="10315" w:hanging="1060"/>
      </w:pPr>
      <w:rPr>
        <w:rFonts w:hint="default"/>
      </w:rPr>
    </w:lvl>
    <w:lvl w:ilvl="8">
      <w:start w:val="0"/>
      <w:numFmt w:val="bullet"/>
      <w:lvlText w:val="•"/>
      <w:lvlJc w:val="left"/>
      <w:pPr>
        <w:ind w:left="11723" w:hanging="1060"/>
      </w:pPr>
      <w:rPr>
        <w:rFonts w:hint="default"/>
      </w:rPr>
    </w:lvl>
  </w:abstractNum>
  <w:abstractNum w:abstractNumId="22">
    <w:nsid w:val="7F3F16BC"/>
    <w:multiLevelType w:val="hybridMultilevel"/>
    <w:tmpl w:val="00000000"/>
    <w:lvl w:ilvl="0">
      <w:start w:val="1"/>
      <w:numFmt w:val="decimal"/>
      <w:lvlText w:val="(%1)"/>
      <w:lvlJc w:val="left"/>
      <w:pPr>
        <w:ind w:left="460" w:hanging="634"/>
        <w:jc w:val="left"/>
      </w:pPr>
      <w:rPr>
        <w:rFonts w:ascii="宋体" w:eastAsia="宋体" w:hAnsi="宋体" w:cs="宋体" w:hint="default"/>
        <w:w w:val="100"/>
        <w:sz w:val="40"/>
        <w:szCs w:val="40"/>
      </w:rPr>
    </w:lvl>
    <w:lvl w:ilvl="1">
      <w:start w:val="0"/>
      <w:numFmt w:val="bullet"/>
      <w:lvlText w:val="•"/>
      <w:lvlJc w:val="left"/>
      <w:pPr>
        <w:ind w:left="1867" w:hanging="634"/>
      </w:pPr>
      <w:rPr>
        <w:rFonts w:hint="default"/>
      </w:rPr>
    </w:lvl>
    <w:lvl w:ilvl="2">
      <w:start w:val="0"/>
      <w:numFmt w:val="bullet"/>
      <w:lvlText w:val="•"/>
      <w:lvlJc w:val="left"/>
      <w:pPr>
        <w:ind w:left="3275" w:hanging="634"/>
      </w:pPr>
      <w:rPr>
        <w:rFonts w:hint="default"/>
      </w:rPr>
    </w:lvl>
    <w:lvl w:ilvl="3">
      <w:start w:val="0"/>
      <w:numFmt w:val="bullet"/>
      <w:lvlText w:val="•"/>
      <w:lvlJc w:val="left"/>
      <w:pPr>
        <w:ind w:left="4683" w:hanging="634"/>
      </w:pPr>
      <w:rPr>
        <w:rFonts w:hint="default"/>
      </w:rPr>
    </w:lvl>
    <w:lvl w:ilvl="4">
      <w:start w:val="0"/>
      <w:numFmt w:val="bullet"/>
      <w:lvlText w:val="•"/>
      <w:lvlJc w:val="left"/>
      <w:pPr>
        <w:ind w:left="6091" w:hanging="634"/>
      </w:pPr>
      <w:rPr>
        <w:rFonts w:hint="default"/>
      </w:rPr>
    </w:lvl>
    <w:lvl w:ilvl="5">
      <w:start w:val="0"/>
      <w:numFmt w:val="bullet"/>
      <w:lvlText w:val="•"/>
      <w:lvlJc w:val="left"/>
      <w:pPr>
        <w:ind w:left="7499" w:hanging="634"/>
      </w:pPr>
      <w:rPr>
        <w:rFonts w:hint="default"/>
      </w:rPr>
    </w:lvl>
    <w:lvl w:ilvl="6">
      <w:start w:val="0"/>
      <w:numFmt w:val="bullet"/>
      <w:lvlText w:val="•"/>
      <w:lvlJc w:val="left"/>
      <w:pPr>
        <w:ind w:left="8907" w:hanging="634"/>
      </w:pPr>
      <w:rPr>
        <w:rFonts w:hint="default"/>
      </w:rPr>
    </w:lvl>
    <w:lvl w:ilvl="7">
      <w:start w:val="0"/>
      <w:numFmt w:val="bullet"/>
      <w:lvlText w:val="•"/>
      <w:lvlJc w:val="left"/>
      <w:pPr>
        <w:ind w:left="10315" w:hanging="634"/>
      </w:pPr>
      <w:rPr>
        <w:rFonts w:hint="default"/>
      </w:rPr>
    </w:lvl>
    <w:lvl w:ilvl="8">
      <w:start w:val="0"/>
      <w:numFmt w:val="bullet"/>
      <w:lvlText w:val="•"/>
      <w:lvlJc w:val="left"/>
      <w:pPr>
        <w:ind w:left="11723" w:hanging="634"/>
      </w:pPr>
      <w:rPr>
        <w:rFonts w:hint="default"/>
      </w:rPr>
    </w:lvl>
  </w:abstractNum>
  <w:num w:numId="1">
    <w:abstractNumId w:val="13"/>
  </w:num>
  <w:num w:numId="2">
    <w:abstractNumId w:val="6"/>
  </w:num>
  <w:num w:numId="3">
    <w:abstractNumId w:val="3"/>
  </w:num>
  <w:num w:numId="4">
    <w:abstractNumId w:val="11"/>
  </w:num>
  <w:num w:numId="5">
    <w:abstractNumId w:val="4"/>
  </w:num>
  <w:num w:numId="6">
    <w:abstractNumId w:val="18"/>
  </w:num>
  <w:num w:numId="7">
    <w:abstractNumId w:val="12"/>
  </w:num>
  <w:num w:numId="8">
    <w:abstractNumId w:val="1"/>
  </w:num>
  <w:num w:numId="9">
    <w:abstractNumId w:val="15"/>
  </w:num>
  <w:num w:numId="10">
    <w:abstractNumId w:val="7"/>
  </w:num>
  <w:num w:numId="11">
    <w:abstractNumId w:val="16"/>
  </w:num>
  <w:num w:numId="12">
    <w:abstractNumId w:val="2"/>
  </w:num>
  <w:num w:numId="13">
    <w:abstractNumId w:val="8"/>
  </w:num>
  <w:num w:numId="14">
    <w:abstractNumId w:val="19"/>
  </w:num>
  <w:num w:numId="15">
    <w:abstractNumId w:val="10"/>
  </w:num>
  <w:num w:numId="16">
    <w:abstractNumId w:val="9"/>
  </w:num>
  <w:num w:numId="17">
    <w:abstractNumId w:val="22"/>
  </w:num>
  <w:num w:numId="18">
    <w:abstractNumId w:val="17"/>
  </w:num>
  <w:num w:numId="19">
    <w:abstractNumId w:val="21"/>
  </w:num>
  <w:num w:numId="20">
    <w:abstractNumId w:val="20"/>
  </w:num>
  <w:num w:numId="21">
    <w:abstractNumId w:val="5"/>
  </w:num>
  <w:num w:numId="22">
    <w:abstractNumId w:val="14"/>
  </w:num>
  <w:num w:numId="2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宋体" w:eastAsia="宋体" w:hAnsi="宋体" w:cs="宋体"/>
      <w:b/>
      <w:bCs/>
      <w:sz w:val="54"/>
      <w:szCs w:val="54"/>
    </w:rPr>
  </w:style>
  <w:style w:type="paragraph" w:styleId="Heading2">
    <w:name w:val="heading 2"/>
    <w:basedOn w:val="Normal"/>
    <w:uiPriority w:val="1"/>
    <w:qFormat/>
    <w:pPr>
      <w:ind w:left="460"/>
      <w:outlineLvl w:val="1"/>
    </w:pPr>
    <w:rPr>
      <w:rFonts w:ascii="宋体" w:eastAsia="宋体" w:hAnsi="宋体" w:cs="宋体"/>
      <w:b/>
      <w:bCs/>
      <w:sz w:val="48"/>
      <w:szCs w:val="48"/>
    </w:rPr>
  </w:style>
  <w:style w:type="paragraph" w:styleId="Heading3">
    <w:name w:val="heading 3"/>
    <w:basedOn w:val="Normal"/>
    <w:uiPriority w:val="1"/>
    <w:qFormat/>
    <w:pPr>
      <w:ind w:left="1155"/>
      <w:outlineLvl w:val="2"/>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64"/>
      <w:ind w:left="460"/>
    </w:pPr>
    <w:rPr>
      <w:rFonts w:ascii="宋体" w:eastAsia="宋体" w:hAnsi="宋体" w:cs="宋体"/>
      <w:b/>
      <w:bCs/>
      <w:sz w:val="30"/>
      <w:szCs w:val="30"/>
    </w:rPr>
  </w:style>
  <w:style w:type="paragraph" w:styleId="TOC2">
    <w:name w:val="toc 2"/>
    <w:basedOn w:val="Normal"/>
    <w:uiPriority w:val="1"/>
    <w:qFormat/>
    <w:pPr>
      <w:spacing w:before="84"/>
      <w:ind w:left="777"/>
    </w:pPr>
    <w:rPr>
      <w:rFonts w:ascii="宋体" w:eastAsia="宋体" w:hAnsi="宋体" w:cs="宋体"/>
      <w:b/>
      <w:bCs/>
      <w:sz w:val="30"/>
      <w:szCs w:val="30"/>
    </w:rPr>
  </w:style>
  <w:style w:type="paragraph" w:styleId="TOC3">
    <w:name w:val="toc 3"/>
    <w:basedOn w:val="Normal"/>
    <w:uiPriority w:val="1"/>
    <w:qFormat/>
    <w:pPr>
      <w:spacing w:before="84"/>
      <w:ind w:left="777"/>
    </w:pPr>
    <w:rPr>
      <w:rFonts w:ascii="宋体" w:eastAsia="宋体" w:hAnsi="宋体" w:cs="宋体"/>
      <w:b/>
      <w:bCs/>
      <w:i/>
    </w:r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ind w:right="1165"/>
      <w:jc w:val="center"/>
    </w:pPr>
    <w:rPr>
      <w:rFonts w:ascii="华文隶书" w:eastAsia="华文隶书" w:hAnsi="华文隶书" w:cs="华文隶书"/>
      <w:b/>
      <w:bCs/>
      <w:sz w:val="108"/>
      <w:szCs w:val="108"/>
    </w:rPr>
  </w:style>
  <w:style w:type="paragraph" w:styleId="ListParagraph">
    <w:name w:val="List Paragraph"/>
    <w:basedOn w:val="Normal"/>
    <w:uiPriority w:val="1"/>
    <w:qFormat/>
    <w:pPr>
      <w:ind w:left="460" w:firstLine="83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footer" Target="footer2.xml" /><Relationship Id="rId12" Type="http://schemas.openxmlformats.org/officeDocument/2006/relationships/header" Target="header7.xml" /><Relationship Id="rId13" Type="http://schemas.openxmlformats.org/officeDocument/2006/relationships/footer" Target="footer3.xml" /><Relationship Id="rId14" Type="http://schemas.openxmlformats.org/officeDocument/2006/relationships/header" Target="header8.xml" /><Relationship Id="rId15" Type="http://schemas.openxmlformats.org/officeDocument/2006/relationships/footer" Target="footer4.xml" /><Relationship Id="rId16" Type="http://schemas.openxmlformats.org/officeDocument/2006/relationships/header" Target="header9.xml" /><Relationship Id="rId17" Type="http://schemas.openxmlformats.org/officeDocument/2006/relationships/footer" Target="footer5.xml" /><Relationship Id="rId18" Type="http://schemas.openxmlformats.org/officeDocument/2006/relationships/header" Target="header10.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11.xml" /><Relationship Id="rId21" Type="http://schemas.openxmlformats.org/officeDocument/2006/relationships/footer" Target="footer7.xml" /><Relationship Id="rId22" Type="http://schemas.openxmlformats.org/officeDocument/2006/relationships/image" Target="media/image2.png" /><Relationship Id="rId23" Type="http://schemas.openxmlformats.org/officeDocument/2006/relationships/header" Target="header12.xml" /><Relationship Id="rId24" Type="http://schemas.openxmlformats.org/officeDocument/2006/relationships/footer" Target="footer8.xml" /><Relationship Id="rId25" Type="http://schemas.openxmlformats.org/officeDocument/2006/relationships/header" Target="header13.xml" /><Relationship Id="rId26" Type="http://schemas.openxmlformats.org/officeDocument/2006/relationships/footer" Target="footer9.xml" /><Relationship Id="rId27" Type="http://schemas.openxmlformats.org/officeDocument/2006/relationships/header" Target="header14.xml" /><Relationship Id="rId28" Type="http://schemas.openxmlformats.org/officeDocument/2006/relationships/footer" Target="footer10.xml" /><Relationship Id="rId29" Type="http://schemas.openxmlformats.org/officeDocument/2006/relationships/header" Target="header15.xml" /><Relationship Id="rId3" Type="http://schemas.openxmlformats.org/officeDocument/2006/relationships/fontTable" Target="fontTable.xml" /><Relationship Id="rId30" Type="http://schemas.openxmlformats.org/officeDocument/2006/relationships/footer" Target="footer11.xml" /><Relationship Id="rId31" Type="http://schemas.openxmlformats.org/officeDocument/2006/relationships/header" Target="header16.xml" /><Relationship Id="rId32" Type="http://schemas.openxmlformats.org/officeDocument/2006/relationships/footer" Target="footer12.xml" /><Relationship Id="rId33" Type="http://schemas.openxmlformats.org/officeDocument/2006/relationships/header" Target="header17.xml" /><Relationship Id="rId34" Type="http://schemas.openxmlformats.org/officeDocument/2006/relationships/footer" Target="footer13.xml" /><Relationship Id="rId35" Type="http://schemas.openxmlformats.org/officeDocument/2006/relationships/header" Target="header18.xml" /><Relationship Id="rId36" Type="http://schemas.openxmlformats.org/officeDocument/2006/relationships/footer" Target="footer14.xml" /><Relationship Id="rId37" Type="http://schemas.openxmlformats.org/officeDocument/2006/relationships/header" Target="header19.xml" /><Relationship Id="rId38" Type="http://schemas.openxmlformats.org/officeDocument/2006/relationships/footer" Target="footer15.xml" /><Relationship Id="rId39" Type="http://schemas.openxmlformats.org/officeDocument/2006/relationships/header" Target="header20.xml" /><Relationship Id="rId4" Type="http://schemas.openxmlformats.org/officeDocument/2006/relationships/header" Target="header1.xml" /><Relationship Id="rId40" Type="http://schemas.openxmlformats.org/officeDocument/2006/relationships/footer" Target="footer16.xml" /><Relationship Id="rId41" Type="http://schemas.openxmlformats.org/officeDocument/2006/relationships/image" Target="media/image3.png" /><Relationship Id="rId42" Type="http://schemas.openxmlformats.org/officeDocument/2006/relationships/image" Target="media/image4.png" /><Relationship Id="rId43" Type="http://schemas.openxmlformats.org/officeDocument/2006/relationships/image" Target="media/image5.png" /><Relationship Id="rId44" Type="http://schemas.openxmlformats.org/officeDocument/2006/relationships/header" Target="header21.xml" /><Relationship Id="rId45" Type="http://schemas.openxmlformats.org/officeDocument/2006/relationships/footer" Target="footer17.xml" /><Relationship Id="rId46" Type="http://schemas.openxmlformats.org/officeDocument/2006/relationships/header" Target="header22.xml" /><Relationship Id="rId47" Type="http://schemas.openxmlformats.org/officeDocument/2006/relationships/footer" Target="footer18.xml" /><Relationship Id="rId48" Type="http://schemas.openxmlformats.org/officeDocument/2006/relationships/header" Target="header23.xml" /><Relationship Id="rId49" Type="http://schemas.openxmlformats.org/officeDocument/2006/relationships/footer" Target="footer19.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0.xml" /><Relationship Id="rId52" Type="http://schemas.openxmlformats.org/officeDocument/2006/relationships/header" Target="header25.xml" /><Relationship Id="rId53" Type="http://schemas.openxmlformats.org/officeDocument/2006/relationships/footer" Target="footer21.xml" /><Relationship Id="rId54" Type="http://schemas.openxmlformats.org/officeDocument/2006/relationships/image" Target="media/image6.png" /><Relationship Id="rId55" Type="http://schemas.openxmlformats.org/officeDocument/2006/relationships/image" Target="media/image7.png" /><Relationship Id="rId56" Type="http://schemas.openxmlformats.org/officeDocument/2006/relationships/image" Target="media/image8.png" /><Relationship Id="rId57" Type="http://schemas.openxmlformats.org/officeDocument/2006/relationships/image" Target="media/image9.png" /><Relationship Id="rId58" Type="http://schemas.openxmlformats.org/officeDocument/2006/relationships/header" Target="header26.xml" /><Relationship Id="rId59" Type="http://schemas.openxmlformats.org/officeDocument/2006/relationships/footer" Target="footer22.xml" /><Relationship Id="rId6" Type="http://schemas.openxmlformats.org/officeDocument/2006/relationships/header" Target="header3.xml" /><Relationship Id="rId60" Type="http://schemas.openxmlformats.org/officeDocument/2006/relationships/image" Target="media/image10.png" /><Relationship Id="rId61" Type="http://schemas.openxmlformats.org/officeDocument/2006/relationships/header" Target="header27.xml" /><Relationship Id="rId62" Type="http://schemas.openxmlformats.org/officeDocument/2006/relationships/footer" Target="footer23.xml" /><Relationship Id="rId63" Type="http://schemas.openxmlformats.org/officeDocument/2006/relationships/hyperlink" Target="https://d.book118.com/355100202242011100" TargetMode="External" /><Relationship Id="rId64" Type="http://schemas.openxmlformats.org/officeDocument/2006/relationships/header" Target="header28.xml" /><Relationship Id="rId65" Type="http://schemas.openxmlformats.org/officeDocument/2006/relationships/footer" Target="footer24.xml" /><Relationship Id="rId66" Type="http://schemas.openxmlformats.org/officeDocument/2006/relationships/theme" Target="theme/theme1.xml" /><Relationship Id="rId67" Type="http://schemas.openxmlformats.org/officeDocument/2006/relationships/numbering" Target="numbering.xml" /><Relationship Id="rId68" Type="http://schemas.openxmlformats.org/officeDocument/2006/relationships/styles" Target="styles.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footer" Target="footer1.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_rels/header24.xml.rels><?xml version="1.0" encoding="utf-8" standalone="yes"?><Relationships xmlns="http://schemas.openxmlformats.org/package/2006/relationships"><Relationship Id="rId1" Type="http://schemas.openxmlformats.org/officeDocument/2006/relationships/image" Target="media/image1.png" /></Relationships>
</file>

<file path=word/_rels/header25.xml.rels><?xml version="1.0" encoding="utf-8" standalone="yes"?><Relationships xmlns="http://schemas.openxmlformats.org/package/2006/relationships"><Relationship Id="rId1" Type="http://schemas.openxmlformats.org/officeDocument/2006/relationships/image" Target="media/image1.png" /></Relationships>
</file>

<file path=word/_rels/header26.xml.rels><?xml version="1.0" encoding="utf-8" standalone="yes"?><Relationships xmlns="http://schemas.openxmlformats.org/package/2006/relationships"><Relationship Id="rId1" Type="http://schemas.openxmlformats.org/officeDocument/2006/relationships/image" Target="media/image1.png" /></Relationships>
</file>

<file path=word/_rels/header27.xml.rels><?xml version="1.0" encoding="utf-8" standalone="yes"?><Relationships xmlns="http://schemas.openxmlformats.org/package/2006/relationships"><Relationship Id="rId1" Type="http://schemas.openxmlformats.org/officeDocument/2006/relationships/image" Target="media/image1.png" /></Relationships>
</file>

<file path=word/_rels/header28.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2024-01-09T20:01:04Z</dcterms:created>
  <dcterms:modified xsi:type="dcterms:W3CDTF">2024-01-09T20:01:04Z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2022-11-02T00:00:00Z</vt:filetime>
  </property>
  <property fmtid="{D5CDD505-2E9C-101B-9397-08002B2CF9AE}" pid="3" name="LastSaved">
    <vt:filetime>2024-01-09T00:00:00Z</vt:filetime>
  </property>
</Properties>
</file>