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sdt>
      <w:sdtPr>
        <w:id w:val="1653489583"/>
        <w:showingPlcHdr/>
        <w:richText/>
      </w:sdtPr>
      <w:sdtEndPr>
        <w:rPr>
          <w:rFonts w:ascii="华文细黑" w:eastAsia="华文细黑" w:hAnsi="华文细黑"/>
          <w:b/>
          <w:bCs/>
          <w:sz w:val="96"/>
          <w:szCs w:val="96"/>
          <w:lang w:eastAsia="zh-CN"/>
        </w:rPr>
      </w:sdtEndPr>
      <w:sdtContent>
        <w:p w:rsidR="00A469CB">
          <w:pPr>
            <w:rPr>
              <w:rFonts w:ascii="华文细黑" w:eastAsia="华文细黑" w:hAnsi="华文细黑"/>
              <w:b/>
              <w:bCs/>
              <w:sz w:val="96"/>
              <w:szCs w:val="96"/>
              <w:lang w:eastAsia="zh-CN"/>
            </w:rPr>
          </w:pPr>
          <w:r>
            <w:rPr>
              <w:lang w:eastAsia="zh-CN"/>
            </w:rPr>
            <w:t xml:space="preserve">     </w:t>
          </w:r>
        </w:p>
      </w:sdtContent>
    </w:sdt>
    <w:p w:rsidR="00A469CB">
      <w:pPr>
        <w:spacing w:line="360" w:lineRule="auto"/>
        <w:jc w:val="center"/>
        <w:rPr>
          <w:rFonts w:asciiTheme="minorEastAsia" w:eastAsiaTheme="minorEastAsia" w:hAnsiTheme="minorEastAsia"/>
          <w:sz w:val="96"/>
          <w:szCs w:val="44"/>
          <w:lang w:eastAsia="zh-CN"/>
        </w:rPr>
      </w:pPr>
      <w:r>
        <w:rPr>
          <w:rFonts w:asciiTheme="minorEastAsia" w:eastAsiaTheme="minorEastAsia" w:hAnsiTheme="minorEastAsia" w:hint="eastAsia"/>
          <w:sz w:val="96"/>
          <w:szCs w:val="44"/>
          <w:lang w:eastAsia="zh-CN"/>
        </w:rPr>
        <w:t>某科技研发中心</w:t>
      </w:r>
    </w:p>
    <w:p w:rsidR="00A469CB">
      <w:pPr>
        <w:spacing w:line="360" w:lineRule="auto"/>
        <w:jc w:val="center"/>
        <w:rPr>
          <w:rFonts w:eastAsia="宋体"/>
          <w:sz w:val="36"/>
          <w:szCs w:val="28"/>
          <w:lang w:eastAsia="zh-CN"/>
        </w:rPr>
      </w:pPr>
    </w:p>
    <w:p w:rsidR="00A469CB">
      <w:pPr>
        <w:spacing w:line="360" w:lineRule="auto"/>
        <w:jc w:val="center"/>
        <w:rPr>
          <w:rFonts w:eastAsia="宋体"/>
          <w:sz w:val="36"/>
          <w:szCs w:val="44"/>
          <w:lang w:eastAsia="zh-CN"/>
        </w:rPr>
      </w:pPr>
      <w:r>
        <w:rPr>
          <w:rFonts w:eastAsia="宋体" w:hint="eastAsia"/>
          <w:sz w:val="36"/>
          <w:szCs w:val="44"/>
          <w:lang w:eastAsia="zh-CN"/>
        </w:rPr>
        <w:t>高低压配电工程</w:t>
      </w:r>
    </w:p>
    <w:p w:rsidR="00A469CB">
      <w:pPr>
        <w:spacing w:line="360" w:lineRule="auto"/>
        <w:jc w:val="center"/>
        <w:rPr>
          <w:rFonts w:eastAsia="宋体"/>
          <w:sz w:val="36"/>
          <w:szCs w:val="44"/>
          <w:lang w:eastAsia="zh-CN"/>
        </w:rPr>
      </w:pPr>
    </w:p>
    <w:p w:rsidR="00A469CB">
      <w:pPr>
        <w:spacing w:line="360" w:lineRule="auto"/>
        <w:jc w:val="center"/>
        <w:rPr>
          <w:rFonts w:eastAsia="宋体"/>
          <w:sz w:val="36"/>
          <w:szCs w:val="44"/>
          <w:lang w:eastAsia="zh-CN"/>
        </w:rPr>
      </w:pPr>
      <w:r>
        <w:rPr>
          <w:rFonts w:eastAsia="宋体" w:hint="eastAsia"/>
          <w:sz w:val="36"/>
          <w:szCs w:val="44"/>
          <w:lang w:eastAsia="zh-CN"/>
        </w:rPr>
        <w:t>技术规格说明书</w:t>
      </w:r>
    </w:p>
    <w:p w:rsidR="00A469CB">
      <w:pPr>
        <w:spacing w:line="360" w:lineRule="auto"/>
        <w:jc w:val="center"/>
        <w:rPr>
          <w:rFonts w:eastAsia="宋体"/>
          <w:sz w:val="36"/>
          <w:szCs w:val="44"/>
          <w:lang w:eastAsia="zh-CN"/>
        </w:rPr>
      </w:pPr>
      <w:r>
        <w:rPr>
          <w:rFonts w:eastAsia="宋体" w:hint="eastAsia"/>
          <w:sz w:val="36"/>
          <w:szCs w:val="44"/>
          <w:lang w:eastAsia="zh-CN"/>
        </w:rPr>
        <w:t>第一部分</w:t>
      </w:r>
    </w:p>
    <w:p w:rsidR="00A469CB">
      <w:pPr>
        <w:rPr>
          <w:rFonts w:eastAsia="宋体"/>
          <w:szCs w:val="28"/>
          <w:lang w:eastAsia="zh-CN"/>
        </w:rPr>
      </w:pPr>
    </w:p>
    <w:p w:rsidR="00A469CB">
      <w:pPr>
        <w:rPr>
          <w:rFonts w:eastAsia="宋体"/>
          <w:szCs w:val="28"/>
          <w:lang w:eastAsia="zh-CN"/>
        </w:rPr>
      </w:pPr>
    </w:p>
    <w:p w:rsidR="00A469CB">
      <w:pPr>
        <w:rPr>
          <w:rFonts w:eastAsia="宋体"/>
          <w:szCs w:val="28"/>
          <w:lang w:eastAsia="zh-CN"/>
        </w:rPr>
      </w:pPr>
    </w:p>
    <w:p w:rsidR="00A469CB">
      <w:pPr>
        <w:rPr>
          <w:rFonts w:eastAsia="宋体"/>
          <w:szCs w:val="28"/>
          <w:lang w:eastAsia="zh-CN"/>
        </w:rPr>
      </w:pPr>
    </w:p>
    <w:p w:rsidR="00A469CB">
      <w:pPr>
        <w:rPr>
          <w:rFonts w:eastAsia="宋体"/>
          <w:szCs w:val="28"/>
          <w:lang w:eastAsia="zh-CN"/>
        </w:rPr>
      </w:pPr>
    </w:p>
    <w:p w:rsidR="00A469CB">
      <w:pPr>
        <w:pStyle w:val="Footer"/>
        <w:tabs>
          <w:tab w:val="clear" w:pos="4153"/>
          <w:tab w:val="clear" w:pos="8306"/>
        </w:tabs>
        <w:rPr>
          <w:rFonts w:eastAsia="宋体"/>
          <w:szCs w:val="28"/>
          <w:lang w:eastAsia="zh-CN"/>
        </w:rPr>
      </w:pPr>
    </w:p>
    <w:p w:rsidR="00A469CB">
      <w:pPr>
        <w:pStyle w:val="Footer"/>
        <w:tabs>
          <w:tab w:val="clear" w:pos="4153"/>
          <w:tab w:val="clear" w:pos="8306"/>
        </w:tabs>
        <w:rPr>
          <w:rFonts w:eastAsia="宋体"/>
          <w:szCs w:val="28"/>
          <w:lang w:eastAsia="zh-CN"/>
        </w:rPr>
      </w:pPr>
    </w:p>
    <w:p w:rsidR="00A469CB">
      <w:pPr>
        <w:pStyle w:val="Footer"/>
        <w:tabs>
          <w:tab w:val="clear" w:pos="4153"/>
          <w:tab w:val="clear" w:pos="8306"/>
        </w:tabs>
        <w:rPr>
          <w:rFonts w:eastAsia="宋体"/>
          <w:szCs w:val="28"/>
          <w:lang w:eastAsia="zh-CN"/>
        </w:rPr>
      </w:pPr>
    </w:p>
    <w:p w:rsidR="00A469CB">
      <w:pPr>
        <w:pStyle w:val="Footer"/>
        <w:tabs>
          <w:tab w:val="clear" w:pos="4153"/>
          <w:tab w:val="clear" w:pos="8306"/>
        </w:tabs>
        <w:rPr>
          <w:rFonts w:eastAsia="宋体"/>
          <w:szCs w:val="28"/>
          <w:lang w:eastAsia="zh-CN"/>
        </w:rPr>
      </w:pPr>
    </w:p>
    <w:p w:rsidR="00A469CB">
      <w:pPr>
        <w:pStyle w:val="Footer"/>
        <w:tabs>
          <w:tab w:val="clear" w:pos="4153"/>
          <w:tab w:val="clear" w:pos="8306"/>
        </w:tabs>
        <w:rPr>
          <w:rFonts w:eastAsia="宋体"/>
          <w:szCs w:val="28"/>
          <w:lang w:eastAsia="zh-CN"/>
        </w:rPr>
      </w:pPr>
    </w:p>
    <w:p w:rsidR="00A469CB">
      <w:pPr>
        <w:pStyle w:val="Footer"/>
        <w:tabs>
          <w:tab w:val="clear" w:pos="4153"/>
          <w:tab w:val="clear" w:pos="8306"/>
        </w:tabs>
        <w:rPr>
          <w:rFonts w:eastAsia="宋体"/>
          <w:szCs w:val="28"/>
          <w:lang w:eastAsia="zh-CN"/>
        </w:rPr>
      </w:pPr>
    </w:p>
    <w:p w:rsidR="00A469CB">
      <w:pPr>
        <w:pStyle w:val="Footer"/>
        <w:tabs>
          <w:tab w:val="clear" w:pos="4153"/>
          <w:tab w:val="clear" w:pos="8306"/>
        </w:tabs>
        <w:rPr>
          <w:rFonts w:eastAsia="宋体"/>
          <w:szCs w:val="28"/>
          <w:lang w:eastAsia="zh-CN"/>
        </w:rPr>
      </w:pPr>
    </w:p>
    <w:p w:rsidR="00A469CB">
      <w:pPr>
        <w:pStyle w:val="Footer"/>
        <w:tabs>
          <w:tab w:val="clear" w:pos="4153"/>
          <w:tab w:val="clear" w:pos="8306"/>
        </w:tabs>
        <w:rPr>
          <w:rFonts w:eastAsia="宋体" w:cs="Arial"/>
          <w:szCs w:val="28"/>
          <w:lang w:eastAsia="zh-CN"/>
        </w:rPr>
      </w:pPr>
    </w:p>
    <w:p w:rsidR="00A469CB">
      <w:pPr>
        <w:autoSpaceDE w:val="0"/>
        <w:autoSpaceDN w:val="0"/>
        <w:adjustRightInd w:val="0"/>
        <w:spacing w:line="360" w:lineRule="auto"/>
        <w:rPr>
          <w:rFonts w:eastAsia="宋体"/>
          <w:b/>
          <w:bCs/>
          <w:sz w:val="24"/>
          <w:szCs w:val="34"/>
          <w:lang w:val="en-US" w:eastAsia="zh-CN"/>
        </w:rPr>
      </w:pPr>
      <w:r>
        <w:rPr>
          <w:rFonts w:eastAsia="宋体" w:hint="eastAsia"/>
          <w:sz w:val="24"/>
          <w:szCs w:val="28"/>
          <w:lang w:eastAsia="zh-CN"/>
        </w:rPr>
        <w:t>日期：</w:t>
      </w:r>
      <w:r>
        <w:rPr>
          <w:rFonts w:eastAsia="宋体"/>
          <w:sz w:val="24"/>
          <w:szCs w:val="28"/>
          <w:lang w:eastAsia="zh-CN"/>
        </w:rPr>
        <w:tab/>
      </w:r>
      <w:r>
        <w:rPr>
          <w:rFonts w:eastAsia="宋体"/>
          <w:sz w:val="24"/>
          <w:szCs w:val="28"/>
          <w:lang w:eastAsia="zh-CN"/>
        </w:rPr>
        <w:tab/>
        <w:t xml:space="preserve">     </w:t>
      </w:r>
      <w:r>
        <w:rPr>
          <w:rFonts w:eastAsia="宋体" w:hint="eastAsia"/>
          <w:sz w:val="24"/>
          <w:szCs w:val="28"/>
          <w:lang w:val="en-US" w:eastAsia="zh-CN"/>
        </w:rPr>
        <w:t xml:space="preserve"> </w:t>
      </w:r>
      <w:r>
        <w:rPr>
          <w:rFonts w:eastAsia="宋体"/>
          <w:sz w:val="24"/>
          <w:szCs w:val="28"/>
          <w:lang w:eastAsia="zh-CN"/>
        </w:rPr>
        <w:t xml:space="preserve"> </w:t>
      </w:r>
      <w:r>
        <w:rPr>
          <w:rFonts w:eastAsia="宋体"/>
          <w:sz w:val="24"/>
          <w:szCs w:val="28"/>
          <w:u w:val="single"/>
          <w:lang w:eastAsia="zh-CN"/>
        </w:rPr>
        <w:t xml:space="preserve">  </w:t>
      </w:r>
      <w:r w:rsidR="00A0140E">
        <w:rPr>
          <w:rFonts w:eastAsia="宋体"/>
          <w:sz w:val="28"/>
          <w:szCs w:val="28"/>
          <w:u w:val="single"/>
          <w:lang w:eastAsia="zh-CN"/>
        </w:rPr>
        <w:t xml:space="preserve"> </w:t>
      </w:r>
      <w:r>
        <w:rPr>
          <w:rFonts w:eastAsia="宋体"/>
          <w:sz w:val="28"/>
          <w:szCs w:val="28"/>
          <w:u w:val="single"/>
          <w:lang w:eastAsia="zh-CN"/>
        </w:rPr>
        <w:t xml:space="preserve">  </w:t>
      </w:r>
      <w:r>
        <w:rPr>
          <w:rFonts w:eastAsia="宋体" w:hint="eastAsia"/>
          <w:sz w:val="28"/>
          <w:szCs w:val="28"/>
          <w:lang w:eastAsia="zh-CN"/>
        </w:rPr>
        <w:t xml:space="preserve"> </w:t>
      </w:r>
      <w:r>
        <w:rPr>
          <w:rFonts w:eastAsia="宋体" w:hint="eastAsia"/>
          <w:sz w:val="28"/>
          <w:szCs w:val="28"/>
          <w:lang w:eastAsia="zh-CN"/>
        </w:rPr>
        <w:t>年</w:t>
      </w:r>
      <w:r>
        <w:rPr>
          <w:rFonts w:eastAsia="宋体" w:hint="eastAsia"/>
          <w:sz w:val="28"/>
          <w:szCs w:val="28"/>
          <w:u w:val="single"/>
          <w:lang w:eastAsia="zh-CN"/>
        </w:rPr>
        <w:t xml:space="preserve"> </w:t>
      </w:r>
      <w:r w:rsidR="00A0140E">
        <w:rPr>
          <w:rFonts w:eastAsia="宋体"/>
          <w:sz w:val="28"/>
          <w:szCs w:val="28"/>
          <w:u w:val="single"/>
          <w:lang w:val="en-US" w:eastAsia="zh-CN"/>
        </w:rPr>
        <w:t xml:space="preserve"> </w:t>
      </w:r>
      <w:r>
        <w:rPr>
          <w:rFonts w:eastAsia="宋体"/>
          <w:sz w:val="28"/>
          <w:szCs w:val="28"/>
          <w:u w:val="single"/>
          <w:lang w:eastAsia="zh-CN"/>
        </w:rPr>
        <w:t xml:space="preserve">  </w:t>
      </w:r>
      <w:r>
        <w:rPr>
          <w:rFonts w:eastAsia="宋体" w:hint="eastAsia"/>
          <w:sz w:val="28"/>
          <w:szCs w:val="28"/>
          <w:lang w:eastAsia="zh-CN"/>
        </w:rPr>
        <w:t>月</w:t>
      </w:r>
      <w:r>
        <w:rPr>
          <w:rFonts w:eastAsia="宋体" w:hint="eastAsia"/>
          <w:sz w:val="28"/>
          <w:szCs w:val="28"/>
          <w:u w:val="single"/>
          <w:lang w:eastAsia="zh-CN"/>
        </w:rPr>
        <w:t xml:space="preserve"> </w:t>
      </w:r>
      <w:r>
        <w:rPr>
          <w:rFonts w:eastAsia="宋体"/>
          <w:sz w:val="28"/>
          <w:szCs w:val="28"/>
          <w:u w:val="single"/>
          <w:lang w:eastAsia="zh-CN"/>
        </w:rPr>
        <w:t xml:space="preserve"> </w:t>
      </w:r>
      <w:r w:rsidR="00A0140E">
        <w:rPr>
          <w:rFonts w:eastAsia="宋体"/>
          <w:sz w:val="28"/>
          <w:szCs w:val="28"/>
          <w:u w:val="single"/>
          <w:lang w:val="en-US" w:eastAsia="zh-CN"/>
        </w:rPr>
        <w:t xml:space="preserve"> </w:t>
      </w:r>
      <w:bookmarkStart w:id="0" w:name="_GoBack"/>
      <w:bookmarkEnd w:id="0"/>
      <w:r>
        <w:rPr>
          <w:rFonts w:eastAsia="宋体"/>
          <w:sz w:val="28"/>
          <w:szCs w:val="28"/>
          <w:u w:val="single"/>
          <w:lang w:eastAsia="zh-CN"/>
        </w:rPr>
        <w:t xml:space="preserve">  </w:t>
      </w:r>
      <w:r>
        <w:rPr>
          <w:rFonts w:eastAsia="宋体" w:hint="eastAsia"/>
          <w:sz w:val="28"/>
          <w:szCs w:val="28"/>
          <w:lang w:eastAsia="zh-CN"/>
        </w:rPr>
        <w:t>日</w:t>
      </w:r>
    </w:p>
    <w:p w:rsidR="00A469CB">
      <w:pPr>
        <w:rPr>
          <w:rStyle w:val="HR-12"/>
          <w:rFonts w:eastAsia="宋体"/>
          <w:bCs/>
          <w:caps/>
          <w:lang w:val="en-US" w:eastAsia="zh-CN"/>
        </w:rPr>
      </w:pPr>
    </w:p>
    <w:p w:rsidR="00A469CB">
      <w:pPr>
        <w:rPr>
          <w:rStyle w:val="HR-12"/>
          <w:rFonts w:eastAsia="宋体"/>
          <w:bCs/>
          <w:caps/>
          <w:lang w:eastAsia="zh-CN"/>
        </w:rPr>
        <w:sectPr>
          <w:headerReference w:type="default" r:id="rId5"/>
          <w:footerReference w:type="default" r:id="rId6"/>
          <w:pgSz w:w="11909" w:h="16834"/>
          <w:pgMar w:top="1440" w:right="1440" w:bottom="1440" w:left="1440" w:header="706" w:footer="720" w:gutter="0"/>
          <w:pgNumType w:start="0"/>
          <w:cols w:space="720"/>
          <w:titlePg/>
          <w:docGrid w:linePitch="299"/>
        </w:sectPr>
      </w:pPr>
    </w:p>
    <w:p w:rsidR="00A469CB">
      <w:pPr>
        <w:spacing w:before="60" w:after="60"/>
        <w:jc w:val="center"/>
        <w:rPr>
          <w:rStyle w:val="HR-12"/>
          <w:rFonts w:eastAsia="宋体"/>
          <w:bCs/>
          <w:caps/>
          <w:lang w:eastAsia="zh-CN"/>
        </w:rPr>
      </w:pPr>
      <w:r>
        <w:rPr>
          <w:rStyle w:val="HR-12"/>
          <w:rFonts w:ascii="Times New Roman" w:eastAsia="宋体" w:hAnsi="Times New Roman" w:hint="eastAsia"/>
          <w:bCs/>
          <w:caps/>
          <w:lang w:eastAsia="zh-CN"/>
        </w:rPr>
        <w:t>某科技研发中心</w:t>
      </w:r>
    </w:p>
    <w:p w:rsidR="00A469CB">
      <w:pPr>
        <w:spacing w:before="60" w:after="60"/>
        <w:jc w:val="center"/>
        <w:rPr>
          <w:rStyle w:val="HR-12"/>
          <w:rFonts w:eastAsia="宋体"/>
          <w:bCs/>
          <w:caps/>
          <w:lang w:eastAsia="zh-CN"/>
        </w:rPr>
      </w:pPr>
      <w:r>
        <w:rPr>
          <w:rStyle w:val="HR-12"/>
          <w:rFonts w:ascii="Times New Roman" w:eastAsia="宋体" w:hAnsi="Times New Roman" w:hint="eastAsia"/>
          <w:bCs/>
          <w:caps/>
          <w:lang w:eastAsia="zh-CN"/>
        </w:rPr>
        <w:t>高低压配电工程技术规格说明书</w:t>
      </w:r>
    </w:p>
    <w:p w:rsidR="00A469CB">
      <w:pPr>
        <w:spacing w:before="60" w:after="60"/>
        <w:jc w:val="center"/>
        <w:rPr>
          <w:rStyle w:val="HR-12"/>
          <w:rFonts w:eastAsia="宋体"/>
          <w:bCs/>
          <w:caps/>
          <w:lang w:eastAsia="zh-TW"/>
        </w:rPr>
      </w:pPr>
      <w:r>
        <w:rPr>
          <w:rStyle w:val="HR-12"/>
          <w:rFonts w:ascii="Times New Roman" w:eastAsia="宋体" w:hAnsi="Times New Roman" w:hint="eastAsia"/>
          <w:bCs/>
          <w:caps/>
          <w:lang w:eastAsia="zh-CN"/>
        </w:rPr>
        <w:t>目录</w:t>
      </w:r>
    </w:p>
    <w:p w:rsidR="00A469CB">
      <w:pPr>
        <w:tabs>
          <w:tab w:val="right" w:pos="9090"/>
        </w:tabs>
        <w:rPr>
          <w:rStyle w:val="HR-12"/>
          <w:rFonts w:asciiTheme="minorEastAsia" w:eastAsiaTheme="minorEastAsia" w:hAnsiTheme="minorEastAsia"/>
          <w:bCs/>
          <w:caps/>
          <w:lang w:eastAsia="zh-CN"/>
        </w:rPr>
      </w:pPr>
      <w:r>
        <w:rPr>
          <w:rStyle w:val="HR-12"/>
          <w:rFonts w:asciiTheme="minorEastAsia" w:eastAsiaTheme="minorEastAsia" w:hAnsiTheme="minorEastAsia" w:hint="eastAsia"/>
          <w:bCs/>
          <w:caps/>
          <w:lang w:eastAsia="zh-CN"/>
        </w:rPr>
        <w:t>第一部分</w:t>
      </w:r>
      <w:r>
        <w:rPr>
          <w:rStyle w:val="HR-12"/>
          <w:rFonts w:asciiTheme="minorEastAsia" w:eastAsiaTheme="minorEastAsia" w:hAnsiTheme="minorEastAsia"/>
          <w:bCs/>
          <w:caps/>
          <w:lang w:eastAsia="zh-CN"/>
        </w:rPr>
        <w:tab/>
      </w:r>
      <w:r>
        <w:rPr>
          <w:rStyle w:val="HR-12"/>
          <w:rFonts w:asciiTheme="minorEastAsia" w:eastAsiaTheme="minorEastAsia" w:hAnsiTheme="minorEastAsia" w:hint="eastAsia"/>
          <w:bCs/>
          <w:caps/>
          <w:u w:val="single"/>
          <w:lang w:eastAsia="zh-CN"/>
        </w:rPr>
        <w:t>页数</w:t>
      </w:r>
    </w:p>
    <w:sdt>
      <w:sdtPr>
        <w:rPr>
          <w:rFonts w:ascii="Times New Roman" w:eastAsia="PMingLiU" w:hAnsi="Times New Roman" w:cs="Times New Roman"/>
          <w:b/>
          <w:caps/>
          <w:color w:val="auto"/>
          <w:sz w:val="22"/>
          <w:szCs w:val="20"/>
          <w:lang w:val="zh-CN" w:eastAsia="en-US"/>
        </w:rPr>
        <w:id w:val="1236365407"/>
        <w:docPartObj>
          <w:docPartGallery w:val="Table of Contents"/>
          <w:docPartUnique/>
        </w:docPartObj>
      </w:sdtPr>
      <w:sdtEndPr>
        <w:rPr>
          <w:rFonts w:asciiTheme="minorEastAsia" w:eastAsiaTheme="minorEastAsia" w:hAnsiTheme="minorEastAsia"/>
          <w:bCs/>
          <w:sz w:val="20"/>
        </w:rPr>
      </w:sdtEndPr>
      <w:sdtContent>
        <w:p w:rsidR="00A469CB">
          <w:pPr>
            <w:pStyle w:val="TOC10"/>
            <w:rPr>
              <w:rFonts w:asciiTheme="minorEastAsia" w:eastAsiaTheme="minorEastAsia" w:hAnsiTheme="minorEastAsia"/>
              <w:color w:val="auto"/>
              <w:sz w:val="20"/>
              <w:szCs w:val="20"/>
            </w:rPr>
          </w:pPr>
          <w:r>
            <w:rPr>
              <w:rFonts w:ascii="Times New Roman" w:hAnsi="Times New Roman" w:eastAsiaTheme="minorEastAsia" w:cs="Times New Roman" w:hint="eastAsia"/>
              <w:b/>
              <w:caps/>
              <w:color w:val="auto"/>
              <w:sz w:val="20"/>
              <w:szCs w:val="20"/>
              <w:lang w:val="zh-CN"/>
            </w:rPr>
            <w:t>第一章</w:t>
          </w:r>
        </w:p>
        <w:p w:rsidR="00A469CB">
          <w:pPr>
            <w:pStyle w:val="TOC1"/>
            <w:tabs>
              <w:tab w:val="left" w:pos="440"/>
              <w:tab w:val="right" w:leader="dot" w:pos="8664"/>
            </w:tabs>
            <w:rPr>
              <w:rFonts w:asciiTheme="minorHAnsi" w:eastAsiaTheme="minorEastAsia" w:hAnsiTheme="minorHAnsi" w:cstheme="minorBidi"/>
              <w:b w:val="0"/>
              <w:caps w:val="0"/>
              <w:kern w:val="2"/>
              <w:sz w:val="21"/>
              <w:szCs w:val="22"/>
              <w:lang w:val="en-US" w:eastAsia="zh-CN"/>
            </w:rPr>
          </w:pPr>
          <w:r>
            <w:rPr>
              <w:rStyle w:val="Hyperlink"/>
            </w:rPr>
            <w:fldChar w:fldCharType="begin"/>
          </w:r>
          <w:r>
            <w:rPr>
              <w:rStyle w:val="Hyperlink"/>
              <w:rFonts w:asciiTheme="minorEastAsia" w:eastAsiaTheme="minorEastAsia" w:hAnsiTheme="minorEastAsia"/>
              <w:lang w:val="en-US" w:eastAsia="zh-CN"/>
            </w:rPr>
            <w:instrText xml:space="preserve"> TOC \o "1-1" \h \z \u </w:instrText>
          </w:r>
          <w:r>
            <w:rPr>
              <w:rStyle w:val="Hyperlink"/>
            </w:rPr>
            <w:fldChar w:fldCharType="separate"/>
          </w:r>
          <w:hyperlink w:anchor="_Toc103358934" w:history="1">
            <w:r>
              <w:rPr>
                <w:rStyle w:val="Hyperlink"/>
                <w:rFonts w:ascii="Times New Roman Bold" w:hAnsi="Times New Roman Bold"/>
                <w:lang w:val="en-US" w:eastAsia="zh-CN"/>
              </w:rPr>
              <w:t>1.</w:t>
            </w:r>
            <w:r>
              <w:rPr>
                <w:rFonts w:asciiTheme="minorHAnsi" w:eastAsiaTheme="minorEastAsia" w:hAnsiTheme="minorHAnsi" w:cstheme="minorBidi"/>
                <w:b w:val="0"/>
                <w:caps w:val="0"/>
                <w:kern w:val="2"/>
                <w:sz w:val="21"/>
                <w:szCs w:val="22"/>
                <w:lang w:val="en-US" w:eastAsia="zh-CN"/>
              </w:rPr>
              <w:tab/>
            </w:r>
            <w:r>
              <w:rPr>
                <w:rStyle w:val="Hyperlink"/>
                <w:rFonts w:asciiTheme="minorEastAsia" w:hAnsiTheme="minorEastAsia"/>
                <w:lang w:val="en-US" w:eastAsia="zh-CN"/>
              </w:rPr>
              <w:t>技术规格说明书范围</w:t>
            </w:r>
            <w:r>
              <w:tab/>
            </w:r>
            <w:r>
              <w:fldChar w:fldCharType="begin"/>
            </w:r>
            <w:r>
              <w:instrText xml:space="preserve"> PAGEREF _Toc103358934 \h </w:instrText>
            </w:r>
            <w:r>
              <w:fldChar w:fldCharType="separate"/>
            </w:r>
            <w:r>
              <w:t>1</w:t>
            </w:r>
            <w:r>
              <w:fldChar w:fldCharType="end"/>
            </w:r>
          </w:hyperlink>
        </w:p>
        <w:p w:rsidR="00A469CB">
          <w:pPr>
            <w:pStyle w:val="TOC1"/>
            <w:tabs>
              <w:tab w:val="left" w:pos="440"/>
              <w:tab w:val="right" w:leader="dot" w:pos="8664"/>
            </w:tabs>
            <w:rPr>
              <w:rFonts w:asciiTheme="minorHAnsi" w:eastAsiaTheme="minorEastAsia" w:hAnsiTheme="minorHAnsi" w:cstheme="minorBidi"/>
              <w:b w:val="0"/>
              <w:caps w:val="0"/>
              <w:kern w:val="2"/>
              <w:sz w:val="21"/>
              <w:szCs w:val="22"/>
              <w:lang w:val="en-US" w:eastAsia="zh-CN"/>
            </w:rPr>
          </w:pPr>
          <w:hyperlink w:anchor="_Toc103358935" w:history="1">
            <w:r>
              <w:rPr>
                <w:rStyle w:val="Hyperlink"/>
                <w:rFonts w:ascii="Times New Roman Bold" w:hAnsi="Times New Roman Bold"/>
                <w:lang w:val="en-US" w:eastAsia="zh-CN"/>
              </w:rPr>
              <w:t>2.</w:t>
            </w:r>
            <w:r>
              <w:rPr>
                <w:rFonts w:asciiTheme="minorHAnsi" w:eastAsiaTheme="minorEastAsia" w:hAnsiTheme="minorHAnsi" w:cstheme="minorBidi"/>
                <w:b w:val="0"/>
                <w:caps w:val="0"/>
                <w:kern w:val="2"/>
                <w:sz w:val="21"/>
                <w:szCs w:val="22"/>
                <w:lang w:val="en-US" w:eastAsia="zh-CN"/>
              </w:rPr>
              <w:tab/>
            </w:r>
            <w:r>
              <w:rPr>
                <w:rStyle w:val="Hyperlink"/>
                <w:rFonts w:asciiTheme="minorEastAsia" w:hAnsiTheme="minorEastAsia"/>
                <w:lang w:val="en-US" w:eastAsia="zh-CN"/>
              </w:rPr>
              <w:t>词意定义与缩写</w:t>
            </w:r>
            <w:r>
              <w:tab/>
            </w:r>
            <w:r>
              <w:fldChar w:fldCharType="begin"/>
            </w:r>
            <w:r>
              <w:instrText xml:space="preserve"> PAGEREF _Toc103358935 \h </w:instrText>
            </w:r>
            <w:r>
              <w:fldChar w:fldCharType="separate"/>
            </w:r>
            <w:r>
              <w:t>1</w:t>
            </w:r>
            <w:r>
              <w:fldChar w:fldCharType="end"/>
            </w:r>
          </w:hyperlink>
        </w:p>
        <w:p w:rsidR="00A469CB">
          <w:pPr>
            <w:pStyle w:val="TOC1"/>
            <w:tabs>
              <w:tab w:val="left" w:pos="440"/>
              <w:tab w:val="right" w:leader="dot" w:pos="8664"/>
            </w:tabs>
            <w:rPr>
              <w:rFonts w:asciiTheme="minorHAnsi" w:eastAsiaTheme="minorEastAsia" w:hAnsiTheme="minorHAnsi" w:cstheme="minorBidi"/>
              <w:b w:val="0"/>
              <w:caps w:val="0"/>
              <w:kern w:val="2"/>
              <w:sz w:val="21"/>
              <w:szCs w:val="22"/>
              <w:lang w:val="en-US" w:eastAsia="zh-CN"/>
            </w:rPr>
          </w:pPr>
          <w:hyperlink w:anchor="_Toc103358936" w:history="1">
            <w:r>
              <w:rPr>
                <w:rStyle w:val="Hyperlink"/>
                <w:rFonts w:ascii="Times New Roman Bold" w:hAnsi="Times New Roman Bold"/>
                <w:lang w:val="en-US" w:eastAsia="zh-CN"/>
              </w:rPr>
              <w:t>3.</w:t>
            </w:r>
            <w:r>
              <w:rPr>
                <w:rFonts w:asciiTheme="minorHAnsi" w:eastAsiaTheme="minorEastAsia" w:hAnsiTheme="minorHAnsi" w:cstheme="minorBidi"/>
                <w:b w:val="0"/>
                <w:caps w:val="0"/>
                <w:kern w:val="2"/>
                <w:sz w:val="21"/>
                <w:szCs w:val="22"/>
                <w:lang w:val="en-US" w:eastAsia="zh-CN"/>
              </w:rPr>
              <w:tab/>
            </w:r>
            <w:r>
              <w:rPr>
                <w:rStyle w:val="Hyperlink"/>
                <w:rFonts w:asciiTheme="minorEastAsia" w:hAnsiTheme="minorEastAsia"/>
                <w:lang w:val="en-US" w:eastAsia="zh-CN"/>
              </w:rPr>
              <w:t>工程范围</w:t>
            </w:r>
            <w:r>
              <w:tab/>
            </w:r>
            <w:r>
              <w:fldChar w:fldCharType="begin"/>
            </w:r>
            <w:r>
              <w:instrText xml:space="preserve"> PAGEREF _</w:instrText>
            </w:r>
            <w:r>
              <w:instrText xml:space="preserve">Toc103358936 \h </w:instrText>
            </w:r>
            <w:r>
              <w:fldChar w:fldCharType="separate"/>
            </w:r>
            <w:r>
              <w:t>2</w:t>
            </w:r>
            <w:r>
              <w:fldChar w:fldCharType="end"/>
            </w:r>
          </w:hyperlink>
        </w:p>
        <w:p w:rsidR="00A469CB">
          <w:pPr>
            <w:pStyle w:val="TOC1"/>
            <w:tabs>
              <w:tab w:val="left" w:pos="440"/>
              <w:tab w:val="right" w:leader="dot" w:pos="8664"/>
            </w:tabs>
            <w:rPr>
              <w:rFonts w:asciiTheme="minorHAnsi" w:eastAsiaTheme="minorEastAsia" w:hAnsiTheme="minorHAnsi" w:cstheme="minorBidi"/>
              <w:b w:val="0"/>
              <w:caps w:val="0"/>
              <w:kern w:val="2"/>
              <w:sz w:val="21"/>
              <w:szCs w:val="22"/>
              <w:lang w:val="en-US" w:eastAsia="zh-CN"/>
            </w:rPr>
          </w:pPr>
          <w:hyperlink w:anchor="_Toc103358937" w:history="1">
            <w:r>
              <w:rPr>
                <w:rStyle w:val="Hyperlink"/>
                <w:rFonts w:ascii="Times New Roman Bold" w:hAnsi="Times New Roman Bold"/>
                <w:lang w:val="en-US" w:eastAsia="zh-CN"/>
              </w:rPr>
              <w:t>4.</w:t>
            </w:r>
            <w:r>
              <w:rPr>
                <w:rFonts w:asciiTheme="minorHAnsi" w:eastAsiaTheme="minorEastAsia" w:hAnsiTheme="minorHAnsi" w:cstheme="minorBidi"/>
                <w:b w:val="0"/>
                <w:caps w:val="0"/>
                <w:kern w:val="2"/>
                <w:sz w:val="21"/>
                <w:szCs w:val="22"/>
                <w:lang w:val="en-US" w:eastAsia="zh-CN"/>
              </w:rPr>
              <w:tab/>
            </w:r>
            <w:r>
              <w:rPr>
                <w:rStyle w:val="Hyperlink"/>
                <w:rFonts w:asciiTheme="minorEastAsia" w:hAnsiTheme="minorEastAsia"/>
                <w:lang w:val="en-US" w:eastAsia="zh-CN"/>
              </w:rPr>
              <w:t>与各有关政府部门及公用事业机构之协调及合作</w:t>
            </w:r>
            <w:r>
              <w:tab/>
            </w:r>
            <w:r>
              <w:fldChar w:fldCharType="begin"/>
            </w:r>
            <w:r>
              <w:instrText xml:space="preserve"> PAGEREF _Toc103358937 \h </w:instrText>
            </w:r>
            <w:r>
              <w:fldChar w:fldCharType="separate"/>
            </w:r>
            <w:r>
              <w:t>6</w:t>
            </w:r>
            <w:r>
              <w:fldChar w:fldCharType="end"/>
            </w:r>
          </w:hyperlink>
        </w:p>
        <w:p w:rsidR="00A469CB">
          <w:pPr>
            <w:pStyle w:val="TOC1"/>
            <w:tabs>
              <w:tab w:val="left" w:pos="440"/>
              <w:tab w:val="right" w:leader="dot" w:pos="8664"/>
            </w:tabs>
            <w:rPr>
              <w:rFonts w:asciiTheme="minorHAnsi" w:eastAsiaTheme="minorEastAsia" w:hAnsiTheme="minorHAnsi" w:cstheme="minorBidi"/>
              <w:b w:val="0"/>
              <w:caps w:val="0"/>
              <w:kern w:val="2"/>
              <w:sz w:val="21"/>
              <w:szCs w:val="22"/>
              <w:lang w:val="en-US" w:eastAsia="zh-CN"/>
            </w:rPr>
          </w:pPr>
          <w:hyperlink w:anchor="_Toc103358938" w:history="1">
            <w:r>
              <w:rPr>
                <w:rStyle w:val="Hyperlink"/>
                <w:rFonts w:ascii="Times New Roman Bold" w:hAnsi="Times New Roman Bold"/>
                <w:lang w:val="en-US" w:eastAsia="zh-CN"/>
              </w:rPr>
              <w:t>5.</w:t>
            </w:r>
            <w:r>
              <w:rPr>
                <w:rFonts w:asciiTheme="minorHAnsi" w:eastAsiaTheme="minorEastAsia" w:hAnsiTheme="minorHAnsi" w:cstheme="minorBidi"/>
                <w:b w:val="0"/>
                <w:caps w:val="0"/>
                <w:kern w:val="2"/>
                <w:sz w:val="21"/>
                <w:szCs w:val="22"/>
                <w:lang w:val="en-US" w:eastAsia="zh-CN"/>
              </w:rPr>
              <w:tab/>
            </w:r>
            <w:r>
              <w:rPr>
                <w:rStyle w:val="Hyperlink"/>
                <w:rFonts w:asciiTheme="minorEastAsia" w:hAnsiTheme="minorEastAsia"/>
                <w:lang w:val="en-US" w:eastAsia="zh-CN"/>
              </w:rPr>
              <w:t>总承包单位与其它承包单位的协调及交接工作</w:t>
            </w:r>
            <w:r>
              <w:tab/>
            </w:r>
            <w:r>
              <w:fldChar w:fldCharType="begin"/>
            </w:r>
            <w:r>
              <w:instrText xml:space="preserve"> PAGEREF _Toc103358938 \h </w:instrText>
            </w:r>
            <w:r>
              <w:fldChar w:fldCharType="separate"/>
            </w:r>
            <w:r>
              <w:t>7</w:t>
            </w:r>
            <w:r>
              <w:fldChar w:fldCharType="end"/>
            </w:r>
          </w:hyperlink>
        </w:p>
        <w:p w:rsidR="00A469CB">
          <w:pPr>
            <w:pStyle w:val="TOC1"/>
            <w:tabs>
              <w:tab w:val="right" w:leader="dot" w:pos="8664"/>
            </w:tabs>
            <w:rPr>
              <w:rFonts w:asciiTheme="minorHAnsi" w:eastAsiaTheme="minorEastAsia" w:hAnsiTheme="minorHAnsi" w:cstheme="minorBidi"/>
              <w:b w:val="0"/>
              <w:caps w:val="0"/>
              <w:kern w:val="2"/>
              <w:sz w:val="21"/>
              <w:szCs w:val="22"/>
              <w:lang w:val="en-US" w:eastAsia="zh-CN"/>
            </w:rPr>
          </w:pPr>
          <w:hyperlink w:anchor="_Toc103358939" w:history="1">
            <w:r>
              <w:rPr>
                <w:rStyle w:val="Hyperlink"/>
                <w:rFonts w:asciiTheme="minorEastAsia" w:hAnsiTheme="minorEastAsia"/>
                <w:bCs/>
              </w:rPr>
              <w:t>第二章</w:t>
            </w:r>
            <w:r>
              <w:rPr>
                <w:rStyle w:val="Hyperlink"/>
                <w:rFonts w:asciiTheme="minorEastAsia" w:hAnsiTheme="minorEastAsia"/>
                <w:bCs/>
                <w:lang w:eastAsia="zh-CN"/>
              </w:rPr>
              <w:t xml:space="preserve"> </w:t>
            </w:r>
            <w:r>
              <w:rPr>
                <w:rStyle w:val="Hyperlink"/>
                <w:rFonts w:asciiTheme="minorEastAsia" w:hAnsiTheme="minorEastAsia"/>
                <w:bCs/>
                <w:lang w:eastAsia="zh-CN"/>
              </w:rPr>
              <w:t>一般要求</w:t>
            </w:r>
            <w:r>
              <w:tab/>
            </w:r>
            <w:r>
              <w:fldChar w:fldCharType="begin"/>
            </w:r>
            <w:r>
              <w:instrText xml:space="preserve"> PAGEREF _Toc103358939 \h </w:instrText>
            </w:r>
            <w:r>
              <w:fldChar w:fldCharType="separate"/>
            </w:r>
            <w:r>
              <w:t>9</w:t>
            </w:r>
            <w:r>
              <w:fldChar w:fldCharType="end"/>
            </w:r>
          </w:hyperlink>
        </w:p>
        <w:p w:rsidR="00A469CB">
          <w:pPr>
            <w:pStyle w:val="TOC1"/>
            <w:tabs>
              <w:tab w:val="left" w:pos="440"/>
              <w:tab w:val="right" w:leader="dot" w:pos="8664"/>
            </w:tabs>
            <w:rPr>
              <w:rFonts w:asciiTheme="minorHAnsi" w:eastAsiaTheme="minorEastAsia" w:hAnsiTheme="minorHAnsi" w:cstheme="minorBidi"/>
              <w:b w:val="0"/>
              <w:caps w:val="0"/>
              <w:kern w:val="2"/>
              <w:sz w:val="21"/>
              <w:szCs w:val="22"/>
              <w:lang w:val="en-US" w:eastAsia="zh-CN"/>
            </w:rPr>
          </w:pPr>
          <w:hyperlink w:anchor="_Toc103358940" w:history="1">
            <w:r>
              <w:rPr>
                <w:rStyle w:val="Hyperlink"/>
                <w:rFonts w:ascii="Times New Roman Bold" w:hAnsi="Times New Roman Bold"/>
                <w:lang w:val="en-US" w:eastAsia="zh-CN"/>
              </w:rPr>
              <w:t>1.</w:t>
            </w:r>
            <w:r>
              <w:rPr>
                <w:rFonts w:asciiTheme="minorHAnsi" w:eastAsiaTheme="minorEastAsia" w:hAnsiTheme="minorHAnsi" w:cstheme="minorBidi"/>
                <w:b w:val="0"/>
                <w:caps w:val="0"/>
                <w:kern w:val="2"/>
                <w:sz w:val="21"/>
                <w:szCs w:val="22"/>
                <w:lang w:val="en-US" w:eastAsia="zh-CN"/>
              </w:rPr>
              <w:tab/>
            </w:r>
            <w:r>
              <w:rPr>
                <w:rStyle w:val="Hyperlink"/>
                <w:rFonts w:asciiTheme="minorEastAsia" w:hAnsiTheme="minorEastAsia"/>
                <w:lang w:val="en-US" w:eastAsia="zh-CN"/>
              </w:rPr>
              <w:t>规则条例及标准</w:t>
            </w:r>
            <w:r>
              <w:tab/>
            </w:r>
            <w:r>
              <w:fldChar w:fldCharType="begin"/>
            </w:r>
            <w:r>
              <w:instrText xml:space="preserve"> PAGEREF _Toc103358940 \h </w:instrText>
            </w:r>
            <w:r>
              <w:fldChar w:fldCharType="separate"/>
            </w:r>
            <w:r>
              <w:t>9</w:t>
            </w:r>
            <w:r>
              <w:fldChar w:fldCharType="end"/>
            </w:r>
          </w:hyperlink>
        </w:p>
        <w:p w:rsidR="00A469CB">
          <w:pPr>
            <w:pStyle w:val="TOC1"/>
            <w:tabs>
              <w:tab w:val="left" w:pos="440"/>
              <w:tab w:val="right" w:leader="dot" w:pos="8664"/>
            </w:tabs>
            <w:rPr>
              <w:rFonts w:asciiTheme="minorHAnsi" w:eastAsiaTheme="minorEastAsia" w:hAnsiTheme="minorHAnsi" w:cstheme="minorBidi"/>
              <w:b w:val="0"/>
              <w:caps w:val="0"/>
              <w:kern w:val="2"/>
              <w:sz w:val="21"/>
              <w:szCs w:val="22"/>
              <w:lang w:val="en-US" w:eastAsia="zh-CN"/>
            </w:rPr>
          </w:pPr>
          <w:hyperlink w:anchor="_Toc103358941" w:history="1">
            <w:r>
              <w:rPr>
                <w:rStyle w:val="Hyperlink"/>
                <w:rFonts w:ascii="Times New Roman Bold" w:hAnsi="Times New Roman Bold"/>
                <w:lang w:val="en-US" w:eastAsia="zh-CN"/>
              </w:rPr>
              <w:t>2.</w:t>
            </w:r>
            <w:r>
              <w:rPr>
                <w:rFonts w:asciiTheme="minorHAnsi" w:eastAsiaTheme="minorEastAsia" w:hAnsiTheme="minorHAnsi" w:cstheme="minorBidi"/>
                <w:b w:val="0"/>
                <w:caps w:val="0"/>
                <w:kern w:val="2"/>
                <w:sz w:val="21"/>
                <w:szCs w:val="22"/>
                <w:lang w:val="en-US" w:eastAsia="zh-CN"/>
              </w:rPr>
              <w:tab/>
            </w:r>
            <w:r>
              <w:rPr>
                <w:rStyle w:val="Hyperlink"/>
                <w:rFonts w:asciiTheme="minorEastAsia" w:hAnsiTheme="minorEastAsia"/>
                <w:lang w:val="en-US" w:eastAsia="zh-CN"/>
              </w:rPr>
              <w:t>当地环境条件</w:t>
            </w:r>
            <w:r>
              <w:tab/>
            </w:r>
            <w:r>
              <w:fldChar w:fldCharType="begin"/>
            </w:r>
            <w:r>
              <w:instrText xml:space="preserve"> PAGEREF _Toc103358941 \h </w:instrText>
            </w:r>
            <w:r>
              <w:fldChar w:fldCharType="separate"/>
            </w:r>
            <w:r>
              <w:t>11</w:t>
            </w:r>
            <w:r>
              <w:fldChar w:fldCharType="end"/>
            </w:r>
          </w:hyperlink>
        </w:p>
        <w:p w:rsidR="00A469CB">
          <w:pPr>
            <w:pStyle w:val="TOC1"/>
            <w:tabs>
              <w:tab w:val="left" w:pos="440"/>
              <w:tab w:val="right" w:leader="dot" w:pos="8664"/>
            </w:tabs>
            <w:rPr>
              <w:rFonts w:asciiTheme="minorHAnsi" w:eastAsiaTheme="minorEastAsia" w:hAnsiTheme="minorHAnsi" w:cstheme="minorBidi"/>
              <w:b w:val="0"/>
              <w:caps w:val="0"/>
              <w:kern w:val="2"/>
              <w:sz w:val="21"/>
              <w:szCs w:val="22"/>
              <w:lang w:val="en-US" w:eastAsia="zh-CN"/>
            </w:rPr>
          </w:pPr>
          <w:hyperlink w:anchor="_Toc103358942" w:history="1">
            <w:r>
              <w:rPr>
                <w:rStyle w:val="Hyperlink"/>
                <w:rFonts w:ascii="Times New Roman Bold" w:hAnsi="Times New Roman Bold"/>
                <w:lang w:val="en-US" w:eastAsia="zh-CN"/>
              </w:rPr>
              <w:t>3.</w:t>
            </w:r>
            <w:r>
              <w:rPr>
                <w:rFonts w:asciiTheme="minorHAnsi" w:eastAsiaTheme="minorEastAsia" w:hAnsiTheme="minorHAnsi" w:cstheme="minorBidi"/>
                <w:b w:val="0"/>
                <w:caps w:val="0"/>
                <w:kern w:val="2"/>
                <w:sz w:val="21"/>
                <w:szCs w:val="22"/>
                <w:lang w:val="en-US" w:eastAsia="zh-CN"/>
              </w:rPr>
              <w:tab/>
            </w:r>
            <w:r>
              <w:rPr>
                <w:rStyle w:val="Hyperlink"/>
                <w:rFonts w:asciiTheme="minorEastAsia" w:hAnsiTheme="minorEastAsia"/>
                <w:lang w:val="en-US" w:eastAsia="zh-CN"/>
              </w:rPr>
              <w:t>供电条件</w:t>
            </w:r>
            <w:r>
              <w:tab/>
            </w:r>
            <w:r>
              <w:fldChar w:fldCharType="begin"/>
            </w:r>
            <w:r>
              <w:instrText xml:space="preserve"> PAGEREF _Toc103358942 \h </w:instrText>
            </w:r>
            <w:r>
              <w:fldChar w:fldCharType="separate"/>
            </w:r>
            <w:r>
              <w:t>12</w:t>
            </w:r>
            <w:r>
              <w:fldChar w:fldCharType="end"/>
            </w:r>
          </w:hyperlink>
        </w:p>
        <w:p w:rsidR="00A469CB">
          <w:pPr>
            <w:pStyle w:val="TOC1"/>
            <w:tabs>
              <w:tab w:val="left" w:pos="440"/>
              <w:tab w:val="right" w:leader="dot" w:pos="8664"/>
            </w:tabs>
            <w:rPr>
              <w:rFonts w:asciiTheme="minorHAnsi" w:eastAsiaTheme="minorEastAsia" w:hAnsiTheme="minorHAnsi" w:cstheme="minorBidi"/>
              <w:b w:val="0"/>
              <w:caps w:val="0"/>
              <w:kern w:val="2"/>
              <w:sz w:val="21"/>
              <w:szCs w:val="22"/>
              <w:lang w:val="en-US" w:eastAsia="zh-CN"/>
            </w:rPr>
          </w:pPr>
          <w:hyperlink w:anchor="_Toc103358943" w:history="1">
            <w:r>
              <w:rPr>
                <w:rStyle w:val="Hyperlink"/>
                <w:rFonts w:ascii="Times New Roman Bold" w:hAnsi="Times New Roman Bold"/>
                <w:lang w:val="en-US" w:eastAsia="zh-CN"/>
              </w:rPr>
              <w:t>4.</w:t>
            </w:r>
            <w:r>
              <w:rPr>
                <w:rFonts w:asciiTheme="minorHAnsi" w:eastAsiaTheme="minorEastAsia" w:hAnsiTheme="minorHAnsi" w:cstheme="minorBidi"/>
                <w:b w:val="0"/>
                <w:caps w:val="0"/>
                <w:kern w:val="2"/>
                <w:sz w:val="21"/>
                <w:szCs w:val="22"/>
                <w:lang w:val="en-US" w:eastAsia="zh-CN"/>
              </w:rPr>
              <w:tab/>
            </w:r>
            <w:r>
              <w:rPr>
                <w:rStyle w:val="Hyperlink"/>
                <w:rFonts w:asciiTheme="minorEastAsia" w:hAnsiTheme="minorEastAsia"/>
                <w:lang w:val="en-US" w:eastAsia="zh-CN"/>
              </w:rPr>
              <w:t>定位</w:t>
            </w:r>
            <w:r>
              <w:tab/>
            </w:r>
            <w:r>
              <w:fldChar w:fldCharType="begin"/>
            </w:r>
            <w:r>
              <w:instrText xml:space="preserve"> PAGEREF _Toc103358943 \h </w:instrText>
            </w:r>
            <w:r>
              <w:fldChar w:fldCharType="separate"/>
            </w:r>
            <w:r>
              <w:t>12</w:t>
            </w:r>
            <w:r>
              <w:fldChar w:fldCharType="end"/>
            </w:r>
          </w:hyperlink>
        </w:p>
        <w:p w:rsidR="00A469CB">
          <w:pPr>
            <w:pStyle w:val="TOC1"/>
            <w:tabs>
              <w:tab w:val="left" w:pos="440"/>
              <w:tab w:val="right" w:leader="dot" w:pos="8664"/>
            </w:tabs>
            <w:rPr>
              <w:rFonts w:asciiTheme="minorHAnsi" w:eastAsiaTheme="minorEastAsia" w:hAnsiTheme="minorHAnsi" w:cstheme="minorBidi"/>
              <w:b w:val="0"/>
              <w:caps w:val="0"/>
              <w:kern w:val="2"/>
              <w:sz w:val="21"/>
              <w:szCs w:val="22"/>
              <w:lang w:val="en-US" w:eastAsia="zh-CN"/>
            </w:rPr>
          </w:pPr>
          <w:hyperlink w:anchor="_Toc103358944" w:history="1">
            <w:r>
              <w:rPr>
                <w:rStyle w:val="Hyperlink"/>
                <w:rFonts w:ascii="Times New Roman Bold" w:hAnsi="Times New Roman Bold"/>
                <w:lang w:val="en-US" w:eastAsia="zh-CN"/>
              </w:rPr>
              <w:t>5.</w:t>
            </w:r>
            <w:r>
              <w:rPr>
                <w:rFonts w:asciiTheme="minorHAnsi" w:eastAsiaTheme="minorEastAsia" w:hAnsiTheme="minorHAnsi" w:cstheme="minorBidi"/>
                <w:b w:val="0"/>
                <w:caps w:val="0"/>
                <w:kern w:val="2"/>
                <w:sz w:val="21"/>
                <w:szCs w:val="22"/>
                <w:lang w:val="en-US" w:eastAsia="zh-CN"/>
              </w:rPr>
              <w:tab/>
            </w:r>
            <w:r>
              <w:rPr>
                <w:rStyle w:val="Hyperlink"/>
                <w:rFonts w:asciiTheme="minorEastAsia" w:hAnsiTheme="minorEastAsia"/>
                <w:lang w:val="en-US" w:eastAsia="zh-CN"/>
              </w:rPr>
              <w:t>工地现场条件勘察</w:t>
            </w:r>
            <w:r>
              <w:tab/>
            </w:r>
            <w:r>
              <w:fldChar w:fldCharType="begin"/>
            </w:r>
            <w:r>
              <w:instrText xml:space="preserve"> PAGEREF _Toc103358944 \h </w:instrText>
            </w:r>
            <w:r>
              <w:fldChar w:fldCharType="separate"/>
            </w:r>
            <w:r>
              <w:t>13</w:t>
            </w:r>
            <w:r>
              <w:fldChar w:fldCharType="end"/>
            </w:r>
          </w:hyperlink>
        </w:p>
        <w:p w:rsidR="00A469CB">
          <w:pPr>
            <w:pStyle w:val="TOC1"/>
            <w:tabs>
              <w:tab w:val="left" w:pos="440"/>
              <w:tab w:val="right" w:leader="dot" w:pos="8664"/>
            </w:tabs>
            <w:rPr>
              <w:rFonts w:asciiTheme="minorHAnsi" w:eastAsiaTheme="minorEastAsia" w:hAnsiTheme="minorHAnsi" w:cstheme="minorBidi"/>
              <w:b w:val="0"/>
              <w:caps w:val="0"/>
              <w:kern w:val="2"/>
              <w:sz w:val="21"/>
              <w:szCs w:val="22"/>
              <w:lang w:val="en-US" w:eastAsia="zh-CN"/>
            </w:rPr>
          </w:pPr>
          <w:hyperlink w:anchor="_Toc103358945" w:history="1">
            <w:r>
              <w:rPr>
                <w:rStyle w:val="Hyperlink"/>
                <w:rFonts w:ascii="Times New Roman Bold" w:hAnsi="Times New Roman Bold"/>
                <w:lang w:val="en-US" w:eastAsia="zh-CN"/>
              </w:rPr>
              <w:t>6.</w:t>
            </w:r>
            <w:r>
              <w:rPr>
                <w:rFonts w:asciiTheme="minorHAnsi" w:eastAsiaTheme="minorEastAsia" w:hAnsiTheme="minorHAnsi" w:cstheme="minorBidi"/>
                <w:b w:val="0"/>
                <w:caps w:val="0"/>
                <w:kern w:val="2"/>
                <w:sz w:val="21"/>
                <w:szCs w:val="22"/>
                <w:lang w:val="en-US" w:eastAsia="zh-CN"/>
              </w:rPr>
              <w:tab/>
            </w:r>
            <w:r>
              <w:rPr>
                <w:rStyle w:val="Hyperlink"/>
                <w:rFonts w:asciiTheme="minorEastAsia" w:hAnsiTheme="minorEastAsia"/>
                <w:lang w:val="en-US" w:eastAsia="zh-CN"/>
              </w:rPr>
              <w:t>工作协调及配合</w:t>
            </w:r>
            <w:r>
              <w:tab/>
            </w:r>
            <w:r>
              <w:fldChar w:fldCharType="begin"/>
            </w:r>
            <w:r>
              <w:instrText xml:space="preserve"> PAGEREF _Toc103358945 \h </w:instrText>
            </w:r>
            <w:r>
              <w:fldChar w:fldCharType="separate"/>
            </w:r>
            <w:r>
              <w:t>13</w:t>
            </w:r>
            <w:r>
              <w:fldChar w:fldCharType="end"/>
            </w:r>
          </w:hyperlink>
        </w:p>
        <w:p w:rsidR="00A469CB">
          <w:pPr>
            <w:pStyle w:val="TOC1"/>
            <w:tabs>
              <w:tab w:val="left" w:pos="440"/>
              <w:tab w:val="right" w:leader="dot" w:pos="8664"/>
            </w:tabs>
            <w:rPr>
              <w:rFonts w:asciiTheme="minorHAnsi" w:eastAsiaTheme="minorEastAsia" w:hAnsiTheme="minorHAnsi" w:cstheme="minorBidi"/>
              <w:b w:val="0"/>
              <w:caps w:val="0"/>
              <w:kern w:val="2"/>
              <w:sz w:val="21"/>
              <w:szCs w:val="22"/>
              <w:lang w:val="en-US" w:eastAsia="zh-CN"/>
            </w:rPr>
          </w:pPr>
          <w:hyperlink w:anchor="_Toc103358946" w:history="1">
            <w:r>
              <w:rPr>
                <w:rStyle w:val="Hyperlink"/>
                <w:rFonts w:ascii="Times New Roman Bold" w:hAnsi="Times New Roman Bold"/>
                <w:lang w:val="en-US" w:eastAsia="zh-CN"/>
              </w:rPr>
              <w:t>7.</w:t>
            </w:r>
            <w:r>
              <w:rPr>
                <w:rFonts w:asciiTheme="minorHAnsi" w:eastAsiaTheme="minorEastAsia" w:hAnsiTheme="minorHAnsi" w:cstheme="minorBidi"/>
                <w:b w:val="0"/>
                <w:caps w:val="0"/>
                <w:kern w:val="2"/>
                <w:sz w:val="21"/>
                <w:szCs w:val="22"/>
                <w:lang w:val="en-US" w:eastAsia="zh-CN"/>
              </w:rPr>
              <w:tab/>
            </w:r>
            <w:r>
              <w:rPr>
                <w:rStyle w:val="Hyperlink"/>
                <w:rFonts w:asciiTheme="minorEastAsia" w:hAnsiTheme="minorEastAsia"/>
                <w:lang w:val="en-US" w:eastAsia="zh-CN"/>
              </w:rPr>
              <w:t>物料的存储及保管</w:t>
            </w:r>
            <w:r>
              <w:tab/>
            </w:r>
            <w:r>
              <w:fldChar w:fldCharType="begin"/>
            </w:r>
            <w:r>
              <w:instrText xml:space="preserve"> PAGER</w:instrText>
            </w:r>
            <w:r>
              <w:instrText xml:space="preserve">EF _Toc103358946 \h </w:instrText>
            </w:r>
            <w:r>
              <w:fldChar w:fldCharType="separate"/>
            </w:r>
            <w:r>
              <w:t>14</w:t>
            </w:r>
            <w:r>
              <w:fldChar w:fldCharType="end"/>
            </w:r>
          </w:hyperlink>
        </w:p>
        <w:p w:rsidR="00A469CB">
          <w:pPr>
            <w:pStyle w:val="TOC1"/>
            <w:tabs>
              <w:tab w:val="left" w:pos="440"/>
              <w:tab w:val="right" w:leader="dot" w:pos="8664"/>
            </w:tabs>
            <w:rPr>
              <w:rFonts w:asciiTheme="minorHAnsi" w:eastAsiaTheme="minorEastAsia" w:hAnsiTheme="minorHAnsi" w:cstheme="minorBidi"/>
              <w:b w:val="0"/>
              <w:caps w:val="0"/>
              <w:kern w:val="2"/>
              <w:sz w:val="21"/>
              <w:szCs w:val="22"/>
              <w:lang w:val="en-US" w:eastAsia="zh-CN"/>
            </w:rPr>
          </w:pPr>
          <w:hyperlink w:anchor="_Toc103358947" w:history="1">
            <w:r>
              <w:rPr>
                <w:rStyle w:val="Hyperlink"/>
                <w:rFonts w:ascii="Times New Roman Bold" w:hAnsi="Times New Roman Bold"/>
                <w:lang w:val="en-US" w:eastAsia="zh-CN"/>
              </w:rPr>
              <w:t>8.</w:t>
            </w:r>
            <w:r>
              <w:rPr>
                <w:rFonts w:asciiTheme="minorHAnsi" w:eastAsiaTheme="minorEastAsia" w:hAnsiTheme="minorHAnsi" w:cstheme="minorBidi"/>
                <w:b w:val="0"/>
                <w:caps w:val="0"/>
                <w:kern w:val="2"/>
                <w:sz w:val="21"/>
                <w:szCs w:val="22"/>
                <w:lang w:val="en-US" w:eastAsia="zh-CN"/>
              </w:rPr>
              <w:tab/>
            </w:r>
            <w:r>
              <w:rPr>
                <w:rStyle w:val="Hyperlink"/>
                <w:rFonts w:asciiTheme="minorEastAsia" w:hAnsiTheme="minorEastAsia"/>
                <w:lang w:val="en-US" w:eastAsia="zh-CN"/>
              </w:rPr>
              <w:t>图纸</w:t>
            </w:r>
            <w:r>
              <w:tab/>
            </w:r>
            <w:r>
              <w:fldChar w:fldCharType="begin"/>
            </w:r>
            <w:r>
              <w:instrText xml:space="preserve"> PAGEREF _Toc103358947 \h </w:instrText>
            </w:r>
            <w:r>
              <w:fldChar w:fldCharType="separate"/>
            </w:r>
            <w:r>
              <w:t>16</w:t>
            </w:r>
            <w:r>
              <w:fldChar w:fldCharType="end"/>
            </w:r>
          </w:hyperlink>
        </w:p>
        <w:p w:rsidR="00A469CB">
          <w:pPr>
            <w:pStyle w:val="TOC1"/>
            <w:tabs>
              <w:tab w:val="left" w:pos="440"/>
              <w:tab w:val="right" w:leader="dot" w:pos="8664"/>
            </w:tabs>
            <w:rPr>
              <w:rFonts w:asciiTheme="minorHAnsi" w:eastAsiaTheme="minorEastAsia" w:hAnsiTheme="minorHAnsi" w:cstheme="minorBidi"/>
              <w:b w:val="0"/>
              <w:caps w:val="0"/>
              <w:kern w:val="2"/>
              <w:sz w:val="21"/>
              <w:szCs w:val="22"/>
              <w:lang w:val="en-US" w:eastAsia="zh-CN"/>
            </w:rPr>
          </w:pPr>
          <w:hyperlink w:anchor="_Toc103358948" w:history="1">
            <w:r>
              <w:rPr>
                <w:rStyle w:val="Hyperlink"/>
                <w:rFonts w:ascii="Times New Roman Bold" w:hAnsi="Times New Roman Bold"/>
                <w:lang w:val="en-US" w:eastAsia="zh-CN"/>
              </w:rPr>
              <w:t>9.</w:t>
            </w:r>
            <w:r>
              <w:rPr>
                <w:rFonts w:asciiTheme="minorHAnsi" w:eastAsiaTheme="minorEastAsia" w:hAnsiTheme="minorHAnsi" w:cstheme="minorBidi"/>
                <w:b w:val="0"/>
                <w:caps w:val="0"/>
                <w:kern w:val="2"/>
                <w:sz w:val="21"/>
                <w:szCs w:val="22"/>
                <w:lang w:val="en-US" w:eastAsia="zh-CN"/>
              </w:rPr>
              <w:tab/>
            </w:r>
            <w:r>
              <w:rPr>
                <w:rStyle w:val="Hyperlink"/>
                <w:rFonts w:asciiTheme="minorEastAsia" w:hAnsiTheme="minorEastAsia"/>
                <w:lang w:val="en-US" w:eastAsia="zh-CN"/>
              </w:rPr>
              <w:t>设备、材料及安装</w:t>
            </w:r>
            <w:r>
              <w:tab/>
            </w:r>
            <w:r>
              <w:fldChar w:fldCharType="begin"/>
            </w:r>
            <w:r>
              <w:instrText xml:space="preserve"> PAGEREF _Toc103358948 \h </w:instrText>
            </w:r>
            <w:r>
              <w:fldChar w:fldCharType="separate"/>
            </w:r>
            <w:r>
              <w:t>17</w:t>
            </w:r>
            <w:r>
              <w:fldChar w:fldCharType="end"/>
            </w:r>
          </w:hyperlink>
        </w:p>
        <w:p w:rsidR="00A469CB">
          <w:pPr>
            <w:pStyle w:val="TOC1"/>
            <w:tabs>
              <w:tab w:val="left" w:pos="426"/>
              <w:tab w:val="right" w:leader="dot" w:pos="8664"/>
            </w:tabs>
            <w:rPr>
              <w:rFonts w:asciiTheme="minorHAnsi" w:eastAsiaTheme="minorEastAsia" w:hAnsiTheme="minorHAnsi" w:cstheme="minorBidi"/>
              <w:b w:val="0"/>
              <w:caps w:val="0"/>
              <w:kern w:val="2"/>
              <w:sz w:val="21"/>
              <w:szCs w:val="22"/>
              <w:lang w:val="en-US" w:eastAsia="zh-CN"/>
            </w:rPr>
          </w:pPr>
          <w:hyperlink w:anchor="_Toc103358949" w:history="1">
            <w:r>
              <w:rPr>
                <w:rStyle w:val="Hyperlink"/>
                <w:rFonts w:ascii="Times New Roman Bold" w:hAnsi="Times New Roman Bold"/>
                <w:lang w:val="en-US" w:eastAsia="zh-CN"/>
              </w:rPr>
              <w:t>10.</w:t>
            </w:r>
            <w:r>
              <w:rPr>
                <w:rFonts w:asciiTheme="minorHAnsi" w:eastAsiaTheme="minorEastAsia" w:hAnsiTheme="minorHAnsi" w:cstheme="minorBidi"/>
                <w:b w:val="0"/>
                <w:caps w:val="0"/>
                <w:kern w:val="2"/>
                <w:sz w:val="21"/>
                <w:szCs w:val="22"/>
                <w:lang w:val="en-US" w:eastAsia="zh-CN"/>
              </w:rPr>
              <w:tab/>
            </w:r>
            <w:r>
              <w:rPr>
                <w:rStyle w:val="Hyperlink"/>
                <w:rFonts w:asciiTheme="minorEastAsia" w:hAnsiTheme="minorEastAsia"/>
                <w:lang w:val="en-US" w:eastAsia="zh-CN"/>
              </w:rPr>
              <w:t>送审及审批</w:t>
            </w:r>
            <w:r>
              <w:tab/>
            </w:r>
            <w:r>
              <w:fldChar w:fldCharType="begin"/>
            </w:r>
            <w:r>
              <w:instrText xml:space="preserve"> PAGEREF _Toc103358949 \h </w:instrText>
            </w:r>
            <w:r>
              <w:fldChar w:fldCharType="separate"/>
            </w:r>
            <w:r>
              <w:t>21</w:t>
            </w:r>
            <w:r>
              <w:fldChar w:fldCharType="end"/>
            </w:r>
          </w:hyperlink>
        </w:p>
        <w:p w:rsidR="00A469CB">
          <w:pPr>
            <w:pStyle w:val="TOC1"/>
            <w:tabs>
              <w:tab w:val="left" w:pos="426"/>
              <w:tab w:val="right" w:leader="dot" w:pos="8664"/>
            </w:tabs>
            <w:rPr>
              <w:rFonts w:asciiTheme="minorHAnsi" w:eastAsiaTheme="minorEastAsia" w:hAnsiTheme="minorHAnsi" w:cstheme="minorBidi"/>
              <w:b w:val="0"/>
              <w:caps w:val="0"/>
              <w:kern w:val="2"/>
              <w:sz w:val="21"/>
              <w:szCs w:val="22"/>
              <w:lang w:val="en-US" w:eastAsia="zh-CN"/>
            </w:rPr>
          </w:pPr>
          <w:hyperlink w:anchor="_Toc103358950" w:history="1">
            <w:r>
              <w:rPr>
                <w:rStyle w:val="Hyperlink"/>
                <w:rFonts w:ascii="Times New Roman Bold" w:hAnsi="Times New Roman Bold"/>
                <w:lang w:val="en-US" w:eastAsia="zh-CN"/>
              </w:rPr>
              <w:t>11.</w:t>
            </w:r>
            <w:r>
              <w:rPr>
                <w:rFonts w:asciiTheme="minorHAnsi" w:eastAsiaTheme="minorEastAsia" w:hAnsiTheme="minorHAnsi" w:cstheme="minorBidi"/>
                <w:b w:val="0"/>
                <w:caps w:val="0"/>
                <w:kern w:val="2"/>
                <w:sz w:val="21"/>
                <w:szCs w:val="22"/>
                <w:lang w:val="en-US" w:eastAsia="zh-CN"/>
              </w:rPr>
              <w:tab/>
            </w:r>
            <w:r>
              <w:rPr>
                <w:rStyle w:val="Hyperlink"/>
                <w:rFonts w:asciiTheme="minorEastAsia" w:hAnsiTheme="minorEastAsia"/>
                <w:lang w:val="en-US" w:eastAsia="zh-CN"/>
              </w:rPr>
              <w:t>承包单位的设计呈报</w:t>
            </w:r>
            <w:r>
              <w:tab/>
            </w:r>
            <w:r>
              <w:fldChar w:fldCharType="begin"/>
            </w:r>
            <w:r>
              <w:instrText xml:space="preserve"> PAGEREF _Toc103358950 \h </w:instrText>
            </w:r>
            <w:r>
              <w:fldChar w:fldCharType="separate"/>
            </w:r>
            <w:r>
              <w:t>21</w:t>
            </w:r>
            <w:r>
              <w:fldChar w:fldCharType="end"/>
            </w:r>
          </w:hyperlink>
        </w:p>
        <w:p w:rsidR="00A469CB">
          <w:pPr>
            <w:pStyle w:val="TOC1"/>
            <w:tabs>
              <w:tab w:val="left" w:pos="426"/>
              <w:tab w:val="right" w:leader="dot" w:pos="8664"/>
            </w:tabs>
            <w:rPr>
              <w:rFonts w:asciiTheme="minorHAnsi" w:eastAsiaTheme="minorEastAsia" w:hAnsiTheme="minorHAnsi" w:cstheme="minorBidi"/>
              <w:b w:val="0"/>
              <w:caps w:val="0"/>
              <w:kern w:val="2"/>
              <w:sz w:val="21"/>
              <w:szCs w:val="22"/>
              <w:lang w:val="en-US" w:eastAsia="zh-CN"/>
            </w:rPr>
          </w:pPr>
          <w:hyperlink w:anchor="_Toc103358951" w:history="1">
            <w:r>
              <w:rPr>
                <w:rStyle w:val="Hyperlink"/>
                <w:rFonts w:ascii="Times New Roman Bold" w:hAnsi="Times New Roman Bold"/>
                <w:lang w:val="en-US" w:eastAsia="zh-CN"/>
              </w:rPr>
              <w:t>12.</w:t>
            </w:r>
            <w:r>
              <w:rPr>
                <w:rFonts w:asciiTheme="minorHAnsi" w:eastAsiaTheme="minorEastAsia" w:hAnsiTheme="minorHAnsi" w:cstheme="minorBidi"/>
                <w:b w:val="0"/>
                <w:caps w:val="0"/>
                <w:kern w:val="2"/>
                <w:sz w:val="21"/>
                <w:szCs w:val="22"/>
                <w:lang w:val="en-US" w:eastAsia="zh-CN"/>
              </w:rPr>
              <w:tab/>
            </w:r>
            <w:r>
              <w:rPr>
                <w:rStyle w:val="Hyperlink"/>
                <w:rFonts w:asciiTheme="minorEastAsia" w:hAnsiTheme="minorEastAsia"/>
                <w:lang w:val="en-US" w:eastAsia="zh-CN"/>
              </w:rPr>
              <w:t>工程进度计划表</w:t>
            </w:r>
            <w:r>
              <w:tab/>
            </w:r>
            <w:r>
              <w:fldChar w:fldCharType="begin"/>
            </w:r>
            <w:r>
              <w:instrText xml:space="preserve"> PAGEREF _Toc103358951 \h </w:instrText>
            </w:r>
            <w:r>
              <w:fldChar w:fldCharType="separate"/>
            </w:r>
            <w:r>
              <w:t>22</w:t>
            </w:r>
            <w:r>
              <w:fldChar w:fldCharType="end"/>
            </w:r>
          </w:hyperlink>
        </w:p>
        <w:p w:rsidR="00A469CB">
          <w:pPr>
            <w:pStyle w:val="TOC1"/>
            <w:tabs>
              <w:tab w:val="left" w:pos="426"/>
              <w:tab w:val="right" w:leader="dot" w:pos="8664"/>
            </w:tabs>
            <w:rPr>
              <w:rFonts w:asciiTheme="minorHAnsi" w:eastAsiaTheme="minorEastAsia" w:hAnsiTheme="minorHAnsi" w:cstheme="minorBidi"/>
              <w:b w:val="0"/>
              <w:caps w:val="0"/>
              <w:kern w:val="2"/>
              <w:sz w:val="21"/>
              <w:szCs w:val="22"/>
              <w:lang w:val="en-US" w:eastAsia="zh-CN"/>
            </w:rPr>
          </w:pPr>
          <w:hyperlink w:anchor="_Toc103358952" w:history="1">
            <w:r>
              <w:rPr>
                <w:rStyle w:val="Hyperlink"/>
                <w:rFonts w:ascii="Times New Roman Bold" w:hAnsi="Times New Roman Bold"/>
                <w:lang w:val="en-US" w:eastAsia="zh-CN"/>
              </w:rPr>
              <w:t>13.</w:t>
            </w:r>
            <w:r>
              <w:rPr>
                <w:rFonts w:asciiTheme="minorHAnsi" w:eastAsiaTheme="minorEastAsia" w:hAnsiTheme="minorHAnsi" w:cstheme="minorBidi"/>
                <w:b w:val="0"/>
                <w:caps w:val="0"/>
                <w:kern w:val="2"/>
                <w:sz w:val="21"/>
                <w:szCs w:val="22"/>
                <w:lang w:val="en-US" w:eastAsia="zh-CN"/>
              </w:rPr>
              <w:tab/>
            </w:r>
            <w:r>
              <w:rPr>
                <w:rStyle w:val="Hyperlink"/>
                <w:rFonts w:asciiTheme="minorEastAsia" w:hAnsiTheme="minorEastAsia"/>
                <w:lang w:val="en-US" w:eastAsia="zh-CN"/>
              </w:rPr>
              <w:t>安全施工组织架构</w:t>
            </w:r>
            <w:r>
              <w:tab/>
            </w:r>
            <w:r>
              <w:fldChar w:fldCharType="begin"/>
            </w:r>
            <w:r>
              <w:instrText xml:space="preserve"> PA</w:instrText>
            </w:r>
            <w:r>
              <w:instrText xml:space="preserve">GEREF _Toc103358952 \h </w:instrText>
            </w:r>
            <w:r>
              <w:fldChar w:fldCharType="separate"/>
            </w:r>
            <w:r>
              <w:t>23</w:t>
            </w:r>
            <w:r>
              <w:fldChar w:fldCharType="end"/>
            </w:r>
          </w:hyperlink>
        </w:p>
        <w:p w:rsidR="00A469CB">
          <w:pPr>
            <w:pStyle w:val="TOC1"/>
            <w:tabs>
              <w:tab w:val="left" w:pos="426"/>
              <w:tab w:val="right" w:leader="dot" w:pos="8664"/>
            </w:tabs>
            <w:rPr>
              <w:rFonts w:asciiTheme="minorHAnsi" w:eastAsiaTheme="minorEastAsia" w:hAnsiTheme="minorHAnsi" w:cstheme="minorBidi"/>
              <w:b w:val="0"/>
              <w:caps w:val="0"/>
              <w:kern w:val="2"/>
              <w:sz w:val="21"/>
              <w:szCs w:val="22"/>
              <w:lang w:val="en-US" w:eastAsia="zh-CN"/>
            </w:rPr>
          </w:pPr>
          <w:hyperlink w:anchor="_Toc103358953" w:history="1">
            <w:r>
              <w:rPr>
                <w:rStyle w:val="Hyperlink"/>
                <w:rFonts w:ascii="Times New Roman Bold" w:hAnsi="Times New Roman Bold"/>
                <w:lang w:val="en-US" w:eastAsia="zh-CN"/>
              </w:rPr>
              <w:t>14.</w:t>
            </w:r>
            <w:r>
              <w:rPr>
                <w:rFonts w:asciiTheme="minorHAnsi" w:eastAsiaTheme="minorEastAsia" w:hAnsiTheme="minorHAnsi" w:cstheme="minorBidi"/>
                <w:b w:val="0"/>
                <w:caps w:val="0"/>
                <w:kern w:val="2"/>
                <w:sz w:val="21"/>
                <w:szCs w:val="22"/>
                <w:lang w:val="en-US" w:eastAsia="zh-CN"/>
              </w:rPr>
              <w:tab/>
            </w:r>
            <w:r>
              <w:rPr>
                <w:rStyle w:val="Hyperlink"/>
                <w:rFonts w:asciiTheme="minorEastAsia" w:hAnsiTheme="minorEastAsia"/>
                <w:lang w:val="en-US" w:eastAsia="zh-CN"/>
              </w:rPr>
              <w:t>竣工证书</w:t>
            </w:r>
            <w:r>
              <w:tab/>
            </w:r>
            <w:r>
              <w:fldChar w:fldCharType="begin"/>
            </w:r>
            <w:r>
              <w:instrText xml:space="preserve"> PAGEREF _Toc103358953 \h </w:instrText>
            </w:r>
            <w:r>
              <w:fldChar w:fldCharType="separate"/>
            </w:r>
            <w:r>
              <w:t>23</w:t>
            </w:r>
            <w:r>
              <w:fldChar w:fldCharType="end"/>
            </w:r>
          </w:hyperlink>
        </w:p>
        <w:p w:rsidR="00A469CB">
          <w:pPr>
            <w:pStyle w:val="TOC1"/>
            <w:tabs>
              <w:tab w:val="left" w:pos="426"/>
              <w:tab w:val="right" w:leader="dot" w:pos="8664"/>
            </w:tabs>
            <w:rPr>
              <w:rFonts w:asciiTheme="minorHAnsi" w:eastAsiaTheme="minorEastAsia" w:hAnsiTheme="minorHAnsi" w:cstheme="minorBidi"/>
              <w:b w:val="0"/>
              <w:caps w:val="0"/>
              <w:kern w:val="2"/>
              <w:sz w:val="21"/>
              <w:szCs w:val="22"/>
              <w:lang w:val="en-US" w:eastAsia="zh-CN"/>
            </w:rPr>
          </w:pPr>
          <w:hyperlink w:anchor="_Toc103358954" w:history="1">
            <w:r>
              <w:rPr>
                <w:rStyle w:val="Hyperlink"/>
                <w:rFonts w:ascii="Times New Roman Bold" w:hAnsi="Times New Roman Bold"/>
                <w:lang w:val="en-US" w:eastAsia="zh-CN"/>
              </w:rPr>
              <w:t>15.</w:t>
            </w:r>
            <w:r>
              <w:rPr>
                <w:rFonts w:asciiTheme="minorHAnsi" w:eastAsiaTheme="minorEastAsia" w:hAnsiTheme="minorHAnsi" w:cstheme="minorBidi"/>
                <w:b w:val="0"/>
                <w:caps w:val="0"/>
                <w:kern w:val="2"/>
                <w:sz w:val="21"/>
                <w:szCs w:val="22"/>
                <w:lang w:val="en-US" w:eastAsia="zh-CN"/>
              </w:rPr>
              <w:tab/>
            </w:r>
            <w:r>
              <w:rPr>
                <w:rStyle w:val="Hyperlink"/>
                <w:rFonts w:asciiTheme="minorEastAsia" w:hAnsiTheme="minorEastAsia"/>
                <w:lang w:val="en-US" w:eastAsia="zh-CN"/>
              </w:rPr>
              <w:t>安全计划</w:t>
            </w:r>
            <w:r>
              <w:tab/>
            </w:r>
            <w:r>
              <w:fldChar w:fldCharType="begin"/>
            </w:r>
            <w:r>
              <w:instrText xml:space="preserve"> PAGEREF _Toc103358954 \h </w:instrText>
            </w:r>
            <w:r>
              <w:fldChar w:fldCharType="separate"/>
            </w:r>
            <w:r>
              <w:t>24</w:t>
            </w:r>
            <w:r>
              <w:fldChar w:fldCharType="end"/>
            </w:r>
          </w:hyperlink>
        </w:p>
        <w:p w:rsidR="00A469CB">
          <w:pPr>
            <w:pStyle w:val="TOC1"/>
            <w:tabs>
              <w:tab w:val="left" w:pos="426"/>
              <w:tab w:val="right" w:leader="dot" w:pos="8664"/>
            </w:tabs>
            <w:rPr>
              <w:rFonts w:asciiTheme="minorHAnsi" w:eastAsiaTheme="minorEastAsia" w:hAnsiTheme="minorHAnsi" w:cstheme="minorBidi"/>
              <w:b w:val="0"/>
              <w:caps w:val="0"/>
              <w:kern w:val="2"/>
              <w:sz w:val="21"/>
              <w:szCs w:val="22"/>
              <w:lang w:val="en-US" w:eastAsia="zh-CN"/>
            </w:rPr>
          </w:pPr>
          <w:hyperlink w:anchor="_Toc103358955" w:history="1">
            <w:r>
              <w:rPr>
                <w:rStyle w:val="Hyperlink"/>
                <w:rFonts w:ascii="Times New Roman Bold" w:hAnsi="Times New Roman Bold"/>
                <w:lang w:val="en-US" w:eastAsia="zh-CN"/>
              </w:rPr>
              <w:t>16.</w:t>
            </w:r>
            <w:r>
              <w:rPr>
                <w:rFonts w:asciiTheme="minorHAnsi" w:eastAsiaTheme="minorEastAsia" w:hAnsiTheme="minorHAnsi" w:cstheme="minorBidi"/>
                <w:b w:val="0"/>
                <w:caps w:val="0"/>
                <w:kern w:val="2"/>
                <w:sz w:val="21"/>
                <w:szCs w:val="22"/>
                <w:lang w:val="en-US" w:eastAsia="zh-CN"/>
              </w:rPr>
              <w:tab/>
            </w:r>
            <w:r>
              <w:rPr>
                <w:rStyle w:val="Hyperlink"/>
                <w:rFonts w:asciiTheme="minorEastAsia" w:hAnsiTheme="minorEastAsia"/>
                <w:lang w:val="en-US" w:eastAsia="zh-CN"/>
              </w:rPr>
              <w:t>质量管理</w:t>
            </w:r>
            <w:r>
              <w:tab/>
            </w:r>
            <w:r>
              <w:fldChar w:fldCharType="begin"/>
            </w:r>
            <w:r>
              <w:instrText xml:space="preserve"> PAGEREF _Toc103358955 \h </w:instrText>
            </w:r>
            <w:r>
              <w:fldChar w:fldCharType="separate"/>
            </w:r>
            <w:r>
              <w:t>26</w:t>
            </w:r>
            <w:r>
              <w:fldChar w:fldCharType="end"/>
            </w:r>
          </w:hyperlink>
        </w:p>
        <w:p w:rsidR="00A469CB">
          <w:pPr>
            <w:pStyle w:val="TOC1"/>
            <w:tabs>
              <w:tab w:val="left" w:pos="426"/>
              <w:tab w:val="right" w:leader="dot" w:pos="8664"/>
            </w:tabs>
            <w:rPr>
              <w:rFonts w:asciiTheme="minorHAnsi" w:eastAsiaTheme="minorEastAsia" w:hAnsiTheme="minorHAnsi" w:cstheme="minorBidi"/>
              <w:b w:val="0"/>
              <w:caps w:val="0"/>
              <w:kern w:val="2"/>
              <w:sz w:val="21"/>
              <w:szCs w:val="22"/>
              <w:lang w:val="en-US" w:eastAsia="zh-CN"/>
            </w:rPr>
          </w:pPr>
          <w:hyperlink w:anchor="_Toc103358956" w:history="1">
            <w:r>
              <w:rPr>
                <w:rStyle w:val="Hyperlink"/>
                <w:rFonts w:ascii="Times New Roman Bold" w:hAnsi="Times New Roman Bold"/>
                <w:lang w:val="en-US" w:eastAsia="zh-CN"/>
              </w:rPr>
              <w:t>17.</w:t>
            </w:r>
            <w:r>
              <w:rPr>
                <w:rFonts w:asciiTheme="minorHAnsi" w:eastAsiaTheme="minorEastAsia" w:hAnsiTheme="minorHAnsi" w:cstheme="minorBidi"/>
                <w:b w:val="0"/>
                <w:caps w:val="0"/>
                <w:kern w:val="2"/>
                <w:sz w:val="21"/>
                <w:szCs w:val="22"/>
                <w:lang w:val="en-US" w:eastAsia="zh-CN"/>
              </w:rPr>
              <w:tab/>
            </w:r>
            <w:r>
              <w:rPr>
                <w:rStyle w:val="Hyperlink"/>
                <w:rFonts w:asciiTheme="minorEastAsia" w:hAnsiTheme="minorEastAsia"/>
                <w:lang w:val="en-US" w:eastAsia="zh-CN"/>
              </w:rPr>
              <w:t>竣工前系统之使用</w:t>
            </w:r>
            <w:r>
              <w:tab/>
            </w:r>
            <w:r>
              <w:fldChar w:fldCharType="begin"/>
            </w:r>
            <w:r>
              <w:instrText xml:space="preserve"> PAGEREF _Toc103358956 \h </w:instrText>
            </w:r>
            <w:r>
              <w:fldChar w:fldCharType="separate"/>
            </w:r>
            <w:r>
              <w:t>28</w:t>
            </w:r>
            <w:r>
              <w:fldChar w:fldCharType="end"/>
            </w:r>
          </w:hyperlink>
        </w:p>
        <w:p w:rsidR="00A469CB">
          <w:pPr>
            <w:pStyle w:val="TOC1"/>
            <w:tabs>
              <w:tab w:val="left" w:pos="426"/>
              <w:tab w:val="right" w:leader="dot" w:pos="8664"/>
            </w:tabs>
            <w:rPr>
              <w:rFonts w:asciiTheme="minorHAnsi" w:eastAsiaTheme="minorEastAsia" w:hAnsiTheme="minorHAnsi" w:cstheme="minorBidi"/>
              <w:b w:val="0"/>
              <w:caps w:val="0"/>
              <w:kern w:val="2"/>
              <w:sz w:val="21"/>
              <w:szCs w:val="22"/>
              <w:lang w:val="en-US" w:eastAsia="zh-CN"/>
            </w:rPr>
          </w:pPr>
          <w:hyperlink w:anchor="_Toc103358957" w:history="1">
            <w:r>
              <w:rPr>
                <w:rStyle w:val="Hyperlink"/>
                <w:rFonts w:ascii="Times New Roman Bold" w:hAnsi="Times New Roman Bold"/>
                <w:lang w:val="en-US" w:eastAsia="zh-CN"/>
              </w:rPr>
              <w:t>18.</w:t>
            </w:r>
            <w:r>
              <w:rPr>
                <w:rFonts w:asciiTheme="minorHAnsi" w:eastAsiaTheme="minorEastAsia" w:hAnsiTheme="minorHAnsi" w:cstheme="minorBidi"/>
                <w:b w:val="0"/>
                <w:caps w:val="0"/>
                <w:kern w:val="2"/>
                <w:sz w:val="21"/>
                <w:szCs w:val="22"/>
                <w:lang w:val="en-US" w:eastAsia="zh-CN"/>
              </w:rPr>
              <w:tab/>
            </w:r>
            <w:r>
              <w:rPr>
                <w:rStyle w:val="Hyperlink"/>
                <w:rFonts w:asciiTheme="minorEastAsia" w:hAnsiTheme="minorEastAsia"/>
                <w:lang w:val="en-US" w:eastAsia="zh-CN"/>
              </w:rPr>
              <w:t>缺陷处理</w:t>
            </w:r>
            <w:r>
              <w:tab/>
            </w:r>
            <w:r>
              <w:fldChar w:fldCharType="begin"/>
            </w:r>
            <w:r>
              <w:instrText xml:space="preserve"> PAGEREF _Toc103358957 \h </w:instrText>
            </w:r>
            <w:r>
              <w:fldChar w:fldCharType="separate"/>
            </w:r>
            <w:r>
              <w:t>28</w:t>
            </w:r>
            <w:r>
              <w:fldChar w:fldCharType="end"/>
            </w:r>
          </w:hyperlink>
        </w:p>
        <w:p w:rsidR="00A469CB">
          <w:pPr>
            <w:pStyle w:val="TOC1"/>
            <w:tabs>
              <w:tab w:val="left" w:pos="426"/>
              <w:tab w:val="right" w:leader="dot" w:pos="8664"/>
            </w:tabs>
            <w:rPr>
              <w:rFonts w:asciiTheme="minorHAnsi" w:eastAsiaTheme="minorEastAsia" w:hAnsiTheme="minorHAnsi" w:cstheme="minorBidi"/>
              <w:b w:val="0"/>
              <w:caps w:val="0"/>
              <w:kern w:val="2"/>
              <w:sz w:val="21"/>
              <w:szCs w:val="22"/>
              <w:lang w:val="en-US" w:eastAsia="zh-CN"/>
            </w:rPr>
          </w:pPr>
          <w:hyperlink w:anchor="_Toc103358958" w:history="1">
            <w:r>
              <w:rPr>
                <w:rStyle w:val="Hyperlink"/>
                <w:rFonts w:ascii="Times New Roman Bold" w:hAnsi="Times New Roman Bold"/>
                <w:lang w:val="en-US" w:eastAsia="zh-CN"/>
              </w:rPr>
              <w:t>19.</w:t>
            </w:r>
            <w:r>
              <w:rPr>
                <w:rFonts w:asciiTheme="minorHAnsi" w:eastAsiaTheme="minorEastAsia" w:hAnsiTheme="minorHAnsi" w:cstheme="minorBidi"/>
                <w:b w:val="0"/>
                <w:caps w:val="0"/>
                <w:kern w:val="2"/>
                <w:sz w:val="21"/>
                <w:szCs w:val="22"/>
                <w:lang w:val="en-US" w:eastAsia="zh-CN"/>
              </w:rPr>
              <w:tab/>
            </w:r>
            <w:r>
              <w:rPr>
                <w:rStyle w:val="Hyperlink"/>
                <w:rFonts w:asciiTheme="minorEastAsia" w:hAnsiTheme="minorEastAsia"/>
                <w:lang w:val="en-US" w:eastAsia="zh-CN"/>
              </w:rPr>
              <w:t>操作和维修保养手册</w:t>
            </w:r>
            <w:r>
              <w:tab/>
            </w:r>
            <w:r>
              <w:fldChar w:fldCharType="begin"/>
            </w:r>
            <w:r>
              <w:instrText xml:space="preserve"> PAGEREF _Toc103358958 \h </w:instrText>
            </w:r>
            <w:r>
              <w:fldChar w:fldCharType="separate"/>
            </w:r>
            <w:r>
              <w:t>29</w:t>
            </w:r>
            <w:r>
              <w:fldChar w:fldCharType="end"/>
            </w:r>
          </w:hyperlink>
        </w:p>
        <w:p w:rsidR="00A469CB">
          <w:pPr>
            <w:pStyle w:val="TOC1"/>
            <w:tabs>
              <w:tab w:val="left" w:pos="426"/>
              <w:tab w:val="right" w:leader="dot" w:pos="8664"/>
            </w:tabs>
            <w:rPr>
              <w:rFonts w:asciiTheme="minorHAnsi" w:eastAsiaTheme="minorEastAsia" w:hAnsiTheme="minorHAnsi" w:cstheme="minorBidi"/>
              <w:b w:val="0"/>
              <w:caps w:val="0"/>
              <w:kern w:val="2"/>
              <w:sz w:val="21"/>
              <w:szCs w:val="22"/>
              <w:lang w:val="en-US" w:eastAsia="zh-CN"/>
            </w:rPr>
          </w:pPr>
          <w:hyperlink w:anchor="_Toc103358959" w:history="1">
            <w:r>
              <w:rPr>
                <w:rStyle w:val="Hyperlink"/>
                <w:rFonts w:ascii="Times New Roman Bold" w:hAnsi="Times New Roman Bold"/>
                <w:lang w:val="en-US" w:eastAsia="zh-CN"/>
              </w:rPr>
              <w:t>20.</w:t>
            </w:r>
            <w:r>
              <w:rPr>
                <w:rFonts w:asciiTheme="minorHAnsi" w:eastAsiaTheme="minorEastAsia" w:hAnsiTheme="minorHAnsi" w:cstheme="minorBidi"/>
                <w:b w:val="0"/>
                <w:caps w:val="0"/>
                <w:kern w:val="2"/>
                <w:sz w:val="21"/>
                <w:szCs w:val="22"/>
                <w:lang w:val="en-US" w:eastAsia="zh-CN"/>
              </w:rPr>
              <w:tab/>
            </w:r>
            <w:r>
              <w:rPr>
                <w:rStyle w:val="Hyperlink"/>
                <w:rFonts w:asciiTheme="minorEastAsia" w:hAnsiTheme="minorEastAsia"/>
                <w:lang w:val="en-US" w:eastAsia="zh-CN"/>
              </w:rPr>
              <w:t>文件及图纸送审及提交</w:t>
            </w:r>
            <w:r>
              <w:tab/>
            </w:r>
            <w:r>
              <w:fldChar w:fldCharType="begin"/>
            </w:r>
            <w:r>
              <w:instrText xml:space="preserve"> PAGEREF _Toc103358959 \h </w:instrText>
            </w:r>
            <w:r>
              <w:fldChar w:fldCharType="separate"/>
            </w:r>
            <w:r>
              <w:t>32</w:t>
            </w:r>
            <w:r>
              <w:fldChar w:fldCharType="end"/>
            </w:r>
          </w:hyperlink>
        </w:p>
        <w:p w:rsidR="00A469CB">
          <w:pPr>
            <w:pStyle w:val="TOC1"/>
            <w:tabs>
              <w:tab w:val="left" w:pos="426"/>
              <w:tab w:val="right" w:leader="dot" w:pos="8664"/>
            </w:tabs>
            <w:rPr>
              <w:rFonts w:asciiTheme="minorHAnsi" w:eastAsiaTheme="minorEastAsia" w:hAnsiTheme="minorHAnsi" w:cstheme="minorBidi"/>
              <w:b w:val="0"/>
              <w:caps w:val="0"/>
              <w:kern w:val="2"/>
              <w:sz w:val="21"/>
              <w:szCs w:val="22"/>
              <w:lang w:val="en-US" w:eastAsia="zh-CN"/>
            </w:rPr>
          </w:pPr>
          <w:hyperlink w:anchor="_Toc103358960" w:history="1">
            <w:r>
              <w:rPr>
                <w:rStyle w:val="Hyperlink"/>
                <w:rFonts w:ascii="Times New Roman Bold" w:hAnsi="Times New Roman Bold"/>
                <w:lang w:val="en-US" w:eastAsia="zh-CN"/>
              </w:rPr>
              <w:t>21.</w:t>
            </w:r>
            <w:r>
              <w:rPr>
                <w:rFonts w:asciiTheme="minorHAnsi" w:eastAsiaTheme="minorEastAsia" w:hAnsiTheme="minorHAnsi" w:cstheme="minorBidi"/>
                <w:b w:val="0"/>
                <w:caps w:val="0"/>
                <w:kern w:val="2"/>
                <w:sz w:val="21"/>
                <w:szCs w:val="22"/>
                <w:lang w:val="en-US" w:eastAsia="zh-CN"/>
              </w:rPr>
              <w:tab/>
            </w:r>
            <w:r>
              <w:rPr>
                <w:rStyle w:val="Hyperlink"/>
                <w:rFonts w:asciiTheme="minorEastAsia" w:hAnsiTheme="minorEastAsia"/>
                <w:lang w:val="en-US" w:eastAsia="zh-CN"/>
              </w:rPr>
              <w:t>电磁兼容</w:t>
            </w:r>
            <w:r>
              <w:tab/>
            </w:r>
            <w:r>
              <w:fldChar w:fldCharType="begin"/>
            </w:r>
            <w:r>
              <w:instrText xml:space="preserve"> PAGEREF _Toc103358960 \h </w:instrText>
            </w:r>
            <w:r>
              <w:fldChar w:fldCharType="separate"/>
            </w:r>
            <w:r>
              <w:t>33</w:t>
            </w:r>
            <w:r>
              <w:fldChar w:fldCharType="end"/>
            </w:r>
          </w:hyperlink>
        </w:p>
        <w:p w:rsidR="00A469CB">
          <w:pPr>
            <w:pStyle w:val="TOC1"/>
            <w:tabs>
              <w:tab w:val="left" w:pos="426"/>
              <w:tab w:val="right" w:leader="dot" w:pos="8664"/>
            </w:tabs>
            <w:rPr>
              <w:rFonts w:asciiTheme="minorHAnsi" w:eastAsiaTheme="minorEastAsia" w:hAnsiTheme="minorHAnsi" w:cstheme="minorBidi"/>
              <w:b w:val="0"/>
              <w:caps w:val="0"/>
              <w:kern w:val="2"/>
              <w:sz w:val="21"/>
              <w:szCs w:val="22"/>
              <w:lang w:val="en-US" w:eastAsia="zh-CN"/>
            </w:rPr>
          </w:pPr>
          <w:hyperlink w:anchor="_Toc103358961" w:history="1">
            <w:r>
              <w:rPr>
                <w:rStyle w:val="Hyperlink"/>
                <w:rFonts w:ascii="Times New Roman Bold" w:hAnsi="Times New Roman Bold"/>
                <w:lang w:val="en-US" w:eastAsia="zh-CN"/>
              </w:rPr>
              <w:t>22.</w:t>
            </w:r>
            <w:r>
              <w:rPr>
                <w:rFonts w:asciiTheme="minorHAnsi" w:eastAsiaTheme="minorEastAsia" w:hAnsiTheme="minorHAnsi" w:cstheme="minorBidi"/>
                <w:b w:val="0"/>
                <w:caps w:val="0"/>
                <w:kern w:val="2"/>
                <w:sz w:val="21"/>
                <w:szCs w:val="22"/>
                <w:lang w:val="en-US" w:eastAsia="zh-CN"/>
              </w:rPr>
              <w:tab/>
            </w:r>
            <w:r>
              <w:rPr>
                <w:rStyle w:val="Hyperlink"/>
                <w:rFonts w:asciiTheme="minorEastAsia" w:hAnsiTheme="minorEastAsia"/>
                <w:lang w:val="en-US" w:eastAsia="zh-CN"/>
              </w:rPr>
              <w:t>缺陷责任期、维保期</w:t>
            </w:r>
            <w:r>
              <w:tab/>
            </w:r>
            <w:r>
              <w:fldChar w:fldCharType="begin"/>
            </w:r>
            <w:r>
              <w:instrText xml:space="preserve"> PAGEREF _Toc103358961 \h </w:instrText>
            </w:r>
            <w:r>
              <w:fldChar w:fldCharType="separate"/>
            </w:r>
            <w:r>
              <w:t>35</w:t>
            </w:r>
            <w:r>
              <w:fldChar w:fldCharType="end"/>
            </w:r>
          </w:hyperlink>
        </w:p>
        <w:p w:rsidR="00A469CB">
          <w:pPr>
            <w:pStyle w:val="TOC1"/>
            <w:tabs>
              <w:tab w:val="left" w:pos="426"/>
              <w:tab w:val="right" w:leader="dot" w:pos="8664"/>
            </w:tabs>
            <w:rPr>
              <w:rFonts w:asciiTheme="minorHAnsi" w:eastAsiaTheme="minorEastAsia" w:hAnsiTheme="minorHAnsi" w:cstheme="minorBidi"/>
              <w:b w:val="0"/>
              <w:caps w:val="0"/>
              <w:kern w:val="2"/>
              <w:sz w:val="21"/>
              <w:szCs w:val="22"/>
              <w:lang w:val="en-US" w:eastAsia="zh-CN"/>
            </w:rPr>
          </w:pPr>
          <w:hyperlink w:anchor="_Toc103358962" w:history="1">
            <w:r>
              <w:rPr>
                <w:rStyle w:val="Hyperlink"/>
                <w:rFonts w:ascii="Times New Roman Bold" w:hAnsi="Times New Roman Bold"/>
                <w:lang w:val="en-US" w:eastAsia="zh-CN"/>
              </w:rPr>
              <w:t>23.</w:t>
            </w:r>
            <w:r>
              <w:rPr>
                <w:rFonts w:asciiTheme="minorHAnsi" w:eastAsiaTheme="minorEastAsia" w:hAnsiTheme="minorHAnsi" w:cstheme="minorBidi"/>
                <w:b w:val="0"/>
                <w:caps w:val="0"/>
                <w:kern w:val="2"/>
                <w:sz w:val="21"/>
                <w:szCs w:val="22"/>
                <w:lang w:val="en-US" w:eastAsia="zh-CN"/>
              </w:rPr>
              <w:tab/>
            </w:r>
            <w:r>
              <w:rPr>
                <w:rStyle w:val="Hyperlink"/>
                <w:rFonts w:asciiTheme="minorEastAsia" w:hAnsiTheme="minorEastAsia"/>
                <w:lang w:val="en-US" w:eastAsia="zh-CN"/>
              </w:rPr>
              <w:t>备用件及工具</w:t>
            </w:r>
            <w:r>
              <w:tab/>
            </w:r>
            <w:r>
              <w:fldChar w:fldCharType="begin"/>
            </w:r>
            <w:r>
              <w:instrText xml:space="preserve"> PAGEREF _Toc103358962 \h </w:instrText>
            </w:r>
            <w:r>
              <w:fldChar w:fldCharType="separate"/>
            </w:r>
            <w:r>
              <w:t>37</w:t>
            </w:r>
            <w:r>
              <w:fldChar w:fldCharType="end"/>
            </w:r>
          </w:hyperlink>
        </w:p>
        <w:p w:rsidR="00A469CB">
          <w:pPr>
            <w:pStyle w:val="TOC1"/>
            <w:tabs>
              <w:tab w:val="left" w:pos="426"/>
              <w:tab w:val="right" w:leader="dot" w:pos="8664"/>
            </w:tabs>
            <w:rPr>
              <w:rFonts w:asciiTheme="minorHAnsi" w:eastAsiaTheme="minorEastAsia" w:hAnsiTheme="minorHAnsi" w:cstheme="minorBidi"/>
              <w:b w:val="0"/>
              <w:caps w:val="0"/>
              <w:kern w:val="2"/>
              <w:sz w:val="21"/>
              <w:szCs w:val="22"/>
              <w:lang w:val="en-US" w:eastAsia="zh-CN"/>
            </w:rPr>
          </w:pPr>
          <w:hyperlink w:anchor="_Toc103358963" w:history="1">
            <w:r>
              <w:rPr>
                <w:rStyle w:val="Hyperlink"/>
                <w:rFonts w:ascii="Times New Roman Bold" w:hAnsi="Times New Roman Bold"/>
                <w:lang w:val="en-US" w:eastAsia="zh-CN"/>
              </w:rPr>
              <w:t>24.</w:t>
            </w:r>
            <w:r>
              <w:rPr>
                <w:rFonts w:asciiTheme="minorHAnsi" w:eastAsiaTheme="minorEastAsia" w:hAnsiTheme="minorHAnsi" w:cstheme="minorBidi"/>
                <w:b w:val="0"/>
                <w:caps w:val="0"/>
                <w:kern w:val="2"/>
                <w:sz w:val="21"/>
                <w:szCs w:val="22"/>
                <w:lang w:val="en-US" w:eastAsia="zh-CN"/>
              </w:rPr>
              <w:tab/>
            </w:r>
            <w:r>
              <w:rPr>
                <w:rStyle w:val="Hyperlink"/>
                <w:rFonts w:asciiTheme="minorEastAsia" w:hAnsiTheme="minorEastAsia"/>
                <w:lang w:val="en-US" w:eastAsia="zh-CN"/>
              </w:rPr>
              <w:t>人员的培训</w:t>
            </w:r>
            <w:r>
              <w:tab/>
            </w:r>
            <w:r>
              <w:fldChar w:fldCharType="begin"/>
            </w:r>
            <w:r>
              <w:instrText xml:space="preserve"> PAGEREF _Toc103358963 \h </w:instrText>
            </w:r>
            <w:r>
              <w:fldChar w:fldCharType="separate"/>
            </w:r>
            <w:r>
              <w:t>38</w:t>
            </w:r>
            <w:r>
              <w:fldChar w:fldCharType="end"/>
            </w:r>
          </w:hyperlink>
        </w:p>
        <w:p w:rsidR="00A469CB">
          <w:pPr>
            <w:pStyle w:val="TOC1"/>
            <w:tabs>
              <w:tab w:val="left" w:pos="426"/>
              <w:tab w:val="right" w:leader="dot" w:pos="8664"/>
            </w:tabs>
            <w:rPr>
              <w:rFonts w:asciiTheme="minorEastAsia" w:eastAsiaTheme="minorEastAsia" w:hAnsiTheme="minorEastAsia"/>
            </w:rPr>
            <w:sectPr>
              <w:headerReference w:type="default" r:id="rId7"/>
              <w:footerReference w:type="default" r:id="rId8"/>
              <w:pgSz w:w="11906" w:h="16838"/>
              <w:pgMar w:top="1814" w:right="1418" w:bottom="1418" w:left="1814" w:header="851" w:footer="992" w:gutter="0"/>
              <w:pgNumType w:start="1"/>
              <w:cols w:space="425"/>
              <w:docGrid w:linePitch="312"/>
            </w:sectPr>
          </w:pPr>
          <w:r>
            <w:rPr>
              <w:rFonts w:asciiTheme="minorEastAsia" w:eastAsiaTheme="minorEastAsia" w:hAnsiTheme="minorEastAsia"/>
              <w:lang w:val="en-US" w:eastAsia="zh-CN"/>
            </w:rPr>
            <w:fldChar w:fldCharType="end"/>
          </w:r>
        </w:p>
      </w:sdtContent>
    </w:sdt>
    <w:p w:rsidR="00A469CB">
      <w:pPr>
        <w:spacing w:before="120" w:beforeLines="50" w:after="120" w:afterLines="50"/>
        <w:jc w:val="center"/>
        <w:rPr>
          <w:rFonts w:ascii="宋体" w:eastAsia="宋体" w:hAnsi="宋体"/>
          <w:bCs/>
          <w:sz w:val="32"/>
          <w:szCs w:val="32"/>
        </w:rPr>
      </w:pPr>
      <w:r>
        <w:rPr>
          <w:rFonts w:ascii="宋体" w:eastAsia="宋体" w:hAnsi="宋体" w:hint="eastAsia"/>
          <w:b/>
          <w:bCs/>
          <w:sz w:val="32"/>
          <w:szCs w:val="32"/>
        </w:rPr>
        <w:t>第一章</w:t>
      </w:r>
    </w:p>
    <w:p w:rsidR="00A469CB">
      <w:pPr>
        <w:pStyle w:val="ReportLevel1"/>
        <w:spacing w:before="240" w:beforeLines="100" w:after="240" w:afterLines="100"/>
        <w:rPr>
          <w:rFonts w:asciiTheme="minorEastAsia" w:eastAsiaTheme="minorEastAsia" w:hAnsiTheme="minorEastAsia"/>
          <w:sz w:val="21"/>
          <w:szCs w:val="21"/>
          <w:lang w:val="en-US" w:eastAsia="zh-CN"/>
        </w:rPr>
      </w:pPr>
      <w:bookmarkStart w:id="1" w:name="_Toc502752563"/>
      <w:bookmarkStart w:id="2" w:name="_Toc103358934"/>
      <w:r>
        <w:rPr>
          <w:rFonts w:asciiTheme="minorEastAsia" w:eastAsiaTheme="minorEastAsia" w:hAnsiTheme="minorEastAsia" w:hint="eastAsia"/>
          <w:sz w:val="21"/>
          <w:szCs w:val="21"/>
          <w:lang w:val="en-US" w:eastAsia="zh-CN"/>
        </w:rPr>
        <w:t>技术规格说明书范围</w:t>
      </w:r>
      <w:bookmarkEnd w:id="1"/>
      <w:bookmarkEnd w:id="2"/>
    </w:p>
    <w:p w:rsidR="00A469CB">
      <w:pPr>
        <w:pStyle w:val="BodyTextIndent3"/>
        <w:spacing w:before="120" w:beforeLines="50" w:after="120" w:afterLines="50"/>
        <w:ind w:left="1077"/>
        <w:jc w:val="both"/>
        <w:rPr>
          <w:rFonts w:asciiTheme="minorEastAsia" w:eastAsiaTheme="minorEastAsia" w:hAnsiTheme="minorEastAsia"/>
          <w:sz w:val="21"/>
          <w:szCs w:val="21"/>
        </w:rPr>
      </w:pPr>
      <w:r>
        <w:rPr>
          <w:rFonts w:asciiTheme="minorEastAsia" w:eastAsiaTheme="minorEastAsia" w:hAnsiTheme="minorEastAsia" w:hint="eastAsia"/>
          <w:sz w:val="21"/>
          <w:szCs w:val="21"/>
        </w:rPr>
        <w:t>关于本合约的高低压配电工程的供应、安装、调试、操作及维修等技术要求，均于本技术规格说明书及有关图纸内详细说明，并提出符合本合同要求的各项细则。为能妥善完成本合同内各项工程事项，承包单位须按规格要求提供一切所需的施工及管理人员、工具、材料、物料、运输、测检、设备、储存、验收、维修、各施工所需证件、图纸及深化图纸、临时施工措施、保证工地安全及调试等事宜。</w:t>
      </w:r>
    </w:p>
    <w:p w:rsidR="00A469CB">
      <w:pPr>
        <w:pStyle w:val="ReportLevel1"/>
        <w:spacing w:before="240" w:beforeLines="100" w:after="240" w:afterLines="100"/>
        <w:rPr>
          <w:rFonts w:asciiTheme="minorEastAsia" w:eastAsiaTheme="minorEastAsia" w:hAnsiTheme="minorEastAsia"/>
          <w:sz w:val="21"/>
          <w:szCs w:val="21"/>
          <w:lang w:val="en-US" w:eastAsia="zh-CN"/>
        </w:rPr>
      </w:pPr>
      <w:bookmarkStart w:id="3" w:name="_Toc502752564"/>
      <w:bookmarkStart w:id="4" w:name="_Toc103358935"/>
      <w:r>
        <w:rPr>
          <w:rFonts w:asciiTheme="minorEastAsia" w:eastAsiaTheme="minorEastAsia" w:hAnsiTheme="minorEastAsia" w:hint="eastAsia"/>
          <w:sz w:val="21"/>
          <w:szCs w:val="21"/>
          <w:lang w:val="en-US" w:eastAsia="zh-CN"/>
        </w:rPr>
        <w:t>词意定义与缩写</w:t>
      </w:r>
      <w:bookmarkEnd w:id="3"/>
      <w:bookmarkEnd w:id="4"/>
    </w:p>
    <w:p w:rsidR="00A469CB">
      <w:pPr>
        <w:pStyle w:val="BodyTextIndent3"/>
        <w:spacing w:before="120" w:beforeLines="50" w:after="120" w:afterLines="50"/>
        <w:ind w:left="1077"/>
        <w:jc w:val="both"/>
        <w:rPr>
          <w:rFonts w:asciiTheme="minorEastAsia" w:eastAsiaTheme="minorEastAsia" w:hAnsiTheme="minorEastAsia"/>
          <w:sz w:val="21"/>
          <w:szCs w:val="21"/>
        </w:rPr>
      </w:pPr>
      <w:r>
        <w:rPr>
          <w:rFonts w:asciiTheme="minorEastAsia" w:eastAsiaTheme="minorEastAsia" w:hAnsiTheme="minorEastAsia" w:hint="eastAsia"/>
          <w:sz w:val="21"/>
          <w:szCs w:val="21"/>
        </w:rPr>
        <w:t>下列的词意定义均适用于本技术规格说明书。</w:t>
      </w:r>
    </w:p>
    <w:p w:rsidR="00A469CB">
      <w:pPr>
        <w:pStyle w:val="BodyTextIndent3"/>
        <w:numPr>
          <w:ilvl w:val="0"/>
          <w:numId w:val="24"/>
        </w:numPr>
        <w:spacing w:before="120" w:beforeLines="50" w:after="120" w:afterLines="50"/>
        <w:jc w:val="both"/>
        <w:rPr>
          <w:rFonts w:asciiTheme="minorEastAsia" w:eastAsiaTheme="minorEastAsia" w:hAnsiTheme="minorEastAsia"/>
          <w:sz w:val="21"/>
          <w:szCs w:val="21"/>
        </w:rPr>
      </w:pPr>
      <w:r>
        <w:rPr>
          <w:rFonts w:asciiTheme="minorEastAsia" w:eastAsiaTheme="minorEastAsia" w:hAnsiTheme="minorEastAsia" w:hint="eastAsia"/>
          <w:sz w:val="21"/>
          <w:szCs w:val="21"/>
        </w:rPr>
        <w:t>“技术说明或技术规格或技术规范”：</w:t>
      </w:r>
      <w:r>
        <w:rPr>
          <w:rFonts w:asciiTheme="minorEastAsia" w:eastAsiaTheme="minorEastAsia" w:hAnsiTheme="minorEastAsia"/>
          <w:sz w:val="21"/>
          <w:szCs w:val="21"/>
        </w:rPr>
        <w:t>-</w:t>
      </w:r>
      <w:r>
        <w:rPr>
          <w:rFonts w:asciiTheme="minorEastAsia" w:eastAsiaTheme="minorEastAsia" w:hAnsiTheme="minorEastAsia"/>
          <w:sz w:val="21"/>
          <w:szCs w:val="21"/>
        </w:rPr>
        <w:t>即指本技术规格说明书。</w:t>
      </w:r>
    </w:p>
    <w:p w:rsidR="00A469CB">
      <w:pPr>
        <w:pStyle w:val="BodyTextIndent3"/>
        <w:numPr>
          <w:ilvl w:val="0"/>
          <w:numId w:val="24"/>
        </w:numPr>
        <w:spacing w:before="120" w:beforeLines="50" w:after="120" w:afterLines="50"/>
        <w:jc w:val="both"/>
        <w:rPr>
          <w:rFonts w:asciiTheme="minorEastAsia" w:eastAsiaTheme="minorEastAsia" w:hAnsiTheme="minorEastAsia"/>
          <w:sz w:val="21"/>
          <w:szCs w:val="21"/>
        </w:rPr>
      </w:pPr>
      <w:r>
        <w:rPr>
          <w:rFonts w:asciiTheme="minorEastAsia" w:eastAsiaTheme="minorEastAsia" w:hAnsiTheme="minorEastAsia" w:hint="eastAsia"/>
          <w:sz w:val="21"/>
          <w:szCs w:val="21"/>
        </w:rPr>
        <w:t>“图纸或附图”：</w:t>
      </w:r>
      <w:r>
        <w:rPr>
          <w:rFonts w:asciiTheme="minorEastAsia" w:eastAsiaTheme="minorEastAsia" w:hAnsiTheme="minorEastAsia"/>
          <w:sz w:val="21"/>
          <w:szCs w:val="21"/>
        </w:rPr>
        <w:t>-</w:t>
      </w:r>
      <w:r>
        <w:rPr>
          <w:rFonts w:asciiTheme="minorEastAsia" w:eastAsiaTheme="minorEastAsia" w:hAnsiTheme="minorEastAsia"/>
          <w:sz w:val="21"/>
          <w:szCs w:val="21"/>
        </w:rPr>
        <w:t>即指与本技术规格说明书</w:t>
      </w:r>
      <w:r>
        <w:rPr>
          <w:rFonts w:asciiTheme="minorEastAsia" w:eastAsiaTheme="minorEastAsia" w:hAnsiTheme="minorEastAsia"/>
          <w:sz w:val="21"/>
          <w:szCs w:val="21"/>
        </w:rPr>
        <w:t>有关的图纸。</w:t>
      </w:r>
    </w:p>
    <w:p w:rsidR="00A469CB">
      <w:pPr>
        <w:pStyle w:val="BodyTextIndent3"/>
        <w:numPr>
          <w:ilvl w:val="0"/>
          <w:numId w:val="24"/>
        </w:numPr>
        <w:spacing w:before="120" w:beforeLines="50" w:after="120" w:afterLines="50"/>
        <w:jc w:val="both"/>
        <w:rPr>
          <w:rFonts w:asciiTheme="minorEastAsia" w:eastAsiaTheme="minorEastAsia" w:hAnsiTheme="minorEastAsia"/>
          <w:sz w:val="21"/>
          <w:szCs w:val="21"/>
        </w:rPr>
      </w:pPr>
      <w:r>
        <w:rPr>
          <w:rFonts w:asciiTheme="minorEastAsia" w:eastAsiaTheme="minorEastAsia" w:hAnsiTheme="minorEastAsia" w:hint="eastAsia"/>
          <w:sz w:val="21"/>
          <w:szCs w:val="21"/>
        </w:rPr>
        <w:t>“供给”或“提供”：</w:t>
      </w:r>
      <w:r>
        <w:rPr>
          <w:rFonts w:asciiTheme="minorEastAsia" w:eastAsiaTheme="minorEastAsia" w:hAnsiTheme="minorEastAsia"/>
          <w:sz w:val="21"/>
          <w:szCs w:val="21"/>
        </w:rPr>
        <w:t>-</w:t>
      </w:r>
      <w:r>
        <w:rPr>
          <w:rFonts w:asciiTheme="minorEastAsia" w:eastAsiaTheme="minorEastAsia" w:hAnsiTheme="minorEastAsia"/>
          <w:sz w:val="21"/>
          <w:szCs w:val="21"/>
        </w:rPr>
        <w:t>指供应、安装、联接、调试以至完成指定的工作以达至安全和正确的运作。但技术规格说明书内另有规定者除外。</w:t>
      </w:r>
    </w:p>
    <w:p w:rsidR="00A469CB">
      <w:pPr>
        <w:pStyle w:val="BodyTextIndent3"/>
        <w:numPr>
          <w:ilvl w:val="0"/>
          <w:numId w:val="24"/>
        </w:numPr>
        <w:spacing w:before="120" w:beforeLines="50" w:after="120" w:afterLines="50"/>
        <w:jc w:val="both"/>
        <w:rPr>
          <w:rFonts w:asciiTheme="minorEastAsia" w:eastAsiaTheme="minorEastAsia" w:hAnsiTheme="minorEastAsia"/>
          <w:sz w:val="21"/>
          <w:szCs w:val="21"/>
        </w:rPr>
      </w:pPr>
      <w:r>
        <w:rPr>
          <w:rFonts w:asciiTheme="minorEastAsia" w:eastAsiaTheme="minorEastAsia" w:hAnsiTheme="minorEastAsia" w:hint="eastAsia"/>
          <w:sz w:val="21"/>
          <w:szCs w:val="21"/>
        </w:rPr>
        <w:t>“安装”：</w:t>
      </w:r>
      <w:r>
        <w:rPr>
          <w:rFonts w:asciiTheme="minorEastAsia" w:eastAsiaTheme="minorEastAsia" w:hAnsiTheme="minorEastAsia"/>
          <w:sz w:val="21"/>
          <w:szCs w:val="21"/>
        </w:rPr>
        <w:t>-</w:t>
      </w:r>
      <w:r>
        <w:rPr>
          <w:rFonts w:asciiTheme="minorEastAsia" w:eastAsiaTheme="minorEastAsia" w:hAnsiTheme="minorEastAsia"/>
          <w:sz w:val="21"/>
          <w:szCs w:val="21"/>
        </w:rPr>
        <w:t>指制造、装配、联接至完成包括有关组件的测试和系统调试。</w:t>
      </w:r>
    </w:p>
    <w:p w:rsidR="00A469CB">
      <w:pPr>
        <w:pStyle w:val="BodyTextIndent3"/>
        <w:numPr>
          <w:ilvl w:val="0"/>
          <w:numId w:val="24"/>
        </w:numPr>
        <w:spacing w:before="120" w:beforeLines="50" w:after="120" w:afterLines="50"/>
        <w:jc w:val="both"/>
        <w:rPr>
          <w:rFonts w:asciiTheme="minorEastAsia" w:eastAsiaTheme="minorEastAsia" w:hAnsiTheme="minorEastAsia"/>
          <w:sz w:val="21"/>
          <w:szCs w:val="21"/>
        </w:rPr>
      </w:pPr>
      <w:r>
        <w:rPr>
          <w:rFonts w:asciiTheme="minorEastAsia" w:eastAsiaTheme="minorEastAsia" w:hAnsiTheme="minorEastAsia" w:hint="eastAsia"/>
          <w:sz w:val="21"/>
          <w:szCs w:val="21"/>
        </w:rPr>
        <w:t>“供应”：</w:t>
      </w:r>
      <w:r>
        <w:rPr>
          <w:rFonts w:asciiTheme="minorEastAsia" w:eastAsiaTheme="minorEastAsia" w:hAnsiTheme="minorEastAsia"/>
          <w:sz w:val="21"/>
          <w:szCs w:val="21"/>
        </w:rPr>
        <w:t>-</w:t>
      </w:r>
      <w:r>
        <w:rPr>
          <w:rFonts w:asciiTheme="minorEastAsia" w:eastAsiaTheme="minorEastAsia" w:hAnsiTheme="minorEastAsia"/>
          <w:sz w:val="21"/>
          <w:szCs w:val="21"/>
        </w:rPr>
        <w:t>指购买所需设备包括有关组件并运送到工地的安装位置。</w:t>
      </w:r>
    </w:p>
    <w:p w:rsidR="00A469CB">
      <w:pPr>
        <w:pStyle w:val="BodyTextIndent3"/>
        <w:numPr>
          <w:ilvl w:val="0"/>
          <w:numId w:val="24"/>
        </w:numPr>
        <w:spacing w:before="120" w:beforeLines="50" w:after="120" w:afterLines="50"/>
        <w:jc w:val="both"/>
        <w:rPr>
          <w:rFonts w:asciiTheme="minorEastAsia" w:eastAsiaTheme="minorEastAsia" w:hAnsiTheme="minorEastAsia"/>
          <w:sz w:val="21"/>
          <w:szCs w:val="21"/>
        </w:rPr>
      </w:pPr>
      <w:r>
        <w:rPr>
          <w:rFonts w:asciiTheme="minorEastAsia" w:eastAsiaTheme="minorEastAsia" w:hAnsiTheme="minorEastAsia" w:hint="eastAsia"/>
          <w:sz w:val="21"/>
          <w:szCs w:val="21"/>
        </w:rPr>
        <w:t>“总承包单位”：</w:t>
      </w:r>
      <w:r>
        <w:rPr>
          <w:rFonts w:asciiTheme="minorEastAsia" w:eastAsiaTheme="minorEastAsia" w:hAnsiTheme="minorEastAsia"/>
          <w:sz w:val="21"/>
          <w:szCs w:val="21"/>
        </w:rPr>
        <w:t>-</w:t>
      </w:r>
      <w:r>
        <w:rPr>
          <w:rFonts w:asciiTheme="minorEastAsia" w:eastAsiaTheme="minorEastAsia" w:hAnsiTheme="minorEastAsia"/>
          <w:sz w:val="21"/>
          <w:szCs w:val="21"/>
        </w:rPr>
        <w:t>指</w:t>
      </w:r>
      <w:r>
        <w:rPr>
          <w:rFonts w:asciiTheme="minorEastAsia" w:eastAsiaTheme="minorEastAsia" w:hAnsiTheme="minorEastAsia" w:hint="eastAsia"/>
          <w:sz w:val="21"/>
          <w:szCs w:val="21"/>
        </w:rPr>
        <w:t>主体工程的</w:t>
      </w:r>
      <w:r>
        <w:rPr>
          <w:rFonts w:asciiTheme="minorEastAsia" w:eastAsiaTheme="minorEastAsia" w:hAnsiTheme="minorEastAsia"/>
          <w:sz w:val="21"/>
          <w:szCs w:val="21"/>
        </w:rPr>
        <w:t>建筑施工承包单位</w:t>
      </w:r>
      <w:r>
        <w:rPr>
          <w:rFonts w:asciiTheme="minorEastAsia" w:eastAsiaTheme="minorEastAsia" w:hAnsiTheme="minorEastAsia" w:hint="eastAsia"/>
          <w:sz w:val="21"/>
          <w:szCs w:val="21"/>
        </w:rPr>
        <w:t>，包括综合机电部分（暖通空调、给排水、强电）</w:t>
      </w:r>
      <w:r>
        <w:rPr>
          <w:rFonts w:asciiTheme="minorEastAsia" w:eastAsiaTheme="minorEastAsia" w:hAnsiTheme="minorEastAsia"/>
          <w:sz w:val="21"/>
          <w:szCs w:val="21"/>
        </w:rPr>
        <w:t>。</w:t>
      </w:r>
    </w:p>
    <w:p w:rsidR="00A469CB">
      <w:pPr>
        <w:pStyle w:val="BodyTextIndent3"/>
        <w:numPr>
          <w:ilvl w:val="0"/>
          <w:numId w:val="24"/>
        </w:numPr>
        <w:spacing w:before="120" w:beforeLines="50" w:after="120" w:afterLines="50"/>
        <w:jc w:val="both"/>
        <w:rPr>
          <w:rFonts w:asciiTheme="minorEastAsia" w:eastAsiaTheme="minorEastAsia" w:hAnsiTheme="minorEastAsia"/>
          <w:sz w:val="21"/>
          <w:szCs w:val="21"/>
        </w:rPr>
      </w:pPr>
      <w:r>
        <w:rPr>
          <w:rFonts w:asciiTheme="minorEastAsia" w:eastAsiaTheme="minorEastAsia" w:hAnsiTheme="minorEastAsia" w:hint="eastAsia"/>
          <w:sz w:val="21"/>
          <w:szCs w:val="21"/>
        </w:rPr>
        <w:t>“承包单位”：</w:t>
      </w:r>
      <w:r>
        <w:rPr>
          <w:rFonts w:asciiTheme="minorEastAsia" w:eastAsiaTheme="minorEastAsia" w:hAnsiTheme="minorEastAsia"/>
          <w:sz w:val="21"/>
          <w:szCs w:val="21"/>
        </w:rPr>
        <w:t>-</w:t>
      </w:r>
      <w:r>
        <w:rPr>
          <w:rFonts w:asciiTheme="minorEastAsia" w:eastAsiaTheme="minorEastAsia" w:hAnsiTheme="minorEastAsia"/>
          <w:sz w:val="21"/>
          <w:szCs w:val="21"/>
        </w:rPr>
        <w:t>指</w:t>
      </w:r>
      <w:r>
        <w:rPr>
          <w:rFonts w:asciiTheme="minorEastAsia" w:eastAsiaTheme="minorEastAsia" w:hAnsiTheme="minorEastAsia" w:hint="eastAsia"/>
          <w:sz w:val="21"/>
          <w:szCs w:val="21"/>
        </w:rPr>
        <w:t>高低压配电</w:t>
      </w:r>
      <w:r>
        <w:rPr>
          <w:rFonts w:asciiTheme="minorEastAsia" w:eastAsiaTheme="minorEastAsia" w:hAnsiTheme="minorEastAsia"/>
          <w:sz w:val="21"/>
          <w:szCs w:val="21"/>
        </w:rPr>
        <w:t>施工单位。</w:t>
      </w:r>
    </w:p>
    <w:p w:rsidR="00A469CB">
      <w:pPr>
        <w:pStyle w:val="BodyTextIndent3"/>
        <w:numPr>
          <w:ilvl w:val="0"/>
          <w:numId w:val="24"/>
        </w:numPr>
        <w:spacing w:before="120" w:beforeLines="50" w:after="120" w:afterLines="50"/>
        <w:jc w:val="both"/>
        <w:rPr>
          <w:rFonts w:asciiTheme="minorEastAsia" w:eastAsiaTheme="minorEastAsia" w:hAnsiTheme="minorEastAsia"/>
          <w:sz w:val="21"/>
          <w:szCs w:val="21"/>
        </w:rPr>
      </w:pPr>
      <w:r>
        <w:rPr>
          <w:rFonts w:asciiTheme="minorEastAsia" w:eastAsiaTheme="minorEastAsia" w:hAnsiTheme="minorEastAsia" w:hint="eastAsia"/>
          <w:sz w:val="21"/>
          <w:szCs w:val="21"/>
        </w:rPr>
        <w:t>“电梯安装工程”：</w:t>
      </w:r>
      <w:r>
        <w:rPr>
          <w:rFonts w:asciiTheme="minorEastAsia" w:eastAsiaTheme="minorEastAsia" w:hAnsiTheme="minorEastAsia"/>
          <w:sz w:val="21"/>
          <w:szCs w:val="21"/>
        </w:rPr>
        <w:t>-</w:t>
      </w:r>
      <w:r>
        <w:rPr>
          <w:rFonts w:asciiTheme="minorEastAsia" w:eastAsiaTheme="minorEastAsia" w:hAnsiTheme="minorEastAsia"/>
          <w:sz w:val="21"/>
          <w:szCs w:val="21"/>
        </w:rPr>
        <w:t>指电梯及自动扶梯装置承包单位</w:t>
      </w:r>
    </w:p>
    <w:p w:rsidR="00A469CB">
      <w:pPr>
        <w:pStyle w:val="BodyTextIndent3"/>
        <w:numPr>
          <w:ilvl w:val="0"/>
          <w:numId w:val="24"/>
        </w:numPr>
        <w:spacing w:before="120" w:beforeLines="50" w:after="120" w:afterLines="50"/>
        <w:jc w:val="both"/>
        <w:rPr>
          <w:rFonts w:asciiTheme="minorEastAsia" w:eastAsiaTheme="minorEastAsia" w:hAnsiTheme="minorEastAsia"/>
          <w:sz w:val="21"/>
          <w:szCs w:val="21"/>
        </w:rPr>
      </w:pPr>
      <w:r>
        <w:rPr>
          <w:rFonts w:asciiTheme="minorEastAsia" w:eastAsiaTheme="minorEastAsia" w:hAnsiTheme="minorEastAsia" w:hint="eastAsia"/>
          <w:sz w:val="21"/>
          <w:szCs w:val="21"/>
        </w:rPr>
        <w:t>“弱电智能化工程”：</w:t>
      </w:r>
      <w:r>
        <w:rPr>
          <w:rFonts w:asciiTheme="minorEastAsia" w:eastAsiaTheme="minorEastAsia" w:hAnsiTheme="minorEastAsia"/>
          <w:sz w:val="21"/>
          <w:szCs w:val="21"/>
        </w:rPr>
        <w:t>-</w:t>
      </w:r>
      <w:r>
        <w:rPr>
          <w:rFonts w:asciiTheme="minorEastAsia" w:eastAsiaTheme="minorEastAsia" w:hAnsiTheme="minorEastAsia"/>
          <w:sz w:val="21"/>
          <w:szCs w:val="21"/>
        </w:rPr>
        <w:t>指</w:t>
      </w:r>
      <w:r>
        <w:rPr>
          <w:rFonts w:asciiTheme="minorEastAsia" w:eastAsiaTheme="minorEastAsia" w:hAnsiTheme="minorEastAsia" w:hint="eastAsia"/>
          <w:sz w:val="21"/>
          <w:szCs w:val="21"/>
        </w:rPr>
        <w:t>弱电</w:t>
      </w:r>
      <w:r>
        <w:rPr>
          <w:rFonts w:asciiTheme="minorEastAsia" w:eastAsiaTheme="minorEastAsia" w:hAnsiTheme="minorEastAsia"/>
          <w:sz w:val="21"/>
          <w:szCs w:val="21"/>
        </w:rPr>
        <w:t>智能化系统施工单位</w:t>
      </w:r>
    </w:p>
    <w:p w:rsidR="00A469CB">
      <w:pPr>
        <w:pStyle w:val="BodyTextIndent3"/>
        <w:numPr>
          <w:ilvl w:val="0"/>
          <w:numId w:val="24"/>
        </w:numPr>
        <w:spacing w:before="120" w:beforeLines="50" w:after="120" w:afterLines="50"/>
        <w:jc w:val="both"/>
        <w:rPr>
          <w:rFonts w:asciiTheme="minorEastAsia" w:eastAsiaTheme="minorEastAsia" w:hAnsiTheme="minorEastAsia"/>
          <w:sz w:val="21"/>
          <w:szCs w:val="21"/>
        </w:rPr>
      </w:pPr>
      <w:r>
        <w:rPr>
          <w:rFonts w:asciiTheme="minorEastAsia" w:eastAsiaTheme="minorEastAsia" w:hAnsiTheme="minorEastAsia" w:hint="eastAsia"/>
          <w:sz w:val="21"/>
          <w:szCs w:val="21"/>
        </w:rPr>
        <w:t>“消防承包单位”：</w:t>
      </w:r>
      <w:r>
        <w:rPr>
          <w:rFonts w:asciiTheme="minorEastAsia" w:eastAsiaTheme="minorEastAsia" w:hAnsiTheme="minorEastAsia"/>
          <w:sz w:val="21"/>
          <w:szCs w:val="21"/>
        </w:rPr>
        <w:t>-</w:t>
      </w:r>
      <w:r>
        <w:rPr>
          <w:rFonts w:asciiTheme="minorEastAsia" w:eastAsiaTheme="minorEastAsia" w:hAnsiTheme="minorEastAsia"/>
          <w:sz w:val="21"/>
          <w:szCs w:val="21"/>
        </w:rPr>
        <w:t>指消防系统施工单位</w:t>
      </w:r>
    </w:p>
    <w:p w:rsidR="00A469CB">
      <w:pPr>
        <w:pStyle w:val="BodyTextIndent3"/>
        <w:numPr>
          <w:ilvl w:val="0"/>
          <w:numId w:val="24"/>
        </w:numPr>
        <w:spacing w:before="120" w:beforeLines="50" w:after="120" w:afterLines="50"/>
        <w:jc w:val="both"/>
        <w:rPr>
          <w:rFonts w:asciiTheme="minorEastAsia" w:eastAsiaTheme="minorEastAsia" w:hAnsiTheme="minorEastAsia"/>
          <w:sz w:val="21"/>
          <w:szCs w:val="21"/>
        </w:rPr>
      </w:pPr>
      <w:r>
        <w:rPr>
          <w:rFonts w:asciiTheme="minorEastAsia" w:eastAsiaTheme="minorEastAsia" w:hAnsiTheme="minorEastAsia" w:hint="eastAsia"/>
          <w:sz w:val="21"/>
          <w:szCs w:val="21"/>
        </w:rPr>
        <w:t>“精装修工程”：</w:t>
      </w:r>
      <w:r>
        <w:rPr>
          <w:rFonts w:asciiTheme="minorEastAsia" w:eastAsiaTheme="minorEastAsia" w:hAnsiTheme="minorEastAsia"/>
          <w:sz w:val="21"/>
          <w:szCs w:val="21"/>
        </w:rPr>
        <w:t>-</w:t>
      </w:r>
      <w:r>
        <w:rPr>
          <w:rFonts w:asciiTheme="minorEastAsia" w:eastAsiaTheme="minorEastAsia" w:hAnsiTheme="minorEastAsia"/>
          <w:sz w:val="21"/>
          <w:szCs w:val="21"/>
        </w:rPr>
        <w:t>指</w:t>
      </w:r>
      <w:r>
        <w:rPr>
          <w:rFonts w:asciiTheme="minorEastAsia" w:eastAsiaTheme="minorEastAsia" w:hAnsiTheme="minorEastAsia" w:hint="eastAsia"/>
          <w:sz w:val="21"/>
          <w:szCs w:val="21"/>
        </w:rPr>
        <w:t>精装修装饰施工单位</w:t>
      </w:r>
    </w:p>
    <w:p w:rsidR="00A469CB">
      <w:pPr>
        <w:pStyle w:val="BodyTextIndent3"/>
        <w:numPr>
          <w:ilvl w:val="0"/>
          <w:numId w:val="24"/>
        </w:numPr>
        <w:spacing w:before="120" w:beforeLines="50" w:after="120" w:afterLines="50"/>
        <w:jc w:val="both"/>
        <w:rPr>
          <w:rFonts w:asciiTheme="minorEastAsia" w:eastAsiaTheme="minorEastAsia" w:hAnsiTheme="minorEastAsia"/>
          <w:sz w:val="21"/>
          <w:szCs w:val="21"/>
        </w:rPr>
      </w:pPr>
      <w:r>
        <w:rPr>
          <w:rFonts w:asciiTheme="minorEastAsia" w:eastAsiaTheme="minorEastAsia" w:hAnsiTheme="minorEastAsia" w:hint="eastAsia"/>
          <w:sz w:val="21"/>
          <w:szCs w:val="21"/>
        </w:rPr>
        <w:t>“柴油发电机安装及环保工程”</w:t>
      </w:r>
      <w:r>
        <w:rPr>
          <w:rFonts w:asciiTheme="minorEastAsia" w:eastAsiaTheme="minorEastAsia" w:hAnsiTheme="minorEastAsia"/>
          <w:sz w:val="21"/>
          <w:szCs w:val="21"/>
        </w:rPr>
        <w:t>-</w:t>
      </w:r>
      <w:r>
        <w:rPr>
          <w:rFonts w:asciiTheme="minorEastAsia" w:eastAsiaTheme="minorEastAsia" w:hAnsiTheme="minorEastAsia"/>
          <w:sz w:val="21"/>
          <w:szCs w:val="21"/>
        </w:rPr>
        <w:t>指</w:t>
      </w:r>
      <w:r>
        <w:rPr>
          <w:rFonts w:asciiTheme="minorEastAsia" w:eastAsiaTheme="minorEastAsia" w:hAnsiTheme="minorEastAsia" w:hint="eastAsia"/>
          <w:sz w:val="21"/>
          <w:szCs w:val="21"/>
        </w:rPr>
        <w:t>柴油发电机安装及环保工程施工单位</w:t>
      </w:r>
    </w:p>
    <w:p w:rsidR="00A469CB">
      <w:pPr>
        <w:pStyle w:val="BodyTextIndent3"/>
        <w:numPr>
          <w:ilvl w:val="0"/>
          <w:numId w:val="24"/>
        </w:numPr>
        <w:spacing w:before="120" w:beforeLines="50" w:after="120" w:afterLines="50"/>
        <w:jc w:val="both"/>
        <w:rPr>
          <w:rFonts w:asciiTheme="minorEastAsia" w:eastAsiaTheme="minorEastAsia" w:hAnsiTheme="minorEastAsia"/>
          <w:sz w:val="21"/>
          <w:szCs w:val="21"/>
        </w:rPr>
      </w:pPr>
      <w:r>
        <w:rPr>
          <w:rFonts w:asciiTheme="minorEastAsia" w:eastAsiaTheme="minorEastAsia" w:hAnsiTheme="minorEastAsia" w:hint="eastAsia"/>
          <w:sz w:val="21"/>
          <w:szCs w:val="21"/>
        </w:rPr>
        <w:t xml:space="preserve"> </w:t>
      </w:r>
      <w:r>
        <w:rPr>
          <w:rFonts w:asciiTheme="minorEastAsia" w:eastAsiaTheme="minorEastAsia" w:hAnsiTheme="minorEastAsia" w:hint="eastAsia"/>
        </w:rPr>
        <w:t>“</w:t>
      </w:r>
      <w:r>
        <w:rPr>
          <w:rFonts w:asciiTheme="minorEastAsia" w:eastAsiaTheme="minorEastAsia" w:hAnsiTheme="minorEastAsia"/>
          <w:sz w:val="21"/>
          <w:szCs w:val="21"/>
        </w:rPr>
        <w:t>VRV</w:t>
      </w:r>
      <w:r>
        <w:rPr>
          <w:rFonts w:asciiTheme="minorEastAsia" w:eastAsiaTheme="minorEastAsia" w:hAnsiTheme="minorEastAsia" w:hint="eastAsia"/>
          <w:sz w:val="21"/>
          <w:szCs w:val="21"/>
        </w:rPr>
        <w:t>空调工程”：</w:t>
      </w:r>
      <w:r>
        <w:rPr>
          <w:rFonts w:asciiTheme="minorEastAsia" w:eastAsiaTheme="minorEastAsia" w:hAnsiTheme="minorEastAsia"/>
          <w:sz w:val="21"/>
          <w:szCs w:val="21"/>
        </w:rPr>
        <w:t>-</w:t>
      </w:r>
      <w:r>
        <w:rPr>
          <w:rFonts w:asciiTheme="minorEastAsia" w:eastAsiaTheme="minorEastAsia" w:hAnsiTheme="minorEastAsia"/>
          <w:sz w:val="21"/>
          <w:szCs w:val="21"/>
        </w:rPr>
        <w:t>指</w:t>
      </w:r>
      <w:r>
        <w:rPr>
          <w:rFonts w:asciiTheme="minorEastAsia" w:eastAsiaTheme="minorEastAsia" w:hAnsiTheme="minorEastAsia" w:hint="eastAsia"/>
          <w:sz w:val="21"/>
          <w:szCs w:val="21"/>
        </w:rPr>
        <w:t>多联机空调及计费施工单位</w:t>
      </w:r>
    </w:p>
    <w:p w:rsidR="00A469CB">
      <w:pPr>
        <w:pStyle w:val="BodyTextIndent3"/>
        <w:numPr>
          <w:ilvl w:val="0"/>
          <w:numId w:val="24"/>
        </w:numPr>
        <w:spacing w:before="120" w:beforeLines="50" w:after="120" w:afterLines="50"/>
        <w:jc w:val="both"/>
        <w:rPr>
          <w:rFonts w:asciiTheme="minorEastAsia" w:eastAsiaTheme="minorEastAsia" w:hAnsiTheme="minorEastAsia"/>
          <w:sz w:val="21"/>
          <w:szCs w:val="21"/>
        </w:rPr>
      </w:pPr>
      <w:r>
        <w:rPr>
          <w:rFonts w:asciiTheme="minorEastAsia" w:eastAsiaTheme="minorEastAsia" w:hAnsiTheme="minorEastAsia" w:hint="eastAsia"/>
          <w:sz w:val="21"/>
          <w:szCs w:val="21"/>
        </w:rPr>
        <w:t>“充电桩工程”：</w:t>
      </w:r>
      <w:r>
        <w:rPr>
          <w:rFonts w:asciiTheme="minorEastAsia" w:eastAsiaTheme="minorEastAsia" w:hAnsiTheme="minorEastAsia"/>
          <w:sz w:val="21"/>
          <w:szCs w:val="21"/>
        </w:rPr>
        <w:t>-</w:t>
      </w:r>
      <w:r>
        <w:rPr>
          <w:rFonts w:asciiTheme="minorEastAsia" w:eastAsiaTheme="minorEastAsia" w:hAnsiTheme="minorEastAsia"/>
          <w:sz w:val="21"/>
          <w:szCs w:val="21"/>
        </w:rPr>
        <w:t>指</w:t>
      </w:r>
      <w:r>
        <w:rPr>
          <w:rFonts w:asciiTheme="minorEastAsia" w:eastAsiaTheme="minorEastAsia" w:hAnsiTheme="minorEastAsia" w:hint="eastAsia"/>
          <w:sz w:val="21"/>
          <w:szCs w:val="21"/>
        </w:rPr>
        <w:t>地下室充电桩施工单位</w:t>
      </w:r>
    </w:p>
    <w:p w:rsidR="00A469CB">
      <w:pPr>
        <w:pStyle w:val="BodyTextIndent3"/>
        <w:numPr>
          <w:ilvl w:val="0"/>
          <w:numId w:val="24"/>
        </w:numPr>
        <w:spacing w:before="120" w:beforeLines="50" w:after="120" w:afterLines="50"/>
        <w:jc w:val="both"/>
        <w:rPr>
          <w:rFonts w:asciiTheme="minorEastAsia" w:eastAsiaTheme="minorEastAsia" w:hAnsiTheme="minorEastAsia"/>
          <w:sz w:val="21"/>
          <w:szCs w:val="21"/>
        </w:rPr>
        <w:sectPr>
          <w:headerReference w:type="default" r:id="rId9"/>
          <w:footerReference w:type="default" r:id="rId10"/>
          <w:pgSz w:w="11906" w:h="16838"/>
          <w:pgMar w:top="1814" w:right="1418" w:bottom="1418" w:left="1814" w:header="851" w:footer="992" w:gutter="0"/>
          <w:pgNumType w:start="1"/>
          <w:cols w:space="425"/>
          <w:docGrid w:linePitch="312"/>
        </w:sectPr>
      </w:pPr>
      <w:r>
        <w:rPr>
          <w:rFonts w:asciiTheme="minorEastAsia" w:eastAsiaTheme="minorEastAsia" w:hAnsiTheme="minorEastAsia" w:hint="eastAsia"/>
          <w:sz w:val="21"/>
          <w:szCs w:val="21"/>
        </w:rPr>
        <w:t>“业主”：</w:t>
      </w:r>
      <w:r>
        <w:rPr>
          <w:rFonts w:asciiTheme="minorEastAsia" w:eastAsiaTheme="minorEastAsia" w:hAnsiTheme="minorEastAsia"/>
          <w:sz w:val="21"/>
          <w:szCs w:val="21"/>
        </w:rPr>
        <w:t>-</w:t>
      </w:r>
      <w:r>
        <w:rPr>
          <w:rFonts w:asciiTheme="minorEastAsia" w:eastAsiaTheme="minorEastAsia" w:hAnsiTheme="minorEastAsia"/>
          <w:sz w:val="21"/>
          <w:szCs w:val="21"/>
        </w:rPr>
        <w:t>即指本项目之建设单位。</w:t>
      </w:r>
    </w:p>
    <w:p w:rsidR="00A469CB">
      <w:pPr>
        <w:pStyle w:val="ReportLevel1"/>
        <w:spacing w:before="240" w:beforeLines="100" w:after="240" w:afterLines="100"/>
        <w:rPr>
          <w:rFonts w:asciiTheme="minorEastAsia" w:eastAsiaTheme="minorEastAsia" w:hAnsiTheme="minorEastAsia"/>
          <w:sz w:val="21"/>
          <w:szCs w:val="21"/>
          <w:lang w:val="en-US" w:eastAsia="zh-CN"/>
        </w:rPr>
      </w:pPr>
      <w:bookmarkStart w:id="5" w:name="_Toc520824891"/>
      <w:bookmarkStart w:id="6" w:name="_Toc515455841"/>
      <w:bookmarkStart w:id="7" w:name="_Toc520824890"/>
      <w:bookmarkStart w:id="8" w:name="_Toc515455842"/>
      <w:bookmarkStart w:id="9" w:name="_Toc103358936"/>
      <w:bookmarkEnd w:id="5"/>
      <w:bookmarkEnd w:id="6"/>
      <w:bookmarkEnd w:id="7"/>
      <w:bookmarkEnd w:id="8"/>
      <w:r>
        <w:rPr>
          <w:rFonts w:asciiTheme="minorEastAsia" w:eastAsiaTheme="minorEastAsia" w:hAnsiTheme="minorEastAsia" w:hint="eastAsia"/>
          <w:sz w:val="21"/>
          <w:szCs w:val="21"/>
          <w:lang w:val="en-US" w:eastAsia="zh-CN"/>
        </w:rPr>
        <w:t>工程范围</w:t>
      </w:r>
      <w:bookmarkEnd w:id="9"/>
    </w:p>
    <w:p w:rsidR="00A469CB">
      <w:pPr>
        <w:pStyle w:val="ReportLevel2"/>
        <w:spacing w:before="240" w:beforeLines="100" w:after="240" w:afterLines="10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应包括为实现「高低压变配电工程」系统正确运行所必须的全部材料及设备，这不仅包括已指明的设备及装置，也包括全部的用于完善施工和关于正常操作测试和运转的各项必须组件，以及为了安装这些组件的劳务费用，而不论是否在合同文件中详细列明。承包单位须按照合约图纸所示和机电技术规格说明书内所列出的要求，提供系统的设计、呈交深化施工图审批（包括送设计院盖章）、呈交材料设备样本供业主审批、呈交施工及运输方案、并包括订购、制造、申报海关和办妥所有海关手续、提供保险、运送工地、拆卸、储存、协调、安装、安全保护、测试、试运转和维修等</w:t>
      </w:r>
      <w:r>
        <w:rPr>
          <w:rFonts w:asciiTheme="minorEastAsia" w:eastAsiaTheme="minorEastAsia" w:hAnsiTheme="minorEastAsia" w:hint="eastAsia"/>
          <w:sz w:val="21"/>
          <w:szCs w:val="21"/>
          <w:lang w:eastAsia="zh-CN"/>
        </w:rPr>
        <w:t>各项工作要求，直至正式移交给业主使用。并包括完工时呈交操作及维修手册、竣工图纸及提供对业主技术人员的培训。</w:t>
      </w:r>
    </w:p>
    <w:p w:rsidR="00A469CB">
      <w:pPr>
        <w:pStyle w:val="ReportLevel2"/>
        <w:spacing w:before="240" w:beforeLines="100" w:after="240" w:afterLines="10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承包单位对技术规格说明书或招标图纸的任何细则、尺寸或材料提出改动建议，可以将建议提出于技术规格说明书内，或招标图纸的空白部份。设备材料尺寸与招标文件要求的尺寸有差别时，于交回投标书时提出。招标图纸只表示要求的细节和尺寸，但是对于尺寸或细节的准确性，承包单位必须在招标阶段进行核实，以不影响机电房尺寸、建筑景观、结构的完整或整体工程的安全，提出修改建议，但所有增加的费用须由承包单位承担。承包单位还需在施工</w:t>
      </w:r>
      <w:r>
        <w:rPr>
          <w:rFonts w:asciiTheme="minorEastAsia" w:eastAsiaTheme="minorEastAsia" w:hAnsiTheme="minorEastAsia" w:hint="eastAsia"/>
          <w:sz w:val="21"/>
          <w:szCs w:val="21"/>
          <w:lang w:eastAsia="zh-CN"/>
        </w:rPr>
        <w:t>的过程中进行监察，确保工程的合理性及满足招标文件的要求。</w:t>
      </w:r>
    </w:p>
    <w:p w:rsidR="00A469CB">
      <w:pPr>
        <w:pStyle w:val="ReportLevel2"/>
        <w:spacing w:before="240" w:beforeLines="100" w:after="240" w:afterLines="10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工作过程中若任何与建筑相关并须向有关政府部门申请豁免时，承包单位须负责提交所有需要的资料及承担一切有关费用于标价内。</w:t>
      </w:r>
    </w:p>
    <w:p w:rsidR="00A469CB">
      <w:pPr>
        <w:pStyle w:val="ReportLevel2"/>
        <w:spacing w:before="240" w:beforeLines="100" w:after="240" w:afterLines="10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承包单位必须与其它承包单位协调，并尽早提交所有需要市政部门、土建、机电、弱电、电梯、室外景观、泛光及室外照明、幕墙、装饰、厨房、</w:t>
      </w:r>
      <w:r>
        <w:rPr>
          <w:rFonts w:asciiTheme="minorEastAsia" w:eastAsiaTheme="minorEastAsia" w:hAnsiTheme="minorEastAsia" w:hint="eastAsia"/>
          <w:sz w:val="21"/>
          <w:szCs w:val="21"/>
          <w:lang w:val="en-US" w:eastAsia="zh-CN"/>
        </w:rPr>
        <w:t>消防</w:t>
      </w:r>
      <w:r>
        <w:rPr>
          <w:rFonts w:asciiTheme="minorEastAsia" w:eastAsiaTheme="minorEastAsia" w:hAnsiTheme="minorEastAsia" w:hint="eastAsia"/>
          <w:sz w:val="21"/>
          <w:szCs w:val="21"/>
          <w:lang w:eastAsia="zh-CN"/>
        </w:rPr>
        <w:t>等承包单位进行协调的工作资料，时间不能超过有关部分进行施工开始前一个月，或按施工进度要求提出的合理时间。所有线槽、孔道、供电、通风、通道及其它资料，应能在工程开展时及时预留或建造。</w:t>
      </w:r>
    </w:p>
    <w:p w:rsidR="00A469CB">
      <w:pPr>
        <w:pStyle w:val="ReportLevel2"/>
        <w:spacing w:before="240" w:beforeLines="100" w:after="240" w:afterLines="10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承包单位</w:t>
      </w:r>
      <w:r>
        <w:rPr>
          <w:rFonts w:asciiTheme="minorEastAsia" w:eastAsiaTheme="minorEastAsia" w:hAnsiTheme="minorEastAsia" w:hint="eastAsia"/>
          <w:sz w:val="21"/>
          <w:szCs w:val="21"/>
          <w:lang w:eastAsia="zh-CN"/>
        </w:rPr>
        <w:t>配合总</w:t>
      </w:r>
      <w:r>
        <w:rPr>
          <w:rFonts w:asciiTheme="minorEastAsia" w:eastAsiaTheme="minorEastAsia" w:hAnsiTheme="minorEastAsia" w:hint="eastAsia"/>
          <w:sz w:val="21"/>
          <w:szCs w:val="21"/>
          <w:lang w:eastAsia="zh-CN"/>
        </w:rPr>
        <w:t>承包单位</w:t>
      </w:r>
      <w:r>
        <w:rPr>
          <w:rFonts w:asciiTheme="minorEastAsia" w:eastAsiaTheme="minorEastAsia" w:hAnsiTheme="minorEastAsia" w:hint="eastAsia"/>
          <w:sz w:val="21"/>
          <w:szCs w:val="21"/>
          <w:lang w:eastAsia="zh-CN"/>
        </w:rPr>
        <w:t>完成综合管线深化设计（</w:t>
      </w:r>
      <w:r>
        <w:rPr>
          <w:rFonts w:asciiTheme="minorEastAsia" w:eastAsiaTheme="minorEastAsia" w:hAnsiTheme="minorEastAsia" w:hint="eastAsia"/>
          <w:sz w:val="21"/>
          <w:szCs w:val="21"/>
          <w:lang w:eastAsia="zh-CN"/>
        </w:rPr>
        <w:t>BIM</w:t>
      </w:r>
      <w:r>
        <w:rPr>
          <w:rFonts w:asciiTheme="minorEastAsia" w:eastAsiaTheme="minorEastAsia" w:hAnsiTheme="minorEastAsia" w:hint="eastAsia"/>
          <w:sz w:val="21"/>
          <w:szCs w:val="21"/>
          <w:lang w:eastAsia="zh-CN"/>
        </w:rPr>
        <w:t>）；预留沟槽、预留洞与机电管道之间、机电部件之间的空隙（砌体上直径</w:t>
      </w:r>
      <w:r>
        <w:rPr>
          <w:rFonts w:asciiTheme="minorEastAsia" w:eastAsiaTheme="minorEastAsia" w:hAnsiTheme="minorEastAsia" w:hint="eastAsia"/>
          <w:sz w:val="21"/>
          <w:szCs w:val="21"/>
          <w:lang w:eastAsia="zh-CN"/>
        </w:rPr>
        <w:t>300</w:t>
      </w:r>
      <w:r>
        <w:rPr>
          <w:rFonts w:asciiTheme="minorEastAsia" w:eastAsiaTheme="minorEastAsia" w:hAnsiTheme="minorEastAsia" w:hint="eastAsia"/>
          <w:sz w:val="21"/>
          <w:szCs w:val="21"/>
          <w:lang w:eastAsia="zh-CN"/>
        </w:rPr>
        <w:t>以上的机电管道由总承包单位预留，直径</w:t>
      </w:r>
      <w:r>
        <w:rPr>
          <w:rFonts w:asciiTheme="minorEastAsia" w:eastAsiaTheme="minorEastAsia" w:hAnsiTheme="minorEastAsia" w:hint="eastAsia"/>
          <w:sz w:val="21"/>
          <w:szCs w:val="21"/>
          <w:lang w:eastAsia="zh-CN"/>
        </w:rPr>
        <w:t>300</w:t>
      </w:r>
      <w:r>
        <w:rPr>
          <w:rFonts w:asciiTheme="minorEastAsia" w:eastAsiaTheme="minorEastAsia" w:hAnsiTheme="minorEastAsia" w:hint="eastAsia"/>
          <w:sz w:val="21"/>
          <w:szCs w:val="21"/>
          <w:lang w:eastAsia="zh-CN"/>
        </w:rPr>
        <w:t>以内的机电管道不作预留，由专业单位后打</w:t>
      </w:r>
      <w:r>
        <w:rPr>
          <w:rFonts w:asciiTheme="minorEastAsia" w:eastAsiaTheme="minorEastAsia" w:hAnsiTheme="minorEastAsia" w:hint="eastAsia"/>
          <w:sz w:val="21"/>
          <w:szCs w:val="21"/>
          <w:lang w:eastAsia="zh-CN"/>
        </w:rPr>
        <w:t>凿</w:t>
      </w:r>
      <w:r>
        <w:rPr>
          <w:rFonts w:asciiTheme="minorEastAsia" w:eastAsiaTheme="minorEastAsia" w:hAnsiTheme="minorEastAsia" w:hint="eastAsia"/>
          <w:sz w:val="21"/>
          <w:szCs w:val="21"/>
          <w:lang w:eastAsia="zh-CN"/>
        </w:rPr>
        <w:t>埋设套管并封堵修复）；套筒及套管与机电管道之间的空隙，由专项承包人负责提供物料及填塞工作，套管外的封堵由总承包单位负责；</w:t>
      </w:r>
    </w:p>
    <w:p w:rsidR="00A469CB">
      <w:pPr>
        <w:pStyle w:val="ReportLevel2"/>
        <w:spacing w:before="240" w:beforeLines="100" w:after="240" w:afterLines="10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承包单位报价须考虑采取一切必要措施及设备（例如风阀、水阀），保证某一区域机电系统设备的更换及检修时，不影响其它区域机电系统及设备的正常运行。</w:t>
      </w:r>
    </w:p>
    <w:p w:rsidR="00A469CB">
      <w:pPr>
        <w:pStyle w:val="ReportLevel2"/>
        <w:spacing w:before="240" w:beforeLines="100" w:after="240" w:afterLines="10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按招标图纸及本技术规格说明书提供的设备及材料，应包括所有进口税、增</w:t>
      </w:r>
      <w:r>
        <w:rPr>
          <w:rFonts w:asciiTheme="minorEastAsia" w:eastAsiaTheme="minorEastAsia" w:hAnsiTheme="minorEastAsia" w:hint="eastAsia"/>
          <w:sz w:val="21"/>
          <w:szCs w:val="21"/>
          <w:lang w:eastAsia="zh-CN"/>
        </w:rPr>
        <w:t>值税等相关之税项及费用于标价内。</w:t>
      </w:r>
    </w:p>
    <w:p w:rsidR="00A469CB">
      <w:pPr>
        <w:pStyle w:val="ReportLevel2"/>
        <w:keepNext w:val="0"/>
        <w:spacing w:before="240" w:beforeLines="100" w:after="240" w:afterLines="100"/>
        <w:rPr>
          <w:rFonts w:asciiTheme="minorEastAsia" w:eastAsiaTheme="minorEastAsia" w:hAnsiTheme="minorEastAsia"/>
          <w:sz w:val="21"/>
          <w:szCs w:val="21"/>
          <w:lang w:eastAsia="zh-CN"/>
        </w:rPr>
        <w:sectPr>
          <w:headerReference w:type="default" r:id="rId11"/>
          <w:footerReference w:type="default" r:id="rId12"/>
          <w:type w:val="nextPage"/>
          <w:pgSz w:w="11906" w:h="16838"/>
          <w:pgMar w:top="1814" w:right="1418" w:bottom="1418" w:left="1814" w:header="851" w:footer="992" w:gutter="0"/>
          <w:pgNumType w:start="2"/>
          <w:cols w:space="425"/>
          <w:titlePg w:val="0"/>
          <w:docGrid w:linePitch="312"/>
        </w:sectPr>
      </w:pPr>
      <w:r>
        <w:rPr>
          <w:rFonts w:asciiTheme="minorEastAsia" w:eastAsiaTheme="minorEastAsia" w:hAnsiTheme="minorEastAsia" w:hint="eastAsia"/>
          <w:sz w:val="21"/>
          <w:szCs w:val="21"/>
          <w:lang w:eastAsia="zh-CN"/>
        </w:rPr>
        <w:t>所有进口设备材料，为保证设备质量，应提供生产国商务部门开具的《原产地证明》文件及《中华人民共和国海关进口货物报关单》文件，上述两份文件须相对应、指示为同一货物，《原产地证明》文件中出口商品名称、地址须与设备生产商相一致。</w:t>
      </w:r>
    </w:p>
    <w:p w:rsidR="00A469CB">
      <w:pPr>
        <w:pStyle w:val="ReportLevel2"/>
        <w:spacing w:before="240" w:beforeLines="100" w:after="240" w:afterLines="10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高低压配电工程</w:t>
      </w:r>
    </w:p>
    <w:p w:rsidR="00A469CB">
      <w:pPr>
        <w:pStyle w:val="ReportLevel3"/>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供配电工程承包内容</w:t>
      </w:r>
    </w:p>
    <w:p w:rsidR="00A469CB">
      <w:pPr>
        <w:pStyle w:val="ReportLevel3"/>
        <w:keepLines/>
        <w:numPr>
          <w:ilvl w:val="0"/>
          <w:numId w:val="0"/>
        </w:numPr>
        <w:spacing w:before="120" w:beforeLines="50" w:after="120" w:afterLines="50"/>
        <w:ind w:left="992"/>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承包商必须按照合约图纸所示、议</w:t>
      </w:r>
      <w:r>
        <w:rPr>
          <w:rFonts w:asciiTheme="minorEastAsia" w:eastAsiaTheme="minorEastAsia" w:hAnsiTheme="minorEastAsia" w:hint="eastAsia"/>
          <w:sz w:val="21"/>
          <w:szCs w:val="21"/>
          <w:lang w:eastAsia="zh-CN"/>
        </w:rPr>
        <w:t>标文件</w:t>
      </w:r>
      <w:r>
        <w:rPr>
          <w:rFonts w:asciiTheme="minorEastAsia" w:eastAsiaTheme="minorEastAsia" w:hAnsiTheme="minorEastAsia" w:hint="eastAsia"/>
          <w:sz w:val="21"/>
          <w:szCs w:val="21"/>
          <w:lang w:eastAsia="zh-CN"/>
        </w:rPr>
        <w:t>及本技术规范所载要求，负责项目高低压变配电材料设备的采购、运输、保管、检验、安装、调试、验收以及在工程移交甲方之前的设备保管等工作。有关工程包括但不限于以下工作：</w:t>
      </w:r>
    </w:p>
    <w:p w:rsidR="00A469CB">
      <w:pPr>
        <w:pStyle w:val="ReportLevel4"/>
        <w:keepNext w:val="0"/>
        <w:numPr>
          <w:ilvl w:val="0"/>
          <w:numId w:val="25"/>
        </w:numPr>
        <w:tabs>
          <w:tab w:val="left" w:pos="1560"/>
          <w:tab w:val="clear" w:pos="1620"/>
          <w:tab w:val="left" w:pos="1843"/>
        </w:tabs>
        <w:spacing w:before="120" w:beforeLines="50" w:after="120" w:afterLines="50"/>
        <w:ind w:left="1565" w:hanging="573"/>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供电图纸及方案报批，</w:t>
      </w:r>
      <w:r>
        <w:rPr>
          <w:rFonts w:asciiTheme="minorEastAsia" w:eastAsiaTheme="minorEastAsia" w:hAnsiTheme="minorEastAsia" w:hint="eastAsia"/>
          <w:sz w:val="21"/>
          <w:szCs w:val="21"/>
          <w:lang w:eastAsia="zh-CN"/>
        </w:rPr>
        <w:t>各用电手续的代为办理；负责</w:t>
      </w:r>
      <w:r>
        <w:rPr>
          <w:rFonts w:asciiTheme="minorEastAsia" w:eastAsiaTheme="minorEastAsia" w:hAnsiTheme="minorEastAsia" w:hint="eastAsia"/>
          <w:sz w:val="21"/>
          <w:szCs w:val="21"/>
          <w:lang w:eastAsia="zh-CN"/>
        </w:rPr>
        <w:t>协助总</w:t>
      </w:r>
      <w:r>
        <w:rPr>
          <w:rFonts w:asciiTheme="minorEastAsia" w:eastAsiaTheme="minorEastAsia" w:hAnsiTheme="minorEastAsia" w:hint="eastAsia"/>
          <w:sz w:val="21"/>
          <w:szCs w:val="21"/>
          <w:lang w:eastAsia="zh-CN"/>
        </w:rPr>
        <w:t>承包单位及业主的供电报建相关工作，确保供电相关报建工作的顺利进行，按时完成；</w:t>
      </w:r>
    </w:p>
    <w:p w:rsidR="00A469CB">
      <w:pPr>
        <w:pStyle w:val="ReportLevel4"/>
        <w:keepNext w:val="0"/>
        <w:numPr>
          <w:ilvl w:val="0"/>
          <w:numId w:val="25"/>
        </w:numPr>
        <w:tabs>
          <w:tab w:val="left" w:pos="1560"/>
          <w:tab w:val="clear" w:pos="1620"/>
          <w:tab w:val="left" w:pos="1843"/>
        </w:tabs>
        <w:spacing w:before="120" w:beforeLines="50" w:after="120" w:afterLines="50"/>
        <w:ind w:left="1565" w:hanging="573"/>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负责协调本项目</w:t>
      </w:r>
      <w:r>
        <w:rPr>
          <w:rFonts w:asciiTheme="minorEastAsia" w:eastAsiaTheme="minorEastAsia" w:hAnsiTheme="minorEastAsia" w:hint="eastAsia"/>
          <w:sz w:val="21"/>
          <w:szCs w:val="21"/>
          <w:lang w:eastAsia="zh-CN"/>
        </w:rPr>
        <w:t>开关房</w:t>
      </w:r>
      <w:r>
        <w:rPr>
          <w:rFonts w:asciiTheme="minorEastAsia" w:eastAsiaTheme="minorEastAsia" w:hAnsiTheme="minorEastAsia" w:hint="eastAsia"/>
          <w:sz w:val="21"/>
          <w:szCs w:val="21"/>
          <w:lang w:eastAsia="zh-CN"/>
        </w:rPr>
        <w:t>在</w:t>
      </w:r>
      <w:r>
        <w:rPr>
          <w:rFonts w:asciiTheme="minorEastAsia" w:eastAsiaTheme="minorEastAsia" w:hAnsiTheme="minorEastAsia" w:hint="eastAsia"/>
          <w:sz w:val="21"/>
          <w:szCs w:val="21"/>
          <w:lang w:eastAsia="zh-CN"/>
        </w:rPr>
        <w:t>-</w:t>
      </w:r>
      <w:r>
        <w:rPr>
          <w:rFonts w:asciiTheme="minorEastAsia" w:eastAsiaTheme="minorEastAsia" w:hAnsiTheme="minorEastAsia"/>
          <w:sz w:val="21"/>
          <w:szCs w:val="21"/>
          <w:lang w:eastAsia="zh-CN"/>
        </w:rPr>
        <w:t>1</w:t>
      </w:r>
      <w:r>
        <w:rPr>
          <w:rFonts w:asciiTheme="minorEastAsia" w:eastAsiaTheme="minorEastAsia" w:hAnsiTheme="minorEastAsia" w:hint="eastAsia"/>
          <w:sz w:val="21"/>
          <w:szCs w:val="21"/>
          <w:lang w:eastAsia="zh-CN"/>
        </w:rPr>
        <w:t>层设计位置；</w:t>
      </w:r>
    </w:p>
    <w:p w:rsidR="00A469CB">
      <w:pPr>
        <w:pStyle w:val="ReportLevel4"/>
        <w:keepNext w:val="0"/>
        <w:numPr>
          <w:ilvl w:val="0"/>
          <w:numId w:val="25"/>
        </w:numPr>
        <w:tabs>
          <w:tab w:val="left" w:pos="1560"/>
          <w:tab w:val="clear" w:pos="1620"/>
          <w:tab w:val="left" w:pos="1843"/>
        </w:tabs>
        <w:spacing w:before="120" w:beforeLines="50" w:after="120" w:afterLines="50"/>
        <w:ind w:left="1565" w:hanging="573"/>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公用线路由供电局投资建设（由乙方负责沟通协调），负责协调当地供电部门按本项目安装进度计划进行高压电缆、</w:t>
      </w:r>
      <w:r>
        <w:rPr>
          <w:rFonts w:asciiTheme="minorEastAsia" w:eastAsiaTheme="minorEastAsia" w:hAnsiTheme="minorEastAsia" w:hint="eastAsia"/>
          <w:sz w:val="21"/>
          <w:szCs w:val="21"/>
          <w:lang w:eastAsia="zh-CN"/>
        </w:rPr>
        <w:t>开关房</w:t>
      </w:r>
      <w:r>
        <w:rPr>
          <w:rFonts w:asciiTheme="minorEastAsia" w:eastAsiaTheme="minorEastAsia" w:hAnsiTheme="minorEastAsia" w:hint="eastAsia"/>
          <w:sz w:val="21"/>
          <w:szCs w:val="21"/>
          <w:lang w:eastAsia="zh-CN"/>
        </w:rPr>
        <w:t>设备、高压计量仪表的安装、调试等工作，确保不因送电不及时而延误项目工期；</w:t>
      </w:r>
    </w:p>
    <w:p w:rsidR="00A469CB">
      <w:pPr>
        <w:pStyle w:val="ReportLevel4"/>
        <w:keepNext w:val="0"/>
        <w:numPr>
          <w:ilvl w:val="0"/>
          <w:numId w:val="25"/>
        </w:numPr>
        <w:tabs>
          <w:tab w:val="left" w:pos="1560"/>
          <w:tab w:val="clear" w:pos="1620"/>
          <w:tab w:val="left" w:pos="1843"/>
        </w:tabs>
        <w:spacing w:before="120" w:beforeLines="50" w:after="120" w:afterLines="50"/>
        <w:ind w:left="1565" w:hanging="573"/>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变配电房内的高低压柜、发电机房内的配电柜、直流屏</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变压器等设备的采购、运输、保管、安装、调试，包深圳供电局验收及送电；</w:t>
      </w:r>
    </w:p>
    <w:p w:rsidR="00A469CB">
      <w:pPr>
        <w:pStyle w:val="ReportLevel4"/>
        <w:keepNext w:val="0"/>
        <w:numPr>
          <w:ilvl w:val="0"/>
          <w:numId w:val="25"/>
        </w:numPr>
        <w:tabs>
          <w:tab w:val="left" w:pos="1560"/>
          <w:tab w:val="clear" w:pos="1620"/>
          <w:tab w:val="left" w:pos="1843"/>
        </w:tabs>
        <w:spacing w:before="120" w:beforeLines="50" w:after="120" w:afterLines="50"/>
        <w:ind w:left="1565" w:hanging="573"/>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开关房至各个高</w:t>
      </w:r>
      <w:r>
        <w:rPr>
          <w:rFonts w:asciiTheme="minorEastAsia" w:eastAsiaTheme="minorEastAsia" w:hAnsiTheme="minorEastAsia" w:hint="eastAsia"/>
          <w:sz w:val="21"/>
          <w:szCs w:val="21"/>
          <w:lang w:eastAsia="zh-CN"/>
        </w:rPr>
        <w:t>低压配电房的高压电缆，开关房内的电缆桥架，高低压变配电房内的高压电缆，含设备材料的采购、运输、保管、安装、调试、验收、通电；</w:t>
      </w:r>
    </w:p>
    <w:p w:rsidR="00A469CB">
      <w:pPr>
        <w:pStyle w:val="ReportLevel4"/>
        <w:keepNext w:val="0"/>
        <w:numPr>
          <w:ilvl w:val="0"/>
          <w:numId w:val="25"/>
        </w:numPr>
        <w:tabs>
          <w:tab w:val="left" w:pos="1560"/>
          <w:tab w:val="clear" w:pos="1620"/>
          <w:tab w:val="left" w:pos="1843"/>
        </w:tabs>
        <w:spacing w:before="120" w:beforeLines="50" w:after="120" w:afterLines="50"/>
        <w:ind w:left="1565" w:hanging="573"/>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高低压配电房内的设备、电缆、母线及桥架等安装及施工，发电机房内发电机至配电柜的母线、发电机房配电柜</w:t>
      </w:r>
      <w:r>
        <w:rPr>
          <w:rFonts w:asciiTheme="minorEastAsia" w:eastAsiaTheme="minorEastAsia" w:hAnsiTheme="minorEastAsia" w:hint="eastAsia"/>
          <w:sz w:val="21"/>
          <w:szCs w:val="21"/>
          <w:lang w:eastAsia="zh-CN"/>
        </w:rPr>
        <w:t>至各变配电</w:t>
      </w:r>
      <w:r>
        <w:rPr>
          <w:rFonts w:asciiTheme="minorEastAsia" w:eastAsiaTheme="minorEastAsia" w:hAnsiTheme="minorEastAsia" w:hint="eastAsia"/>
          <w:sz w:val="21"/>
          <w:szCs w:val="21"/>
          <w:lang w:eastAsia="zh-CN"/>
        </w:rPr>
        <w:t>房的连接母线，含材料的采购、运输、保管、安装、调试、验收、通电；</w:t>
      </w:r>
    </w:p>
    <w:p w:rsidR="00A469CB">
      <w:pPr>
        <w:pStyle w:val="ReportLevel4"/>
        <w:keepNext w:val="0"/>
        <w:numPr>
          <w:ilvl w:val="0"/>
          <w:numId w:val="25"/>
        </w:numPr>
        <w:tabs>
          <w:tab w:val="left" w:pos="1560"/>
          <w:tab w:val="clear" w:pos="1620"/>
          <w:tab w:val="left" w:pos="1843"/>
        </w:tabs>
        <w:spacing w:before="120" w:beforeLines="50" w:after="120" w:afterLines="50"/>
        <w:ind w:left="1565" w:hanging="573"/>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配电室附属工程：安</w:t>
      </w:r>
      <w:r>
        <w:rPr>
          <w:rFonts w:asciiTheme="minorEastAsia" w:eastAsiaTheme="minorEastAsia" w:hAnsiTheme="minorEastAsia" w:hint="eastAsia"/>
          <w:sz w:val="21"/>
          <w:szCs w:val="21"/>
          <w:lang w:eastAsia="zh-CN"/>
        </w:rPr>
        <w:t>健环设施</w:t>
      </w:r>
      <w:r>
        <w:rPr>
          <w:rFonts w:asciiTheme="minorEastAsia" w:eastAsiaTheme="minorEastAsia" w:hAnsiTheme="minorEastAsia" w:hint="eastAsia"/>
          <w:sz w:val="21"/>
          <w:szCs w:val="21"/>
          <w:lang w:eastAsia="zh-CN"/>
        </w:rPr>
        <w:t>（含绝缘胶垫、挡鼠板、标示牌、警示牌、工具箱、变配电系统图）等满足深圳市现行施工验收规范要求的施工内容；</w:t>
      </w:r>
    </w:p>
    <w:p w:rsidR="00A469CB">
      <w:pPr>
        <w:pStyle w:val="ReportLevel4"/>
        <w:keepNext w:val="0"/>
        <w:numPr>
          <w:ilvl w:val="0"/>
          <w:numId w:val="25"/>
        </w:numPr>
        <w:tabs>
          <w:tab w:val="left" w:pos="1560"/>
          <w:tab w:val="clear" w:pos="1620"/>
          <w:tab w:val="left" w:pos="1843"/>
        </w:tabs>
        <w:spacing w:before="120" w:beforeLines="50" w:after="120" w:afterLines="50"/>
        <w:ind w:left="1565" w:hanging="573"/>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P</w:t>
      </w:r>
      <w:r>
        <w:rPr>
          <w:rFonts w:asciiTheme="minorEastAsia" w:eastAsiaTheme="minorEastAsia" w:hAnsiTheme="minorEastAsia"/>
          <w:sz w:val="21"/>
          <w:szCs w:val="21"/>
          <w:lang w:eastAsia="zh-CN"/>
        </w:rPr>
        <w:t>MS</w:t>
      </w:r>
      <w:r>
        <w:rPr>
          <w:rFonts w:asciiTheme="minorEastAsia" w:eastAsiaTheme="minorEastAsia" w:hAnsiTheme="minorEastAsia" w:hint="eastAsia"/>
          <w:sz w:val="21"/>
          <w:szCs w:val="21"/>
          <w:lang w:eastAsia="zh-CN"/>
        </w:rPr>
        <w:t>电力监控系统；</w:t>
      </w:r>
    </w:p>
    <w:p w:rsidR="00A469CB">
      <w:pPr>
        <w:pStyle w:val="ReportLevel4"/>
        <w:keepNext w:val="0"/>
        <w:numPr>
          <w:ilvl w:val="0"/>
          <w:numId w:val="25"/>
        </w:numPr>
        <w:tabs>
          <w:tab w:val="left" w:pos="1560"/>
          <w:tab w:val="clear" w:pos="1620"/>
          <w:tab w:val="left" w:pos="1843"/>
        </w:tabs>
        <w:spacing w:before="120" w:beforeLines="50" w:after="120" w:afterLines="50"/>
        <w:ind w:left="1565" w:hanging="573"/>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机房内接地系统；</w:t>
      </w:r>
    </w:p>
    <w:p w:rsidR="00A469CB">
      <w:pPr>
        <w:pStyle w:val="ReportLevel4"/>
        <w:keepNext w:val="0"/>
        <w:numPr>
          <w:ilvl w:val="0"/>
          <w:numId w:val="25"/>
        </w:numPr>
        <w:tabs>
          <w:tab w:val="left" w:pos="1560"/>
          <w:tab w:val="clear" w:pos="1620"/>
          <w:tab w:val="left" w:pos="1843"/>
        </w:tabs>
        <w:spacing w:before="120" w:beforeLines="50" w:after="120" w:afterLines="50"/>
        <w:ind w:left="1565" w:hanging="573"/>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直流屏二次配电系统；</w:t>
      </w:r>
    </w:p>
    <w:p w:rsidR="00A469CB">
      <w:pPr>
        <w:pStyle w:val="ReportLevel4"/>
        <w:keepNext w:val="0"/>
        <w:numPr>
          <w:ilvl w:val="0"/>
          <w:numId w:val="25"/>
        </w:numPr>
        <w:tabs>
          <w:tab w:val="left" w:pos="1560"/>
          <w:tab w:val="clear" w:pos="1620"/>
          <w:tab w:val="left" w:pos="1843"/>
        </w:tabs>
        <w:spacing w:before="120" w:beforeLines="50" w:after="120" w:afterLines="50"/>
        <w:ind w:left="1565" w:hanging="573"/>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工程范围内管道、槽架、设备的标识、油漆工程；</w:t>
      </w:r>
    </w:p>
    <w:p w:rsidR="00A469CB">
      <w:pPr>
        <w:pStyle w:val="ReportLevel4"/>
        <w:keepNext w:val="0"/>
        <w:numPr>
          <w:ilvl w:val="0"/>
          <w:numId w:val="25"/>
        </w:numPr>
        <w:tabs>
          <w:tab w:val="left" w:pos="1560"/>
          <w:tab w:val="clear" w:pos="1620"/>
          <w:tab w:val="left" w:pos="1843"/>
        </w:tabs>
        <w:spacing w:before="120" w:beforeLines="50" w:after="120" w:afterLines="50"/>
        <w:ind w:left="1565" w:hanging="573"/>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工程范围内的消声、隔振；</w:t>
      </w:r>
    </w:p>
    <w:p w:rsidR="00A469CB">
      <w:pPr>
        <w:pStyle w:val="ReportLevel4"/>
        <w:keepNext w:val="0"/>
        <w:numPr>
          <w:ilvl w:val="0"/>
          <w:numId w:val="25"/>
        </w:numPr>
        <w:tabs>
          <w:tab w:val="left" w:pos="1560"/>
          <w:tab w:val="clear" w:pos="1620"/>
          <w:tab w:val="left" w:pos="1843"/>
        </w:tabs>
        <w:spacing w:before="120" w:beforeLines="50" w:after="120" w:afterLines="50"/>
        <w:ind w:left="1565" w:hanging="573"/>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配合机电安装承包人的供配电调试，按期保质通过当地供电局验收，同时负责甲方及物业管理人员的使用培训；</w:t>
      </w:r>
    </w:p>
    <w:p w:rsidR="00A469CB">
      <w:pPr>
        <w:pStyle w:val="ReportLevel4"/>
        <w:keepNext w:val="0"/>
        <w:numPr>
          <w:ilvl w:val="0"/>
          <w:numId w:val="25"/>
        </w:numPr>
        <w:tabs>
          <w:tab w:val="left" w:pos="1560"/>
          <w:tab w:val="clear" w:pos="1620"/>
          <w:tab w:val="left" w:pos="1843"/>
        </w:tabs>
        <w:spacing w:before="120" w:beforeLines="50" w:after="120" w:afterLines="50"/>
        <w:ind w:left="1565" w:hanging="573"/>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项目的报装、审图等供电手续费；</w:t>
      </w:r>
    </w:p>
    <w:p w:rsidR="00A469CB">
      <w:pPr>
        <w:pStyle w:val="ReportLevel4"/>
        <w:keepNext w:val="0"/>
        <w:numPr>
          <w:ilvl w:val="0"/>
          <w:numId w:val="25"/>
        </w:numPr>
        <w:tabs>
          <w:tab w:val="left" w:pos="1560"/>
          <w:tab w:val="clear" w:pos="1620"/>
          <w:tab w:val="left" w:pos="1843"/>
        </w:tabs>
        <w:spacing w:before="120" w:beforeLines="50" w:after="120" w:afterLines="50"/>
        <w:ind w:left="1565" w:hanging="573"/>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高压柜、低压柜、变压器入网检测，及负责办理停、送电、封表验收等并交纳相关费用，低压变配电系统验收通过；</w:t>
      </w:r>
    </w:p>
    <w:p w:rsidR="00A469CB">
      <w:pPr>
        <w:pStyle w:val="ReportLevel4"/>
        <w:keepNext w:val="0"/>
        <w:numPr>
          <w:ilvl w:val="0"/>
          <w:numId w:val="25"/>
        </w:numPr>
        <w:tabs>
          <w:tab w:val="left" w:pos="1560"/>
          <w:tab w:val="clear" w:pos="1620"/>
          <w:tab w:val="left" w:pos="1843"/>
        </w:tabs>
        <w:spacing w:before="120" w:beforeLines="50" w:after="120" w:afterLines="50"/>
        <w:ind w:left="1565" w:hanging="573"/>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负责质保期内的维修保养工作；</w:t>
      </w:r>
    </w:p>
    <w:p w:rsidR="00A469CB">
      <w:pPr>
        <w:pStyle w:val="ReportLevel4"/>
        <w:keepNext w:val="0"/>
        <w:numPr>
          <w:ilvl w:val="0"/>
          <w:numId w:val="25"/>
        </w:numPr>
        <w:tabs>
          <w:tab w:val="left" w:pos="1560"/>
          <w:tab w:val="clear" w:pos="1620"/>
          <w:tab w:val="left" w:pos="1843"/>
        </w:tabs>
        <w:spacing w:before="120" w:beforeLines="50" w:after="120" w:afterLines="50"/>
        <w:ind w:left="1565" w:hanging="573"/>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复核变配电室内所有与供配电验收相关的其他工程，包含但不限于：机房内的机电公用设备工程（配电箱、照明、插座、送排风、电缆沟内地漏排水等），机房内的消防工程，电缆沟，管道线槽内防</w:t>
      </w:r>
      <w:r>
        <w:rPr>
          <w:rFonts w:asciiTheme="minorEastAsia" w:eastAsiaTheme="minorEastAsia" w:hAnsiTheme="minorEastAsia" w:hint="eastAsia"/>
          <w:sz w:val="21"/>
          <w:szCs w:val="21"/>
          <w:lang w:eastAsia="zh-CN"/>
        </w:rPr>
        <w:t>火封堵等；</w:t>
      </w:r>
    </w:p>
    <w:p w:rsidR="00A469CB">
      <w:pPr>
        <w:pStyle w:val="ReportLevel4"/>
        <w:keepNext w:val="0"/>
        <w:numPr>
          <w:ilvl w:val="0"/>
          <w:numId w:val="25"/>
        </w:numPr>
        <w:tabs>
          <w:tab w:val="left" w:pos="1560"/>
          <w:tab w:val="clear" w:pos="1620"/>
          <w:tab w:val="left" w:pos="1843"/>
        </w:tabs>
        <w:spacing w:before="120" w:beforeLines="50" w:after="120" w:afterLines="50"/>
        <w:ind w:left="1565" w:hanging="573"/>
        <w:rPr>
          <w:rFonts w:asciiTheme="minorEastAsia" w:eastAsiaTheme="minorEastAsia" w:hAnsiTheme="minorEastAsia"/>
          <w:sz w:val="21"/>
          <w:szCs w:val="21"/>
          <w:lang w:eastAsia="zh-CN"/>
        </w:rPr>
        <w:sectPr>
          <w:headerReference w:type="default" r:id="rId13"/>
          <w:footerReference w:type="default" r:id="rId14"/>
          <w:type w:val="nextPage"/>
          <w:pgSz w:w="11906" w:h="16838"/>
          <w:pgMar w:top="1814" w:right="1418" w:bottom="1418" w:left="1814" w:header="851" w:footer="992" w:gutter="0"/>
          <w:pgNumType w:start="3"/>
          <w:cols w:space="425"/>
          <w:titlePg w:val="0"/>
          <w:docGrid w:linePitch="312"/>
        </w:sectPr>
      </w:pPr>
      <w:r>
        <w:rPr>
          <w:rFonts w:asciiTheme="minorEastAsia" w:eastAsiaTheme="minorEastAsia" w:hAnsiTheme="minorEastAsia" w:hint="eastAsia"/>
          <w:sz w:val="21"/>
          <w:szCs w:val="21"/>
          <w:lang w:eastAsia="zh-CN"/>
        </w:rPr>
        <w:t>负责本项目高低压变配电工程按照工程节点要求的时间，顺利通过供电局等相关主管部门的验收，按节点通电。</w:t>
      </w:r>
    </w:p>
    <w:p w:rsidR="00A469CB">
      <w:pPr>
        <w:pStyle w:val="ReportLevel3"/>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 xml:space="preserve"> </w:t>
      </w:r>
      <w:r>
        <w:rPr>
          <w:rFonts w:asciiTheme="minorEastAsia" w:eastAsiaTheme="minorEastAsia" w:hAnsiTheme="minorEastAsia" w:hint="eastAsia"/>
          <w:sz w:val="21"/>
          <w:szCs w:val="21"/>
          <w:lang w:eastAsia="zh-CN"/>
        </w:rPr>
        <w:t>不属合同范围内的项目有：</w:t>
      </w:r>
    </w:p>
    <w:p w:rsidR="00A469CB">
      <w:pPr>
        <w:pStyle w:val="ReportLevel4"/>
        <w:keepNext w:val="0"/>
        <w:numPr>
          <w:ilvl w:val="0"/>
          <w:numId w:val="72"/>
        </w:numPr>
        <w:tabs>
          <w:tab w:val="left" w:pos="1560"/>
          <w:tab w:val="clear" w:pos="1620"/>
          <w:tab w:val="left" w:pos="1843"/>
        </w:tabs>
        <w:spacing w:before="120" w:beforeLines="50" w:after="120" w:afterLines="50"/>
        <w:ind w:left="1565" w:hanging="573"/>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由本项目红线外公用环网柜或变电站引至本项目新设公用</w:t>
      </w:r>
      <w:r>
        <w:rPr>
          <w:rFonts w:asciiTheme="minorEastAsia" w:eastAsiaTheme="minorEastAsia" w:hAnsiTheme="minorEastAsia" w:hint="eastAsia"/>
          <w:sz w:val="21"/>
          <w:szCs w:val="21"/>
          <w:lang w:eastAsia="zh-CN"/>
        </w:rPr>
        <w:t>开关房</w:t>
      </w:r>
      <w:r>
        <w:rPr>
          <w:rFonts w:asciiTheme="minorEastAsia" w:eastAsiaTheme="minorEastAsia" w:hAnsiTheme="minorEastAsia" w:hint="eastAsia"/>
          <w:sz w:val="21"/>
          <w:szCs w:val="21"/>
          <w:lang w:eastAsia="zh-CN"/>
        </w:rPr>
        <w:t>环网柜的高压电缆及开关房内环网柜等设备由供电局投资不在本次施工范围内；</w:t>
      </w:r>
    </w:p>
    <w:p w:rsidR="00A469CB">
      <w:pPr>
        <w:pStyle w:val="ReportLevel4"/>
        <w:keepNext w:val="0"/>
        <w:numPr>
          <w:ilvl w:val="0"/>
          <w:numId w:val="72"/>
        </w:numPr>
        <w:tabs>
          <w:tab w:val="left" w:pos="1560"/>
          <w:tab w:val="clear" w:pos="1620"/>
          <w:tab w:val="left" w:pos="1843"/>
        </w:tabs>
        <w:spacing w:before="120" w:beforeLines="50" w:after="120" w:afterLines="50"/>
        <w:ind w:left="1565" w:hanging="573"/>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配电房内的土建工程、接地预埋、装饰工程（如有）、红线内电缆沟、电缆井、电缆管道预埋由总承包人完成；</w:t>
      </w:r>
    </w:p>
    <w:p w:rsidR="00A469CB">
      <w:pPr>
        <w:pStyle w:val="ReportLevel4"/>
        <w:keepNext w:val="0"/>
        <w:numPr>
          <w:ilvl w:val="0"/>
          <w:numId w:val="72"/>
        </w:numPr>
        <w:tabs>
          <w:tab w:val="left" w:pos="1560"/>
          <w:tab w:val="clear" w:pos="1620"/>
          <w:tab w:val="left" w:pos="1843"/>
        </w:tabs>
        <w:spacing w:before="120" w:beforeLines="50" w:after="120" w:afterLines="50"/>
        <w:ind w:left="1565" w:hanging="573"/>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机房内机电公用设备工程：包括配电房用配电箱、照明、插座、送排风系统等，电缆沟内地漏埋设；</w:t>
      </w:r>
    </w:p>
    <w:p w:rsidR="00A469CB">
      <w:pPr>
        <w:pStyle w:val="ReportLevel4"/>
        <w:keepNext w:val="0"/>
        <w:numPr>
          <w:ilvl w:val="0"/>
          <w:numId w:val="72"/>
        </w:numPr>
        <w:tabs>
          <w:tab w:val="left" w:pos="1560"/>
          <w:tab w:val="clear" w:pos="1620"/>
          <w:tab w:val="left" w:pos="1843"/>
        </w:tabs>
        <w:spacing w:before="120" w:beforeLines="50" w:after="120" w:afterLines="50"/>
        <w:ind w:left="1565" w:hanging="573"/>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所有</w:t>
      </w:r>
      <w:r>
        <w:rPr>
          <w:rFonts w:asciiTheme="minorEastAsia" w:eastAsiaTheme="minorEastAsia" w:hAnsiTheme="minorEastAsia" w:hint="eastAsia"/>
          <w:sz w:val="21"/>
          <w:szCs w:val="21"/>
          <w:lang w:eastAsia="zh-CN"/>
        </w:rPr>
        <w:t>开关房</w:t>
      </w:r>
      <w:r>
        <w:rPr>
          <w:rFonts w:asciiTheme="minorEastAsia" w:eastAsiaTheme="minorEastAsia" w:hAnsiTheme="minorEastAsia" w:hint="eastAsia"/>
          <w:sz w:val="21"/>
          <w:szCs w:val="21"/>
          <w:lang w:eastAsia="zh-CN"/>
        </w:rPr>
        <w:t>及高低压配电房外的高压电缆桥架；</w:t>
      </w:r>
    </w:p>
    <w:p w:rsidR="00A469CB">
      <w:pPr>
        <w:pStyle w:val="ReportLevel4"/>
        <w:keepNext w:val="0"/>
        <w:numPr>
          <w:ilvl w:val="0"/>
          <w:numId w:val="72"/>
        </w:numPr>
        <w:tabs>
          <w:tab w:val="left" w:pos="1560"/>
          <w:tab w:val="clear" w:pos="1620"/>
          <w:tab w:val="left" w:pos="1843"/>
        </w:tabs>
        <w:spacing w:before="120" w:beforeLines="50" w:after="120" w:afterLines="50"/>
        <w:ind w:left="1565" w:hanging="573"/>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配电房低压</w:t>
      </w:r>
      <w:r>
        <w:rPr>
          <w:rFonts w:asciiTheme="minorEastAsia" w:eastAsiaTheme="minorEastAsia" w:hAnsiTheme="minorEastAsia" w:hint="eastAsia"/>
          <w:sz w:val="21"/>
          <w:szCs w:val="21"/>
          <w:lang w:eastAsia="zh-CN"/>
        </w:rPr>
        <w:t>柜低压</w:t>
      </w:r>
      <w:r>
        <w:rPr>
          <w:rFonts w:asciiTheme="minorEastAsia" w:eastAsiaTheme="minorEastAsia" w:hAnsiTheme="minorEastAsia" w:hint="eastAsia"/>
          <w:sz w:val="21"/>
          <w:szCs w:val="21"/>
          <w:lang w:eastAsia="zh-CN"/>
        </w:rPr>
        <w:t>回路出线</w:t>
      </w:r>
      <w:r>
        <w:rPr>
          <w:rFonts w:asciiTheme="minorEastAsia" w:eastAsiaTheme="minorEastAsia" w:hAnsiTheme="minorEastAsia" w:hint="eastAsia"/>
          <w:sz w:val="21"/>
          <w:szCs w:val="21"/>
          <w:lang w:eastAsia="zh-CN"/>
        </w:rPr>
        <w:t>电缆、桥架；</w:t>
      </w:r>
    </w:p>
    <w:p w:rsidR="00A469CB">
      <w:pPr>
        <w:pStyle w:val="ReportLevel4"/>
        <w:keepNext w:val="0"/>
        <w:numPr>
          <w:ilvl w:val="0"/>
          <w:numId w:val="72"/>
        </w:numPr>
        <w:tabs>
          <w:tab w:val="left" w:pos="1560"/>
          <w:tab w:val="clear" w:pos="1620"/>
          <w:tab w:val="left" w:pos="1843"/>
        </w:tabs>
        <w:spacing w:before="120" w:beforeLines="50" w:after="120" w:afterLines="50"/>
        <w:ind w:left="1565" w:hanging="573"/>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混凝土和砌体内需要预留、预埋及套管、洞口封堵，墙体、楼板上预留、预埋的套管、套盒的制作及安装；</w:t>
      </w:r>
    </w:p>
    <w:p w:rsidR="00A469CB">
      <w:pPr>
        <w:pStyle w:val="ReportLevel4"/>
        <w:keepNext w:val="0"/>
        <w:numPr>
          <w:ilvl w:val="0"/>
          <w:numId w:val="72"/>
        </w:numPr>
        <w:tabs>
          <w:tab w:val="left" w:pos="1560"/>
          <w:tab w:val="clear" w:pos="1620"/>
          <w:tab w:val="left" w:pos="1843"/>
        </w:tabs>
        <w:spacing w:before="120" w:beforeLines="50" w:after="120" w:afterLines="50"/>
        <w:ind w:left="1565" w:hanging="573"/>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按设计图纸预留机房内</w:t>
      </w:r>
      <w:r>
        <w:rPr>
          <w:rFonts w:asciiTheme="minorEastAsia" w:eastAsiaTheme="minorEastAsia" w:hAnsiTheme="minorEastAsia" w:hint="eastAsia"/>
          <w:sz w:val="21"/>
          <w:szCs w:val="21"/>
          <w:lang w:eastAsia="zh-CN"/>
        </w:rPr>
        <w:t>LEB/MEB</w:t>
      </w:r>
      <w:r>
        <w:rPr>
          <w:rFonts w:asciiTheme="minorEastAsia" w:eastAsiaTheme="minorEastAsia" w:hAnsiTheme="minorEastAsia" w:hint="eastAsia"/>
          <w:sz w:val="21"/>
          <w:szCs w:val="21"/>
          <w:lang w:eastAsia="zh-CN"/>
        </w:rPr>
        <w:t>等电位连接点。</w:t>
      </w:r>
    </w:p>
    <w:p w:rsidR="00A469CB">
      <w:pPr>
        <w:pStyle w:val="ReportLevel2"/>
        <w:spacing w:before="240" w:beforeLines="100" w:after="240" w:afterLines="10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相关服务</w:t>
      </w:r>
    </w:p>
    <w:p w:rsidR="00A469CB">
      <w:pPr>
        <w:pStyle w:val="ReportLevel4"/>
        <w:keepNext w:val="0"/>
        <w:numPr>
          <w:ilvl w:val="0"/>
          <w:numId w:val="27"/>
        </w:numPr>
        <w:tabs>
          <w:tab w:val="clear" w:pos="1620"/>
        </w:tabs>
        <w:spacing w:before="120" w:beforeLines="50" w:after="120" w:afterLines="50"/>
        <w:ind w:left="1440" w:hanging="448"/>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无论图纸和规范中有无明确表示，承包单位都应提供一切必需的材料及工人，完成整项符合中国国家及</w:t>
      </w:r>
      <w:r>
        <w:rPr>
          <w:rFonts w:asciiTheme="minorEastAsia" w:eastAsiaTheme="minorEastAsia" w:hAnsiTheme="minorEastAsia" w:cs="Arial" w:hint="eastAsia"/>
          <w:sz w:val="21"/>
          <w:szCs w:val="21"/>
          <w:lang w:eastAsia="zh-CN"/>
        </w:rPr>
        <w:t>深圳</w:t>
      </w:r>
      <w:r>
        <w:rPr>
          <w:rFonts w:asciiTheme="minorEastAsia" w:eastAsiaTheme="minorEastAsia" w:hAnsiTheme="minorEastAsia" w:cs="Arial"/>
          <w:sz w:val="21"/>
          <w:szCs w:val="21"/>
          <w:lang w:eastAsia="zh-CN"/>
        </w:rPr>
        <w:t>市有关政府部门标准及能够有效运作系统。承包单位提供各专业深化施工图</w:t>
      </w:r>
      <w:r>
        <w:rPr>
          <w:rFonts w:asciiTheme="minorEastAsia" w:eastAsiaTheme="minorEastAsia" w:hAnsiTheme="minorEastAsia" w:cs="Arial" w:hint="eastAsia"/>
          <w:sz w:val="21"/>
          <w:szCs w:val="21"/>
          <w:lang w:eastAsia="zh-CN"/>
        </w:rPr>
        <w:t>、</w:t>
      </w:r>
      <w:r>
        <w:rPr>
          <w:rFonts w:asciiTheme="minorEastAsia" w:eastAsiaTheme="minorEastAsia" w:hAnsiTheme="minorEastAsia" w:cs="Arial"/>
          <w:sz w:val="21"/>
          <w:szCs w:val="21"/>
          <w:lang w:eastAsia="zh-CN"/>
        </w:rPr>
        <w:t>综合管线图、综合要求土建配合图（土建条件图）及竣工图，包括送设计院盖章并获得批准，提供聘请设计院之相关费用，而设计院之资质需按本项目情况要求并满足国家有关政策规定。</w:t>
      </w:r>
    </w:p>
    <w:p w:rsidR="00A469CB">
      <w:pPr>
        <w:pStyle w:val="ReportLevel4"/>
        <w:keepNext w:val="0"/>
        <w:numPr>
          <w:ilvl w:val="0"/>
          <w:numId w:val="27"/>
        </w:numPr>
        <w:tabs>
          <w:tab w:val="clear" w:pos="1620"/>
        </w:tabs>
        <w:spacing w:before="120" w:beforeLines="50" w:after="120" w:afterLines="50"/>
        <w:ind w:left="1440" w:hanging="448"/>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承包单位除了必须遵照本技术规格说明书的要求以外，同时还必须满足有关国家法律、法规、规范和条例或当地政府及有关部门的特别要求。</w:t>
      </w:r>
    </w:p>
    <w:p w:rsidR="00A469CB">
      <w:pPr>
        <w:pStyle w:val="ReportLevel4"/>
        <w:keepNext w:val="0"/>
        <w:numPr>
          <w:ilvl w:val="0"/>
          <w:numId w:val="27"/>
        </w:numPr>
        <w:tabs>
          <w:tab w:val="clear" w:pos="1620"/>
        </w:tabs>
        <w:spacing w:before="120" w:beforeLines="50" w:after="120" w:afterLines="50"/>
        <w:ind w:left="1440" w:hanging="448"/>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提供大型设备运输、将来维修方案及施工，承包单位需要针对本项目实际情况，重点专项考虑大型设备施工组织及将来设备检修更换预留设施方案，在获得</w:t>
      </w:r>
      <w:r>
        <w:rPr>
          <w:rFonts w:asciiTheme="minorEastAsia" w:eastAsiaTheme="minorEastAsia" w:hAnsiTheme="minorEastAsia" w:cs="Arial" w:hint="eastAsia"/>
          <w:sz w:val="21"/>
          <w:szCs w:val="21"/>
          <w:lang w:eastAsia="zh-CN"/>
        </w:rPr>
        <w:t>总承办单位和</w:t>
      </w:r>
      <w:r>
        <w:rPr>
          <w:rFonts w:asciiTheme="minorEastAsia" w:eastAsiaTheme="minorEastAsia" w:hAnsiTheme="minorEastAsia" w:cs="Arial"/>
          <w:sz w:val="21"/>
          <w:szCs w:val="21"/>
          <w:lang w:eastAsia="zh-CN"/>
        </w:rPr>
        <w:t>业主审核同意后施工。</w:t>
      </w:r>
    </w:p>
    <w:p w:rsidR="00A469CB">
      <w:pPr>
        <w:pStyle w:val="ReportLevel4"/>
        <w:keepNext w:val="0"/>
        <w:numPr>
          <w:ilvl w:val="0"/>
          <w:numId w:val="27"/>
        </w:numPr>
        <w:tabs>
          <w:tab w:val="clear" w:pos="1620"/>
        </w:tabs>
        <w:spacing w:before="120" w:beforeLines="50" w:after="120" w:afterLines="50"/>
        <w:ind w:left="1440" w:hanging="448"/>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提供所有设备和材料的技术呈审（包括所需的样本）。</w:t>
      </w:r>
    </w:p>
    <w:p w:rsidR="00A469CB">
      <w:pPr>
        <w:pStyle w:val="ReportLevel4"/>
        <w:keepNext w:val="0"/>
        <w:numPr>
          <w:ilvl w:val="0"/>
          <w:numId w:val="27"/>
        </w:numPr>
        <w:tabs>
          <w:tab w:val="clear" w:pos="1620"/>
        </w:tabs>
        <w:spacing w:before="120" w:beforeLines="50" w:after="120" w:afterLines="50"/>
        <w:ind w:left="1440" w:hanging="448"/>
        <w:rPr>
          <w:rFonts w:eastAsiaTheme="minorEastAsia"/>
          <w:lang w:eastAsia="zh-CN"/>
        </w:rPr>
      </w:pPr>
      <w:r>
        <w:rPr>
          <w:rFonts w:asciiTheme="minorEastAsia" w:eastAsiaTheme="minorEastAsia" w:hAnsiTheme="minorEastAsia" w:hint="eastAsia"/>
          <w:sz w:val="21"/>
          <w:szCs w:val="21"/>
          <w:lang w:eastAsia="zh-CN"/>
        </w:rPr>
        <w:t>提供驻</w:t>
      </w:r>
      <w:r>
        <w:rPr>
          <w:rFonts w:asciiTheme="minorEastAsia" w:eastAsiaTheme="minorEastAsia" w:hAnsiTheme="minorEastAsia" w:hint="eastAsia"/>
          <w:sz w:val="21"/>
          <w:szCs w:val="21"/>
          <w:lang w:eastAsia="zh-CN"/>
        </w:rPr>
        <w:t>工地工程</w:t>
      </w:r>
      <w:r>
        <w:rPr>
          <w:rFonts w:asciiTheme="minorEastAsia" w:eastAsiaTheme="minorEastAsia" w:hAnsiTheme="minorEastAsia" w:cs="Arial" w:hint="eastAsia"/>
          <w:sz w:val="21"/>
          <w:szCs w:val="21"/>
          <w:lang w:eastAsia="zh-CN"/>
        </w:rPr>
        <w:t>人员</w:t>
      </w:r>
      <w:r>
        <w:rPr>
          <w:rFonts w:asciiTheme="minorEastAsia" w:eastAsiaTheme="minorEastAsia" w:hAnsiTheme="minorEastAsia" w:hint="eastAsia"/>
          <w:sz w:val="21"/>
          <w:szCs w:val="21"/>
          <w:lang w:eastAsia="zh-CN"/>
        </w:rPr>
        <w:t>，所有施工人员需要有相关的上岗证</w:t>
      </w:r>
    </w:p>
    <w:p w:rsidR="00A469CB">
      <w:pPr>
        <w:pStyle w:val="ReportLevel4"/>
        <w:keepNext w:val="0"/>
        <w:numPr>
          <w:ilvl w:val="0"/>
          <w:numId w:val="27"/>
        </w:numPr>
        <w:tabs>
          <w:tab w:val="clear" w:pos="1620"/>
        </w:tabs>
        <w:spacing w:before="120" w:beforeLines="50" w:after="120" w:afterLines="50"/>
        <w:ind w:left="1440" w:hanging="448"/>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提供</w:t>
      </w:r>
      <w:r>
        <w:rPr>
          <w:rFonts w:asciiTheme="minorEastAsia" w:eastAsiaTheme="minorEastAsia" w:hAnsiTheme="minorEastAsia" w:cs="Arial"/>
          <w:sz w:val="21"/>
          <w:szCs w:val="21"/>
          <w:lang w:eastAsia="zh-CN"/>
        </w:rPr>
        <w:t>1</w:t>
      </w:r>
      <w:r>
        <w:rPr>
          <w:rFonts w:asciiTheme="minorEastAsia" w:eastAsiaTheme="minorEastAsia" w:hAnsiTheme="minorEastAsia" w:cs="Arial"/>
          <w:sz w:val="21"/>
          <w:szCs w:val="21"/>
          <w:lang w:eastAsia="zh-CN"/>
        </w:rPr>
        <w:t>名</w:t>
      </w:r>
      <w:r>
        <w:rPr>
          <w:rFonts w:asciiTheme="minorEastAsia" w:eastAsiaTheme="minorEastAsia" w:hAnsiTheme="minorEastAsia" w:cs="Arial" w:hint="eastAsia"/>
          <w:sz w:val="21"/>
          <w:szCs w:val="21"/>
          <w:lang w:eastAsia="zh-CN"/>
        </w:rPr>
        <w:t>机电安装工程</w:t>
      </w:r>
      <w:r>
        <w:rPr>
          <w:rFonts w:asciiTheme="minorEastAsia" w:eastAsiaTheme="minorEastAsia" w:hAnsiTheme="minorEastAsia" w:cs="Arial"/>
          <w:sz w:val="21"/>
          <w:szCs w:val="21"/>
          <w:lang w:eastAsia="zh-CN"/>
        </w:rPr>
        <w:t>总协调人负责现场协调各专业深化施工图和现场施工，总协调人要求相关工作经验</w:t>
      </w:r>
      <w:r>
        <w:rPr>
          <w:rFonts w:asciiTheme="minorEastAsia" w:eastAsiaTheme="minorEastAsia" w:hAnsiTheme="minorEastAsia" w:cs="Arial"/>
          <w:sz w:val="21"/>
          <w:szCs w:val="21"/>
          <w:lang w:eastAsia="zh-CN"/>
        </w:rPr>
        <w:t>15</w:t>
      </w:r>
      <w:r>
        <w:rPr>
          <w:rFonts w:asciiTheme="minorEastAsia" w:eastAsiaTheme="minorEastAsia" w:hAnsiTheme="minorEastAsia" w:cs="Arial"/>
          <w:sz w:val="21"/>
          <w:szCs w:val="21"/>
          <w:lang w:eastAsia="zh-CN"/>
        </w:rPr>
        <w:t>年以上</w:t>
      </w:r>
      <w:r>
        <w:rPr>
          <w:rFonts w:asciiTheme="minorEastAsia" w:eastAsiaTheme="minorEastAsia" w:hAnsiTheme="minorEastAsia" w:cs="Arial" w:hint="eastAsia"/>
          <w:sz w:val="21"/>
          <w:szCs w:val="21"/>
          <w:lang w:eastAsia="zh-CN"/>
        </w:rPr>
        <w:t>，</w:t>
      </w:r>
      <w:r>
        <w:rPr>
          <w:rFonts w:asciiTheme="minorEastAsia" w:eastAsiaTheme="minorEastAsia" w:hAnsiTheme="minorEastAsia" w:cs="Arial"/>
          <w:sz w:val="21"/>
          <w:szCs w:val="21"/>
          <w:lang w:eastAsia="zh-CN"/>
        </w:rPr>
        <w:t>总协调人要</w:t>
      </w:r>
      <w:r>
        <w:rPr>
          <w:rFonts w:asciiTheme="minorEastAsia" w:eastAsiaTheme="minorEastAsia" w:hAnsiTheme="minorEastAsia" w:cs="Arial"/>
          <w:sz w:val="21"/>
          <w:szCs w:val="21"/>
          <w:lang w:eastAsia="zh-CN"/>
        </w:rPr>
        <w:t>求常驻工地，有与本项目类似</w:t>
      </w:r>
      <w:r>
        <w:rPr>
          <w:rFonts w:asciiTheme="minorEastAsia" w:eastAsiaTheme="minorEastAsia" w:hAnsiTheme="minorEastAsia" w:cs="Arial" w:hint="eastAsia"/>
          <w:sz w:val="21"/>
          <w:szCs w:val="21"/>
          <w:lang w:eastAsia="zh-CN"/>
        </w:rPr>
        <w:t>组织</w:t>
      </w:r>
      <w:r>
        <w:rPr>
          <w:rFonts w:asciiTheme="minorEastAsia" w:eastAsiaTheme="minorEastAsia" w:hAnsiTheme="minorEastAsia" w:cs="Arial"/>
          <w:sz w:val="21"/>
          <w:szCs w:val="21"/>
          <w:lang w:eastAsia="zh-CN"/>
        </w:rPr>
        <w:t>工程相当工作的经验，具有多年施工组织管理及协调组织深化施工图纸、机电综合管线施工图、土建条件图的经验。总协调人的工作简历须要提交给业主，审批通过后开展工作。在施工过程中，如有需要业主有权利要求</w:t>
      </w:r>
      <w:r>
        <w:rPr>
          <w:rFonts w:asciiTheme="minorEastAsia" w:eastAsiaTheme="minorEastAsia" w:hAnsiTheme="minorEastAsia" w:cs="Arial"/>
          <w:sz w:val="21"/>
          <w:szCs w:val="21"/>
          <w:lang w:eastAsia="zh-CN"/>
        </w:rPr>
        <w:t>更换总</w:t>
      </w:r>
      <w:r>
        <w:rPr>
          <w:rFonts w:asciiTheme="minorEastAsia" w:eastAsiaTheme="minorEastAsia" w:hAnsiTheme="minorEastAsia" w:cs="Arial"/>
          <w:sz w:val="21"/>
          <w:szCs w:val="21"/>
          <w:lang w:eastAsia="zh-CN"/>
        </w:rPr>
        <w:t>协调人，而承包单位不能提出异议。</w:t>
      </w:r>
    </w:p>
    <w:p w:rsidR="00A469CB">
      <w:pPr>
        <w:pStyle w:val="ReportLevel4"/>
        <w:keepNext w:val="0"/>
        <w:numPr>
          <w:ilvl w:val="0"/>
          <w:numId w:val="27"/>
        </w:numPr>
        <w:tabs>
          <w:tab w:val="clear" w:pos="1620"/>
        </w:tabs>
        <w:spacing w:before="120" w:beforeLines="50" w:after="120" w:afterLines="50"/>
        <w:ind w:left="1440" w:hanging="448"/>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根据本项目情况提供系统</w:t>
      </w:r>
      <w:r>
        <w:rPr>
          <w:rFonts w:asciiTheme="minorEastAsia" w:eastAsiaTheme="minorEastAsia" w:hAnsiTheme="minorEastAsia" w:cs="Arial" w:hint="eastAsia"/>
          <w:sz w:val="21"/>
          <w:szCs w:val="21"/>
          <w:lang w:eastAsia="zh-CN"/>
        </w:rPr>
        <w:t>专业</w:t>
      </w:r>
      <w:r>
        <w:rPr>
          <w:rFonts w:asciiTheme="minorEastAsia" w:eastAsiaTheme="minorEastAsia" w:hAnsiTheme="minorEastAsia" w:cs="Arial"/>
          <w:sz w:val="21"/>
          <w:szCs w:val="21"/>
          <w:lang w:eastAsia="zh-CN"/>
        </w:rPr>
        <w:t>调试人员（非施工人员），专业调试人员必须具备</w:t>
      </w:r>
      <w:r>
        <w:rPr>
          <w:rFonts w:asciiTheme="minorEastAsia" w:eastAsiaTheme="minorEastAsia" w:hAnsiTheme="minorEastAsia" w:cs="Arial"/>
          <w:sz w:val="21"/>
          <w:szCs w:val="21"/>
          <w:lang w:eastAsia="zh-CN"/>
        </w:rPr>
        <w:t>10</w:t>
      </w:r>
      <w:r>
        <w:rPr>
          <w:rFonts w:asciiTheme="minorEastAsia" w:eastAsiaTheme="minorEastAsia" w:hAnsiTheme="minorEastAsia" w:cs="Arial"/>
          <w:sz w:val="21"/>
          <w:szCs w:val="21"/>
          <w:lang w:eastAsia="zh-CN"/>
        </w:rPr>
        <w:t>年以上各系统调试工作经验，承包单位需在各专业具备调试条件</w:t>
      </w:r>
      <w:r>
        <w:rPr>
          <w:rFonts w:asciiTheme="minorEastAsia" w:eastAsiaTheme="minorEastAsia" w:hAnsiTheme="minorEastAsia" w:cs="Arial"/>
          <w:sz w:val="21"/>
          <w:szCs w:val="21"/>
          <w:lang w:eastAsia="zh-CN"/>
        </w:rPr>
        <w:t>2</w:t>
      </w:r>
      <w:r>
        <w:rPr>
          <w:rFonts w:asciiTheme="minorEastAsia" w:eastAsiaTheme="minorEastAsia" w:hAnsiTheme="minorEastAsia" w:cs="Arial"/>
          <w:sz w:val="21"/>
          <w:szCs w:val="21"/>
          <w:lang w:eastAsia="zh-CN"/>
        </w:rPr>
        <w:t>个月前进入施工现场，熟悉本项目综合</w:t>
      </w:r>
      <w:r>
        <w:rPr>
          <w:rFonts w:asciiTheme="minorEastAsia" w:eastAsiaTheme="minorEastAsia" w:hAnsiTheme="minorEastAsia" w:cs="Arial"/>
          <w:sz w:val="21"/>
          <w:szCs w:val="21"/>
          <w:lang w:eastAsia="zh-CN"/>
        </w:rPr>
        <w:t>机电各</w:t>
      </w:r>
      <w:r>
        <w:rPr>
          <w:rFonts w:asciiTheme="minorEastAsia" w:eastAsiaTheme="minorEastAsia" w:hAnsiTheme="minorEastAsia" w:cs="Arial"/>
          <w:sz w:val="21"/>
          <w:szCs w:val="21"/>
          <w:lang w:eastAsia="zh-CN"/>
        </w:rPr>
        <w:t>系统及现场条件，提交调试方案。</w:t>
      </w:r>
      <w:r>
        <w:rPr>
          <w:rFonts w:asciiTheme="minorEastAsia" w:eastAsiaTheme="minorEastAsia" w:hAnsiTheme="minorEastAsia" w:cs="Arial" w:hint="eastAsia"/>
          <w:sz w:val="21"/>
          <w:szCs w:val="21"/>
          <w:lang w:eastAsia="zh-CN"/>
        </w:rPr>
        <w:t>安装工程</w:t>
      </w:r>
      <w:r>
        <w:rPr>
          <w:rFonts w:asciiTheme="minorEastAsia" w:eastAsiaTheme="minorEastAsia" w:hAnsiTheme="minorEastAsia" w:cs="Arial"/>
          <w:sz w:val="21"/>
          <w:szCs w:val="21"/>
          <w:lang w:eastAsia="zh-CN"/>
        </w:rPr>
        <w:t>调试队伍人员的工作简历需要提交业主，审批</w:t>
      </w:r>
      <w:r>
        <w:rPr>
          <w:rFonts w:asciiTheme="minorEastAsia" w:eastAsiaTheme="minorEastAsia" w:hAnsiTheme="minorEastAsia" w:cs="Arial"/>
          <w:sz w:val="21"/>
          <w:szCs w:val="21"/>
          <w:lang w:eastAsia="zh-CN"/>
        </w:rPr>
        <w:t>通过后开展工作。在调试过程中，如有需要业主有权利要求更换调试队伍人员，而承包单位不能提供异议。</w:t>
      </w:r>
    </w:p>
    <w:p w:rsidR="00A469CB">
      <w:pPr>
        <w:pStyle w:val="ReportLevel4"/>
        <w:keepNext w:val="0"/>
        <w:numPr>
          <w:ilvl w:val="0"/>
          <w:numId w:val="27"/>
        </w:numPr>
        <w:tabs>
          <w:tab w:val="clear" w:pos="1620"/>
        </w:tabs>
        <w:spacing w:before="120" w:beforeLines="50" w:after="120" w:afterLines="50"/>
        <w:ind w:left="1440" w:hanging="448"/>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施工期间及竣工后清理及运走所有与本合约有关的废料和垃圾到指定地点。</w:t>
      </w:r>
    </w:p>
    <w:p w:rsidR="00A469CB">
      <w:pPr>
        <w:pStyle w:val="ReportLevel4"/>
        <w:keepNext w:val="0"/>
        <w:numPr>
          <w:ilvl w:val="0"/>
          <w:numId w:val="27"/>
        </w:numPr>
        <w:tabs>
          <w:tab w:val="clear" w:pos="1620"/>
        </w:tabs>
        <w:spacing w:before="120" w:beforeLines="50" w:after="120" w:afterLines="50"/>
        <w:ind w:left="1440" w:hanging="448"/>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提供零备件、设备系统测试报告、操作及维修手册。</w:t>
      </w:r>
    </w:p>
    <w:p w:rsidR="00A469CB">
      <w:pPr>
        <w:pStyle w:val="ReportLevel4"/>
        <w:keepNext w:val="0"/>
        <w:numPr>
          <w:ilvl w:val="0"/>
          <w:numId w:val="27"/>
        </w:numPr>
        <w:tabs>
          <w:tab w:val="clear" w:pos="1620"/>
        </w:tabs>
        <w:spacing w:before="120" w:beforeLines="50" w:after="120" w:afterLines="50"/>
        <w:ind w:left="1440" w:hanging="448"/>
        <w:rPr>
          <w:rFonts w:asciiTheme="minorEastAsia" w:eastAsiaTheme="minorEastAsia" w:hAnsiTheme="minorEastAsia" w:cs="Arial"/>
          <w:sz w:val="21"/>
          <w:szCs w:val="21"/>
          <w:lang w:eastAsia="zh-CN"/>
        </w:rPr>
        <w:sectPr>
          <w:headerReference w:type="default" r:id="rId15"/>
          <w:footerReference w:type="default" r:id="rId16"/>
          <w:type w:val="nextPage"/>
          <w:pgSz w:w="11906" w:h="16838"/>
          <w:pgMar w:top="1814" w:right="1418" w:bottom="1418" w:left="1814" w:header="851" w:footer="992" w:gutter="0"/>
          <w:pgNumType w:start="4"/>
          <w:cols w:space="425"/>
          <w:titlePg w:val="0"/>
          <w:docGrid w:linePitch="312"/>
        </w:sectPr>
      </w:pPr>
      <w:r>
        <w:rPr>
          <w:rFonts w:asciiTheme="minorEastAsia" w:eastAsiaTheme="minorEastAsia" w:hAnsiTheme="minorEastAsia" w:cs="Arial"/>
          <w:sz w:val="21"/>
          <w:szCs w:val="21"/>
          <w:lang w:eastAsia="zh-CN"/>
        </w:rPr>
        <w:t>检验及证明试验和现场试验、调试、试车、业主人员的培训及交付。</w:t>
      </w:r>
    </w:p>
    <w:p w:rsidR="00A469CB">
      <w:pPr>
        <w:pStyle w:val="ReportLevel4"/>
        <w:keepNext w:val="0"/>
        <w:numPr>
          <w:ilvl w:val="0"/>
          <w:numId w:val="27"/>
        </w:numPr>
        <w:tabs>
          <w:tab w:val="clear" w:pos="1620"/>
        </w:tabs>
        <w:spacing w:before="120" w:beforeLines="50" w:after="120" w:afterLines="50"/>
        <w:ind w:left="1440" w:hanging="448"/>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提供维修设施及保养，并包括维修时所需的特殊专用工具及易损耗之配件等。</w:t>
      </w:r>
    </w:p>
    <w:p w:rsidR="00A469CB">
      <w:pPr>
        <w:pStyle w:val="ReportLevel4"/>
        <w:keepNext w:val="0"/>
        <w:numPr>
          <w:ilvl w:val="0"/>
          <w:numId w:val="27"/>
        </w:numPr>
        <w:tabs>
          <w:tab w:val="clear" w:pos="1620"/>
        </w:tabs>
        <w:spacing w:before="120" w:beforeLines="50" w:after="120" w:afterLines="50"/>
        <w:ind w:left="1440" w:hanging="448"/>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提供工程进度计划表。</w:t>
      </w:r>
    </w:p>
    <w:p w:rsidR="00A469CB">
      <w:pPr>
        <w:pStyle w:val="ReportLevel4"/>
        <w:keepNext w:val="0"/>
        <w:numPr>
          <w:ilvl w:val="0"/>
          <w:numId w:val="27"/>
        </w:numPr>
        <w:tabs>
          <w:tab w:val="clear" w:pos="1620"/>
        </w:tabs>
        <w:spacing w:before="120" w:beforeLines="50" w:after="120" w:afterLines="50"/>
        <w:ind w:left="1440" w:hanging="448"/>
        <w:rPr>
          <w:rFonts w:asciiTheme="minorEastAsia" w:eastAsiaTheme="minorEastAsia" w:hAnsiTheme="minorEastAsia"/>
          <w:sz w:val="21"/>
          <w:szCs w:val="21"/>
          <w:lang w:val="en-US" w:eastAsia="zh-CN"/>
        </w:rPr>
      </w:pPr>
      <w:r>
        <w:rPr>
          <w:rFonts w:asciiTheme="minorEastAsia" w:eastAsiaTheme="minorEastAsia" w:hAnsiTheme="minorEastAsia" w:cs="Arial"/>
          <w:sz w:val="21"/>
          <w:szCs w:val="21"/>
          <w:lang w:eastAsia="zh-CN"/>
        </w:rPr>
        <w:t>审阅有关施工图纸及检查工地之实际情况，如发现施工图纸有任何不适当</w:t>
      </w:r>
      <w:r>
        <w:rPr>
          <w:rFonts w:asciiTheme="minorEastAsia" w:eastAsiaTheme="minorEastAsia" w:hAnsiTheme="minorEastAsia" w:cs="Arial"/>
          <w:sz w:val="21"/>
          <w:szCs w:val="21"/>
          <w:lang w:eastAsia="zh-CN"/>
        </w:rPr>
        <w:t>(</w:t>
      </w:r>
      <w:r>
        <w:rPr>
          <w:rFonts w:asciiTheme="minorEastAsia" w:eastAsiaTheme="minorEastAsia" w:hAnsiTheme="minorEastAsia" w:cs="Arial"/>
          <w:sz w:val="21"/>
          <w:szCs w:val="21"/>
          <w:lang w:eastAsia="zh-CN"/>
        </w:rPr>
        <w:t>包括但不限于，如违反有关法律、法规及设计的纰漏，以及有任何工地实际情况不符</w:t>
      </w:r>
      <w:r>
        <w:rPr>
          <w:rFonts w:asciiTheme="minorEastAsia" w:eastAsiaTheme="minorEastAsia" w:hAnsiTheme="minorEastAsia" w:cs="Arial"/>
          <w:sz w:val="21"/>
          <w:szCs w:val="21"/>
          <w:lang w:eastAsia="zh-CN"/>
        </w:rPr>
        <w:t>)</w:t>
      </w:r>
      <w:r>
        <w:rPr>
          <w:rFonts w:asciiTheme="minorEastAsia" w:eastAsiaTheme="minorEastAsia" w:hAnsiTheme="minorEastAsia" w:cs="Arial"/>
          <w:sz w:val="21"/>
          <w:szCs w:val="21"/>
          <w:lang w:eastAsia="zh-CN"/>
        </w:rPr>
        <w:t>，总</w:t>
      </w:r>
      <w:r>
        <w:rPr>
          <w:rFonts w:asciiTheme="minorEastAsia" w:eastAsiaTheme="minorEastAsia" w:hAnsiTheme="minorEastAsia" w:cs="Arial"/>
          <w:sz w:val="21"/>
          <w:szCs w:val="21"/>
          <w:lang w:eastAsia="zh-CN"/>
        </w:rPr>
        <w:t>承包单位应在许可情况下，对有关机电系统设计进行修改以配合现况。修改内容应获得业主审核同意后实施。而有关修改需确保有关机电系统能按设计意图安装及操作，所有有关修正事项应包括在其合约总价内而并不会视为工程变更。</w:t>
      </w:r>
    </w:p>
    <w:p w:rsidR="00A469CB">
      <w:pPr>
        <w:rPr>
          <w:rFonts w:asciiTheme="minorEastAsia" w:eastAsiaTheme="minorEastAsia" w:hAnsiTheme="minorEastAsia"/>
          <w:b/>
          <w:caps/>
          <w:sz w:val="21"/>
          <w:szCs w:val="21"/>
          <w:lang w:val="en-US" w:eastAsia="zh-CN"/>
        </w:rPr>
        <w:sectPr>
          <w:headerReference w:type="default" r:id="rId17"/>
          <w:footerReference w:type="default" r:id="rId18"/>
          <w:type w:val="nextPage"/>
          <w:pgSz w:w="11906" w:h="16838"/>
          <w:pgMar w:top="1814" w:right="1418" w:bottom="1418" w:left="1814" w:header="851" w:footer="992" w:gutter="0"/>
          <w:pgNumType w:start="5"/>
          <w:cols w:space="425"/>
          <w:titlePg w:val="0"/>
          <w:docGrid w:linePitch="312"/>
        </w:sectPr>
      </w:pPr>
      <w:bookmarkStart w:id="10" w:name="_Toc502752566"/>
    </w:p>
    <w:p w:rsidR="00A469CB">
      <w:pPr>
        <w:pStyle w:val="ReportLevel1"/>
        <w:spacing w:before="240" w:beforeLines="100" w:after="240" w:afterLines="100"/>
        <w:rPr>
          <w:rFonts w:asciiTheme="minorEastAsia" w:eastAsiaTheme="minorEastAsia" w:hAnsiTheme="minorEastAsia"/>
          <w:sz w:val="21"/>
          <w:szCs w:val="21"/>
          <w:lang w:val="en-US" w:eastAsia="zh-CN"/>
        </w:rPr>
      </w:pPr>
      <w:bookmarkStart w:id="11" w:name="_Toc502734252"/>
      <w:bookmarkStart w:id="12" w:name="_Toc502685073"/>
      <w:bookmarkStart w:id="13" w:name="_Toc510538198"/>
      <w:bookmarkStart w:id="14" w:name="_Toc502734263"/>
      <w:bookmarkStart w:id="15" w:name="_Toc510538246"/>
      <w:bookmarkStart w:id="16" w:name="_Toc502752593"/>
      <w:bookmarkStart w:id="17" w:name="_Toc502752628"/>
      <w:bookmarkStart w:id="18" w:name="_Toc510538212"/>
      <w:bookmarkStart w:id="19" w:name="_Toc502685081"/>
      <w:bookmarkStart w:id="20" w:name="_Toc502686819"/>
      <w:bookmarkStart w:id="21" w:name="_Toc502685097"/>
      <w:bookmarkStart w:id="22" w:name="_Toc510538255"/>
      <w:bookmarkStart w:id="23" w:name="_Toc502752603"/>
      <w:bookmarkStart w:id="24" w:name="_Toc502734269"/>
      <w:bookmarkStart w:id="25" w:name="_Toc502734256"/>
      <w:bookmarkStart w:id="26" w:name="_Toc502752631"/>
      <w:bookmarkStart w:id="27" w:name="_Toc502686811"/>
      <w:bookmarkStart w:id="28" w:name="_Toc502686773"/>
      <w:bookmarkStart w:id="29" w:name="_Toc502685063"/>
      <w:bookmarkStart w:id="30" w:name="_Toc502734208"/>
      <w:bookmarkStart w:id="31" w:name="_Toc502686817"/>
      <w:bookmarkStart w:id="32" w:name="_Toc502686822"/>
      <w:bookmarkStart w:id="33" w:name="_Toc502686826"/>
      <w:bookmarkStart w:id="34" w:name="_Toc510538242"/>
      <w:bookmarkStart w:id="35" w:name="_Toc502685068"/>
      <w:bookmarkStart w:id="36" w:name="_Toc502752583"/>
      <w:bookmarkStart w:id="37" w:name="_Toc502686792"/>
      <w:bookmarkStart w:id="38" w:name="_Toc502752569"/>
      <w:bookmarkStart w:id="39" w:name="_Toc502686828"/>
      <w:bookmarkStart w:id="40" w:name="_Toc502734226"/>
      <w:bookmarkStart w:id="41" w:name="_Toc502685062"/>
      <w:bookmarkStart w:id="42" w:name="_Toc510538258"/>
      <w:bookmarkStart w:id="43" w:name="_Toc502685047"/>
      <w:bookmarkStart w:id="44" w:name="_Toc502752577"/>
      <w:bookmarkStart w:id="45" w:name="_Toc502752621"/>
      <w:bookmarkStart w:id="46" w:name="_Toc502686808"/>
      <w:bookmarkStart w:id="47" w:name="_Toc502734254"/>
      <w:bookmarkStart w:id="48" w:name="_Toc502686815"/>
      <w:bookmarkStart w:id="49" w:name="_Toc502734259"/>
      <w:bookmarkStart w:id="50" w:name="_Toc502685075"/>
      <w:bookmarkStart w:id="51" w:name="_Toc502752629"/>
      <w:bookmarkStart w:id="52" w:name="_Toc502734251"/>
      <w:bookmarkStart w:id="53" w:name="_Toc502685079"/>
      <w:bookmarkStart w:id="54" w:name="_Toc502752614"/>
      <w:bookmarkStart w:id="55" w:name="_Toc502685091"/>
      <w:bookmarkStart w:id="56" w:name="_Toc510538237"/>
      <w:bookmarkStart w:id="57" w:name="_Toc502686821"/>
      <w:bookmarkStart w:id="58" w:name="_Toc502685085"/>
      <w:bookmarkStart w:id="59" w:name="_Toc502685089"/>
      <w:bookmarkStart w:id="60" w:name="_Toc502686774"/>
      <w:bookmarkStart w:id="61" w:name="_Toc502734272"/>
      <w:bookmarkStart w:id="62" w:name="_Toc502734233"/>
      <w:bookmarkStart w:id="63" w:name="_Toc502685056"/>
      <w:bookmarkStart w:id="64" w:name="_Toc502685088"/>
      <w:bookmarkStart w:id="65" w:name="_Toc502752586"/>
      <w:bookmarkStart w:id="66" w:name="_Toc502686764"/>
      <w:bookmarkStart w:id="67" w:name="_Toc502734267"/>
      <w:bookmarkStart w:id="68" w:name="_Toc502686790"/>
      <w:bookmarkStart w:id="69" w:name="_Toc502686783"/>
      <w:bookmarkStart w:id="70" w:name="_Toc502734258"/>
      <w:bookmarkStart w:id="71" w:name="_Toc502686789"/>
      <w:bookmarkStart w:id="72" w:name="_Toc502734245"/>
      <w:bookmarkStart w:id="73" w:name="_Toc510538234"/>
      <w:bookmarkStart w:id="74" w:name="_Toc502685082"/>
      <w:bookmarkStart w:id="75" w:name="_Toc502686807"/>
      <w:bookmarkStart w:id="76" w:name="_Toc502686776"/>
      <w:bookmarkStart w:id="77" w:name="_Toc502752581"/>
      <w:bookmarkStart w:id="78" w:name="_Toc502734253"/>
      <w:bookmarkStart w:id="79" w:name="_Toc502685101"/>
      <w:bookmarkStart w:id="80" w:name="_Toc502734264"/>
      <w:bookmarkStart w:id="81" w:name="_Toc502685093"/>
      <w:bookmarkStart w:id="82" w:name="_Toc510538209"/>
      <w:bookmarkStart w:id="83" w:name="_Toc510538205"/>
      <w:bookmarkStart w:id="84" w:name="_Toc502685071"/>
      <w:bookmarkStart w:id="85" w:name="_Toc502685099"/>
      <w:bookmarkStart w:id="86" w:name="_Toc502685103"/>
      <w:bookmarkStart w:id="87" w:name="_Toc510538248"/>
      <w:bookmarkStart w:id="88" w:name="_Toc510538224"/>
      <w:bookmarkStart w:id="89" w:name="_Toc510538219"/>
      <w:bookmarkStart w:id="90" w:name="_Toc510538256"/>
      <w:bookmarkStart w:id="91" w:name="_Toc502685095"/>
      <w:bookmarkStart w:id="92" w:name="_Toc502752612"/>
      <w:bookmarkStart w:id="93" w:name="_Toc510538251"/>
      <w:bookmarkStart w:id="94" w:name="_Toc510538210"/>
      <w:bookmarkStart w:id="95" w:name="_Toc510538244"/>
      <w:bookmarkStart w:id="96" w:name="_Toc502734232"/>
      <w:bookmarkStart w:id="97" w:name="_Toc502685061"/>
      <w:bookmarkStart w:id="98" w:name="_Toc502685045"/>
      <w:bookmarkStart w:id="99" w:name="_Toc502685042"/>
      <w:bookmarkStart w:id="100" w:name="_Toc502734262"/>
      <w:bookmarkStart w:id="101" w:name="_Toc502734239"/>
      <w:bookmarkStart w:id="102" w:name="_Toc502686805"/>
      <w:bookmarkStart w:id="103" w:name="_Toc510538217"/>
      <w:bookmarkStart w:id="104" w:name="_Toc502752570"/>
      <w:bookmarkStart w:id="105" w:name="_Toc502752587"/>
      <w:bookmarkStart w:id="106" w:name="_Toc502734260"/>
      <w:bookmarkStart w:id="107" w:name="_Toc502686827"/>
      <w:bookmarkStart w:id="108" w:name="_Toc502685092"/>
      <w:bookmarkStart w:id="109" w:name="_Toc502685060"/>
      <w:bookmarkStart w:id="110" w:name="_Toc502734244"/>
      <w:bookmarkStart w:id="111" w:name="_Toc510538203"/>
      <w:bookmarkStart w:id="112" w:name="_Toc510538213"/>
      <w:bookmarkStart w:id="113" w:name="_Toc502685100"/>
      <w:bookmarkStart w:id="114" w:name="_Toc502734268"/>
      <w:bookmarkStart w:id="115" w:name="_Toc510538240"/>
      <w:bookmarkStart w:id="116" w:name="_Toc502685043"/>
      <w:bookmarkStart w:id="117" w:name="_Toc502734261"/>
      <w:bookmarkStart w:id="118" w:name="_Toc510538206"/>
      <w:bookmarkStart w:id="119" w:name="_Toc510538207"/>
      <w:bookmarkStart w:id="120" w:name="_Toc502734266"/>
      <w:bookmarkStart w:id="121" w:name="_Toc510538252"/>
      <w:bookmarkStart w:id="122" w:name="_Toc502686818"/>
      <w:bookmarkStart w:id="123" w:name="_Toc510538232"/>
      <w:bookmarkStart w:id="124" w:name="_Toc510538241"/>
      <w:bookmarkStart w:id="125" w:name="_Toc502686823"/>
      <w:bookmarkStart w:id="126" w:name="_Toc502685039"/>
      <w:bookmarkStart w:id="127" w:name="_Toc510538235"/>
      <w:bookmarkStart w:id="128" w:name="_Toc502685087"/>
      <w:bookmarkStart w:id="129" w:name="_Toc502686816"/>
      <w:bookmarkStart w:id="130" w:name="_Toc502686820"/>
      <w:bookmarkStart w:id="131" w:name="_Toc502686787"/>
      <w:bookmarkStart w:id="132" w:name="_Toc510538233"/>
      <w:bookmarkStart w:id="133" w:name="_Toc502686784"/>
      <w:bookmarkStart w:id="134" w:name="_Toc502686798"/>
      <w:bookmarkStart w:id="135" w:name="_Toc502752633"/>
      <w:bookmarkStart w:id="136" w:name="_Toc502752584"/>
      <w:bookmarkStart w:id="137" w:name="_Toc502685083"/>
      <w:bookmarkStart w:id="138" w:name="_Toc510538221"/>
      <w:bookmarkStart w:id="139" w:name="_Toc510538211"/>
      <w:bookmarkStart w:id="140" w:name="_Toc502752624"/>
      <w:bookmarkStart w:id="141" w:name="_Toc502752575"/>
      <w:bookmarkStart w:id="142" w:name="_Toc502685049"/>
      <w:bookmarkStart w:id="143" w:name="_Toc502734222"/>
      <w:bookmarkStart w:id="144" w:name="_Toc510538215"/>
      <w:bookmarkStart w:id="145" w:name="_Toc502734231"/>
      <w:bookmarkStart w:id="146" w:name="_Toc502734211"/>
      <w:bookmarkStart w:id="147" w:name="_Toc502686824"/>
      <w:bookmarkStart w:id="148" w:name="_Toc510538214"/>
      <w:bookmarkStart w:id="149" w:name="_Toc510538220"/>
      <w:bookmarkStart w:id="150" w:name="_Toc502752615"/>
      <w:bookmarkStart w:id="151" w:name="_Toc510538202"/>
      <w:bookmarkStart w:id="152" w:name="_Toc510538227"/>
      <w:bookmarkStart w:id="153" w:name="_Toc502752630"/>
      <w:bookmarkStart w:id="154" w:name="_Toc502752588"/>
      <w:bookmarkStart w:id="155" w:name="_Toc502752626"/>
      <w:bookmarkStart w:id="156" w:name="_Toc502752622"/>
      <w:bookmarkStart w:id="157" w:name="_Toc510538249"/>
      <w:bookmarkStart w:id="158" w:name="_Toc502685069"/>
      <w:bookmarkStart w:id="159" w:name="_Toc510538228"/>
      <w:bookmarkStart w:id="160" w:name="_Toc502734255"/>
      <w:bookmarkStart w:id="161" w:name="_Toc502685096"/>
      <w:bookmarkStart w:id="162" w:name="_Toc502734270"/>
      <w:bookmarkStart w:id="163" w:name="_Toc510538223"/>
      <w:bookmarkStart w:id="164" w:name="_Toc502734237"/>
      <w:bookmarkStart w:id="165" w:name="_Toc502752594"/>
      <w:bookmarkStart w:id="166" w:name="_Toc502752625"/>
      <w:bookmarkStart w:id="167" w:name="_Toc502734227"/>
      <w:bookmarkStart w:id="168" w:name="_Toc502686812"/>
      <w:bookmarkStart w:id="169" w:name="_Toc502734229"/>
      <w:bookmarkStart w:id="170" w:name="_Toc502752627"/>
      <w:bookmarkStart w:id="171" w:name="_Toc502685090"/>
      <w:bookmarkStart w:id="172" w:name="_Toc502752616"/>
      <w:bookmarkStart w:id="173" w:name="_Toc502734235"/>
      <w:bookmarkStart w:id="174" w:name="_Toc502686781"/>
      <w:bookmarkStart w:id="175" w:name="_Toc502685067"/>
      <w:bookmarkStart w:id="176" w:name="_Toc502734247"/>
      <w:bookmarkStart w:id="177" w:name="_Toc502686810"/>
      <w:bookmarkStart w:id="178" w:name="_Toc502686801"/>
      <w:bookmarkStart w:id="179" w:name="_Toc502685054"/>
      <w:bookmarkStart w:id="180" w:name="_Toc502734257"/>
      <w:bookmarkStart w:id="181" w:name="_Toc502686782"/>
      <w:bookmarkStart w:id="182" w:name="_Toc502752619"/>
      <w:bookmarkStart w:id="183" w:name="_Toc502734249"/>
      <w:bookmarkStart w:id="184" w:name="_Toc502686814"/>
      <w:bookmarkStart w:id="185" w:name="_Toc502685102"/>
      <w:bookmarkStart w:id="186" w:name="_Toc502752620"/>
      <w:bookmarkStart w:id="187" w:name="_Toc502752617"/>
      <w:bookmarkStart w:id="188" w:name="_Toc502752604"/>
      <w:bookmarkStart w:id="189" w:name="_Toc502734240"/>
      <w:bookmarkStart w:id="190" w:name="_Toc502686804"/>
      <w:bookmarkStart w:id="191" w:name="_Toc502752618"/>
      <w:bookmarkStart w:id="192" w:name="_Toc502686802"/>
      <w:bookmarkStart w:id="193" w:name="_Toc502734243"/>
      <w:bookmarkStart w:id="194" w:name="_Toc502685058"/>
      <w:bookmarkStart w:id="195" w:name="_Toc502686771"/>
      <w:bookmarkStart w:id="196" w:name="_Toc502734236"/>
      <w:bookmarkStart w:id="197" w:name="_Toc502686795"/>
      <w:bookmarkStart w:id="198" w:name="_Toc502752611"/>
      <w:bookmarkStart w:id="199" w:name="_Toc502685080"/>
      <w:bookmarkStart w:id="200" w:name="_Toc502752590"/>
      <w:bookmarkStart w:id="201" w:name="_Toc502734209"/>
      <w:bookmarkStart w:id="202" w:name="_Toc502685084"/>
      <w:bookmarkStart w:id="203" w:name="_Toc502752607"/>
      <w:bookmarkStart w:id="204" w:name="_Toc502752610"/>
      <w:bookmarkStart w:id="205" w:name="_Toc502734230"/>
      <w:bookmarkStart w:id="206" w:name="_Toc502752591"/>
      <w:bookmarkStart w:id="207" w:name="_Toc502686769"/>
      <w:bookmarkStart w:id="208" w:name="_Toc510538225"/>
      <w:bookmarkStart w:id="209" w:name="_Toc502685076"/>
      <w:bookmarkStart w:id="210" w:name="_Toc502686788"/>
      <w:bookmarkStart w:id="211" w:name="_Toc502734242"/>
      <w:bookmarkStart w:id="212" w:name="_Toc502685086"/>
      <w:bookmarkStart w:id="213" w:name="_Toc502685065"/>
      <w:bookmarkStart w:id="214" w:name="_Toc502734241"/>
      <w:bookmarkStart w:id="215" w:name="_Toc502686799"/>
      <w:bookmarkStart w:id="216" w:name="_Toc502686796"/>
      <w:bookmarkStart w:id="217" w:name="_Toc502752606"/>
      <w:bookmarkStart w:id="218" w:name="_Toc502752600"/>
      <w:bookmarkStart w:id="219" w:name="_Toc502685070"/>
      <w:bookmarkStart w:id="220" w:name="_Toc502734250"/>
      <w:bookmarkStart w:id="221" w:name="_Toc502752589"/>
      <w:bookmarkStart w:id="222" w:name="_Toc502685072"/>
      <w:bookmarkStart w:id="223" w:name="_Toc502686766"/>
      <w:bookmarkStart w:id="224" w:name="_Toc502686806"/>
      <w:bookmarkStart w:id="225" w:name="_Toc502685044"/>
      <w:bookmarkStart w:id="226" w:name="_Toc502752608"/>
      <w:bookmarkStart w:id="227" w:name="_Toc502752632"/>
      <w:bookmarkStart w:id="228" w:name="_Toc502734248"/>
      <w:bookmarkStart w:id="229" w:name="_Toc502752601"/>
      <w:bookmarkStart w:id="230" w:name="_Toc510538216"/>
      <w:bookmarkStart w:id="231" w:name="_Toc502752609"/>
      <w:bookmarkStart w:id="232" w:name="_Toc502686794"/>
      <w:bookmarkStart w:id="233" w:name="_Toc502752580"/>
      <w:bookmarkStart w:id="234" w:name="_Toc502734225"/>
      <w:bookmarkStart w:id="235" w:name="_Toc510538250"/>
      <w:bookmarkStart w:id="236" w:name="_Toc502734210"/>
      <w:bookmarkStart w:id="237" w:name="_Toc502685059"/>
      <w:bookmarkStart w:id="238" w:name="_Toc502752602"/>
      <w:bookmarkStart w:id="239" w:name="_Toc502685074"/>
      <w:bookmarkStart w:id="240" w:name="_Toc502685078"/>
      <w:bookmarkStart w:id="241" w:name="_Toc502685077"/>
      <w:bookmarkStart w:id="242" w:name="_Toc502686791"/>
      <w:bookmarkStart w:id="243" w:name="_Toc502686765"/>
      <w:bookmarkStart w:id="244" w:name="_Toc502752605"/>
      <w:bookmarkStart w:id="245" w:name="_Toc502685041"/>
      <w:bookmarkStart w:id="246" w:name="_Toc502734246"/>
      <w:bookmarkStart w:id="247" w:name="_Toc502752592"/>
      <w:bookmarkStart w:id="248" w:name="_Toc502686813"/>
      <w:bookmarkStart w:id="249" w:name="_Toc510538222"/>
      <w:bookmarkStart w:id="250" w:name="_Toc502686793"/>
      <w:bookmarkStart w:id="251" w:name="_Toc502752597"/>
      <w:bookmarkStart w:id="252" w:name="_Toc502686786"/>
      <w:bookmarkStart w:id="253" w:name="_Toc510538247"/>
      <w:bookmarkStart w:id="254" w:name="_Toc502685057"/>
      <w:bookmarkStart w:id="255" w:name="_Toc510538254"/>
      <w:bookmarkStart w:id="256" w:name="_Toc510538218"/>
      <w:bookmarkStart w:id="257" w:name="_Toc502686777"/>
      <w:bookmarkStart w:id="258" w:name="_Toc510538230"/>
      <w:bookmarkStart w:id="259" w:name="_Toc502752613"/>
      <w:bookmarkStart w:id="260" w:name="_Toc502686779"/>
      <w:bookmarkStart w:id="261" w:name="_Toc502685051"/>
      <w:bookmarkStart w:id="262" w:name="_Toc502752576"/>
      <w:bookmarkStart w:id="263" w:name="_Toc502752585"/>
      <w:bookmarkStart w:id="264" w:name="_Toc502685052"/>
      <w:bookmarkStart w:id="265" w:name="_Toc502752572"/>
      <w:bookmarkStart w:id="266" w:name="_Toc502686800"/>
      <w:bookmarkStart w:id="267" w:name="_Toc502686780"/>
      <w:bookmarkStart w:id="268" w:name="_Toc502685066"/>
      <w:bookmarkStart w:id="269" w:name="_Toc502734220"/>
      <w:bookmarkStart w:id="270" w:name="_Toc502752573"/>
      <w:bookmarkStart w:id="271" w:name="_Toc510538208"/>
      <w:bookmarkStart w:id="272" w:name="_Toc502752596"/>
      <w:bookmarkStart w:id="273" w:name="_Toc502752582"/>
      <w:bookmarkStart w:id="274" w:name="_Toc502734218"/>
      <w:bookmarkStart w:id="275" w:name="_Toc502685040"/>
      <w:bookmarkStart w:id="276" w:name="_Toc502734216"/>
      <w:bookmarkStart w:id="277" w:name="_Toc510538243"/>
      <w:bookmarkStart w:id="278" w:name="_Toc502686767"/>
      <w:bookmarkStart w:id="279" w:name="_Toc502734228"/>
      <w:bookmarkStart w:id="280" w:name="_Toc502686785"/>
      <w:bookmarkStart w:id="281" w:name="_Toc502734215"/>
      <w:bookmarkStart w:id="282" w:name="_Toc502734219"/>
      <w:bookmarkStart w:id="283" w:name="_Toc502752574"/>
      <w:bookmarkStart w:id="284" w:name="_Toc510538200"/>
      <w:bookmarkStart w:id="285" w:name="_Toc502734221"/>
      <w:bookmarkStart w:id="286" w:name="_Toc510538238"/>
      <w:bookmarkStart w:id="287" w:name="_Toc502734213"/>
      <w:bookmarkStart w:id="288" w:name="_Toc510538257"/>
      <w:bookmarkStart w:id="289" w:name="_Toc510538201"/>
      <w:bookmarkStart w:id="290" w:name="_Toc502685098"/>
      <w:bookmarkStart w:id="291" w:name="_Toc510538204"/>
      <w:bookmarkStart w:id="292" w:name="_Toc502685048"/>
      <w:bookmarkStart w:id="293" w:name="_Toc502685050"/>
      <w:bookmarkStart w:id="294" w:name="_Toc502686809"/>
      <w:bookmarkStart w:id="295" w:name="_Toc502685053"/>
      <w:bookmarkStart w:id="296" w:name="_Toc502734224"/>
      <w:bookmarkStart w:id="297" w:name="_Toc502686825"/>
      <w:bookmarkStart w:id="298" w:name="_Toc510538236"/>
      <w:bookmarkStart w:id="299" w:name="_Toc510538253"/>
      <w:bookmarkStart w:id="300" w:name="_Toc502734238"/>
      <w:bookmarkStart w:id="301" w:name="_Toc502752598"/>
      <w:bookmarkStart w:id="302" w:name="_Toc502752571"/>
      <w:bookmarkStart w:id="303" w:name="_Toc502752599"/>
      <w:bookmarkStart w:id="304" w:name="_Toc502686803"/>
      <w:bookmarkStart w:id="305" w:name="_Toc502686797"/>
      <w:bookmarkStart w:id="306" w:name="_Toc502734223"/>
      <w:bookmarkStart w:id="307" w:name="_Toc502686770"/>
      <w:bookmarkStart w:id="308" w:name="_Toc502734271"/>
      <w:bookmarkStart w:id="309" w:name="_Toc502685055"/>
      <w:bookmarkStart w:id="310" w:name="_Toc502752578"/>
      <w:bookmarkStart w:id="311" w:name="_Toc502685046"/>
      <w:bookmarkStart w:id="312" w:name="_Toc510538199"/>
      <w:bookmarkStart w:id="313" w:name="_Toc510538229"/>
      <w:bookmarkStart w:id="314" w:name="_Toc502734234"/>
      <w:bookmarkStart w:id="315" w:name="_Toc510538239"/>
      <w:bookmarkStart w:id="316" w:name="_Toc510538245"/>
      <w:bookmarkStart w:id="317" w:name="_Toc502752623"/>
      <w:bookmarkStart w:id="318" w:name="_Toc502734214"/>
      <w:bookmarkStart w:id="319" w:name="_Toc502686778"/>
      <w:bookmarkStart w:id="320" w:name="_Toc502734212"/>
      <w:bookmarkStart w:id="321" w:name="_Toc502686768"/>
      <w:bookmarkStart w:id="322" w:name="_Toc502734217"/>
      <w:bookmarkStart w:id="323" w:name="_Toc502734265"/>
      <w:bookmarkStart w:id="324" w:name="_Toc502752579"/>
      <w:bookmarkStart w:id="325" w:name="_Toc510538226"/>
      <w:bookmarkStart w:id="326" w:name="_Toc502686775"/>
      <w:bookmarkStart w:id="327" w:name="_Toc510538231"/>
      <w:bookmarkStart w:id="328" w:name="_Toc502685064"/>
      <w:bookmarkStart w:id="329" w:name="_Toc502686772"/>
      <w:bookmarkStart w:id="330" w:name="_Toc502685094"/>
      <w:bookmarkStart w:id="331" w:name="_Toc502752595"/>
      <w:bookmarkStart w:id="332" w:name="_Toc103358937"/>
      <w:bookmarkStart w:id="333" w:name="_Toc502752634"/>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r>
        <w:rPr>
          <w:rFonts w:asciiTheme="minorEastAsia" w:eastAsiaTheme="minorEastAsia" w:hAnsiTheme="minorEastAsia" w:hint="eastAsia"/>
          <w:sz w:val="21"/>
          <w:szCs w:val="21"/>
          <w:lang w:val="en-US" w:eastAsia="zh-CN"/>
        </w:rPr>
        <w:t>与各有关政府部门及公用事业机构之协调及合作</w:t>
      </w:r>
      <w:bookmarkEnd w:id="332"/>
      <w:bookmarkEnd w:id="333"/>
    </w:p>
    <w:p w:rsidR="00A469CB">
      <w:pPr>
        <w:pStyle w:val="ReportLevel2"/>
        <w:spacing w:before="240" w:beforeLines="100" w:after="240" w:afterLines="100"/>
        <w:rPr>
          <w:rFonts w:asciiTheme="minorEastAsia" w:eastAsiaTheme="minorEastAsia" w:hAnsiTheme="minorEastAsia"/>
          <w:b/>
          <w:bCs/>
          <w:sz w:val="21"/>
          <w:szCs w:val="21"/>
          <w:lang w:eastAsia="zh-CN"/>
        </w:rPr>
      </w:pPr>
      <w:r>
        <w:rPr>
          <w:rFonts w:asciiTheme="minorEastAsia" w:eastAsiaTheme="minorEastAsia" w:hAnsiTheme="minorEastAsia"/>
          <w:b/>
          <w:bCs/>
          <w:sz w:val="21"/>
          <w:szCs w:val="21"/>
          <w:lang w:eastAsia="zh-CN"/>
        </w:rPr>
        <w:t>概述</w:t>
      </w:r>
    </w:p>
    <w:p w:rsidR="00A469CB">
      <w:pPr>
        <w:spacing w:before="120" w:beforeLines="50" w:after="120" w:afterLines="50"/>
        <w:ind w:left="1100" w:leftChars="500"/>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承包单位须负责与各有关政府部门</w:t>
      </w:r>
      <w:r>
        <w:rPr>
          <w:rFonts w:asciiTheme="minorEastAsia" w:eastAsiaTheme="minorEastAsia" w:hAnsiTheme="minorEastAsia" w:cs="Arial" w:hint="eastAsia"/>
          <w:sz w:val="21"/>
          <w:szCs w:val="21"/>
          <w:lang w:eastAsia="zh-CN"/>
        </w:rPr>
        <w:t>、</w:t>
      </w:r>
      <w:r>
        <w:rPr>
          <w:rFonts w:asciiTheme="minorEastAsia" w:eastAsiaTheme="minorEastAsia" w:hAnsiTheme="minorEastAsia" w:cs="Arial"/>
          <w:sz w:val="21"/>
          <w:szCs w:val="21"/>
          <w:lang w:eastAsia="zh-CN"/>
        </w:rPr>
        <w:t>当地设计院及公共事业机构协调及合作。</w:t>
      </w:r>
    </w:p>
    <w:p w:rsidR="00A469CB">
      <w:pPr>
        <w:pStyle w:val="ReportLevel2"/>
        <w:spacing w:before="240" w:beforeLines="100" w:after="240" w:afterLines="100"/>
        <w:rPr>
          <w:rFonts w:asciiTheme="minorEastAsia" w:eastAsiaTheme="minorEastAsia" w:hAnsiTheme="minorEastAsia"/>
          <w:b/>
          <w:bCs/>
          <w:sz w:val="21"/>
          <w:szCs w:val="21"/>
          <w:lang w:eastAsia="zh-CN"/>
        </w:rPr>
      </w:pPr>
      <w:r>
        <w:rPr>
          <w:rFonts w:asciiTheme="minorEastAsia" w:eastAsiaTheme="minorEastAsia" w:hAnsiTheme="minorEastAsia"/>
          <w:b/>
          <w:bCs/>
          <w:sz w:val="21"/>
          <w:szCs w:val="21"/>
          <w:lang w:eastAsia="zh-CN"/>
        </w:rPr>
        <w:t>提供相应资料</w:t>
      </w:r>
    </w:p>
    <w:p w:rsidR="00A469CB">
      <w:pPr>
        <w:spacing w:before="120" w:beforeLines="50" w:after="120" w:afterLines="50"/>
        <w:ind w:left="1100" w:leftChars="500"/>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承包单位须提供所需的有关资料包括图纸、样品、产品说明等给各有关政府部门及公用机构作审批之用。承包单位须注意，若所有须送审的有关资料未能达到有关政府部门的要求而需作重新送审，因此而导致工期延误及所引起的一切费用损失等全由承包单位负责。</w:t>
      </w:r>
    </w:p>
    <w:p w:rsidR="00A469CB">
      <w:pPr>
        <w:spacing w:before="120" w:beforeLines="50" w:after="120" w:afterLines="50"/>
        <w:ind w:left="1100" w:leftChars="500"/>
        <w:rPr>
          <w:rFonts w:asciiTheme="minorEastAsia" w:eastAsiaTheme="minorEastAsia" w:hAnsiTheme="minorEastAsia" w:cs="Arial"/>
          <w:sz w:val="21"/>
          <w:szCs w:val="21"/>
          <w:lang w:val="en-US" w:eastAsia="zh-CN"/>
        </w:rPr>
      </w:pPr>
      <w:r>
        <w:rPr>
          <w:rFonts w:asciiTheme="minorEastAsia" w:eastAsiaTheme="minorEastAsia" w:hAnsiTheme="minorEastAsia" w:cs="Arial"/>
          <w:sz w:val="21"/>
          <w:szCs w:val="21"/>
          <w:lang w:eastAsia="zh-CN"/>
        </w:rPr>
        <w:t>工作过程中若任何与建筑相关并须向有关政府部门申请豁免时，承包单位须负责提交所有需要的资料及费用。</w:t>
      </w:r>
    </w:p>
    <w:p w:rsidR="00A469CB">
      <w:pPr>
        <w:spacing w:before="120" w:beforeLines="50" w:after="120" w:afterLines="50"/>
        <w:ind w:left="1100" w:leftChars="500"/>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承包单位必须提供足够及需要的文件、图纸等。去获取有关</w:t>
      </w:r>
      <w:r>
        <w:rPr>
          <w:rFonts w:asciiTheme="minorEastAsia" w:eastAsiaTheme="minorEastAsia" w:hAnsiTheme="minorEastAsia" w:cs="Arial" w:hint="eastAsia"/>
          <w:sz w:val="21"/>
          <w:szCs w:val="21"/>
          <w:lang w:eastAsia="zh-CN"/>
        </w:rPr>
        <w:t>深圳</w:t>
      </w:r>
      <w:r>
        <w:rPr>
          <w:rFonts w:asciiTheme="minorEastAsia" w:eastAsiaTheme="minorEastAsia" w:hAnsiTheme="minorEastAsia" w:cs="Arial"/>
          <w:sz w:val="21"/>
          <w:szCs w:val="21"/>
          <w:lang w:eastAsia="zh-CN"/>
        </w:rPr>
        <w:t>市政府机关所需的合格证书及合格文件如报装、报建、报完工及竣工资料等。</w:t>
      </w:r>
    </w:p>
    <w:p w:rsidR="00A469CB">
      <w:pPr>
        <w:pStyle w:val="ReportLevel2"/>
        <w:spacing w:before="240" w:beforeLines="100" w:after="240" w:afterLines="100"/>
        <w:rPr>
          <w:rFonts w:asciiTheme="minorEastAsia" w:eastAsiaTheme="minorEastAsia" w:hAnsiTheme="minorEastAsia"/>
          <w:b/>
          <w:bCs/>
          <w:sz w:val="21"/>
          <w:szCs w:val="21"/>
          <w:lang w:eastAsia="zh-CN"/>
        </w:rPr>
      </w:pPr>
      <w:r>
        <w:rPr>
          <w:rFonts w:asciiTheme="minorEastAsia" w:eastAsiaTheme="minorEastAsia" w:hAnsiTheme="minorEastAsia"/>
          <w:b/>
          <w:bCs/>
          <w:sz w:val="21"/>
          <w:szCs w:val="21"/>
          <w:lang w:eastAsia="zh-CN"/>
        </w:rPr>
        <w:t>相关责任赔偿</w:t>
      </w:r>
    </w:p>
    <w:p w:rsidR="00A469CB">
      <w:pPr>
        <w:spacing w:before="120" w:beforeLines="50" w:after="120" w:afterLines="50"/>
        <w:ind w:left="1100" w:leftChars="500"/>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如因与有关政府部门及公用事业机构缺乏协调和合作而导致已安装的设备或系统需作更改或拆除，承包单位除须负起所有有关的费用和因此而导致工期延误的责任外仍须对业主做出相应的赔偿。</w:t>
      </w:r>
    </w:p>
    <w:p w:rsidR="00A469CB">
      <w:pPr>
        <w:pStyle w:val="ReportLevel2"/>
        <w:spacing w:before="240" w:beforeLines="100" w:after="240" w:afterLines="100"/>
        <w:rPr>
          <w:rFonts w:asciiTheme="minorEastAsia" w:eastAsiaTheme="minorEastAsia" w:hAnsiTheme="minorEastAsia"/>
          <w:b/>
          <w:bCs/>
          <w:sz w:val="21"/>
          <w:szCs w:val="21"/>
          <w:lang w:eastAsia="zh-CN"/>
        </w:rPr>
      </w:pPr>
      <w:r>
        <w:rPr>
          <w:rFonts w:asciiTheme="minorEastAsia" w:eastAsiaTheme="minorEastAsia" w:hAnsiTheme="minorEastAsia"/>
          <w:b/>
          <w:bCs/>
          <w:sz w:val="21"/>
          <w:szCs w:val="21"/>
          <w:lang w:eastAsia="zh-CN"/>
        </w:rPr>
        <w:t>市政部门承包工作内容</w:t>
      </w:r>
    </w:p>
    <w:p w:rsidR="00A469CB">
      <w:pPr>
        <w:pStyle w:val="ReportLevel4"/>
        <w:numPr>
          <w:ilvl w:val="0"/>
          <w:numId w:val="73"/>
        </w:numPr>
        <w:tabs>
          <w:tab w:val="left" w:pos="1418"/>
          <w:tab w:val="clear" w:pos="1620"/>
        </w:tabs>
        <w:spacing w:before="120" w:beforeLines="50" w:after="120" w:afterLines="50"/>
        <w:ind w:left="1434" w:hanging="357"/>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向各有关部门申请并获取一切所需许可及审批，包括施工图和设备送审、施工许可证等。提供足够及需要的文件、图纸等。去获取有关当地市</w:t>
      </w:r>
      <w:r>
        <w:rPr>
          <w:rFonts w:asciiTheme="minorEastAsia" w:eastAsiaTheme="minorEastAsia" w:hAnsiTheme="minorEastAsia" w:cs="Arial"/>
          <w:sz w:val="21"/>
          <w:szCs w:val="21"/>
          <w:lang w:eastAsia="zh-CN"/>
        </w:rPr>
        <w:t>/</w:t>
      </w:r>
      <w:r>
        <w:rPr>
          <w:rFonts w:asciiTheme="minorEastAsia" w:eastAsiaTheme="minorEastAsia" w:hAnsiTheme="minorEastAsia" w:cs="Arial"/>
          <w:sz w:val="21"/>
          <w:szCs w:val="21"/>
          <w:lang w:eastAsia="zh-CN"/>
        </w:rPr>
        <w:t>国家政府机关所需的合格证书及合格文件如报装、报建、报完工验收及竣工资料等。</w:t>
      </w:r>
    </w:p>
    <w:p w:rsidR="00A469CB">
      <w:pPr>
        <w:rPr>
          <w:rFonts w:asciiTheme="minorEastAsia" w:eastAsiaTheme="minorEastAsia" w:hAnsiTheme="minorEastAsia" w:cs="Arial"/>
          <w:sz w:val="21"/>
          <w:szCs w:val="21"/>
          <w:lang w:eastAsia="zh-CN"/>
        </w:rPr>
        <w:sectPr>
          <w:headerReference w:type="default" r:id="rId19"/>
          <w:footerReference w:type="default" r:id="rId20"/>
          <w:type w:val="nextPage"/>
          <w:pgSz w:w="11906" w:h="16838"/>
          <w:pgMar w:top="1814" w:right="1418" w:bottom="1418" w:left="1814" w:header="851" w:footer="992" w:gutter="0"/>
          <w:pgNumType w:start="6"/>
          <w:cols w:space="425"/>
          <w:titlePg w:val="0"/>
          <w:docGrid w:linePitch="312"/>
        </w:sectPr>
      </w:pPr>
      <w:bookmarkStart w:id="334" w:name="_Toc502752568"/>
      <w:bookmarkStart w:id="335" w:name="_Toc502752635"/>
      <w:bookmarkEnd w:id="334"/>
    </w:p>
    <w:p w:rsidR="00A469CB">
      <w:pPr>
        <w:pStyle w:val="ReportLevel1"/>
        <w:spacing w:before="240" w:beforeLines="100" w:after="240" w:afterLines="100"/>
        <w:rPr>
          <w:rFonts w:asciiTheme="minorEastAsia" w:eastAsiaTheme="minorEastAsia" w:hAnsiTheme="minorEastAsia"/>
          <w:sz w:val="21"/>
          <w:szCs w:val="21"/>
          <w:lang w:val="en-US" w:eastAsia="zh-CN"/>
        </w:rPr>
      </w:pPr>
      <w:bookmarkStart w:id="336" w:name="_Toc103358938"/>
      <w:r>
        <w:rPr>
          <w:rFonts w:asciiTheme="minorEastAsia" w:eastAsiaTheme="minorEastAsia" w:hAnsiTheme="minorEastAsia" w:hint="eastAsia"/>
          <w:sz w:val="21"/>
          <w:szCs w:val="21"/>
          <w:lang w:val="en-US" w:eastAsia="zh-CN"/>
        </w:rPr>
        <w:t>总承包单位与其它承包单位的协调及交接工作</w:t>
      </w:r>
      <w:bookmarkEnd w:id="335"/>
      <w:bookmarkEnd w:id="336"/>
    </w:p>
    <w:p w:rsidR="00A469CB">
      <w:pPr>
        <w:pStyle w:val="ReportLevel2"/>
        <w:spacing w:before="240" w:beforeLines="100" w:after="240" w:afterLines="100"/>
        <w:rPr>
          <w:rFonts w:asciiTheme="minorEastAsia" w:eastAsiaTheme="minorEastAsia" w:hAnsiTheme="minorEastAsia"/>
          <w:b/>
          <w:bCs/>
          <w:sz w:val="21"/>
          <w:szCs w:val="21"/>
          <w:lang w:eastAsia="zh-CN"/>
        </w:rPr>
      </w:pPr>
      <w:r>
        <w:rPr>
          <w:rFonts w:asciiTheme="minorEastAsia" w:eastAsiaTheme="minorEastAsia" w:hAnsiTheme="minorEastAsia" w:hint="eastAsia"/>
          <w:b/>
          <w:bCs/>
          <w:sz w:val="21"/>
          <w:szCs w:val="21"/>
          <w:lang w:eastAsia="zh-CN"/>
        </w:rPr>
        <w:t>概述</w:t>
      </w:r>
    </w:p>
    <w:p w:rsidR="00A469CB">
      <w:pPr>
        <w:pStyle w:val="ReportLevel4"/>
        <w:keepNext w:val="0"/>
        <w:numPr>
          <w:ilvl w:val="0"/>
          <w:numId w:val="74"/>
        </w:numPr>
        <w:tabs>
          <w:tab w:val="left" w:pos="1530"/>
          <w:tab w:val="clear" w:pos="1620"/>
        </w:tabs>
        <w:spacing w:before="120" w:beforeLines="50" w:after="120" w:afterLines="50"/>
        <w:ind w:left="1525" w:hanging="448"/>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承包单位须与本项目其它的承包单位协调和合作。承包单位须提供所有相</w:t>
      </w:r>
      <w:r>
        <w:rPr>
          <w:rFonts w:asciiTheme="minorEastAsia" w:eastAsiaTheme="minorEastAsia" w:hAnsiTheme="minorEastAsia" w:cs="Arial"/>
          <w:sz w:val="21"/>
          <w:szCs w:val="21"/>
          <w:lang w:eastAsia="zh-CN"/>
        </w:rPr>
        <w:t>关资料、设备和人员以确保能与其它承包单位完成施工分界点上的配合施工。在施工阶段中，承包单位须与其它有关的承包单位讨论、协调和落实各施工分界点。</w:t>
      </w:r>
    </w:p>
    <w:p w:rsidR="00A469CB">
      <w:pPr>
        <w:pStyle w:val="ReportLevel4"/>
        <w:keepNext w:val="0"/>
        <w:numPr>
          <w:ilvl w:val="0"/>
          <w:numId w:val="74"/>
        </w:numPr>
        <w:tabs>
          <w:tab w:val="left" w:pos="1530"/>
          <w:tab w:val="clear" w:pos="1620"/>
        </w:tabs>
        <w:spacing w:before="120" w:beforeLines="50" w:after="120" w:afterLines="50"/>
        <w:ind w:left="1525" w:hanging="448"/>
        <w:rPr>
          <w:rFonts w:asciiTheme="minorEastAsia" w:eastAsiaTheme="minorEastAsia" w:hAnsiTheme="minorEastAsia" w:cs="Arial"/>
          <w:sz w:val="21"/>
          <w:szCs w:val="21"/>
          <w:lang w:eastAsia="zh-CN"/>
        </w:rPr>
      </w:pPr>
      <w:r>
        <w:rPr>
          <w:rFonts w:asciiTheme="minorEastAsia" w:eastAsiaTheme="minorEastAsia" w:hAnsiTheme="minorEastAsia" w:cs="Arial" w:hint="eastAsia"/>
          <w:sz w:val="21"/>
          <w:szCs w:val="21"/>
          <w:lang w:eastAsia="zh-CN"/>
        </w:rPr>
        <w:t>承包单位</w:t>
      </w:r>
      <w:r>
        <w:rPr>
          <w:rFonts w:asciiTheme="minorEastAsia" w:eastAsiaTheme="minorEastAsia" w:hAnsiTheme="minorEastAsia" w:cs="Arial" w:hint="eastAsia"/>
          <w:sz w:val="21"/>
          <w:szCs w:val="21"/>
          <w:lang w:eastAsia="zh-CN"/>
        </w:rPr>
        <w:t>须协调</w:t>
      </w:r>
      <w:r>
        <w:rPr>
          <w:rFonts w:asciiTheme="minorEastAsia" w:eastAsiaTheme="minorEastAsia" w:hAnsiTheme="minorEastAsia" w:cs="Arial" w:hint="eastAsia"/>
          <w:sz w:val="21"/>
          <w:szCs w:val="21"/>
          <w:lang w:eastAsia="zh-CN"/>
        </w:rPr>
        <w:t>及提供一切所需图纸和资料。若因承包单位未予协调和合作而影响综合设备施工图及有关的土建配合图的制作，因而影响各专业的施工进度，承包单位须承担所有责任。</w:t>
      </w:r>
    </w:p>
    <w:p w:rsidR="00A469CB">
      <w:pPr>
        <w:pStyle w:val="ReportLevel4"/>
        <w:keepNext w:val="0"/>
        <w:numPr>
          <w:ilvl w:val="0"/>
          <w:numId w:val="74"/>
        </w:numPr>
        <w:tabs>
          <w:tab w:val="left" w:pos="1530"/>
          <w:tab w:val="clear" w:pos="1620"/>
        </w:tabs>
        <w:spacing w:before="120" w:beforeLines="50" w:after="120" w:afterLines="50"/>
        <w:ind w:left="1525" w:hanging="448"/>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承包单位必须遵从</w:t>
      </w:r>
      <w:r>
        <w:rPr>
          <w:rFonts w:asciiTheme="minorEastAsia" w:eastAsiaTheme="minorEastAsia" w:hAnsiTheme="minorEastAsia" w:cs="Arial" w:hint="eastAsia"/>
          <w:sz w:val="21"/>
          <w:szCs w:val="21"/>
          <w:lang w:eastAsia="zh-CN"/>
        </w:rPr>
        <w:t>业主</w:t>
      </w:r>
      <w:r>
        <w:rPr>
          <w:rFonts w:asciiTheme="minorEastAsia" w:eastAsiaTheme="minorEastAsia" w:hAnsiTheme="minorEastAsia" w:cs="Arial"/>
          <w:sz w:val="21"/>
          <w:szCs w:val="21"/>
          <w:lang w:eastAsia="zh-CN"/>
        </w:rPr>
        <w:t>批准的综合管线施工图及综合土建配合图的施工程序来进行安装工作。若因承包单位不依照</w:t>
      </w:r>
      <w:r>
        <w:rPr>
          <w:rFonts w:asciiTheme="minorEastAsia" w:eastAsiaTheme="minorEastAsia" w:hAnsiTheme="minorEastAsia" w:cs="Arial"/>
          <w:sz w:val="21"/>
          <w:szCs w:val="21"/>
          <w:lang w:eastAsia="zh-CN"/>
        </w:rPr>
        <w:t>此施工</w:t>
      </w:r>
      <w:r>
        <w:rPr>
          <w:rFonts w:asciiTheme="minorEastAsia" w:eastAsiaTheme="minorEastAsia" w:hAnsiTheme="minorEastAsia" w:cs="Arial"/>
          <w:sz w:val="21"/>
          <w:szCs w:val="21"/>
          <w:lang w:eastAsia="zh-CN"/>
        </w:rPr>
        <w:t>程序展开工作而引致任何一方或多方承包单位需要修改或返工，承包单位须负起所有责任。</w:t>
      </w:r>
    </w:p>
    <w:p w:rsidR="00A469CB">
      <w:pPr>
        <w:pStyle w:val="ReportLevel4"/>
        <w:keepNext w:val="0"/>
        <w:numPr>
          <w:ilvl w:val="0"/>
          <w:numId w:val="74"/>
        </w:numPr>
        <w:tabs>
          <w:tab w:val="left" w:pos="1530"/>
          <w:tab w:val="clear" w:pos="1620"/>
        </w:tabs>
        <w:spacing w:before="120" w:beforeLines="50" w:after="120" w:afterLines="50"/>
        <w:ind w:left="1525" w:hanging="448"/>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承包单位须在</w:t>
      </w:r>
      <w:r>
        <w:rPr>
          <w:rFonts w:asciiTheme="minorEastAsia" w:eastAsiaTheme="minorEastAsia" w:hAnsiTheme="minorEastAsia" w:cs="Arial" w:hint="eastAsia"/>
          <w:sz w:val="21"/>
          <w:szCs w:val="21"/>
          <w:lang w:eastAsia="zh-CN"/>
        </w:rPr>
        <w:t>业主</w:t>
      </w:r>
      <w:r>
        <w:rPr>
          <w:rFonts w:asciiTheme="minorEastAsia" w:eastAsiaTheme="minorEastAsia" w:hAnsiTheme="minorEastAsia" w:cs="Arial"/>
          <w:sz w:val="21"/>
          <w:szCs w:val="21"/>
          <w:lang w:eastAsia="zh-CN"/>
        </w:rPr>
        <w:t>批准的各专业施工图的基础上协调及绘制综合管线（包括机电、消防、弱电、燃气等）施工图。所采用的电脑软件必须互相协调配合。</w:t>
      </w:r>
    </w:p>
    <w:p w:rsidR="00A469CB">
      <w:pPr>
        <w:pStyle w:val="ReportLevel4"/>
        <w:keepNext w:val="0"/>
        <w:numPr>
          <w:ilvl w:val="0"/>
          <w:numId w:val="74"/>
        </w:numPr>
        <w:tabs>
          <w:tab w:val="left" w:pos="1530"/>
          <w:tab w:val="clear" w:pos="1620"/>
        </w:tabs>
        <w:spacing w:before="120" w:beforeLines="50" w:after="120" w:afterLines="50"/>
        <w:ind w:left="1525" w:hanging="448"/>
        <w:rPr>
          <w:rFonts w:asciiTheme="minorEastAsia" w:eastAsiaTheme="minorEastAsia" w:hAnsiTheme="minorEastAsia" w:cs="Arial"/>
          <w:sz w:val="21"/>
          <w:szCs w:val="21"/>
          <w:lang w:eastAsia="zh-CN"/>
        </w:rPr>
      </w:pPr>
      <w:r>
        <w:rPr>
          <w:rFonts w:asciiTheme="minorEastAsia" w:eastAsiaTheme="minorEastAsia" w:hAnsiTheme="minorEastAsia" w:cs="Arial"/>
          <w:sz w:val="21"/>
          <w:szCs w:val="21"/>
          <w:lang w:eastAsia="zh-CN"/>
        </w:rPr>
        <w:t>承包单位在有关工程施工前须负责复核其它承包单位为配合本合约工程所提供的各项设施是否适用。</w:t>
      </w:r>
    </w:p>
    <w:p w:rsidR="00A469CB">
      <w:pPr>
        <w:pStyle w:val="ReportLevel2"/>
        <w:spacing w:before="240" w:beforeLines="100" w:after="240" w:afterLines="100"/>
        <w:rPr>
          <w:rFonts w:asciiTheme="minorEastAsia" w:eastAsiaTheme="minorEastAsia" w:hAnsiTheme="minorEastAsia"/>
          <w:b/>
          <w:bCs/>
          <w:sz w:val="21"/>
          <w:szCs w:val="21"/>
          <w:lang w:eastAsia="zh-CN"/>
        </w:rPr>
      </w:pPr>
      <w:r>
        <w:rPr>
          <w:rFonts w:asciiTheme="minorEastAsia" w:eastAsiaTheme="minorEastAsia" w:hAnsiTheme="minorEastAsia" w:hint="eastAsia"/>
          <w:b/>
          <w:bCs/>
          <w:sz w:val="21"/>
          <w:szCs w:val="21"/>
          <w:lang w:eastAsia="zh-CN"/>
        </w:rPr>
        <w:t>与总承包单位的协调工作</w:t>
      </w:r>
    </w:p>
    <w:p w:rsidR="00A469CB">
      <w:pPr>
        <w:pStyle w:val="ReportLevel3"/>
        <w:keepNext w:val="0"/>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承包单位须及时提供供电局审核后土建图纸至总承包单位，使总承包单位在机房土建二次结构施工时能满足供电安装及验收要求，如因承包单位不能及时提供土建要求图纸而引致该项工作未能如期完成，</w:t>
      </w:r>
      <w:r>
        <w:rPr>
          <w:rFonts w:asciiTheme="minorEastAsia" w:eastAsiaTheme="minorEastAsia" w:hAnsiTheme="minorEastAsia" w:hint="eastAsia"/>
          <w:sz w:val="21"/>
          <w:szCs w:val="21"/>
          <w:lang w:eastAsia="zh-CN"/>
        </w:rPr>
        <w:t>则承包</w:t>
      </w:r>
      <w:r>
        <w:rPr>
          <w:rFonts w:asciiTheme="minorEastAsia" w:eastAsiaTheme="minorEastAsia" w:hAnsiTheme="minorEastAsia" w:hint="eastAsia"/>
          <w:sz w:val="21"/>
          <w:szCs w:val="21"/>
          <w:lang w:eastAsia="zh-CN"/>
        </w:rPr>
        <w:t>单位需承担一切责任。</w:t>
      </w:r>
    </w:p>
    <w:p w:rsidR="00A469CB">
      <w:pPr>
        <w:pStyle w:val="ReportLevel3"/>
        <w:keepNext w:val="0"/>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承包单位负责对现场按供电局审核后图纸中所有相关洞口及沟槽的尺寸和位置复核</w:t>
      </w:r>
      <w:r>
        <w:rPr>
          <w:rFonts w:asciiTheme="minorEastAsia" w:eastAsiaTheme="minorEastAsia" w:hAnsiTheme="minorEastAsia" w:hint="eastAsia"/>
          <w:sz w:val="21"/>
          <w:szCs w:val="21"/>
          <w:lang w:eastAsia="zh-CN"/>
        </w:rPr>
        <w:t>工作，并须在工地上监督协调，确保工程能依照</w:t>
      </w:r>
      <w:r>
        <w:rPr>
          <w:rFonts w:asciiTheme="minorEastAsia" w:eastAsiaTheme="minorEastAsia" w:hAnsiTheme="minorEastAsia" w:hint="eastAsia"/>
          <w:sz w:val="21"/>
          <w:szCs w:val="21"/>
          <w:lang w:eastAsia="zh-CN"/>
        </w:rPr>
        <w:t>本承包</w:t>
      </w:r>
      <w:r>
        <w:rPr>
          <w:rFonts w:asciiTheme="minorEastAsia" w:eastAsiaTheme="minorEastAsia" w:hAnsiTheme="minorEastAsia" w:hint="eastAsia"/>
          <w:sz w:val="21"/>
          <w:szCs w:val="21"/>
          <w:lang w:eastAsia="zh-CN"/>
        </w:rPr>
        <w:t>单位的要求进行。挖掘和填补必须尽量减少，因错误或者疏忽而引致其它承包单位的工作不能完成、改动、修补，无论错误或者疏忽是直接或间接由承包单位造成，承包单位都必须承担一切费用及工作延误的责任。</w:t>
      </w:r>
    </w:p>
    <w:p w:rsidR="00A469CB">
      <w:pPr>
        <w:pStyle w:val="ReportLevel3"/>
        <w:keepNext w:val="0"/>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在墙壁、梁、地板或其它结构的所有沟槽和通道，必须与一般土建结构一起建造。结构建造完成后，任何在结构内的挖掘，必须在施工图表示并交付业主或业主指定的代表批准，及由承包单位承担所有相关责任及费用。</w:t>
      </w:r>
    </w:p>
    <w:p w:rsidR="00A469CB">
      <w:pPr>
        <w:pStyle w:val="ReportLevel3"/>
        <w:keepNext w:val="0"/>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总承包单位负责协调设备临时存放场地、材料加工场地、材料设备垂直运输、临时用电接驳</w:t>
      </w:r>
      <w:r>
        <w:rPr>
          <w:rFonts w:asciiTheme="minorEastAsia" w:eastAsiaTheme="minorEastAsia" w:hAnsiTheme="minorEastAsia" w:hint="eastAsia"/>
          <w:sz w:val="21"/>
          <w:szCs w:val="21"/>
          <w:lang w:eastAsia="zh-CN"/>
        </w:rPr>
        <w:t>点、临时用水接驳点等必要的协助工作。</w:t>
      </w:r>
    </w:p>
    <w:p w:rsidR="00A469CB">
      <w:pPr>
        <w:pStyle w:val="ReportLevel3"/>
        <w:keepNext w:val="0"/>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总承包单位负责始自</w:t>
      </w:r>
      <w:r>
        <w:rPr>
          <w:rFonts w:asciiTheme="minorEastAsia" w:eastAsiaTheme="minorEastAsia" w:hAnsiTheme="minorEastAsia"/>
          <w:sz w:val="21"/>
          <w:szCs w:val="21"/>
          <w:lang w:eastAsia="zh-CN"/>
        </w:rPr>
        <w:t>变电站</w:t>
      </w:r>
      <w:r>
        <w:rPr>
          <w:rFonts w:asciiTheme="minorEastAsia" w:eastAsiaTheme="minorEastAsia" w:hAnsiTheme="minorEastAsia"/>
          <w:sz w:val="21"/>
          <w:szCs w:val="21"/>
          <w:lang w:eastAsia="zh-CN"/>
        </w:rPr>
        <w:t>0.4kV</w:t>
      </w:r>
      <w:r>
        <w:rPr>
          <w:rFonts w:asciiTheme="minorEastAsia" w:eastAsiaTheme="minorEastAsia" w:hAnsiTheme="minorEastAsia" w:hint="eastAsia"/>
          <w:sz w:val="21"/>
          <w:szCs w:val="21"/>
          <w:lang w:eastAsia="zh-CN"/>
        </w:rPr>
        <w:t>各低压配电屏出线开关</w:t>
      </w:r>
      <w:r>
        <w:rPr>
          <w:rFonts w:asciiTheme="minorEastAsia" w:eastAsiaTheme="minorEastAsia" w:hAnsiTheme="minorEastAsia" w:hint="eastAsia"/>
          <w:sz w:val="21"/>
          <w:szCs w:val="21"/>
          <w:lang w:eastAsia="zh-CN"/>
        </w:rPr>
        <w:t>下端头</w:t>
      </w:r>
      <w:r>
        <w:rPr>
          <w:rFonts w:asciiTheme="minorEastAsia" w:eastAsiaTheme="minorEastAsia" w:hAnsiTheme="minorEastAsia" w:hint="eastAsia"/>
          <w:sz w:val="21"/>
          <w:szCs w:val="21"/>
          <w:lang w:eastAsia="zh-CN"/>
        </w:rPr>
        <w:t>之低压配电系统（含电缆、桥架等）。</w:t>
      </w:r>
    </w:p>
    <w:p w:rsidR="00A469CB">
      <w:pPr>
        <w:pStyle w:val="ReportLevel3"/>
        <w:keepNext w:val="0"/>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总承包单位负责</w:t>
      </w:r>
      <w:r>
        <w:rPr>
          <w:rFonts w:asciiTheme="minorEastAsia" w:eastAsiaTheme="minorEastAsia" w:hAnsiTheme="minorEastAsia"/>
          <w:sz w:val="21"/>
          <w:szCs w:val="21"/>
          <w:lang w:eastAsia="zh-CN"/>
        </w:rPr>
        <w:t>提供</w:t>
      </w:r>
      <w:r>
        <w:rPr>
          <w:rFonts w:asciiTheme="minorEastAsia" w:eastAsiaTheme="minorEastAsia" w:hAnsiTheme="minorEastAsia"/>
          <w:sz w:val="21"/>
          <w:szCs w:val="21"/>
          <w:lang w:eastAsia="zh-CN"/>
        </w:rPr>
        <w:t>10kV</w:t>
      </w:r>
      <w:r>
        <w:rPr>
          <w:rFonts w:asciiTheme="minorEastAsia" w:eastAsiaTheme="minorEastAsia" w:hAnsiTheme="minorEastAsia"/>
          <w:sz w:val="21"/>
          <w:szCs w:val="21"/>
          <w:lang w:eastAsia="zh-CN"/>
        </w:rPr>
        <w:t>高压配电室</w:t>
      </w:r>
      <w:r>
        <w:rPr>
          <w:rFonts w:asciiTheme="minorEastAsia" w:eastAsiaTheme="minorEastAsia" w:hAnsiTheme="minorEastAsia" w:hint="eastAsia"/>
          <w:sz w:val="21"/>
          <w:szCs w:val="21"/>
          <w:lang w:eastAsia="zh-CN"/>
        </w:rPr>
        <w:t>、</w:t>
      </w:r>
      <w:r>
        <w:rPr>
          <w:rFonts w:asciiTheme="minorEastAsia" w:eastAsiaTheme="minorEastAsia" w:hAnsiTheme="minorEastAsia"/>
          <w:sz w:val="21"/>
          <w:szCs w:val="21"/>
          <w:lang w:eastAsia="zh-CN"/>
        </w:rPr>
        <w:t>各</w:t>
      </w:r>
      <w:r>
        <w:rPr>
          <w:rFonts w:asciiTheme="minorEastAsia" w:eastAsiaTheme="minorEastAsia" w:hAnsiTheme="minorEastAsia"/>
          <w:sz w:val="21"/>
          <w:szCs w:val="21"/>
          <w:lang w:eastAsia="zh-CN"/>
        </w:rPr>
        <w:t>10/0.4kV</w:t>
      </w:r>
      <w:r>
        <w:rPr>
          <w:rFonts w:asciiTheme="minorEastAsia" w:eastAsiaTheme="minorEastAsia" w:hAnsiTheme="minorEastAsia"/>
          <w:sz w:val="21"/>
          <w:szCs w:val="21"/>
          <w:lang w:eastAsia="zh-CN"/>
        </w:rPr>
        <w:t>的变配电站内</w:t>
      </w:r>
      <w:r>
        <w:rPr>
          <w:rFonts w:asciiTheme="minorEastAsia" w:eastAsiaTheme="minorEastAsia" w:hAnsiTheme="minorEastAsia" w:hint="eastAsia"/>
          <w:sz w:val="21"/>
          <w:szCs w:val="21"/>
          <w:lang w:eastAsia="zh-CN"/>
        </w:rPr>
        <w:t>的配电箱、照明及插座、送排风系统、空调系统等机房内机电公用设备工程。</w:t>
      </w:r>
    </w:p>
    <w:p w:rsidR="00A469CB">
      <w:pPr>
        <w:pStyle w:val="ReportLevel3"/>
        <w:keepNext w:val="0"/>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总承包单位负责提供并安装所有</w:t>
      </w:r>
      <w:r>
        <w:rPr>
          <w:rFonts w:asciiTheme="minorEastAsia" w:eastAsiaTheme="minorEastAsia" w:hAnsiTheme="minorEastAsia"/>
          <w:sz w:val="21"/>
          <w:szCs w:val="21"/>
          <w:lang w:eastAsia="zh-CN"/>
        </w:rPr>
        <w:t>10kV</w:t>
      </w:r>
      <w:r>
        <w:rPr>
          <w:rFonts w:asciiTheme="minorEastAsia" w:eastAsiaTheme="minorEastAsia" w:hAnsiTheme="minorEastAsia"/>
          <w:sz w:val="21"/>
          <w:szCs w:val="21"/>
          <w:lang w:eastAsia="zh-CN"/>
        </w:rPr>
        <w:t>高压配电室</w:t>
      </w:r>
      <w:r>
        <w:rPr>
          <w:rFonts w:asciiTheme="minorEastAsia" w:eastAsiaTheme="minorEastAsia" w:hAnsiTheme="minorEastAsia" w:hint="eastAsia"/>
          <w:sz w:val="21"/>
          <w:szCs w:val="21"/>
          <w:lang w:eastAsia="zh-CN"/>
        </w:rPr>
        <w:t>和</w:t>
      </w:r>
      <w:r>
        <w:rPr>
          <w:rFonts w:asciiTheme="minorEastAsia" w:eastAsiaTheme="minorEastAsia" w:hAnsiTheme="minorEastAsia"/>
          <w:sz w:val="21"/>
          <w:szCs w:val="21"/>
          <w:lang w:eastAsia="zh-CN"/>
        </w:rPr>
        <w:t>各</w:t>
      </w:r>
      <w:r>
        <w:rPr>
          <w:rFonts w:asciiTheme="minorEastAsia" w:eastAsiaTheme="minorEastAsia" w:hAnsiTheme="minorEastAsia"/>
          <w:sz w:val="21"/>
          <w:szCs w:val="21"/>
          <w:lang w:eastAsia="zh-CN"/>
        </w:rPr>
        <w:t>10/0.4kV</w:t>
      </w:r>
      <w:r>
        <w:rPr>
          <w:rFonts w:asciiTheme="minorEastAsia" w:eastAsiaTheme="minorEastAsia" w:hAnsiTheme="minorEastAsia"/>
          <w:sz w:val="21"/>
          <w:szCs w:val="21"/>
          <w:lang w:eastAsia="zh-CN"/>
        </w:rPr>
        <w:t>的变配电站</w:t>
      </w:r>
      <w:r>
        <w:rPr>
          <w:rFonts w:asciiTheme="minorEastAsia" w:eastAsiaTheme="minorEastAsia" w:hAnsiTheme="minorEastAsia" w:hint="eastAsia"/>
          <w:sz w:val="21"/>
          <w:szCs w:val="21"/>
          <w:lang w:eastAsia="zh-CN"/>
        </w:rPr>
        <w:t>外的高压电缆桥架（包含供电局负责的外线部分高压电缆桥架）。</w:t>
      </w:r>
    </w:p>
    <w:p w:rsidR="00A469CB">
      <w:pPr>
        <w:pStyle w:val="ReportLevel3"/>
        <w:keepNext w:val="0"/>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总承包单位负责红线内电缆沟、电缆井、电缆管道预埋（需满足供电局外线高压进线部分的施工要求）；电缆沟内地漏埋设。</w:t>
      </w:r>
    </w:p>
    <w:p w:rsidR="00A469CB">
      <w:pPr>
        <w:pStyle w:val="ReportLevel3"/>
        <w:keepNext w:val="0"/>
        <w:spacing w:before="120" w:beforeLines="50" w:after="120" w:afterLines="50"/>
        <w:rPr>
          <w:rFonts w:asciiTheme="minorEastAsia" w:eastAsiaTheme="minorEastAsia" w:hAnsiTheme="minorEastAsia"/>
          <w:sz w:val="21"/>
          <w:szCs w:val="21"/>
          <w:lang w:eastAsia="zh-CN"/>
        </w:rPr>
        <w:sectPr>
          <w:headerReference w:type="default" r:id="rId21"/>
          <w:footerReference w:type="default" r:id="rId22"/>
          <w:type w:val="nextPage"/>
          <w:pgSz w:w="11906" w:h="16838"/>
          <w:pgMar w:top="1814" w:right="1418" w:bottom="1418" w:left="1814" w:header="851" w:footer="992" w:gutter="0"/>
          <w:pgNumType w:start="7"/>
          <w:cols w:space="425"/>
          <w:titlePg w:val="0"/>
          <w:docGrid w:linePitch="312"/>
        </w:sectPr>
      </w:pPr>
      <w:r>
        <w:rPr>
          <w:rFonts w:asciiTheme="minorEastAsia" w:eastAsiaTheme="minorEastAsia" w:hAnsiTheme="minorEastAsia" w:hint="eastAsia"/>
          <w:sz w:val="21"/>
          <w:szCs w:val="21"/>
          <w:lang w:eastAsia="zh-CN"/>
        </w:rPr>
        <w:t>总承包单位负责混凝土和</w:t>
      </w:r>
      <w:r>
        <w:rPr>
          <w:rFonts w:asciiTheme="minorEastAsia" w:eastAsiaTheme="minorEastAsia" w:hAnsiTheme="minorEastAsia"/>
          <w:sz w:val="21"/>
          <w:szCs w:val="21"/>
          <w:lang w:eastAsia="zh-CN"/>
        </w:rPr>
        <w:t>砌</w:t>
      </w:r>
      <w:r>
        <w:rPr>
          <w:rFonts w:asciiTheme="minorEastAsia" w:eastAsiaTheme="minorEastAsia" w:hAnsiTheme="minorEastAsia" w:hint="eastAsia"/>
          <w:sz w:val="21"/>
          <w:szCs w:val="21"/>
          <w:lang w:eastAsia="zh-CN"/>
        </w:rPr>
        <w:t>体内需要</w:t>
      </w:r>
      <w:r>
        <w:rPr>
          <w:rFonts w:asciiTheme="minorEastAsia" w:eastAsiaTheme="minorEastAsia" w:hAnsiTheme="minorEastAsia"/>
          <w:sz w:val="21"/>
          <w:szCs w:val="21"/>
          <w:lang w:eastAsia="zh-CN"/>
        </w:rPr>
        <w:t>预留</w:t>
      </w:r>
      <w:r>
        <w:rPr>
          <w:rFonts w:asciiTheme="minorEastAsia" w:eastAsiaTheme="minorEastAsia" w:hAnsiTheme="minorEastAsia" w:hint="eastAsia"/>
          <w:sz w:val="21"/>
          <w:szCs w:val="21"/>
          <w:lang w:eastAsia="zh-CN"/>
        </w:rPr>
        <w:t>、</w:t>
      </w:r>
      <w:r>
        <w:rPr>
          <w:rFonts w:asciiTheme="minorEastAsia" w:eastAsiaTheme="minorEastAsia" w:hAnsiTheme="minorEastAsia"/>
          <w:sz w:val="21"/>
          <w:szCs w:val="21"/>
          <w:lang w:eastAsia="zh-CN"/>
        </w:rPr>
        <w:t>预埋</w:t>
      </w:r>
      <w:r>
        <w:rPr>
          <w:rFonts w:asciiTheme="minorEastAsia" w:eastAsiaTheme="minorEastAsia" w:hAnsiTheme="minorEastAsia" w:hint="eastAsia"/>
          <w:sz w:val="21"/>
          <w:szCs w:val="21"/>
          <w:lang w:eastAsia="zh-CN"/>
        </w:rPr>
        <w:t>及套管、洞口封堵；墙体、楼板上预留、预埋</w:t>
      </w:r>
      <w:r>
        <w:rPr>
          <w:rFonts w:asciiTheme="minorEastAsia" w:eastAsiaTheme="minorEastAsia" w:hAnsiTheme="minorEastAsia"/>
          <w:sz w:val="21"/>
          <w:szCs w:val="21"/>
          <w:lang w:eastAsia="zh-CN"/>
        </w:rPr>
        <w:t>的套管、套</w:t>
      </w:r>
      <w:r>
        <w:rPr>
          <w:rFonts w:asciiTheme="minorEastAsia" w:eastAsiaTheme="minorEastAsia" w:hAnsiTheme="minorEastAsia" w:hint="eastAsia"/>
          <w:sz w:val="21"/>
          <w:szCs w:val="21"/>
          <w:lang w:eastAsia="zh-CN"/>
        </w:rPr>
        <w:t>盒</w:t>
      </w:r>
      <w:r>
        <w:rPr>
          <w:rFonts w:asciiTheme="minorEastAsia" w:eastAsiaTheme="minorEastAsia" w:hAnsiTheme="minorEastAsia"/>
          <w:sz w:val="21"/>
          <w:szCs w:val="21"/>
          <w:lang w:eastAsia="zh-CN"/>
        </w:rPr>
        <w:t>的制作及安装</w:t>
      </w:r>
      <w:r>
        <w:rPr>
          <w:rFonts w:asciiTheme="minorEastAsia" w:eastAsiaTheme="minorEastAsia" w:hAnsiTheme="minorEastAsia" w:hint="eastAsia"/>
          <w:sz w:val="21"/>
          <w:szCs w:val="21"/>
          <w:lang w:eastAsia="zh-CN"/>
        </w:rPr>
        <w:t>；</w:t>
      </w:r>
    </w:p>
    <w:p w:rsidR="00A469CB">
      <w:pPr>
        <w:pStyle w:val="ReportLevel3"/>
        <w:keepNext w:val="0"/>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总承包单位负责根据施工图纸预留机房内</w:t>
      </w:r>
      <w:r>
        <w:rPr>
          <w:rFonts w:asciiTheme="minorEastAsia" w:eastAsiaTheme="minorEastAsia" w:hAnsiTheme="minorEastAsia"/>
          <w:sz w:val="21"/>
          <w:szCs w:val="21"/>
          <w:lang w:eastAsia="zh-CN"/>
        </w:rPr>
        <w:t>LEB/MEB</w:t>
      </w:r>
      <w:r>
        <w:rPr>
          <w:rFonts w:asciiTheme="minorEastAsia" w:eastAsiaTheme="minorEastAsia" w:hAnsiTheme="minorEastAsia" w:hint="eastAsia"/>
          <w:sz w:val="21"/>
          <w:szCs w:val="21"/>
          <w:lang w:eastAsia="zh-CN"/>
        </w:rPr>
        <w:t>等电位连接点</w:t>
      </w:r>
      <w:r>
        <w:rPr>
          <w:rFonts w:asciiTheme="minorEastAsia" w:eastAsiaTheme="minorEastAsia" w:hAnsiTheme="minorEastAsia"/>
          <w:sz w:val="21"/>
          <w:szCs w:val="21"/>
          <w:lang w:eastAsia="zh-CN"/>
        </w:rPr>
        <w:t>。</w:t>
      </w:r>
    </w:p>
    <w:p w:rsidR="00A469CB">
      <w:pPr>
        <w:pStyle w:val="ReportLevel3"/>
        <w:keepNext w:val="0"/>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承包单位须与总承包单位协调，使有关的安装工作能配合工程进度。因缺乏协调而造成的一切后果如延误工期等，将由承包单位负责。</w:t>
      </w:r>
    </w:p>
    <w:p w:rsidR="00A469CB">
      <w:pPr>
        <w:pStyle w:val="ReportLevel3"/>
        <w:keepNext w:val="0"/>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承包单位须负责复核土建有关预留设施，在土建施工时按供电局深化图纸进行预留。</w:t>
      </w:r>
    </w:p>
    <w:p w:rsidR="00A469CB">
      <w:pPr>
        <w:pStyle w:val="ReportLevel3"/>
        <w:keepNext w:val="0"/>
        <w:spacing w:before="120" w:beforeLines="50" w:after="120" w:afterLines="5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承包单位负责高低压变配电房内电缆沟盖板、电缆沟内电缆支架的安装。</w:t>
      </w:r>
    </w:p>
    <w:p w:rsidR="00A469CB">
      <w:pPr>
        <w:pStyle w:val="ReportLevel2"/>
        <w:spacing w:before="240" w:beforeLines="100" w:after="240" w:afterLines="100"/>
        <w:rPr>
          <w:rFonts w:asciiTheme="minorEastAsia" w:eastAsiaTheme="minorEastAsia" w:hAnsiTheme="minorEastAsia"/>
          <w:b/>
          <w:bCs/>
          <w:sz w:val="21"/>
          <w:szCs w:val="21"/>
          <w:lang w:eastAsia="zh-CN"/>
        </w:rPr>
      </w:pPr>
      <w:r>
        <w:rPr>
          <w:rFonts w:asciiTheme="minorEastAsia" w:eastAsiaTheme="minorEastAsia" w:hAnsiTheme="minorEastAsia" w:hint="eastAsia"/>
          <w:b/>
          <w:bCs/>
          <w:sz w:val="21"/>
          <w:szCs w:val="21"/>
          <w:lang w:eastAsia="zh-CN"/>
        </w:rPr>
        <w:t>与柴油发电机安装及环保工程承包单位的协调及配合工作</w:t>
      </w:r>
    </w:p>
    <w:p w:rsidR="00A469CB">
      <w:pPr>
        <w:pStyle w:val="ReportLevel4"/>
        <w:keepNext w:val="0"/>
        <w:numPr>
          <w:ilvl w:val="0"/>
          <w:numId w:val="75"/>
        </w:numPr>
        <w:spacing w:before="120" w:beforeLines="50" w:after="120" w:afterLines="50"/>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高低压工程负责：柴油发电机启停信号线的敷设及接入。</w:t>
      </w:r>
    </w:p>
    <w:p w:rsidR="00A469CB">
      <w:pPr>
        <w:pStyle w:val="ReportLevel4"/>
        <w:keepNext w:val="0"/>
        <w:numPr>
          <w:ilvl w:val="0"/>
          <w:numId w:val="75"/>
        </w:numPr>
        <w:spacing w:before="120" w:beforeLines="50" w:after="120" w:afterLines="50"/>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柴油发电机及环保工程负责：柴油发电机控制柜预留设计图所示的启动信号线接口，协助发电机启停信号线的接入。</w:t>
      </w:r>
    </w:p>
    <w:p w:rsidR="00A469CB">
      <w:pPr>
        <w:pStyle w:val="ReportLevel2"/>
        <w:spacing w:before="240" w:beforeLines="100" w:after="240" w:afterLines="100"/>
        <w:rPr>
          <w:rFonts w:asciiTheme="minorEastAsia" w:eastAsiaTheme="minorEastAsia" w:hAnsiTheme="minorEastAsia"/>
          <w:b/>
          <w:bCs/>
          <w:sz w:val="21"/>
          <w:szCs w:val="21"/>
          <w:lang w:eastAsia="zh-CN"/>
        </w:rPr>
      </w:pPr>
      <w:r>
        <w:rPr>
          <w:rFonts w:asciiTheme="minorEastAsia" w:eastAsiaTheme="minorEastAsia" w:hAnsiTheme="minorEastAsia" w:hint="eastAsia"/>
          <w:b/>
          <w:bCs/>
          <w:sz w:val="21"/>
          <w:szCs w:val="21"/>
          <w:lang w:eastAsia="zh-CN"/>
        </w:rPr>
        <w:t>与消防工程承包单位的协调工作</w:t>
      </w:r>
    </w:p>
    <w:p w:rsidR="00A469CB">
      <w:pPr>
        <w:pStyle w:val="ReportLevel4"/>
        <w:keepNext w:val="0"/>
        <w:numPr>
          <w:ilvl w:val="0"/>
          <w:numId w:val="31"/>
        </w:numPr>
        <w:spacing w:before="120" w:beforeLines="50" w:after="120" w:afterLines="50"/>
        <w:ind w:left="1525" w:hanging="448"/>
        <w:rPr>
          <w:rFonts w:asciiTheme="minorEastAsia" w:eastAsiaTheme="minorEastAsia" w:hAnsiTheme="minorEastAsia" w:cs="Arial"/>
          <w:sz w:val="21"/>
          <w:szCs w:val="21"/>
          <w:lang w:eastAsia="zh-CN"/>
        </w:rPr>
      </w:pPr>
      <w:r>
        <w:rPr>
          <w:rFonts w:asciiTheme="minorEastAsia" w:eastAsiaTheme="minorEastAsia" w:hAnsiTheme="minorEastAsia" w:cs="Arial" w:hint="eastAsia"/>
          <w:sz w:val="21"/>
          <w:szCs w:val="21"/>
          <w:lang w:eastAsia="zh-CN"/>
        </w:rPr>
        <w:t>消防承包单位负责变配电机房内的消防工程。</w:t>
      </w:r>
    </w:p>
    <w:p w:rsidR="00A469CB">
      <w:pPr>
        <w:pStyle w:val="ReportLevel4"/>
        <w:keepNext w:val="0"/>
        <w:numPr>
          <w:ilvl w:val="0"/>
          <w:numId w:val="31"/>
        </w:numPr>
        <w:spacing w:before="120" w:beforeLines="50" w:after="120" w:afterLines="50"/>
        <w:ind w:left="1525" w:hanging="448"/>
        <w:rPr>
          <w:rFonts w:asciiTheme="minorEastAsia" w:eastAsiaTheme="minorEastAsia" w:hAnsiTheme="minorEastAsia" w:cs="Arial"/>
          <w:sz w:val="21"/>
          <w:szCs w:val="21"/>
          <w:lang w:eastAsia="zh-CN"/>
        </w:rPr>
      </w:pPr>
      <w:r>
        <w:rPr>
          <w:rFonts w:asciiTheme="minorEastAsia" w:eastAsiaTheme="minorEastAsia" w:hAnsiTheme="minorEastAsia" w:cs="Arial" w:hint="eastAsia"/>
          <w:sz w:val="21"/>
          <w:szCs w:val="21"/>
          <w:lang w:eastAsia="zh-CN"/>
        </w:rPr>
        <w:t>承包单位需按招标图纸要求预留分励脱扣器（带反馈信号）供非消防电源切断，并预留接线端子于低压开关柜，</w:t>
      </w:r>
      <w:r>
        <w:rPr>
          <w:rFonts w:asciiTheme="minorEastAsia" w:eastAsiaTheme="minorEastAsia" w:hAnsiTheme="minorEastAsia" w:cs="Arial" w:hint="eastAsia"/>
          <w:sz w:val="21"/>
          <w:szCs w:val="21"/>
          <w:lang w:eastAsia="zh-CN"/>
        </w:rPr>
        <w:t>供消防承包</w:t>
      </w:r>
      <w:r>
        <w:rPr>
          <w:rFonts w:asciiTheme="minorEastAsia" w:eastAsiaTheme="minorEastAsia" w:hAnsiTheme="minorEastAsia" w:cs="Arial" w:hint="eastAsia"/>
          <w:sz w:val="21"/>
          <w:szCs w:val="21"/>
          <w:lang w:eastAsia="zh-CN"/>
        </w:rPr>
        <w:t>单位接驳完成消防联动功能。</w:t>
      </w:r>
    </w:p>
    <w:p w:rsidR="00A469CB">
      <w:pPr>
        <w:pStyle w:val="ReportLevel4"/>
        <w:numPr>
          <w:ilvl w:val="0"/>
          <w:numId w:val="31"/>
        </w:numPr>
        <w:spacing w:before="120" w:beforeLines="50" w:after="120" w:afterLines="50"/>
        <w:ind w:left="1525" w:hanging="448"/>
        <w:rPr>
          <w:rFonts w:asciiTheme="minorEastAsia" w:eastAsiaTheme="minorEastAsia" w:hAnsiTheme="minorEastAsia" w:cs="Arial"/>
          <w:sz w:val="21"/>
          <w:szCs w:val="21"/>
          <w:lang w:eastAsia="zh-CN"/>
        </w:rPr>
        <w:sectPr>
          <w:headerReference w:type="default" r:id="rId23"/>
          <w:footerReference w:type="default" r:id="rId24"/>
          <w:type w:val="nextPage"/>
          <w:pgSz w:w="11906" w:h="16838"/>
          <w:pgMar w:top="1814" w:right="1418" w:bottom="1418" w:left="1814" w:header="851" w:footer="992" w:gutter="0"/>
          <w:pgNumType w:start="8"/>
          <w:cols w:space="425"/>
          <w:titlePg w:val="0"/>
          <w:docGrid w:linePitch="312"/>
        </w:sectPr>
      </w:pPr>
      <w:r>
        <w:rPr>
          <w:rFonts w:asciiTheme="minorEastAsia" w:eastAsiaTheme="minorEastAsia" w:hAnsiTheme="minorEastAsia" w:cs="Arial" w:hint="eastAsia"/>
          <w:sz w:val="21"/>
          <w:szCs w:val="21"/>
          <w:lang w:eastAsia="zh-CN"/>
        </w:rPr>
        <w:t>消防工程承包单位须与变电站工程</w:t>
      </w:r>
      <w:r>
        <w:rPr>
          <w:rFonts w:asciiTheme="minorEastAsia" w:eastAsiaTheme="minorEastAsia" w:hAnsiTheme="minorEastAsia" w:cs="Arial" w:hint="eastAsia"/>
          <w:sz w:val="21"/>
          <w:szCs w:val="21"/>
          <w:lang w:eastAsia="zh-CN"/>
        </w:rPr>
        <w:t>承包单位协调的进行所需的安装工作，如果因缺乏协调而引致</w:t>
      </w:r>
      <w:r>
        <w:rPr>
          <w:rFonts w:asciiTheme="minorEastAsia" w:eastAsiaTheme="minorEastAsia" w:hAnsiTheme="minorEastAsia" w:cs="Arial" w:hint="eastAsia"/>
          <w:sz w:val="21"/>
          <w:szCs w:val="21"/>
          <w:lang w:eastAsia="zh-CN"/>
        </w:rPr>
        <w:t>之迫工及</w:t>
      </w:r>
      <w:r>
        <w:rPr>
          <w:rFonts w:asciiTheme="minorEastAsia" w:eastAsiaTheme="minorEastAsia" w:hAnsiTheme="minorEastAsia" w:cs="Arial" w:hint="eastAsia"/>
          <w:sz w:val="21"/>
          <w:szCs w:val="21"/>
          <w:lang w:eastAsia="zh-CN"/>
        </w:rPr>
        <w:t>所有责任由承包单位负责。</w:t>
      </w:r>
    </w:p>
    <w:p w:rsidR="00A469CB">
      <w:pPr>
        <w:pStyle w:val="Heading1"/>
        <w:numPr>
          <w:ilvl w:val="0"/>
          <w:numId w:val="0"/>
        </w:numPr>
        <w:spacing w:line="360" w:lineRule="auto"/>
        <w:jc w:val="center"/>
        <w:rPr>
          <w:rFonts w:asciiTheme="minorEastAsia" w:eastAsiaTheme="minorEastAsia" w:hAnsiTheme="minorEastAsia"/>
          <w:bCs/>
          <w:sz w:val="30"/>
          <w:szCs w:val="30"/>
          <w:lang w:eastAsia="zh-CN"/>
        </w:rPr>
      </w:pPr>
      <w:bookmarkStart w:id="337" w:name="_Toc103358939"/>
      <w:r>
        <w:rPr>
          <w:rFonts w:asciiTheme="minorEastAsia" w:eastAsiaTheme="minorEastAsia" w:hAnsiTheme="minorEastAsia" w:hint="eastAsia"/>
          <w:bCs/>
          <w:sz w:val="30"/>
          <w:szCs w:val="30"/>
        </w:rPr>
        <w:t>第二章</w:t>
      </w:r>
      <w:r>
        <w:rPr>
          <w:rFonts w:asciiTheme="minorEastAsia" w:eastAsiaTheme="minorEastAsia" w:hAnsiTheme="minorEastAsia" w:hint="eastAsia"/>
          <w:bCs/>
          <w:sz w:val="30"/>
          <w:szCs w:val="30"/>
          <w:lang w:eastAsia="zh-CN"/>
        </w:rPr>
        <w:t xml:space="preserve"> </w:t>
      </w:r>
      <w:r>
        <w:rPr>
          <w:rFonts w:asciiTheme="minorEastAsia" w:eastAsiaTheme="minorEastAsia" w:hAnsiTheme="minorEastAsia" w:hint="eastAsia"/>
          <w:bCs/>
          <w:sz w:val="30"/>
          <w:szCs w:val="30"/>
          <w:lang w:eastAsia="zh-CN"/>
        </w:rPr>
        <w:t>一般要求</w:t>
      </w:r>
      <w:bookmarkEnd w:id="337"/>
    </w:p>
    <w:p w:rsidR="00A469CB">
      <w:pPr>
        <w:pStyle w:val="ReportLevel1"/>
        <w:numPr>
          <w:ilvl w:val="0"/>
          <w:numId w:val="33"/>
        </w:numPr>
        <w:spacing w:before="240" w:beforeLines="100" w:after="120" w:afterLines="50" w:line="360" w:lineRule="auto"/>
        <w:rPr>
          <w:rFonts w:asciiTheme="minorEastAsia" w:eastAsiaTheme="minorEastAsia" w:hAnsiTheme="minorEastAsia"/>
          <w:sz w:val="21"/>
          <w:szCs w:val="21"/>
          <w:lang w:val="en-US" w:eastAsia="zh-CN"/>
        </w:rPr>
      </w:pPr>
      <w:bookmarkStart w:id="338" w:name="_Toc502752637"/>
      <w:bookmarkStart w:id="339" w:name="_Toc103358940"/>
      <w:bookmarkStart w:id="340" w:name="_Toc455561604"/>
      <w:r>
        <w:rPr>
          <w:rFonts w:asciiTheme="minorEastAsia" w:eastAsiaTheme="minorEastAsia" w:hAnsiTheme="minorEastAsia" w:hint="eastAsia"/>
          <w:sz w:val="21"/>
          <w:szCs w:val="21"/>
          <w:lang w:val="en-US" w:eastAsia="zh-CN"/>
        </w:rPr>
        <w:t>规则条例及标准</w:t>
      </w:r>
      <w:bookmarkEnd w:id="338"/>
      <w:bookmarkEnd w:id="339"/>
      <w:bookmarkEnd w:id="340"/>
    </w:p>
    <w:p w:rsidR="00A469CB">
      <w:pPr>
        <w:pStyle w:val="ReportLevel2"/>
        <w:spacing w:before="240" w:beforeLines="100" w:after="240" w:afterLines="10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val="en-US" w:eastAsia="zh-CN"/>
        </w:rPr>
        <w:t>所有设备、材料的供应和施工工艺，必须符合</w:t>
      </w:r>
      <w:r>
        <w:rPr>
          <w:rFonts w:asciiTheme="minorEastAsia" w:eastAsiaTheme="minorEastAsia" w:hAnsiTheme="minorEastAsia" w:hint="eastAsia"/>
          <w:sz w:val="21"/>
          <w:szCs w:val="21"/>
          <w:u w:val="single"/>
          <w:lang w:val="en-US" w:eastAsia="zh-CN"/>
        </w:rPr>
        <w:t>深圳市</w:t>
      </w:r>
      <w:r>
        <w:rPr>
          <w:rFonts w:asciiTheme="minorEastAsia" w:eastAsiaTheme="minorEastAsia" w:hAnsiTheme="minorEastAsia" w:hint="eastAsia"/>
          <w:sz w:val="21"/>
          <w:szCs w:val="21"/>
          <w:lang w:val="en-US" w:eastAsia="zh-CN"/>
        </w:rPr>
        <w:t>各机关、部门所颁布的最新的法定职责、条例、规范、规格、标准、施工准则和业务条例</w:t>
      </w:r>
      <w:r>
        <w:rPr>
          <w:rFonts w:asciiTheme="minorEastAsia" w:eastAsiaTheme="minorEastAsia" w:hAnsiTheme="minorEastAsia"/>
          <w:sz w:val="21"/>
          <w:szCs w:val="21"/>
          <w:lang w:val="en-US" w:eastAsia="zh-CN"/>
        </w:rPr>
        <w:t>。</w:t>
      </w:r>
    </w:p>
    <w:p w:rsidR="00A469CB">
      <w:pPr>
        <w:autoSpaceDE w:val="0"/>
        <w:autoSpaceDN w:val="0"/>
        <w:adjustRightInd w:val="0"/>
        <w:spacing w:before="120" w:beforeLines="50" w:after="120" w:afterLines="50"/>
        <w:ind w:left="1077"/>
        <w:jc w:val="both"/>
        <w:rPr>
          <w:rFonts w:asciiTheme="minorEastAsia" w:eastAsiaTheme="minorEastAsia" w:hAnsiTheme="minorEastAsia"/>
          <w:sz w:val="21"/>
          <w:szCs w:val="21"/>
          <w:lang w:val="en-US" w:eastAsia="zh-CN"/>
        </w:rPr>
      </w:pPr>
      <w:bookmarkStart w:id="341" w:name="QuickMark"/>
      <w:bookmarkEnd w:id="341"/>
      <w:r>
        <w:rPr>
          <w:rFonts w:asciiTheme="minorEastAsia" w:eastAsiaTheme="minorEastAsia" w:hAnsiTheme="minorEastAsia" w:hint="eastAsia"/>
          <w:sz w:val="21"/>
          <w:szCs w:val="21"/>
          <w:lang w:val="en-US" w:eastAsia="zh-CN"/>
        </w:rPr>
        <w:t>所有国家和</w:t>
      </w:r>
      <w:r>
        <w:rPr>
          <w:rFonts w:asciiTheme="minorEastAsia" w:eastAsiaTheme="minorEastAsia" w:hAnsiTheme="minorEastAsia" w:hint="eastAsia"/>
          <w:sz w:val="21"/>
          <w:szCs w:val="21"/>
          <w:u w:val="single"/>
          <w:lang w:val="en-US" w:eastAsia="zh-CN"/>
        </w:rPr>
        <w:t>深圳市</w:t>
      </w:r>
      <w:r>
        <w:rPr>
          <w:rFonts w:asciiTheme="minorEastAsia" w:eastAsiaTheme="minorEastAsia" w:hAnsiTheme="minorEastAsia" w:hint="eastAsia"/>
          <w:sz w:val="21"/>
          <w:szCs w:val="21"/>
          <w:lang w:val="en-US" w:eastAsia="zh-CN"/>
        </w:rPr>
        <w:t>所订定规范，规程和准则，以及国际认可的规范和标准，包括但不仅限于以下所列：（若以下所列规范已存有更新或修正时，须以招标时最新的修正版本为依据，并确认完全符合）</w:t>
      </w:r>
    </w:p>
    <w:p w:rsidR="00A469CB">
      <w:pPr>
        <w:pStyle w:val="ReportText"/>
        <w:numPr>
          <w:ilvl w:val="0"/>
          <w:numId w:val="34"/>
        </w:numPr>
        <w:tabs>
          <w:tab w:val="left" w:pos="1080"/>
          <w:tab w:val="left" w:pos="1890"/>
          <w:tab w:val="clear" w:pos="1980"/>
          <w:tab w:val="left" w:pos="7645"/>
        </w:tabs>
        <w:spacing w:line="360" w:lineRule="auto"/>
        <w:ind w:left="1890" w:hanging="81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建筑给水排水设计规范</w:t>
      </w:r>
      <w:r>
        <w:rPr>
          <w:rFonts w:asciiTheme="minorEastAsia" w:eastAsiaTheme="minorEastAsia" w:hAnsiTheme="minorEastAsia"/>
          <w:sz w:val="21"/>
          <w:szCs w:val="21"/>
          <w:lang w:eastAsia="zh-CN"/>
        </w:rPr>
        <w:t>(GB50015-2019)</w:t>
      </w:r>
    </w:p>
    <w:p w:rsidR="00A469CB">
      <w:pPr>
        <w:pStyle w:val="ReportText"/>
        <w:numPr>
          <w:ilvl w:val="0"/>
          <w:numId w:val="34"/>
        </w:numPr>
        <w:tabs>
          <w:tab w:val="left" w:pos="1080"/>
          <w:tab w:val="left" w:pos="1890"/>
          <w:tab w:val="clear" w:pos="1980"/>
          <w:tab w:val="left" w:pos="7645"/>
        </w:tabs>
        <w:spacing w:line="360" w:lineRule="auto"/>
        <w:ind w:left="1890" w:hanging="81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生活饮用水卫生标准</w:t>
      </w:r>
      <w:r>
        <w:rPr>
          <w:rFonts w:asciiTheme="minorEastAsia" w:eastAsiaTheme="minorEastAsia" w:hAnsiTheme="minorEastAsia"/>
          <w:sz w:val="21"/>
          <w:szCs w:val="21"/>
          <w:lang w:eastAsia="zh-CN"/>
        </w:rPr>
        <w:t xml:space="preserve"> (GB5749-2006)</w:t>
      </w:r>
    </w:p>
    <w:p w:rsidR="00A469CB">
      <w:pPr>
        <w:pStyle w:val="ReportText"/>
        <w:numPr>
          <w:ilvl w:val="0"/>
          <w:numId w:val="34"/>
        </w:numPr>
        <w:tabs>
          <w:tab w:val="left" w:pos="1080"/>
          <w:tab w:val="left" w:pos="1890"/>
          <w:tab w:val="clear" w:pos="1980"/>
          <w:tab w:val="left" w:pos="7645"/>
        </w:tabs>
        <w:spacing w:line="360" w:lineRule="auto"/>
        <w:ind w:left="1890" w:hanging="81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室外给水设计规范</w:t>
      </w:r>
      <w:r>
        <w:rPr>
          <w:rFonts w:asciiTheme="minorEastAsia" w:eastAsiaTheme="minorEastAsia" w:hAnsiTheme="minorEastAsia"/>
          <w:sz w:val="21"/>
          <w:szCs w:val="21"/>
          <w:lang w:eastAsia="zh-CN"/>
        </w:rPr>
        <w:t xml:space="preserve"> (GB50013-2018)</w:t>
      </w:r>
    </w:p>
    <w:p w:rsidR="00A469CB">
      <w:pPr>
        <w:pStyle w:val="ReportText"/>
        <w:numPr>
          <w:ilvl w:val="0"/>
          <w:numId w:val="34"/>
        </w:numPr>
        <w:tabs>
          <w:tab w:val="left" w:pos="1080"/>
          <w:tab w:val="left" w:pos="1890"/>
          <w:tab w:val="clear" w:pos="1980"/>
          <w:tab w:val="left" w:pos="7645"/>
        </w:tabs>
        <w:spacing w:line="360" w:lineRule="auto"/>
        <w:ind w:left="1890" w:hanging="81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室外排水设计规范</w:t>
      </w:r>
      <w:r>
        <w:rPr>
          <w:rFonts w:asciiTheme="minorEastAsia" w:eastAsiaTheme="minorEastAsia" w:hAnsiTheme="minorEastAsia"/>
          <w:sz w:val="21"/>
          <w:szCs w:val="21"/>
          <w:lang w:eastAsia="zh-CN"/>
        </w:rPr>
        <w:t>(GB50014-2006)</w:t>
      </w:r>
      <w:r>
        <w:rPr>
          <w:rFonts w:asciiTheme="minorEastAsia" w:eastAsiaTheme="minorEastAsia" w:hAnsiTheme="minorEastAsia"/>
          <w:sz w:val="21"/>
          <w:szCs w:val="21"/>
          <w:lang w:eastAsia="zh-CN"/>
        </w:rPr>
        <w:t>（</w:t>
      </w:r>
      <w:r>
        <w:rPr>
          <w:rFonts w:asciiTheme="minorEastAsia" w:eastAsiaTheme="minorEastAsia" w:hAnsiTheme="minorEastAsia"/>
          <w:sz w:val="21"/>
          <w:szCs w:val="21"/>
          <w:lang w:eastAsia="zh-CN"/>
        </w:rPr>
        <w:t>2016</w:t>
      </w:r>
      <w:r>
        <w:rPr>
          <w:rFonts w:asciiTheme="minorEastAsia" w:eastAsiaTheme="minorEastAsia" w:hAnsiTheme="minorEastAsia"/>
          <w:sz w:val="21"/>
          <w:szCs w:val="21"/>
          <w:lang w:eastAsia="zh-CN"/>
        </w:rPr>
        <w:t>年版）</w:t>
      </w:r>
    </w:p>
    <w:p w:rsidR="00A469CB">
      <w:pPr>
        <w:pStyle w:val="ReportText"/>
        <w:numPr>
          <w:ilvl w:val="0"/>
          <w:numId w:val="34"/>
        </w:numPr>
        <w:tabs>
          <w:tab w:val="left" w:pos="1080"/>
          <w:tab w:val="left" w:pos="1890"/>
          <w:tab w:val="clear" w:pos="1980"/>
          <w:tab w:val="left" w:pos="7645"/>
        </w:tabs>
        <w:spacing w:line="360" w:lineRule="auto"/>
        <w:ind w:left="1890" w:hanging="81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城镇给水排水技术规范（</w:t>
      </w:r>
      <w:r>
        <w:rPr>
          <w:rFonts w:asciiTheme="minorEastAsia" w:eastAsiaTheme="minorEastAsia" w:hAnsiTheme="minorEastAsia"/>
          <w:sz w:val="21"/>
          <w:szCs w:val="21"/>
          <w:lang w:eastAsia="zh-CN"/>
        </w:rPr>
        <w:t>GB50788-2012</w:t>
      </w:r>
      <w:r>
        <w:rPr>
          <w:rFonts w:asciiTheme="minorEastAsia" w:eastAsiaTheme="minorEastAsia" w:hAnsiTheme="minorEastAsia" w:hint="eastAsia"/>
          <w:sz w:val="21"/>
          <w:szCs w:val="21"/>
          <w:lang w:eastAsia="zh-CN"/>
        </w:rPr>
        <w:t>）</w:t>
      </w:r>
    </w:p>
    <w:p w:rsidR="00A469CB">
      <w:pPr>
        <w:pStyle w:val="ReportText"/>
        <w:numPr>
          <w:ilvl w:val="0"/>
          <w:numId w:val="34"/>
        </w:numPr>
        <w:tabs>
          <w:tab w:val="left" w:pos="1080"/>
          <w:tab w:val="left" w:pos="1890"/>
          <w:tab w:val="clear" w:pos="1980"/>
          <w:tab w:val="left" w:pos="7645"/>
        </w:tabs>
        <w:spacing w:line="360" w:lineRule="auto"/>
        <w:ind w:left="1890" w:hanging="81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建筑与小区雨水利用工程技术规范（</w:t>
      </w:r>
      <w:r>
        <w:rPr>
          <w:rFonts w:asciiTheme="minorEastAsia" w:eastAsiaTheme="minorEastAsia" w:hAnsiTheme="minorEastAsia"/>
          <w:sz w:val="21"/>
          <w:szCs w:val="21"/>
          <w:lang w:eastAsia="zh-CN"/>
        </w:rPr>
        <w:t>GB50400-2016</w:t>
      </w:r>
      <w:r>
        <w:rPr>
          <w:rFonts w:asciiTheme="minorEastAsia" w:eastAsiaTheme="minorEastAsia" w:hAnsiTheme="minorEastAsia" w:hint="eastAsia"/>
          <w:sz w:val="21"/>
          <w:szCs w:val="21"/>
          <w:lang w:eastAsia="zh-CN"/>
        </w:rPr>
        <w:t>）</w:t>
      </w:r>
    </w:p>
    <w:p w:rsidR="00A469CB">
      <w:pPr>
        <w:pStyle w:val="ReportText"/>
        <w:numPr>
          <w:ilvl w:val="0"/>
          <w:numId w:val="34"/>
        </w:numPr>
        <w:tabs>
          <w:tab w:val="left" w:pos="1080"/>
          <w:tab w:val="left" w:pos="1890"/>
          <w:tab w:val="clear" w:pos="1980"/>
          <w:tab w:val="left" w:pos="7645"/>
        </w:tabs>
        <w:spacing w:line="360" w:lineRule="auto"/>
        <w:ind w:left="1890" w:hanging="81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民用建筑节水设计标准（</w:t>
      </w:r>
      <w:r>
        <w:rPr>
          <w:rFonts w:asciiTheme="minorEastAsia" w:eastAsiaTheme="minorEastAsia" w:hAnsiTheme="minorEastAsia"/>
          <w:sz w:val="21"/>
          <w:szCs w:val="21"/>
          <w:lang w:eastAsia="zh-CN"/>
        </w:rPr>
        <w:t>GB50555-2010</w:t>
      </w:r>
      <w:r>
        <w:rPr>
          <w:rFonts w:asciiTheme="minorEastAsia" w:eastAsiaTheme="minorEastAsia" w:hAnsiTheme="minorEastAsia" w:hint="eastAsia"/>
          <w:sz w:val="21"/>
          <w:szCs w:val="21"/>
          <w:lang w:eastAsia="zh-CN"/>
        </w:rPr>
        <w:t>）</w:t>
      </w:r>
    </w:p>
    <w:p w:rsidR="00A469CB">
      <w:pPr>
        <w:pStyle w:val="ReportText"/>
        <w:numPr>
          <w:ilvl w:val="0"/>
          <w:numId w:val="34"/>
        </w:numPr>
        <w:tabs>
          <w:tab w:val="left" w:pos="1080"/>
          <w:tab w:val="left" w:pos="1890"/>
          <w:tab w:val="clear" w:pos="1980"/>
          <w:tab w:val="left" w:pos="7645"/>
        </w:tabs>
        <w:spacing w:line="360" w:lineRule="auto"/>
        <w:ind w:left="1890" w:hanging="81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民用建筑供暖通风与空气调节设计规范（</w:t>
      </w:r>
      <w:r>
        <w:rPr>
          <w:rFonts w:asciiTheme="minorEastAsia" w:eastAsiaTheme="minorEastAsia" w:hAnsiTheme="minorEastAsia"/>
          <w:sz w:val="21"/>
          <w:szCs w:val="21"/>
          <w:lang w:eastAsia="zh-CN"/>
        </w:rPr>
        <w:t>GB50736-2012</w:t>
      </w:r>
      <w:r>
        <w:rPr>
          <w:rFonts w:asciiTheme="minorEastAsia" w:eastAsiaTheme="minorEastAsia" w:hAnsiTheme="minorEastAsia" w:hint="eastAsia"/>
          <w:sz w:val="21"/>
          <w:szCs w:val="21"/>
          <w:lang w:eastAsia="zh-CN"/>
        </w:rPr>
        <w:t>）</w:t>
      </w:r>
    </w:p>
    <w:p w:rsidR="00A469CB">
      <w:pPr>
        <w:pStyle w:val="ReportText"/>
        <w:numPr>
          <w:ilvl w:val="0"/>
          <w:numId w:val="34"/>
        </w:numPr>
        <w:tabs>
          <w:tab w:val="left" w:pos="1080"/>
          <w:tab w:val="left" w:pos="1890"/>
          <w:tab w:val="clear" w:pos="1980"/>
        </w:tabs>
        <w:spacing w:line="360" w:lineRule="auto"/>
        <w:ind w:left="1890" w:hanging="81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建筑设计防火规范（</w:t>
      </w:r>
      <w:r>
        <w:rPr>
          <w:rFonts w:asciiTheme="minorEastAsia" w:eastAsiaTheme="minorEastAsia" w:hAnsiTheme="minorEastAsia"/>
          <w:sz w:val="21"/>
          <w:szCs w:val="21"/>
          <w:lang w:eastAsia="zh-CN"/>
        </w:rPr>
        <w:t>GB50016-2014</w:t>
      </w:r>
      <w:r>
        <w:rPr>
          <w:rFonts w:asciiTheme="minorEastAsia" w:eastAsiaTheme="minorEastAsia" w:hAnsiTheme="minorEastAsia" w:hint="eastAsia"/>
          <w:sz w:val="21"/>
          <w:szCs w:val="21"/>
          <w:lang w:eastAsia="zh-CN"/>
        </w:rPr>
        <w:t>（</w:t>
      </w:r>
      <w:r>
        <w:rPr>
          <w:rFonts w:asciiTheme="minorEastAsia" w:eastAsiaTheme="minorEastAsia" w:hAnsiTheme="minorEastAsia" w:hint="eastAsia"/>
          <w:sz w:val="21"/>
          <w:szCs w:val="21"/>
          <w:lang w:eastAsia="zh-CN"/>
        </w:rPr>
        <w:t>2</w:t>
      </w:r>
      <w:r>
        <w:rPr>
          <w:rFonts w:asciiTheme="minorEastAsia" w:eastAsiaTheme="minorEastAsia" w:hAnsiTheme="minorEastAsia"/>
          <w:sz w:val="21"/>
          <w:szCs w:val="21"/>
          <w:lang w:eastAsia="zh-CN"/>
        </w:rPr>
        <w:t>018</w:t>
      </w:r>
      <w:r>
        <w:rPr>
          <w:rFonts w:asciiTheme="minorEastAsia" w:eastAsiaTheme="minorEastAsia" w:hAnsiTheme="minorEastAsia" w:hint="eastAsia"/>
          <w:sz w:val="21"/>
          <w:szCs w:val="21"/>
          <w:lang w:eastAsia="zh-CN"/>
        </w:rPr>
        <w:t>版））</w:t>
      </w:r>
    </w:p>
    <w:p w:rsidR="00A469CB">
      <w:pPr>
        <w:pStyle w:val="ReportText"/>
        <w:numPr>
          <w:ilvl w:val="0"/>
          <w:numId w:val="34"/>
        </w:numPr>
        <w:tabs>
          <w:tab w:val="left" w:pos="1080"/>
          <w:tab w:val="left" w:pos="1890"/>
          <w:tab w:val="clear" w:pos="1980"/>
        </w:tabs>
        <w:spacing w:line="360" w:lineRule="auto"/>
        <w:ind w:left="1890" w:hanging="81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公共建筑节能设计标准（</w:t>
      </w:r>
      <w:r>
        <w:rPr>
          <w:rFonts w:asciiTheme="minorEastAsia" w:eastAsiaTheme="minorEastAsia" w:hAnsiTheme="minorEastAsia"/>
          <w:sz w:val="21"/>
          <w:szCs w:val="21"/>
          <w:lang w:eastAsia="zh-CN"/>
        </w:rPr>
        <w:t>GB50189-2015</w:t>
      </w:r>
      <w:r>
        <w:rPr>
          <w:rFonts w:asciiTheme="minorEastAsia" w:eastAsiaTheme="minorEastAsia" w:hAnsiTheme="minorEastAsia" w:hint="eastAsia"/>
          <w:sz w:val="21"/>
          <w:szCs w:val="21"/>
          <w:lang w:eastAsia="zh-CN"/>
        </w:rPr>
        <w:t>）</w:t>
      </w:r>
    </w:p>
    <w:p w:rsidR="00A469CB">
      <w:pPr>
        <w:pStyle w:val="ReportText"/>
        <w:numPr>
          <w:ilvl w:val="0"/>
          <w:numId w:val="34"/>
        </w:numPr>
        <w:tabs>
          <w:tab w:val="left" w:pos="1080"/>
          <w:tab w:val="left" w:pos="1890"/>
          <w:tab w:val="clear" w:pos="1980"/>
        </w:tabs>
        <w:spacing w:line="360" w:lineRule="auto"/>
        <w:ind w:left="1890" w:hanging="81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公共建筑节能设计规范（深圳市）（</w:t>
      </w:r>
      <w:r>
        <w:rPr>
          <w:rFonts w:asciiTheme="minorEastAsia" w:eastAsiaTheme="minorEastAsia" w:hAnsiTheme="minorEastAsia" w:hint="eastAsia"/>
          <w:sz w:val="21"/>
          <w:szCs w:val="21"/>
          <w:lang w:eastAsia="zh-CN"/>
        </w:rPr>
        <w:t>SJG</w:t>
      </w:r>
      <w:r>
        <w:rPr>
          <w:rFonts w:asciiTheme="minorEastAsia" w:eastAsiaTheme="minorEastAsia" w:hAnsiTheme="minorEastAsia"/>
          <w:sz w:val="21"/>
          <w:szCs w:val="21"/>
          <w:lang w:eastAsia="zh-CN"/>
        </w:rPr>
        <w:t>-44-2018</w:t>
      </w:r>
      <w:r>
        <w:rPr>
          <w:rFonts w:asciiTheme="minorEastAsia" w:eastAsiaTheme="minorEastAsia" w:hAnsiTheme="minorEastAsia" w:hint="eastAsia"/>
          <w:sz w:val="21"/>
          <w:szCs w:val="21"/>
          <w:lang w:eastAsia="zh-CN"/>
        </w:rPr>
        <w:t>）</w:t>
      </w:r>
    </w:p>
    <w:p w:rsidR="00A469CB">
      <w:pPr>
        <w:pStyle w:val="ReportText"/>
        <w:numPr>
          <w:ilvl w:val="0"/>
          <w:numId w:val="34"/>
        </w:numPr>
        <w:tabs>
          <w:tab w:val="left" w:pos="1080"/>
          <w:tab w:val="left" w:pos="1890"/>
          <w:tab w:val="clear" w:pos="1980"/>
        </w:tabs>
        <w:spacing w:line="360" w:lineRule="auto"/>
        <w:ind w:left="1890" w:hanging="81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汽车库、修车库、停车场设计防火规范</w:t>
      </w:r>
      <w:r>
        <w:rPr>
          <w:rFonts w:asciiTheme="minorEastAsia" w:eastAsiaTheme="minorEastAsia" w:hAnsiTheme="minorEastAsia"/>
          <w:sz w:val="21"/>
          <w:szCs w:val="21"/>
          <w:lang w:eastAsia="zh-CN"/>
        </w:rPr>
        <w:t xml:space="preserve"> (GB50067-2014)</w:t>
      </w:r>
    </w:p>
    <w:p w:rsidR="00A469CB">
      <w:pPr>
        <w:pStyle w:val="ReportText"/>
        <w:numPr>
          <w:ilvl w:val="0"/>
          <w:numId w:val="34"/>
        </w:numPr>
        <w:tabs>
          <w:tab w:val="left" w:pos="1080"/>
          <w:tab w:val="left" w:pos="1890"/>
          <w:tab w:val="clear" w:pos="1980"/>
        </w:tabs>
        <w:spacing w:line="360" w:lineRule="auto"/>
        <w:ind w:left="1890" w:hanging="81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绿色建筑评价标准</w:t>
      </w:r>
      <w:r>
        <w:rPr>
          <w:rFonts w:asciiTheme="minorEastAsia" w:eastAsiaTheme="minorEastAsia" w:hAnsiTheme="minorEastAsia"/>
          <w:sz w:val="21"/>
          <w:szCs w:val="21"/>
          <w:lang w:eastAsia="zh-CN"/>
        </w:rPr>
        <w:t>(GB/T50378-2014)</w:t>
      </w:r>
    </w:p>
    <w:p w:rsidR="00A469CB">
      <w:pPr>
        <w:pStyle w:val="ReportText"/>
        <w:numPr>
          <w:ilvl w:val="0"/>
          <w:numId w:val="34"/>
        </w:numPr>
        <w:tabs>
          <w:tab w:val="left" w:pos="1080"/>
          <w:tab w:val="left" w:pos="1890"/>
          <w:tab w:val="clear" w:pos="1980"/>
        </w:tabs>
        <w:spacing w:line="360" w:lineRule="auto"/>
        <w:ind w:left="1890" w:hanging="81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民用建筑绿色设计规范（</w:t>
      </w:r>
      <w:r>
        <w:rPr>
          <w:rFonts w:asciiTheme="minorEastAsia" w:eastAsiaTheme="minorEastAsia" w:hAnsiTheme="minorEastAsia"/>
          <w:sz w:val="21"/>
          <w:szCs w:val="21"/>
          <w:lang w:eastAsia="zh-CN"/>
        </w:rPr>
        <w:t>JGJ/T229-2010</w:t>
      </w:r>
      <w:r>
        <w:rPr>
          <w:rFonts w:asciiTheme="minorEastAsia" w:eastAsiaTheme="minorEastAsia" w:hAnsiTheme="minorEastAsia" w:hint="eastAsia"/>
          <w:sz w:val="21"/>
          <w:szCs w:val="21"/>
          <w:lang w:eastAsia="zh-CN"/>
        </w:rPr>
        <w:t>）</w:t>
      </w:r>
    </w:p>
    <w:p w:rsidR="00A469CB">
      <w:pPr>
        <w:pStyle w:val="ReportText"/>
        <w:numPr>
          <w:ilvl w:val="0"/>
          <w:numId w:val="34"/>
        </w:numPr>
        <w:tabs>
          <w:tab w:val="left" w:pos="1080"/>
          <w:tab w:val="left" w:pos="1890"/>
          <w:tab w:val="clear" w:pos="1980"/>
        </w:tabs>
        <w:spacing w:line="360" w:lineRule="auto"/>
        <w:ind w:left="1890" w:hanging="81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建筑屋面雨水排水系统技术规程（</w:t>
      </w:r>
      <w:r>
        <w:rPr>
          <w:rFonts w:asciiTheme="minorEastAsia" w:eastAsiaTheme="minorEastAsia" w:hAnsiTheme="minorEastAsia"/>
          <w:sz w:val="21"/>
          <w:szCs w:val="21"/>
          <w:lang w:eastAsia="zh-CN"/>
        </w:rPr>
        <w:t>CJJ142-2014</w:t>
      </w:r>
      <w:r>
        <w:rPr>
          <w:rFonts w:asciiTheme="minorEastAsia" w:eastAsiaTheme="minorEastAsia" w:hAnsiTheme="minorEastAsia" w:hint="eastAsia"/>
          <w:sz w:val="21"/>
          <w:szCs w:val="21"/>
          <w:lang w:eastAsia="zh-CN"/>
        </w:rPr>
        <w:t>）</w:t>
      </w:r>
    </w:p>
    <w:p w:rsidR="00A469CB">
      <w:pPr>
        <w:pStyle w:val="ReportText"/>
        <w:numPr>
          <w:ilvl w:val="0"/>
          <w:numId w:val="34"/>
        </w:numPr>
        <w:tabs>
          <w:tab w:val="left" w:pos="1080"/>
          <w:tab w:val="left" w:pos="1890"/>
          <w:tab w:val="clear" w:pos="1980"/>
        </w:tabs>
        <w:spacing w:line="360" w:lineRule="auto"/>
        <w:ind w:left="1890" w:hanging="81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建筑灭火器配置设计规范</w:t>
      </w:r>
      <w:r>
        <w:rPr>
          <w:rFonts w:asciiTheme="minorEastAsia" w:eastAsiaTheme="minorEastAsia" w:hAnsiTheme="minorEastAsia"/>
          <w:sz w:val="21"/>
          <w:szCs w:val="21"/>
          <w:lang w:eastAsia="zh-CN"/>
        </w:rPr>
        <w:t xml:space="preserve"> (GB50140-2005)</w:t>
      </w:r>
    </w:p>
    <w:p w:rsidR="00A469CB">
      <w:pPr>
        <w:pStyle w:val="ReportText"/>
        <w:numPr>
          <w:ilvl w:val="0"/>
          <w:numId w:val="34"/>
        </w:numPr>
        <w:tabs>
          <w:tab w:val="left" w:pos="1080"/>
          <w:tab w:val="left" w:pos="1890"/>
          <w:tab w:val="clear" w:pos="1980"/>
        </w:tabs>
        <w:spacing w:line="360" w:lineRule="auto"/>
        <w:ind w:left="1890" w:hanging="81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供配电系统设计规范</w:t>
      </w:r>
      <w:r>
        <w:rPr>
          <w:rFonts w:asciiTheme="minorEastAsia" w:eastAsiaTheme="minorEastAsia" w:hAnsiTheme="minorEastAsia"/>
          <w:sz w:val="21"/>
          <w:szCs w:val="21"/>
          <w:lang w:eastAsia="zh-CN"/>
        </w:rPr>
        <w:t xml:space="preserve"> (GB50052-2009)</w:t>
      </w:r>
    </w:p>
    <w:p w:rsidR="00A469CB">
      <w:pPr>
        <w:pStyle w:val="ReportText"/>
        <w:numPr>
          <w:ilvl w:val="0"/>
          <w:numId w:val="34"/>
        </w:numPr>
        <w:tabs>
          <w:tab w:val="left" w:pos="1080"/>
          <w:tab w:val="left" w:pos="1890"/>
          <w:tab w:val="clear" w:pos="1980"/>
        </w:tabs>
        <w:spacing w:line="360" w:lineRule="auto"/>
        <w:ind w:left="1890" w:hanging="81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低压配电设计规范</w:t>
      </w:r>
      <w:r>
        <w:rPr>
          <w:rFonts w:asciiTheme="minorEastAsia" w:eastAsiaTheme="minorEastAsia" w:hAnsiTheme="minorEastAsia"/>
          <w:sz w:val="21"/>
          <w:szCs w:val="21"/>
          <w:lang w:eastAsia="zh-CN"/>
        </w:rPr>
        <w:t xml:space="preserve"> (GB50054-2011)</w:t>
      </w:r>
    </w:p>
    <w:p w:rsidR="00A469CB">
      <w:pPr>
        <w:pStyle w:val="ReportText"/>
        <w:numPr>
          <w:ilvl w:val="0"/>
          <w:numId w:val="34"/>
        </w:numPr>
        <w:tabs>
          <w:tab w:val="left" w:pos="1080"/>
          <w:tab w:val="left" w:pos="1890"/>
          <w:tab w:val="clear" w:pos="1980"/>
        </w:tabs>
        <w:spacing w:line="360" w:lineRule="auto"/>
        <w:ind w:left="1890" w:hanging="81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建筑物防雷设计规范（</w:t>
      </w:r>
      <w:r>
        <w:rPr>
          <w:rFonts w:asciiTheme="minorEastAsia" w:eastAsiaTheme="minorEastAsia" w:hAnsiTheme="minorEastAsia"/>
          <w:sz w:val="21"/>
          <w:szCs w:val="21"/>
          <w:lang w:eastAsia="zh-CN"/>
        </w:rPr>
        <w:t>GB50057-2010</w:t>
      </w:r>
      <w:r>
        <w:rPr>
          <w:rFonts w:asciiTheme="minorEastAsia" w:eastAsiaTheme="minorEastAsia" w:hAnsiTheme="minorEastAsia" w:hint="eastAsia"/>
          <w:sz w:val="21"/>
          <w:szCs w:val="21"/>
          <w:lang w:eastAsia="zh-CN"/>
        </w:rPr>
        <w:t>）</w:t>
      </w:r>
    </w:p>
    <w:p w:rsidR="00A469CB">
      <w:pPr>
        <w:pStyle w:val="ReportText"/>
        <w:numPr>
          <w:ilvl w:val="0"/>
          <w:numId w:val="34"/>
        </w:numPr>
        <w:tabs>
          <w:tab w:val="left" w:pos="1080"/>
          <w:tab w:val="left" w:pos="1890"/>
          <w:tab w:val="clear" w:pos="1980"/>
        </w:tabs>
        <w:spacing w:line="360" w:lineRule="auto"/>
        <w:ind w:left="1890" w:hanging="810"/>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20</w:t>
      </w:r>
      <w:r>
        <w:rPr>
          <w:rFonts w:asciiTheme="minorEastAsia" w:eastAsiaTheme="minorEastAsia" w:hAnsiTheme="minorEastAsia"/>
          <w:sz w:val="21"/>
          <w:szCs w:val="21"/>
          <w:lang w:val="en-US" w:eastAsia="zh-CN"/>
        </w:rPr>
        <w:t>kV</w:t>
      </w:r>
      <w:r>
        <w:rPr>
          <w:rFonts w:asciiTheme="minorEastAsia" w:eastAsiaTheme="minorEastAsia" w:hAnsiTheme="minorEastAsia" w:hint="eastAsia"/>
          <w:sz w:val="21"/>
          <w:szCs w:val="21"/>
          <w:lang w:eastAsia="zh-CN"/>
        </w:rPr>
        <w:t>及以下变电所设计规范</w:t>
      </w:r>
      <w:r>
        <w:rPr>
          <w:rFonts w:asciiTheme="minorEastAsia" w:eastAsiaTheme="minorEastAsia" w:hAnsiTheme="minorEastAsia"/>
          <w:sz w:val="21"/>
          <w:szCs w:val="21"/>
          <w:lang w:eastAsia="zh-CN"/>
        </w:rPr>
        <w:t xml:space="preserve"> (GB50053-2013)</w:t>
      </w:r>
    </w:p>
    <w:p w:rsidR="00A469CB">
      <w:pPr>
        <w:pStyle w:val="ReportText"/>
        <w:numPr>
          <w:ilvl w:val="0"/>
          <w:numId w:val="34"/>
        </w:numPr>
        <w:tabs>
          <w:tab w:val="left" w:pos="1080"/>
          <w:tab w:val="left" w:pos="1890"/>
          <w:tab w:val="clear" w:pos="1980"/>
        </w:tabs>
        <w:spacing w:line="360" w:lineRule="auto"/>
        <w:ind w:left="1890" w:hanging="81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电力工程电缆设计规范（</w:t>
      </w:r>
      <w:r>
        <w:rPr>
          <w:rFonts w:asciiTheme="minorEastAsia" w:eastAsiaTheme="minorEastAsia" w:hAnsiTheme="minorEastAsia"/>
          <w:sz w:val="21"/>
          <w:szCs w:val="21"/>
          <w:lang w:eastAsia="zh-CN"/>
        </w:rPr>
        <w:t>GB50217-2018</w:t>
      </w:r>
      <w:r>
        <w:rPr>
          <w:rFonts w:asciiTheme="minorEastAsia" w:eastAsiaTheme="minorEastAsia" w:hAnsiTheme="minorEastAsia" w:hint="eastAsia"/>
          <w:sz w:val="21"/>
          <w:szCs w:val="21"/>
          <w:lang w:eastAsia="zh-CN"/>
        </w:rPr>
        <w:t>）</w:t>
      </w:r>
    </w:p>
    <w:p w:rsidR="00A469CB">
      <w:pPr>
        <w:pStyle w:val="ReportText"/>
        <w:numPr>
          <w:ilvl w:val="0"/>
          <w:numId w:val="34"/>
        </w:numPr>
        <w:tabs>
          <w:tab w:val="left" w:pos="1080"/>
          <w:tab w:val="left" w:pos="1890"/>
          <w:tab w:val="clear" w:pos="1980"/>
        </w:tabs>
        <w:spacing w:line="360" w:lineRule="auto"/>
        <w:ind w:left="1890" w:hanging="81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有线电视系统工程技术规范</w:t>
      </w:r>
      <w:r>
        <w:rPr>
          <w:rFonts w:asciiTheme="minorEastAsia" w:eastAsiaTheme="minorEastAsia" w:hAnsiTheme="minorEastAsia"/>
          <w:sz w:val="21"/>
          <w:szCs w:val="21"/>
          <w:lang w:eastAsia="zh-CN"/>
        </w:rPr>
        <w:t xml:space="preserve"> (GB50200-94)</w:t>
      </w:r>
    </w:p>
    <w:p w:rsidR="00A469CB">
      <w:pPr>
        <w:pStyle w:val="ReportText"/>
        <w:numPr>
          <w:ilvl w:val="0"/>
          <w:numId w:val="34"/>
        </w:numPr>
        <w:tabs>
          <w:tab w:val="left" w:pos="1080"/>
          <w:tab w:val="left" w:pos="1890"/>
          <w:tab w:val="clear" w:pos="1980"/>
        </w:tabs>
        <w:spacing w:line="360" w:lineRule="auto"/>
        <w:ind w:left="1890" w:hanging="81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安全防范工程技术规范（</w:t>
      </w:r>
      <w:r>
        <w:rPr>
          <w:rFonts w:asciiTheme="minorEastAsia" w:eastAsiaTheme="minorEastAsia" w:hAnsiTheme="minorEastAsia"/>
          <w:sz w:val="21"/>
          <w:szCs w:val="21"/>
          <w:lang w:eastAsia="zh-CN"/>
        </w:rPr>
        <w:t>GB50348-2018</w:t>
      </w:r>
      <w:r>
        <w:rPr>
          <w:rFonts w:asciiTheme="minorEastAsia" w:eastAsiaTheme="minorEastAsia" w:hAnsiTheme="minorEastAsia" w:hint="eastAsia"/>
          <w:sz w:val="21"/>
          <w:szCs w:val="21"/>
          <w:lang w:eastAsia="zh-CN"/>
        </w:rPr>
        <w:t>）</w:t>
      </w:r>
    </w:p>
    <w:p w:rsidR="00A469CB">
      <w:pPr>
        <w:pStyle w:val="ReportText"/>
        <w:numPr>
          <w:ilvl w:val="0"/>
          <w:numId w:val="34"/>
        </w:numPr>
        <w:tabs>
          <w:tab w:val="left" w:pos="1080"/>
          <w:tab w:val="left" w:pos="1890"/>
          <w:tab w:val="clear" w:pos="1980"/>
        </w:tabs>
        <w:spacing w:line="360" w:lineRule="auto"/>
        <w:ind w:left="1890" w:hanging="81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建筑物电子信息系统防雷技术规范（</w:t>
      </w:r>
      <w:r>
        <w:rPr>
          <w:rFonts w:asciiTheme="minorEastAsia" w:eastAsiaTheme="minorEastAsia" w:hAnsiTheme="minorEastAsia"/>
          <w:sz w:val="21"/>
          <w:szCs w:val="21"/>
          <w:lang w:eastAsia="zh-CN"/>
        </w:rPr>
        <w:t>GB50343-2012</w:t>
      </w:r>
      <w:r>
        <w:rPr>
          <w:rFonts w:asciiTheme="minorEastAsia" w:eastAsiaTheme="minorEastAsia" w:hAnsiTheme="minorEastAsia" w:hint="eastAsia"/>
          <w:sz w:val="21"/>
          <w:szCs w:val="21"/>
          <w:lang w:eastAsia="zh-CN"/>
        </w:rPr>
        <w:t>）</w:t>
      </w:r>
    </w:p>
    <w:p w:rsidR="00A469CB">
      <w:pPr>
        <w:pStyle w:val="ReportText"/>
        <w:numPr>
          <w:ilvl w:val="0"/>
          <w:numId w:val="34"/>
        </w:numPr>
        <w:tabs>
          <w:tab w:val="left" w:pos="1080"/>
          <w:tab w:val="left" w:pos="1890"/>
          <w:tab w:val="clear" w:pos="1980"/>
        </w:tabs>
        <w:spacing w:line="360" w:lineRule="auto"/>
        <w:ind w:left="1890" w:hanging="810"/>
        <w:rPr>
          <w:rFonts w:asciiTheme="minorEastAsia" w:eastAsiaTheme="minorEastAsia" w:hAnsiTheme="minorEastAsia"/>
          <w:sz w:val="21"/>
          <w:szCs w:val="21"/>
          <w:lang w:eastAsia="zh-CN"/>
        </w:rPr>
        <w:sectPr>
          <w:headerReference w:type="default" r:id="rId25"/>
          <w:footerReference w:type="default" r:id="rId26"/>
          <w:type w:val="nextPage"/>
          <w:pgSz w:w="11906" w:h="16838"/>
          <w:pgMar w:top="1814" w:right="1418" w:bottom="1418" w:left="1814" w:header="851" w:footer="992" w:gutter="0"/>
          <w:pgNumType w:start="9"/>
          <w:cols w:space="425"/>
          <w:titlePg w:val="0"/>
          <w:docGrid w:linePitch="312"/>
        </w:sectPr>
      </w:pPr>
      <w:r>
        <w:rPr>
          <w:rFonts w:asciiTheme="minorEastAsia" w:eastAsiaTheme="minorEastAsia" w:hAnsiTheme="minorEastAsia" w:hint="eastAsia"/>
          <w:sz w:val="21"/>
          <w:szCs w:val="21"/>
          <w:lang w:eastAsia="zh-CN"/>
        </w:rPr>
        <w:t>综合布线系统工程设计规范</w:t>
      </w:r>
      <w:r>
        <w:rPr>
          <w:rFonts w:asciiTheme="minorEastAsia" w:eastAsiaTheme="minorEastAsia" w:hAnsiTheme="minorEastAsia"/>
          <w:sz w:val="21"/>
          <w:szCs w:val="21"/>
          <w:lang w:eastAsia="zh-CN"/>
        </w:rPr>
        <w:t xml:space="preserve"> (GB50311-2016)</w:t>
      </w:r>
    </w:p>
    <w:p w:rsidR="00A469CB">
      <w:pPr>
        <w:pStyle w:val="ReportText"/>
        <w:numPr>
          <w:ilvl w:val="0"/>
          <w:numId w:val="34"/>
        </w:numPr>
        <w:tabs>
          <w:tab w:val="left" w:pos="1080"/>
          <w:tab w:val="left" w:pos="1890"/>
          <w:tab w:val="clear" w:pos="1980"/>
        </w:tabs>
        <w:spacing w:line="360" w:lineRule="auto"/>
        <w:ind w:left="1890" w:hanging="81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智能建筑设计标准</w:t>
      </w:r>
      <w:r>
        <w:rPr>
          <w:rFonts w:asciiTheme="minorEastAsia" w:eastAsiaTheme="minorEastAsia" w:hAnsiTheme="minorEastAsia"/>
          <w:sz w:val="21"/>
          <w:szCs w:val="21"/>
          <w:lang w:eastAsia="zh-CN"/>
        </w:rPr>
        <w:t xml:space="preserve"> (GB 50314-2015)</w:t>
      </w:r>
    </w:p>
    <w:p w:rsidR="00A469CB">
      <w:pPr>
        <w:pStyle w:val="ReportText"/>
        <w:numPr>
          <w:ilvl w:val="0"/>
          <w:numId w:val="34"/>
        </w:numPr>
        <w:tabs>
          <w:tab w:val="left" w:pos="1080"/>
          <w:tab w:val="left" w:pos="1890"/>
          <w:tab w:val="clear" w:pos="1980"/>
        </w:tabs>
        <w:spacing w:line="360" w:lineRule="auto"/>
        <w:ind w:left="1890" w:hanging="81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建筑照明设计标准</w:t>
      </w:r>
      <w:r>
        <w:rPr>
          <w:rFonts w:asciiTheme="minorEastAsia" w:eastAsiaTheme="minorEastAsia" w:hAnsiTheme="minorEastAsia"/>
          <w:sz w:val="21"/>
          <w:szCs w:val="21"/>
          <w:lang w:eastAsia="zh-CN"/>
        </w:rPr>
        <w:t>(GB50034-2013)</w:t>
      </w:r>
    </w:p>
    <w:p w:rsidR="00A469CB">
      <w:pPr>
        <w:pStyle w:val="ReportText"/>
        <w:numPr>
          <w:ilvl w:val="0"/>
          <w:numId w:val="34"/>
        </w:numPr>
        <w:tabs>
          <w:tab w:val="left" w:pos="1080"/>
          <w:tab w:val="left" w:pos="1890"/>
          <w:tab w:val="clear" w:pos="1980"/>
        </w:tabs>
        <w:spacing w:line="360" w:lineRule="auto"/>
        <w:ind w:left="1890" w:hanging="81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民用建筑电气设计规范</w:t>
      </w:r>
      <w:r>
        <w:rPr>
          <w:rFonts w:asciiTheme="minorEastAsia" w:eastAsiaTheme="minorEastAsia" w:hAnsiTheme="minorEastAsia"/>
          <w:sz w:val="21"/>
          <w:szCs w:val="21"/>
          <w:lang w:eastAsia="zh-CN"/>
        </w:rPr>
        <w:t>(JGJ16-2008)</w:t>
      </w:r>
    </w:p>
    <w:p w:rsidR="00A469CB">
      <w:pPr>
        <w:pStyle w:val="ReportText"/>
        <w:numPr>
          <w:ilvl w:val="0"/>
          <w:numId w:val="34"/>
        </w:numPr>
        <w:tabs>
          <w:tab w:val="left" w:pos="1080"/>
          <w:tab w:val="left" w:pos="1890"/>
          <w:tab w:val="clear" w:pos="1980"/>
        </w:tabs>
        <w:spacing w:line="360" w:lineRule="auto"/>
        <w:ind w:left="1890" w:hanging="81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建筑电气工程施工质量验收规范（</w:t>
      </w:r>
      <w:r>
        <w:rPr>
          <w:rFonts w:asciiTheme="minorEastAsia" w:eastAsiaTheme="minorEastAsia" w:hAnsiTheme="minorEastAsia"/>
          <w:sz w:val="21"/>
          <w:szCs w:val="21"/>
          <w:lang w:eastAsia="zh-CN"/>
        </w:rPr>
        <w:t>GB50303-2015</w:t>
      </w:r>
      <w:r>
        <w:rPr>
          <w:rFonts w:asciiTheme="minorEastAsia" w:eastAsiaTheme="minorEastAsia" w:hAnsiTheme="minorEastAsia" w:hint="eastAsia"/>
          <w:sz w:val="21"/>
          <w:szCs w:val="21"/>
          <w:lang w:eastAsia="zh-CN"/>
        </w:rPr>
        <w:t>）</w:t>
      </w:r>
    </w:p>
    <w:p w:rsidR="00A469CB">
      <w:pPr>
        <w:pStyle w:val="ReportText"/>
        <w:numPr>
          <w:ilvl w:val="0"/>
          <w:numId w:val="34"/>
        </w:numPr>
        <w:tabs>
          <w:tab w:val="left" w:pos="1080"/>
          <w:tab w:val="left" w:pos="1890"/>
          <w:tab w:val="clear" w:pos="1980"/>
        </w:tabs>
        <w:spacing w:line="360" w:lineRule="auto"/>
        <w:ind w:left="1890" w:hanging="81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声环境质量标准（</w:t>
      </w:r>
      <w:r>
        <w:rPr>
          <w:rFonts w:asciiTheme="minorEastAsia" w:eastAsiaTheme="minorEastAsia" w:hAnsiTheme="minorEastAsia"/>
          <w:sz w:val="21"/>
          <w:szCs w:val="21"/>
          <w:lang w:eastAsia="zh-CN"/>
        </w:rPr>
        <w:t>GB3096-2008</w:t>
      </w:r>
      <w:r>
        <w:rPr>
          <w:rFonts w:asciiTheme="minorEastAsia" w:eastAsiaTheme="minorEastAsia" w:hAnsiTheme="minorEastAsia" w:hint="eastAsia"/>
          <w:sz w:val="21"/>
          <w:szCs w:val="21"/>
          <w:lang w:eastAsia="zh-CN"/>
        </w:rPr>
        <w:t>）</w:t>
      </w:r>
    </w:p>
    <w:p w:rsidR="00A469CB">
      <w:pPr>
        <w:pStyle w:val="ReportText"/>
        <w:numPr>
          <w:ilvl w:val="0"/>
          <w:numId w:val="34"/>
        </w:numPr>
        <w:tabs>
          <w:tab w:val="left" w:pos="1080"/>
          <w:tab w:val="left" w:pos="1890"/>
          <w:tab w:val="clear" w:pos="1980"/>
        </w:tabs>
        <w:spacing w:line="360" w:lineRule="auto"/>
        <w:ind w:left="1890" w:hanging="81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建筑内部装修设计防火规范（</w:t>
      </w:r>
      <w:r>
        <w:rPr>
          <w:rFonts w:asciiTheme="minorEastAsia" w:eastAsiaTheme="minorEastAsia" w:hAnsiTheme="minorEastAsia"/>
          <w:sz w:val="21"/>
          <w:szCs w:val="21"/>
          <w:lang w:eastAsia="zh-CN"/>
        </w:rPr>
        <w:t>GB50222-2017)</w:t>
      </w:r>
    </w:p>
    <w:p w:rsidR="00A469CB">
      <w:pPr>
        <w:pStyle w:val="ReportText"/>
        <w:numPr>
          <w:ilvl w:val="0"/>
          <w:numId w:val="34"/>
        </w:numPr>
        <w:tabs>
          <w:tab w:val="left" w:pos="1080"/>
          <w:tab w:val="left" w:pos="1890"/>
          <w:tab w:val="clear" w:pos="1980"/>
        </w:tabs>
        <w:spacing w:line="360" w:lineRule="auto"/>
        <w:ind w:left="1890" w:hanging="81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建筑机电工程抗震设计规范（</w:t>
      </w:r>
      <w:r>
        <w:rPr>
          <w:rFonts w:asciiTheme="minorEastAsia" w:eastAsiaTheme="minorEastAsia" w:hAnsiTheme="minorEastAsia"/>
          <w:sz w:val="21"/>
          <w:szCs w:val="21"/>
          <w:lang w:eastAsia="zh-CN"/>
        </w:rPr>
        <w:t>GB50981-2014</w:t>
      </w:r>
      <w:r>
        <w:rPr>
          <w:rFonts w:asciiTheme="minorEastAsia" w:eastAsiaTheme="minorEastAsia" w:hAnsiTheme="minorEastAsia" w:hint="eastAsia"/>
          <w:sz w:val="21"/>
          <w:szCs w:val="21"/>
          <w:lang w:eastAsia="zh-CN"/>
        </w:rPr>
        <w:t>）</w:t>
      </w:r>
    </w:p>
    <w:p w:rsidR="00A469CB">
      <w:pPr>
        <w:pStyle w:val="ReportText"/>
        <w:numPr>
          <w:ilvl w:val="0"/>
          <w:numId w:val="34"/>
        </w:numPr>
        <w:tabs>
          <w:tab w:val="left" w:pos="1080"/>
          <w:tab w:val="left" w:pos="1890"/>
          <w:tab w:val="clear" w:pos="1980"/>
        </w:tabs>
        <w:spacing w:line="360" w:lineRule="auto"/>
        <w:ind w:left="1890" w:hanging="810"/>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其他适用于本合约的有关国家规范和规程</w:t>
      </w:r>
    </w:p>
    <w:p w:rsidR="00A469CB">
      <w:pPr>
        <w:pStyle w:val="ReportLevel2"/>
        <w:spacing w:before="240" w:beforeLines="100" w:after="240" w:afterLines="100"/>
        <w:jc w:val="both"/>
        <w:rPr>
          <w:rFonts w:asciiTheme="minorEastAsia" w:eastAsiaTheme="minorEastAsia" w:hAnsiTheme="minorEastAsia"/>
          <w:sz w:val="21"/>
          <w:szCs w:val="21"/>
          <w:lang w:val="en-US" w:eastAsia="zh-CN"/>
        </w:rPr>
      </w:pPr>
      <w:bookmarkStart w:id="342" w:name="_Toc530393879"/>
      <w:bookmarkStart w:id="343" w:name="_Toc530239337"/>
      <w:bookmarkStart w:id="344" w:name="_Toc530405540"/>
      <w:bookmarkStart w:id="345" w:name="_Toc530405543"/>
      <w:bookmarkStart w:id="346" w:name="_Toc530304177"/>
      <w:bookmarkEnd w:id="342"/>
      <w:bookmarkEnd w:id="343"/>
      <w:bookmarkEnd w:id="344"/>
      <w:bookmarkEnd w:id="345"/>
      <w:bookmarkEnd w:id="346"/>
      <w:r>
        <w:rPr>
          <w:rFonts w:asciiTheme="minorEastAsia" w:eastAsiaTheme="minorEastAsia" w:hAnsiTheme="minorEastAsia" w:hint="eastAsia"/>
          <w:sz w:val="21"/>
          <w:szCs w:val="21"/>
          <w:lang w:val="en-US" w:eastAsia="zh-CN"/>
        </w:rPr>
        <w:t>当上述标准或当地政府及有关部门的特别要求，在技术要求上与本技术规格说明书所规定的发生抵触时，或技术规格说明书和图纸上所标注或要求有互相矛盾时，或技术规格说明书内有关章节的要求有互相矛盾时，从严执行，不构成任何造价变更。</w:t>
      </w:r>
    </w:p>
    <w:p w:rsidR="00A469CB">
      <w:pPr>
        <w:pStyle w:val="ReportLevel2"/>
        <w:spacing w:before="240" w:beforeLines="100" w:after="240" w:afterLines="10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val="en-US" w:eastAsia="zh-CN"/>
        </w:rPr>
        <w:t>承包单位所提供的有关设备和所建议的系统深化设计必须获得</w:t>
      </w:r>
      <w:r>
        <w:rPr>
          <w:rFonts w:asciiTheme="minorEastAsia" w:eastAsiaTheme="minorEastAsia" w:hAnsiTheme="minorEastAsia" w:hint="eastAsia"/>
          <w:sz w:val="21"/>
          <w:szCs w:val="21"/>
          <w:u w:val="single"/>
          <w:lang w:val="en-US" w:eastAsia="zh-CN"/>
        </w:rPr>
        <w:t>深圳市</w:t>
      </w:r>
      <w:r>
        <w:rPr>
          <w:rFonts w:asciiTheme="minorEastAsia" w:eastAsiaTheme="minorEastAsia" w:hAnsiTheme="minorEastAsia" w:hint="eastAsia"/>
          <w:sz w:val="21"/>
          <w:szCs w:val="21"/>
          <w:lang w:val="en-US" w:eastAsia="zh-CN"/>
        </w:rPr>
        <w:t>有关部门及设计院的书面认可。</w:t>
      </w:r>
    </w:p>
    <w:p w:rsidR="00A469CB">
      <w:pPr>
        <w:rPr>
          <w:rFonts w:asciiTheme="minorEastAsia" w:eastAsiaTheme="minorEastAsia" w:hAnsiTheme="minorEastAsia"/>
          <w:b/>
          <w:caps/>
          <w:sz w:val="21"/>
          <w:szCs w:val="21"/>
          <w:lang w:val="en-US" w:eastAsia="zh-CN"/>
        </w:rPr>
        <w:sectPr>
          <w:headerReference w:type="default" r:id="rId27"/>
          <w:footerReference w:type="default" r:id="rId28"/>
          <w:type w:val="nextPage"/>
          <w:pgSz w:w="11906" w:h="16838"/>
          <w:pgMar w:top="1814" w:right="1418" w:bottom="1418" w:left="1814" w:header="851" w:footer="992" w:gutter="0"/>
          <w:pgNumType w:start="10"/>
          <w:cols w:space="425"/>
          <w:titlePg w:val="0"/>
          <w:docGrid w:linePitch="312"/>
        </w:sectPr>
      </w:pPr>
      <w:bookmarkStart w:id="347" w:name="_Toc502752638"/>
      <w:bookmarkStart w:id="348" w:name="_Toc455561605"/>
    </w:p>
    <w:p w:rsidR="00A469CB">
      <w:pPr>
        <w:pStyle w:val="ReportLevel1"/>
        <w:numPr>
          <w:ilvl w:val="0"/>
          <w:numId w:val="33"/>
        </w:numPr>
        <w:spacing w:before="240" w:beforeLines="100" w:after="120" w:afterLines="50" w:line="360" w:lineRule="auto"/>
        <w:rPr>
          <w:rFonts w:asciiTheme="minorEastAsia" w:eastAsiaTheme="minorEastAsia" w:hAnsiTheme="minorEastAsia"/>
          <w:sz w:val="21"/>
          <w:szCs w:val="21"/>
          <w:lang w:val="en-US" w:eastAsia="zh-CN"/>
        </w:rPr>
      </w:pPr>
      <w:bookmarkStart w:id="349" w:name="_Toc103358941"/>
      <w:r>
        <w:rPr>
          <w:rFonts w:asciiTheme="minorEastAsia" w:eastAsiaTheme="minorEastAsia" w:hAnsiTheme="minorEastAsia" w:hint="eastAsia"/>
          <w:sz w:val="21"/>
          <w:szCs w:val="21"/>
          <w:lang w:val="en-US" w:eastAsia="zh-CN"/>
        </w:rPr>
        <w:t>当地环境条件</w:t>
      </w:r>
      <w:bookmarkEnd w:id="347"/>
      <w:bookmarkEnd w:id="348"/>
      <w:bookmarkEnd w:id="349"/>
    </w:p>
    <w:p w:rsidR="00A469CB">
      <w:pPr>
        <w:pStyle w:val="ReportLevel2"/>
        <w:spacing w:before="240" w:beforeLines="100" w:after="240" w:afterLines="100"/>
        <w:jc w:val="both"/>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在设计、制造、装配、检验和调试本技术规格说明书内所要求的仪器和设备时，必须考虑深圳</w:t>
      </w:r>
      <w:r>
        <w:rPr>
          <w:rFonts w:asciiTheme="minorEastAsia" w:eastAsiaTheme="minorEastAsia" w:hAnsiTheme="minorEastAsia" w:hint="eastAsia"/>
          <w:sz w:val="21"/>
          <w:szCs w:val="21"/>
          <w:u w:val="single"/>
          <w:lang w:val="en-US" w:eastAsia="zh-CN"/>
        </w:rPr>
        <w:t>市</w:t>
      </w:r>
      <w:r>
        <w:rPr>
          <w:rFonts w:asciiTheme="minorEastAsia" w:eastAsiaTheme="minorEastAsia" w:hAnsiTheme="minorEastAsia" w:hint="eastAsia"/>
          <w:sz w:val="21"/>
          <w:szCs w:val="21"/>
          <w:lang w:val="en-US" w:eastAsia="zh-CN"/>
        </w:rPr>
        <w:t>的气候、环境情况，及以下所列气象资料供参考﹕</w:t>
      </w:r>
    </w:p>
    <w:p w:rsidR="00A469CB">
      <w:pPr>
        <w:pStyle w:val="ReportLevel2"/>
        <w:spacing w:before="240" w:beforeLines="100" w:after="240" w:afterLines="100"/>
        <w:jc w:val="both"/>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温度</w:t>
      </w:r>
    </w:p>
    <w:p w:rsidR="00A469CB">
      <w:pPr>
        <w:tabs>
          <w:tab w:val="left" w:pos="4330"/>
        </w:tabs>
        <w:spacing w:after="120" w:afterLines="50"/>
        <w:ind w:left="1077"/>
        <w:jc w:val="both"/>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夏季：</w:t>
      </w:r>
      <w:r>
        <w:rPr>
          <w:rFonts w:asciiTheme="minorEastAsia" w:eastAsiaTheme="minorEastAsia" w:hAnsiTheme="minorEastAsia"/>
          <w:sz w:val="21"/>
          <w:szCs w:val="21"/>
          <w:lang w:val="en-US" w:eastAsia="zh-CN"/>
        </w:rPr>
        <w:tab/>
      </w:r>
      <w:r>
        <w:rPr>
          <w:rFonts w:asciiTheme="minorEastAsia" w:eastAsiaTheme="minorEastAsia" w:hAnsiTheme="minorEastAsia" w:hint="eastAsia"/>
          <w:sz w:val="21"/>
          <w:szCs w:val="21"/>
          <w:lang w:val="en-US" w:eastAsia="zh-CN"/>
        </w:rPr>
        <w:t>极端温度（干球）</w:t>
      </w:r>
    </w:p>
    <w:p w:rsidR="00A469CB">
      <w:pPr>
        <w:tabs>
          <w:tab w:val="left" w:pos="4536"/>
        </w:tabs>
        <w:spacing w:after="120" w:afterLines="50"/>
        <w:ind w:left="1077"/>
        <w:jc w:val="both"/>
        <w:rPr>
          <w:rFonts w:asciiTheme="minorEastAsia" w:eastAsiaTheme="minorEastAsia" w:hAnsiTheme="minorEastAsia"/>
          <w:sz w:val="21"/>
          <w:szCs w:val="21"/>
          <w:lang w:val="en-US" w:eastAsia="zh-CN"/>
        </w:rPr>
      </w:pPr>
      <w:r>
        <w:rPr>
          <w:rFonts w:asciiTheme="minorEastAsia" w:eastAsiaTheme="minorEastAsia" w:hAnsiTheme="minorEastAsia"/>
          <w:sz w:val="21"/>
          <w:szCs w:val="21"/>
          <w:lang w:val="en-US" w:eastAsia="zh-CN"/>
        </w:rPr>
        <w:tab/>
        <w:t>39.4</w:t>
      </w:r>
      <w:r>
        <w:rPr>
          <w:rFonts w:asciiTheme="minorEastAsia" w:eastAsiaTheme="minorEastAsia" w:hAnsiTheme="minorEastAsia" w:hint="eastAsia"/>
          <w:sz w:val="21"/>
          <w:szCs w:val="21"/>
          <w:lang w:val="en-US" w:eastAsia="zh-CN"/>
        </w:rPr>
        <w:t>度摄氏</w:t>
      </w:r>
      <w:r>
        <w:rPr>
          <w:rFonts w:asciiTheme="minorEastAsia" w:eastAsiaTheme="minorEastAsia" w:hAnsiTheme="minorEastAsia"/>
          <w:sz w:val="21"/>
          <w:szCs w:val="21"/>
          <w:lang w:val="en-US" w:eastAsia="zh-CN"/>
        </w:rPr>
        <w:t>(‘</w:t>
      </w:r>
      <w:r>
        <w:rPr>
          <w:rFonts w:asciiTheme="minorEastAsia" w:eastAsiaTheme="minorEastAsia" w:hAnsiTheme="minorEastAsia" w:hint="eastAsia"/>
          <w:sz w:val="21"/>
          <w:szCs w:val="21"/>
          <w:lang w:val="en-US" w:eastAsia="zh-CN"/>
        </w:rPr>
        <w:t>极端</w:t>
      </w:r>
      <w:r>
        <w:rPr>
          <w:rFonts w:asciiTheme="minorEastAsia" w:eastAsiaTheme="minorEastAsia" w:hAnsiTheme="minorEastAsia"/>
          <w:sz w:val="21"/>
          <w:szCs w:val="21"/>
          <w:lang w:val="en-US" w:eastAsia="zh-CN"/>
        </w:rPr>
        <w:t>’</w:t>
      </w:r>
      <w:r>
        <w:rPr>
          <w:rFonts w:asciiTheme="minorEastAsia" w:eastAsiaTheme="minorEastAsia" w:hAnsiTheme="minorEastAsia" w:hint="eastAsia"/>
          <w:sz w:val="21"/>
          <w:szCs w:val="21"/>
          <w:lang w:val="en-US" w:eastAsia="zh-CN"/>
        </w:rPr>
        <w:t>指记录</w:t>
      </w:r>
      <w:r>
        <w:rPr>
          <w:rFonts w:asciiTheme="minorEastAsia" w:eastAsiaTheme="minorEastAsia" w:hAnsiTheme="minorEastAsia" w:hint="eastAsia"/>
          <w:sz w:val="21"/>
          <w:szCs w:val="21"/>
          <w:lang w:val="en-US" w:eastAsia="zh-CN"/>
        </w:rPr>
        <w:t>所得的最高温度</w:t>
      </w:r>
      <w:r>
        <w:rPr>
          <w:rFonts w:asciiTheme="minorEastAsia" w:eastAsiaTheme="minorEastAsia" w:hAnsiTheme="minorEastAsia"/>
          <w:sz w:val="21"/>
          <w:szCs w:val="21"/>
          <w:lang w:val="en-US" w:eastAsia="zh-CN"/>
        </w:rPr>
        <w:t>)</w:t>
      </w:r>
    </w:p>
    <w:p w:rsidR="00A469CB">
      <w:pPr>
        <w:tabs>
          <w:tab w:val="left" w:pos="4330"/>
        </w:tabs>
        <w:spacing w:after="120" w:afterLines="50"/>
        <w:ind w:left="1077"/>
        <w:jc w:val="both"/>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最热月份的平均温度（干球）</w:t>
      </w:r>
      <w:r>
        <w:rPr>
          <w:rFonts w:asciiTheme="minorEastAsia" w:eastAsiaTheme="minorEastAsia" w:hAnsiTheme="minorEastAsia"/>
          <w:sz w:val="21"/>
          <w:szCs w:val="21"/>
          <w:lang w:val="en-US" w:eastAsia="zh-CN"/>
        </w:rPr>
        <w:tab/>
        <w:t>27.7</w:t>
      </w:r>
      <w:r>
        <w:rPr>
          <w:rFonts w:asciiTheme="minorEastAsia" w:eastAsiaTheme="minorEastAsia" w:hAnsiTheme="minorEastAsia" w:hint="eastAsia"/>
          <w:sz w:val="21"/>
          <w:szCs w:val="21"/>
          <w:lang w:val="en-US" w:eastAsia="zh-CN"/>
        </w:rPr>
        <w:t>度摄氏</w:t>
      </w:r>
    </w:p>
    <w:p w:rsidR="00A469CB">
      <w:pPr>
        <w:tabs>
          <w:tab w:val="left" w:pos="4330"/>
        </w:tabs>
        <w:spacing w:after="120" w:afterLines="50"/>
        <w:ind w:left="1077"/>
        <w:jc w:val="both"/>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夏季通风温度（干球）</w:t>
      </w:r>
      <w:r>
        <w:rPr>
          <w:rFonts w:asciiTheme="minorEastAsia" w:eastAsiaTheme="minorEastAsia" w:hAnsiTheme="minorEastAsia"/>
          <w:sz w:val="21"/>
          <w:szCs w:val="21"/>
          <w:lang w:val="en-US" w:eastAsia="zh-CN"/>
        </w:rPr>
        <w:tab/>
        <w:t>31.2</w:t>
      </w:r>
      <w:r>
        <w:rPr>
          <w:rFonts w:asciiTheme="minorEastAsia" w:eastAsiaTheme="minorEastAsia" w:hAnsiTheme="minorEastAsia" w:hint="eastAsia"/>
          <w:sz w:val="21"/>
          <w:szCs w:val="21"/>
          <w:lang w:val="en-US" w:eastAsia="zh-CN"/>
        </w:rPr>
        <w:t>度摄氏</w:t>
      </w:r>
    </w:p>
    <w:p w:rsidR="00A469CB">
      <w:pPr>
        <w:tabs>
          <w:tab w:val="left" w:pos="4330"/>
        </w:tabs>
        <w:spacing w:after="120" w:afterLines="50"/>
        <w:ind w:left="1077"/>
        <w:jc w:val="both"/>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冬季：</w:t>
      </w:r>
      <w:r>
        <w:rPr>
          <w:rFonts w:asciiTheme="minorEastAsia" w:eastAsiaTheme="minorEastAsia" w:hAnsiTheme="minorEastAsia"/>
          <w:sz w:val="21"/>
          <w:szCs w:val="21"/>
          <w:lang w:val="en-US" w:eastAsia="zh-CN"/>
        </w:rPr>
        <w:tab/>
      </w:r>
      <w:r>
        <w:rPr>
          <w:rFonts w:asciiTheme="minorEastAsia" w:eastAsiaTheme="minorEastAsia" w:hAnsiTheme="minorEastAsia" w:hint="eastAsia"/>
          <w:sz w:val="21"/>
          <w:szCs w:val="21"/>
          <w:lang w:val="en-US" w:eastAsia="zh-CN"/>
        </w:rPr>
        <w:t>极端温度（干球）</w:t>
      </w:r>
    </w:p>
    <w:p w:rsidR="00A469CB">
      <w:pPr>
        <w:tabs>
          <w:tab w:val="left" w:pos="4330"/>
        </w:tabs>
        <w:spacing w:after="120" w:afterLines="50"/>
        <w:ind w:left="1077"/>
        <w:jc w:val="both"/>
        <w:rPr>
          <w:rFonts w:asciiTheme="minorEastAsia" w:eastAsiaTheme="minorEastAsia" w:hAnsiTheme="minorEastAsia"/>
          <w:sz w:val="21"/>
          <w:szCs w:val="21"/>
          <w:lang w:val="en-US" w:eastAsia="zh-CN"/>
        </w:rPr>
      </w:pPr>
      <w:r>
        <w:rPr>
          <w:rFonts w:asciiTheme="minorEastAsia" w:eastAsiaTheme="minorEastAsia" w:hAnsiTheme="minorEastAsia"/>
          <w:sz w:val="21"/>
          <w:szCs w:val="21"/>
          <w:lang w:val="en-US" w:eastAsia="zh-CN"/>
        </w:rPr>
        <w:tab/>
        <w:t>-10.1</w:t>
      </w:r>
      <w:r>
        <w:rPr>
          <w:rFonts w:asciiTheme="minorEastAsia" w:eastAsiaTheme="minorEastAsia" w:hAnsiTheme="minorEastAsia" w:hint="eastAsia"/>
          <w:sz w:val="21"/>
          <w:szCs w:val="21"/>
          <w:lang w:val="en-US" w:eastAsia="zh-CN"/>
        </w:rPr>
        <w:t>度摄氏</w:t>
      </w:r>
      <w:r>
        <w:rPr>
          <w:rFonts w:asciiTheme="minorEastAsia" w:eastAsiaTheme="minorEastAsia" w:hAnsiTheme="minorEastAsia"/>
          <w:sz w:val="21"/>
          <w:szCs w:val="21"/>
          <w:lang w:val="en-US" w:eastAsia="zh-CN"/>
        </w:rPr>
        <w:t>(‘</w:t>
      </w:r>
      <w:r>
        <w:rPr>
          <w:rFonts w:asciiTheme="minorEastAsia" w:eastAsiaTheme="minorEastAsia" w:hAnsiTheme="minorEastAsia" w:hint="eastAsia"/>
          <w:sz w:val="21"/>
          <w:szCs w:val="21"/>
          <w:lang w:val="en-US" w:eastAsia="zh-CN"/>
        </w:rPr>
        <w:t>极端</w:t>
      </w:r>
      <w:r>
        <w:rPr>
          <w:rFonts w:asciiTheme="minorEastAsia" w:eastAsiaTheme="minorEastAsia" w:hAnsiTheme="minorEastAsia"/>
          <w:sz w:val="21"/>
          <w:szCs w:val="21"/>
          <w:lang w:val="en-US" w:eastAsia="zh-CN"/>
        </w:rPr>
        <w:t>’</w:t>
      </w:r>
      <w:r>
        <w:rPr>
          <w:rFonts w:asciiTheme="minorEastAsia" w:eastAsiaTheme="minorEastAsia" w:hAnsiTheme="minorEastAsia" w:hint="eastAsia"/>
          <w:sz w:val="21"/>
          <w:szCs w:val="21"/>
          <w:lang w:val="en-US" w:eastAsia="zh-CN"/>
        </w:rPr>
        <w:t>指记录</w:t>
      </w:r>
      <w:r>
        <w:rPr>
          <w:rFonts w:asciiTheme="minorEastAsia" w:eastAsiaTheme="minorEastAsia" w:hAnsiTheme="minorEastAsia" w:hint="eastAsia"/>
          <w:sz w:val="21"/>
          <w:szCs w:val="21"/>
          <w:lang w:val="en-US" w:eastAsia="zh-CN"/>
        </w:rPr>
        <w:t>所得的最低温度</w:t>
      </w:r>
      <w:r>
        <w:rPr>
          <w:rFonts w:asciiTheme="minorEastAsia" w:eastAsiaTheme="minorEastAsia" w:hAnsiTheme="minorEastAsia"/>
          <w:sz w:val="21"/>
          <w:szCs w:val="21"/>
          <w:lang w:val="en-US" w:eastAsia="zh-CN"/>
        </w:rPr>
        <w:t>)</w:t>
      </w:r>
    </w:p>
    <w:p w:rsidR="00A469CB">
      <w:pPr>
        <w:tabs>
          <w:tab w:val="left" w:pos="4330"/>
        </w:tabs>
        <w:spacing w:after="120" w:afterLines="50"/>
        <w:ind w:left="1077"/>
        <w:jc w:val="both"/>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海拔</w:t>
      </w:r>
      <w:r>
        <w:rPr>
          <w:rFonts w:asciiTheme="minorEastAsia" w:eastAsiaTheme="minorEastAsia" w:hAnsiTheme="minorEastAsia"/>
          <w:sz w:val="21"/>
          <w:szCs w:val="21"/>
          <w:lang w:val="en-US" w:eastAsia="zh-CN"/>
        </w:rPr>
        <w:tab/>
        <w:t>0</w:t>
      </w:r>
      <w:r>
        <w:rPr>
          <w:rFonts w:asciiTheme="minorEastAsia" w:eastAsiaTheme="minorEastAsia" w:hAnsiTheme="minorEastAsia" w:hint="eastAsia"/>
          <w:sz w:val="21"/>
          <w:szCs w:val="21"/>
          <w:lang w:val="en-US" w:eastAsia="zh-CN"/>
        </w:rPr>
        <w:t>～</w:t>
      </w:r>
      <w:r>
        <w:rPr>
          <w:rFonts w:asciiTheme="minorEastAsia" w:eastAsiaTheme="minorEastAsia" w:hAnsiTheme="minorEastAsia"/>
          <w:sz w:val="21"/>
          <w:szCs w:val="21"/>
          <w:lang w:val="en-US" w:eastAsia="zh-CN"/>
        </w:rPr>
        <w:t>10</w:t>
      </w:r>
      <w:r>
        <w:rPr>
          <w:rFonts w:asciiTheme="minorEastAsia" w:eastAsiaTheme="minorEastAsia" w:hAnsiTheme="minorEastAsia" w:hint="eastAsia"/>
          <w:sz w:val="21"/>
          <w:szCs w:val="21"/>
          <w:lang w:val="en-US" w:eastAsia="zh-CN"/>
        </w:rPr>
        <w:t>米</w:t>
      </w:r>
    </w:p>
    <w:p w:rsidR="00A469CB">
      <w:pPr>
        <w:pStyle w:val="ReportLevel2"/>
        <w:spacing w:before="240" w:beforeLines="100" w:after="240" w:afterLines="100"/>
        <w:jc w:val="both"/>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雨量</w:t>
      </w:r>
    </w:p>
    <w:p w:rsidR="00A469CB">
      <w:pPr>
        <w:tabs>
          <w:tab w:val="left" w:pos="4536"/>
        </w:tabs>
        <w:spacing w:before="120" w:beforeLines="50" w:after="120" w:afterLines="50"/>
        <w:ind w:left="1077"/>
        <w:jc w:val="both"/>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最大雨量</w:t>
      </w:r>
      <w:r>
        <w:rPr>
          <w:rFonts w:asciiTheme="minorEastAsia" w:eastAsiaTheme="minorEastAsia" w:hAnsiTheme="minorEastAsia"/>
          <w:sz w:val="21"/>
          <w:szCs w:val="21"/>
          <w:lang w:val="en-US" w:eastAsia="zh-CN"/>
        </w:rPr>
        <w:tab/>
      </w:r>
      <w:r>
        <w:rPr>
          <w:rFonts w:asciiTheme="minorEastAsia" w:eastAsiaTheme="minorEastAsia" w:hAnsiTheme="minorEastAsia" w:hint="eastAsia"/>
          <w:sz w:val="21"/>
          <w:szCs w:val="21"/>
          <w:lang w:val="en-US" w:eastAsia="zh-CN"/>
        </w:rPr>
        <w:t>每小时</w:t>
      </w:r>
      <w:r>
        <w:rPr>
          <w:rFonts w:asciiTheme="minorEastAsia" w:eastAsiaTheme="minorEastAsia" w:hAnsiTheme="minorEastAsia"/>
          <w:sz w:val="21"/>
          <w:szCs w:val="21"/>
          <w:lang w:val="en-US" w:eastAsia="zh-CN"/>
        </w:rPr>
        <w:t>250</w:t>
      </w:r>
      <w:r>
        <w:rPr>
          <w:rFonts w:asciiTheme="minorEastAsia" w:eastAsiaTheme="minorEastAsia" w:hAnsiTheme="minorEastAsia" w:hint="eastAsia"/>
          <w:sz w:val="21"/>
          <w:szCs w:val="21"/>
          <w:lang w:val="en-US" w:eastAsia="zh-CN"/>
        </w:rPr>
        <w:t>毫米</w:t>
      </w:r>
    </w:p>
    <w:p w:rsidR="00A469CB">
      <w:pPr>
        <w:pStyle w:val="ReportLevel2"/>
        <w:spacing w:before="240" w:beforeLines="100" w:after="240" w:afterLines="100"/>
        <w:jc w:val="both"/>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平均风速</w:t>
      </w:r>
    </w:p>
    <w:p w:rsidR="00A469CB">
      <w:pPr>
        <w:tabs>
          <w:tab w:val="left" w:pos="4536"/>
        </w:tabs>
        <w:spacing w:before="120" w:beforeLines="50" w:after="120" w:afterLines="50"/>
        <w:ind w:left="1077"/>
        <w:jc w:val="both"/>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冬季</w:t>
      </w:r>
      <w:r>
        <w:rPr>
          <w:rFonts w:asciiTheme="minorEastAsia" w:eastAsiaTheme="minorEastAsia" w:hAnsiTheme="minorEastAsia"/>
          <w:sz w:val="21"/>
          <w:szCs w:val="21"/>
          <w:lang w:val="en-US" w:eastAsia="zh-CN"/>
        </w:rPr>
        <w:tab/>
        <w:t>2.6</w:t>
      </w:r>
      <w:r>
        <w:rPr>
          <w:rFonts w:asciiTheme="minorEastAsia" w:eastAsiaTheme="minorEastAsia" w:hAnsiTheme="minorEastAsia" w:hint="eastAsia"/>
          <w:sz w:val="21"/>
          <w:szCs w:val="21"/>
          <w:lang w:val="en-US" w:eastAsia="zh-CN"/>
        </w:rPr>
        <w:t>米</w:t>
      </w:r>
      <w:r>
        <w:rPr>
          <w:rFonts w:asciiTheme="minorEastAsia" w:eastAsiaTheme="minorEastAsia" w:hAnsiTheme="minorEastAsia"/>
          <w:sz w:val="21"/>
          <w:szCs w:val="21"/>
          <w:lang w:val="en-US" w:eastAsia="zh-CN"/>
        </w:rPr>
        <w:t>/</w:t>
      </w:r>
      <w:r>
        <w:rPr>
          <w:rFonts w:asciiTheme="minorEastAsia" w:eastAsiaTheme="minorEastAsia" w:hAnsiTheme="minorEastAsia" w:hint="eastAsia"/>
          <w:sz w:val="21"/>
          <w:szCs w:val="21"/>
          <w:lang w:val="en-US" w:eastAsia="zh-CN"/>
        </w:rPr>
        <w:t>秒</w:t>
      </w:r>
    </w:p>
    <w:p w:rsidR="00A469CB">
      <w:pPr>
        <w:tabs>
          <w:tab w:val="left" w:pos="4536"/>
        </w:tabs>
        <w:spacing w:before="120" w:beforeLines="50" w:after="120" w:afterLines="50"/>
        <w:ind w:left="1077"/>
        <w:jc w:val="both"/>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夏季</w:t>
      </w:r>
      <w:r>
        <w:rPr>
          <w:rFonts w:asciiTheme="minorEastAsia" w:eastAsiaTheme="minorEastAsia" w:hAnsiTheme="minorEastAsia"/>
          <w:sz w:val="21"/>
          <w:szCs w:val="21"/>
          <w:lang w:val="en-US" w:eastAsia="zh-CN"/>
        </w:rPr>
        <w:tab/>
        <w:t>3.1</w:t>
      </w:r>
      <w:r>
        <w:rPr>
          <w:rFonts w:asciiTheme="minorEastAsia" w:eastAsiaTheme="minorEastAsia" w:hAnsiTheme="minorEastAsia" w:hint="eastAsia"/>
          <w:sz w:val="21"/>
          <w:szCs w:val="21"/>
          <w:lang w:val="en-US" w:eastAsia="zh-CN"/>
        </w:rPr>
        <w:t>米</w:t>
      </w:r>
      <w:r>
        <w:rPr>
          <w:rFonts w:asciiTheme="minorEastAsia" w:eastAsiaTheme="minorEastAsia" w:hAnsiTheme="minorEastAsia"/>
          <w:sz w:val="21"/>
          <w:szCs w:val="21"/>
          <w:lang w:val="en-US" w:eastAsia="zh-CN"/>
        </w:rPr>
        <w:t>/</w:t>
      </w:r>
      <w:r>
        <w:rPr>
          <w:rFonts w:asciiTheme="minorEastAsia" w:eastAsiaTheme="minorEastAsia" w:hAnsiTheme="minorEastAsia" w:hint="eastAsia"/>
          <w:sz w:val="21"/>
          <w:szCs w:val="21"/>
          <w:lang w:val="en-US" w:eastAsia="zh-CN"/>
        </w:rPr>
        <w:t>秒</w:t>
      </w:r>
    </w:p>
    <w:p w:rsidR="00A469CB">
      <w:pPr>
        <w:pStyle w:val="ReportLevel2"/>
        <w:spacing w:before="240" w:beforeLines="100" w:after="240" w:afterLines="100"/>
        <w:jc w:val="both"/>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地震</w:t>
      </w:r>
    </w:p>
    <w:p w:rsidR="00A469CB">
      <w:pPr>
        <w:tabs>
          <w:tab w:val="left" w:pos="4680"/>
        </w:tabs>
        <w:spacing w:before="120" w:beforeLines="50" w:after="120" w:afterLines="50"/>
        <w:ind w:left="1077"/>
        <w:jc w:val="both"/>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基本烈度（中国标准）</w:t>
      </w:r>
      <w:r>
        <w:rPr>
          <w:rFonts w:asciiTheme="minorEastAsia" w:eastAsiaTheme="minorEastAsia" w:hAnsiTheme="minorEastAsia"/>
          <w:sz w:val="21"/>
          <w:szCs w:val="21"/>
          <w:lang w:val="en-US" w:eastAsia="zh-CN"/>
        </w:rPr>
        <w:tab/>
        <w:t>7</w:t>
      </w:r>
      <w:r>
        <w:rPr>
          <w:rFonts w:asciiTheme="minorEastAsia" w:eastAsiaTheme="minorEastAsia" w:hAnsiTheme="minorEastAsia" w:hint="eastAsia"/>
          <w:sz w:val="21"/>
          <w:szCs w:val="21"/>
          <w:lang w:val="en-US" w:eastAsia="zh-CN"/>
        </w:rPr>
        <w:t>度</w:t>
      </w:r>
    </w:p>
    <w:p w:rsidR="00A469CB">
      <w:pPr>
        <w:pStyle w:val="ReportLevel2"/>
        <w:spacing w:before="240" w:beforeLines="100" w:after="240" w:afterLines="100"/>
        <w:jc w:val="both"/>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相对湿度</w:t>
      </w:r>
    </w:p>
    <w:p w:rsidR="00A469CB">
      <w:pPr>
        <w:tabs>
          <w:tab w:val="left" w:pos="4536"/>
        </w:tabs>
        <w:spacing w:before="120" w:beforeLines="50" w:after="120" w:afterLines="50"/>
        <w:ind w:left="1077"/>
        <w:jc w:val="both"/>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最热月份平均值</w:t>
      </w:r>
      <w:r>
        <w:rPr>
          <w:rFonts w:asciiTheme="minorEastAsia" w:eastAsiaTheme="minorEastAsia" w:hAnsiTheme="minorEastAsia"/>
          <w:sz w:val="21"/>
          <w:szCs w:val="21"/>
          <w:lang w:val="en-US" w:eastAsia="zh-CN"/>
        </w:rPr>
        <w:tab/>
        <w:t>83%</w:t>
      </w:r>
    </w:p>
    <w:p w:rsidR="00A469CB">
      <w:pPr>
        <w:tabs>
          <w:tab w:val="left" w:pos="4536"/>
        </w:tabs>
        <w:spacing w:before="120" w:beforeLines="50" w:after="120" w:afterLines="50"/>
        <w:ind w:left="1077"/>
        <w:jc w:val="both"/>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最冷月份平均值</w:t>
      </w:r>
      <w:r>
        <w:rPr>
          <w:rFonts w:asciiTheme="minorEastAsia" w:eastAsiaTheme="minorEastAsia" w:hAnsiTheme="minorEastAsia"/>
          <w:sz w:val="21"/>
          <w:szCs w:val="21"/>
          <w:lang w:val="en-US" w:eastAsia="zh-CN"/>
        </w:rPr>
        <w:tab/>
        <w:t>75%</w:t>
      </w:r>
    </w:p>
    <w:p w:rsidR="00A469CB">
      <w:pPr>
        <w:pStyle w:val="ReportLevel2"/>
        <w:keepNext w:val="0"/>
        <w:spacing w:before="240" w:beforeLines="100" w:after="240" w:afterLines="100"/>
        <w:jc w:val="both"/>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设备规格及设计所需符合的工程所在地的气候、环境情况。</w:t>
      </w:r>
    </w:p>
    <w:p w:rsidR="00A469CB">
      <w:pPr>
        <w:pStyle w:val="ReportLevel2"/>
        <w:spacing w:before="240" w:beforeLines="100" w:after="240" w:afterLines="100"/>
        <w:jc w:val="both"/>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除本技术规格说明书特别注明外，所有设备包括电气设备和机械配件都应能于下列及工程所在地的环境条件下进行测试工作及正常操作。</w:t>
      </w:r>
    </w:p>
    <w:p w:rsidR="00A469CB">
      <w:pPr>
        <w:tabs>
          <w:tab w:val="left" w:pos="4680"/>
        </w:tabs>
        <w:autoSpaceDE w:val="0"/>
        <w:autoSpaceDN w:val="0"/>
        <w:adjustRightInd w:val="0"/>
        <w:spacing w:after="120" w:afterLines="50"/>
        <w:ind w:left="1077"/>
        <w:jc w:val="both"/>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夏季</w:t>
      </w:r>
      <w:r>
        <w:rPr>
          <w:rFonts w:asciiTheme="minorEastAsia" w:eastAsiaTheme="minorEastAsia" w:hAnsiTheme="minorEastAsia"/>
          <w:sz w:val="21"/>
          <w:szCs w:val="21"/>
          <w:lang w:val="en-US" w:eastAsia="zh-CN"/>
        </w:rPr>
        <w:tab/>
        <w:t>40</w:t>
      </w:r>
      <w:r>
        <w:rPr>
          <w:rFonts w:asciiTheme="minorEastAsia" w:eastAsiaTheme="minorEastAsia" w:hAnsiTheme="minorEastAsia" w:hint="eastAsia"/>
          <w:sz w:val="21"/>
          <w:szCs w:val="21"/>
          <w:lang w:val="en-US" w:eastAsia="zh-CN"/>
        </w:rPr>
        <w:t>度摄氏（干球温度）</w:t>
      </w:r>
    </w:p>
    <w:p w:rsidR="00A469CB">
      <w:pPr>
        <w:tabs>
          <w:tab w:val="left" w:pos="4680"/>
        </w:tabs>
        <w:autoSpaceDE w:val="0"/>
        <w:autoSpaceDN w:val="0"/>
        <w:adjustRightInd w:val="0"/>
        <w:spacing w:after="120" w:afterLines="50"/>
        <w:ind w:left="1077"/>
        <w:jc w:val="both"/>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冬季</w:t>
      </w:r>
      <w:r>
        <w:rPr>
          <w:rFonts w:asciiTheme="minorEastAsia" w:eastAsiaTheme="minorEastAsia" w:hAnsiTheme="minorEastAsia"/>
          <w:sz w:val="21"/>
          <w:szCs w:val="21"/>
          <w:lang w:val="en-US" w:eastAsia="zh-CN"/>
        </w:rPr>
        <w:tab/>
        <w:t>-4</w:t>
      </w:r>
      <w:r>
        <w:rPr>
          <w:rFonts w:asciiTheme="minorEastAsia" w:eastAsiaTheme="minorEastAsia" w:hAnsiTheme="minorEastAsia" w:hint="eastAsia"/>
          <w:sz w:val="21"/>
          <w:szCs w:val="21"/>
          <w:lang w:val="en-US" w:eastAsia="zh-CN"/>
        </w:rPr>
        <w:t>度摄氏（干球温度）</w:t>
      </w:r>
    </w:p>
    <w:p w:rsidR="00A469CB">
      <w:pPr>
        <w:tabs>
          <w:tab w:val="left" w:pos="4680"/>
        </w:tabs>
        <w:autoSpaceDE w:val="0"/>
        <w:autoSpaceDN w:val="0"/>
        <w:adjustRightInd w:val="0"/>
        <w:spacing w:after="120" w:afterLines="50"/>
        <w:ind w:left="1077"/>
        <w:jc w:val="both"/>
        <w:rPr>
          <w:rFonts w:asciiTheme="minorEastAsia" w:eastAsiaTheme="minorEastAsia" w:hAnsiTheme="minorEastAsia"/>
          <w:sz w:val="21"/>
          <w:szCs w:val="21"/>
          <w:lang w:val="en-US" w:eastAsia="zh-CN"/>
        </w:rPr>
        <w:sectPr>
          <w:headerReference w:type="default" r:id="rId29"/>
          <w:footerReference w:type="default" r:id="rId30"/>
          <w:type w:val="nextPage"/>
          <w:pgSz w:w="11906" w:h="16838"/>
          <w:pgMar w:top="1814" w:right="1418" w:bottom="1418" w:left="1814" w:header="851" w:footer="992" w:gutter="0"/>
          <w:pgNumType w:start="11"/>
          <w:cols w:space="425"/>
          <w:titlePg w:val="0"/>
          <w:docGrid w:linePitch="312"/>
        </w:sectPr>
      </w:pPr>
      <w:r>
        <w:rPr>
          <w:rFonts w:asciiTheme="minorEastAsia" w:eastAsiaTheme="minorEastAsia" w:hAnsiTheme="minorEastAsia" w:hint="eastAsia"/>
          <w:sz w:val="21"/>
          <w:szCs w:val="21"/>
          <w:lang w:val="en-US" w:eastAsia="zh-CN"/>
        </w:rPr>
        <w:t>相对湿度</w:t>
      </w:r>
      <w:r>
        <w:rPr>
          <w:rFonts w:asciiTheme="minorEastAsia" w:eastAsiaTheme="minorEastAsia" w:hAnsiTheme="minorEastAsia"/>
          <w:sz w:val="21"/>
          <w:szCs w:val="21"/>
          <w:lang w:val="en-US" w:eastAsia="zh-CN"/>
        </w:rPr>
        <w:tab/>
        <w:t>99%</w:t>
      </w:r>
    </w:p>
    <w:p w:rsidR="00A469CB">
      <w:pPr>
        <w:pStyle w:val="ReportLevel2"/>
        <w:spacing w:before="240" w:beforeLines="100" w:after="240" w:afterLines="100"/>
        <w:jc w:val="both"/>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按本技术规格说明书要求，部</w:t>
      </w:r>
      <w:r>
        <w:rPr>
          <w:rFonts w:asciiTheme="minorEastAsia" w:eastAsiaTheme="minorEastAsia" w:hAnsiTheme="minorEastAsia" w:hint="eastAsia"/>
          <w:sz w:val="21"/>
          <w:szCs w:val="21"/>
          <w:lang w:val="en-US" w:eastAsia="zh-CN"/>
        </w:rPr>
        <w:t>份设备</w:t>
      </w:r>
      <w:r>
        <w:rPr>
          <w:rFonts w:asciiTheme="minorEastAsia" w:eastAsiaTheme="minorEastAsia" w:hAnsiTheme="minorEastAsia" w:hint="eastAsia"/>
          <w:sz w:val="21"/>
          <w:szCs w:val="21"/>
          <w:lang w:val="en-US" w:eastAsia="zh-CN"/>
        </w:rPr>
        <w:t>需在更恶劣的环境条件下作正常性运作，而所有设备有可能需要在较高温度和湿度的恶劣环境条件下作短暂性的操作。</w:t>
      </w:r>
    </w:p>
    <w:p w:rsidR="00A469CB">
      <w:pPr>
        <w:pStyle w:val="ReportLevel2"/>
        <w:spacing w:before="240" w:beforeLines="100" w:after="240" w:afterLines="100"/>
        <w:jc w:val="both"/>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按深圳市环保局及《声环境质量标准》</w:t>
      </w:r>
      <w:r>
        <w:rPr>
          <w:rFonts w:asciiTheme="minorEastAsia" w:eastAsiaTheme="minorEastAsia" w:hAnsiTheme="minorEastAsia"/>
          <w:sz w:val="21"/>
          <w:szCs w:val="21"/>
          <w:lang w:val="en-US" w:eastAsia="zh-CN"/>
        </w:rPr>
        <w:t>GB3096-2008</w:t>
      </w:r>
      <w:r>
        <w:rPr>
          <w:rFonts w:asciiTheme="minorEastAsia" w:eastAsiaTheme="minorEastAsia" w:hAnsiTheme="minorEastAsia" w:hint="eastAsia"/>
          <w:sz w:val="21"/>
          <w:szCs w:val="21"/>
          <w:lang w:val="en-US" w:eastAsia="zh-CN"/>
        </w:rPr>
        <w:t>中</w:t>
      </w:r>
      <w:r>
        <w:rPr>
          <w:rFonts w:asciiTheme="minorEastAsia" w:eastAsiaTheme="minorEastAsia" w:hAnsiTheme="minorEastAsia"/>
          <w:sz w:val="21"/>
          <w:szCs w:val="21"/>
          <w:lang w:val="en-US" w:eastAsia="zh-CN"/>
        </w:rPr>
        <w:t>2</w:t>
      </w:r>
      <w:r>
        <w:rPr>
          <w:rFonts w:asciiTheme="minorEastAsia" w:eastAsiaTheme="minorEastAsia" w:hAnsiTheme="minorEastAsia" w:hint="eastAsia"/>
          <w:sz w:val="21"/>
          <w:szCs w:val="21"/>
          <w:lang w:val="en-US" w:eastAsia="zh-CN"/>
        </w:rPr>
        <w:t>类</w:t>
      </w:r>
      <w:r>
        <w:rPr>
          <w:rFonts w:asciiTheme="minorEastAsia" w:eastAsiaTheme="minorEastAsia" w:hAnsiTheme="minorEastAsia" w:hint="eastAsia"/>
          <w:sz w:val="21"/>
          <w:szCs w:val="21"/>
          <w:lang w:val="en-US" w:eastAsia="zh-CN"/>
        </w:rPr>
        <w:t>标准的要求，所有设备必须为低噪声和高效率型。</w:t>
      </w:r>
    </w:p>
    <w:p w:rsidR="00A469CB">
      <w:pPr>
        <w:pStyle w:val="ReportLevel2"/>
        <w:spacing w:before="240" w:beforeLines="100" w:after="240" w:afterLines="10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val="en-US" w:eastAsia="zh-CN"/>
        </w:rPr>
        <w:t>抗震保护</w:t>
      </w:r>
    </w:p>
    <w:p w:rsidR="00A469CB">
      <w:pPr>
        <w:pStyle w:val="BodyTextIndent3"/>
        <w:spacing w:before="120" w:beforeLines="50" w:after="120" w:afterLines="50"/>
        <w:ind w:left="1077"/>
        <w:jc w:val="both"/>
        <w:rPr>
          <w:rFonts w:asciiTheme="minorEastAsia" w:eastAsiaTheme="minorEastAsia" w:hAnsiTheme="minorEastAsia"/>
          <w:sz w:val="21"/>
          <w:szCs w:val="21"/>
        </w:rPr>
      </w:pPr>
      <w:r>
        <w:rPr>
          <w:rFonts w:asciiTheme="minorEastAsia" w:eastAsiaTheme="minorEastAsia" w:hAnsiTheme="minorEastAsia" w:hint="eastAsia"/>
          <w:sz w:val="21"/>
          <w:szCs w:val="21"/>
        </w:rPr>
        <w:t>承包单位须注意，本项目所处的地段为地震区域。</w:t>
      </w:r>
      <w:r>
        <w:rPr>
          <w:rFonts w:asciiTheme="minorEastAsia" w:eastAsiaTheme="minorEastAsia" w:hAnsiTheme="minorEastAsia" w:hint="eastAsia"/>
          <w:sz w:val="21"/>
          <w:szCs w:val="21"/>
        </w:rPr>
        <w:t>故承包</w:t>
      </w:r>
      <w:r>
        <w:rPr>
          <w:rFonts w:asciiTheme="minorEastAsia" w:eastAsiaTheme="minorEastAsia" w:hAnsiTheme="minorEastAsia" w:hint="eastAsia"/>
          <w:sz w:val="21"/>
          <w:szCs w:val="21"/>
        </w:rPr>
        <w:t>单位应根据有关要求及标准对其负责的设备提供适当的抗震保护。</w:t>
      </w:r>
    </w:p>
    <w:p w:rsidR="00A469CB">
      <w:pPr>
        <w:pStyle w:val="BodyTextIndent3"/>
        <w:spacing w:before="120" w:beforeLines="50" w:after="120" w:afterLines="50"/>
        <w:ind w:left="1077"/>
        <w:jc w:val="both"/>
        <w:rPr>
          <w:rFonts w:asciiTheme="minorEastAsia" w:eastAsiaTheme="minorEastAsia" w:hAnsiTheme="minorEastAsia"/>
          <w:sz w:val="21"/>
          <w:szCs w:val="21"/>
        </w:rPr>
      </w:pPr>
    </w:p>
    <w:p w:rsidR="00A469CB">
      <w:pPr>
        <w:pStyle w:val="ReportLevel1"/>
        <w:numPr>
          <w:ilvl w:val="0"/>
          <w:numId w:val="33"/>
        </w:numPr>
        <w:spacing w:before="240" w:beforeLines="100" w:after="120" w:afterLines="50" w:line="360" w:lineRule="auto"/>
        <w:rPr>
          <w:rFonts w:asciiTheme="minorEastAsia" w:eastAsiaTheme="minorEastAsia" w:hAnsiTheme="minorEastAsia"/>
          <w:sz w:val="21"/>
          <w:szCs w:val="21"/>
          <w:lang w:val="en-US" w:eastAsia="zh-CN"/>
        </w:rPr>
      </w:pPr>
      <w:bookmarkStart w:id="350" w:name="_Toc455561606"/>
      <w:bookmarkStart w:id="351" w:name="_Toc103358942"/>
      <w:bookmarkStart w:id="352" w:name="_Toc502752639"/>
      <w:r>
        <w:rPr>
          <w:rFonts w:asciiTheme="minorEastAsia" w:eastAsiaTheme="minorEastAsia" w:hAnsiTheme="minorEastAsia" w:hint="eastAsia"/>
          <w:sz w:val="21"/>
          <w:szCs w:val="21"/>
          <w:lang w:val="en-US" w:eastAsia="zh-CN"/>
        </w:rPr>
        <w:t>供电条件</w:t>
      </w:r>
      <w:bookmarkEnd w:id="350"/>
      <w:bookmarkEnd w:id="351"/>
      <w:bookmarkEnd w:id="352"/>
    </w:p>
    <w:p w:rsidR="00A469CB">
      <w:pPr>
        <w:pStyle w:val="ReportLevel2"/>
        <w:spacing w:before="240" w:beforeLines="100" w:after="240" w:afterLines="10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val="en-US" w:eastAsia="zh-CN"/>
        </w:rPr>
        <w:t>除本技术规格说明书另有说明外，所有电气设备及安装应按下列的电压操作：</w:t>
      </w:r>
    </w:p>
    <w:p w:rsidR="00A469CB">
      <w:pPr>
        <w:tabs>
          <w:tab w:val="left" w:pos="2880"/>
        </w:tabs>
        <w:autoSpaceDE w:val="0"/>
        <w:autoSpaceDN w:val="0"/>
        <w:adjustRightInd w:val="0"/>
        <w:spacing w:before="120" w:beforeLines="50" w:after="120" w:afterLines="50"/>
        <w:ind w:left="1077"/>
        <w:jc w:val="both"/>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电压：</w:t>
      </w:r>
      <w:r>
        <w:rPr>
          <w:rFonts w:asciiTheme="minorEastAsia" w:eastAsiaTheme="minorEastAsia" w:hAnsiTheme="minorEastAsia"/>
          <w:sz w:val="21"/>
          <w:szCs w:val="21"/>
          <w:lang w:val="en-US" w:eastAsia="zh-CN"/>
        </w:rPr>
        <w:tab/>
        <w:t>10</w:t>
      </w:r>
      <w:r>
        <w:rPr>
          <w:rFonts w:asciiTheme="minorEastAsia" w:eastAsiaTheme="minorEastAsia" w:hAnsiTheme="minorEastAsia" w:hint="eastAsia"/>
          <w:sz w:val="21"/>
          <w:szCs w:val="21"/>
          <w:lang w:val="en-US" w:eastAsia="zh-CN"/>
        </w:rPr>
        <w:t>千伏供三相设备</w:t>
      </w:r>
    </w:p>
    <w:p w:rsidR="00A469CB">
      <w:pPr>
        <w:tabs>
          <w:tab w:val="left" w:pos="2880"/>
        </w:tabs>
        <w:autoSpaceDE w:val="0"/>
        <w:autoSpaceDN w:val="0"/>
        <w:adjustRightInd w:val="0"/>
        <w:spacing w:before="120" w:beforeLines="50" w:after="120" w:afterLines="50"/>
        <w:ind w:left="1077"/>
        <w:jc w:val="both"/>
        <w:rPr>
          <w:rFonts w:asciiTheme="minorEastAsia" w:eastAsiaTheme="minorEastAsia" w:hAnsiTheme="minorEastAsia"/>
          <w:sz w:val="21"/>
          <w:szCs w:val="21"/>
          <w:lang w:val="en-US" w:eastAsia="zh-CN"/>
        </w:rPr>
      </w:pPr>
      <w:r>
        <w:rPr>
          <w:rFonts w:asciiTheme="minorEastAsia" w:eastAsiaTheme="minorEastAsia" w:hAnsiTheme="minorEastAsia"/>
          <w:sz w:val="21"/>
          <w:szCs w:val="21"/>
          <w:lang w:val="en-US" w:eastAsia="zh-CN"/>
        </w:rPr>
        <w:tab/>
        <w:t>380</w:t>
      </w:r>
      <w:r>
        <w:rPr>
          <w:rFonts w:asciiTheme="minorEastAsia" w:eastAsiaTheme="minorEastAsia" w:hAnsiTheme="minorEastAsia" w:hint="eastAsia"/>
          <w:sz w:val="21"/>
          <w:szCs w:val="21"/>
          <w:lang w:val="en-US" w:eastAsia="zh-CN"/>
        </w:rPr>
        <w:t>伏供三相设备</w:t>
      </w:r>
    </w:p>
    <w:p w:rsidR="00A469CB">
      <w:pPr>
        <w:tabs>
          <w:tab w:val="left" w:pos="2880"/>
        </w:tabs>
        <w:autoSpaceDE w:val="0"/>
        <w:autoSpaceDN w:val="0"/>
        <w:adjustRightInd w:val="0"/>
        <w:spacing w:before="120" w:beforeLines="50" w:after="120" w:afterLines="50"/>
        <w:ind w:left="1077"/>
        <w:jc w:val="both"/>
        <w:rPr>
          <w:rFonts w:asciiTheme="minorEastAsia" w:eastAsiaTheme="minorEastAsia" w:hAnsiTheme="minorEastAsia"/>
          <w:sz w:val="21"/>
          <w:szCs w:val="21"/>
          <w:lang w:val="en-US" w:eastAsia="zh-CN"/>
        </w:rPr>
      </w:pPr>
      <w:r>
        <w:rPr>
          <w:rFonts w:asciiTheme="minorEastAsia" w:eastAsiaTheme="minorEastAsia" w:hAnsiTheme="minorEastAsia"/>
          <w:sz w:val="21"/>
          <w:szCs w:val="21"/>
          <w:lang w:val="en-US" w:eastAsia="zh-CN"/>
        </w:rPr>
        <w:tab/>
        <w:t>220</w:t>
      </w:r>
      <w:r>
        <w:rPr>
          <w:rFonts w:asciiTheme="minorEastAsia" w:eastAsiaTheme="minorEastAsia" w:hAnsiTheme="minorEastAsia" w:hint="eastAsia"/>
          <w:sz w:val="21"/>
          <w:szCs w:val="21"/>
          <w:lang w:val="en-US" w:eastAsia="zh-CN"/>
        </w:rPr>
        <w:t>伏供单相设备</w:t>
      </w:r>
    </w:p>
    <w:p w:rsidR="00A469CB">
      <w:pPr>
        <w:tabs>
          <w:tab w:val="left" w:pos="2880"/>
        </w:tabs>
        <w:spacing w:before="120" w:beforeLines="50" w:after="120" w:afterLines="50"/>
        <w:ind w:left="1077"/>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val="en-US" w:eastAsia="zh-CN"/>
        </w:rPr>
        <w:t>频率：</w:t>
      </w:r>
      <w:r>
        <w:rPr>
          <w:rFonts w:asciiTheme="minorEastAsia" w:eastAsiaTheme="minorEastAsia" w:hAnsiTheme="minorEastAsia"/>
          <w:sz w:val="21"/>
          <w:szCs w:val="21"/>
          <w:lang w:val="en-US" w:eastAsia="zh-CN"/>
        </w:rPr>
        <w:tab/>
        <w:t>50</w:t>
      </w:r>
      <w:r>
        <w:rPr>
          <w:rFonts w:asciiTheme="minorEastAsia" w:eastAsiaTheme="minorEastAsia" w:hAnsiTheme="minorEastAsia" w:hint="eastAsia"/>
          <w:sz w:val="21"/>
          <w:szCs w:val="21"/>
          <w:lang w:val="en-US" w:eastAsia="zh-CN"/>
        </w:rPr>
        <w:t>赫兹</w:t>
      </w:r>
    </w:p>
    <w:p w:rsidR="00A469CB">
      <w:pPr>
        <w:pStyle w:val="ReportLevel2"/>
        <w:spacing w:before="240" w:beforeLines="100" w:after="240" w:afterLines="10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val="en-US" w:eastAsia="zh-CN"/>
        </w:rPr>
        <w:t>除上述所说明外，所有电气设备亦须适合下列操作条件：</w:t>
      </w:r>
    </w:p>
    <w:p w:rsidR="00A469CB">
      <w:pPr>
        <w:tabs>
          <w:tab w:val="left" w:pos="2880"/>
        </w:tabs>
        <w:autoSpaceDE w:val="0"/>
        <w:autoSpaceDN w:val="0"/>
        <w:adjustRightInd w:val="0"/>
        <w:spacing w:before="120" w:beforeLines="50" w:after="120" w:afterLines="50"/>
        <w:ind w:left="1077"/>
        <w:jc w:val="both"/>
        <w:rPr>
          <w:rFonts w:asciiTheme="minorEastAsia" w:eastAsiaTheme="minorEastAsia" w:hAnsiTheme="minorEastAsia"/>
          <w:sz w:val="21"/>
          <w:szCs w:val="21"/>
          <w:lang w:val="en-US" w:eastAsia="zh-CN"/>
        </w:rPr>
      </w:pPr>
      <w:bookmarkStart w:id="353" w:name="_Hlk33433803"/>
      <w:r>
        <w:rPr>
          <w:rFonts w:asciiTheme="minorEastAsia" w:eastAsiaTheme="minorEastAsia" w:hAnsiTheme="minorEastAsia" w:hint="eastAsia"/>
          <w:sz w:val="21"/>
          <w:szCs w:val="21"/>
          <w:lang w:val="en-US" w:eastAsia="zh-CN"/>
        </w:rPr>
        <w:t>电压波动：</w:t>
      </w:r>
      <w:r>
        <w:rPr>
          <w:rFonts w:asciiTheme="minorEastAsia" w:eastAsiaTheme="minorEastAsia" w:hAnsiTheme="minorEastAsia"/>
          <w:sz w:val="21"/>
          <w:szCs w:val="21"/>
          <w:lang w:val="en-US" w:eastAsia="zh-CN"/>
        </w:rPr>
        <w:tab/>
      </w:r>
      <w:r>
        <w:rPr>
          <w:rFonts w:asciiTheme="minorEastAsia" w:eastAsiaTheme="minorEastAsia" w:hAnsiTheme="minorEastAsia" w:hint="eastAsia"/>
          <w:sz w:val="21"/>
          <w:szCs w:val="21"/>
          <w:lang w:val="en-US" w:eastAsia="zh-CN"/>
        </w:rPr>
        <w:t>±</w:t>
      </w:r>
      <w:r>
        <w:rPr>
          <w:rFonts w:asciiTheme="minorEastAsia" w:eastAsiaTheme="minorEastAsia" w:hAnsiTheme="minorEastAsia"/>
          <w:sz w:val="21"/>
          <w:szCs w:val="21"/>
          <w:lang w:val="en-US" w:eastAsia="zh-CN"/>
        </w:rPr>
        <w:t>10%</w:t>
      </w:r>
      <w:r>
        <w:rPr>
          <w:rFonts w:asciiTheme="minorEastAsia" w:eastAsiaTheme="minorEastAsia" w:hAnsiTheme="minorEastAsia" w:hint="eastAsia"/>
          <w:sz w:val="21"/>
          <w:szCs w:val="21"/>
          <w:lang w:val="en-US" w:eastAsia="zh-CN"/>
        </w:rPr>
        <w:t>正常数值</w:t>
      </w:r>
    </w:p>
    <w:p w:rsidR="00A469CB">
      <w:pPr>
        <w:tabs>
          <w:tab w:val="left" w:pos="2880"/>
        </w:tabs>
        <w:autoSpaceDE w:val="0"/>
        <w:autoSpaceDN w:val="0"/>
        <w:adjustRightInd w:val="0"/>
        <w:spacing w:before="120" w:beforeLines="50" w:after="120" w:afterLines="50"/>
        <w:ind w:left="1077"/>
        <w:jc w:val="both"/>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频率波动：</w:t>
      </w:r>
      <w:r>
        <w:rPr>
          <w:rFonts w:asciiTheme="minorEastAsia" w:eastAsiaTheme="minorEastAsia" w:hAnsiTheme="minorEastAsia"/>
          <w:sz w:val="21"/>
          <w:szCs w:val="21"/>
          <w:lang w:val="en-US" w:eastAsia="zh-CN"/>
        </w:rPr>
        <w:tab/>
      </w:r>
      <w:r>
        <w:rPr>
          <w:rFonts w:asciiTheme="minorEastAsia" w:eastAsiaTheme="minorEastAsia" w:hAnsiTheme="minorEastAsia" w:hint="eastAsia"/>
          <w:sz w:val="21"/>
          <w:szCs w:val="21"/>
          <w:lang w:val="en-US" w:eastAsia="zh-CN"/>
        </w:rPr>
        <w:t>±</w:t>
      </w:r>
      <w:r>
        <w:rPr>
          <w:rFonts w:asciiTheme="minorEastAsia" w:eastAsiaTheme="minorEastAsia" w:hAnsiTheme="minorEastAsia"/>
          <w:sz w:val="21"/>
          <w:szCs w:val="21"/>
          <w:lang w:val="en-US" w:eastAsia="zh-CN"/>
        </w:rPr>
        <w:t>2%</w:t>
      </w:r>
      <w:r>
        <w:rPr>
          <w:rFonts w:asciiTheme="minorEastAsia" w:eastAsiaTheme="minorEastAsia" w:hAnsiTheme="minorEastAsia" w:hint="eastAsia"/>
          <w:sz w:val="21"/>
          <w:szCs w:val="21"/>
          <w:lang w:val="en-US" w:eastAsia="zh-CN"/>
        </w:rPr>
        <w:t>正常数值</w:t>
      </w:r>
    </w:p>
    <w:p w:rsidR="00A469CB">
      <w:pPr>
        <w:tabs>
          <w:tab w:val="left" w:pos="2880"/>
        </w:tabs>
        <w:autoSpaceDE w:val="0"/>
        <w:autoSpaceDN w:val="0"/>
        <w:adjustRightInd w:val="0"/>
        <w:spacing w:before="120" w:beforeLines="50" w:after="120" w:afterLines="50"/>
        <w:ind w:left="1077"/>
        <w:jc w:val="both"/>
        <w:rPr>
          <w:rFonts w:asciiTheme="minorEastAsia" w:eastAsiaTheme="minorEastAsia" w:hAnsiTheme="minorEastAsia"/>
          <w:sz w:val="21"/>
          <w:szCs w:val="21"/>
          <w:lang w:val="en-US" w:eastAsia="zh-CN"/>
        </w:rPr>
      </w:pPr>
    </w:p>
    <w:p w:rsidR="00A469CB">
      <w:pPr>
        <w:pStyle w:val="ReportLevel1"/>
        <w:numPr>
          <w:ilvl w:val="0"/>
          <w:numId w:val="33"/>
        </w:numPr>
        <w:spacing w:before="240" w:beforeLines="100" w:after="120" w:afterLines="50" w:line="360" w:lineRule="auto"/>
        <w:rPr>
          <w:rFonts w:asciiTheme="minorEastAsia" w:eastAsiaTheme="minorEastAsia" w:hAnsiTheme="minorEastAsia"/>
          <w:sz w:val="21"/>
          <w:szCs w:val="21"/>
          <w:lang w:val="en-US" w:eastAsia="zh-CN"/>
        </w:rPr>
      </w:pPr>
      <w:bookmarkStart w:id="354" w:name="_Toc510538265"/>
      <w:bookmarkStart w:id="355" w:name="_Toc502752642"/>
      <w:bookmarkStart w:id="356" w:name="_Toc455561609"/>
      <w:bookmarkStart w:id="357" w:name="_Toc103358943"/>
      <w:bookmarkEnd w:id="353"/>
      <w:bookmarkEnd w:id="354"/>
      <w:r>
        <w:rPr>
          <w:rFonts w:asciiTheme="minorEastAsia" w:eastAsiaTheme="minorEastAsia" w:hAnsiTheme="minorEastAsia" w:hint="eastAsia"/>
          <w:sz w:val="21"/>
          <w:szCs w:val="21"/>
          <w:lang w:val="en-US" w:eastAsia="zh-CN"/>
        </w:rPr>
        <w:t>定位</w:t>
      </w:r>
      <w:bookmarkEnd w:id="355"/>
      <w:bookmarkEnd w:id="356"/>
      <w:bookmarkEnd w:id="357"/>
    </w:p>
    <w:p w:rsidR="00A469CB">
      <w:pPr>
        <w:pStyle w:val="ReportLevel2"/>
        <w:spacing w:before="240" w:beforeLines="100" w:after="240" w:afterLines="100"/>
        <w:jc w:val="both"/>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承包单位应负责将其系统所有设备安装在正确和合适的位置、标高、空间和准线上，并提供一切所需之仪器、装备和人员以确保定位之准确性。在施工期之任何时间内，如发觉其设备所装置的位置、标高、尺寸或准线错误，承包单位应负责修改及承担一切有关之费用。</w:t>
      </w:r>
    </w:p>
    <w:p w:rsidR="00A469CB">
      <w:pPr>
        <w:pStyle w:val="ReportLevel2"/>
        <w:spacing w:before="240" w:beforeLines="100" w:after="240" w:afterLines="100"/>
        <w:jc w:val="both"/>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承包单位应负责工地上其装置位置之测量及核查，并在工地上标示其建筑工作要求。</w:t>
      </w:r>
    </w:p>
    <w:p w:rsidR="00A469CB">
      <w:pPr>
        <w:pStyle w:val="ReportLevel2"/>
        <w:spacing w:before="240" w:beforeLines="100" w:after="240" w:afterLines="100"/>
        <w:jc w:val="both"/>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承包单位应确保其系统装备能完全配合和放置在预留的位置上，并留</w:t>
      </w:r>
      <w:r>
        <w:rPr>
          <w:rFonts w:asciiTheme="minorEastAsia" w:eastAsiaTheme="minorEastAsia" w:hAnsiTheme="minorEastAsia" w:hint="eastAsia"/>
          <w:sz w:val="21"/>
          <w:szCs w:val="21"/>
          <w:lang w:eastAsia="zh-CN"/>
        </w:rPr>
        <w:t>有</w:t>
      </w:r>
      <w:r>
        <w:rPr>
          <w:rFonts w:asciiTheme="minorEastAsia" w:eastAsiaTheme="minorEastAsia" w:hAnsiTheme="minorEastAsia" w:hint="eastAsia"/>
          <w:sz w:val="21"/>
          <w:szCs w:val="21"/>
          <w:lang w:val="en-US" w:eastAsia="zh-CN"/>
        </w:rPr>
        <w:t>充裕之空间作为将来维修及保养之用。</w:t>
      </w:r>
      <w:r>
        <w:rPr>
          <w:rFonts w:asciiTheme="minorEastAsia" w:eastAsiaTheme="minorEastAsia" w:hAnsiTheme="minorEastAsia" w:hint="eastAsia"/>
          <w:sz w:val="21"/>
          <w:szCs w:val="21"/>
          <w:lang w:val="en-US" w:eastAsia="zh-CN"/>
        </w:rPr>
        <w:t>若承包</w:t>
      </w:r>
      <w:r>
        <w:rPr>
          <w:rFonts w:asciiTheme="minorEastAsia" w:eastAsiaTheme="minorEastAsia" w:hAnsiTheme="minorEastAsia" w:hint="eastAsia"/>
          <w:sz w:val="21"/>
          <w:szCs w:val="21"/>
          <w:lang w:val="en-US" w:eastAsia="zh-CN"/>
        </w:rPr>
        <w:t>单位的工作未能达至上述需求，应负责按业主要求修改并承担一切有关费用。</w:t>
      </w:r>
    </w:p>
    <w:p w:rsidR="00A469CB">
      <w:pPr>
        <w:pStyle w:val="ReportLevel1"/>
        <w:spacing w:before="240" w:beforeLines="100" w:after="240" w:afterLines="100"/>
        <w:rPr>
          <w:rFonts w:asciiTheme="minorEastAsia" w:eastAsiaTheme="minorEastAsia" w:hAnsiTheme="minorEastAsia"/>
          <w:sz w:val="21"/>
          <w:szCs w:val="21"/>
          <w:lang w:val="en-US" w:eastAsia="zh-CN"/>
        </w:rPr>
        <w:sectPr>
          <w:headerReference w:type="default" r:id="rId31"/>
          <w:footerReference w:type="default" r:id="rId32"/>
          <w:type w:val="nextPage"/>
          <w:pgSz w:w="11906" w:h="16838"/>
          <w:pgMar w:top="1814" w:right="1418" w:bottom="1418" w:left="1814" w:header="851" w:footer="992" w:gutter="0"/>
          <w:pgNumType w:start="12"/>
          <w:cols w:space="425"/>
          <w:titlePg w:val="0"/>
          <w:docGrid w:linePitch="312"/>
        </w:sectPr>
      </w:pPr>
      <w:bookmarkStart w:id="358" w:name="_Toc510538267"/>
      <w:bookmarkStart w:id="359" w:name="_Toc502752643"/>
      <w:bookmarkStart w:id="360" w:name="_Toc455561610"/>
      <w:bookmarkEnd w:id="358"/>
    </w:p>
    <w:p w:rsidR="00A469CB">
      <w:pPr>
        <w:pStyle w:val="ReportLevel1"/>
        <w:numPr>
          <w:ilvl w:val="0"/>
          <w:numId w:val="0"/>
        </w:numPr>
        <w:spacing w:before="240" w:beforeLines="100" w:after="240" w:afterLines="100"/>
        <w:ind w:left="1077"/>
        <w:rPr>
          <w:rFonts w:asciiTheme="minorEastAsia" w:eastAsiaTheme="minorEastAsia" w:hAnsiTheme="minorEastAsia"/>
          <w:sz w:val="21"/>
          <w:szCs w:val="21"/>
          <w:lang w:val="en-US" w:eastAsia="zh-CN"/>
        </w:rPr>
      </w:pPr>
      <w:bookmarkStart w:id="361" w:name="_Toc39135129"/>
      <w:bookmarkStart w:id="362" w:name="_Toc34462980"/>
      <w:bookmarkStart w:id="363" w:name="_Toc103358944"/>
      <w:bookmarkStart w:id="364" w:name="_Toc34462307"/>
      <w:bookmarkStart w:id="365" w:name="_Toc74125152"/>
      <w:r>
        <w:rPr>
          <w:rFonts w:asciiTheme="minorEastAsia" w:eastAsiaTheme="minorEastAsia" w:hAnsiTheme="minorEastAsia" w:hint="eastAsia"/>
          <w:sz w:val="21"/>
          <w:szCs w:val="21"/>
          <w:lang w:val="en-US" w:eastAsia="zh-CN"/>
        </w:rPr>
        <w:t>工地现场条件勘察</w:t>
      </w:r>
      <w:bookmarkEnd w:id="361"/>
      <w:bookmarkEnd w:id="362"/>
      <w:bookmarkEnd w:id="363"/>
      <w:bookmarkEnd w:id="364"/>
      <w:bookmarkEnd w:id="365"/>
    </w:p>
    <w:p w:rsidR="00A469CB">
      <w:pPr>
        <w:pStyle w:val="ReportLevel2"/>
        <w:keepNext w:val="0"/>
        <w:spacing w:before="240" w:beforeLines="100" w:after="240" w:afterLines="100"/>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当工地</w:t>
      </w:r>
      <w:r>
        <w:rPr>
          <w:rFonts w:asciiTheme="minorEastAsia" w:eastAsiaTheme="minorEastAsia" w:hAnsiTheme="minorEastAsia" w:hint="eastAsia"/>
          <w:sz w:val="21"/>
          <w:szCs w:val="21"/>
          <w:lang w:val="en-US" w:eastAsia="zh-CN"/>
        </w:rPr>
        <w:t>现场的土建工作已陆续展开时，为配合有关智能化系统的安装，在建筑方面已预留部分设施，包括各弱电用房的安排、墙体及楼板孔洞、管道之预留、或设备基础等。上述预留的设施因未经智能化承包单位协调，其大小、数量或位置未必完善、承包单位议标前宜作实地考察，将需要加添或修改之工作提出并包括在标价内，否则日后一切所需之土建改动及对工程进度引致之延续的损失，需由承包单位负责。</w:t>
      </w:r>
    </w:p>
    <w:p w:rsidR="00A469CB">
      <w:pPr>
        <w:pStyle w:val="ReportLevel2"/>
        <w:keepNext w:val="0"/>
        <w:spacing w:before="240" w:beforeLines="100" w:after="240" w:afterLines="100"/>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在收到正式中标通告书及图纸后之二十一天内，承包单位须以书面确认并提供会对建筑结构的形体和强度有影响的有关资料，包括设备进出的吊装孔洞要求，供建筑师</w:t>
      </w:r>
      <w:r>
        <w:rPr>
          <w:rFonts w:asciiTheme="minorEastAsia" w:eastAsiaTheme="minorEastAsia" w:hAnsiTheme="minorEastAsia"/>
          <w:sz w:val="21"/>
          <w:szCs w:val="21"/>
          <w:lang w:val="en-US" w:eastAsia="zh-CN"/>
        </w:rPr>
        <w:t>/</w:t>
      </w:r>
      <w:r>
        <w:rPr>
          <w:rFonts w:asciiTheme="minorEastAsia" w:eastAsiaTheme="minorEastAsia" w:hAnsiTheme="minorEastAsia" w:hint="eastAsia"/>
          <w:sz w:val="21"/>
          <w:szCs w:val="21"/>
          <w:lang w:val="en-US" w:eastAsia="zh-CN"/>
        </w:rPr>
        <w:t>工程</w:t>
      </w:r>
      <w:r>
        <w:rPr>
          <w:rFonts w:asciiTheme="minorEastAsia" w:eastAsiaTheme="minorEastAsia" w:hAnsiTheme="minorEastAsia" w:hint="eastAsia"/>
          <w:sz w:val="21"/>
          <w:szCs w:val="21"/>
          <w:lang w:val="en-US" w:eastAsia="zh-CN"/>
        </w:rPr>
        <w:t>师审核。</w:t>
      </w:r>
    </w:p>
    <w:p w:rsidR="00A469CB">
      <w:pPr>
        <w:pStyle w:val="ReportLevel2"/>
        <w:keepNext w:val="0"/>
        <w:spacing w:before="240" w:beforeLines="100" w:after="240" w:afterLines="100"/>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在实际施工进行前，承包单位须以书面确认有关预留的设施可满足本合约范围内施工的要求。如有需要，承包单位须提供打凿土建的资料给予工程师批准。</w:t>
      </w:r>
    </w:p>
    <w:p w:rsidR="00A469CB">
      <w:pPr>
        <w:rPr>
          <w:rFonts w:asciiTheme="minorEastAsia" w:eastAsiaTheme="minorEastAsia" w:hAnsiTheme="minorEastAsia"/>
          <w:b/>
          <w:caps/>
          <w:sz w:val="21"/>
          <w:szCs w:val="21"/>
          <w:lang w:val="en-US" w:eastAsia="zh-CN"/>
        </w:rPr>
      </w:pPr>
    </w:p>
    <w:p w:rsidR="00A469CB">
      <w:pPr>
        <w:pStyle w:val="ReportLevel1"/>
        <w:spacing w:before="240" w:beforeLines="100" w:after="240" w:afterLines="100"/>
        <w:rPr>
          <w:rFonts w:asciiTheme="minorEastAsia" w:eastAsiaTheme="minorEastAsia" w:hAnsiTheme="minorEastAsia"/>
          <w:sz w:val="21"/>
          <w:szCs w:val="21"/>
          <w:lang w:val="en-US" w:eastAsia="zh-CN"/>
        </w:rPr>
      </w:pPr>
      <w:bookmarkStart w:id="366" w:name="_Toc74125153"/>
      <w:bookmarkStart w:id="367" w:name="_Toc39135130"/>
      <w:bookmarkStart w:id="368" w:name="_Toc34462981"/>
      <w:bookmarkStart w:id="369" w:name="_Toc103358945"/>
      <w:bookmarkStart w:id="370" w:name="_Toc34462308"/>
      <w:r>
        <w:rPr>
          <w:rFonts w:asciiTheme="minorEastAsia" w:eastAsiaTheme="minorEastAsia" w:hAnsiTheme="minorEastAsia" w:hint="eastAsia"/>
          <w:sz w:val="21"/>
          <w:szCs w:val="21"/>
          <w:lang w:val="en-US" w:eastAsia="zh-CN"/>
        </w:rPr>
        <w:t>工作协调及配合</w:t>
      </w:r>
      <w:bookmarkEnd w:id="366"/>
      <w:bookmarkEnd w:id="367"/>
      <w:bookmarkEnd w:id="368"/>
      <w:bookmarkEnd w:id="369"/>
      <w:bookmarkEnd w:id="370"/>
    </w:p>
    <w:p w:rsidR="00A469CB">
      <w:pPr>
        <w:pStyle w:val="ReportLevel2"/>
        <w:keepNext w:val="0"/>
        <w:spacing w:before="240" w:beforeLines="100" w:after="240" w:afterLines="100"/>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在招标图纸及合同规范上之管线及设备布置之安排，用意是表示一般布置要求及基本设计要求，实际承包单位需协调所有设备并与其它承包单位协调，做出最合理之安排。</w:t>
      </w:r>
    </w:p>
    <w:p w:rsidR="00A469CB">
      <w:pPr>
        <w:pStyle w:val="ReportLevel2"/>
        <w:keepNext w:val="0"/>
        <w:spacing w:before="240" w:beforeLines="100" w:after="240" w:afterLines="100"/>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如因工地环境，承包单位对系统</w:t>
      </w:r>
      <w:r>
        <w:rPr>
          <w:rFonts w:asciiTheme="minorEastAsia" w:eastAsiaTheme="minorEastAsia" w:hAnsiTheme="minorEastAsia" w:hint="eastAsia"/>
          <w:sz w:val="21"/>
          <w:szCs w:val="21"/>
          <w:lang w:val="en-US" w:eastAsia="zh-CN"/>
        </w:rPr>
        <w:t>做出部</w:t>
      </w:r>
      <w:r>
        <w:rPr>
          <w:rFonts w:asciiTheme="minorEastAsia" w:eastAsiaTheme="minorEastAsia" w:hAnsiTheme="minorEastAsia" w:hint="eastAsia"/>
          <w:sz w:val="21"/>
          <w:szCs w:val="21"/>
          <w:lang w:val="en-US" w:eastAsia="zh-CN"/>
        </w:rPr>
        <w:t>份修改，这些细节须向业主申请批准。整个系统的供应及安装应等完全得到业主代表的认可。</w:t>
      </w:r>
    </w:p>
    <w:p w:rsidR="00A469CB">
      <w:pPr>
        <w:pStyle w:val="ReportLevel2"/>
        <w:keepNext w:val="0"/>
        <w:spacing w:before="240" w:beforeLines="100" w:after="240" w:afterLines="100"/>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承包单位应向总承包单位取得最新之技术资料、细节、其它承包单位工作的布置图与及最新的建筑及结构图纸，</w:t>
      </w:r>
      <w:r>
        <w:rPr>
          <w:rFonts w:asciiTheme="minorEastAsia" w:eastAsiaTheme="minorEastAsia" w:hAnsiTheme="minorEastAsia" w:hint="eastAsia"/>
          <w:sz w:val="21"/>
          <w:szCs w:val="21"/>
          <w:lang w:val="en-US" w:eastAsia="zh-CN"/>
        </w:rPr>
        <w:t>经完全</w:t>
      </w:r>
      <w:r>
        <w:rPr>
          <w:rFonts w:asciiTheme="minorEastAsia" w:eastAsiaTheme="minorEastAsia" w:hAnsiTheme="minorEastAsia" w:hint="eastAsia"/>
          <w:sz w:val="21"/>
          <w:szCs w:val="21"/>
          <w:lang w:val="en-US" w:eastAsia="zh-CN"/>
        </w:rPr>
        <w:t>协调后，在其深化施工图上按照实际要求将设备布置及安装恰当。</w:t>
      </w:r>
    </w:p>
    <w:p w:rsidR="00A469CB">
      <w:pPr>
        <w:pStyle w:val="ReportLevel2"/>
        <w:keepNext w:val="0"/>
        <w:spacing w:before="240" w:beforeLines="100" w:after="240" w:afterLines="100"/>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承包单位应向总承包单位提供技术资料，细节及其系统设备布置图纸，并与总承包单位及其它承包单位合作和协调，使工程能适当和顺利地完成。</w:t>
      </w:r>
    </w:p>
    <w:p w:rsidR="00A469CB">
      <w:pPr>
        <w:pStyle w:val="ReportLevel2"/>
        <w:keepNext w:val="0"/>
        <w:spacing w:before="240" w:beforeLines="100" w:after="240" w:afterLines="100"/>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承包单位应负责及承担所有因其</w:t>
      </w:r>
      <w:r>
        <w:rPr>
          <w:rFonts w:asciiTheme="minorEastAsia" w:eastAsiaTheme="minorEastAsia" w:hAnsiTheme="minorEastAsia" w:hint="eastAsia"/>
          <w:sz w:val="21"/>
          <w:szCs w:val="21"/>
          <w:lang w:val="en-US" w:eastAsia="zh-CN"/>
        </w:rPr>
        <w:t>未经或</w:t>
      </w:r>
      <w:r>
        <w:rPr>
          <w:rFonts w:asciiTheme="minorEastAsia" w:eastAsiaTheme="minorEastAsia" w:hAnsiTheme="minorEastAsia" w:hint="eastAsia"/>
          <w:sz w:val="21"/>
          <w:szCs w:val="21"/>
          <w:lang w:val="en-US" w:eastAsia="zh-CN"/>
        </w:rPr>
        <w:t>不恰当地与总承包单位和其它承包单位的协调及合作而引致之错误及工期进度之延误之损失，并包括将装备拆下及重新安装之费用。</w:t>
      </w:r>
    </w:p>
    <w:p w:rsidR="00A469CB">
      <w:pPr>
        <w:rPr>
          <w:rFonts w:asciiTheme="minorEastAsia" w:eastAsiaTheme="minorEastAsia" w:hAnsiTheme="minorEastAsia"/>
          <w:b/>
          <w:caps/>
          <w:sz w:val="21"/>
          <w:szCs w:val="21"/>
          <w:lang w:val="en-US" w:eastAsia="zh-CN"/>
        </w:rPr>
        <w:sectPr>
          <w:headerReference w:type="default" r:id="rId33"/>
          <w:footerReference w:type="default" r:id="rId34"/>
          <w:type w:val="nextPage"/>
          <w:pgSz w:w="11906" w:h="16838"/>
          <w:pgMar w:top="1814" w:right="1418" w:bottom="1418" w:left="1814" w:header="851" w:footer="992" w:gutter="0"/>
          <w:pgNumType w:start="13"/>
          <w:cols w:space="425"/>
          <w:titlePg w:val="0"/>
          <w:docGrid w:linePitch="312"/>
        </w:sectPr>
      </w:pPr>
    </w:p>
    <w:p w:rsidR="00A469CB">
      <w:pPr>
        <w:pStyle w:val="ReportLevel1"/>
        <w:numPr>
          <w:ilvl w:val="0"/>
          <w:numId w:val="33"/>
        </w:numPr>
        <w:spacing w:before="240" w:beforeLines="100" w:after="120" w:afterLines="50" w:line="360" w:lineRule="auto"/>
        <w:rPr>
          <w:rFonts w:asciiTheme="minorEastAsia" w:eastAsiaTheme="minorEastAsia" w:hAnsiTheme="minorEastAsia"/>
          <w:sz w:val="21"/>
          <w:szCs w:val="21"/>
          <w:lang w:val="en-US" w:eastAsia="zh-CN"/>
        </w:rPr>
      </w:pPr>
      <w:bookmarkStart w:id="371" w:name="_Toc103358946"/>
      <w:r>
        <w:rPr>
          <w:rFonts w:asciiTheme="minorEastAsia" w:eastAsiaTheme="minorEastAsia" w:hAnsiTheme="minorEastAsia" w:hint="eastAsia"/>
          <w:sz w:val="21"/>
          <w:szCs w:val="21"/>
          <w:lang w:val="en-US" w:eastAsia="zh-CN"/>
        </w:rPr>
        <w:t>物料的存储及保管</w:t>
      </w:r>
      <w:bookmarkEnd w:id="359"/>
      <w:bookmarkEnd w:id="360"/>
      <w:bookmarkEnd w:id="371"/>
    </w:p>
    <w:p w:rsidR="00A469CB">
      <w:pPr>
        <w:pStyle w:val="ReportLevel2"/>
        <w:spacing w:before="240" w:beforeLines="100" w:after="240" w:afterLines="100"/>
        <w:jc w:val="both"/>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承包单位应充分了解施工现场其物料及其摆放位置，</w:t>
      </w:r>
      <w:r>
        <w:rPr>
          <w:rFonts w:asciiTheme="minorEastAsia" w:eastAsiaTheme="minorEastAsia" w:hAnsiTheme="minorEastAsia" w:hint="eastAsia"/>
          <w:sz w:val="21"/>
          <w:szCs w:val="21"/>
          <w:lang w:val="en-US" w:eastAsia="zh-CN"/>
        </w:rPr>
        <w:t>并按照进度计划安排设备及物料运抵现场。所有贮存于施工现场以外的物料、设备，其费用均由承包单位负责。</w:t>
      </w:r>
    </w:p>
    <w:p w:rsidR="00A469CB">
      <w:pPr>
        <w:pStyle w:val="ReportLevel2"/>
        <w:spacing w:before="240" w:beforeLines="100" w:after="240" w:afterLines="100"/>
        <w:jc w:val="both"/>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贮</w:t>
      </w:r>
      <w:r>
        <w:rPr>
          <w:rFonts w:asciiTheme="minorEastAsia" w:eastAsiaTheme="minorEastAsia" w:hAnsiTheme="minorEastAsia" w:hint="eastAsia"/>
          <w:sz w:val="21"/>
          <w:szCs w:val="21"/>
          <w:lang w:val="en-US" w:eastAsia="zh-CN"/>
        </w:rPr>
        <w:t>放于现场之设备及物料均应跟从制造商建议之贮藏方法，并且保证不违反质量保证书所规定之贮藏方法。</w:t>
      </w:r>
    </w:p>
    <w:p w:rsidR="00A469CB">
      <w:pPr>
        <w:pStyle w:val="ReportLevel2"/>
        <w:spacing w:before="240" w:beforeLines="100" w:after="240" w:afterLines="100"/>
        <w:jc w:val="both"/>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工程分期付款内之设备及物料，其存放均应接受包括但不限于业主、监理单位的检查。</w:t>
      </w:r>
    </w:p>
    <w:p w:rsidR="00A469CB">
      <w:pPr>
        <w:pStyle w:val="ReportLevel2"/>
        <w:spacing w:before="240" w:beforeLines="100" w:after="240" w:afterLines="100"/>
        <w:jc w:val="both"/>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对运抵工地之钢管，应采用被认可之保护涂层保护，并采取适当措施使之不会生锈。</w:t>
      </w:r>
    </w:p>
    <w:p w:rsidR="00A469CB">
      <w:pPr>
        <w:pStyle w:val="ReportLevel2"/>
        <w:spacing w:before="240" w:beforeLines="100" w:after="240" w:afterLines="100"/>
        <w:jc w:val="both"/>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不允许将其它管道或物料摆放于内衬保温层的管道内。管道的摆放应跟从下述之原则﹕摆放于最低层之管道不可与地面直接接触，分层堆放之窝接管道，其承接</w:t>
      </w:r>
      <w:r>
        <w:rPr>
          <w:rFonts w:asciiTheme="minorEastAsia" w:eastAsiaTheme="minorEastAsia" w:hAnsiTheme="minorEastAsia" w:hint="eastAsia"/>
          <w:sz w:val="21"/>
          <w:szCs w:val="21"/>
          <w:lang w:val="en-US" w:eastAsia="zh-CN"/>
        </w:rPr>
        <w:t>口端应逐层</w:t>
      </w:r>
      <w:r>
        <w:rPr>
          <w:rFonts w:asciiTheme="minorEastAsia" w:eastAsiaTheme="minorEastAsia" w:hAnsiTheme="minorEastAsia" w:hint="eastAsia"/>
          <w:sz w:val="21"/>
          <w:szCs w:val="21"/>
          <w:lang w:val="en-US" w:eastAsia="zh-CN"/>
        </w:rPr>
        <w:t>调换位置摆放</w:t>
      </w:r>
      <w:r>
        <w:rPr>
          <w:rFonts w:asciiTheme="minorEastAsia" w:eastAsiaTheme="minorEastAsia" w:hAnsiTheme="minorEastAsia" w:hint="eastAsia"/>
          <w:sz w:val="21"/>
          <w:szCs w:val="21"/>
          <w:lang w:val="en-US" w:eastAsia="zh-CN"/>
        </w:rPr>
        <w:t>，堆放高度不得超过二米或不得超过七层</w:t>
      </w:r>
      <w:r>
        <w:rPr>
          <w:rFonts w:asciiTheme="minorEastAsia" w:eastAsiaTheme="minorEastAsia" w:hAnsiTheme="minorEastAsia"/>
          <w:sz w:val="21"/>
          <w:szCs w:val="21"/>
          <w:lang w:val="en-US" w:eastAsia="zh-CN"/>
        </w:rPr>
        <w:t>(</w:t>
      </w:r>
      <w:r>
        <w:rPr>
          <w:rFonts w:asciiTheme="minorEastAsia" w:eastAsiaTheme="minorEastAsia" w:hAnsiTheme="minorEastAsia" w:hint="eastAsia"/>
          <w:sz w:val="21"/>
          <w:szCs w:val="21"/>
          <w:lang w:val="en-US" w:eastAsia="zh-CN"/>
        </w:rPr>
        <w:t>取最小高度者</w:t>
      </w:r>
      <w:r>
        <w:rPr>
          <w:rFonts w:asciiTheme="minorEastAsia" w:eastAsiaTheme="minorEastAsia" w:hAnsiTheme="minorEastAsia"/>
          <w:sz w:val="21"/>
          <w:szCs w:val="21"/>
          <w:lang w:val="en-US" w:eastAsia="zh-CN"/>
        </w:rPr>
        <w:t>)</w:t>
      </w:r>
      <w:r>
        <w:rPr>
          <w:rFonts w:asciiTheme="minorEastAsia" w:eastAsiaTheme="minorEastAsia" w:hAnsiTheme="minorEastAsia" w:hint="eastAsia"/>
          <w:sz w:val="21"/>
          <w:szCs w:val="21"/>
          <w:lang w:val="en-US" w:eastAsia="zh-CN"/>
        </w:rPr>
        <w:t>。</w:t>
      </w:r>
    </w:p>
    <w:p w:rsidR="00A469CB">
      <w:pPr>
        <w:pStyle w:val="ReportLevel2"/>
        <w:spacing w:before="240" w:beforeLines="100" w:after="240" w:afterLines="100"/>
        <w:jc w:val="both"/>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在施工现场，对由于不适当之存放而引起的设备损坏、遗失，承包单位有责任立即补充、更换损坏的设备及材料，以跟从施工进度，而费用由承包单位负责。</w:t>
      </w:r>
    </w:p>
    <w:p w:rsidR="00A469CB">
      <w:pPr>
        <w:pStyle w:val="ReportLevel2"/>
        <w:spacing w:before="240" w:beforeLines="100" w:after="240" w:afterLines="100"/>
        <w:jc w:val="both"/>
        <w:rPr>
          <w:rFonts w:asciiTheme="minorEastAsia" w:eastAsiaTheme="minorEastAsia" w:hAnsiTheme="minorEastAsia"/>
          <w:sz w:val="21"/>
          <w:szCs w:val="21"/>
          <w:lang w:val="en-US" w:eastAsia="zh-CN"/>
        </w:rPr>
      </w:pPr>
      <w:r>
        <w:rPr>
          <w:rFonts w:asciiTheme="minorEastAsia" w:eastAsiaTheme="minorEastAsia" w:hAnsiTheme="minorEastAsia"/>
          <w:sz w:val="21"/>
          <w:szCs w:val="21"/>
          <w:lang w:val="en-US" w:eastAsia="zh-CN"/>
        </w:rPr>
        <w:t>PVC(</w:t>
      </w:r>
      <w:r>
        <w:rPr>
          <w:rFonts w:asciiTheme="minorEastAsia" w:eastAsiaTheme="minorEastAsia" w:hAnsiTheme="minorEastAsia" w:hint="eastAsia"/>
          <w:sz w:val="21"/>
          <w:szCs w:val="21"/>
          <w:lang w:val="en-US" w:eastAsia="zh-CN"/>
        </w:rPr>
        <w:t>聚氯乙烯</w:t>
      </w:r>
      <w:r>
        <w:rPr>
          <w:rFonts w:asciiTheme="minorEastAsia" w:eastAsiaTheme="minorEastAsia" w:hAnsiTheme="minorEastAsia"/>
          <w:sz w:val="21"/>
          <w:szCs w:val="21"/>
          <w:lang w:val="en-US" w:eastAsia="zh-CN"/>
        </w:rPr>
        <w:t>)</w:t>
      </w:r>
      <w:r>
        <w:rPr>
          <w:rFonts w:asciiTheme="minorEastAsia" w:eastAsiaTheme="minorEastAsia" w:hAnsiTheme="minorEastAsia" w:hint="eastAsia"/>
          <w:sz w:val="21"/>
          <w:szCs w:val="21"/>
          <w:lang w:val="en-US" w:eastAsia="zh-CN"/>
        </w:rPr>
        <w:t>，及其它塑料管道及管件应摆放</w:t>
      </w:r>
      <w:r>
        <w:rPr>
          <w:rFonts w:asciiTheme="minorEastAsia" w:eastAsiaTheme="minorEastAsia" w:hAnsiTheme="minorEastAsia" w:hint="eastAsia"/>
          <w:sz w:val="21"/>
          <w:szCs w:val="21"/>
          <w:lang w:val="en-US" w:eastAsia="zh-CN"/>
        </w:rPr>
        <w:t>于避免</w:t>
      </w:r>
      <w:r>
        <w:rPr>
          <w:rFonts w:asciiTheme="minorEastAsia" w:eastAsiaTheme="minorEastAsia" w:hAnsiTheme="minorEastAsia" w:hint="eastAsia"/>
          <w:sz w:val="21"/>
          <w:szCs w:val="21"/>
          <w:lang w:val="en-US" w:eastAsia="zh-CN"/>
        </w:rPr>
        <w:t>阳光直射的地方，并且采用适当方法架空，避免其与地面接触。</w:t>
      </w:r>
    </w:p>
    <w:p w:rsidR="00A469CB">
      <w:pPr>
        <w:pStyle w:val="ReportLevel2"/>
        <w:spacing w:before="240" w:beforeLines="100" w:after="240" w:afterLines="100"/>
        <w:jc w:val="both"/>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在未完成其建筑工程前，承包单位应采取充分之措施保护安装好的设备及未安装之设备及物料，免受恶劣天气及其它因素的破坏。</w:t>
      </w:r>
    </w:p>
    <w:p w:rsidR="00A469CB">
      <w:pPr>
        <w:pStyle w:val="ReportLevel2"/>
        <w:spacing w:before="240" w:beforeLines="100" w:after="240" w:afterLines="100"/>
        <w:jc w:val="both"/>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工作于室内之电气设备及包含电气组件之设备应存放于防潮的空间内。</w:t>
      </w:r>
    </w:p>
    <w:p w:rsidR="00A469CB">
      <w:pPr>
        <w:pStyle w:val="ReportLevel2"/>
        <w:spacing w:before="240" w:beforeLines="100" w:after="240" w:afterLines="100"/>
        <w:jc w:val="both"/>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工作于室内的设备应存放于防风雨的空间内。</w:t>
      </w:r>
    </w:p>
    <w:p w:rsidR="00A469CB">
      <w:pPr>
        <w:pStyle w:val="ReportLevel2"/>
        <w:spacing w:before="240" w:beforeLines="100" w:after="240" w:afterLines="100"/>
        <w:jc w:val="both"/>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当设备由几个部份构成时，组件应分开包装并在包装上清楚标明组件名称及制造厂家。</w:t>
      </w:r>
    </w:p>
    <w:p w:rsidR="00A469CB">
      <w:pPr>
        <w:pStyle w:val="ReportLevel2"/>
        <w:spacing w:before="240" w:beforeLines="100" w:after="240" w:afterLines="100"/>
        <w:jc w:val="both"/>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对于设备之外表面，特别是影响美观之外表面，应特别留意加以保护。</w:t>
      </w:r>
    </w:p>
    <w:p w:rsidR="00A469CB">
      <w:pPr>
        <w:pStyle w:val="ReportLevel2"/>
        <w:spacing w:before="240" w:beforeLines="100" w:after="240" w:afterLines="100"/>
        <w:jc w:val="both"/>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在运输过程及贮存于施工现场的设备，对设备的传热面应加以特别包装以保护之。</w:t>
      </w:r>
    </w:p>
    <w:p w:rsidR="00A469CB">
      <w:pPr>
        <w:pStyle w:val="ReportLevel2"/>
        <w:spacing w:before="240" w:beforeLines="100" w:after="240" w:afterLines="100"/>
        <w:jc w:val="both"/>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在阀门之端口、管道、管道之两端应用适当之方法掩盖以防止其它污物的进入。为防止法兰表面的损伤，对法兰应特别加以维护。</w:t>
      </w:r>
    </w:p>
    <w:p w:rsidR="00A469CB">
      <w:pPr>
        <w:pStyle w:val="ReportLevel2"/>
        <w:spacing w:before="240" w:beforeLines="100" w:after="240" w:afterLines="100"/>
        <w:jc w:val="both"/>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对设备及物料的易于生锈之表面在施工期间应加以保护，直至安装完毕或涂以防锈漆为止。</w:t>
      </w:r>
    </w:p>
    <w:p w:rsidR="00A469CB">
      <w:pPr>
        <w:pStyle w:val="ReportLevel2"/>
        <w:spacing w:before="240" w:beforeLines="100" w:after="240" w:afterLines="100"/>
        <w:jc w:val="both"/>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在施工现场组装完成之设备，应跟从制造商的指示，加以妥善保</w:t>
      </w:r>
      <w:r>
        <w:rPr>
          <w:rFonts w:asciiTheme="minorEastAsia" w:eastAsiaTheme="minorEastAsia" w:hAnsiTheme="minorEastAsia" w:hint="eastAsia"/>
          <w:sz w:val="21"/>
          <w:szCs w:val="21"/>
          <w:lang w:val="en-US" w:eastAsia="zh-CN"/>
        </w:rPr>
        <w:t>护。承包单位应遵从制造商的指示去做，并将结果提交审批。</w:t>
      </w:r>
    </w:p>
    <w:p w:rsidR="00A469CB">
      <w:pPr>
        <w:pStyle w:val="ReportLevel2"/>
        <w:spacing w:before="240" w:beforeLines="100" w:after="240" w:afterLines="100"/>
        <w:jc w:val="both"/>
        <w:rPr>
          <w:rFonts w:asciiTheme="minorEastAsia" w:eastAsiaTheme="minorEastAsia" w:hAnsiTheme="minorEastAsia"/>
          <w:sz w:val="21"/>
          <w:szCs w:val="21"/>
          <w:lang w:val="en-US" w:eastAsia="zh-CN"/>
        </w:rPr>
        <w:sectPr>
          <w:headerReference w:type="default" r:id="rId35"/>
          <w:footerReference w:type="default" r:id="rId36"/>
          <w:type w:val="nextPage"/>
          <w:pgSz w:w="11906" w:h="16838"/>
          <w:pgMar w:top="1814" w:right="1418" w:bottom="1418" w:left="1814" w:header="851" w:footer="992" w:gutter="0"/>
          <w:pgNumType w:start="14"/>
          <w:cols w:space="425"/>
          <w:titlePg w:val="0"/>
          <w:docGrid w:linePitch="312"/>
        </w:sectPr>
      </w:pPr>
      <w:r>
        <w:rPr>
          <w:rFonts w:asciiTheme="minorEastAsia" w:eastAsiaTheme="minorEastAsia" w:hAnsiTheme="minorEastAsia" w:hint="eastAsia"/>
          <w:sz w:val="21"/>
          <w:szCs w:val="21"/>
          <w:lang w:val="en-US" w:eastAsia="zh-CN"/>
        </w:rPr>
        <w:t>低碳钢管道应涂一层保护漆运往施工现场，而所有之低碳钢支架、吊架亦应刷上一层防锈漆。</w:t>
      </w:r>
    </w:p>
    <w:p w:rsidR="00A469CB">
      <w:pPr>
        <w:pStyle w:val="ReportLevel2"/>
        <w:spacing w:before="240" w:beforeLines="100" w:after="240" w:afterLines="100"/>
        <w:jc w:val="both"/>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焊接之管道，应在焊接后打磨光滑焊缝、清洁焊缝，并在四小时内在焊缝两边</w:t>
      </w:r>
      <w:r>
        <w:rPr>
          <w:rFonts w:asciiTheme="minorEastAsia" w:eastAsiaTheme="minorEastAsia" w:hAnsiTheme="minorEastAsia"/>
          <w:sz w:val="21"/>
          <w:szCs w:val="21"/>
          <w:lang w:val="en-US" w:eastAsia="zh-CN"/>
        </w:rPr>
        <w:t>250mm</w:t>
      </w:r>
      <w:r>
        <w:rPr>
          <w:rFonts w:asciiTheme="minorEastAsia" w:eastAsiaTheme="minorEastAsia" w:hAnsiTheme="minorEastAsia" w:hint="eastAsia"/>
          <w:sz w:val="21"/>
          <w:szCs w:val="21"/>
          <w:lang w:val="en-US" w:eastAsia="zh-CN"/>
        </w:rPr>
        <w:t>的范围内涂以防锈漆。</w:t>
      </w:r>
    </w:p>
    <w:p w:rsidR="00A469CB">
      <w:pPr>
        <w:pStyle w:val="ReportLevel2"/>
        <w:spacing w:before="240" w:beforeLines="100" w:after="240" w:afterLines="100"/>
        <w:jc w:val="both"/>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如镀锌管道在生锈或遭破坏，应用含锌漆油刷两道。</w:t>
      </w:r>
    </w:p>
    <w:p w:rsidR="00A469CB">
      <w:pPr>
        <w:pStyle w:val="ReportLevel2"/>
        <w:spacing w:before="240" w:beforeLines="100" w:after="240" w:afterLines="100"/>
        <w:jc w:val="both"/>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物料或设备之保护漆</w:t>
      </w:r>
      <w:r>
        <w:rPr>
          <w:rFonts w:asciiTheme="minorEastAsia" w:eastAsiaTheme="minorEastAsia" w:hAnsiTheme="minorEastAsia"/>
          <w:sz w:val="21"/>
          <w:szCs w:val="21"/>
          <w:lang w:val="en-US" w:eastAsia="zh-CN"/>
        </w:rPr>
        <w:t>/</w:t>
      </w:r>
      <w:r>
        <w:rPr>
          <w:rFonts w:asciiTheme="minorEastAsia" w:eastAsiaTheme="minorEastAsia" w:hAnsiTheme="minorEastAsia" w:hint="eastAsia"/>
          <w:sz w:val="21"/>
          <w:szCs w:val="21"/>
          <w:lang w:val="en-US" w:eastAsia="zh-CN"/>
        </w:rPr>
        <w:t>膜如有损坏，则应彻底清洁所有之锈垢、油污及表面之腐蚀物，并涂以新的保护漆</w:t>
      </w:r>
      <w:r>
        <w:rPr>
          <w:rFonts w:asciiTheme="minorEastAsia" w:eastAsiaTheme="minorEastAsia" w:hAnsiTheme="minorEastAsia"/>
          <w:sz w:val="21"/>
          <w:szCs w:val="21"/>
          <w:lang w:val="en-US" w:eastAsia="zh-CN"/>
        </w:rPr>
        <w:t>/</w:t>
      </w:r>
      <w:r>
        <w:rPr>
          <w:rFonts w:asciiTheme="minorEastAsia" w:eastAsiaTheme="minorEastAsia" w:hAnsiTheme="minorEastAsia" w:hint="eastAsia"/>
          <w:sz w:val="21"/>
          <w:szCs w:val="21"/>
          <w:lang w:val="en-US" w:eastAsia="zh-CN"/>
        </w:rPr>
        <w:t>膜。</w:t>
      </w:r>
    </w:p>
    <w:p w:rsidR="00A469CB">
      <w:pPr>
        <w:pStyle w:val="ReportLevel2"/>
        <w:spacing w:before="240" w:beforeLines="100" w:after="240" w:afterLines="100"/>
        <w:jc w:val="both"/>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物料遭侵蚀、破坏或设备之外表面遭破坏，承包单位应负责更换这些物料及设备，费用亦由承包单位负责。</w:t>
      </w:r>
    </w:p>
    <w:p w:rsidR="00A469CB">
      <w:pPr>
        <w:pStyle w:val="ReportLevel2"/>
        <w:spacing w:before="240" w:beforeLines="100" w:after="240" w:afterLines="100"/>
        <w:jc w:val="both"/>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当对物料及设备之油漆方法未加说明时，承包单位对物料和设备之油漆须满足以下要求：</w:t>
      </w:r>
    </w:p>
    <w:p w:rsidR="00A469CB">
      <w:pPr>
        <w:pStyle w:val="ReportLevel3"/>
        <w:numPr>
          <w:ilvl w:val="0"/>
          <w:numId w:val="76"/>
        </w:numPr>
        <w:tabs>
          <w:tab w:val="left" w:pos="630"/>
        </w:tabs>
        <w:spacing w:before="120" w:beforeLines="50" w:after="120" w:afterLines="50"/>
        <w:ind w:left="1800" w:hanging="630"/>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所有金属制造</w:t>
      </w:r>
      <w:r>
        <w:rPr>
          <w:rFonts w:asciiTheme="minorEastAsia" w:eastAsiaTheme="minorEastAsia" w:hAnsiTheme="minorEastAsia" w:hint="eastAsia"/>
          <w:sz w:val="21"/>
          <w:szCs w:val="21"/>
          <w:lang w:val="en-US" w:eastAsia="zh-CN"/>
        </w:rPr>
        <w:t>部份须有</w:t>
      </w:r>
      <w:r>
        <w:rPr>
          <w:rFonts w:asciiTheme="minorEastAsia" w:eastAsiaTheme="minorEastAsia" w:hAnsiTheme="minorEastAsia" w:hint="eastAsia"/>
          <w:sz w:val="21"/>
          <w:szCs w:val="21"/>
          <w:lang w:val="en-US" w:eastAsia="zh-CN"/>
        </w:rPr>
        <w:t>足够抗锈、抗腐能力。</w:t>
      </w:r>
    </w:p>
    <w:p w:rsidR="00A469CB">
      <w:pPr>
        <w:pStyle w:val="ReportLevel3"/>
        <w:numPr>
          <w:ilvl w:val="0"/>
          <w:numId w:val="76"/>
        </w:numPr>
        <w:tabs>
          <w:tab w:val="left" w:pos="630"/>
        </w:tabs>
        <w:spacing w:before="120" w:beforeLines="50" w:after="120" w:afterLines="50"/>
        <w:ind w:left="1800" w:hanging="630"/>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所有框架、支架、吊架等同低碳钢制品，首先要彻底清洁去除所有之锈斑、油污等，再涂一层防锈膜然后以金属漆过底，跟着刷两遍</w:t>
      </w:r>
      <w:r>
        <w:rPr>
          <w:rFonts w:asciiTheme="minorEastAsia" w:eastAsiaTheme="minorEastAsia" w:hAnsiTheme="minorEastAsia" w:hint="eastAsia"/>
          <w:sz w:val="21"/>
          <w:szCs w:val="21"/>
          <w:lang w:val="en-US" w:eastAsia="zh-CN"/>
        </w:rPr>
        <w:t>调合</w:t>
      </w:r>
      <w:r>
        <w:rPr>
          <w:rFonts w:asciiTheme="minorEastAsia" w:eastAsiaTheme="minorEastAsia" w:hAnsiTheme="minorEastAsia" w:hint="eastAsia"/>
          <w:sz w:val="21"/>
          <w:szCs w:val="21"/>
          <w:lang w:val="en-US" w:eastAsia="zh-CN"/>
        </w:rPr>
        <w:t>漆，以符合</w:t>
      </w:r>
      <w:r>
        <w:rPr>
          <w:rFonts w:asciiTheme="minorEastAsia" w:eastAsiaTheme="minorEastAsia" w:hAnsiTheme="minorEastAsia"/>
          <w:sz w:val="21"/>
          <w:szCs w:val="21"/>
          <w:lang w:val="en-US" w:eastAsia="zh-CN"/>
        </w:rPr>
        <w:t>BS381C</w:t>
      </w:r>
      <w:r>
        <w:rPr>
          <w:rFonts w:asciiTheme="minorEastAsia" w:eastAsiaTheme="minorEastAsia" w:hAnsiTheme="minorEastAsia" w:hint="eastAsia"/>
          <w:sz w:val="21"/>
          <w:szCs w:val="21"/>
          <w:lang w:val="en-US" w:eastAsia="zh-CN"/>
        </w:rPr>
        <w:t>或有关国家标准之要求，颜色需要与建筑专业协调确定。</w:t>
      </w:r>
    </w:p>
    <w:p w:rsidR="00A469CB">
      <w:pPr>
        <w:pStyle w:val="ReportLevel3"/>
        <w:numPr>
          <w:ilvl w:val="0"/>
          <w:numId w:val="76"/>
        </w:numPr>
        <w:tabs>
          <w:tab w:val="left" w:pos="630"/>
        </w:tabs>
        <w:spacing w:before="120" w:beforeLines="50" w:after="120" w:afterLines="50"/>
        <w:ind w:left="1800" w:hanging="630"/>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电镀之部件应选用镀铬或</w:t>
      </w:r>
      <w:r>
        <w:rPr>
          <w:rFonts w:asciiTheme="minorEastAsia" w:eastAsiaTheme="minorEastAsia" w:hAnsiTheme="minorEastAsia" w:hint="eastAsia"/>
          <w:sz w:val="21"/>
          <w:szCs w:val="21"/>
          <w:lang w:val="en-US" w:eastAsia="zh-CN"/>
        </w:rPr>
        <w:t>镀磷</w:t>
      </w:r>
      <w:r>
        <w:rPr>
          <w:rFonts w:asciiTheme="minorEastAsia" w:eastAsiaTheme="minorEastAsia" w:hAnsiTheme="minorEastAsia"/>
          <w:sz w:val="21"/>
          <w:szCs w:val="21"/>
          <w:lang w:val="en-US" w:eastAsia="zh-CN"/>
        </w:rPr>
        <w:t>(</w:t>
      </w:r>
      <w:r>
        <w:rPr>
          <w:rFonts w:asciiTheme="minorEastAsia" w:eastAsiaTheme="minorEastAsia" w:hAnsiTheme="minorEastAsia" w:hint="eastAsia"/>
          <w:sz w:val="21"/>
          <w:szCs w:val="21"/>
          <w:lang w:val="en-US" w:eastAsia="zh-CN"/>
        </w:rPr>
        <w:t>选其中较适宜者</w:t>
      </w:r>
      <w:r>
        <w:rPr>
          <w:rFonts w:asciiTheme="minorEastAsia" w:eastAsiaTheme="minorEastAsia" w:hAnsiTheme="minorEastAsia"/>
          <w:sz w:val="21"/>
          <w:szCs w:val="21"/>
          <w:lang w:val="en-US" w:eastAsia="zh-CN"/>
        </w:rPr>
        <w:t>)</w:t>
      </w:r>
      <w:r>
        <w:rPr>
          <w:rFonts w:asciiTheme="minorEastAsia" w:eastAsiaTheme="minorEastAsia" w:hAnsiTheme="minorEastAsia" w:hint="eastAsia"/>
          <w:sz w:val="21"/>
          <w:szCs w:val="21"/>
          <w:lang w:val="en-US" w:eastAsia="zh-CN"/>
        </w:rPr>
        <w:t>，不允许镀锌或镀镉。</w:t>
      </w:r>
    </w:p>
    <w:p w:rsidR="00A469CB">
      <w:pPr>
        <w:pStyle w:val="ReportLevel2"/>
        <w:spacing w:before="240" w:beforeLines="100" w:after="240" w:afterLines="100"/>
        <w:jc w:val="both"/>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设备出厂后，设备表面之损坏应跟从如下方法尽快修补好：</w:t>
      </w:r>
    </w:p>
    <w:p w:rsidR="00A469CB">
      <w:pPr>
        <w:pStyle w:val="ReportLevel3"/>
        <w:numPr>
          <w:ilvl w:val="0"/>
          <w:numId w:val="36"/>
        </w:numPr>
        <w:tabs>
          <w:tab w:val="clear" w:pos="720"/>
          <w:tab w:val="left" w:pos="1800"/>
        </w:tabs>
        <w:spacing w:before="120" w:beforeLines="50" w:after="120" w:afterLines="50"/>
        <w:ind w:left="1797" w:hanging="629"/>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金属表面之破坏处，应先清洗破损处至底层金属，并用含锌油漆打底。</w:t>
      </w:r>
    </w:p>
    <w:p w:rsidR="00A469CB">
      <w:pPr>
        <w:pStyle w:val="ReportLevel3"/>
        <w:numPr>
          <w:ilvl w:val="0"/>
          <w:numId w:val="36"/>
        </w:numPr>
        <w:tabs>
          <w:tab w:val="left" w:pos="630"/>
          <w:tab w:val="clear" w:pos="720"/>
          <w:tab w:val="left" w:pos="1800"/>
        </w:tabs>
        <w:spacing w:before="120" w:beforeLines="50" w:after="120" w:afterLines="50"/>
        <w:ind w:left="1797" w:hanging="629"/>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设备表面破损</w:t>
      </w:r>
      <w:r>
        <w:rPr>
          <w:rFonts w:asciiTheme="minorEastAsia" w:eastAsiaTheme="minorEastAsia" w:hAnsiTheme="minorEastAsia" w:hint="eastAsia"/>
          <w:sz w:val="21"/>
          <w:szCs w:val="21"/>
          <w:lang w:val="en-US" w:eastAsia="zh-CN"/>
        </w:rPr>
        <w:t>处，应清洗破损处至底层金属，并用设备之油漆程序及油漆加以修补。</w:t>
      </w:r>
    </w:p>
    <w:p w:rsidR="00A469CB">
      <w:pPr>
        <w:pStyle w:val="ReportLevel2"/>
        <w:spacing w:before="240" w:beforeLines="100" w:after="240" w:afterLines="100"/>
        <w:jc w:val="both"/>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承包单位应时刻保持其安装工料至合理清洁之程度，并且应尽快清除施工现场之不必要废料。</w:t>
      </w:r>
    </w:p>
    <w:p w:rsidR="00A469CB">
      <w:pPr>
        <w:pStyle w:val="ReportLevel2"/>
        <w:spacing w:before="240" w:beforeLines="100" w:after="240" w:afterLines="100"/>
        <w:jc w:val="both"/>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施工结束时，承包单位应清除一切暂时的遮盖、外壳、并应清除所有之污迹、标记等，达至认可交接之程序。</w:t>
      </w:r>
    </w:p>
    <w:p w:rsidR="00A469CB">
      <w:pPr>
        <w:rPr>
          <w:rFonts w:asciiTheme="minorEastAsia" w:eastAsiaTheme="minorEastAsia" w:hAnsiTheme="minorEastAsia"/>
          <w:b/>
          <w:caps/>
          <w:sz w:val="21"/>
          <w:szCs w:val="21"/>
          <w:lang w:val="en-US" w:eastAsia="zh-CN"/>
        </w:rPr>
        <w:sectPr>
          <w:headerReference w:type="default" r:id="rId37"/>
          <w:footerReference w:type="default" r:id="rId38"/>
          <w:type w:val="nextPage"/>
          <w:pgSz w:w="11906" w:h="16838"/>
          <w:pgMar w:top="1814" w:right="1418" w:bottom="1418" w:left="1814" w:header="851" w:footer="992" w:gutter="0"/>
          <w:pgNumType w:start="15"/>
          <w:cols w:space="425"/>
          <w:titlePg w:val="0"/>
          <w:docGrid w:linePitch="312"/>
        </w:sectPr>
      </w:pPr>
      <w:bookmarkStart w:id="372" w:name="_Toc502752644"/>
      <w:bookmarkStart w:id="373" w:name="_Toc455561611"/>
    </w:p>
    <w:p w:rsidR="00A469CB">
      <w:pPr>
        <w:pStyle w:val="ReportLevel1"/>
        <w:numPr>
          <w:ilvl w:val="0"/>
          <w:numId w:val="33"/>
        </w:numPr>
        <w:spacing w:before="240" w:beforeLines="100" w:after="120" w:afterLines="50" w:line="360" w:lineRule="auto"/>
        <w:rPr>
          <w:rFonts w:asciiTheme="minorEastAsia" w:eastAsiaTheme="minorEastAsia" w:hAnsiTheme="minorEastAsia"/>
          <w:sz w:val="21"/>
          <w:szCs w:val="21"/>
          <w:lang w:val="en-US" w:eastAsia="zh-CN"/>
        </w:rPr>
      </w:pPr>
      <w:bookmarkStart w:id="374" w:name="_Toc103358947"/>
      <w:r>
        <w:rPr>
          <w:rFonts w:asciiTheme="minorEastAsia" w:eastAsiaTheme="minorEastAsia" w:hAnsiTheme="minorEastAsia" w:hint="eastAsia"/>
          <w:sz w:val="21"/>
          <w:szCs w:val="21"/>
          <w:lang w:val="en-US" w:eastAsia="zh-CN"/>
        </w:rPr>
        <w:t>图纸</w:t>
      </w:r>
      <w:bookmarkEnd w:id="372"/>
      <w:bookmarkEnd w:id="373"/>
      <w:bookmarkEnd w:id="374"/>
    </w:p>
    <w:p w:rsidR="00A469CB">
      <w:pPr>
        <w:pStyle w:val="ReportLevel2"/>
        <w:spacing w:before="240" w:beforeLines="100" w:after="240" w:afterLines="100"/>
        <w:jc w:val="both"/>
        <w:rPr>
          <w:rFonts w:asciiTheme="minorEastAsia" w:eastAsiaTheme="minorEastAsia" w:hAnsiTheme="minorEastAsia"/>
          <w:b/>
          <w:bCs/>
          <w:sz w:val="21"/>
          <w:szCs w:val="21"/>
          <w:lang w:val="en-US" w:eastAsia="zh-CN"/>
        </w:rPr>
      </w:pPr>
      <w:r>
        <w:rPr>
          <w:rFonts w:asciiTheme="minorEastAsia" w:eastAsiaTheme="minorEastAsia" w:hAnsiTheme="minorEastAsia" w:hint="eastAsia"/>
          <w:b/>
          <w:bCs/>
          <w:sz w:val="21"/>
          <w:szCs w:val="21"/>
          <w:lang w:val="en-US" w:eastAsia="zh-CN"/>
        </w:rPr>
        <w:t>招标图纸</w:t>
      </w:r>
    </w:p>
    <w:p w:rsidR="00A469CB">
      <w:pPr>
        <w:pStyle w:val="ReportLevel3"/>
        <w:spacing w:before="120" w:beforeLines="50" w:after="120" w:afterLines="50"/>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招标时连同招标文件所发的有关图纸</w:t>
      </w:r>
      <w:r>
        <w:rPr>
          <w:rFonts w:asciiTheme="minorEastAsia" w:eastAsiaTheme="minorEastAsia" w:hAnsiTheme="minorEastAsia"/>
          <w:sz w:val="21"/>
          <w:szCs w:val="21"/>
          <w:lang w:val="en-US" w:eastAsia="zh-CN"/>
        </w:rPr>
        <w:t>(</w:t>
      </w:r>
      <w:r>
        <w:rPr>
          <w:rFonts w:asciiTheme="minorEastAsia" w:eastAsiaTheme="minorEastAsia" w:hAnsiTheme="minorEastAsia" w:hint="eastAsia"/>
          <w:sz w:val="21"/>
          <w:szCs w:val="21"/>
          <w:lang w:val="en-US" w:eastAsia="zh-CN"/>
        </w:rPr>
        <w:t>招标图或设计单位的施工图</w:t>
      </w:r>
      <w:r>
        <w:rPr>
          <w:rFonts w:asciiTheme="minorEastAsia" w:eastAsiaTheme="minorEastAsia" w:hAnsiTheme="minorEastAsia"/>
          <w:sz w:val="21"/>
          <w:szCs w:val="21"/>
          <w:lang w:val="en-US" w:eastAsia="zh-CN"/>
        </w:rPr>
        <w:t>)</w:t>
      </w:r>
      <w:r>
        <w:rPr>
          <w:rFonts w:asciiTheme="minorEastAsia" w:eastAsiaTheme="minorEastAsia" w:hAnsiTheme="minorEastAsia" w:hint="eastAsia"/>
          <w:sz w:val="21"/>
          <w:szCs w:val="21"/>
          <w:lang w:val="en-US" w:eastAsia="zh-CN"/>
        </w:rPr>
        <w:t>，其作用只</w:t>
      </w:r>
      <w:r>
        <w:rPr>
          <w:rFonts w:asciiTheme="minorEastAsia" w:eastAsiaTheme="minorEastAsia" w:hAnsiTheme="minorEastAsia" w:hint="eastAsia"/>
          <w:sz w:val="21"/>
          <w:szCs w:val="21"/>
          <w:lang w:val="en-US" w:eastAsia="zh-CN"/>
        </w:rPr>
        <w:t>供承包</w:t>
      </w:r>
      <w:r>
        <w:rPr>
          <w:rFonts w:asciiTheme="minorEastAsia" w:eastAsiaTheme="minorEastAsia" w:hAnsiTheme="minorEastAsia" w:hint="eastAsia"/>
          <w:sz w:val="21"/>
          <w:szCs w:val="21"/>
          <w:lang w:val="en-US" w:eastAsia="zh-CN"/>
        </w:rPr>
        <w:t>单位于招标时作为一般指引及在中标后制作其设备和深化施工图的依据。</w:t>
      </w:r>
    </w:p>
    <w:p w:rsidR="00A469CB">
      <w:pPr>
        <w:pStyle w:val="ReportLevel3"/>
        <w:spacing w:before="120" w:beforeLines="50" w:after="120" w:afterLines="50"/>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招标图纸所示的为基本的设计原理，并同时提供一个已考虑各设备装配相互关系的可行的设备安置，以便承包单位在进行其深化设计及深化图纸制作时作为参照和依据。</w:t>
      </w:r>
    </w:p>
    <w:p w:rsidR="00A469CB">
      <w:pPr>
        <w:pStyle w:val="ReportLevel2"/>
        <w:spacing w:before="240" w:beforeLines="100" w:after="240" w:afterLines="100"/>
        <w:jc w:val="both"/>
        <w:rPr>
          <w:rFonts w:asciiTheme="minorEastAsia" w:eastAsiaTheme="minorEastAsia" w:hAnsiTheme="minorEastAsia"/>
          <w:b/>
          <w:bCs/>
          <w:sz w:val="21"/>
          <w:szCs w:val="21"/>
          <w:lang w:val="en-US" w:eastAsia="zh-CN"/>
        </w:rPr>
      </w:pPr>
      <w:r>
        <w:rPr>
          <w:rFonts w:asciiTheme="minorEastAsia" w:eastAsiaTheme="minorEastAsia" w:hAnsiTheme="minorEastAsia" w:hint="eastAsia"/>
          <w:b/>
          <w:bCs/>
          <w:sz w:val="21"/>
          <w:szCs w:val="21"/>
          <w:lang w:val="en-US" w:eastAsia="zh-CN"/>
        </w:rPr>
        <w:t>竣工图纸</w:t>
      </w:r>
    </w:p>
    <w:p w:rsidR="00A469CB">
      <w:pPr>
        <w:pStyle w:val="ReportLevel3"/>
        <w:keepNext w:val="0"/>
        <w:spacing w:before="120" w:beforeLines="50" w:after="120" w:afterLines="50"/>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所有竣工记录图纸必须于工程整体竣工验收前呈交。承包单位应于按设计变更对施工图纸进行修改，最后形成竣工图纸并提交。所有图纸资料及编号均需详列于一份统一的图纸目录上，此目录将纳入操作和维修保养手册内。竣工图的深度及编制要求必须达到</w:t>
      </w:r>
      <w:r>
        <w:rPr>
          <w:rFonts w:asciiTheme="minorEastAsia" w:eastAsiaTheme="minorEastAsia" w:hAnsiTheme="minorEastAsia"/>
          <w:sz w:val="21"/>
          <w:szCs w:val="21"/>
          <w:u w:val="single"/>
          <w:lang w:val="en-US" w:eastAsia="zh-CN"/>
        </w:rPr>
        <w:t xml:space="preserve"> </w:t>
      </w:r>
      <w:r>
        <w:rPr>
          <w:rFonts w:asciiTheme="minorEastAsia" w:eastAsiaTheme="minorEastAsia" w:hAnsiTheme="minorEastAsia" w:hint="eastAsia"/>
          <w:sz w:val="21"/>
          <w:szCs w:val="21"/>
          <w:u w:val="single"/>
          <w:lang w:val="en-US" w:eastAsia="zh-CN"/>
        </w:rPr>
        <w:t>深圳</w:t>
      </w:r>
      <w:r>
        <w:rPr>
          <w:rFonts w:asciiTheme="minorEastAsia" w:eastAsiaTheme="minorEastAsia" w:hAnsiTheme="minorEastAsia"/>
          <w:sz w:val="21"/>
          <w:szCs w:val="21"/>
          <w:u w:val="single"/>
          <w:lang w:val="en-US" w:eastAsia="zh-CN"/>
        </w:rPr>
        <w:t xml:space="preserve"> </w:t>
      </w:r>
      <w:r>
        <w:rPr>
          <w:rFonts w:asciiTheme="minorEastAsia" w:eastAsiaTheme="minorEastAsia" w:hAnsiTheme="minorEastAsia" w:hint="eastAsia"/>
          <w:sz w:val="21"/>
          <w:szCs w:val="21"/>
          <w:lang w:val="en-US" w:eastAsia="zh-CN"/>
        </w:rPr>
        <w:t>市标准要求及城建档案馆的要求。</w:t>
      </w:r>
    </w:p>
    <w:p w:rsidR="00A469CB">
      <w:pPr>
        <w:pStyle w:val="ReportLevel3"/>
        <w:spacing w:before="120" w:beforeLines="50" w:after="120" w:afterLines="50"/>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竣工图需采用电脑绘制，并应符合国内有关制图标准。所有图例亦应严格遵照有关国内标准的规定</w:t>
      </w:r>
      <w:r>
        <w:rPr>
          <w:rFonts w:asciiTheme="minorEastAsia" w:eastAsiaTheme="minorEastAsia" w:hAnsiTheme="minorEastAsia" w:hint="eastAsia"/>
          <w:sz w:val="21"/>
          <w:szCs w:val="21"/>
          <w:lang w:val="en-US" w:eastAsia="zh-CN"/>
        </w:rPr>
        <w:t>。</w:t>
      </w:r>
    </w:p>
    <w:p w:rsidR="00A469CB">
      <w:pPr>
        <w:pStyle w:val="ReportLevel3"/>
        <w:spacing w:before="120" w:beforeLines="50" w:after="120" w:afterLines="50"/>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竣工图除展示出所有的设备和装置外，并应包括全部电缆</w:t>
      </w:r>
      <w:r>
        <w:rPr>
          <w:rFonts w:asciiTheme="minorEastAsia" w:eastAsiaTheme="minorEastAsia" w:hAnsiTheme="minorEastAsia"/>
          <w:sz w:val="21"/>
          <w:szCs w:val="21"/>
          <w:lang w:val="en-US" w:eastAsia="zh-CN"/>
        </w:rPr>
        <w:t>/</w:t>
      </w:r>
      <w:r>
        <w:rPr>
          <w:rFonts w:asciiTheme="minorEastAsia" w:eastAsiaTheme="minorEastAsia" w:hAnsiTheme="minorEastAsia" w:hint="eastAsia"/>
          <w:sz w:val="21"/>
          <w:szCs w:val="21"/>
          <w:lang w:val="en-US" w:eastAsia="zh-CN"/>
        </w:rPr>
        <w:t>线管</w:t>
      </w:r>
      <w:r>
        <w:rPr>
          <w:rFonts w:asciiTheme="minorEastAsia" w:eastAsiaTheme="minorEastAsia" w:hAnsiTheme="minorEastAsia"/>
          <w:sz w:val="21"/>
          <w:szCs w:val="21"/>
          <w:lang w:val="en-US" w:eastAsia="zh-CN"/>
        </w:rPr>
        <w:t>/</w:t>
      </w:r>
      <w:r>
        <w:rPr>
          <w:rFonts w:asciiTheme="minorEastAsia" w:eastAsiaTheme="minorEastAsia" w:hAnsiTheme="minorEastAsia" w:hint="eastAsia"/>
          <w:sz w:val="21"/>
          <w:szCs w:val="21"/>
          <w:lang w:val="en-US" w:eastAsia="zh-CN"/>
        </w:rPr>
        <w:t>管道等的敷设安排和全部继电器、接触器和其它开关装置的接点分析图表，及清楚说明每一主要设备接触器及其它部件的操作程序的图表。任何对设备和装置的运转、操作、保养或对日后系统的加改有用的一切资料，无论是否曾在施工图上表示过的，都应加以标注。控制器、装备或任何部件的有关参考号码或字母，以及设备和装置铭牌上列示的字母和号数等均应加以综合摘引。</w:t>
      </w:r>
    </w:p>
    <w:p w:rsidR="00A469CB">
      <w:pPr>
        <w:pStyle w:val="ReportLevel3"/>
        <w:spacing w:before="120" w:beforeLines="50" w:after="120" w:afterLines="50"/>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所有系统示意竣工图及控制线路竣工图应个别用铝制框架装挂于相应机房墙壁上。框架的具体要求须提交审核。</w:t>
      </w:r>
    </w:p>
    <w:p w:rsidR="00A469CB">
      <w:pPr>
        <w:pStyle w:val="ReportLevel3"/>
        <w:spacing w:before="120" w:beforeLines="50" w:after="120" w:afterLines="50"/>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除上述各项外，</w:t>
      </w:r>
      <w:r>
        <w:rPr>
          <w:rFonts w:asciiTheme="minorEastAsia" w:eastAsiaTheme="minorEastAsia" w:hAnsiTheme="minorEastAsia" w:hint="eastAsia"/>
          <w:sz w:val="21"/>
          <w:szCs w:val="21"/>
          <w:lang w:val="en-US" w:eastAsia="zh-CN"/>
        </w:rPr>
        <w:t>承包单位并需提交全部竣工图纸的电脑软件档案并采用光盘（</w:t>
      </w:r>
      <w:r>
        <w:rPr>
          <w:rFonts w:asciiTheme="minorEastAsia" w:eastAsiaTheme="minorEastAsia" w:hAnsiTheme="minorEastAsia"/>
          <w:sz w:val="21"/>
          <w:szCs w:val="21"/>
          <w:lang w:val="en-US" w:eastAsia="zh-CN"/>
        </w:rPr>
        <w:t>CD ROM</w:t>
      </w:r>
      <w:r>
        <w:rPr>
          <w:rFonts w:asciiTheme="minorEastAsia" w:eastAsiaTheme="minorEastAsia" w:hAnsiTheme="minorEastAsia" w:hint="eastAsia"/>
          <w:sz w:val="21"/>
          <w:szCs w:val="21"/>
          <w:lang w:val="en-US" w:eastAsia="zh-CN"/>
        </w:rPr>
        <w:t>）储放。</w:t>
      </w:r>
      <w:r>
        <w:rPr>
          <w:rFonts w:asciiTheme="minorEastAsia" w:eastAsiaTheme="minorEastAsia" w:hAnsiTheme="minorEastAsia" w:hint="eastAsia"/>
          <w:sz w:val="21"/>
          <w:szCs w:val="21"/>
          <w:lang w:val="en-US" w:eastAsia="zh-CN"/>
        </w:rPr>
        <w:t>承送单位</w:t>
      </w:r>
      <w:r>
        <w:rPr>
          <w:rFonts w:asciiTheme="minorEastAsia" w:eastAsiaTheme="minorEastAsia" w:hAnsiTheme="minorEastAsia" w:hint="eastAsia"/>
          <w:sz w:val="21"/>
          <w:szCs w:val="21"/>
          <w:lang w:val="en-US" w:eastAsia="zh-CN"/>
        </w:rPr>
        <w:t>及图纸、光盘数量详见“所需提供的文件及图纸要求”。</w:t>
      </w:r>
    </w:p>
    <w:p w:rsidR="00A469CB">
      <w:pPr>
        <w:pStyle w:val="ReportLevel3"/>
        <w:spacing w:before="120" w:beforeLines="50" w:after="120" w:afterLines="50"/>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承包单位须注意如竣工图及操作与维修手册未按要求准时提交或未达批核水平时，有关于合约中扣下的款项将不会批付。有关要求已详述于本规格说明书内，承包单位须严格遵从。</w:t>
      </w:r>
    </w:p>
    <w:p w:rsidR="00A469CB">
      <w:pPr>
        <w:rPr>
          <w:rFonts w:asciiTheme="minorEastAsia" w:eastAsiaTheme="minorEastAsia" w:hAnsiTheme="minorEastAsia"/>
          <w:b/>
          <w:caps/>
          <w:sz w:val="21"/>
          <w:szCs w:val="21"/>
          <w:lang w:val="en-US" w:eastAsia="zh-CN"/>
        </w:rPr>
      </w:pPr>
      <w:r>
        <w:rPr>
          <w:rFonts w:asciiTheme="minorEastAsia" w:eastAsiaTheme="minorEastAsia" w:hAnsiTheme="minorEastAsia"/>
          <w:b/>
          <w:caps/>
          <w:sz w:val="21"/>
          <w:szCs w:val="21"/>
          <w:lang w:val="en-US" w:eastAsia="zh-CN"/>
        </w:rPr>
        <w:br/>
      </w:r>
      <w:r>
        <w:rPr>
          <w:rFonts w:asciiTheme="minorEastAsia" w:eastAsiaTheme="minorEastAsia" w:hAnsiTheme="minorEastAsia"/>
          <w:b/>
          <w:caps/>
          <w:sz w:val="21"/>
          <w:szCs w:val="21"/>
          <w:lang w:val="en-US" w:eastAsia="zh-CN"/>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9" w:history="1">
        <w:r>
          <w:rPr>
            <w:rFonts w:ascii="SimSun" w:eastAsia="SimSun" w:hAnsi="SimSun" w:cs="SimSun"/>
            <w:b/>
            <w:bCs/>
            <w:color w:val="0000EE"/>
            <w:sz w:val="30"/>
            <w:szCs w:val="30"/>
            <w:u w:val="single" w:color="0000EE"/>
          </w:rPr>
          <w:t>https://d.book118.com/355101333002011120</w:t>
        </w:r>
      </w:hyperlink>
    </w:p>
    <w:p w:rsidR="00A469CB">
      <w:pPr>
        <w:rPr>
          <w:rFonts w:asciiTheme="minorEastAsia" w:eastAsiaTheme="minorEastAsia" w:hAnsiTheme="minorEastAsia"/>
          <w:b/>
          <w:caps/>
          <w:sz w:val="21"/>
          <w:szCs w:val="21"/>
          <w:lang w:val="en-US" w:eastAsia="zh-CN"/>
        </w:rPr>
      </w:pPr>
    </w:p>
    <w:sectPr>
      <w:headerReference w:type="default" r:id="rId40"/>
      <w:footerReference w:type="default" r:id="rId41"/>
      <w:type w:val="nextPage"/>
      <w:pgSz w:w="11906" w:h="16838"/>
      <w:pgMar w:top="1814" w:right="1418" w:bottom="1418" w:left="1814" w:header="851" w:footer="992" w:gutter="0"/>
      <w:pgNumType w:start="16"/>
      <w:cols w:space="425"/>
      <w:titlePg w:val="0"/>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Bold">
    <w:altName w:val="Times New Roman"/>
    <w:panose1 w:val="02020803070505020304"/>
    <w:charset w:val="00"/>
    <w:family w:val="auto"/>
    <w:pitch w:val="default"/>
    <w:sig w:usb0="00000000"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Bold">
    <w:altName w:val="Arial"/>
    <w:panose1 w:val="020B0704020202020204"/>
    <w:charset w:val="00"/>
    <w:family w:val="roman"/>
    <w:pitch w:val="default"/>
    <w:sig w:usb0="00000000"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华文楷体">
    <w:panose1 w:val="02010600040101010101"/>
    <w:charset w:val="86"/>
    <w:family w:val="auto"/>
    <w:pitch w:val="variable"/>
    <w:sig w:usb0="00000287" w:usb1="080F0000" w:usb2="00000010" w:usb3="00000000" w:csb0="0004009F" w:csb1="00000000"/>
  </w:font>
  <w:font w:name="Arial Black">
    <w:panose1 w:val="020B0A04020102020204"/>
    <w:charset w:val="00"/>
    <w:family w:val="swiss"/>
    <w:pitch w:val="variable"/>
    <w:sig w:usb0="A00002AF" w:usb1="400078FB" w:usb2="00000000" w:usb3="00000000" w:csb0="0000009F" w:csb1="00000000"/>
  </w:font>
  <w:font w:name="Calibri">
    <w:panose1 w:val="020F0502020204030204"/>
    <w:charset w:val="00"/>
    <w:family w:val="swiss"/>
    <w:pitch w:val="variable"/>
    <w:sig w:usb0="E4002EFF" w:usb1="C000247B" w:usb2="00000009" w:usb3="00000000" w:csb0="000001FF" w:csb1="00000000"/>
  </w:font>
  <w:font w:name="PMingLiU">
    <w:altName w:val="Arial Unicode MS"/>
    <w:panose1 w:val="02010601000101010101"/>
    <w:charset w:val="88"/>
    <w:family w:val="roman"/>
    <w:pitch w:val="default"/>
    <w:sig w:usb0="00000000" w:usb1="00000000" w:usb2="00000016" w:usb3="00000000" w:csb0="00100001" w:csb1="00000000"/>
  </w:font>
  <w:font w:name="Tahoma">
    <w:panose1 w:val="020B0604030504040204"/>
    <w:charset w:val="00"/>
    <w:family w:val="swiss"/>
    <w:pitch w:val="variable"/>
    <w:sig w:usb0="E1002EFF" w:usb1="C000605B" w:usb2="00000029" w:usb3="00000000" w:csb0="000101FF" w:csb1="00000000"/>
  </w:font>
  <w:font w:name="金梅簡中明">
    <w:altName w:val="MingLiU-ExtB"/>
    <w:charset w:val="88"/>
    <w:family w:val="modern"/>
    <w:pitch w:val="default"/>
    <w:sig w:usb0="00000000" w:usb1="00000000" w:usb2="00000010" w:usb3="00000000" w:csb0="00100000" w:csb1="00000000"/>
  </w:font>
  <w:font w:name="全真中明體">
    <w:altName w:val="MingLiU-ExtB"/>
    <w:charset w:val="88"/>
    <w:family w:val="auto"/>
    <w:pitch w:val="default"/>
    <w:sig w:usb0="00000000" w:usb1="00000000" w:usb2="00000010" w:usb3="00000000" w:csb0="00100000" w:csb1="00000000"/>
  </w:font>
  <w:font w:name="黑体">
    <w:altName w:val="SimHei"/>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 w:name="華康簡宋">
    <w:altName w:val="Microsoft JhengHei"/>
    <w:charset w:val="88"/>
    <w:family w:val="modern"/>
    <w:pitch w:val="default"/>
    <w:sig w:usb0="00000000" w:usb1="00000000" w:usb2="00000016" w:usb3="00000000" w:csb0="00100000" w:csb1="00000000"/>
  </w:font>
  <w:font w:name="Century Gothic">
    <w:panose1 w:val="020B0502020202020204"/>
    <w:charset w:val="00"/>
    <w:family w:val="swiss"/>
    <w:pitch w:val="variable"/>
    <w:sig w:usb0="00000287" w:usb1="00000000" w:usb2="00000000" w:usb3="00000000" w:csb0="0000009F" w:csb1="00000000"/>
  </w:font>
  <w:font w:name="微软雅黑Q">
    <w:altName w:val="黑体"/>
    <w:charset w:val="86"/>
    <w:family w:val="swiss"/>
    <w:pitch w:val="default"/>
    <w:sig w:usb0="00000000" w:usb1="00000000" w:usb2="00000010" w:usb3="00000000" w:csb0="00040000" w:csb1="00000000"/>
  </w:font>
  <w:font w:name="华文细黑">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9CB">
    <w:pPr>
      <w:pStyle w:val="Footer"/>
      <w:tabs>
        <w:tab w:val="clear" w:pos="4153"/>
        <w:tab w:val="clear" w:pos="8306"/>
        <w:tab w:val="right" w:pos="9090"/>
      </w:tabs>
      <w:rPr>
        <w:rFonts w:ascii="PMingLiU" w:hAnsi="PMingLiU"/>
        <w:sz w:val="18"/>
        <w:u w:val="single"/>
        <w:lang w:eastAsia="zh-TW"/>
      </w:rPr>
    </w:pPr>
    <w:r>
      <w:rPr>
        <w:rFonts w:ascii="PMingLiU" w:hAnsi="PMingLiU"/>
        <w:sz w:val="18"/>
        <w:u w:val="single"/>
        <w:lang w:eastAsia="zh-CN"/>
      </w:rPr>
      <w:tab/>
    </w:r>
  </w:p>
  <w:p w:rsidR="00A469CB">
    <w:pPr>
      <w:pStyle w:val="Footer"/>
      <w:tabs>
        <w:tab w:val="clear" w:pos="4153"/>
        <w:tab w:val="center" w:pos="4536"/>
        <w:tab w:val="clear" w:pos="8306"/>
        <w:tab w:val="right" w:pos="9090"/>
      </w:tabs>
      <w:rPr>
        <w:rStyle w:val="PageNumber"/>
        <w:rFonts w:eastAsia="宋体"/>
        <w:sz w:val="18"/>
        <w:lang w:eastAsia="zh-CN"/>
      </w:rPr>
    </w:pPr>
    <w:r>
      <w:rPr>
        <w:rFonts w:eastAsia="宋体" w:hint="eastAsia"/>
        <w:sz w:val="18"/>
        <w:lang w:eastAsia="zh-CN"/>
      </w:rPr>
      <w:t>综合机电系统</w:t>
    </w:r>
    <w:r>
      <w:rPr>
        <w:rFonts w:eastAsia="宋体"/>
        <w:sz w:val="18"/>
        <w:lang w:eastAsia="zh-CN"/>
      </w:rPr>
      <w:tab/>
    </w:r>
    <w:r>
      <w:rPr>
        <w:rFonts w:eastAsia="宋体"/>
        <w:sz w:val="18"/>
        <w:lang w:eastAsia="zh-CN"/>
      </w:rPr>
      <w:tab/>
      <w:t xml:space="preserve"> </w:t>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1</w:t>
    </w:r>
    <w:r>
      <w:rPr>
        <w:rStyle w:val="PageNumber"/>
        <w:rFonts w:eastAsia="宋体"/>
        <w:sz w:val="18"/>
      </w:rPr>
      <w:fldChar w:fldCharType="end"/>
    </w:r>
    <w:r>
      <w:rPr>
        <w:rStyle w:val="PageNumber"/>
        <w:rFonts w:eastAsia="宋体" w:hint="eastAsia"/>
        <w:sz w:val="18"/>
        <w:lang w:eastAsia="zh-CN"/>
      </w:rPr>
      <w:t>页</w:t>
    </w:r>
  </w:p>
  <w:p w:rsidR="00A469CB">
    <w:pPr>
      <w:pStyle w:val="Footer"/>
      <w:tabs>
        <w:tab w:val="clear" w:pos="4153"/>
        <w:tab w:val="center" w:pos="4536"/>
        <w:tab w:val="clear" w:pos="8306"/>
        <w:tab w:val="right" w:pos="9356"/>
      </w:tabs>
      <w:rPr>
        <w:rStyle w:val="PageNumber"/>
        <w:rFonts w:eastAsia="宋体"/>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第一部分</w:t>
    </w:r>
    <w:r>
      <w:rPr>
        <w:rStyle w:val="PageNumber"/>
        <w:rFonts w:eastAsia="宋体"/>
        <w:sz w:val="18"/>
        <w:lang w:eastAsia="zh-CN"/>
      </w:rPr>
      <w:t xml:space="preserve">) </w:t>
    </w:r>
  </w:p>
  <w:p w:rsidR="00A469CB">
    <w:pPr>
      <w:pStyle w:val="Footer"/>
      <w:tabs>
        <w:tab w:val="clear" w:pos="4153"/>
        <w:tab w:val="clear" w:pos="8306"/>
        <w:tab w:val="right" w:pos="9090"/>
      </w:tabs>
      <w:rPr>
        <w:lang w:eastAsia="zh-CN"/>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9CB">
    <w:pPr>
      <w:pStyle w:val="Footer"/>
      <w:tabs>
        <w:tab w:val="clear" w:pos="4153"/>
        <w:tab w:val="clear" w:pos="8306"/>
        <w:tab w:val="right" w:pos="9090"/>
      </w:tabs>
      <w:rPr>
        <w:lang w:eastAsia="zh-CN"/>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9CB">
    <w:pPr>
      <w:pStyle w:val="Footer"/>
      <w:tabs>
        <w:tab w:val="clear" w:pos="4153"/>
        <w:tab w:val="clear" w:pos="8306"/>
        <w:tab w:val="right" w:pos="13606"/>
      </w:tabs>
      <w:rPr>
        <w:rFonts w:ascii="PMingLiU" w:hAnsi="PMingLiU"/>
        <w:sz w:val="18"/>
        <w:u w:val="single"/>
        <w:lang w:eastAsia="zh-TW"/>
      </w:rPr>
    </w:pPr>
    <w:r>
      <w:rPr>
        <w:rFonts w:ascii="PMingLiU" w:hAnsi="PMingLiU"/>
        <w:sz w:val="18"/>
        <w:u w:val="single"/>
        <w:lang w:eastAsia="zh-CN"/>
      </w:rPr>
      <w:tab/>
    </w:r>
  </w:p>
  <w:p w:rsidR="00A469CB">
    <w:pPr>
      <w:pStyle w:val="Footer"/>
      <w:tabs>
        <w:tab w:val="clear" w:pos="4153"/>
        <w:tab w:val="center" w:pos="4536"/>
        <w:tab w:val="clear" w:pos="8306"/>
        <w:tab w:val="right" w:pos="13606"/>
      </w:tabs>
      <w:rPr>
        <w:rStyle w:val="PageNumber"/>
        <w:rFonts w:eastAsia="宋体"/>
        <w:sz w:val="18"/>
        <w:lang w:eastAsia="zh-CN"/>
      </w:rPr>
    </w:pPr>
    <w:r>
      <w:rPr>
        <w:rFonts w:eastAsia="宋体" w:hint="eastAsia"/>
        <w:sz w:val="18"/>
        <w:lang w:eastAsia="zh-CN"/>
      </w:rPr>
      <w:t>高低压配电工程</w:t>
    </w:r>
    <w:r>
      <w:rPr>
        <w:rFonts w:eastAsia="宋体"/>
        <w:sz w:val="18"/>
        <w:lang w:eastAsia="zh-CN"/>
      </w:rPr>
      <w:tab/>
    </w:r>
    <w:r>
      <w:rPr>
        <w:rFonts w:eastAsia="宋体" w:hint="eastAsia"/>
        <w:sz w:val="18"/>
        <w:lang w:val="en-US" w:eastAsia="zh-CN"/>
      </w:rPr>
      <w:t xml:space="preserve"> </w:t>
    </w:r>
    <w:r>
      <w:rPr>
        <w:rFonts w:eastAsia="宋体"/>
        <w:sz w:val="18"/>
        <w:lang w:val="en-US" w:eastAsia="zh-CN"/>
      </w:rPr>
      <w:t xml:space="preserve">                                                           </w:t>
    </w:r>
    <w:r>
      <w:rPr>
        <w:rFonts w:eastAsia="宋体" w:hint="eastAsia"/>
        <w:sz w:val="18"/>
        <w:lang w:val="en-US" w:eastAsia="zh-CN"/>
      </w:rPr>
      <w:t xml:space="preserve">       </w:t>
    </w:r>
    <w:r>
      <w:rPr>
        <w:rFonts w:eastAsia="宋体"/>
        <w:sz w:val="18"/>
        <w:lang w:val="en-US" w:eastAsia="zh-CN"/>
      </w:rPr>
      <w:t xml:space="preserve">      </w:t>
    </w:r>
    <w:r>
      <w:rPr>
        <w:rFonts w:eastAsia="宋体" w:hint="eastAsia"/>
        <w:sz w:val="18"/>
        <w:lang w:val="en-US" w:eastAsia="zh-CN"/>
      </w:rPr>
      <w:t xml:space="preserve"> </w:t>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1</w:t>
    </w:r>
    <w:r>
      <w:rPr>
        <w:rStyle w:val="PageNumber"/>
        <w:rFonts w:eastAsia="宋体"/>
        <w:sz w:val="18"/>
      </w:rPr>
      <w:fldChar w:fldCharType="end"/>
    </w:r>
    <w:r>
      <w:rPr>
        <w:rStyle w:val="PageNumber"/>
        <w:rFonts w:eastAsia="宋体" w:hint="eastAsia"/>
        <w:sz w:val="18"/>
        <w:lang w:eastAsia="zh-CN"/>
      </w:rPr>
      <w:t>页</w:t>
    </w:r>
  </w:p>
  <w:p w:rsidR="00A469CB">
    <w:pPr>
      <w:pStyle w:val="Footer"/>
      <w:tabs>
        <w:tab w:val="clear" w:pos="4153"/>
        <w:tab w:val="center" w:pos="4536"/>
        <w:tab w:val="clear" w:pos="8306"/>
        <w:tab w:val="right" w:pos="9356"/>
      </w:tabs>
      <w:rPr>
        <w:rFonts w:eastAsia="宋体"/>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第一部分</w:t>
    </w:r>
    <w:r>
      <w:rPr>
        <w:rStyle w:val="PageNumber"/>
        <w:rFonts w:eastAsia="宋体"/>
        <w:sz w:val="18"/>
        <w:lang w:eastAsia="zh-CN"/>
      </w:rPr>
      <w:t xml:space="preserve">) </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9CB">
    <w:pPr>
      <w:pStyle w:val="Footer"/>
      <w:tabs>
        <w:tab w:val="clear" w:pos="4153"/>
        <w:tab w:val="clear" w:pos="8306"/>
        <w:tab w:val="right" w:pos="13606"/>
      </w:tabs>
      <w:rPr>
        <w:rFonts w:ascii="PMingLiU" w:hAnsi="PMingLiU"/>
        <w:sz w:val="18"/>
        <w:u w:val="single"/>
        <w:lang w:eastAsia="zh-TW"/>
      </w:rPr>
    </w:pPr>
    <w:r>
      <w:rPr>
        <w:rFonts w:ascii="PMingLiU" w:hAnsi="PMingLiU"/>
        <w:sz w:val="18"/>
        <w:u w:val="single"/>
        <w:lang w:eastAsia="zh-CN"/>
      </w:rPr>
      <w:tab/>
    </w:r>
  </w:p>
  <w:p w:rsidR="00A469CB">
    <w:pPr>
      <w:pStyle w:val="Footer"/>
      <w:tabs>
        <w:tab w:val="clear" w:pos="4153"/>
        <w:tab w:val="center" w:pos="4536"/>
        <w:tab w:val="clear" w:pos="8306"/>
        <w:tab w:val="right" w:pos="13606"/>
      </w:tabs>
      <w:rPr>
        <w:rStyle w:val="PageNumber"/>
        <w:rFonts w:eastAsia="宋体"/>
        <w:sz w:val="18"/>
        <w:lang w:eastAsia="zh-CN"/>
      </w:rPr>
    </w:pPr>
    <w:r>
      <w:rPr>
        <w:rFonts w:eastAsia="宋体" w:hint="eastAsia"/>
        <w:sz w:val="18"/>
        <w:lang w:eastAsia="zh-CN"/>
      </w:rPr>
      <w:t>高低压配电工程</w:t>
    </w:r>
    <w:r>
      <w:rPr>
        <w:rFonts w:eastAsia="宋体"/>
        <w:sz w:val="18"/>
        <w:lang w:eastAsia="zh-CN"/>
      </w:rPr>
      <w:tab/>
    </w:r>
    <w:r>
      <w:rPr>
        <w:rFonts w:eastAsia="宋体" w:hint="eastAsia"/>
        <w:sz w:val="18"/>
        <w:lang w:val="en-US" w:eastAsia="zh-CN"/>
      </w:rPr>
      <w:t xml:space="preserve"> </w:t>
    </w:r>
    <w:r>
      <w:rPr>
        <w:rFonts w:eastAsia="宋体"/>
        <w:sz w:val="18"/>
        <w:lang w:val="en-US" w:eastAsia="zh-CN"/>
      </w:rPr>
      <w:t xml:space="preserve">                                                           </w:t>
    </w:r>
    <w:r>
      <w:rPr>
        <w:rFonts w:eastAsia="宋体" w:hint="eastAsia"/>
        <w:sz w:val="18"/>
        <w:lang w:val="en-US" w:eastAsia="zh-CN"/>
      </w:rPr>
      <w:t xml:space="preserve">       </w:t>
    </w:r>
    <w:r>
      <w:rPr>
        <w:rFonts w:eastAsia="宋体"/>
        <w:sz w:val="18"/>
        <w:lang w:val="en-US" w:eastAsia="zh-CN"/>
      </w:rPr>
      <w:t xml:space="preserve">      </w:t>
    </w:r>
    <w:r>
      <w:rPr>
        <w:rFonts w:eastAsia="宋体" w:hint="eastAsia"/>
        <w:sz w:val="18"/>
        <w:lang w:val="en-US" w:eastAsia="zh-CN"/>
      </w:rPr>
      <w:t xml:space="preserve"> </w:t>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2</w:t>
    </w:r>
    <w:r>
      <w:rPr>
        <w:rStyle w:val="PageNumber"/>
        <w:rFonts w:eastAsia="宋体"/>
        <w:sz w:val="18"/>
      </w:rPr>
      <w:fldChar w:fldCharType="end"/>
    </w:r>
    <w:r>
      <w:rPr>
        <w:rStyle w:val="PageNumber"/>
        <w:rFonts w:eastAsia="宋体" w:hint="eastAsia"/>
        <w:sz w:val="18"/>
        <w:lang w:eastAsia="zh-CN"/>
      </w:rPr>
      <w:t>页</w:t>
    </w:r>
  </w:p>
  <w:p w:rsidR="00A469CB">
    <w:pPr>
      <w:pStyle w:val="Footer"/>
      <w:tabs>
        <w:tab w:val="clear" w:pos="4153"/>
        <w:tab w:val="center" w:pos="4536"/>
        <w:tab w:val="clear" w:pos="8306"/>
        <w:tab w:val="right" w:pos="9356"/>
      </w:tabs>
      <w:rPr>
        <w:rFonts w:eastAsia="宋体"/>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第一部分</w:t>
    </w:r>
    <w:r>
      <w:rPr>
        <w:rStyle w:val="PageNumber"/>
        <w:rFonts w:eastAsia="宋体"/>
        <w:sz w:val="18"/>
        <w:lang w:eastAsia="zh-CN"/>
      </w:rPr>
      <w:t xml:space="preserve">) </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9CB">
    <w:pPr>
      <w:pStyle w:val="Footer"/>
      <w:tabs>
        <w:tab w:val="clear" w:pos="4153"/>
        <w:tab w:val="clear" w:pos="8306"/>
        <w:tab w:val="right" w:pos="13606"/>
      </w:tabs>
      <w:rPr>
        <w:rFonts w:ascii="PMingLiU" w:hAnsi="PMingLiU"/>
        <w:sz w:val="18"/>
        <w:u w:val="single"/>
        <w:lang w:eastAsia="zh-TW"/>
      </w:rPr>
    </w:pPr>
    <w:r>
      <w:rPr>
        <w:rFonts w:ascii="PMingLiU" w:hAnsi="PMingLiU"/>
        <w:sz w:val="18"/>
        <w:u w:val="single"/>
        <w:lang w:eastAsia="zh-CN"/>
      </w:rPr>
      <w:tab/>
    </w:r>
  </w:p>
  <w:p w:rsidR="00A469CB">
    <w:pPr>
      <w:pStyle w:val="Footer"/>
      <w:tabs>
        <w:tab w:val="clear" w:pos="4153"/>
        <w:tab w:val="center" w:pos="4536"/>
        <w:tab w:val="clear" w:pos="8306"/>
        <w:tab w:val="right" w:pos="13606"/>
      </w:tabs>
      <w:rPr>
        <w:rStyle w:val="PageNumber"/>
        <w:rFonts w:eastAsia="宋体"/>
        <w:sz w:val="18"/>
        <w:lang w:eastAsia="zh-CN"/>
      </w:rPr>
    </w:pPr>
    <w:r>
      <w:rPr>
        <w:rFonts w:eastAsia="宋体" w:hint="eastAsia"/>
        <w:sz w:val="18"/>
        <w:lang w:eastAsia="zh-CN"/>
      </w:rPr>
      <w:t>高低压配电工程</w:t>
    </w:r>
    <w:r>
      <w:rPr>
        <w:rFonts w:eastAsia="宋体"/>
        <w:sz w:val="18"/>
        <w:lang w:eastAsia="zh-CN"/>
      </w:rPr>
      <w:tab/>
    </w:r>
    <w:r>
      <w:rPr>
        <w:rFonts w:eastAsia="宋体" w:hint="eastAsia"/>
        <w:sz w:val="18"/>
        <w:lang w:val="en-US" w:eastAsia="zh-CN"/>
      </w:rPr>
      <w:t xml:space="preserve"> </w:t>
    </w:r>
    <w:r>
      <w:rPr>
        <w:rFonts w:eastAsia="宋体"/>
        <w:sz w:val="18"/>
        <w:lang w:val="en-US" w:eastAsia="zh-CN"/>
      </w:rPr>
      <w:t xml:space="preserve">                                                           </w:t>
    </w:r>
    <w:r>
      <w:rPr>
        <w:rFonts w:eastAsia="宋体" w:hint="eastAsia"/>
        <w:sz w:val="18"/>
        <w:lang w:val="en-US" w:eastAsia="zh-CN"/>
      </w:rPr>
      <w:t xml:space="preserve">       </w:t>
    </w:r>
    <w:r>
      <w:rPr>
        <w:rFonts w:eastAsia="宋体"/>
        <w:sz w:val="18"/>
        <w:lang w:val="en-US" w:eastAsia="zh-CN"/>
      </w:rPr>
      <w:t xml:space="preserve">      </w:t>
    </w:r>
    <w:r>
      <w:rPr>
        <w:rFonts w:eastAsia="宋体" w:hint="eastAsia"/>
        <w:sz w:val="18"/>
        <w:lang w:val="en-US" w:eastAsia="zh-CN"/>
      </w:rPr>
      <w:t xml:space="preserve"> </w:t>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3</w:t>
    </w:r>
    <w:r>
      <w:rPr>
        <w:rStyle w:val="PageNumber"/>
        <w:rFonts w:eastAsia="宋体"/>
        <w:sz w:val="18"/>
      </w:rPr>
      <w:fldChar w:fldCharType="end"/>
    </w:r>
    <w:r>
      <w:rPr>
        <w:rStyle w:val="PageNumber"/>
        <w:rFonts w:eastAsia="宋体" w:hint="eastAsia"/>
        <w:sz w:val="18"/>
        <w:lang w:eastAsia="zh-CN"/>
      </w:rPr>
      <w:t>页</w:t>
    </w:r>
  </w:p>
  <w:p w:rsidR="00A469CB">
    <w:pPr>
      <w:pStyle w:val="Footer"/>
      <w:tabs>
        <w:tab w:val="clear" w:pos="4153"/>
        <w:tab w:val="center" w:pos="4536"/>
        <w:tab w:val="clear" w:pos="8306"/>
        <w:tab w:val="right" w:pos="9356"/>
      </w:tabs>
      <w:rPr>
        <w:rFonts w:eastAsia="宋体"/>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第一部分</w:t>
    </w:r>
    <w:r>
      <w:rPr>
        <w:rStyle w:val="PageNumber"/>
        <w:rFonts w:eastAsia="宋体"/>
        <w:sz w:val="18"/>
        <w:lang w:eastAsia="zh-CN"/>
      </w:rPr>
      <w:t xml:space="preserve">) </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9CB">
    <w:pPr>
      <w:pStyle w:val="Footer"/>
      <w:tabs>
        <w:tab w:val="clear" w:pos="4153"/>
        <w:tab w:val="clear" w:pos="8306"/>
        <w:tab w:val="right" w:pos="13606"/>
      </w:tabs>
      <w:rPr>
        <w:rFonts w:ascii="PMingLiU" w:hAnsi="PMingLiU"/>
        <w:sz w:val="18"/>
        <w:u w:val="single"/>
        <w:lang w:eastAsia="zh-TW"/>
      </w:rPr>
    </w:pPr>
    <w:r>
      <w:rPr>
        <w:rFonts w:ascii="PMingLiU" w:hAnsi="PMingLiU"/>
        <w:sz w:val="18"/>
        <w:u w:val="single"/>
        <w:lang w:eastAsia="zh-CN"/>
      </w:rPr>
      <w:tab/>
    </w:r>
  </w:p>
  <w:p w:rsidR="00A469CB">
    <w:pPr>
      <w:pStyle w:val="Footer"/>
      <w:tabs>
        <w:tab w:val="clear" w:pos="4153"/>
        <w:tab w:val="center" w:pos="4536"/>
        <w:tab w:val="clear" w:pos="8306"/>
        <w:tab w:val="right" w:pos="13606"/>
      </w:tabs>
      <w:rPr>
        <w:rStyle w:val="PageNumber"/>
        <w:rFonts w:eastAsia="宋体"/>
        <w:sz w:val="18"/>
        <w:lang w:eastAsia="zh-CN"/>
      </w:rPr>
    </w:pPr>
    <w:r>
      <w:rPr>
        <w:rFonts w:eastAsia="宋体" w:hint="eastAsia"/>
        <w:sz w:val="18"/>
        <w:lang w:eastAsia="zh-CN"/>
      </w:rPr>
      <w:t>高低压配电工程</w:t>
    </w:r>
    <w:r>
      <w:rPr>
        <w:rFonts w:eastAsia="宋体"/>
        <w:sz w:val="18"/>
        <w:lang w:eastAsia="zh-CN"/>
      </w:rPr>
      <w:tab/>
    </w:r>
    <w:r>
      <w:rPr>
        <w:rFonts w:eastAsia="宋体" w:hint="eastAsia"/>
        <w:sz w:val="18"/>
        <w:lang w:val="en-US" w:eastAsia="zh-CN"/>
      </w:rPr>
      <w:t xml:space="preserve"> </w:t>
    </w:r>
    <w:r>
      <w:rPr>
        <w:rFonts w:eastAsia="宋体"/>
        <w:sz w:val="18"/>
        <w:lang w:val="en-US" w:eastAsia="zh-CN"/>
      </w:rPr>
      <w:t xml:space="preserve">                                                           </w:t>
    </w:r>
    <w:r>
      <w:rPr>
        <w:rFonts w:eastAsia="宋体" w:hint="eastAsia"/>
        <w:sz w:val="18"/>
        <w:lang w:val="en-US" w:eastAsia="zh-CN"/>
      </w:rPr>
      <w:t xml:space="preserve">       </w:t>
    </w:r>
    <w:r>
      <w:rPr>
        <w:rFonts w:eastAsia="宋体"/>
        <w:sz w:val="18"/>
        <w:lang w:val="en-US" w:eastAsia="zh-CN"/>
      </w:rPr>
      <w:t xml:space="preserve">      </w:t>
    </w:r>
    <w:r>
      <w:rPr>
        <w:rFonts w:eastAsia="宋体" w:hint="eastAsia"/>
        <w:sz w:val="18"/>
        <w:lang w:val="en-US" w:eastAsia="zh-CN"/>
      </w:rPr>
      <w:t xml:space="preserve"> </w:t>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4</w:t>
    </w:r>
    <w:r>
      <w:rPr>
        <w:rStyle w:val="PageNumber"/>
        <w:rFonts w:eastAsia="宋体"/>
        <w:sz w:val="18"/>
      </w:rPr>
      <w:fldChar w:fldCharType="end"/>
    </w:r>
    <w:r>
      <w:rPr>
        <w:rStyle w:val="PageNumber"/>
        <w:rFonts w:eastAsia="宋体" w:hint="eastAsia"/>
        <w:sz w:val="18"/>
        <w:lang w:eastAsia="zh-CN"/>
      </w:rPr>
      <w:t>页</w:t>
    </w:r>
  </w:p>
  <w:p w:rsidR="00A469CB">
    <w:pPr>
      <w:pStyle w:val="Footer"/>
      <w:tabs>
        <w:tab w:val="clear" w:pos="4153"/>
        <w:tab w:val="center" w:pos="4536"/>
        <w:tab w:val="clear" w:pos="8306"/>
        <w:tab w:val="right" w:pos="9356"/>
      </w:tabs>
      <w:rPr>
        <w:rFonts w:eastAsia="宋体"/>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第一部分</w:t>
    </w:r>
    <w:r>
      <w:rPr>
        <w:rStyle w:val="PageNumber"/>
        <w:rFonts w:eastAsia="宋体"/>
        <w:sz w:val="18"/>
        <w:lang w:eastAsia="zh-CN"/>
      </w:rPr>
      <w:t xml:space="preserve">) </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9CB">
    <w:pPr>
      <w:pStyle w:val="Footer"/>
      <w:tabs>
        <w:tab w:val="clear" w:pos="4153"/>
        <w:tab w:val="clear" w:pos="8306"/>
        <w:tab w:val="right" w:pos="13606"/>
      </w:tabs>
      <w:rPr>
        <w:rFonts w:ascii="PMingLiU" w:hAnsi="PMingLiU"/>
        <w:sz w:val="18"/>
        <w:u w:val="single"/>
        <w:lang w:eastAsia="zh-TW"/>
      </w:rPr>
    </w:pPr>
    <w:r>
      <w:rPr>
        <w:rFonts w:ascii="PMingLiU" w:hAnsi="PMingLiU"/>
        <w:sz w:val="18"/>
        <w:u w:val="single"/>
        <w:lang w:eastAsia="zh-CN"/>
      </w:rPr>
      <w:tab/>
    </w:r>
  </w:p>
  <w:p w:rsidR="00A469CB">
    <w:pPr>
      <w:pStyle w:val="Footer"/>
      <w:tabs>
        <w:tab w:val="clear" w:pos="4153"/>
        <w:tab w:val="center" w:pos="4536"/>
        <w:tab w:val="clear" w:pos="8306"/>
        <w:tab w:val="right" w:pos="13606"/>
      </w:tabs>
      <w:rPr>
        <w:rStyle w:val="PageNumber"/>
        <w:rFonts w:eastAsia="宋体"/>
        <w:sz w:val="18"/>
        <w:lang w:eastAsia="zh-CN"/>
      </w:rPr>
    </w:pPr>
    <w:r>
      <w:rPr>
        <w:rFonts w:eastAsia="宋体" w:hint="eastAsia"/>
        <w:sz w:val="18"/>
        <w:lang w:eastAsia="zh-CN"/>
      </w:rPr>
      <w:t>高低压配电工程</w:t>
    </w:r>
    <w:r>
      <w:rPr>
        <w:rFonts w:eastAsia="宋体"/>
        <w:sz w:val="18"/>
        <w:lang w:eastAsia="zh-CN"/>
      </w:rPr>
      <w:tab/>
    </w:r>
    <w:r>
      <w:rPr>
        <w:rFonts w:eastAsia="宋体" w:hint="eastAsia"/>
        <w:sz w:val="18"/>
        <w:lang w:val="en-US" w:eastAsia="zh-CN"/>
      </w:rPr>
      <w:t xml:space="preserve"> </w:t>
    </w:r>
    <w:r>
      <w:rPr>
        <w:rFonts w:eastAsia="宋体"/>
        <w:sz w:val="18"/>
        <w:lang w:val="en-US" w:eastAsia="zh-CN"/>
      </w:rPr>
      <w:t xml:space="preserve">                                                           </w:t>
    </w:r>
    <w:r>
      <w:rPr>
        <w:rFonts w:eastAsia="宋体" w:hint="eastAsia"/>
        <w:sz w:val="18"/>
        <w:lang w:val="en-US" w:eastAsia="zh-CN"/>
      </w:rPr>
      <w:t xml:space="preserve">       </w:t>
    </w:r>
    <w:r>
      <w:rPr>
        <w:rFonts w:eastAsia="宋体"/>
        <w:sz w:val="18"/>
        <w:lang w:val="en-US" w:eastAsia="zh-CN"/>
      </w:rPr>
      <w:t xml:space="preserve">      </w:t>
    </w:r>
    <w:r>
      <w:rPr>
        <w:rFonts w:eastAsia="宋体" w:hint="eastAsia"/>
        <w:sz w:val="18"/>
        <w:lang w:val="en-US" w:eastAsia="zh-CN"/>
      </w:rPr>
      <w:t xml:space="preserve"> </w:t>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5</w:t>
    </w:r>
    <w:r>
      <w:rPr>
        <w:rStyle w:val="PageNumber"/>
        <w:rFonts w:eastAsia="宋体"/>
        <w:sz w:val="18"/>
      </w:rPr>
      <w:fldChar w:fldCharType="end"/>
    </w:r>
    <w:r>
      <w:rPr>
        <w:rStyle w:val="PageNumber"/>
        <w:rFonts w:eastAsia="宋体" w:hint="eastAsia"/>
        <w:sz w:val="18"/>
        <w:lang w:eastAsia="zh-CN"/>
      </w:rPr>
      <w:t>页</w:t>
    </w:r>
  </w:p>
  <w:p w:rsidR="00A469CB">
    <w:pPr>
      <w:pStyle w:val="Footer"/>
      <w:tabs>
        <w:tab w:val="clear" w:pos="4153"/>
        <w:tab w:val="center" w:pos="4536"/>
        <w:tab w:val="clear" w:pos="8306"/>
        <w:tab w:val="right" w:pos="9356"/>
      </w:tabs>
      <w:rPr>
        <w:rFonts w:eastAsia="宋体"/>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第一部分</w:t>
    </w:r>
    <w:r>
      <w:rPr>
        <w:rStyle w:val="PageNumber"/>
        <w:rFonts w:eastAsia="宋体"/>
        <w:sz w:val="18"/>
        <w:lang w:eastAsia="zh-CN"/>
      </w:rPr>
      <w:t xml:space="preserve">) </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9CB">
    <w:pPr>
      <w:pStyle w:val="Footer"/>
      <w:tabs>
        <w:tab w:val="clear" w:pos="4153"/>
        <w:tab w:val="clear" w:pos="8306"/>
        <w:tab w:val="right" w:pos="13606"/>
      </w:tabs>
      <w:rPr>
        <w:rFonts w:ascii="PMingLiU" w:hAnsi="PMingLiU"/>
        <w:sz w:val="18"/>
        <w:u w:val="single"/>
        <w:lang w:eastAsia="zh-TW"/>
      </w:rPr>
    </w:pPr>
    <w:r>
      <w:rPr>
        <w:rFonts w:ascii="PMingLiU" w:hAnsi="PMingLiU"/>
        <w:sz w:val="18"/>
        <w:u w:val="single"/>
        <w:lang w:eastAsia="zh-CN"/>
      </w:rPr>
      <w:tab/>
    </w:r>
  </w:p>
  <w:p w:rsidR="00A469CB">
    <w:pPr>
      <w:pStyle w:val="Footer"/>
      <w:tabs>
        <w:tab w:val="clear" w:pos="4153"/>
        <w:tab w:val="center" w:pos="4536"/>
        <w:tab w:val="clear" w:pos="8306"/>
        <w:tab w:val="right" w:pos="13606"/>
      </w:tabs>
      <w:rPr>
        <w:rStyle w:val="PageNumber"/>
        <w:rFonts w:eastAsia="宋体"/>
        <w:sz w:val="18"/>
        <w:lang w:eastAsia="zh-CN"/>
      </w:rPr>
    </w:pPr>
    <w:r>
      <w:rPr>
        <w:rFonts w:eastAsia="宋体" w:hint="eastAsia"/>
        <w:sz w:val="18"/>
        <w:lang w:eastAsia="zh-CN"/>
      </w:rPr>
      <w:t>高低压配电工程</w:t>
    </w:r>
    <w:r>
      <w:rPr>
        <w:rFonts w:eastAsia="宋体"/>
        <w:sz w:val="18"/>
        <w:lang w:eastAsia="zh-CN"/>
      </w:rPr>
      <w:tab/>
    </w:r>
    <w:r>
      <w:rPr>
        <w:rFonts w:eastAsia="宋体" w:hint="eastAsia"/>
        <w:sz w:val="18"/>
        <w:lang w:val="en-US" w:eastAsia="zh-CN"/>
      </w:rPr>
      <w:t xml:space="preserve"> </w:t>
    </w:r>
    <w:r>
      <w:rPr>
        <w:rFonts w:eastAsia="宋体"/>
        <w:sz w:val="18"/>
        <w:lang w:val="en-US" w:eastAsia="zh-CN"/>
      </w:rPr>
      <w:t xml:space="preserve">                                                           </w:t>
    </w:r>
    <w:r>
      <w:rPr>
        <w:rFonts w:eastAsia="宋体" w:hint="eastAsia"/>
        <w:sz w:val="18"/>
        <w:lang w:val="en-US" w:eastAsia="zh-CN"/>
      </w:rPr>
      <w:t xml:space="preserve">       </w:t>
    </w:r>
    <w:r>
      <w:rPr>
        <w:rFonts w:eastAsia="宋体"/>
        <w:sz w:val="18"/>
        <w:lang w:val="en-US" w:eastAsia="zh-CN"/>
      </w:rPr>
      <w:t xml:space="preserve">      </w:t>
    </w:r>
    <w:r>
      <w:rPr>
        <w:rFonts w:eastAsia="宋体" w:hint="eastAsia"/>
        <w:sz w:val="18"/>
        <w:lang w:val="en-US" w:eastAsia="zh-CN"/>
      </w:rPr>
      <w:t xml:space="preserve"> </w:t>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6</w:t>
    </w:r>
    <w:r>
      <w:rPr>
        <w:rStyle w:val="PageNumber"/>
        <w:rFonts w:eastAsia="宋体"/>
        <w:sz w:val="18"/>
      </w:rPr>
      <w:fldChar w:fldCharType="end"/>
    </w:r>
    <w:r>
      <w:rPr>
        <w:rStyle w:val="PageNumber"/>
        <w:rFonts w:eastAsia="宋体" w:hint="eastAsia"/>
        <w:sz w:val="18"/>
        <w:lang w:eastAsia="zh-CN"/>
      </w:rPr>
      <w:t>页</w:t>
    </w:r>
  </w:p>
  <w:p w:rsidR="00A469CB">
    <w:pPr>
      <w:pStyle w:val="Footer"/>
      <w:tabs>
        <w:tab w:val="clear" w:pos="4153"/>
        <w:tab w:val="center" w:pos="4536"/>
        <w:tab w:val="clear" w:pos="8306"/>
        <w:tab w:val="right" w:pos="9356"/>
      </w:tabs>
      <w:rPr>
        <w:rFonts w:eastAsia="宋体"/>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第一部分</w:t>
    </w:r>
    <w:r>
      <w:rPr>
        <w:rStyle w:val="PageNumber"/>
        <w:rFonts w:eastAsia="宋体"/>
        <w:sz w:val="18"/>
        <w:lang w:eastAsia="zh-CN"/>
      </w:rPr>
      <w:t xml:space="preserve">) </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9CB">
    <w:pPr>
      <w:pStyle w:val="Footer"/>
      <w:tabs>
        <w:tab w:val="clear" w:pos="4153"/>
        <w:tab w:val="clear" w:pos="8306"/>
        <w:tab w:val="right" w:pos="13606"/>
      </w:tabs>
      <w:rPr>
        <w:rFonts w:ascii="PMingLiU" w:hAnsi="PMingLiU"/>
        <w:sz w:val="18"/>
        <w:u w:val="single"/>
        <w:lang w:eastAsia="zh-TW"/>
      </w:rPr>
    </w:pPr>
    <w:r>
      <w:rPr>
        <w:rFonts w:ascii="PMingLiU" w:hAnsi="PMingLiU"/>
        <w:sz w:val="18"/>
        <w:u w:val="single"/>
        <w:lang w:eastAsia="zh-CN"/>
      </w:rPr>
      <w:tab/>
    </w:r>
  </w:p>
  <w:p w:rsidR="00A469CB">
    <w:pPr>
      <w:pStyle w:val="Footer"/>
      <w:tabs>
        <w:tab w:val="clear" w:pos="4153"/>
        <w:tab w:val="center" w:pos="4536"/>
        <w:tab w:val="clear" w:pos="8306"/>
        <w:tab w:val="right" w:pos="13606"/>
      </w:tabs>
      <w:rPr>
        <w:rStyle w:val="PageNumber"/>
        <w:rFonts w:eastAsia="宋体"/>
        <w:sz w:val="18"/>
        <w:lang w:eastAsia="zh-CN"/>
      </w:rPr>
    </w:pPr>
    <w:r>
      <w:rPr>
        <w:rFonts w:eastAsia="宋体" w:hint="eastAsia"/>
        <w:sz w:val="18"/>
        <w:lang w:eastAsia="zh-CN"/>
      </w:rPr>
      <w:t>高低压配电工程</w:t>
    </w:r>
    <w:r>
      <w:rPr>
        <w:rFonts w:eastAsia="宋体"/>
        <w:sz w:val="18"/>
        <w:lang w:eastAsia="zh-CN"/>
      </w:rPr>
      <w:tab/>
    </w:r>
    <w:r>
      <w:rPr>
        <w:rFonts w:eastAsia="宋体" w:hint="eastAsia"/>
        <w:sz w:val="18"/>
        <w:lang w:val="en-US" w:eastAsia="zh-CN"/>
      </w:rPr>
      <w:t xml:space="preserve"> </w:t>
    </w:r>
    <w:r>
      <w:rPr>
        <w:rFonts w:eastAsia="宋体"/>
        <w:sz w:val="18"/>
        <w:lang w:val="en-US" w:eastAsia="zh-CN"/>
      </w:rPr>
      <w:t xml:space="preserve">                                                           </w:t>
    </w:r>
    <w:r>
      <w:rPr>
        <w:rFonts w:eastAsia="宋体" w:hint="eastAsia"/>
        <w:sz w:val="18"/>
        <w:lang w:val="en-US" w:eastAsia="zh-CN"/>
      </w:rPr>
      <w:t xml:space="preserve">       </w:t>
    </w:r>
    <w:r>
      <w:rPr>
        <w:rFonts w:eastAsia="宋体"/>
        <w:sz w:val="18"/>
        <w:lang w:val="en-US" w:eastAsia="zh-CN"/>
      </w:rPr>
      <w:t xml:space="preserve">      </w:t>
    </w:r>
    <w:r>
      <w:rPr>
        <w:rFonts w:eastAsia="宋体" w:hint="eastAsia"/>
        <w:sz w:val="18"/>
        <w:lang w:val="en-US" w:eastAsia="zh-CN"/>
      </w:rPr>
      <w:t xml:space="preserve"> </w:t>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7</w:t>
    </w:r>
    <w:r>
      <w:rPr>
        <w:rStyle w:val="PageNumber"/>
        <w:rFonts w:eastAsia="宋体"/>
        <w:sz w:val="18"/>
      </w:rPr>
      <w:fldChar w:fldCharType="end"/>
    </w:r>
    <w:r>
      <w:rPr>
        <w:rStyle w:val="PageNumber"/>
        <w:rFonts w:eastAsia="宋体" w:hint="eastAsia"/>
        <w:sz w:val="18"/>
        <w:lang w:eastAsia="zh-CN"/>
      </w:rPr>
      <w:t>页</w:t>
    </w:r>
  </w:p>
  <w:p w:rsidR="00A469CB">
    <w:pPr>
      <w:pStyle w:val="Footer"/>
      <w:tabs>
        <w:tab w:val="clear" w:pos="4153"/>
        <w:tab w:val="center" w:pos="4536"/>
        <w:tab w:val="clear" w:pos="8306"/>
        <w:tab w:val="right" w:pos="9356"/>
      </w:tabs>
      <w:rPr>
        <w:rFonts w:eastAsia="宋体"/>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第一部分</w:t>
    </w:r>
    <w:r>
      <w:rPr>
        <w:rStyle w:val="PageNumber"/>
        <w:rFonts w:eastAsia="宋体"/>
        <w:sz w:val="18"/>
        <w:lang w:eastAsia="zh-CN"/>
      </w:rPr>
      <w:t xml:space="preserve">) </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9CB">
    <w:pPr>
      <w:pStyle w:val="Footer"/>
      <w:tabs>
        <w:tab w:val="clear" w:pos="4153"/>
        <w:tab w:val="clear" w:pos="8306"/>
        <w:tab w:val="right" w:pos="13606"/>
      </w:tabs>
      <w:rPr>
        <w:rFonts w:ascii="PMingLiU" w:hAnsi="PMingLiU"/>
        <w:sz w:val="18"/>
        <w:u w:val="single"/>
        <w:lang w:eastAsia="zh-TW"/>
      </w:rPr>
    </w:pPr>
    <w:r>
      <w:rPr>
        <w:rFonts w:ascii="PMingLiU" w:hAnsi="PMingLiU"/>
        <w:sz w:val="18"/>
        <w:u w:val="single"/>
        <w:lang w:eastAsia="zh-CN"/>
      </w:rPr>
      <w:tab/>
    </w:r>
  </w:p>
  <w:p w:rsidR="00A469CB">
    <w:pPr>
      <w:pStyle w:val="Footer"/>
      <w:tabs>
        <w:tab w:val="clear" w:pos="4153"/>
        <w:tab w:val="center" w:pos="4536"/>
        <w:tab w:val="clear" w:pos="8306"/>
        <w:tab w:val="right" w:pos="13606"/>
      </w:tabs>
      <w:rPr>
        <w:rStyle w:val="PageNumber"/>
        <w:rFonts w:eastAsia="宋体"/>
        <w:sz w:val="18"/>
        <w:lang w:eastAsia="zh-CN"/>
      </w:rPr>
    </w:pPr>
    <w:r>
      <w:rPr>
        <w:rFonts w:eastAsia="宋体" w:hint="eastAsia"/>
        <w:sz w:val="18"/>
        <w:lang w:eastAsia="zh-CN"/>
      </w:rPr>
      <w:t>高低压配电工程</w:t>
    </w:r>
    <w:r>
      <w:rPr>
        <w:rFonts w:eastAsia="宋体"/>
        <w:sz w:val="18"/>
        <w:lang w:eastAsia="zh-CN"/>
      </w:rPr>
      <w:tab/>
    </w:r>
    <w:r>
      <w:rPr>
        <w:rFonts w:eastAsia="宋体" w:hint="eastAsia"/>
        <w:sz w:val="18"/>
        <w:lang w:val="en-US" w:eastAsia="zh-CN"/>
      </w:rPr>
      <w:t xml:space="preserve"> </w:t>
    </w:r>
    <w:r>
      <w:rPr>
        <w:rFonts w:eastAsia="宋体"/>
        <w:sz w:val="18"/>
        <w:lang w:val="en-US" w:eastAsia="zh-CN"/>
      </w:rPr>
      <w:t xml:space="preserve">                                                           </w:t>
    </w:r>
    <w:r>
      <w:rPr>
        <w:rFonts w:eastAsia="宋体" w:hint="eastAsia"/>
        <w:sz w:val="18"/>
        <w:lang w:val="en-US" w:eastAsia="zh-CN"/>
      </w:rPr>
      <w:t xml:space="preserve">       </w:t>
    </w:r>
    <w:r>
      <w:rPr>
        <w:rFonts w:eastAsia="宋体"/>
        <w:sz w:val="18"/>
        <w:lang w:val="en-US" w:eastAsia="zh-CN"/>
      </w:rPr>
      <w:t xml:space="preserve">      </w:t>
    </w:r>
    <w:r>
      <w:rPr>
        <w:rFonts w:eastAsia="宋体" w:hint="eastAsia"/>
        <w:sz w:val="18"/>
        <w:lang w:val="en-US" w:eastAsia="zh-CN"/>
      </w:rPr>
      <w:t xml:space="preserve"> </w:t>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8</w:t>
    </w:r>
    <w:r>
      <w:rPr>
        <w:rStyle w:val="PageNumber"/>
        <w:rFonts w:eastAsia="宋体"/>
        <w:sz w:val="18"/>
      </w:rPr>
      <w:fldChar w:fldCharType="end"/>
    </w:r>
    <w:r>
      <w:rPr>
        <w:rStyle w:val="PageNumber"/>
        <w:rFonts w:eastAsia="宋体" w:hint="eastAsia"/>
        <w:sz w:val="18"/>
        <w:lang w:eastAsia="zh-CN"/>
      </w:rPr>
      <w:t>页</w:t>
    </w:r>
  </w:p>
  <w:p w:rsidR="00A469CB">
    <w:pPr>
      <w:pStyle w:val="Footer"/>
      <w:tabs>
        <w:tab w:val="clear" w:pos="4153"/>
        <w:tab w:val="center" w:pos="4536"/>
        <w:tab w:val="clear" w:pos="8306"/>
        <w:tab w:val="right" w:pos="9356"/>
      </w:tabs>
      <w:rPr>
        <w:rFonts w:eastAsia="宋体"/>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第一部分</w:t>
    </w:r>
    <w:r>
      <w:rPr>
        <w:rStyle w:val="PageNumber"/>
        <w:rFonts w:eastAsia="宋体"/>
        <w:sz w:val="18"/>
        <w:lang w:eastAsia="zh-CN"/>
      </w:rPr>
      <w:t xml:space="preserve">) </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9CB">
    <w:pPr>
      <w:pStyle w:val="Footer"/>
      <w:tabs>
        <w:tab w:val="clear" w:pos="4153"/>
        <w:tab w:val="clear" w:pos="8306"/>
        <w:tab w:val="right" w:pos="13606"/>
      </w:tabs>
      <w:rPr>
        <w:rFonts w:ascii="PMingLiU" w:hAnsi="PMingLiU"/>
        <w:sz w:val="18"/>
        <w:u w:val="single"/>
        <w:lang w:eastAsia="zh-TW"/>
      </w:rPr>
    </w:pPr>
    <w:r>
      <w:rPr>
        <w:rFonts w:ascii="PMingLiU" w:hAnsi="PMingLiU"/>
        <w:sz w:val="18"/>
        <w:u w:val="single"/>
        <w:lang w:eastAsia="zh-CN"/>
      </w:rPr>
      <w:tab/>
    </w:r>
  </w:p>
  <w:p w:rsidR="00A469CB">
    <w:pPr>
      <w:pStyle w:val="Footer"/>
      <w:tabs>
        <w:tab w:val="clear" w:pos="4153"/>
        <w:tab w:val="center" w:pos="4536"/>
        <w:tab w:val="clear" w:pos="8306"/>
        <w:tab w:val="right" w:pos="13606"/>
      </w:tabs>
      <w:rPr>
        <w:rStyle w:val="PageNumber"/>
        <w:rFonts w:eastAsia="宋体"/>
        <w:sz w:val="18"/>
        <w:lang w:eastAsia="zh-CN"/>
      </w:rPr>
    </w:pPr>
    <w:r>
      <w:rPr>
        <w:rFonts w:eastAsia="宋体" w:hint="eastAsia"/>
        <w:sz w:val="18"/>
        <w:lang w:eastAsia="zh-CN"/>
      </w:rPr>
      <w:t>高低压配电工程</w:t>
    </w:r>
    <w:r>
      <w:rPr>
        <w:rFonts w:eastAsia="宋体"/>
        <w:sz w:val="18"/>
        <w:lang w:eastAsia="zh-CN"/>
      </w:rPr>
      <w:tab/>
    </w:r>
    <w:r>
      <w:rPr>
        <w:rFonts w:eastAsia="宋体" w:hint="eastAsia"/>
        <w:sz w:val="18"/>
        <w:lang w:val="en-US" w:eastAsia="zh-CN"/>
      </w:rPr>
      <w:t xml:space="preserve"> </w:t>
    </w:r>
    <w:r>
      <w:rPr>
        <w:rFonts w:eastAsia="宋体"/>
        <w:sz w:val="18"/>
        <w:lang w:val="en-US" w:eastAsia="zh-CN"/>
      </w:rPr>
      <w:t xml:space="preserve">                                                           </w:t>
    </w:r>
    <w:r>
      <w:rPr>
        <w:rFonts w:eastAsia="宋体" w:hint="eastAsia"/>
        <w:sz w:val="18"/>
        <w:lang w:val="en-US" w:eastAsia="zh-CN"/>
      </w:rPr>
      <w:t xml:space="preserve">       </w:t>
    </w:r>
    <w:r>
      <w:rPr>
        <w:rFonts w:eastAsia="宋体"/>
        <w:sz w:val="18"/>
        <w:lang w:val="en-US" w:eastAsia="zh-CN"/>
      </w:rPr>
      <w:t xml:space="preserve">      </w:t>
    </w:r>
    <w:r>
      <w:rPr>
        <w:rFonts w:eastAsia="宋体" w:hint="eastAsia"/>
        <w:sz w:val="18"/>
        <w:lang w:val="en-US" w:eastAsia="zh-CN"/>
      </w:rPr>
      <w:t xml:space="preserve"> </w:t>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9</w:t>
    </w:r>
    <w:r>
      <w:rPr>
        <w:rStyle w:val="PageNumber"/>
        <w:rFonts w:eastAsia="宋体"/>
        <w:sz w:val="18"/>
      </w:rPr>
      <w:fldChar w:fldCharType="end"/>
    </w:r>
    <w:r>
      <w:rPr>
        <w:rStyle w:val="PageNumber"/>
        <w:rFonts w:eastAsia="宋体" w:hint="eastAsia"/>
        <w:sz w:val="18"/>
        <w:lang w:eastAsia="zh-CN"/>
      </w:rPr>
      <w:t>页</w:t>
    </w:r>
  </w:p>
  <w:p w:rsidR="00A469CB">
    <w:pPr>
      <w:pStyle w:val="Footer"/>
      <w:tabs>
        <w:tab w:val="clear" w:pos="4153"/>
        <w:tab w:val="center" w:pos="4536"/>
        <w:tab w:val="clear" w:pos="8306"/>
        <w:tab w:val="right" w:pos="9356"/>
      </w:tabs>
      <w:rPr>
        <w:rFonts w:eastAsia="宋体"/>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第一部分</w:t>
    </w:r>
    <w:r>
      <w:rPr>
        <w:rStyle w:val="PageNumber"/>
        <w:rFonts w:eastAsia="宋体"/>
        <w:sz w:val="18"/>
        <w:lang w:eastAsia="zh-CN"/>
      </w:rPr>
      <w:t xml:space="preserve">) </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9CB">
    <w:pPr>
      <w:pStyle w:val="Footer"/>
      <w:tabs>
        <w:tab w:val="clear" w:pos="4153"/>
        <w:tab w:val="clear" w:pos="8306"/>
        <w:tab w:val="right" w:pos="13606"/>
      </w:tabs>
      <w:rPr>
        <w:rFonts w:ascii="PMingLiU" w:hAnsi="PMingLiU"/>
        <w:sz w:val="18"/>
        <w:u w:val="single"/>
        <w:lang w:eastAsia="zh-TW"/>
      </w:rPr>
    </w:pPr>
    <w:r>
      <w:rPr>
        <w:rFonts w:ascii="PMingLiU" w:hAnsi="PMingLiU"/>
        <w:sz w:val="18"/>
        <w:u w:val="single"/>
        <w:lang w:eastAsia="zh-CN"/>
      </w:rPr>
      <w:tab/>
    </w:r>
  </w:p>
  <w:p w:rsidR="00A469CB">
    <w:pPr>
      <w:pStyle w:val="Footer"/>
      <w:tabs>
        <w:tab w:val="clear" w:pos="4153"/>
        <w:tab w:val="center" w:pos="4536"/>
        <w:tab w:val="clear" w:pos="8306"/>
        <w:tab w:val="right" w:pos="13606"/>
      </w:tabs>
      <w:rPr>
        <w:rStyle w:val="PageNumber"/>
        <w:rFonts w:eastAsia="宋体"/>
        <w:sz w:val="18"/>
        <w:lang w:eastAsia="zh-CN"/>
      </w:rPr>
    </w:pPr>
    <w:r>
      <w:rPr>
        <w:rFonts w:eastAsia="宋体" w:hint="eastAsia"/>
        <w:sz w:val="18"/>
        <w:lang w:eastAsia="zh-CN"/>
      </w:rPr>
      <w:t>高低压配电工程</w:t>
    </w:r>
    <w:r>
      <w:rPr>
        <w:rFonts w:eastAsia="宋体"/>
        <w:sz w:val="18"/>
        <w:lang w:eastAsia="zh-CN"/>
      </w:rPr>
      <w:tab/>
    </w:r>
    <w:r>
      <w:rPr>
        <w:rFonts w:eastAsia="宋体" w:hint="eastAsia"/>
        <w:sz w:val="18"/>
        <w:lang w:val="en-US" w:eastAsia="zh-CN"/>
      </w:rPr>
      <w:t xml:space="preserve"> </w:t>
    </w:r>
    <w:r>
      <w:rPr>
        <w:rFonts w:eastAsia="宋体"/>
        <w:sz w:val="18"/>
        <w:lang w:val="en-US" w:eastAsia="zh-CN"/>
      </w:rPr>
      <w:t xml:space="preserve">                                                           </w:t>
    </w:r>
    <w:r>
      <w:rPr>
        <w:rFonts w:eastAsia="宋体" w:hint="eastAsia"/>
        <w:sz w:val="18"/>
        <w:lang w:val="en-US" w:eastAsia="zh-CN"/>
      </w:rPr>
      <w:t xml:space="preserve">       </w:t>
    </w:r>
    <w:r>
      <w:rPr>
        <w:rFonts w:eastAsia="宋体"/>
        <w:sz w:val="18"/>
        <w:lang w:val="en-US" w:eastAsia="zh-CN"/>
      </w:rPr>
      <w:t xml:space="preserve">      </w:t>
    </w:r>
    <w:r>
      <w:rPr>
        <w:rFonts w:eastAsia="宋体" w:hint="eastAsia"/>
        <w:sz w:val="18"/>
        <w:lang w:val="en-US" w:eastAsia="zh-CN"/>
      </w:rPr>
      <w:t xml:space="preserve"> </w:t>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10</w:t>
    </w:r>
    <w:r>
      <w:rPr>
        <w:rStyle w:val="PageNumber"/>
        <w:rFonts w:eastAsia="宋体"/>
        <w:sz w:val="18"/>
      </w:rPr>
      <w:fldChar w:fldCharType="end"/>
    </w:r>
    <w:r>
      <w:rPr>
        <w:rStyle w:val="PageNumber"/>
        <w:rFonts w:eastAsia="宋体" w:hint="eastAsia"/>
        <w:sz w:val="18"/>
        <w:lang w:eastAsia="zh-CN"/>
      </w:rPr>
      <w:t>页</w:t>
    </w:r>
  </w:p>
  <w:p w:rsidR="00A469CB">
    <w:pPr>
      <w:pStyle w:val="Footer"/>
      <w:tabs>
        <w:tab w:val="clear" w:pos="4153"/>
        <w:tab w:val="center" w:pos="4536"/>
        <w:tab w:val="clear" w:pos="8306"/>
        <w:tab w:val="right" w:pos="9356"/>
      </w:tabs>
      <w:rPr>
        <w:rFonts w:eastAsia="宋体"/>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第一部分</w:t>
    </w:r>
    <w:r>
      <w:rPr>
        <w:rStyle w:val="PageNumber"/>
        <w:rFonts w:eastAsia="宋体"/>
        <w:sz w:val="18"/>
        <w:lang w:eastAsia="zh-CN"/>
      </w:rPr>
      <w:t xml:space="preserve">) </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9CB">
    <w:pPr>
      <w:pStyle w:val="Footer"/>
      <w:tabs>
        <w:tab w:val="clear" w:pos="4153"/>
        <w:tab w:val="clear" w:pos="8306"/>
        <w:tab w:val="right" w:pos="13606"/>
      </w:tabs>
      <w:rPr>
        <w:rFonts w:ascii="PMingLiU" w:hAnsi="PMingLiU"/>
        <w:sz w:val="18"/>
        <w:u w:val="single"/>
        <w:lang w:eastAsia="zh-TW"/>
      </w:rPr>
    </w:pPr>
    <w:r>
      <w:rPr>
        <w:rFonts w:ascii="PMingLiU" w:hAnsi="PMingLiU"/>
        <w:sz w:val="18"/>
        <w:u w:val="single"/>
        <w:lang w:eastAsia="zh-CN"/>
      </w:rPr>
      <w:tab/>
    </w:r>
  </w:p>
  <w:p w:rsidR="00A469CB">
    <w:pPr>
      <w:pStyle w:val="Footer"/>
      <w:tabs>
        <w:tab w:val="clear" w:pos="4153"/>
        <w:tab w:val="center" w:pos="4536"/>
        <w:tab w:val="clear" w:pos="8306"/>
        <w:tab w:val="right" w:pos="13606"/>
      </w:tabs>
      <w:rPr>
        <w:rStyle w:val="PageNumber"/>
        <w:rFonts w:eastAsia="宋体"/>
        <w:sz w:val="18"/>
        <w:lang w:eastAsia="zh-CN"/>
      </w:rPr>
    </w:pPr>
    <w:r>
      <w:rPr>
        <w:rFonts w:eastAsia="宋体" w:hint="eastAsia"/>
        <w:sz w:val="18"/>
        <w:lang w:eastAsia="zh-CN"/>
      </w:rPr>
      <w:t>高低压配电工程</w:t>
    </w:r>
    <w:r>
      <w:rPr>
        <w:rFonts w:eastAsia="宋体"/>
        <w:sz w:val="18"/>
        <w:lang w:eastAsia="zh-CN"/>
      </w:rPr>
      <w:tab/>
    </w:r>
    <w:r>
      <w:rPr>
        <w:rFonts w:eastAsia="宋体" w:hint="eastAsia"/>
        <w:sz w:val="18"/>
        <w:lang w:val="en-US" w:eastAsia="zh-CN"/>
      </w:rPr>
      <w:t xml:space="preserve"> </w:t>
    </w:r>
    <w:r>
      <w:rPr>
        <w:rFonts w:eastAsia="宋体"/>
        <w:sz w:val="18"/>
        <w:lang w:val="en-US" w:eastAsia="zh-CN"/>
      </w:rPr>
      <w:t xml:space="preserve">                                                           </w:t>
    </w:r>
    <w:r>
      <w:rPr>
        <w:rFonts w:eastAsia="宋体" w:hint="eastAsia"/>
        <w:sz w:val="18"/>
        <w:lang w:val="en-US" w:eastAsia="zh-CN"/>
      </w:rPr>
      <w:t xml:space="preserve">       </w:t>
    </w:r>
    <w:r>
      <w:rPr>
        <w:rFonts w:eastAsia="宋体"/>
        <w:sz w:val="18"/>
        <w:lang w:val="en-US" w:eastAsia="zh-CN"/>
      </w:rPr>
      <w:t xml:space="preserve">      </w:t>
    </w:r>
    <w:r>
      <w:rPr>
        <w:rFonts w:eastAsia="宋体" w:hint="eastAsia"/>
        <w:sz w:val="18"/>
        <w:lang w:val="en-US" w:eastAsia="zh-CN"/>
      </w:rPr>
      <w:t xml:space="preserve"> </w:t>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11</w:t>
    </w:r>
    <w:r>
      <w:rPr>
        <w:rStyle w:val="PageNumber"/>
        <w:rFonts w:eastAsia="宋体"/>
        <w:sz w:val="18"/>
      </w:rPr>
      <w:fldChar w:fldCharType="end"/>
    </w:r>
    <w:r>
      <w:rPr>
        <w:rStyle w:val="PageNumber"/>
        <w:rFonts w:eastAsia="宋体" w:hint="eastAsia"/>
        <w:sz w:val="18"/>
        <w:lang w:eastAsia="zh-CN"/>
      </w:rPr>
      <w:t>页</w:t>
    </w:r>
  </w:p>
  <w:p w:rsidR="00A469CB">
    <w:pPr>
      <w:pStyle w:val="Footer"/>
      <w:tabs>
        <w:tab w:val="clear" w:pos="4153"/>
        <w:tab w:val="center" w:pos="4536"/>
        <w:tab w:val="clear" w:pos="8306"/>
        <w:tab w:val="right" w:pos="9356"/>
      </w:tabs>
      <w:rPr>
        <w:rFonts w:eastAsia="宋体"/>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第一部分</w:t>
    </w:r>
    <w:r>
      <w:rPr>
        <w:rStyle w:val="PageNumber"/>
        <w:rFonts w:eastAsia="宋体"/>
        <w:sz w:val="18"/>
        <w:lang w:eastAsia="zh-CN"/>
      </w:rPr>
      <w:t xml:space="preserve">) </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9CB">
    <w:pPr>
      <w:pStyle w:val="Footer"/>
      <w:tabs>
        <w:tab w:val="clear" w:pos="4153"/>
        <w:tab w:val="clear" w:pos="8306"/>
        <w:tab w:val="right" w:pos="13606"/>
      </w:tabs>
      <w:rPr>
        <w:rFonts w:ascii="PMingLiU" w:hAnsi="PMingLiU"/>
        <w:sz w:val="18"/>
        <w:u w:val="single"/>
        <w:lang w:eastAsia="zh-TW"/>
      </w:rPr>
    </w:pPr>
    <w:r>
      <w:rPr>
        <w:rFonts w:ascii="PMingLiU" w:hAnsi="PMingLiU"/>
        <w:sz w:val="18"/>
        <w:u w:val="single"/>
        <w:lang w:eastAsia="zh-CN"/>
      </w:rPr>
      <w:tab/>
    </w:r>
  </w:p>
  <w:p w:rsidR="00A469CB">
    <w:pPr>
      <w:pStyle w:val="Footer"/>
      <w:tabs>
        <w:tab w:val="clear" w:pos="4153"/>
        <w:tab w:val="center" w:pos="4536"/>
        <w:tab w:val="clear" w:pos="8306"/>
        <w:tab w:val="right" w:pos="13606"/>
      </w:tabs>
      <w:rPr>
        <w:rStyle w:val="PageNumber"/>
        <w:rFonts w:eastAsia="宋体"/>
        <w:sz w:val="18"/>
        <w:lang w:eastAsia="zh-CN"/>
      </w:rPr>
    </w:pPr>
    <w:r>
      <w:rPr>
        <w:rFonts w:eastAsia="宋体" w:hint="eastAsia"/>
        <w:sz w:val="18"/>
        <w:lang w:eastAsia="zh-CN"/>
      </w:rPr>
      <w:t>高低压配电工程</w:t>
    </w:r>
    <w:r>
      <w:rPr>
        <w:rFonts w:eastAsia="宋体"/>
        <w:sz w:val="18"/>
        <w:lang w:eastAsia="zh-CN"/>
      </w:rPr>
      <w:tab/>
    </w:r>
    <w:r>
      <w:rPr>
        <w:rFonts w:eastAsia="宋体" w:hint="eastAsia"/>
        <w:sz w:val="18"/>
        <w:lang w:val="en-US" w:eastAsia="zh-CN"/>
      </w:rPr>
      <w:t xml:space="preserve"> </w:t>
    </w:r>
    <w:r>
      <w:rPr>
        <w:rFonts w:eastAsia="宋体"/>
        <w:sz w:val="18"/>
        <w:lang w:val="en-US" w:eastAsia="zh-CN"/>
      </w:rPr>
      <w:t xml:space="preserve">                                                           </w:t>
    </w:r>
    <w:r>
      <w:rPr>
        <w:rFonts w:eastAsia="宋体" w:hint="eastAsia"/>
        <w:sz w:val="18"/>
        <w:lang w:val="en-US" w:eastAsia="zh-CN"/>
      </w:rPr>
      <w:t xml:space="preserve">       </w:t>
    </w:r>
    <w:r>
      <w:rPr>
        <w:rFonts w:eastAsia="宋体"/>
        <w:sz w:val="18"/>
        <w:lang w:val="en-US" w:eastAsia="zh-CN"/>
      </w:rPr>
      <w:t xml:space="preserve">      </w:t>
    </w:r>
    <w:r>
      <w:rPr>
        <w:rFonts w:eastAsia="宋体" w:hint="eastAsia"/>
        <w:sz w:val="18"/>
        <w:lang w:val="en-US" w:eastAsia="zh-CN"/>
      </w:rPr>
      <w:t xml:space="preserve"> </w:t>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12</w:t>
    </w:r>
    <w:r>
      <w:rPr>
        <w:rStyle w:val="PageNumber"/>
        <w:rFonts w:eastAsia="宋体"/>
        <w:sz w:val="18"/>
      </w:rPr>
      <w:fldChar w:fldCharType="end"/>
    </w:r>
    <w:r>
      <w:rPr>
        <w:rStyle w:val="PageNumber"/>
        <w:rFonts w:eastAsia="宋体" w:hint="eastAsia"/>
        <w:sz w:val="18"/>
        <w:lang w:eastAsia="zh-CN"/>
      </w:rPr>
      <w:t>页</w:t>
    </w:r>
  </w:p>
  <w:p w:rsidR="00A469CB">
    <w:pPr>
      <w:pStyle w:val="Footer"/>
      <w:tabs>
        <w:tab w:val="clear" w:pos="4153"/>
        <w:tab w:val="center" w:pos="4536"/>
        <w:tab w:val="clear" w:pos="8306"/>
        <w:tab w:val="right" w:pos="9356"/>
      </w:tabs>
      <w:rPr>
        <w:rFonts w:eastAsia="宋体"/>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第一部分</w:t>
    </w:r>
    <w:r>
      <w:rPr>
        <w:rStyle w:val="PageNumber"/>
        <w:rFonts w:eastAsia="宋体"/>
        <w:sz w:val="18"/>
        <w:lang w:eastAsia="zh-CN"/>
      </w:rPr>
      <w:t xml:space="preserve">) </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9CB">
    <w:pPr>
      <w:pStyle w:val="Footer"/>
      <w:tabs>
        <w:tab w:val="clear" w:pos="4153"/>
        <w:tab w:val="clear" w:pos="8306"/>
        <w:tab w:val="right" w:pos="13606"/>
      </w:tabs>
      <w:rPr>
        <w:rFonts w:ascii="PMingLiU" w:hAnsi="PMingLiU"/>
        <w:sz w:val="18"/>
        <w:u w:val="single"/>
        <w:lang w:eastAsia="zh-TW"/>
      </w:rPr>
    </w:pPr>
    <w:r>
      <w:rPr>
        <w:rFonts w:ascii="PMingLiU" w:hAnsi="PMingLiU"/>
        <w:sz w:val="18"/>
        <w:u w:val="single"/>
        <w:lang w:eastAsia="zh-CN"/>
      </w:rPr>
      <w:tab/>
    </w:r>
  </w:p>
  <w:p w:rsidR="00A469CB">
    <w:pPr>
      <w:pStyle w:val="Footer"/>
      <w:tabs>
        <w:tab w:val="clear" w:pos="4153"/>
        <w:tab w:val="center" w:pos="4536"/>
        <w:tab w:val="clear" w:pos="8306"/>
        <w:tab w:val="right" w:pos="13606"/>
      </w:tabs>
      <w:rPr>
        <w:rStyle w:val="PageNumber"/>
        <w:rFonts w:eastAsia="宋体"/>
        <w:sz w:val="18"/>
        <w:lang w:eastAsia="zh-CN"/>
      </w:rPr>
    </w:pPr>
    <w:r>
      <w:rPr>
        <w:rFonts w:eastAsia="宋体" w:hint="eastAsia"/>
        <w:sz w:val="18"/>
        <w:lang w:eastAsia="zh-CN"/>
      </w:rPr>
      <w:t>高低压配电工程</w:t>
    </w:r>
    <w:r>
      <w:rPr>
        <w:rFonts w:eastAsia="宋体"/>
        <w:sz w:val="18"/>
        <w:lang w:eastAsia="zh-CN"/>
      </w:rPr>
      <w:tab/>
    </w:r>
    <w:r>
      <w:rPr>
        <w:rFonts w:eastAsia="宋体" w:hint="eastAsia"/>
        <w:sz w:val="18"/>
        <w:lang w:val="en-US" w:eastAsia="zh-CN"/>
      </w:rPr>
      <w:t xml:space="preserve"> </w:t>
    </w:r>
    <w:r>
      <w:rPr>
        <w:rFonts w:eastAsia="宋体"/>
        <w:sz w:val="18"/>
        <w:lang w:val="en-US" w:eastAsia="zh-CN"/>
      </w:rPr>
      <w:t xml:space="preserve">                                                           </w:t>
    </w:r>
    <w:r>
      <w:rPr>
        <w:rFonts w:eastAsia="宋体" w:hint="eastAsia"/>
        <w:sz w:val="18"/>
        <w:lang w:val="en-US" w:eastAsia="zh-CN"/>
      </w:rPr>
      <w:t xml:space="preserve">       </w:t>
    </w:r>
    <w:r>
      <w:rPr>
        <w:rFonts w:eastAsia="宋体"/>
        <w:sz w:val="18"/>
        <w:lang w:val="en-US" w:eastAsia="zh-CN"/>
      </w:rPr>
      <w:t xml:space="preserve">      </w:t>
    </w:r>
    <w:r>
      <w:rPr>
        <w:rFonts w:eastAsia="宋体" w:hint="eastAsia"/>
        <w:sz w:val="18"/>
        <w:lang w:val="en-US" w:eastAsia="zh-CN"/>
      </w:rPr>
      <w:t xml:space="preserve"> </w:t>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13</w:t>
    </w:r>
    <w:r>
      <w:rPr>
        <w:rStyle w:val="PageNumber"/>
        <w:rFonts w:eastAsia="宋体"/>
        <w:sz w:val="18"/>
      </w:rPr>
      <w:fldChar w:fldCharType="end"/>
    </w:r>
    <w:r>
      <w:rPr>
        <w:rStyle w:val="PageNumber"/>
        <w:rFonts w:eastAsia="宋体" w:hint="eastAsia"/>
        <w:sz w:val="18"/>
        <w:lang w:eastAsia="zh-CN"/>
      </w:rPr>
      <w:t>页</w:t>
    </w:r>
  </w:p>
  <w:p w:rsidR="00A469CB">
    <w:pPr>
      <w:pStyle w:val="Footer"/>
      <w:tabs>
        <w:tab w:val="clear" w:pos="4153"/>
        <w:tab w:val="center" w:pos="4536"/>
        <w:tab w:val="clear" w:pos="8306"/>
        <w:tab w:val="right" w:pos="9356"/>
      </w:tabs>
      <w:rPr>
        <w:rFonts w:eastAsia="宋体"/>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第一部分</w:t>
    </w:r>
    <w:r>
      <w:rPr>
        <w:rStyle w:val="PageNumber"/>
        <w:rFonts w:eastAsia="宋体"/>
        <w:sz w:val="18"/>
        <w:lang w:eastAsia="zh-CN"/>
      </w:rPr>
      <w:t xml:space="preserve">) </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9CB">
    <w:pPr>
      <w:pStyle w:val="Footer"/>
      <w:tabs>
        <w:tab w:val="clear" w:pos="4153"/>
        <w:tab w:val="clear" w:pos="8306"/>
        <w:tab w:val="right" w:pos="13606"/>
      </w:tabs>
      <w:rPr>
        <w:rFonts w:ascii="PMingLiU" w:hAnsi="PMingLiU"/>
        <w:sz w:val="18"/>
        <w:u w:val="single"/>
        <w:lang w:eastAsia="zh-TW"/>
      </w:rPr>
    </w:pPr>
    <w:r>
      <w:rPr>
        <w:rFonts w:ascii="PMingLiU" w:hAnsi="PMingLiU"/>
        <w:sz w:val="18"/>
        <w:u w:val="single"/>
        <w:lang w:eastAsia="zh-CN"/>
      </w:rPr>
      <w:tab/>
    </w:r>
  </w:p>
  <w:p w:rsidR="00A469CB">
    <w:pPr>
      <w:pStyle w:val="Footer"/>
      <w:tabs>
        <w:tab w:val="clear" w:pos="4153"/>
        <w:tab w:val="center" w:pos="4536"/>
        <w:tab w:val="clear" w:pos="8306"/>
        <w:tab w:val="right" w:pos="13606"/>
      </w:tabs>
      <w:rPr>
        <w:rStyle w:val="PageNumber"/>
        <w:rFonts w:eastAsia="宋体"/>
        <w:sz w:val="18"/>
        <w:lang w:eastAsia="zh-CN"/>
      </w:rPr>
    </w:pPr>
    <w:r>
      <w:rPr>
        <w:rFonts w:eastAsia="宋体" w:hint="eastAsia"/>
        <w:sz w:val="18"/>
        <w:lang w:eastAsia="zh-CN"/>
      </w:rPr>
      <w:t>高低压配电工程</w:t>
    </w:r>
    <w:r>
      <w:rPr>
        <w:rFonts w:eastAsia="宋体"/>
        <w:sz w:val="18"/>
        <w:lang w:eastAsia="zh-CN"/>
      </w:rPr>
      <w:tab/>
    </w:r>
    <w:r>
      <w:rPr>
        <w:rFonts w:eastAsia="宋体" w:hint="eastAsia"/>
        <w:sz w:val="18"/>
        <w:lang w:val="en-US" w:eastAsia="zh-CN"/>
      </w:rPr>
      <w:t xml:space="preserve"> </w:t>
    </w:r>
    <w:r>
      <w:rPr>
        <w:rFonts w:eastAsia="宋体"/>
        <w:sz w:val="18"/>
        <w:lang w:val="en-US" w:eastAsia="zh-CN"/>
      </w:rPr>
      <w:t xml:space="preserve">                                                           </w:t>
    </w:r>
    <w:r>
      <w:rPr>
        <w:rFonts w:eastAsia="宋体" w:hint="eastAsia"/>
        <w:sz w:val="18"/>
        <w:lang w:val="en-US" w:eastAsia="zh-CN"/>
      </w:rPr>
      <w:t xml:space="preserve">       </w:t>
    </w:r>
    <w:r>
      <w:rPr>
        <w:rFonts w:eastAsia="宋体"/>
        <w:sz w:val="18"/>
        <w:lang w:val="en-US" w:eastAsia="zh-CN"/>
      </w:rPr>
      <w:t xml:space="preserve">      </w:t>
    </w:r>
    <w:r>
      <w:rPr>
        <w:rFonts w:eastAsia="宋体" w:hint="eastAsia"/>
        <w:sz w:val="18"/>
        <w:lang w:val="en-US" w:eastAsia="zh-CN"/>
      </w:rPr>
      <w:t xml:space="preserve"> </w:t>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14</w:t>
    </w:r>
    <w:r>
      <w:rPr>
        <w:rStyle w:val="PageNumber"/>
        <w:rFonts w:eastAsia="宋体"/>
        <w:sz w:val="18"/>
      </w:rPr>
      <w:fldChar w:fldCharType="end"/>
    </w:r>
    <w:r>
      <w:rPr>
        <w:rStyle w:val="PageNumber"/>
        <w:rFonts w:eastAsia="宋体" w:hint="eastAsia"/>
        <w:sz w:val="18"/>
        <w:lang w:eastAsia="zh-CN"/>
      </w:rPr>
      <w:t>页</w:t>
    </w:r>
  </w:p>
  <w:p w:rsidR="00A469CB">
    <w:pPr>
      <w:pStyle w:val="Footer"/>
      <w:tabs>
        <w:tab w:val="clear" w:pos="4153"/>
        <w:tab w:val="center" w:pos="4536"/>
        <w:tab w:val="clear" w:pos="8306"/>
        <w:tab w:val="right" w:pos="9356"/>
      </w:tabs>
      <w:rPr>
        <w:rFonts w:eastAsia="宋体"/>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第一部分</w:t>
    </w:r>
    <w:r>
      <w:rPr>
        <w:rStyle w:val="PageNumber"/>
        <w:rFonts w:eastAsia="宋体"/>
        <w:sz w:val="18"/>
        <w:lang w:eastAsia="zh-CN"/>
      </w:rPr>
      <w:t xml:space="preserve">) </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9CB">
    <w:pPr>
      <w:pStyle w:val="Footer"/>
      <w:tabs>
        <w:tab w:val="clear" w:pos="4153"/>
        <w:tab w:val="clear" w:pos="8306"/>
        <w:tab w:val="right" w:pos="13606"/>
      </w:tabs>
      <w:rPr>
        <w:rFonts w:ascii="PMingLiU" w:hAnsi="PMingLiU"/>
        <w:sz w:val="18"/>
        <w:u w:val="single"/>
        <w:lang w:eastAsia="zh-TW"/>
      </w:rPr>
    </w:pPr>
    <w:r>
      <w:rPr>
        <w:rFonts w:ascii="PMingLiU" w:hAnsi="PMingLiU"/>
        <w:sz w:val="18"/>
        <w:u w:val="single"/>
        <w:lang w:eastAsia="zh-CN"/>
      </w:rPr>
      <w:tab/>
    </w:r>
  </w:p>
  <w:p w:rsidR="00A469CB">
    <w:pPr>
      <w:pStyle w:val="Footer"/>
      <w:tabs>
        <w:tab w:val="clear" w:pos="4153"/>
        <w:tab w:val="center" w:pos="4536"/>
        <w:tab w:val="clear" w:pos="8306"/>
        <w:tab w:val="right" w:pos="13606"/>
      </w:tabs>
      <w:rPr>
        <w:rStyle w:val="PageNumber"/>
        <w:rFonts w:eastAsia="宋体"/>
        <w:sz w:val="18"/>
        <w:lang w:eastAsia="zh-CN"/>
      </w:rPr>
    </w:pPr>
    <w:r>
      <w:rPr>
        <w:rFonts w:eastAsia="宋体" w:hint="eastAsia"/>
        <w:sz w:val="18"/>
        <w:lang w:eastAsia="zh-CN"/>
      </w:rPr>
      <w:t>高低压配电工程</w:t>
    </w:r>
    <w:r>
      <w:rPr>
        <w:rFonts w:eastAsia="宋体"/>
        <w:sz w:val="18"/>
        <w:lang w:eastAsia="zh-CN"/>
      </w:rPr>
      <w:tab/>
    </w:r>
    <w:r>
      <w:rPr>
        <w:rFonts w:eastAsia="宋体" w:hint="eastAsia"/>
        <w:sz w:val="18"/>
        <w:lang w:val="en-US" w:eastAsia="zh-CN"/>
      </w:rPr>
      <w:t xml:space="preserve"> </w:t>
    </w:r>
    <w:r>
      <w:rPr>
        <w:rFonts w:eastAsia="宋体"/>
        <w:sz w:val="18"/>
        <w:lang w:val="en-US" w:eastAsia="zh-CN"/>
      </w:rPr>
      <w:t xml:space="preserve">                                                           </w:t>
    </w:r>
    <w:r>
      <w:rPr>
        <w:rFonts w:eastAsia="宋体" w:hint="eastAsia"/>
        <w:sz w:val="18"/>
        <w:lang w:val="en-US" w:eastAsia="zh-CN"/>
      </w:rPr>
      <w:t xml:space="preserve">       </w:t>
    </w:r>
    <w:r>
      <w:rPr>
        <w:rFonts w:eastAsia="宋体"/>
        <w:sz w:val="18"/>
        <w:lang w:val="en-US" w:eastAsia="zh-CN"/>
      </w:rPr>
      <w:t xml:space="preserve">      </w:t>
    </w:r>
    <w:r>
      <w:rPr>
        <w:rFonts w:eastAsia="宋体" w:hint="eastAsia"/>
        <w:sz w:val="18"/>
        <w:lang w:val="en-US" w:eastAsia="zh-CN"/>
      </w:rPr>
      <w:t xml:space="preserve"> </w:t>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15</w:t>
    </w:r>
    <w:r>
      <w:rPr>
        <w:rStyle w:val="PageNumber"/>
        <w:rFonts w:eastAsia="宋体"/>
        <w:sz w:val="18"/>
      </w:rPr>
      <w:fldChar w:fldCharType="end"/>
    </w:r>
    <w:r>
      <w:rPr>
        <w:rStyle w:val="PageNumber"/>
        <w:rFonts w:eastAsia="宋体" w:hint="eastAsia"/>
        <w:sz w:val="18"/>
        <w:lang w:eastAsia="zh-CN"/>
      </w:rPr>
      <w:t>页</w:t>
    </w:r>
  </w:p>
  <w:p w:rsidR="00A469CB">
    <w:pPr>
      <w:pStyle w:val="Footer"/>
      <w:tabs>
        <w:tab w:val="clear" w:pos="4153"/>
        <w:tab w:val="center" w:pos="4536"/>
        <w:tab w:val="clear" w:pos="8306"/>
        <w:tab w:val="right" w:pos="9356"/>
      </w:tabs>
      <w:rPr>
        <w:rFonts w:eastAsia="宋体"/>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第一部分</w:t>
    </w:r>
    <w:r>
      <w:rPr>
        <w:rStyle w:val="PageNumber"/>
        <w:rFonts w:eastAsia="宋体"/>
        <w:sz w:val="18"/>
        <w:lang w:eastAsia="zh-CN"/>
      </w:rPr>
      <w:t xml:space="preserve">) </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9CB">
    <w:pPr>
      <w:pStyle w:val="Footer"/>
      <w:tabs>
        <w:tab w:val="clear" w:pos="4153"/>
        <w:tab w:val="clear" w:pos="8306"/>
        <w:tab w:val="right" w:pos="13606"/>
      </w:tabs>
      <w:rPr>
        <w:rFonts w:ascii="PMingLiU" w:hAnsi="PMingLiU"/>
        <w:sz w:val="18"/>
        <w:u w:val="single"/>
        <w:lang w:eastAsia="zh-TW"/>
      </w:rPr>
    </w:pPr>
    <w:r>
      <w:rPr>
        <w:rFonts w:ascii="PMingLiU" w:hAnsi="PMingLiU"/>
        <w:sz w:val="18"/>
        <w:u w:val="single"/>
        <w:lang w:eastAsia="zh-CN"/>
      </w:rPr>
      <w:tab/>
    </w:r>
  </w:p>
  <w:p w:rsidR="00A469CB">
    <w:pPr>
      <w:pStyle w:val="Footer"/>
      <w:tabs>
        <w:tab w:val="clear" w:pos="4153"/>
        <w:tab w:val="center" w:pos="4536"/>
        <w:tab w:val="clear" w:pos="8306"/>
        <w:tab w:val="right" w:pos="13606"/>
      </w:tabs>
      <w:rPr>
        <w:rStyle w:val="PageNumber"/>
        <w:rFonts w:eastAsia="宋体"/>
        <w:sz w:val="18"/>
        <w:lang w:eastAsia="zh-CN"/>
      </w:rPr>
    </w:pPr>
    <w:r>
      <w:rPr>
        <w:rFonts w:eastAsia="宋体" w:hint="eastAsia"/>
        <w:sz w:val="18"/>
        <w:lang w:eastAsia="zh-CN"/>
      </w:rPr>
      <w:t>高低压配电工程</w:t>
    </w:r>
    <w:r>
      <w:rPr>
        <w:rFonts w:eastAsia="宋体"/>
        <w:sz w:val="18"/>
        <w:lang w:eastAsia="zh-CN"/>
      </w:rPr>
      <w:tab/>
    </w:r>
    <w:r>
      <w:rPr>
        <w:rFonts w:eastAsia="宋体" w:hint="eastAsia"/>
        <w:sz w:val="18"/>
        <w:lang w:val="en-US" w:eastAsia="zh-CN"/>
      </w:rPr>
      <w:t xml:space="preserve"> </w:t>
    </w:r>
    <w:r>
      <w:rPr>
        <w:rFonts w:eastAsia="宋体"/>
        <w:sz w:val="18"/>
        <w:lang w:val="en-US" w:eastAsia="zh-CN"/>
      </w:rPr>
      <w:t xml:space="preserve">                                                           </w:t>
    </w:r>
    <w:r>
      <w:rPr>
        <w:rFonts w:eastAsia="宋体" w:hint="eastAsia"/>
        <w:sz w:val="18"/>
        <w:lang w:val="en-US" w:eastAsia="zh-CN"/>
      </w:rPr>
      <w:t xml:space="preserve">       </w:t>
    </w:r>
    <w:r>
      <w:rPr>
        <w:rFonts w:eastAsia="宋体"/>
        <w:sz w:val="18"/>
        <w:lang w:val="en-US" w:eastAsia="zh-CN"/>
      </w:rPr>
      <w:t xml:space="preserve">      </w:t>
    </w:r>
    <w:r>
      <w:rPr>
        <w:rFonts w:eastAsia="宋体" w:hint="eastAsia"/>
        <w:sz w:val="18"/>
        <w:lang w:val="en-US" w:eastAsia="zh-CN"/>
      </w:rPr>
      <w:t xml:space="preserve"> </w:t>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16</w:t>
    </w:r>
    <w:r>
      <w:rPr>
        <w:rStyle w:val="PageNumber"/>
        <w:rFonts w:eastAsia="宋体"/>
        <w:sz w:val="18"/>
      </w:rPr>
      <w:fldChar w:fldCharType="end"/>
    </w:r>
    <w:r>
      <w:rPr>
        <w:rStyle w:val="PageNumber"/>
        <w:rFonts w:eastAsia="宋体" w:hint="eastAsia"/>
        <w:sz w:val="18"/>
        <w:lang w:eastAsia="zh-CN"/>
      </w:rPr>
      <w:t>页</w:t>
    </w:r>
  </w:p>
  <w:p w:rsidR="00A469CB">
    <w:pPr>
      <w:pStyle w:val="Footer"/>
      <w:tabs>
        <w:tab w:val="clear" w:pos="4153"/>
        <w:tab w:val="center" w:pos="4536"/>
        <w:tab w:val="clear" w:pos="8306"/>
        <w:tab w:val="right" w:pos="9356"/>
      </w:tabs>
      <w:rPr>
        <w:rFonts w:eastAsia="宋体"/>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第一部分</w:t>
    </w:r>
    <w:r>
      <w:rPr>
        <w:rStyle w:val="PageNumber"/>
        <w:rFonts w:eastAsia="宋体"/>
        <w:sz w:val="18"/>
        <w:lang w:eastAsia="zh-CN"/>
      </w:rPr>
      <w:t xml:space="preserve">) </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9CB">
    <w:pPr>
      <w:pStyle w:val="Header"/>
    </w:pPr>
    <w:r>
      <w:rPr>
        <w:noProof/>
        <w:lang w:val="en-US" w:eastAsia="zh-CN"/>
      </w:rPr>
      <w:drawing>
        <wp:anchor distT="0" distB="0" distL="114300" distR="114300" simplePos="0" relativeHeight="251658240" behindDoc="0" locked="0" layoutInCell="1" allowOverlap="1">
          <wp:simplePos x="0" y="0"/>
          <wp:positionH relativeFrom="page">
            <wp:align>center</wp:align>
          </wp:positionH>
          <wp:positionV relativeFrom="page">
            <wp:align>center</wp:align>
          </wp:positionV>
          <wp:extent cx="3547745" cy="3416300"/>
          <wp:effectExtent l="0" t="0" r="0" b="0"/>
          <wp:wrapNone/>
          <wp:docPr id="1" name="图片 1" descr="Draf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Draft"/>
                  <pic:cNvPicPr>
                    <a:picLocks noChangeAspect="1" noChangeArrowheads="1"/>
                  </pic:cNvPicPr>
                </pic:nvPicPr>
                <pic:blipFill>
                  <a:blip xmlns:r="http://schemas.openxmlformats.org/officeDocument/2006/relationships" r:embed="rId1">
                    <a:lum bright="70000" contrast="-70000"/>
                    <a:extLst>
                      <a:ext xmlns:a="http://schemas.openxmlformats.org/drawingml/2006/main" uri="{28A0092B-C50C-407E-A947-70E740481C1C}">
                        <a14:useLocalDpi xmlns:a14="http://schemas.microsoft.com/office/drawing/2010/main" val="0"/>
                      </a:ext>
                    </a:extLst>
                  </a:blip>
                  <a:stretch>
                    <a:fillRect/>
                  </a:stretch>
                </pic:blipFill>
                <pic:spPr>
                  <a:xfrm>
                    <a:off x="0" y="0"/>
                    <a:ext cx="3547745" cy="3416300"/>
                  </a:xfrm>
                  <a:prstGeom prst="rect">
                    <a:avLst/>
                  </a:prstGeom>
                  <a:noFill/>
                  <a:ln>
                    <a:noFill/>
                  </a:ln>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9C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9C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9C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9CB">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9CB">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9CB">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9CB">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9CB">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9CB">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9CB">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9CB">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9CB">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9CB">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9CB">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9CB">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9CB">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9C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FFFFFF7C"/>
    <w:lvl w:ilvl="0">
      <w:start w:val="1"/>
      <w:numFmt w:val="decimal"/>
      <w:pStyle w:val="ListNumber5"/>
      <w:lvlText w:val="%1."/>
      <w:lvlJc w:val="left"/>
      <w:pPr>
        <w:tabs>
          <w:tab w:val="left" w:pos="1800"/>
        </w:tabs>
        <w:ind w:left="1800" w:hanging="360"/>
      </w:pPr>
    </w:lvl>
  </w:abstractNum>
  <w:abstractNum w:abstractNumId="1">
    <w:nsid w:val="FFFFFF7D"/>
    <w:multiLevelType w:val="singleLevel"/>
    <w:tmpl w:val="FFFFFF7D"/>
    <w:lvl w:ilvl="0">
      <w:start w:val="1"/>
      <w:numFmt w:val="decimal"/>
      <w:pStyle w:val="ListNumber4"/>
      <w:lvlText w:val="%1."/>
      <w:lvlJc w:val="left"/>
      <w:pPr>
        <w:tabs>
          <w:tab w:val="left" w:pos="1440"/>
        </w:tabs>
        <w:ind w:left="1440" w:hanging="360"/>
      </w:pPr>
    </w:lvl>
  </w:abstractNum>
  <w:abstractNum w:abstractNumId="2">
    <w:nsid w:val="FFFFFF7E"/>
    <w:multiLevelType w:val="singleLevel"/>
    <w:tmpl w:val="FFFFFF7E"/>
    <w:lvl w:ilvl="0">
      <w:start w:val="1"/>
      <w:numFmt w:val="decimal"/>
      <w:pStyle w:val="ListNumber3"/>
      <w:lvlText w:val="%1."/>
      <w:lvlJc w:val="left"/>
      <w:pPr>
        <w:tabs>
          <w:tab w:val="left" w:pos="1080"/>
        </w:tabs>
        <w:ind w:left="1080" w:hanging="360"/>
      </w:pPr>
    </w:lvl>
  </w:abstractNum>
  <w:abstractNum w:abstractNumId="3">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nsid w:val="FFFFFF80"/>
    <w:multiLevelType w:val="singleLevel"/>
    <w:tmpl w:val="FFFFFF80"/>
    <w:lvl w:ilvl="0">
      <w:start w:val="1"/>
      <w:numFmt w:val="bullet"/>
      <w:pStyle w:val="ListBullet5"/>
      <w:lvlText w:val=""/>
      <w:lvlJc w:val="left"/>
      <w:pPr>
        <w:tabs>
          <w:tab w:val="left" w:pos="1800"/>
        </w:tabs>
        <w:ind w:left="1800" w:hanging="360"/>
      </w:pPr>
      <w:rPr>
        <w:rFonts w:ascii="Symbol" w:hAnsi="Symbol" w:hint="default"/>
      </w:rPr>
    </w:lvl>
  </w:abstractNum>
  <w:abstractNum w:abstractNumId="5">
    <w:nsid w:val="FFFFFF81"/>
    <w:multiLevelType w:val="singleLevel"/>
    <w:tmpl w:val="FFFFFF81"/>
    <w:lvl w:ilvl="0">
      <w:start w:val="1"/>
      <w:numFmt w:val="bullet"/>
      <w:pStyle w:val="ListBullet4"/>
      <w:lvlText w:val=""/>
      <w:lvlJc w:val="left"/>
      <w:pPr>
        <w:tabs>
          <w:tab w:val="left" w:pos="1440"/>
        </w:tabs>
        <w:ind w:left="1440" w:hanging="360"/>
      </w:pPr>
      <w:rPr>
        <w:rFonts w:ascii="Symbol" w:hAnsi="Symbol" w:hint="default"/>
      </w:rPr>
    </w:lvl>
  </w:abstractNum>
  <w:abstractNum w:abstractNumId="6">
    <w:nsid w:val="FFFFFF82"/>
    <w:multiLevelType w:val="singleLevel"/>
    <w:tmpl w:val="FFFFFF82"/>
    <w:lvl w:ilvl="0">
      <w:start w:val="1"/>
      <w:numFmt w:val="bullet"/>
      <w:pStyle w:val="ListBullet3"/>
      <w:lvlText w:val=""/>
      <w:lvlJc w:val="left"/>
      <w:pPr>
        <w:tabs>
          <w:tab w:val="left" w:pos="1080"/>
        </w:tabs>
        <w:ind w:left="1080" w:hanging="360"/>
      </w:pPr>
      <w:rPr>
        <w:rFonts w:ascii="Symbol" w:hAnsi="Symbol" w:hint="default"/>
      </w:rPr>
    </w:lvl>
  </w:abstractNum>
  <w:abstractNum w:abstractNumId="7">
    <w:nsid w:val="FFFFFF83"/>
    <w:multiLevelType w:val="singleLevel"/>
    <w:tmpl w:val="FFFFFF83"/>
    <w:lvl w:ilvl="0">
      <w:start w:val="1"/>
      <w:numFmt w:val="bullet"/>
      <w:pStyle w:val="ListBullet2"/>
      <w:lvlText w:val=""/>
      <w:lvlJc w:val="left"/>
      <w:pPr>
        <w:tabs>
          <w:tab w:val="left" w:pos="720"/>
        </w:tabs>
        <w:ind w:left="720" w:hanging="360"/>
      </w:pPr>
      <w:rPr>
        <w:rFonts w:ascii="Symbol" w:hAnsi="Symbol" w:hint="default"/>
      </w:rPr>
    </w:lvl>
  </w:abstractNum>
  <w:abstractNum w:abstractNumId="8">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nsid w:val="FFFFFF89"/>
    <w:multiLevelType w:val="singleLevel"/>
    <w:tmpl w:val="FFFFFF89"/>
    <w:lvl w:ilvl="0">
      <w:start w:val="1"/>
      <w:numFmt w:val="bullet"/>
      <w:pStyle w:val="ListBullet"/>
      <w:lvlText w:val=""/>
      <w:lvlJc w:val="left"/>
      <w:pPr>
        <w:tabs>
          <w:tab w:val="left" w:pos="360"/>
        </w:tabs>
        <w:ind w:left="360" w:hanging="360"/>
      </w:pPr>
      <w:rPr>
        <w:rFonts w:ascii="Symbol" w:hAnsi="Symbol" w:hint="default"/>
      </w:rPr>
    </w:lvl>
  </w:abstractNum>
  <w:abstractNum w:abstractNumId="10">
    <w:nsid w:val="012046AD"/>
    <w:multiLevelType w:val="multilevel"/>
    <w:tmpl w:val="012046AD"/>
    <w:lvl w:ilvl="0">
      <w:start w:val="1"/>
      <w:numFmt w:val="decimal"/>
      <w:lvlText w:val="%1)"/>
      <w:lvlJc w:val="left"/>
      <w:pPr>
        <w:tabs>
          <w:tab w:val="left" w:pos="1701"/>
        </w:tabs>
        <w:ind w:left="1701" w:hanging="621"/>
      </w:pPr>
      <w:rPr>
        <w:rFonts w:hint="eastAsia"/>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11">
    <w:nsid w:val="031CE0B3"/>
    <w:multiLevelType w:val="multilevel"/>
    <w:tmpl w:val="58033515"/>
    <w:lvl w:ilvl="0">
      <w:start w:val="1"/>
      <w:numFmt w:val="decimal"/>
      <w:lvlText w:val="%1)"/>
      <w:lvlJc w:val="left"/>
      <w:pPr>
        <w:tabs>
          <w:tab w:val="left" w:pos="1437"/>
        </w:tabs>
        <w:ind w:left="1437" w:hanging="360"/>
      </w:pPr>
      <w:rPr>
        <w:rFonts w:ascii="Times New Roman" w:hAnsi="Times New Roman" w:cs="Times New Roman" w:hint="default"/>
        <w:sz w:val="21"/>
        <w:szCs w:val="21"/>
      </w:rPr>
    </w:lvl>
    <w:lvl w:ilvl="1">
      <w:start w:val="1"/>
      <w:numFmt w:val="lowerLetter"/>
      <w:lvlText w:val="%2."/>
      <w:lvlJc w:val="left"/>
      <w:pPr>
        <w:tabs>
          <w:tab w:val="left" w:pos="1257"/>
        </w:tabs>
        <w:ind w:left="1257" w:hanging="360"/>
      </w:pPr>
    </w:lvl>
    <w:lvl w:ilvl="2">
      <w:start w:val="1"/>
      <w:numFmt w:val="lowerRoman"/>
      <w:lvlText w:val="%3."/>
      <w:lvlJc w:val="right"/>
      <w:pPr>
        <w:tabs>
          <w:tab w:val="left" w:pos="1977"/>
        </w:tabs>
        <w:ind w:left="1977" w:hanging="180"/>
      </w:pPr>
    </w:lvl>
    <w:lvl w:ilvl="3">
      <w:start w:val="1"/>
      <w:numFmt w:val="decimal"/>
      <w:lvlText w:val="%4."/>
      <w:lvlJc w:val="left"/>
      <w:pPr>
        <w:tabs>
          <w:tab w:val="left" w:pos="2697"/>
        </w:tabs>
        <w:ind w:left="2697" w:hanging="360"/>
      </w:pPr>
    </w:lvl>
    <w:lvl w:ilvl="4">
      <w:start w:val="1"/>
      <w:numFmt w:val="lowerLetter"/>
      <w:lvlText w:val="%5."/>
      <w:lvlJc w:val="left"/>
      <w:pPr>
        <w:tabs>
          <w:tab w:val="left" w:pos="3417"/>
        </w:tabs>
        <w:ind w:left="3417" w:hanging="360"/>
      </w:pPr>
    </w:lvl>
    <w:lvl w:ilvl="5">
      <w:start w:val="1"/>
      <w:numFmt w:val="lowerRoman"/>
      <w:lvlText w:val="%6."/>
      <w:lvlJc w:val="right"/>
      <w:pPr>
        <w:tabs>
          <w:tab w:val="left" w:pos="4137"/>
        </w:tabs>
        <w:ind w:left="4137" w:hanging="180"/>
      </w:pPr>
    </w:lvl>
    <w:lvl w:ilvl="6">
      <w:start w:val="1"/>
      <w:numFmt w:val="decimal"/>
      <w:lvlText w:val="%7."/>
      <w:lvlJc w:val="left"/>
      <w:pPr>
        <w:tabs>
          <w:tab w:val="left" w:pos="4857"/>
        </w:tabs>
        <w:ind w:left="4857" w:hanging="360"/>
      </w:pPr>
    </w:lvl>
    <w:lvl w:ilvl="7">
      <w:start w:val="1"/>
      <w:numFmt w:val="lowerLetter"/>
      <w:lvlText w:val="%8."/>
      <w:lvlJc w:val="left"/>
      <w:pPr>
        <w:tabs>
          <w:tab w:val="left" w:pos="5577"/>
        </w:tabs>
        <w:ind w:left="5577" w:hanging="360"/>
      </w:pPr>
    </w:lvl>
    <w:lvl w:ilvl="8">
      <w:start w:val="1"/>
      <w:numFmt w:val="lowerRoman"/>
      <w:lvlText w:val="%9."/>
      <w:lvlJc w:val="right"/>
      <w:pPr>
        <w:tabs>
          <w:tab w:val="left" w:pos="6297"/>
        </w:tabs>
        <w:ind w:left="6297" w:hanging="180"/>
      </w:pPr>
    </w:lvl>
  </w:abstractNum>
  <w:abstractNum w:abstractNumId="12">
    <w:nsid w:val="0BB02017"/>
    <w:multiLevelType w:val="multilevel"/>
    <w:tmpl w:val="0BB02017"/>
    <w:lvl w:ilvl="0">
      <w:start w:val="1"/>
      <w:numFmt w:val="decimal"/>
      <w:lvlText w:val="%1)"/>
      <w:lvlJc w:val="left"/>
      <w:pPr>
        <w:tabs>
          <w:tab w:val="left" w:pos="1701"/>
        </w:tabs>
        <w:ind w:left="1701" w:hanging="621"/>
      </w:pPr>
      <w:rPr>
        <w:rFonts w:hint="eastAsia"/>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13">
    <w:nsid w:val="0BC10C23"/>
    <w:multiLevelType w:val="multilevel"/>
    <w:tmpl w:val="0BC10C23"/>
    <w:lvl w:ilvl="0">
      <w:start w:val="1"/>
      <w:numFmt w:val="decimal"/>
      <w:lvlText w:val="%1)"/>
      <w:lvlJc w:val="left"/>
      <w:pPr>
        <w:tabs>
          <w:tab w:val="left" w:pos="1800"/>
        </w:tabs>
        <w:ind w:left="1800" w:hanging="720"/>
      </w:pPr>
      <w:rPr>
        <w:rFonts w:hint="eastAsia"/>
      </w:rPr>
    </w:lvl>
    <w:lvl w:ilvl="1">
      <w:start w:val="1"/>
      <w:numFmt w:val="lowerLetter"/>
      <w:lvlText w:val="%2."/>
      <w:lvlJc w:val="left"/>
      <w:pPr>
        <w:tabs>
          <w:tab w:val="left" w:pos="2160"/>
        </w:tabs>
        <w:ind w:left="2160" w:hanging="360"/>
      </w:pPr>
    </w:lvl>
    <w:lvl w:ilvl="2">
      <w:start w:val="1"/>
      <w:numFmt w:val="lowerRoman"/>
      <w:lvlText w:val="%3."/>
      <w:lvlJc w:val="right"/>
      <w:pPr>
        <w:tabs>
          <w:tab w:val="left" w:pos="2880"/>
        </w:tabs>
        <w:ind w:left="2880" w:hanging="180"/>
      </w:pPr>
    </w:lvl>
    <w:lvl w:ilvl="3">
      <w:start w:val="1"/>
      <w:numFmt w:val="decimal"/>
      <w:lvlText w:val="%4."/>
      <w:lvlJc w:val="left"/>
      <w:pPr>
        <w:tabs>
          <w:tab w:val="left" w:pos="3600"/>
        </w:tabs>
        <w:ind w:left="3600" w:hanging="360"/>
      </w:pPr>
    </w:lvl>
    <w:lvl w:ilvl="4">
      <w:start w:val="1"/>
      <w:numFmt w:val="lowerLetter"/>
      <w:lvlText w:val="%5."/>
      <w:lvlJc w:val="left"/>
      <w:pPr>
        <w:tabs>
          <w:tab w:val="left" w:pos="4320"/>
        </w:tabs>
        <w:ind w:left="4320" w:hanging="360"/>
      </w:pPr>
    </w:lvl>
    <w:lvl w:ilvl="5">
      <w:start w:val="1"/>
      <w:numFmt w:val="lowerRoman"/>
      <w:lvlText w:val="%6."/>
      <w:lvlJc w:val="right"/>
      <w:pPr>
        <w:tabs>
          <w:tab w:val="left" w:pos="5040"/>
        </w:tabs>
        <w:ind w:left="5040" w:hanging="180"/>
      </w:pPr>
    </w:lvl>
    <w:lvl w:ilvl="6">
      <w:start w:val="1"/>
      <w:numFmt w:val="decimal"/>
      <w:lvlText w:val="%7."/>
      <w:lvlJc w:val="left"/>
      <w:pPr>
        <w:tabs>
          <w:tab w:val="left" w:pos="5760"/>
        </w:tabs>
        <w:ind w:left="5760" w:hanging="360"/>
      </w:pPr>
    </w:lvl>
    <w:lvl w:ilvl="7">
      <w:start w:val="1"/>
      <w:numFmt w:val="lowerLetter"/>
      <w:lvlText w:val="%8."/>
      <w:lvlJc w:val="left"/>
      <w:pPr>
        <w:tabs>
          <w:tab w:val="left" w:pos="6480"/>
        </w:tabs>
        <w:ind w:left="6480" w:hanging="360"/>
      </w:pPr>
    </w:lvl>
    <w:lvl w:ilvl="8">
      <w:start w:val="1"/>
      <w:numFmt w:val="lowerRoman"/>
      <w:lvlText w:val="%9."/>
      <w:lvlJc w:val="right"/>
      <w:pPr>
        <w:tabs>
          <w:tab w:val="left" w:pos="7200"/>
        </w:tabs>
        <w:ind w:left="7200" w:hanging="180"/>
      </w:pPr>
    </w:lvl>
  </w:abstractNum>
  <w:abstractNum w:abstractNumId="14">
    <w:nsid w:val="0CA8D25E"/>
    <w:multiLevelType w:val="multilevel"/>
    <w:tmpl w:val="19417F0B"/>
    <w:lvl w:ilvl="0">
      <w:start w:val="1"/>
      <w:numFmt w:val="decimal"/>
      <w:lvlText w:val="%1)"/>
      <w:lvlJc w:val="left"/>
      <w:pPr>
        <w:tabs>
          <w:tab w:val="left" w:pos="720"/>
        </w:tabs>
        <w:ind w:left="720" w:hanging="360"/>
      </w:p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15">
    <w:nsid w:val="0EA201A8"/>
    <w:multiLevelType w:val="multilevel"/>
    <w:tmpl w:val="0EA201A8"/>
    <w:lvl w:ilvl="0">
      <w:start w:val="1"/>
      <w:numFmt w:val="decimal"/>
      <w:lvlText w:val="%1)"/>
      <w:lvlJc w:val="left"/>
      <w:pPr>
        <w:tabs>
          <w:tab w:val="left" w:pos="1440"/>
        </w:tabs>
        <w:ind w:left="1440" w:hanging="720"/>
      </w:pPr>
      <w:rPr>
        <w:rFonts w:ascii="Times New Roman" w:hAnsi="Times New Roman" w:hint="default"/>
        <w:sz w:val="24"/>
      </w:rPr>
    </w:lvl>
    <w:lvl w:ilvl="1">
      <w:start w:val="1"/>
      <w:numFmt w:val="lowerLetter"/>
      <w:lvlText w:val="%2)"/>
      <w:lvlJc w:val="left"/>
      <w:pPr>
        <w:tabs>
          <w:tab w:val="left" w:pos="1440"/>
        </w:tabs>
        <w:ind w:left="1440" w:hanging="360"/>
      </w:pPr>
      <w:rPr>
        <w:rFonts w:hint="default"/>
      </w:rPr>
    </w:lvl>
    <w:lvl w:ilvl="2">
      <w:start w:val="1"/>
      <w:numFmt w:val="lowerLetter"/>
      <w:lvlText w:val="(%3)"/>
      <w:lvlJc w:val="left"/>
      <w:pPr>
        <w:tabs>
          <w:tab w:val="left" w:pos="2340"/>
        </w:tabs>
        <w:ind w:left="2340" w:hanging="360"/>
      </w:pPr>
      <w:rPr>
        <w:rFonts w:hint="default"/>
      </w:r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16">
    <w:nsid w:val="0F944409"/>
    <w:multiLevelType w:val="multilevel"/>
    <w:tmpl w:val="0F944409"/>
    <w:lvl w:ilvl="0">
      <w:start w:val="1"/>
      <w:numFmt w:val="decimal"/>
      <w:lvlText w:val="%1)"/>
      <w:lvlJc w:val="left"/>
      <w:pPr>
        <w:tabs>
          <w:tab w:val="left" w:pos="1701"/>
        </w:tabs>
        <w:ind w:left="1701" w:hanging="621"/>
      </w:pPr>
      <w:rPr>
        <w:rFonts w:hint="eastAsia"/>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17">
    <w:nsid w:val="10B92E1F"/>
    <w:multiLevelType w:val="multilevel"/>
    <w:tmpl w:val="10B92E1F"/>
    <w:lvl w:ilvl="0">
      <w:start w:val="1"/>
      <w:numFmt w:val="decimal"/>
      <w:lvlText w:val="%1)"/>
      <w:lvlJc w:val="left"/>
      <w:pPr>
        <w:tabs>
          <w:tab w:val="left" w:pos="2880"/>
        </w:tabs>
        <w:ind w:left="2880" w:hanging="360"/>
      </w:pPr>
      <w:rPr>
        <w:rFonts w:hint="default"/>
      </w:rPr>
    </w:lvl>
    <w:lvl w:ilvl="1">
      <w:start w:val="1"/>
      <w:numFmt w:val="upperLetter"/>
      <w:pStyle w:val="Spec8-Normal"/>
      <w:lvlText w:val="%2)"/>
      <w:lvlJc w:val="left"/>
      <w:pPr>
        <w:tabs>
          <w:tab w:val="left" w:pos="2160"/>
        </w:tabs>
        <w:ind w:left="2160" w:hanging="720"/>
      </w:pPr>
      <w:rPr>
        <w:rFonts w:ascii="Times New Roman" w:eastAsia="宋体" w:hAnsi="Times New Roman" w:cs="Times New Roman" w:hint="default"/>
        <w:sz w:val="24"/>
      </w:rPr>
    </w:lvl>
    <w:lvl w:ilvl="2">
      <w:start w:val="1"/>
      <w:numFmt w:val="bullet"/>
      <w:lvlText w:val=""/>
      <w:lvlJc w:val="left"/>
      <w:pPr>
        <w:tabs>
          <w:tab w:val="left" w:pos="2700"/>
        </w:tabs>
        <w:ind w:left="2700" w:hanging="360"/>
      </w:pPr>
      <w:rPr>
        <w:rFonts w:ascii="Symbol" w:hAnsi="Symbol" w:hint="default"/>
      </w:rPr>
    </w:lvl>
    <w:lvl w:ilvl="3">
      <w:start w:val="1"/>
      <w:numFmt w:val="decimal"/>
      <w:lvlText w:val="%4)"/>
      <w:lvlJc w:val="left"/>
      <w:pPr>
        <w:tabs>
          <w:tab w:val="left" w:pos="3240"/>
        </w:tabs>
        <w:ind w:left="3240" w:hanging="360"/>
      </w:pPr>
      <w:rPr>
        <w:rFonts w:hint="default"/>
      </w:rPr>
    </w:lvl>
    <w:lvl w:ilvl="4">
      <w:start w:val="1"/>
      <w:numFmt w:val="lowerLetter"/>
      <w:lvlText w:val="%5."/>
      <w:lvlJc w:val="left"/>
      <w:pPr>
        <w:tabs>
          <w:tab w:val="left" w:pos="3960"/>
        </w:tabs>
        <w:ind w:left="3960" w:hanging="360"/>
      </w:pPr>
    </w:lvl>
    <w:lvl w:ilvl="5">
      <w:start w:val="1"/>
      <w:numFmt w:val="lowerRoman"/>
      <w:lvlText w:val="%6."/>
      <w:lvlJc w:val="right"/>
      <w:pPr>
        <w:tabs>
          <w:tab w:val="left" w:pos="4680"/>
        </w:tabs>
        <w:ind w:left="4680" w:hanging="180"/>
      </w:pPr>
    </w:lvl>
    <w:lvl w:ilvl="6">
      <w:start w:val="1"/>
      <w:numFmt w:val="decimal"/>
      <w:lvlText w:val="%7."/>
      <w:lvlJc w:val="left"/>
      <w:pPr>
        <w:tabs>
          <w:tab w:val="left" w:pos="5400"/>
        </w:tabs>
        <w:ind w:left="5400" w:hanging="360"/>
      </w:pPr>
    </w:lvl>
    <w:lvl w:ilvl="7">
      <w:start w:val="1"/>
      <w:numFmt w:val="lowerLetter"/>
      <w:lvlText w:val="%8."/>
      <w:lvlJc w:val="left"/>
      <w:pPr>
        <w:tabs>
          <w:tab w:val="left" w:pos="6120"/>
        </w:tabs>
        <w:ind w:left="6120" w:hanging="360"/>
      </w:pPr>
    </w:lvl>
    <w:lvl w:ilvl="8">
      <w:start w:val="1"/>
      <w:numFmt w:val="lowerRoman"/>
      <w:lvlText w:val="%9."/>
      <w:lvlJc w:val="right"/>
      <w:pPr>
        <w:tabs>
          <w:tab w:val="left" w:pos="6840"/>
        </w:tabs>
        <w:ind w:left="6840" w:hanging="180"/>
      </w:pPr>
    </w:lvl>
  </w:abstractNum>
  <w:abstractNum w:abstractNumId="18">
    <w:nsid w:val="10E84BB2"/>
    <w:multiLevelType w:val="multilevel"/>
    <w:tmpl w:val="10E84BB2"/>
    <w:lvl w:ilvl="0">
      <w:start w:val="1"/>
      <w:numFmt w:val="decimal"/>
      <w:lvlText w:val="%1)"/>
      <w:lvlJc w:val="left"/>
      <w:pPr>
        <w:tabs>
          <w:tab w:val="left" w:pos="1620"/>
        </w:tabs>
        <w:ind w:left="1620" w:hanging="360"/>
      </w:pPr>
      <w:rPr>
        <w:rFonts w:ascii="Times New Roman" w:hAnsi="Times New Roman" w:cs="Times New Roman" w:hint="default"/>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19">
    <w:nsid w:val="11BE5725"/>
    <w:multiLevelType w:val="multilevel"/>
    <w:tmpl w:val="11BE5725"/>
    <w:lvl w:ilvl="0">
      <w:start w:val="1"/>
      <w:numFmt w:val="decimal"/>
      <w:lvlText w:val="%1)"/>
      <w:lvlJc w:val="left"/>
      <w:pPr>
        <w:tabs>
          <w:tab w:val="left" w:pos="1701"/>
        </w:tabs>
        <w:ind w:left="1701" w:hanging="621"/>
      </w:pPr>
      <w:rPr>
        <w:rFonts w:hint="eastAsia"/>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20">
    <w:nsid w:val="12904AC7"/>
    <w:multiLevelType w:val="multilevel"/>
    <w:tmpl w:val="12904AC7"/>
    <w:lvl w:ilvl="0">
      <w:start w:val="1"/>
      <w:numFmt w:val="decimal"/>
      <w:lvlText w:val="%1)"/>
      <w:lvlJc w:val="left"/>
      <w:pPr>
        <w:tabs>
          <w:tab w:val="left" w:pos="1620"/>
        </w:tabs>
        <w:ind w:left="1620" w:hanging="360"/>
      </w:pPr>
      <w:rPr>
        <w:rFonts w:ascii="Times New Roman" w:hAnsi="Times New Roman" w:cs="Times New Roman" w:hint="default"/>
      </w:rPr>
    </w:lvl>
    <w:lvl w:ilvl="1">
      <w:start w:val="1"/>
      <w:numFmt w:val="lowerLetter"/>
      <w:lvlText w:val="%2."/>
      <w:lvlJc w:val="left"/>
      <w:pPr>
        <w:tabs>
          <w:tab w:val="left" w:pos="1980"/>
        </w:tabs>
        <w:ind w:left="1980" w:hanging="360"/>
      </w:pPr>
    </w:lvl>
    <w:lvl w:ilvl="2">
      <w:start w:val="1"/>
      <w:numFmt w:val="lowerRoman"/>
      <w:lvlText w:val="%3."/>
      <w:lvlJc w:val="right"/>
      <w:pPr>
        <w:tabs>
          <w:tab w:val="left" w:pos="2700"/>
        </w:tabs>
        <w:ind w:left="2700" w:hanging="180"/>
      </w:pPr>
    </w:lvl>
    <w:lvl w:ilvl="3">
      <w:start w:val="1"/>
      <w:numFmt w:val="decimal"/>
      <w:lvlText w:val="%4."/>
      <w:lvlJc w:val="left"/>
      <w:pPr>
        <w:tabs>
          <w:tab w:val="left" w:pos="3420"/>
        </w:tabs>
        <w:ind w:left="3420" w:hanging="360"/>
      </w:pPr>
    </w:lvl>
    <w:lvl w:ilvl="4">
      <w:start w:val="1"/>
      <w:numFmt w:val="lowerLetter"/>
      <w:lvlText w:val="%5."/>
      <w:lvlJc w:val="left"/>
      <w:pPr>
        <w:tabs>
          <w:tab w:val="left" w:pos="4140"/>
        </w:tabs>
        <w:ind w:left="4140" w:hanging="360"/>
      </w:pPr>
    </w:lvl>
    <w:lvl w:ilvl="5">
      <w:start w:val="1"/>
      <w:numFmt w:val="lowerRoman"/>
      <w:lvlText w:val="%6."/>
      <w:lvlJc w:val="right"/>
      <w:pPr>
        <w:tabs>
          <w:tab w:val="left" w:pos="4860"/>
        </w:tabs>
        <w:ind w:left="4860" w:hanging="180"/>
      </w:pPr>
    </w:lvl>
    <w:lvl w:ilvl="6">
      <w:start w:val="1"/>
      <w:numFmt w:val="decimal"/>
      <w:lvlText w:val="%7."/>
      <w:lvlJc w:val="left"/>
      <w:pPr>
        <w:tabs>
          <w:tab w:val="left" w:pos="5580"/>
        </w:tabs>
        <w:ind w:left="5580" w:hanging="360"/>
      </w:pPr>
    </w:lvl>
    <w:lvl w:ilvl="7">
      <w:start w:val="1"/>
      <w:numFmt w:val="lowerLetter"/>
      <w:lvlText w:val="%8."/>
      <w:lvlJc w:val="left"/>
      <w:pPr>
        <w:tabs>
          <w:tab w:val="left" w:pos="6300"/>
        </w:tabs>
        <w:ind w:left="6300" w:hanging="360"/>
      </w:pPr>
    </w:lvl>
    <w:lvl w:ilvl="8">
      <w:start w:val="1"/>
      <w:numFmt w:val="lowerRoman"/>
      <w:lvlText w:val="%9."/>
      <w:lvlJc w:val="right"/>
      <w:pPr>
        <w:tabs>
          <w:tab w:val="left" w:pos="7020"/>
        </w:tabs>
        <w:ind w:left="7020" w:hanging="180"/>
      </w:pPr>
    </w:lvl>
  </w:abstractNum>
  <w:abstractNum w:abstractNumId="21">
    <w:nsid w:val="130B3859"/>
    <w:multiLevelType w:val="multilevel"/>
    <w:tmpl w:val="130B3859"/>
    <w:lvl w:ilvl="0">
      <w:start w:val="1"/>
      <w:numFmt w:val="decimal"/>
      <w:lvlText w:val="%1)"/>
      <w:lvlJc w:val="left"/>
      <w:pPr>
        <w:tabs>
          <w:tab w:val="left" w:pos="1701"/>
        </w:tabs>
        <w:ind w:left="1701" w:hanging="621"/>
      </w:pPr>
      <w:rPr>
        <w:rFonts w:hint="eastAsia"/>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22">
    <w:nsid w:val="16A57817"/>
    <w:multiLevelType w:val="multilevel"/>
    <w:tmpl w:val="16A57817"/>
    <w:lvl w:ilvl="0">
      <w:start w:val="1"/>
      <w:numFmt w:val="decimal"/>
      <w:lvlText w:val="%1)"/>
      <w:lvlJc w:val="left"/>
      <w:pPr>
        <w:tabs>
          <w:tab w:val="left" w:pos="1701"/>
        </w:tabs>
        <w:ind w:left="1701" w:hanging="621"/>
      </w:pPr>
      <w:rPr>
        <w:rFonts w:hint="eastAsia"/>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23">
    <w:nsid w:val="179F5D39"/>
    <w:multiLevelType w:val="multilevel"/>
    <w:tmpl w:val="179F5D39"/>
    <w:lvl w:ilvl="0">
      <w:start w:val="1"/>
      <w:numFmt w:val="decimal"/>
      <w:pStyle w:val="ReportLevel1"/>
      <w:lvlText w:val="%1."/>
      <w:lvlJc w:val="left"/>
      <w:pPr>
        <w:tabs>
          <w:tab w:val="left" w:pos="1077"/>
        </w:tabs>
        <w:ind w:left="1077" w:hanging="1077"/>
      </w:pPr>
      <w:rPr>
        <w:rFonts w:ascii="Times New Roman Bold" w:hAnsi="Times New Roman Bold" w:hint="default"/>
        <w:b/>
        <w:i w:val="0"/>
        <w:sz w:val="24"/>
      </w:rPr>
    </w:lvl>
    <w:lvl w:ilvl="1">
      <w:start w:val="1"/>
      <w:numFmt w:val="decimal"/>
      <w:pStyle w:val="ReportLevel2"/>
      <w:lvlText w:val="%1.%2"/>
      <w:lvlJc w:val="left"/>
      <w:pPr>
        <w:tabs>
          <w:tab w:val="left" w:pos="1077"/>
        </w:tabs>
        <w:ind w:left="1077" w:hanging="1077"/>
      </w:pPr>
      <w:rPr>
        <w:rFonts w:ascii="Times New Roman" w:hAnsi="Times New Roman" w:cs="Times New Roman" w:hint="default"/>
        <w:i w:val="0"/>
        <w:iCs w:val="0"/>
        <w:caps w:val="0"/>
        <w:smallCaps w:val="0"/>
        <w:strike w:val="0"/>
        <w:dstrike w:val="0"/>
        <w:vanish w:val="0"/>
        <w:color w:val="000000"/>
        <w:spacing w:val="0"/>
        <w:kern w:val="0"/>
        <w:position w:val="0"/>
        <w:u w:val="none"/>
        <w:vertAlign w:val="baseline"/>
        <w14:shadow w14:blurRad="0" w14:dist="0" w14:dir="0" w14:sx="0" w14:sy="0" w14:kx="0" w14:ky="0" w14:algn="none">
          <w14:srgbClr w14:val="000000"/>
        </w14:shadow>
      </w:rPr>
    </w:lvl>
    <w:lvl w:ilvl="2">
      <w:start w:val="1"/>
      <w:numFmt w:val="decimal"/>
      <w:pStyle w:val="ReportLevel3"/>
      <w:lvlText w:val="%1.%2.%3"/>
      <w:lvlJc w:val="left"/>
      <w:pPr>
        <w:tabs>
          <w:tab w:val="left" w:pos="1077"/>
        </w:tabs>
        <w:ind w:left="1077" w:hanging="1077"/>
      </w:pPr>
      <w:rPr>
        <w:rFonts w:ascii="Times New Roman" w:hAnsi="Times New Roman" w:hint="default"/>
        <w:b w:val="0"/>
        <w:i w:val="0"/>
        <w:sz w:val="21"/>
        <w:szCs w:val="21"/>
      </w:rPr>
    </w:lvl>
    <w:lvl w:ilvl="3">
      <w:start w:val="1"/>
      <w:numFmt w:val="decimal"/>
      <w:pStyle w:val="ReportLevel4"/>
      <w:lvlText w:val="%1.%2.%3.%4"/>
      <w:lvlJc w:val="left"/>
      <w:pPr>
        <w:tabs>
          <w:tab w:val="left" w:pos="1077"/>
        </w:tabs>
        <w:ind w:left="1077" w:hanging="1077"/>
      </w:pPr>
      <w:rPr>
        <w:rFonts w:ascii="Times New Roman" w:hAnsi="Times New Roman" w:cs="Times New Roman" w:hint="default"/>
        <w:b w:val="0"/>
        <w:i w:val="0"/>
        <w:sz w:val="21"/>
        <w:szCs w:val="21"/>
      </w:rPr>
    </w:lvl>
    <w:lvl w:ilvl="4">
      <w:start w:val="1"/>
      <w:numFmt w:val="decimal"/>
      <w:lvlText w:val="%1.%2.%3.%4.%5."/>
      <w:lvlJc w:val="left"/>
      <w:pPr>
        <w:tabs>
          <w:tab w:val="left" w:pos="720"/>
        </w:tabs>
        <w:ind w:left="720" w:hanging="720"/>
      </w:pPr>
      <w:rPr>
        <w:rFonts w:ascii="Times New Roman" w:hAnsi="Times New Roman" w:hint="default"/>
      </w:rPr>
    </w:lvl>
    <w:lvl w:ilvl="5">
      <w:start w:val="1"/>
      <w:numFmt w:val="decimal"/>
      <w:lvlText w:val="%1.%2.%3.%4.%5.%6."/>
      <w:lvlJc w:val="left"/>
      <w:pPr>
        <w:tabs>
          <w:tab w:val="left" w:pos="720"/>
        </w:tabs>
        <w:ind w:left="720" w:hanging="720"/>
      </w:pPr>
      <w:rPr>
        <w:rFonts w:hint="default"/>
      </w:rPr>
    </w:lvl>
    <w:lvl w:ilvl="6">
      <w:start w:val="1"/>
      <w:numFmt w:val="decimal"/>
      <w:lvlText w:val="%1.%2.%3.%4.%5.%6.%7."/>
      <w:lvlJc w:val="left"/>
      <w:pPr>
        <w:tabs>
          <w:tab w:val="left" w:pos="720"/>
        </w:tabs>
        <w:ind w:left="720" w:hanging="720"/>
      </w:pPr>
      <w:rPr>
        <w:rFonts w:hint="default"/>
      </w:rPr>
    </w:lvl>
    <w:lvl w:ilvl="7">
      <w:start w:val="1"/>
      <w:numFmt w:val="decimal"/>
      <w:lvlText w:val="%1.%2.%3.%4.%5.%6.%7.%8."/>
      <w:lvlJc w:val="left"/>
      <w:pPr>
        <w:tabs>
          <w:tab w:val="left" w:pos="720"/>
        </w:tabs>
        <w:ind w:left="720" w:hanging="720"/>
      </w:pPr>
      <w:rPr>
        <w:rFonts w:hint="default"/>
      </w:rPr>
    </w:lvl>
    <w:lvl w:ilvl="8">
      <w:start w:val="1"/>
      <w:numFmt w:val="decimal"/>
      <w:lvlText w:val="%1.%2.%3.%4.%5.%6.%7.%8.%9."/>
      <w:lvlJc w:val="left"/>
      <w:pPr>
        <w:tabs>
          <w:tab w:val="left" w:pos="720"/>
        </w:tabs>
        <w:ind w:left="720" w:hanging="720"/>
      </w:pPr>
      <w:rPr>
        <w:rFonts w:hint="default"/>
      </w:rPr>
    </w:lvl>
  </w:abstractNum>
  <w:abstractNum w:abstractNumId="24">
    <w:nsid w:val="18D01551"/>
    <w:multiLevelType w:val="multilevel"/>
    <w:tmpl w:val="18D01551"/>
    <w:lvl w:ilvl="0">
      <w:start w:val="1"/>
      <w:numFmt w:val="decimal"/>
      <w:pStyle w:val="ReportList2"/>
      <w:lvlText w:val="%1)"/>
      <w:lvlJc w:val="left"/>
      <w:pPr>
        <w:tabs>
          <w:tab w:val="left" w:pos="1440"/>
        </w:tabs>
        <w:ind w:left="1440" w:hanging="360"/>
      </w:pPr>
      <w:rPr>
        <w:rFonts w:ascii="Times New Roman" w:hAnsi="Times New Roman" w:cs="Times New Roman" w:hint="default"/>
      </w:rPr>
    </w:lvl>
    <w:lvl w:ilvl="1">
      <w:start w:val="1"/>
      <w:numFmt w:val="lowerLetter"/>
      <w:lvlText w:val="%2."/>
      <w:lvlJc w:val="left"/>
      <w:pPr>
        <w:tabs>
          <w:tab w:val="left" w:pos="1260"/>
        </w:tabs>
        <w:ind w:left="1260" w:hanging="360"/>
      </w:pPr>
    </w:lvl>
    <w:lvl w:ilvl="2">
      <w:start w:val="1"/>
      <w:numFmt w:val="lowerRoman"/>
      <w:lvlText w:val="%3."/>
      <w:lvlJc w:val="right"/>
      <w:pPr>
        <w:tabs>
          <w:tab w:val="left" w:pos="1980"/>
        </w:tabs>
        <w:ind w:left="1980" w:hanging="180"/>
      </w:pPr>
    </w:lvl>
    <w:lvl w:ilvl="3">
      <w:start w:val="1"/>
      <w:numFmt w:val="decimal"/>
      <w:lvlText w:val="%4."/>
      <w:lvlJc w:val="left"/>
      <w:pPr>
        <w:tabs>
          <w:tab w:val="left" w:pos="2700"/>
        </w:tabs>
        <w:ind w:left="2700" w:hanging="360"/>
      </w:pPr>
    </w:lvl>
    <w:lvl w:ilvl="4">
      <w:start w:val="1"/>
      <w:numFmt w:val="lowerLetter"/>
      <w:lvlText w:val="%5."/>
      <w:lvlJc w:val="left"/>
      <w:pPr>
        <w:tabs>
          <w:tab w:val="left" w:pos="3420"/>
        </w:tabs>
        <w:ind w:left="3420" w:hanging="360"/>
      </w:pPr>
    </w:lvl>
    <w:lvl w:ilvl="5">
      <w:start w:val="1"/>
      <w:numFmt w:val="lowerRoman"/>
      <w:lvlText w:val="%6."/>
      <w:lvlJc w:val="right"/>
      <w:pPr>
        <w:tabs>
          <w:tab w:val="left" w:pos="4140"/>
        </w:tabs>
        <w:ind w:left="4140" w:hanging="180"/>
      </w:pPr>
    </w:lvl>
    <w:lvl w:ilvl="6">
      <w:start w:val="1"/>
      <w:numFmt w:val="decimal"/>
      <w:lvlText w:val="%7."/>
      <w:lvlJc w:val="left"/>
      <w:pPr>
        <w:tabs>
          <w:tab w:val="left" w:pos="4860"/>
        </w:tabs>
        <w:ind w:left="4860" w:hanging="360"/>
      </w:pPr>
    </w:lvl>
    <w:lvl w:ilvl="7">
      <w:start w:val="1"/>
      <w:numFmt w:val="lowerLetter"/>
      <w:lvlText w:val="%8."/>
      <w:lvlJc w:val="left"/>
      <w:pPr>
        <w:tabs>
          <w:tab w:val="left" w:pos="5580"/>
        </w:tabs>
        <w:ind w:left="5580" w:hanging="360"/>
      </w:pPr>
    </w:lvl>
    <w:lvl w:ilvl="8">
      <w:start w:val="1"/>
      <w:numFmt w:val="lowerRoman"/>
      <w:lvlText w:val="%9."/>
      <w:lvlJc w:val="right"/>
      <w:pPr>
        <w:tabs>
          <w:tab w:val="left" w:pos="6300"/>
        </w:tabs>
        <w:ind w:left="6300" w:hanging="180"/>
      </w:pPr>
    </w:lvl>
  </w:abstractNum>
  <w:abstractNum w:abstractNumId="25">
    <w:nsid w:val="191B454C"/>
    <w:multiLevelType w:val="multilevel"/>
    <w:tmpl w:val="191B454C"/>
    <w:lvl w:ilvl="0">
      <w:start w:val="1"/>
      <w:numFmt w:val="decimal"/>
      <w:lvlText w:val="%1)"/>
      <w:lvlJc w:val="left"/>
      <w:pPr>
        <w:tabs>
          <w:tab w:val="left" w:pos="1440"/>
        </w:tabs>
        <w:ind w:left="1440" w:hanging="720"/>
      </w:pPr>
      <w:rPr>
        <w:rFonts w:ascii="Times New Roman" w:hAnsi="Times New Roman" w:hint="default"/>
        <w:sz w:val="21"/>
        <w:szCs w:val="21"/>
      </w:rPr>
    </w:lvl>
    <w:lvl w:ilvl="1">
      <w:start w:val="1"/>
      <w:numFmt w:val="decimal"/>
      <w:lvlText w:val="%2)"/>
      <w:lvlJc w:val="left"/>
      <w:pPr>
        <w:tabs>
          <w:tab w:val="left" w:pos="1800"/>
        </w:tabs>
        <w:ind w:left="1800" w:hanging="720"/>
      </w:pPr>
      <w:rPr>
        <w:rFonts w:hint="eastAsia"/>
      </w:rPr>
    </w:lvl>
    <w:lvl w:ilvl="2">
      <w:start w:val="1"/>
      <w:numFmt w:val="lowerLetter"/>
      <w:lvlText w:val="(%3)"/>
      <w:lvlJc w:val="left"/>
      <w:pPr>
        <w:tabs>
          <w:tab w:val="left" w:pos="2340"/>
        </w:tabs>
        <w:ind w:left="2340" w:hanging="360"/>
      </w:pPr>
      <w:rPr>
        <w:rFonts w:hint="default"/>
      </w:r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26">
    <w:nsid w:val="19417F0B"/>
    <w:multiLevelType w:val="multilevel"/>
    <w:tmpl w:val="19417F0B"/>
    <w:lvl w:ilvl="0">
      <w:start w:val="1"/>
      <w:numFmt w:val="decimal"/>
      <w:lvlText w:val="%1)"/>
      <w:lvlJc w:val="left"/>
      <w:pPr>
        <w:tabs>
          <w:tab w:val="left" w:pos="720"/>
        </w:tabs>
        <w:ind w:left="720" w:hanging="360"/>
      </w:p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27">
    <w:nsid w:val="1A2B5E04"/>
    <w:multiLevelType w:val="multilevel"/>
    <w:tmpl w:val="22D87279"/>
    <w:lvl w:ilvl="0">
      <w:start w:val="1"/>
      <w:numFmt w:val="decimal"/>
      <w:lvlText w:val="%1)"/>
      <w:lvlJc w:val="left"/>
      <w:pPr>
        <w:tabs>
          <w:tab w:val="left" w:pos="1620"/>
        </w:tabs>
        <w:ind w:left="1620" w:hanging="360"/>
      </w:pPr>
      <w:rPr>
        <w:rFonts w:ascii="Times New Roman" w:hAnsi="Times New Roman" w:cs="Times New Roman" w:hint="default"/>
      </w:rPr>
    </w:lvl>
    <w:lvl w:ilvl="1">
      <w:start w:val="1"/>
      <w:numFmt w:val="lowerLetter"/>
      <w:lvlText w:val="%2."/>
      <w:lvlJc w:val="left"/>
      <w:pPr>
        <w:tabs>
          <w:tab w:val="left" w:pos="1980"/>
        </w:tabs>
        <w:ind w:left="1980" w:hanging="360"/>
      </w:pPr>
    </w:lvl>
    <w:lvl w:ilvl="2">
      <w:start w:val="1"/>
      <w:numFmt w:val="lowerRoman"/>
      <w:lvlText w:val="%3."/>
      <w:lvlJc w:val="right"/>
      <w:pPr>
        <w:tabs>
          <w:tab w:val="left" w:pos="2700"/>
        </w:tabs>
        <w:ind w:left="2700" w:hanging="180"/>
      </w:pPr>
    </w:lvl>
    <w:lvl w:ilvl="3">
      <w:start w:val="1"/>
      <w:numFmt w:val="decimal"/>
      <w:lvlText w:val="%4."/>
      <w:lvlJc w:val="left"/>
      <w:pPr>
        <w:tabs>
          <w:tab w:val="left" w:pos="3420"/>
        </w:tabs>
        <w:ind w:left="3420" w:hanging="360"/>
      </w:pPr>
    </w:lvl>
    <w:lvl w:ilvl="4">
      <w:start w:val="1"/>
      <w:numFmt w:val="lowerLetter"/>
      <w:lvlText w:val="%5."/>
      <w:lvlJc w:val="left"/>
      <w:pPr>
        <w:tabs>
          <w:tab w:val="left" w:pos="4140"/>
        </w:tabs>
        <w:ind w:left="4140" w:hanging="360"/>
      </w:pPr>
    </w:lvl>
    <w:lvl w:ilvl="5">
      <w:start w:val="1"/>
      <w:numFmt w:val="lowerRoman"/>
      <w:lvlText w:val="%6."/>
      <w:lvlJc w:val="right"/>
      <w:pPr>
        <w:tabs>
          <w:tab w:val="left" w:pos="4860"/>
        </w:tabs>
        <w:ind w:left="4860" w:hanging="180"/>
      </w:pPr>
    </w:lvl>
    <w:lvl w:ilvl="6">
      <w:start w:val="1"/>
      <w:numFmt w:val="decimal"/>
      <w:lvlText w:val="%7."/>
      <w:lvlJc w:val="left"/>
      <w:pPr>
        <w:tabs>
          <w:tab w:val="left" w:pos="5580"/>
        </w:tabs>
        <w:ind w:left="5580" w:hanging="360"/>
      </w:pPr>
    </w:lvl>
    <w:lvl w:ilvl="7">
      <w:start w:val="1"/>
      <w:numFmt w:val="lowerLetter"/>
      <w:lvlText w:val="%8."/>
      <w:lvlJc w:val="left"/>
      <w:pPr>
        <w:tabs>
          <w:tab w:val="left" w:pos="6300"/>
        </w:tabs>
        <w:ind w:left="6300" w:hanging="360"/>
      </w:pPr>
    </w:lvl>
    <w:lvl w:ilvl="8">
      <w:start w:val="1"/>
      <w:numFmt w:val="lowerRoman"/>
      <w:lvlText w:val="%9."/>
      <w:lvlJc w:val="right"/>
      <w:pPr>
        <w:tabs>
          <w:tab w:val="left" w:pos="7020"/>
        </w:tabs>
        <w:ind w:left="7020" w:hanging="180"/>
      </w:pPr>
    </w:lvl>
  </w:abstractNum>
  <w:abstractNum w:abstractNumId="28">
    <w:nsid w:val="1C2B6082"/>
    <w:multiLevelType w:val="multilevel"/>
    <w:tmpl w:val="1C2B6082"/>
    <w:lvl w:ilvl="0">
      <w:start w:val="1"/>
      <w:numFmt w:val="decimal"/>
      <w:lvlText w:val="%1)"/>
      <w:lvlJc w:val="left"/>
      <w:pPr>
        <w:tabs>
          <w:tab w:val="left" w:pos="1701"/>
        </w:tabs>
        <w:ind w:left="1701" w:hanging="621"/>
      </w:pPr>
      <w:rPr>
        <w:rFonts w:hint="eastAsia"/>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29">
    <w:nsid w:val="1C954198"/>
    <w:multiLevelType w:val="multilevel"/>
    <w:tmpl w:val="1C954198"/>
    <w:lvl w:ilvl="0">
      <w:start w:val="1"/>
      <w:numFmt w:val="decimal"/>
      <w:lvlText w:val="%1)"/>
      <w:lvlJc w:val="left"/>
      <w:pPr>
        <w:tabs>
          <w:tab w:val="left" w:pos="1701"/>
        </w:tabs>
        <w:ind w:left="1701" w:hanging="621"/>
      </w:pPr>
      <w:rPr>
        <w:rFonts w:hint="eastAsia"/>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30">
    <w:nsid w:val="20CE2E96"/>
    <w:multiLevelType w:val="multilevel"/>
    <w:tmpl w:val="20CE2E96"/>
    <w:lvl w:ilvl="0">
      <w:start w:val="1"/>
      <w:numFmt w:val="decimal"/>
      <w:lvlText w:val="%1)"/>
      <w:lvlJc w:val="left"/>
      <w:pPr>
        <w:tabs>
          <w:tab w:val="left" w:pos="1440"/>
        </w:tabs>
        <w:ind w:left="1440" w:hanging="360"/>
      </w:pPr>
      <w:rPr>
        <w:rFonts w:ascii="Times New Roman" w:hAnsi="Times New Roman" w:hint="default"/>
        <w:b w:val="0"/>
        <w:i w:val="0"/>
        <w:sz w:val="24"/>
      </w:rPr>
    </w:lvl>
    <w:lvl w:ilvl="1">
      <w:start w:val="1"/>
      <w:numFmt w:val="lowerLetter"/>
      <w:lvlText w:val="%2."/>
      <w:lvlJc w:val="left"/>
      <w:pPr>
        <w:tabs>
          <w:tab w:val="left" w:pos="1267"/>
        </w:tabs>
        <w:ind w:left="1267" w:hanging="360"/>
      </w:pPr>
    </w:lvl>
    <w:lvl w:ilvl="2">
      <w:start w:val="1"/>
      <w:numFmt w:val="decimal"/>
      <w:pStyle w:val="Level10"/>
      <w:lvlText w:val="(%3)"/>
      <w:lvlJc w:val="left"/>
      <w:pPr>
        <w:tabs>
          <w:tab w:val="left" w:pos="2167"/>
        </w:tabs>
        <w:ind w:left="2167" w:hanging="360"/>
      </w:pPr>
      <w:rPr>
        <w:rFonts w:hint="default"/>
      </w:rPr>
    </w:lvl>
    <w:lvl w:ilvl="3">
      <w:start w:val="1"/>
      <w:numFmt w:val="decimal"/>
      <w:lvlText w:val="%4."/>
      <w:lvlJc w:val="left"/>
      <w:pPr>
        <w:tabs>
          <w:tab w:val="left" w:pos="2707"/>
        </w:tabs>
        <w:ind w:left="2707" w:hanging="360"/>
      </w:pPr>
    </w:lvl>
    <w:lvl w:ilvl="4">
      <w:start w:val="1"/>
      <w:numFmt w:val="lowerLetter"/>
      <w:lvlText w:val="%5."/>
      <w:lvlJc w:val="left"/>
      <w:pPr>
        <w:tabs>
          <w:tab w:val="left" w:pos="3427"/>
        </w:tabs>
        <w:ind w:left="3427" w:hanging="360"/>
      </w:pPr>
    </w:lvl>
    <w:lvl w:ilvl="5">
      <w:start w:val="1"/>
      <w:numFmt w:val="lowerRoman"/>
      <w:lvlText w:val="%6."/>
      <w:lvlJc w:val="right"/>
      <w:pPr>
        <w:tabs>
          <w:tab w:val="left" w:pos="4147"/>
        </w:tabs>
        <w:ind w:left="4147" w:hanging="180"/>
      </w:pPr>
    </w:lvl>
    <w:lvl w:ilvl="6">
      <w:start w:val="1"/>
      <w:numFmt w:val="decimal"/>
      <w:lvlText w:val="%7."/>
      <w:lvlJc w:val="left"/>
      <w:pPr>
        <w:tabs>
          <w:tab w:val="left" w:pos="4867"/>
        </w:tabs>
        <w:ind w:left="4867" w:hanging="360"/>
      </w:pPr>
    </w:lvl>
    <w:lvl w:ilvl="7">
      <w:start w:val="1"/>
      <w:numFmt w:val="lowerLetter"/>
      <w:lvlText w:val="%8."/>
      <w:lvlJc w:val="left"/>
      <w:pPr>
        <w:tabs>
          <w:tab w:val="left" w:pos="5587"/>
        </w:tabs>
        <w:ind w:left="5587" w:hanging="360"/>
      </w:pPr>
    </w:lvl>
    <w:lvl w:ilvl="8">
      <w:start w:val="1"/>
      <w:numFmt w:val="lowerRoman"/>
      <w:lvlText w:val="%9."/>
      <w:lvlJc w:val="right"/>
      <w:pPr>
        <w:tabs>
          <w:tab w:val="left" w:pos="6307"/>
        </w:tabs>
        <w:ind w:left="6307" w:hanging="180"/>
      </w:pPr>
    </w:lvl>
  </w:abstractNum>
  <w:abstractNum w:abstractNumId="31">
    <w:nsid w:val="22D87279"/>
    <w:multiLevelType w:val="multilevel"/>
    <w:tmpl w:val="22D87279"/>
    <w:lvl w:ilvl="0">
      <w:start w:val="1"/>
      <w:numFmt w:val="decimal"/>
      <w:lvlText w:val="%1)"/>
      <w:lvlJc w:val="left"/>
      <w:pPr>
        <w:tabs>
          <w:tab w:val="left" w:pos="1620"/>
        </w:tabs>
        <w:ind w:left="1620" w:hanging="360"/>
      </w:pPr>
      <w:rPr>
        <w:rFonts w:ascii="Times New Roman" w:hAnsi="Times New Roman" w:cs="Times New Roman" w:hint="default"/>
      </w:rPr>
    </w:lvl>
    <w:lvl w:ilvl="1">
      <w:start w:val="1"/>
      <w:numFmt w:val="lowerLetter"/>
      <w:lvlText w:val="%2."/>
      <w:lvlJc w:val="left"/>
      <w:pPr>
        <w:tabs>
          <w:tab w:val="left" w:pos="1980"/>
        </w:tabs>
        <w:ind w:left="1980" w:hanging="360"/>
      </w:pPr>
    </w:lvl>
    <w:lvl w:ilvl="2">
      <w:start w:val="1"/>
      <w:numFmt w:val="lowerRoman"/>
      <w:lvlText w:val="%3."/>
      <w:lvlJc w:val="right"/>
      <w:pPr>
        <w:tabs>
          <w:tab w:val="left" w:pos="2700"/>
        </w:tabs>
        <w:ind w:left="2700" w:hanging="180"/>
      </w:pPr>
    </w:lvl>
    <w:lvl w:ilvl="3">
      <w:start w:val="1"/>
      <w:numFmt w:val="decimal"/>
      <w:lvlText w:val="%4."/>
      <w:lvlJc w:val="left"/>
      <w:pPr>
        <w:tabs>
          <w:tab w:val="left" w:pos="3420"/>
        </w:tabs>
        <w:ind w:left="3420" w:hanging="360"/>
      </w:pPr>
    </w:lvl>
    <w:lvl w:ilvl="4">
      <w:start w:val="1"/>
      <w:numFmt w:val="lowerLetter"/>
      <w:lvlText w:val="%5."/>
      <w:lvlJc w:val="left"/>
      <w:pPr>
        <w:tabs>
          <w:tab w:val="left" w:pos="4140"/>
        </w:tabs>
        <w:ind w:left="4140" w:hanging="360"/>
      </w:pPr>
    </w:lvl>
    <w:lvl w:ilvl="5">
      <w:start w:val="1"/>
      <w:numFmt w:val="lowerRoman"/>
      <w:lvlText w:val="%6."/>
      <w:lvlJc w:val="right"/>
      <w:pPr>
        <w:tabs>
          <w:tab w:val="left" w:pos="4860"/>
        </w:tabs>
        <w:ind w:left="4860" w:hanging="180"/>
      </w:pPr>
    </w:lvl>
    <w:lvl w:ilvl="6">
      <w:start w:val="1"/>
      <w:numFmt w:val="decimal"/>
      <w:lvlText w:val="%7."/>
      <w:lvlJc w:val="left"/>
      <w:pPr>
        <w:tabs>
          <w:tab w:val="left" w:pos="5580"/>
        </w:tabs>
        <w:ind w:left="5580" w:hanging="360"/>
      </w:pPr>
    </w:lvl>
    <w:lvl w:ilvl="7">
      <w:start w:val="1"/>
      <w:numFmt w:val="lowerLetter"/>
      <w:lvlText w:val="%8."/>
      <w:lvlJc w:val="left"/>
      <w:pPr>
        <w:tabs>
          <w:tab w:val="left" w:pos="6300"/>
        </w:tabs>
        <w:ind w:left="6300" w:hanging="360"/>
      </w:pPr>
    </w:lvl>
    <w:lvl w:ilvl="8">
      <w:start w:val="1"/>
      <w:numFmt w:val="lowerRoman"/>
      <w:lvlText w:val="%9."/>
      <w:lvlJc w:val="right"/>
      <w:pPr>
        <w:tabs>
          <w:tab w:val="left" w:pos="7020"/>
        </w:tabs>
        <w:ind w:left="7020" w:hanging="180"/>
      </w:pPr>
    </w:lvl>
  </w:abstractNum>
  <w:abstractNum w:abstractNumId="32">
    <w:nsid w:val="25C9441E"/>
    <w:multiLevelType w:val="multilevel"/>
    <w:tmpl w:val="25C9441E"/>
    <w:lvl w:ilvl="0">
      <w:start w:val="1"/>
      <w:numFmt w:val="decimal"/>
      <w:lvlText w:val="%1)"/>
      <w:lvlJc w:val="left"/>
      <w:pPr>
        <w:tabs>
          <w:tab w:val="left" w:pos="2070"/>
        </w:tabs>
        <w:ind w:left="2070" w:hanging="360"/>
      </w:pPr>
    </w:lvl>
    <w:lvl w:ilvl="1">
      <w:start w:val="1"/>
      <w:numFmt w:val="lowerLetter"/>
      <w:lvlText w:val="%2)"/>
      <w:lvlJc w:val="left"/>
      <w:pPr>
        <w:tabs>
          <w:tab w:val="left" w:pos="2790"/>
        </w:tabs>
        <w:ind w:left="2790" w:hanging="360"/>
      </w:pPr>
    </w:lvl>
    <w:lvl w:ilvl="2">
      <w:start w:val="1"/>
      <w:numFmt w:val="lowerRoman"/>
      <w:lvlText w:val="%3."/>
      <w:lvlJc w:val="right"/>
      <w:pPr>
        <w:tabs>
          <w:tab w:val="left" w:pos="3510"/>
        </w:tabs>
        <w:ind w:left="3510" w:hanging="180"/>
      </w:pPr>
    </w:lvl>
    <w:lvl w:ilvl="3">
      <w:start w:val="1"/>
      <w:numFmt w:val="decimal"/>
      <w:lvlText w:val="%4."/>
      <w:lvlJc w:val="left"/>
      <w:pPr>
        <w:tabs>
          <w:tab w:val="left" w:pos="4230"/>
        </w:tabs>
        <w:ind w:left="4230" w:hanging="360"/>
      </w:pPr>
    </w:lvl>
    <w:lvl w:ilvl="4">
      <w:start w:val="1"/>
      <w:numFmt w:val="lowerLetter"/>
      <w:lvlText w:val="%5."/>
      <w:lvlJc w:val="left"/>
      <w:pPr>
        <w:tabs>
          <w:tab w:val="left" w:pos="4950"/>
        </w:tabs>
        <w:ind w:left="4950" w:hanging="360"/>
      </w:pPr>
    </w:lvl>
    <w:lvl w:ilvl="5">
      <w:start w:val="1"/>
      <w:numFmt w:val="lowerRoman"/>
      <w:lvlText w:val="%6."/>
      <w:lvlJc w:val="right"/>
      <w:pPr>
        <w:tabs>
          <w:tab w:val="left" w:pos="5670"/>
        </w:tabs>
        <w:ind w:left="5670" w:hanging="180"/>
      </w:pPr>
    </w:lvl>
    <w:lvl w:ilvl="6">
      <w:start w:val="1"/>
      <w:numFmt w:val="decimal"/>
      <w:lvlText w:val="%7."/>
      <w:lvlJc w:val="left"/>
      <w:pPr>
        <w:tabs>
          <w:tab w:val="left" w:pos="6390"/>
        </w:tabs>
        <w:ind w:left="6390" w:hanging="360"/>
      </w:pPr>
    </w:lvl>
    <w:lvl w:ilvl="7">
      <w:start w:val="1"/>
      <w:numFmt w:val="lowerLetter"/>
      <w:lvlText w:val="%8."/>
      <w:lvlJc w:val="left"/>
      <w:pPr>
        <w:tabs>
          <w:tab w:val="left" w:pos="7110"/>
        </w:tabs>
        <w:ind w:left="7110" w:hanging="360"/>
      </w:pPr>
    </w:lvl>
    <w:lvl w:ilvl="8">
      <w:start w:val="1"/>
      <w:numFmt w:val="lowerRoman"/>
      <w:lvlText w:val="%9."/>
      <w:lvlJc w:val="right"/>
      <w:pPr>
        <w:tabs>
          <w:tab w:val="left" w:pos="7830"/>
        </w:tabs>
        <w:ind w:left="7830" w:hanging="180"/>
      </w:pPr>
    </w:lvl>
  </w:abstractNum>
  <w:abstractNum w:abstractNumId="33">
    <w:nsid w:val="25D1014E"/>
    <w:multiLevelType w:val="multilevel"/>
    <w:tmpl w:val="25D1014E"/>
    <w:lvl w:ilvl="0">
      <w:start w:val="1"/>
      <w:numFmt w:val="decimal"/>
      <w:pStyle w:val="23"/>
      <w:lvlText w:val="%1."/>
      <w:lvlJc w:val="left"/>
      <w:pPr>
        <w:ind w:left="845" w:hanging="360"/>
      </w:pPr>
      <w:rPr>
        <w:rFonts w:hint="default"/>
      </w:rPr>
    </w:lvl>
    <w:lvl w:ilvl="1">
      <w:start w:val="1"/>
      <w:numFmt w:val="decimal"/>
      <w:pStyle w:val="32"/>
      <w:lvlText w:val="15.2.%2"/>
      <w:lvlJc w:val="left"/>
      <w:pPr>
        <w:ind w:left="360" w:hanging="360"/>
      </w:pPr>
      <w:rPr>
        <w:rFonts w:hint="default"/>
      </w:rPr>
    </w:lvl>
    <w:lvl w:ilvl="2">
      <w:start w:val="1"/>
      <w:numFmt w:val="decimal"/>
      <w:isLgl/>
      <w:lvlText w:val="%1.%2.%3"/>
      <w:lvlJc w:val="left"/>
      <w:pPr>
        <w:ind w:left="1205" w:hanging="720"/>
      </w:pPr>
      <w:rPr>
        <w:rFonts w:hint="default"/>
      </w:rPr>
    </w:lvl>
    <w:lvl w:ilvl="3">
      <w:start w:val="1"/>
      <w:numFmt w:val="decimal"/>
      <w:isLgl/>
      <w:lvlText w:val="%1.%2.%3.%4"/>
      <w:lvlJc w:val="left"/>
      <w:pPr>
        <w:ind w:left="1565" w:hanging="1080"/>
      </w:pPr>
      <w:rPr>
        <w:rFonts w:hint="default"/>
      </w:rPr>
    </w:lvl>
    <w:lvl w:ilvl="4">
      <w:start w:val="1"/>
      <w:numFmt w:val="decimal"/>
      <w:isLgl/>
      <w:lvlText w:val="%1.%2.%3.%4.%5"/>
      <w:lvlJc w:val="left"/>
      <w:pPr>
        <w:ind w:left="1565" w:hanging="1080"/>
      </w:pPr>
      <w:rPr>
        <w:rFonts w:hint="default"/>
      </w:rPr>
    </w:lvl>
    <w:lvl w:ilvl="5">
      <w:start w:val="1"/>
      <w:numFmt w:val="decimal"/>
      <w:isLgl/>
      <w:lvlText w:val="%1.%2.%3.%4.%5.%6"/>
      <w:lvlJc w:val="left"/>
      <w:pPr>
        <w:ind w:left="1925" w:hanging="1440"/>
      </w:pPr>
      <w:rPr>
        <w:rFonts w:hint="default"/>
      </w:rPr>
    </w:lvl>
    <w:lvl w:ilvl="6">
      <w:start w:val="1"/>
      <w:numFmt w:val="decimal"/>
      <w:isLgl/>
      <w:lvlText w:val="%1.%2.%3.%4.%5.%6.%7"/>
      <w:lvlJc w:val="left"/>
      <w:pPr>
        <w:ind w:left="2285" w:hanging="1800"/>
      </w:pPr>
      <w:rPr>
        <w:rFonts w:hint="default"/>
      </w:rPr>
    </w:lvl>
    <w:lvl w:ilvl="7">
      <w:start w:val="1"/>
      <w:numFmt w:val="decimal"/>
      <w:isLgl/>
      <w:lvlText w:val="%1.%2.%3.%4.%5.%6.%7.%8"/>
      <w:lvlJc w:val="left"/>
      <w:pPr>
        <w:ind w:left="2285" w:hanging="1800"/>
      </w:pPr>
      <w:rPr>
        <w:rFonts w:hint="default"/>
      </w:rPr>
    </w:lvl>
    <w:lvl w:ilvl="8">
      <w:start w:val="1"/>
      <w:numFmt w:val="decimal"/>
      <w:isLgl/>
      <w:lvlText w:val="%1.%2.%3.%4.%5.%6.%7.%8.%9"/>
      <w:lvlJc w:val="left"/>
      <w:pPr>
        <w:ind w:left="2645" w:hanging="2160"/>
      </w:pPr>
      <w:rPr>
        <w:rFonts w:hint="default"/>
      </w:rPr>
    </w:lvl>
  </w:abstractNum>
  <w:abstractNum w:abstractNumId="34">
    <w:nsid w:val="2F964173"/>
    <w:multiLevelType w:val="multilevel"/>
    <w:tmpl w:val="2F964173"/>
    <w:lvl w:ilvl="0">
      <w:start w:val="1"/>
      <w:numFmt w:val="decimal"/>
      <w:lvlText w:val="%1)"/>
      <w:lvlJc w:val="left"/>
      <w:pPr>
        <w:ind w:left="1497" w:hanging="420"/>
      </w:pPr>
      <w:rPr>
        <w:rFonts w:hint="eastAsia"/>
      </w:rPr>
    </w:lvl>
    <w:lvl w:ilvl="1">
      <w:start w:val="1"/>
      <w:numFmt w:val="lowerLetter"/>
      <w:lvlText w:val="%2)"/>
      <w:lvlJc w:val="left"/>
      <w:pPr>
        <w:ind w:left="1917" w:hanging="420"/>
      </w:pPr>
    </w:lvl>
    <w:lvl w:ilvl="2">
      <w:start w:val="1"/>
      <w:numFmt w:val="lowerRoman"/>
      <w:lvlText w:val="%3."/>
      <w:lvlJc w:val="right"/>
      <w:pPr>
        <w:ind w:left="2337" w:hanging="420"/>
      </w:pPr>
    </w:lvl>
    <w:lvl w:ilvl="3">
      <w:start w:val="1"/>
      <w:numFmt w:val="decimal"/>
      <w:lvlText w:val="%4."/>
      <w:lvlJc w:val="left"/>
      <w:pPr>
        <w:ind w:left="2757" w:hanging="420"/>
      </w:pPr>
    </w:lvl>
    <w:lvl w:ilvl="4">
      <w:start w:val="1"/>
      <w:numFmt w:val="lowerLetter"/>
      <w:lvlText w:val="%5)"/>
      <w:lvlJc w:val="left"/>
      <w:pPr>
        <w:ind w:left="3177" w:hanging="420"/>
      </w:pPr>
    </w:lvl>
    <w:lvl w:ilvl="5">
      <w:start w:val="1"/>
      <w:numFmt w:val="lowerRoman"/>
      <w:lvlText w:val="%6."/>
      <w:lvlJc w:val="right"/>
      <w:pPr>
        <w:ind w:left="3597" w:hanging="420"/>
      </w:pPr>
    </w:lvl>
    <w:lvl w:ilvl="6">
      <w:start w:val="1"/>
      <w:numFmt w:val="decimal"/>
      <w:lvlText w:val="%7."/>
      <w:lvlJc w:val="left"/>
      <w:pPr>
        <w:ind w:left="4017" w:hanging="420"/>
      </w:pPr>
    </w:lvl>
    <w:lvl w:ilvl="7">
      <w:start w:val="1"/>
      <w:numFmt w:val="lowerLetter"/>
      <w:lvlText w:val="%8)"/>
      <w:lvlJc w:val="left"/>
      <w:pPr>
        <w:ind w:left="4437" w:hanging="420"/>
      </w:pPr>
    </w:lvl>
    <w:lvl w:ilvl="8">
      <w:start w:val="1"/>
      <w:numFmt w:val="lowerRoman"/>
      <w:lvlText w:val="%9."/>
      <w:lvlJc w:val="right"/>
      <w:pPr>
        <w:ind w:left="4857" w:hanging="420"/>
      </w:pPr>
    </w:lvl>
  </w:abstractNum>
  <w:abstractNum w:abstractNumId="35">
    <w:nsid w:val="305D1EED"/>
    <w:multiLevelType w:val="multilevel"/>
    <w:tmpl w:val="305D1EED"/>
    <w:lvl w:ilvl="0">
      <w:start w:val="1"/>
      <w:numFmt w:val="decimal"/>
      <w:lvlText w:val="%1)"/>
      <w:lvlJc w:val="left"/>
      <w:pPr>
        <w:tabs>
          <w:tab w:val="left" w:pos="2520"/>
        </w:tabs>
        <w:ind w:left="2520" w:hanging="720"/>
      </w:pPr>
      <w:rPr>
        <w:rFonts w:ascii="Times New Roman" w:hAnsi="Times New Roman" w:hint="default"/>
        <w:sz w:val="21"/>
        <w:szCs w:val="21"/>
      </w:rPr>
    </w:lvl>
    <w:lvl w:ilvl="1">
      <w:start w:val="1"/>
      <w:numFmt w:val="lowerLetter"/>
      <w:lvlText w:val="%2."/>
      <w:lvlJc w:val="left"/>
      <w:pPr>
        <w:tabs>
          <w:tab w:val="left" w:pos="2520"/>
        </w:tabs>
        <w:ind w:left="2520" w:hanging="360"/>
      </w:pPr>
    </w:lvl>
    <w:lvl w:ilvl="2">
      <w:start w:val="1"/>
      <w:numFmt w:val="lowerRoman"/>
      <w:lvlText w:val="%3."/>
      <w:lvlJc w:val="right"/>
      <w:pPr>
        <w:tabs>
          <w:tab w:val="left" w:pos="3240"/>
        </w:tabs>
        <w:ind w:left="3240" w:hanging="180"/>
      </w:pPr>
    </w:lvl>
    <w:lvl w:ilvl="3">
      <w:start w:val="1"/>
      <w:numFmt w:val="decimal"/>
      <w:lvlText w:val="%4."/>
      <w:lvlJc w:val="left"/>
      <w:pPr>
        <w:tabs>
          <w:tab w:val="left" w:pos="3960"/>
        </w:tabs>
        <w:ind w:left="3960" w:hanging="360"/>
      </w:pPr>
    </w:lvl>
    <w:lvl w:ilvl="4">
      <w:start w:val="1"/>
      <w:numFmt w:val="lowerLetter"/>
      <w:lvlText w:val="%5."/>
      <w:lvlJc w:val="left"/>
      <w:pPr>
        <w:tabs>
          <w:tab w:val="left" w:pos="4680"/>
        </w:tabs>
        <w:ind w:left="4680" w:hanging="360"/>
      </w:pPr>
    </w:lvl>
    <w:lvl w:ilvl="5">
      <w:start w:val="1"/>
      <w:numFmt w:val="lowerRoman"/>
      <w:lvlText w:val="%6."/>
      <w:lvlJc w:val="right"/>
      <w:pPr>
        <w:tabs>
          <w:tab w:val="left" w:pos="5400"/>
        </w:tabs>
        <w:ind w:left="5400" w:hanging="180"/>
      </w:pPr>
    </w:lvl>
    <w:lvl w:ilvl="6">
      <w:start w:val="1"/>
      <w:numFmt w:val="decimal"/>
      <w:lvlText w:val="%7."/>
      <w:lvlJc w:val="left"/>
      <w:pPr>
        <w:tabs>
          <w:tab w:val="left" w:pos="6120"/>
        </w:tabs>
        <w:ind w:left="6120" w:hanging="360"/>
      </w:pPr>
    </w:lvl>
    <w:lvl w:ilvl="7">
      <w:start w:val="1"/>
      <w:numFmt w:val="lowerLetter"/>
      <w:lvlText w:val="%8."/>
      <w:lvlJc w:val="left"/>
      <w:pPr>
        <w:tabs>
          <w:tab w:val="left" w:pos="6840"/>
        </w:tabs>
        <w:ind w:left="6840" w:hanging="360"/>
      </w:pPr>
    </w:lvl>
    <w:lvl w:ilvl="8">
      <w:start w:val="1"/>
      <w:numFmt w:val="lowerRoman"/>
      <w:lvlText w:val="%9."/>
      <w:lvlJc w:val="right"/>
      <w:pPr>
        <w:tabs>
          <w:tab w:val="left" w:pos="7560"/>
        </w:tabs>
        <w:ind w:left="7560" w:hanging="180"/>
      </w:pPr>
    </w:lvl>
  </w:abstractNum>
  <w:abstractNum w:abstractNumId="36">
    <w:nsid w:val="33FD2D5B"/>
    <w:multiLevelType w:val="multilevel"/>
    <w:tmpl w:val="33FD2D5B"/>
    <w:lvl w:ilvl="0">
      <w:start w:val="1"/>
      <w:numFmt w:val="decimal"/>
      <w:lvlText w:val="%1)"/>
      <w:lvlJc w:val="left"/>
      <w:pPr>
        <w:tabs>
          <w:tab w:val="left" w:pos="1701"/>
        </w:tabs>
        <w:ind w:left="1701" w:hanging="621"/>
      </w:pPr>
      <w:rPr>
        <w:rFonts w:hint="eastAsia"/>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37">
    <w:nsid w:val="344D3727"/>
    <w:multiLevelType w:val="singleLevel"/>
    <w:tmpl w:val="344D3727"/>
    <w:lvl w:ilvl="0">
      <w:start w:val="1"/>
      <w:numFmt w:val="decimal"/>
      <w:pStyle w:val="ReportReference"/>
      <w:lvlText w:val="[%1]"/>
      <w:lvlJc w:val="left"/>
      <w:pPr>
        <w:tabs>
          <w:tab w:val="left" w:pos="2736"/>
        </w:tabs>
        <w:ind w:left="576" w:firstLine="1440"/>
      </w:pPr>
    </w:lvl>
  </w:abstractNum>
  <w:abstractNum w:abstractNumId="38">
    <w:nsid w:val="3473548E"/>
    <w:multiLevelType w:val="multilevel"/>
    <w:tmpl w:val="3473548E"/>
    <w:lvl w:ilvl="0">
      <w:start w:val="1"/>
      <w:numFmt w:val="lowerLetter"/>
      <w:lvlText w:val="%1)"/>
      <w:lvlJc w:val="left"/>
      <w:pPr>
        <w:ind w:left="1950" w:hanging="420"/>
      </w:pPr>
      <w:rPr>
        <w:sz w:val="21"/>
        <w:szCs w:val="21"/>
      </w:rPr>
    </w:lvl>
    <w:lvl w:ilvl="1">
      <w:start w:val="1"/>
      <w:numFmt w:val="lowerLetter"/>
      <w:lvlText w:val="%2)"/>
      <w:lvlJc w:val="left"/>
      <w:pPr>
        <w:ind w:left="2370" w:hanging="420"/>
      </w:pPr>
    </w:lvl>
    <w:lvl w:ilvl="2">
      <w:start w:val="1"/>
      <w:numFmt w:val="lowerRoman"/>
      <w:lvlText w:val="%3."/>
      <w:lvlJc w:val="right"/>
      <w:pPr>
        <w:ind w:left="2790" w:hanging="420"/>
      </w:pPr>
    </w:lvl>
    <w:lvl w:ilvl="3">
      <w:start w:val="1"/>
      <w:numFmt w:val="decimal"/>
      <w:lvlText w:val="%4."/>
      <w:lvlJc w:val="left"/>
      <w:pPr>
        <w:ind w:left="3210" w:hanging="420"/>
      </w:pPr>
    </w:lvl>
    <w:lvl w:ilvl="4">
      <w:start w:val="1"/>
      <w:numFmt w:val="lowerLetter"/>
      <w:lvlText w:val="%5)"/>
      <w:lvlJc w:val="left"/>
      <w:pPr>
        <w:ind w:left="3630" w:hanging="420"/>
      </w:pPr>
    </w:lvl>
    <w:lvl w:ilvl="5">
      <w:start w:val="1"/>
      <w:numFmt w:val="lowerRoman"/>
      <w:lvlText w:val="%6."/>
      <w:lvlJc w:val="right"/>
      <w:pPr>
        <w:ind w:left="4050" w:hanging="420"/>
      </w:pPr>
    </w:lvl>
    <w:lvl w:ilvl="6">
      <w:start w:val="1"/>
      <w:numFmt w:val="decimal"/>
      <w:lvlText w:val="%7."/>
      <w:lvlJc w:val="left"/>
      <w:pPr>
        <w:ind w:left="4470" w:hanging="420"/>
      </w:pPr>
    </w:lvl>
    <w:lvl w:ilvl="7">
      <w:start w:val="1"/>
      <w:numFmt w:val="lowerLetter"/>
      <w:lvlText w:val="%8)"/>
      <w:lvlJc w:val="left"/>
      <w:pPr>
        <w:ind w:left="4890" w:hanging="420"/>
      </w:pPr>
    </w:lvl>
    <w:lvl w:ilvl="8">
      <w:start w:val="1"/>
      <w:numFmt w:val="lowerRoman"/>
      <w:lvlText w:val="%9."/>
      <w:lvlJc w:val="right"/>
      <w:pPr>
        <w:ind w:left="5310" w:hanging="420"/>
      </w:pPr>
    </w:lvl>
  </w:abstractNum>
  <w:abstractNum w:abstractNumId="39">
    <w:nsid w:val="35C515FA"/>
    <w:multiLevelType w:val="multilevel"/>
    <w:tmpl w:val="35C515FA"/>
    <w:lvl w:ilvl="0">
      <w:start w:val="1"/>
      <w:numFmt w:val="decimal"/>
      <w:lvlText w:val="%1)"/>
      <w:lvlJc w:val="left"/>
      <w:pPr>
        <w:tabs>
          <w:tab w:val="left" w:pos="1980"/>
        </w:tabs>
        <w:ind w:left="1980" w:hanging="900"/>
      </w:pPr>
      <w:rPr>
        <w:rFonts w:ascii="Times New Roman" w:hAnsi="Times New Roman" w:cs="Times New Roman" w:hint="default"/>
        <w:strike w:val="0"/>
        <w:dstrike w:val="0"/>
        <w:color w:val="000000"/>
        <w:vertAlign w:val="baseline"/>
      </w:rPr>
    </w:lvl>
    <w:lvl w:ilvl="1">
      <w:start w:val="7"/>
      <w:numFmt w:val="decimal"/>
      <w:lvlText w:val="%2."/>
      <w:lvlJc w:val="left"/>
      <w:pPr>
        <w:tabs>
          <w:tab w:val="left" w:pos="840"/>
        </w:tabs>
        <w:ind w:left="840" w:hanging="360"/>
      </w:pPr>
      <w:rPr>
        <w:rFonts w:hint="default"/>
      </w:rPr>
    </w:lvl>
    <w:lvl w:ilvl="2">
      <w:start w:val="1"/>
      <w:numFmt w:val="lowerRoman"/>
      <w:lvlText w:val="%3."/>
      <w:lvlJc w:val="right"/>
      <w:pPr>
        <w:tabs>
          <w:tab w:val="left" w:pos="1440"/>
        </w:tabs>
        <w:ind w:left="1440" w:hanging="480"/>
      </w:pPr>
    </w:lvl>
    <w:lvl w:ilvl="3">
      <w:start w:val="1"/>
      <w:numFmt w:val="decimal"/>
      <w:lvlText w:val="%4."/>
      <w:lvlJc w:val="left"/>
      <w:pPr>
        <w:tabs>
          <w:tab w:val="left" w:pos="1920"/>
        </w:tabs>
        <w:ind w:left="1920" w:hanging="480"/>
      </w:pPr>
    </w:lvl>
    <w:lvl w:ilvl="4">
      <w:start w:val="1"/>
      <w:numFmt w:val="ideographTraditional"/>
      <w:lvlText w:val="%5、"/>
      <w:lvlJc w:val="left"/>
      <w:pPr>
        <w:tabs>
          <w:tab w:val="left" w:pos="2400"/>
        </w:tabs>
        <w:ind w:left="2400" w:hanging="480"/>
      </w:pPr>
    </w:lvl>
    <w:lvl w:ilvl="5">
      <w:start w:val="1"/>
      <w:numFmt w:val="lowerRoman"/>
      <w:lvlText w:val="%6."/>
      <w:lvlJc w:val="right"/>
      <w:pPr>
        <w:tabs>
          <w:tab w:val="left" w:pos="2880"/>
        </w:tabs>
        <w:ind w:left="2880" w:hanging="480"/>
      </w:pPr>
    </w:lvl>
    <w:lvl w:ilvl="6">
      <w:start w:val="1"/>
      <w:numFmt w:val="decimal"/>
      <w:lvlText w:val="%7."/>
      <w:lvlJc w:val="left"/>
      <w:pPr>
        <w:tabs>
          <w:tab w:val="left" w:pos="3360"/>
        </w:tabs>
        <w:ind w:left="3360" w:hanging="480"/>
      </w:pPr>
    </w:lvl>
    <w:lvl w:ilvl="7">
      <w:start w:val="1"/>
      <w:numFmt w:val="ideographTraditional"/>
      <w:lvlText w:val="%8、"/>
      <w:lvlJc w:val="left"/>
      <w:pPr>
        <w:tabs>
          <w:tab w:val="left" w:pos="3840"/>
        </w:tabs>
        <w:ind w:left="3840" w:hanging="480"/>
      </w:pPr>
    </w:lvl>
    <w:lvl w:ilvl="8">
      <w:start w:val="1"/>
      <w:numFmt w:val="lowerRoman"/>
      <w:lvlText w:val="%9."/>
      <w:lvlJc w:val="right"/>
      <w:pPr>
        <w:tabs>
          <w:tab w:val="left" w:pos="4320"/>
        </w:tabs>
        <w:ind w:left="4320" w:hanging="480"/>
      </w:pPr>
    </w:lvl>
  </w:abstractNum>
  <w:abstractNum w:abstractNumId="40">
    <w:nsid w:val="35CE678A"/>
    <w:multiLevelType w:val="multilevel"/>
    <w:tmpl w:val="35CE678A"/>
    <w:lvl w:ilvl="0">
      <w:start w:val="1"/>
      <w:numFmt w:val="decimal"/>
      <w:lvlText w:val="%1)"/>
      <w:lvlJc w:val="left"/>
      <w:pPr>
        <w:tabs>
          <w:tab w:val="left" w:pos="1701"/>
        </w:tabs>
        <w:ind w:left="1701" w:hanging="621"/>
      </w:pPr>
      <w:rPr>
        <w:rFonts w:hint="eastAsia"/>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41">
    <w:nsid w:val="38525C84"/>
    <w:multiLevelType w:val="multilevel"/>
    <w:tmpl w:val="38525C84"/>
    <w:lvl w:ilvl="0">
      <w:start w:val="1"/>
      <w:numFmt w:val="decimal"/>
      <w:lvlText w:val="%1)"/>
      <w:lvlJc w:val="left"/>
      <w:pPr>
        <w:tabs>
          <w:tab w:val="left" w:pos="1800"/>
        </w:tabs>
        <w:ind w:left="1800" w:hanging="360"/>
      </w:pPr>
    </w:lvl>
    <w:lvl w:ilvl="1">
      <w:start w:val="1"/>
      <w:numFmt w:val="lowerLetter"/>
      <w:lvlText w:val="%2."/>
      <w:lvlJc w:val="left"/>
      <w:pPr>
        <w:tabs>
          <w:tab w:val="left" w:pos="2520"/>
        </w:tabs>
        <w:ind w:left="2520" w:hanging="360"/>
      </w:pPr>
    </w:lvl>
    <w:lvl w:ilvl="2">
      <w:start w:val="1"/>
      <w:numFmt w:val="lowerRoman"/>
      <w:lvlText w:val="%3."/>
      <w:lvlJc w:val="right"/>
      <w:pPr>
        <w:tabs>
          <w:tab w:val="left" w:pos="3240"/>
        </w:tabs>
        <w:ind w:left="3240" w:hanging="180"/>
      </w:pPr>
    </w:lvl>
    <w:lvl w:ilvl="3">
      <w:start w:val="1"/>
      <w:numFmt w:val="decimal"/>
      <w:lvlText w:val="%4."/>
      <w:lvlJc w:val="left"/>
      <w:pPr>
        <w:tabs>
          <w:tab w:val="left" w:pos="3960"/>
        </w:tabs>
        <w:ind w:left="3960" w:hanging="360"/>
      </w:pPr>
    </w:lvl>
    <w:lvl w:ilvl="4">
      <w:start w:val="1"/>
      <w:numFmt w:val="lowerLetter"/>
      <w:lvlText w:val="%5."/>
      <w:lvlJc w:val="left"/>
      <w:pPr>
        <w:tabs>
          <w:tab w:val="left" w:pos="4680"/>
        </w:tabs>
        <w:ind w:left="4680" w:hanging="360"/>
      </w:pPr>
    </w:lvl>
    <w:lvl w:ilvl="5">
      <w:start w:val="1"/>
      <w:numFmt w:val="lowerRoman"/>
      <w:lvlText w:val="%6."/>
      <w:lvlJc w:val="right"/>
      <w:pPr>
        <w:tabs>
          <w:tab w:val="left" w:pos="5400"/>
        </w:tabs>
        <w:ind w:left="5400" w:hanging="180"/>
      </w:pPr>
    </w:lvl>
    <w:lvl w:ilvl="6">
      <w:start w:val="1"/>
      <w:numFmt w:val="decimal"/>
      <w:lvlText w:val="%7."/>
      <w:lvlJc w:val="left"/>
      <w:pPr>
        <w:tabs>
          <w:tab w:val="left" w:pos="6120"/>
        </w:tabs>
        <w:ind w:left="6120" w:hanging="360"/>
      </w:pPr>
    </w:lvl>
    <w:lvl w:ilvl="7">
      <w:start w:val="1"/>
      <w:numFmt w:val="lowerLetter"/>
      <w:lvlText w:val="%8."/>
      <w:lvlJc w:val="left"/>
      <w:pPr>
        <w:tabs>
          <w:tab w:val="left" w:pos="6840"/>
        </w:tabs>
        <w:ind w:left="6840" w:hanging="360"/>
      </w:pPr>
    </w:lvl>
    <w:lvl w:ilvl="8">
      <w:start w:val="1"/>
      <w:numFmt w:val="lowerRoman"/>
      <w:lvlText w:val="%9."/>
      <w:lvlJc w:val="right"/>
      <w:pPr>
        <w:tabs>
          <w:tab w:val="left" w:pos="7560"/>
        </w:tabs>
        <w:ind w:left="7560" w:hanging="180"/>
      </w:pPr>
    </w:lvl>
  </w:abstractNum>
  <w:abstractNum w:abstractNumId="42">
    <w:nsid w:val="3BDA6033"/>
    <w:multiLevelType w:val="multilevel"/>
    <w:tmpl w:val="3BDA6033"/>
    <w:lvl w:ilvl="0">
      <w:start w:val="1"/>
      <w:numFmt w:val="decimal"/>
      <w:lvlText w:val="%1)"/>
      <w:lvlJc w:val="left"/>
      <w:pPr>
        <w:tabs>
          <w:tab w:val="left" w:pos="1800"/>
        </w:tabs>
        <w:ind w:left="1800" w:hanging="720"/>
      </w:pPr>
      <w:rPr>
        <w:rFonts w:hint="eastAsia"/>
      </w:rPr>
    </w:lvl>
    <w:lvl w:ilvl="1">
      <w:start w:val="1"/>
      <w:numFmt w:val="lowerLetter"/>
      <w:lvlText w:val="%2."/>
      <w:lvlJc w:val="left"/>
      <w:pPr>
        <w:tabs>
          <w:tab w:val="left" w:pos="2160"/>
        </w:tabs>
        <w:ind w:left="2160" w:hanging="360"/>
      </w:pPr>
    </w:lvl>
    <w:lvl w:ilvl="2">
      <w:start w:val="1"/>
      <w:numFmt w:val="lowerRoman"/>
      <w:lvlText w:val="%3."/>
      <w:lvlJc w:val="right"/>
      <w:pPr>
        <w:tabs>
          <w:tab w:val="left" w:pos="2880"/>
        </w:tabs>
        <w:ind w:left="2880" w:hanging="180"/>
      </w:pPr>
    </w:lvl>
    <w:lvl w:ilvl="3">
      <w:start w:val="1"/>
      <w:numFmt w:val="decimal"/>
      <w:lvlText w:val="%4."/>
      <w:lvlJc w:val="left"/>
      <w:pPr>
        <w:tabs>
          <w:tab w:val="left" w:pos="3600"/>
        </w:tabs>
        <w:ind w:left="3600" w:hanging="360"/>
      </w:pPr>
    </w:lvl>
    <w:lvl w:ilvl="4">
      <w:start w:val="1"/>
      <w:numFmt w:val="lowerLetter"/>
      <w:lvlText w:val="%5."/>
      <w:lvlJc w:val="left"/>
      <w:pPr>
        <w:tabs>
          <w:tab w:val="left" w:pos="4320"/>
        </w:tabs>
        <w:ind w:left="4320" w:hanging="360"/>
      </w:pPr>
    </w:lvl>
    <w:lvl w:ilvl="5">
      <w:start w:val="1"/>
      <w:numFmt w:val="lowerRoman"/>
      <w:lvlText w:val="%6."/>
      <w:lvlJc w:val="right"/>
      <w:pPr>
        <w:tabs>
          <w:tab w:val="left" w:pos="5040"/>
        </w:tabs>
        <w:ind w:left="5040" w:hanging="180"/>
      </w:pPr>
    </w:lvl>
    <w:lvl w:ilvl="6">
      <w:start w:val="1"/>
      <w:numFmt w:val="decimal"/>
      <w:lvlText w:val="%7."/>
      <w:lvlJc w:val="left"/>
      <w:pPr>
        <w:tabs>
          <w:tab w:val="left" w:pos="5760"/>
        </w:tabs>
        <w:ind w:left="5760" w:hanging="360"/>
      </w:pPr>
    </w:lvl>
    <w:lvl w:ilvl="7">
      <w:start w:val="1"/>
      <w:numFmt w:val="lowerLetter"/>
      <w:lvlText w:val="%8."/>
      <w:lvlJc w:val="left"/>
      <w:pPr>
        <w:tabs>
          <w:tab w:val="left" w:pos="6480"/>
        </w:tabs>
        <w:ind w:left="6480" w:hanging="360"/>
      </w:pPr>
    </w:lvl>
    <w:lvl w:ilvl="8">
      <w:start w:val="1"/>
      <w:numFmt w:val="lowerRoman"/>
      <w:lvlText w:val="%9."/>
      <w:lvlJc w:val="right"/>
      <w:pPr>
        <w:tabs>
          <w:tab w:val="left" w:pos="7200"/>
        </w:tabs>
        <w:ind w:left="7200" w:hanging="180"/>
      </w:pPr>
    </w:lvl>
  </w:abstractNum>
  <w:abstractNum w:abstractNumId="43">
    <w:nsid w:val="3C153857"/>
    <w:multiLevelType w:val="multilevel"/>
    <w:tmpl w:val="3C153857"/>
    <w:lvl w:ilvl="0">
      <w:start w:val="1"/>
      <w:numFmt w:val="decimal"/>
      <w:lvlText w:val="%1)"/>
      <w:lvlJc w:val="left"/>
      <w:pPr>
        <w:tabs>
          <w:tab w:val="left" w:pos="1701"/>
        </w:tabs>
        <w:ind w:left="1701" w:hanging="621"/>
      </w:pPr>
      <w:rPr>
        <w:rFonts w:hint="eastAsia"/>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44">
    <w:nsid w:val="3EC145FE"/>
    <w:multiLevelType w:val="multilevel"/>
    <w:tmpl w:val="3EC145FE"/>
    <w:lvl w:ilvl="0">
      <w:start w:val="1"/>
      <w:numFmt w:val="bullet"/>
      <w:lvlText w:val=""/>
      <w:lvlJc w:val="left"/>
      <w:pPr>
        <w:ind w:left="1554" w:hanging="420"/>
      </w:pPr>
      <w:rPr>
        <w:rFonts w:ascii="Wingdings" w:hAnsi="Wingdings" w:hint="default"/>
      </w:rPr>
    </w:lvl>
    <w:lvl w:ilvl="1">
      <w:start w:val="1"/>
      <w:numFmt w:val="bullet"/>
      <w:lvlText w:val=""/>
      <w:lvlJc w:val="left"/>
      <w:pPr>
        <w:ind w:left="1974" w:hanging="420"/>
      </w:pPr>
      <w:rPr>
        <w:rFonts w:ascii="Wingdings" w:hAnsi="Wingdings" w:hint="default"/>
      </w:rPr>
    </w:lvl>
    <w:lvl w:ilvl="2">
      <w:start w:val="1"/>
      <w:numFmt w:val="bullet"/>
      <w:lvlText w:val=""/>
      <w:lvlJc w:val="left"/>
      <w:pPr>
        <w:ind w:left="2394" w:hanging="420"/>
      </w:pPr>
      <w:rPr>
        <w:rFonts w:ascii="Wingdings" w:hAnsi="Wingdings" w:hint="default"/>
      </w:rPr>
    </w:lvl>
    <w:lvl w:ilvl="3">
      <w:start w:val="1"/>
      <w:numFmt w:val="bullet"/>
      <w:lvlText w:val=""/>
      <w:lvlJc w:val="left"/>
      <w:pPr>
        <w:ind w:left="2814" w:hanging="420"/>
      </w:pPr>
      <w:rPr>
        <w:rFonts w:ascii="Wingdings" w:hAnsi="Wingdings" w:hint="default"/>
      </w:rPr>
    </w:lvl>
    <w:lvl w:ilvl="4">
      <w:start w:val="1"/>
      <w:numFmt w:val="bullet"/>
      <w:lvlText w:val=""/>
      <w:lvlJc w:val="left"/>
      <w:pPr>
        <w:ind w:left="3234" w:hanging="420"/>
      </w:pPr>
      <w:rPr>
        <w:rFonts w:ascii="Wingdings" w:hAnsi="Wingdings" w:hint="default"/>
      </w:rPr>
    </w:lvl>
    <w:lvl w:ilvl="5">
      <w:start w:val="1"/>
      <w:numFmt w:val="bullet"/>
      <w:lvlText w:val=""/>
      <w:lvlJc w:val="left"/>
      <w:pPr>
        <w:ind w:left="3654" w:hanging="420"/>
      </w:pPr>
      <w:rPr>
        <w:rFonts w:ascii="Wingdings" w:hAnsi="Wingdings" w:hint="default"/>
      </w:rPr>
    </w:lvl>
    <w:lvl w:ilvl="6">
      <w:start w:val="1"/>
      <w:numFmt w:val="bullet"/>
      <w:lvlText w:val=""/>
      <w:lvlJc w:val="left"/>
      <w:pPr>
        <w:ind w:left="4074" w:hanging="420"/>
      </w:pPr>
      <w:rPr>
        <w:rFonts w:ascii="Wingdings" w:hAnsi="Wingdings" w:hint="default"/>
      </w:rPr>
    </w:lvl>
    <w:lvl w:ilvl="7">
      <w:start w:val="1"/>
      <w:numFmt w:val="bullet"/>
      <w:lvlText w:val=""/>
      <w:lvlJc w:val="left"/>
      <w:pPr>
        <w:ind w:left="4494" w:hanging="420"/>
      </w:pPr>
      <w:rPr>
        <w:rFonts w:ascii="Wingdings" w:hAnsi="Wingdings" w:hint="default"/>
      </w:rPr>
    </w:lvl>
    <w:lvl w:ilvl="8">
      <w:start w:val="1"/>
      <w:numFmt w:val="bullet"/>
      <w:lvlText w:val=""/>
      <w:lvlJc w:val="left"/>
      <w:pPr>
        <w:ind w:left="4914" w:hanging="420"/>
      </w:pPr>
      <w:rPr>
        <w:rFonts w:ascii="Wingdings" w:hAnsi="Wingdings" w:hint="default"/>
      </w:rPr>
    </w:lvl>
  </w:abstractNum>
  <w:abstractNum w:abstractNumId="45">
    <w:nsid w:val="3F682A18"/>
    <w:multiLevelType w:val="multilevel"/>
    <w:tmpl w:val="3F682A18"/>
    <w:lvl w:ilvl="0">
      <w:start w:val="1"/>
      <w:numFmt w:val="bullet"/>
      <w:pStyle w:val="Spec6-Subicons"/>
      <w:lvlText w:val=""/>
      <w:lvlJc w:val="left"/>
      <w:pPr>
        <w:tabs>
          <w:tab w:val="left" w:pos="2790"/>
        </w:tabs>
        <w:ind w:left="2790" w:hanging="360"/>
      </w:pPr>
      <w:rPr>
        <w:rFonts w:ascii="Symbol" w:hAnsi="Symbol" w:hint="default"/>
      </w:rPr>
    </w:lvl>
    <w:lvl w:ilvl="1">
      <w:start w:val="1"/>
      <w:numFmt w:val="bullet"/>
      <w:lvlText w:val="o"/>
      <w:lvlJc w:val="left"/>
      <w:pPr>
        <w:tabs>
          <w:tab w:val="left" w:pos="3510"/>
        </w:tabs>
        <w:ind w:left="3510" w:hanging="360"/>
      </w:pPr>
      <w:rPr>
        <w:rFonts w:ascii="Courier New" w:hAnsi="Courier New" w:cs="Courier New" w:hint="default"/>
      </w:rPr>
    </w:lvl>
    <w:lvl w:ilvl="2">
      <w:start w:val="1"/>
      <w:numFmt w:val="bullet"/>
      <w:lvlText w:val=""/>
      <w:lvlJc w:val="left"/>
      <w:pPr>
        <w:tabs>
          <w:tab w:val="left" w:pos="4230"/>
        </w:tabs>
        <w:ind w:left="4230" w:hanging="360"/>
      </w:pPr>
      <w:rPr>
        <w:rFonts w:ascii="Wingdings" w:hAnsi="Wingdings" w:hint="default"/>
      </w:rPr>
    </w:lvl>
    <w:lvl w:ilvl="3">
      <w:start w:val="1"/>
      <w:numFmt w:val="bullet"/>
      <w:lvlText w:val=""/>
      <w:lvlJc w:val="left"/>
      <w:pPr>
        <w:tabs>
          <w:tab w:val="left" w:pos="4950"/>
        </w:tabs>
        <w:ind w:left="4950" w:hanging="360"/>
      </w:pPr>
      <w:rPr>
        <w:rFonts w:ascii="Symbol" w:hAnsi="Symbol" w:hint="default"/>
      </w:rPr>
    </w:lvl>
    <w:lvl w:ilvl="4">
      <w:start w:val="1"/>
      <w:numFmt w:val="bullet"/>
      <w:lvlText w:val="o"/>
      <w:lvlJc w:val="left"/>
      <w:pPr>
        <w:tabs>
          <w:tab w:val="left" w:pos="5670"/>
        </w:tabs>
        <w:ind w:left="5670" w:hanging="360"/>
      </w:pPr>
      <w:rPr>
        <w:rFonts w:ascii="Courier New" w:hAnsi="Courier New" w:cs="Courier New" w:hint="default"/>
      </w:rPr>
    </w:lvl>
    <w:lvl w:ilvl="5">
      <w:start w:val="1"/>
      <w:numFmt w:val="bullet"/>
      <w:lvlText w:val=""/>
      <w:lvlJc w:val="left"/>
      <w:pPr>
        <w:tabs>
          <w:tab w:val="left" w:pos="6390"/>
        </w:tabs>
        <w:ind w:left="6390" w:hanging="360"/>
      </w:pPr>
      <w:rPr>
        <w:rFonts w:ascii="Wingdings" w:hAnsi="Wingdings" w:hint="default"/>
      </w:rPr>
    </w:lvl>
    <w:lvl w:ilvl="6">
      <w:start w:val="1"/>
      <w:numFmt w:val="bullet"/>
      <w:lvlText w:val=""/>
      <w:lvlJc w:val="left"/>
      <w:pPr>
        <w:tabs>
          <w:tab w:val="left" w:pos="7110"/>
        </w:tabs>
        <w:ind w:left="7110" w:hanging="360"/>
      </w:pPr>
      <w:rPr>
        <w:rFonts w:ascii="Symbol" w:hAnsi="Symbol" w:hint="default"/>
      </w:rPr>
    </w:lvl>
    <w:lvl w:ilvl="7">
      <w:start w:val="1"/>
      <w:numFmt w:val="bullet"/>
      <w:lvlText w:val="o"/>
      <w:lvlJc w:val="left"/>
      <w:pPr>
        <w:tabs>
          <w:tab w:val="left" w:pos="7830"/>
        </w:tabs>
        <w:ind w:left="7830" w:hanging="360"/>
      </w:pPr>
      <w:rPr>
        <w:rFonts w:ascii="Courier New" w:hAnsi="Courier New" w:cs="Courier New" w:hint="default"/>
      </w:rPr>
    </w:lvl>
    <w:lvl w:ilvl="8">
      <w:start w:val="1"/>
      <w:numFmt w:val="bullet"/>
      <w:lvlText w:val=""/>
      <w:lvlJc w:val="left"/>
      <w:pPr>
        <w:tabs>
          <w:tab w:val="left" w:pos="8550"/>
        </w:tabs>
        <w:ind w:left="8550" w:hanging="360"/>
      </w:pPr>
      <w:rPr>
        <w:rFonts w:ascii="Wingdings" w:hAnsi="Wingdings" w:hint="default"/>
      </w:rPr>
    </w:lvl>
  </w:abstractNum>
  <w:abstractNum w:abstractNumId="46">
    <w:nsid w:val="40036CAC"/>
    <w:multiLevelType w:val="multilevel"/>
    <w:tmpl w:val="40036CAC"/>
    <w:lvl w:ilvl="0">
      <w:start w:val="1"/>
      <w:numFmt w:val="decimal"/>
      <w:lvlText w:val="%1)"/>
      <w:lvlJc w:val="left"/>
      <w:pPr>
        <w:tabs>
          <w:tab w:val="left" w:pos="1701"/>
        </w:tabs>
        <w:ind w:left="1701" w:hanging="621"/>
      </w:pPr>
      <w:rPr>
        <w:rFonts w:hint="eastAsia"/>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47">
    <w:nsid w:val="46904761"/>
    <w:multiLevelType w:val="multilevel"/>
    <w:tmpl w:val="46904761"/>
    <w:lvl w:ilvl="0">
      <w:start w:val="1"/>
      <w:numFmt w:val="decimal"/>
      <w:lvlText w:val="%1)"/>
      <w:lvlJc w:val="left"/>
      <w:pPr>
        <w:tabs>
          <w:tab w:val="left" w:pos="1701"/>
        </w:tabs>
        <w:ind w:left="1701" w:hanging="621"/>
      </w:pPr>
      <w:rPr>
        <w:rFonts w:hint="eastAsia"/>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48">
    <w:nsid w:val="49550AA6"/>
    <w:multiLevelType w:val="multilevel"/>
    <w:tmpl w:val="49550AA6"/>
    <w:lvl w:ilvl="0">
      <w:start w:val="1"/>
      <w:numFmt w:val="decimal"/>
      <w:lvlText w:val="%1)"/>
      <w:lvlJc w:val="left"/>
      <w:pPr>
        <w:tabs>
          <w:tab w:val="left" w:pos="1800"/>
        </w:tabs>
        <w:ind w:left="1800" w:hanging="360"/>
      </w:pPr>
    </w:lvl>
    <w:lvl w:ilvl="1">
      <w:start w:val="1"/>
      <w:numFmt w:val="lowerLetter"/>
      <w:lvlText w:val="%2."/>
      <w:lvlJc w:val="left"/>
      <w:pPr>
        <w:tabs>
          <w:tab w:val="left" w:pos="2520"/>
        </w:tabs>
        <w:ind w:left="2520" w:hanging="360"/>
      </w:pPr>
    </w:lvl>
    <w:lvl w:ilvl="2">
      <w:start w:val="1"/>
      <w:numFmt w:val="lowerRoman"/>
      <w:lvlText w:val="%3."/>
      <w:lvlJc w:val="right"/>
      <w:pPr>
        <w:tabs>
          <w:tab w:val="left" w:pos="3240"/>
        </w:tabs>
        <w:ind w:left="3240" w:hanging="180"/>
      </w:pPr>
    </w:lvl>
    <w:lvl w:ilvl="3">
      <w:start w:val="1"/>
      <w:numFmt w:val="decimal"/>
      <w:lvlText w:val="%4."/>
      <w:lvlJc w:val="left"/>
      <w:pPr>
        <w:tabs>
          <w:tab w:val="left" w:pos="3960"/>
        </w:tabs>
        <w:ind w:left="3960" w:hanging="360"/>
      </w:pPr>
    </w:lvl>
    <w:lvl w:ilvl="4">
      <w:start w:val="1"/>
      <w:numFmt w:val="lowerLetter"/>
      <w:lvlText w:val="%5."/>
      <w:lvlJc w:val="left"/>
      <w:pPr>
        <w:tabs>
          <w:tab w:val="left" w:pos="4680"/>
        </w:tabs>
        <w:ind w:left="4680" w:hanging="360"/>
      </w:pPr>
    </w:lvl>
    <w:lvl w:ilvl="5">
      <w:start w:val="1"/>
      <w:numFmt w:val="lowerRoman"/>
      <w:lvlText w:val="%6."/>
      <w:lvlJc w:val="right"/>
      <w:pPr>
        <w:tabs>
          <w:tab w:val="left" w:pos="5400"/>
        </w:tabs>
        <w:ind w:left="5400" w:hanging="180"/>
      </w:pPr>
    </w:lvl>
    <w:lvl w:ilvl="6">
      <w:start w:val="1"/>
      <w:numFmt w:val="decimal"/>
      <w:lvlText w:val="%7."/>
      <w:lvlJc w:val="left"/>
      <w:pPr>
        <w:tabs>
          <w:tab w:val="left" w:pos="6120"/>
        </w:tabs>
        <w:ind w:left="6120" w:hanging="360"/>
      </w:pPr>
    </w:lvl>
    <w:lvl w:ilvl="7">
      <w:start w:val="1"/>
      <w:numFmt w:val="lowerLetter"/>
      <w:lvlText w:val="%8."/>
      <w:lvlJc w:val="left"/>
      <w:pPr>
        <w:tabs>
          <w:tab w:val="left" w:pos="6840"/>
        </w:tabs>
        <w:ind w:left="6840" w:hanging="360"/>
      </w:pPr>
    </w:lvl>
    <w:lvl w:ilvl="8">
      <w:start w:val="1"/>
      <w:numFmt w:val="lowerRoman"/>
      <w:lvlText w:val="%9."/>
      <w:lvlJc w:val="right"/>
      <w:pPr>
        <w:tabs>
          <w:tab w:val="left" w:pos="7560"/>
        </w:tabs>
        <w:ind w:left="7560" w:hanging="180"/>
      </w:pPr>
    </w:lvl>
  </w:abstractNum>
  <w:abstractNum w:abstractNumId="49">
    <w:nsid w:val="4A9E4FCD"/>
    <w:multiLevelType w:val="multilevel"/>
    <w:tmpl w:val="4A9E4FCD"/>
    <w:lvl w:ilvl="0">
      <w:start w:val="1"/>
      <w:numFmt w:val="taiwaneseCountingThousand"/>
      <w:lvlText w:val="第%1章"/>
      <w:lvlJc w:val="left"/>
      <w:pPr>
        <w:tabs>
          <w:tab w:val="left" w:pos="1701"/>
        </w:tabs>
        <w:ind w:left="1701" w:hanging="1701"/>
      </w:pPr>
      <w:rPr>
        <w:rFonts w:ascii="Arial Bold" w:eastAsia="宋体" w:hAnsi="Arial Bold" w:hint="default"/>
        <w:b/>
        <w:i w:val="0"/>
        <w:color w:val="auto"/>
        <w:sz w:val="28"/>
        <w:szCs w:val="28"/>
        <w:lang w:val="en-US"/>
      </w:rPr>
    </w:lvl>
    <w:lvl w:ilvl="1">
      <w:start w:val="1"/>
      <w:numFmt w:val="decimal"/>
      <w:isLgl/>
      <w:lvlText w:val="%1.%2"/>
      <w:lvlJc w:val="left"/>
      <w:pPr>
        <w:tabs>
          <w:tab w:val="left" w:pos="567"/>
        </w:tabs>
        <w:ind w:left="567" w:hanging="567"/>
      </w:pPr>
      <w:rPr>
        <w:rFonts w:ascii="Arial" w:eastAsia="宋体" w:hAnsi="Arial" w:hint="default"/>
        <w:b w:val="0"/>
        <w:i w:val="0"/>
        <w:color w:val="auto"/>
        <w:sz w:val="22"/>
        <w:szCs w:val="22"/>
      </w:rPr>
    </w:lvl>
    <w:lvl w:ilvl="2">
      <w:start w:val="1"/>
      <w:numFmt w:val="decimal"/>
      <w:pStyle w:val="Spec2-Nos"/>
      <w:isLgl/>
      <w:lvlText w:val="%1.%2.%3"/>
      <w:lvlJc w:val="left"/>
      <w:pPr>
        <w:tabs>
          <w:tab w:val="left" w:pos="1134"/>
        </w:tabs>
        <w:ind w:left="1134" w:hanging="680"/>
      </w:pPr>
      <w:rPr>
        <w:rFonts w:ascii="Arial" w:eastAsia="宋体" w:hAnsi="Arial" w:hint="default"/>
        <w:b w:val="0"/>
        <w:i w:val="0"/>
        <w:sz w:val="22"/>
        <w:szCs w:val="22"/>
      </w:rPr>
    </w:lvl>
    <w:lvl w:ilvl="3">
      <w:start w:val="1"/>
      <w:numFmt w:val="upperLetter"/>
      <w:pStyle w:val="Spec3-Points"/>
      <w:lvlText w:val="%4."/>
      <w:lvlJc w:val="left"/>
      <w:pPr>
        <w:tabs>
          <w:tab w:val="left" w:pos="1588"/>
        </w:tabs>
        <w:ind w:left="1588" w:hanging="454"/>
      </w:pPr>
      <w:rPr>
        <w:rFonts w:ascii="Arial" w:eastAsia="宋体" w:hAnsi="Arial" w:hint="default"/>
        <w:b w:val="0"/>
        <w:i w:val="0"/>
        <w:sz w:val="22"/>
        <w:szCs w:val="22"/>
      </w:rPr>
    </w:lvl>
    <w:lvl w:ilvl="4">
      <w:start w:val="1"/>
      <w:numFmt w:val="decimal"/>
      <w:lvlText w:val="%5."/>
      <w:lvlJc w:val="left"/>
      <w:pPr>
        <w:tabs>
          <w:tab w:val="left" w:pos="1494"/>
        </w:tabs>
        <w:ind w:left="1494" w:hanging="360"/>
      </w:pPr>
      <w:rPr>
        <w:rFonts w:ascii="华文楷体" w:eastAsia="华文楷体" w:hAnsi="华文楷体" w:hint="eastAsia"/>
        <w:b w:val="0"/>
        <w:i w:val="0"/>
        <w:color w:val="auto"/>
        <w:sz w:val="22"/>
        <w:szCs w:val="22"/>
        <w:lang w:val="en-US"/>
      </w:rPr>
    </w:lvl>
    <w:lvl w:ilvl="5">
      <w:start w:val="1"/>
      <w:numFmt w:val="bullet"/>
      <w:lvlText w:val=""/>
      <w:lvlJc w:val="left"/>
      <w:pPr>
        <w:tabs>
          <w:tab w:val="left" w:pos="2160"/>
        </w:tabs>
        <w:ind w:left="2160" w:hanging="360"/>
      </w:pPr>
      <w:rPr>
        <w:rFonts w:ascii="Wingdings" w:hAnsi="Wingdings" w:hint="default"/>
      </w:rPr>
    </w:lvl>
    <w:lvl w:ilvl="6">
      <w:start w:val="1"/>
      <w:numFmt w:val="bullet"/>
      <w:lvlText w:val=""/>
      <w:lvlJc w:val="left"/>
      <w:pPr>
        <w:tabs>
          <w:tab w:val="left" w:pos="2520"/>
        </w:tabs>
        <w:ind w:left="2520" w:hanging="360"/>
      </w:pPr>
      <w:rPr>
        <w:rFonts w:ascii="Wingdings" w:hAnsi="Wingdings" w:hint="default"/>
      </w:rPr>
    </w:lvl>
    <w:lvl w:ilvl="7">
      <w:start w:val="1"/>
      <w:numFmt w:val="upperLetter"/>
      <w:lvlText w:val="%8)"/>
      <w:lvlJc w:val="left"/>
      <w:pPr>
        <w:tabs>
          <w:tab w:val="left" w:pos="3240"/>
        </w:tabs>
        <w:ind w:left="3240" w:hanging="720"/>
      </w:pPr>
      <w:rPr>
        <w:rFonts w:ascii="Arial" w:eastAsia="宋体" w:hAnsi="Arial" w:hint="default"/>
        <w:b w:val="0"/>
        <w:i w:val="0"/>
        <w:color w:val="auto"/>
        <w:sz w:val="24"/>
        <w:szCs w:val="28"/>
        <w:lang w:val="en-US"/>
      </w:rPr>
    </w:lvl>
    <w:lvl w:ilvl="8">
      <w:start w:val="1"/>
      <w:numFmt w:val="bullet"/>
      <w:lvlText w:val=""/>
      <w:lvlJc w:val="left"/>
      <w:pPr>
        <w:tabs>
          <w:tab w:val="left" w:pos="3240"/>
        </w:tabs>
        <w:ind w:left="3240" w:hanging="360"/>
      </w:pPr>
      <w:rPr>
        <w:rFonts w:ascii="Symbol" w:hAnsi="Symbol" w:hint="default"/>
      </w:rPr>
    </w:lvl>
  </w:abstractNum>
  <w:abstractNum w:abstractNumId="50">
    <w:nsid w:val="4B4441F7"/>
    <w:multiLevelType w:val="singleLevel"/>
    <w:tmpl w:val="4B4441F7"/>
    <w:lvl w:ilvl="0">
      <w:start w:val="1"/>
      <w:numFmt w:val="bullet"/>
      <w:pStyle w:val="ReportList1"/>
      <w:lvlText w:val=""/>
      <w:lvlJc w:val="left"/>
      <w:pPr>
        <w:tabs>
          <w:tab w:val="left" w:pos="1440"/>
        </w:tabs>
        <w:ind w:left="1440" w:hanging="360"/>
      </w:pPr>
      <w:rPr>
        <w:rFonts w:ascii="Symbol" w:hAnsi="Symbol" w:hint="default"/>
      </w:rPr>
    </w:lvl>
  </w:abstractNum>
  <w:abstractNum w:abstractNumId="51">
    <w:nsid w:val="4E2244DA"/>
    <w:multiLevelType w:val="multilevel"/>
    <w:tmpl w:val="4E2244DA"/>
    <w:lvl w:ilvl="0">
      <w:start w:val="1"/>
      <w:numFmt w:val="lowerLetter"/>
      <w:lvlText w:val="%1)"/>
      <w:lvlJc w:val="left"/>
      <w:pPr>
        <w:tabs>
          <w:tab w:val="left" w:pos="1701"/>
        </w:tabs>
        <w:ind w:left="1701" w:hanging="621"/>
      </w:pPr>
      <w:rPr>
        <w:rFonts w:hint="default"/>
        <w:sz w:val="21"/>
        <w:szCs w:val="21"/>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2">
    <w:nsid w:val="4F3C652A"/>
    <w:multiLevelType w:val="multilevel"/>
    <w:tmpl w:val="4F3C652A"/>
    <w:lvl w:ilvl="0">
      <w:start w:val="1"/>
      <w:numFmt w:val="decimal"/>
      <w:lvlText w:val="%1)"/>
      <w:lvlJc w:val="left"/>
      <w:pPr>
        <w:tabs>
          <w:tab w:val="left" w:pos="1701"/>
        </w:tabs>
        <w:ind w:left="1701" w:hanging="621"/>
      </w:pPr>
      <w:rPr>
        <w:rFonts w:hint="eastAsia"/>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53">
    <w:nsid w:val="50064612"/>
    <w:multiLevelType w:val="multilevel"/>
    <w:tmpl w:val="50064612"/>
    <w:lvl w:ilvl="0">
      <w:start w:val="1"/>
      <w:numFmt w:val="decimal"/>
      <w:lvlText w:val="%1)"/>
      <w:lvlJc w:val="left"/>
      <w:pPr>
        <w:tabs>
          <w:tab w:val="left" w:pos="1701"/>
        </w:tabs>
        <w:ind w:left="1701" w:hanging="621"/>
      </w:pPr>
      <w:rPr>
        <w:rFonts w:hint="eastAsia"/>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54">
    <w:nsid w:val="51D92B59"/>
    <w:multiLevelType w:val="multilevel"/>
    <w:tmpl w:val="51D92B59"/>
    <w:lvl w:ilvl="0">
      <w:start w:val="1"/>
      <w:numFmt w:val="decimal"/>
      <w:lvlText w:val="%1)"/>
      <w:lvlJc w:val="left"/>
      <w:pPr>
        <w:tabs>
          <w:tab w:val="left" w:pos="1620"/>
        </w:tabs>
        <w:ind w:left="1620" w:hanging="360"/>
      </w:pPr>
      <w:rPr>
        <w:rFonts w:ascii="Times New Roman" w:hAnsi="Times New Roman" w:cs="Times New Roman" w:hint="default"/>
        <w:sz w:val="21"/>
        <w:szCs w:val="21"/>
        <w:lang w:val="en-GB"/>
      </w:rPr>
    </w:lvl>
    <w:lvl w:ilvl="1">
      <w:start w:val="1"/>
      <w:numFmt w:val="lowerLetter"/>
      <w:lvlText w:val="%2."/>
      <w:lvlJc w:val="left"/>
      <w:pPr>
        <w:tabs>
          <w:tab w:val="left" w:pos="1980"/>
        </w:tabs>
        <w:ind w:left="1980" w:hanging="360"/>
      </w:pPr>
    </w:lvl>
    <w:lvl w:ilvl="2">
      <w:start w:val="1"/>
      <w:numFmt w:val="lowerRoman"/>
      <w:lvlText w:val="%3."/>
      <w:lvlJc w:val="right"/>
      <w:pPr>
        <w:tabs>
          <w:tab w:val="left" w:pos="2700"/>
        </w:tabs>
        <w:ind w:left="2700" w:hanging="180"/>
      </w:pPr>
    </w:lvl>
    <w:lvl w:ilvl="3">
      <w:start w:val="1"/>
      <w:numFmt w:val="decimal"/>
      <w:lvlText w:val="%4."/>
      <w:lvlJc w:val="left"/>
      <w:pPr>
        <w:tabs>
          <w:tab w:val="left" w:pos="3420"/>
        </w:tabs>
        <w:ind w:left="3420" w:hanging="360"/>
      </w:pPr>
    </w:lvl>
    <w:lvl w:ilvl="4">
      <w:start w:val="1"/>
      <w:numFmt w:val="lowerLetter"/>
      <w:lvlText w:val="%5."/>
      <w:lvlJc w:val="left"/>
      <w:pPr>
        <w:tabs>
          <w:tab w:val="left" w:pos="4140"/>
        </w:tabs>
        <w:ind w:left="4140" w:hanging="360"/>
      </w:pPr>
    </w:lvl>
    <w:lvl w:ilvl="5">
      <w:start w:val="1"/>
      <w:numFmt w:val="lowerRoman"/>
      <w:lvlText w:val="%6."/>
      <w:lvlJc w:val="right"/>
      <w:pPr>
        <w:tabs>
          <w:tab w:val="left" w:pos="4860"/>
        </w:tabs>
        <w:ind w:left="4860" w:hanging="180"/>
      </w:pPr>
    </w:lvl>
    <w:lvl w:ilvl="6">
      <w:start w:val="1"/>
      <w:numFmt w:val="decimal"/>
      <w:lvlText w:val="%7."/>
      <w:lvlJc w:val="left"/>
      <w:pPr>
        <w:tabs>
          <w:tab w:val="left" w:pos="5580"/>
        </w:tabs>
        <w:ind w:left="5580" w:hanging="360"/>
      </w:pPr>
    </w:lvl>
    <w:lvl w:ilvl="7">
      <w:start w:val="1"/>
      <w:numFmt w:val="lowerLetter"/>
      <w:lvlText w:val="%8."/>
      <w:lvlJc w:val="left"/>
      <w:pPr>
        <w:tabs>
          <w:tab w:val="left" w:pos="6300"/>
        </w:tabs>
        <w:ind w:left="6300" w:hanging="360"/>
      </w:pPr>
    </w:lvl>
    <w:lvl w:ilvl="8">
      <w:start w:val="1"/>
      <w:numFmt w:val="lowerRoman"/>
      <w:lvlText w:val="%9."/>
      <w:lvlJc w:val="right"/>
      <w:pPr>
        <w:tabs>
          <w:tab w:val="left" w:pos="7020"/>
        </w:tabs>
        <w:ind w:left="7020" w:hanging="180"/>
      </w:pPr>
    </w:lvl>
  </w:abstractNum>
  <w:abstractNum w:abstractNumId="55">
    <w:nsid w:val="523E4BCF"/>
    <w:multiLevelType w:val="multilevel"/>
    <w:tmpl w:val="523E4BCF"/>
    <w:lvl w:ilvl="0">
      <w:start w:val="1"/>
      <w:numFmt w:val="decimal"/>
      <w:lvlText w:val="%1)"/>
      <w:lvlJc w:val="left"/>
      <w:pPr>
        <w:tabs>
          <w:tab w:val="left" w:pos="1440"/>
        </w:tabs>
        <w:ind w:left="1440" w:hanging="720"/>
      </w:pPr>
      <w:rPr>
        <w:rFonts w:ascii="Times New Roman" w:hAnsi="Times New Roman" w:hint="default"/>
        <w:sz w:val="21"/>
        <w:szCs w:val="21"/>
      </w:rPr>
    </w:lvl>
    <w:lvl w:ilvl="1">
      <w:start w:val="1"/>
      <w:numFmt w:val="lowerLetter"/>
      <w:lvlText w:val="%2)"/>
      <w:lvlJc w:val="left"/>
      <w:pPr>
        <w:tabs>
          <w:tab w:val="left" w:pos="1701"/>
        </w:tabs>
        <w:ind w:left="1701" w:hanging="621"/>
      </w:pPr>
      <w:rPr>
        <w:rFonts w:hint="default"/>
        <w:sz w:val="21"/>
        <w:szCs w:val="21"/>
      </w:r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56">
    <w:nsid w:val="546F88AB"/>
    <w:multiLevelType w:val="multilevel"/>
    <w:tmpl w:val="51D92B59"/>
    <w:lvl w:ilvl="0">
      <w:start w:val="1"/>
      <w:numFmt w:val="decimal"/>
      <w:lvlText w:val="%1)"/>
      <w:lvlJc w:val="left"/>
      <w:pPr>
        <w:tabs>
          <w:tab w:val="left" w:pos="1620"/>
        </w:tabs>
        <w:ind w:left="1620" w:hanging="360"/>
      </w:pPr>
      <w:rPr>
        <w:rFonts w:ascii="Times New Roman" w:hAnsi="Times New Roman" w:cs="Times New Roman" w:hint="default"/>
        <w:sz w:val="21"/>
        <w:szCs w:val="21"/>
        <w:lang w:val="en-GB"/>
      </w:rPr>
    </w:lvl>
    <w:lvl w:ilvl="1">
      <w:start w:val="1"/>
      <w:numFmt w:val="lowerLetter"/>
      <w:lvlText w:val="%2."/>
      <w:lvlJc w:val="left"/>
      <w:pPr>
        <w:tabs>
          <w:tab w:val="left" w:pos="1980"/>
        </w:tabs>
        <w:ind w:left="1980" w:hanging="360"/>
      </w:pPr>
    </w:lvl>
    <w:lvl w:ilvl="2">
      <w:start w:val="1"/>
      <w:numFmt w:val="lowerRoman"/>
      <w:lvlText w:val="%3."/>
      <w:lvlJc w:val="right"/>
      <w:pPr>
        <w:tabs>
          <w:tab w:val="left" w:pos="2700"/>
        </w:tabs>
        <w:ind w:left="2700" w:hanging="180"/>
      </w:pPr>
    </w:lvl>
    <w:lvl w:ilvl="3">
      <w:start w:val="1"/>
      <w:numFmt w:val="decimal"/>
      <w:lvlText w:val="%4."/>
      <w:lvlJc w:val="left"/>
      <w:pPr>
        <w:tabs>
          <w:tab w:val="left" w:pos="3420"/>
        </w:tabs>
        <w:ind w:left="3420" w:hanging="360"/>
      </w:pPr>
    </w:lvl>
    <w:lvl w:ilvl="4">
      <w:start w:val="1"/>
      <w:numFmt w:val="lowerLetter"/>
      <w:lvlText w:val="%5."/>
      <w:lvlJc w:val="left"/>
      <w:pPr>
        <w:tabs>
          <w:tab w:val="left" w:pos="4140"/>
        </w:tabs>
        <w:ind w:left="4140" w:hanging="360"/>
      </w:pPr>
    </w:lvl>
    <w:lvl w:ilvl="5">
      <w:start w:val="1"/>
      <w:numFmt w:val="lowerRoman"/>
      <w:lvlText w:val="%6."/>
      <w:lvlJc w:val="right"/>
      <w:pPr>
        <w:tabs>
          <w:tab w:val="left" w:pos="4860"/>
        </w:tabs>
        <w:ind w:left="4860" w:hanging="180"/>
      </w:pPr>
    </w:lvl>
    <w:lvl w:ilvl="6">
      <w:start w:val="1"/>
      <w:numFmt w:val="decimal"/>
      <w:lvlText w:val="%7."/>
      <w:lvlJc w:val="left"/>
      <w:pPr>
        <w:tabs>
          <w:tab w:val="left" w:pos="5580"/>
        </w:tabs>
        <w:ind w:left="5580" w:hanging="360"/>
      </w:pPr>
    </w:lvl>
    <w:lvl w:ilvl="7">
      <w:start w:val="1"/>
      <w:numFmt w:val="lowerLetter"/>
      <w:lvlText w:val="%8."/>
      <w:lvlJc w:val="left"/>
      <w:pPr>
        <w:tabs>
          <w:tab w:val="left" w:pos="6300"/>
        </w:tabs>
        <w:ind w:left="6300" w:hanging="360"/>
      </w:pPr>
    </w:lvl>
    <w:lvl w:ilvl="8">
      <w:start w:val="1"/>
      <w:numFmt w:val="lowerRoman"/>
      <w:lvlText w:val="%9."/>
      <w:lvlJc w:val="right"/>
      <w:pPr>
        <w:tabs>
          <w:tab w:val="left" w:pos="7020"/>
        </w:tabs>
        <w:ind w:left="7020" w:hanging="180"/>
      </w:pPr>
    </w:lvl>
  </w:abstractNum>
  <w:abstractNum w:abstractNumId="57">
    <w:nsid w:val="54F44E9E"/>
    <w:multiLevelType w:val="multilevel"/>
    <w:tmpl w:val="54F44E9E"/>
    <w:lvl w:ilvl="0">
      <w:start w:val="1"/>
      <w:numFmt w:val="decimal"/>
      <w:pStyle w:val="Heading1"/>
      <w:lvlText w:val="%1.0"/>
      <w:lvlJc w:val="left"/>
      <w:pPr>
        <w:tabs>
          <w:tab w:val="left" w:pos="720"/>
        </w:tabs>
        <w:ind w:left="720" w:hanging="720"/>
      </w:pPr>
      <w:rPr>
        <w:rFonts w:ascii="宋体" w:eastAsia="宋体" w:hAnsi="宋体" w:hint="default"/>
        <w:b w:val="0"/>
        <w:i w:val="0"/>
        <w:caps w:val="0"/>
        <w:sz w:val="21"/>
        <w:szCs w:val="21"/>
      </w:rPr>
    </w:lvl>
    <w:lvl w:ilvl="1">
      <w:start w:val="1"/>
      <w:numFmt w:val="decimal"/>
      <w:lvlText w:val="%1.%2"/>
      <w:lvlJc w:val="left"/>
      <w:pPr>
        <w:tabs>
          <w:tab w:val="left" w:pos="720"/>
        </w:tabs>
        <w:ind w:left="720" w:hanging="720"/>
      </w:pPr>
      <w:rPr>
        <w:rFonts w:ascii="Times New Roman" w:hAnsi="Times New Roman" w:hint="default"/>
        <w:b/>
        <w:i w:val="0"/>
        <w:caps w:val="0"/>
        <w:sz w:val="24"/>
      </w:rPr>
    </w:lvl>
    <w:lvl w:ilvl="2">
      <w:start w:val="1"/>
      <w:numFmt w:val="decimal"/>
      <w:lvlText w:val="%1.%2.%3"/>
      <w:lvlJc w:val="left"/>
      <w:pPr>
        <w:tabs>
          <w:tab w:val="left" w:pos="720"/>
        </w:tabs>
        <w:ind w:left="720" w:hanging="720"/>
      </w:pPr>
      <w:rPr>
        <w:rFonts w:ascii="Times New Roman" w:hAnsi="Times New Roman" w:hint="default"/>
        <w:b/>
        <w:i w:val="0"/>
        <w:caps w:val="0"/>
        <w:sz w:val="24"/>
      </w:rPr>
    </w:lvl>
    <w:lvl w:ilvl="3">
      <w:start w:val="1"/>
      <w:numFmt w:val="decimal"/>
      <w:lvlText w:val="%1.%2.%3.%4"/>
      <w:lvlJc w:val="left"/>
      <w:pPr>
        <w:tabs>
          <w:tab w:val="left" w:pos="1440"/>
        </w:tabs>
        <w:ind w:left="1440" w:hanging="1440"/>
      </w:pPr>
      <w:rPr>
        <w:rFonts w:ascii="Arial" w:hAnsi="Arial" w:hint="default"/>
        <w:b/>
        <w:i w:val="0"/>
        <w:caps w:val="0"/>
        <w:sz w:val="20"/>
      </w:rPr>
    </w:lvl>
    <w:lvl w:ilvl="4">
      <w:start w:val="1"/>
      <w:numFmt w:val="decimal"/>
      <w:lvlText w:val="%1.%2.%3.%4.%5."/>
      <w:lvlJc w:val="left"/>
      <w:pPr>
        <w:tabs>
          <w:tab w:val="left" w:pos="2520"/>
        </w:tabs>
        <w:ind w:left="2232" w:hanging="792"/>
      </w:pPr>
      <w:rPr>
        <w:rFonts w:hint="default"/>
      </w:rPr>
    </w:lvl>
    <w:lvl w:ilvl="5">
      <w:start w:val="1"/>
      <w:numFmt w:val="decimal"/>
      <w:lvlText w:val="%1.%2.%3.%4.%5.%6."/>
      <w:lvlJc w:val="left"/>
      <w:pPr>
        <w:tabs>
          <w:tab w:val="left" w:pos="2880"/>
        </w:tabs>
        <w:ind w:left="2736" w:hanging="936"/>
      </w:pPr>
      <w:rPr>
        <w:rFonts w:hint="default"/>
      </w:rPr>
    </w:lvl>
    <w:lvl w:ilvl="6">
      <w:start w:val="1"/>
      <w:numFmt w:val="decimal"/>
      <w:lvlText w:val="%1.%2.%3.%4.%5.%6.%7."/>
      <w:lvlJc w:val="left"/>
      <w:pPr>
        <w:tabs>
          <w:tab w:val="left" w:pos="3600"/>
        </w:tabs>
        <w:ind w:left="3240" w:hanging="1080"/>
      </w:pPr>
      <w:rPr>
        <w:rFonts w:hint="default"/>
      </w:rPr>
    </w:lvl>
    <w:lvl w:ilvl="7">
      <w:start w:val="1"/>
      <w:numFmt w:val="decimal"/>
      <w:lvlText w:val="%1.%2.%3.%4.%5.%6.%7.%8."/>
      <w:lvlJc w:val="left"/>
      <w:pPr>
        <w:tabs>
          <w:tab w:val="left" w:pos="3960"/>
        </w:tabs>
        <w:ind w:left="3744" w:hanging="1224"/>
      </w:pPr>
      <w:rPr>
        <w:rFonts w:hint="default"/>
      </w:rPr>
    </w:lvl>
    <w:lvl w:ilvl="8">
      <w:start w:val="1"/>
      <w:numFmt w:val="decimal"/>
      <w:lvlText w:val="%1.%2.%3.%4.%5.%6.%7.%8.%9."/>
      <w:lvlJc w:val="left"/>
      <w:pPr>
        <w:tabs>
          <w:tab w:val="left" w:pos="4680"/>
        </w:tabs>
        <w:ind w:left="4320" w:hanging="1440"/>
      </w:pPr>
      <w:rPr>
        <w:rFonts w:hint="default"/>
      </w:rPr>
    </w:lvl>
  </w:abstractNum>
  <w:abstractNum w:abstractNumId="58">
    <w:nsid w:val="58033515"/>
    <w:multiLevelType w:val="multilevel"/>
    <w:tmpl w:val="58033515"/>
    <w:lvl w:ilvl="0">
      <w:start w:val="1"/>
      <w:numFmt w:val="decimal"/>
      <w:lvlText w:val="%1)"/>
      <w:lvlJc w:val="left"/>
      <w:pPr>
        <w:tabs>
          <w:tab w:val="left" w:pos="1437"/>
        </w:tabs>
        <w:ind w:left="1437" w:hanging="360"/>
      </w:pPr>
      <w:rPr>
        <w:rFonts w:ascii="Times New Roman" w:hAnsi="Times New Roman" w:cs="Times New Roman" w:hint="default"/>
        <w:sz w:val="21"/>
        <w:szCs w:val="21"/>
      </w:rPr>
    </w:lvl>
    <w:lvl w:ilvl="1">
      <w:start w:val="1"/>
      <w:numFmt w:val="lowerLetter"/>
      <w:lvlText w:val="%2."/>
      <w:lvlJc w:val="left"/>
      <w:pPr>
        <w:tabs>
          <w:tab w:val="left" w:pos="1257"/>
        </w:tabs>
        <w:ind w:left="1257" w:hanging="360"/>
      </w:pPr>
    </w:lvl>
    <w:lvl w:ilvl="2">
      <w:start w:val="1"/>
      <w:numFmt w:val="lowerRoman"/>
      <w:lvlText w:val="%3."/>
      <w:lvlJc w:val="right"/>
      <w:pPr>
        <w:tabs>
          <w:tab w:val="left" w:pos="1977"/>
        </w:tabs>
        <w:ind w:left="1977" w:hanging="180"/>
      </w:pPr>
    </w:lvl>
    <w:lvl w:ilvl="3">
      <w:start w:val="1"/>
      <w:numFmt w:val="decimal"/>
      <w:lvlText w:val="%4."/>
      <w:lvlJc w:val="left"/>
      <w:pPr>
        <w:tabs>
          <w:tab w:val="left" w:pos="2697"/>
        </w:tabs>
        <w:ind w:left="2697" w:hanging="360"/>
      </w:pPr>
    </w:lvl>
    <w:lvl w:ilvl="4">
      <w:start w:val="1"/>
      <w:numFmt w:val="lowerLetter"/>
      <w:lvlText w:val="%5."/>
      <w:lvlJc w:val="left"/>
      <w:pPr>
        <w:tabs>
          <w:tab w:val="left" w:pos="3417"/>
        </w:tabs>
        <w:ind w:left="3417" w:hanging="360"/>
      </w:pPr>
    </w:lvl>
    <w:lvl w:ilvl="5">
      <w:start w:val="1"/>
      <w:numFmt w:val="lowerRoman"/>
      <w:lvlText w:val="%6."/>
      <w:lvlJc w:val="right"/>
      <w:pPr>
        <w:tabs>
          <w:tab w:val="left" w:pos="4137"/>
        </w:tabs>
        <w:ind w:left="4137" w:hanging="180"/>
      </w:pPr>
    </w:lvl>
    <w:lvl w:ilvl="6">
      <w:start w:val="1"/>
      <w:numFmt w:val="decimal"/>
      <w:lvlText w:val="%7."/>
      <w:lvlJc w:val="left"/>
      <w:pPr>
        <w:tabs>
          <w:tab w:val="left" w:pos="4857"/>
        </w:tabs>
        <w:ind w:left="4857" w:hanging="360"/>
      </w:pPr>
    </w:lvl>
    <w:lvl w:ilvl="7">
      <w:start w:val="1"/>
      <w:numFmt w:val="lowerLetter"/>
      <w:lvlText w:val="%8."/>
      <w:lvlJc w:val="left"/>
      <w:pPr>
        <w:tabs>
          <w:tab w:val="left" w:pos="5577"/>
        </w:tabs>
        <w:ind w:left="5577" w:hanging="360"/>
      </w:pPr>
    </w:lvl>
    <w:lvl w:ilvl="8">
      <w:start w:val="1"/>
      <w:numFmt w:val="lowerRoman"/>
      <w:lvlText w:val="%9."/>
      <w:lvlJc w:val="right"/>
      <w:pPr>
        <w:tabs>
          <w:tab w:val="left" w:pos="6297"/>
        </w:tabs>
        <w:ind w:left="6297" w:hanging="180"/>
      </w:pPr>
    </w:lvl>
  </w:abstractNum>
  <w:abstractNum w:abstractNumId="59">
    <w:nsid w:val="5811D671"/>
    <w:multiLevelType w:val="multilevel"/>
    <w:tmpl w:val="78604E36"/>
    <w:lvl w:ilvl="0">
      <w:start w:val="1"/>
      <w:numFmt w:val="decimal"/>
      <w:lvlText w:val="%1)"/>
      <w:lvlJc w:val="left"/>
      <w:pPr>
        <w:tabs>
          <w:tab w:val="left" w:pos="1620"/>
        </w:tabs>
        <w:ind w:left="1620" w:hanging="360"/>
      </w:pPr>
      <w:rPr>
        <w:rFonts w:ascii="Times New Roman" w:hAnsi="Times New Roman" w:cs="Times New Roman" w:hint="default"/>
      </w:rPr>
    </w:lvl>
    <w:lvl w:ilvl="1">
      <w:start w:val="1"/>
      <w:numFmt w:val="lowerLetter"/>
      <w:lvlText w:val="%2."/>
      <w:lvlJc w:val="left"/>
      <w:pPr>
        <w:tabs>
          <w:tab w:val="left" w:pos="1980"/>
        </w:tabs>
        <w:ind w:left="1980" w:hanging="360"/>
      </w:pPr>
    </w:lvl>
    <w:lvl w:ilvl="2">
      <w:start w:val="1"/>
      <w:numFmt w:val="lowerRoman"/>
      <w:lvlText w:val="%3."/>
      <w:lvlJc w:val="right"/>
      <w:pPr>
        <w:tabs>
          <w:tab w:val="left" w:pos="2700"/>
        </w:tabs>
        <w:ind w:left="2700" w:hanging="180"/>
      </w:pPr>
    </w:lvl>
    <w:lvl w:ilvl="3">
      <w:start w:val="1"/>
      <w:numFmt w:val="decimal"/>
      <w:lvlText w:val="%4."/>
      <w:lvlJc w:val="left"/>
      <w:pPr>
        <w:tabs>
          <w:tab w:val="left" w:pos="3420"/>
        </w:tabs>
        <w:ind w:left="3420" w:hanging="360"/>
      </w:pPr>
    </w:lvl>
    <w:lvl w:ilvl="4">
      <w:start w:val="1"/>
      <w:numFmt w:val="lowerLetter"/>
      <w:lvlText w:val="%5."/>
      <w:lvlJc w:val="left"/>
      <w:pPr>
        <w:tabs>
          <w:tab w:val="left" w:pos="4140"/>
        </w:tabs>
        <w:ind w:left="4140" w:hanging="360"/>
      </w:pPr>
    </w:lvl>
    <w:lvl w:ilvl="5">
      <w:start w:val="1"/>
      <w:numFmt w:val="lowerRoman"/>
      <w:lvlText w:val="%6."/>
      <w:lvlJc w:val="right"/>
      <w:pPr>
        <w:tabs>
          <w:tab w:val="left" w:pos="4860"/>
        </w:tabs>
        <w:ind w:left="4860" w:hanging="180"/>
      </w:pPr>
    </w:lvl>
    <w:lvl w:ilvl="6">
      <w:start w:val="1"/>
      <w:numFmt w:val="decimal"/>
      <w:lvlText w:val="%7."/>
      <w:lvlJc w:val="left"/>
      <w:pPr>
        <w:tabs>
          <w:tab w:val="left" w:pos="5580"/>
        </w:tabs>
        <w:ind w:left="5580" w:hanging="360"/>
      </w:pPr>
    </w:lvl>
    <w:lvl w:ilvl="7">
      <w:start w:val="1"/>
      <w:numFmt w:val="lowerLetter"/>
      <w:lvlText w:val="%8."/>
      <w:lvlJc w:val="left"/>
      <w:pPr>
        <w:tabs>
          <w:tab w:val="left" w:pos="6300"/>
        </w:tabs>
        <w:ind w:left="6300" w:hanging="360"/>
      </w:pPr>
    </w:lvl>
    <w:lvl w:ilvl="8">
      <w:start w:val="1"/>
      <w:numFmt w:val="lowerRoman"/>
      <w:lvlText w:val="%9."/>
      <w:lvlJc w:val="right"/>
      <w:pPr>
        <w:tabs>
          <w:tab w:val="left" w:pos="7020"/>
        </w:tabs>
        <w:ind w:left="7020" w:hanging="180"/>
      </w:pPr>
    </w:lvl>
  </w:abstractNum>
  <w:abstractNum w:abstractNumId="60">
    <w:nsid w:val="59FD0840"/>
    <w:multiLevelType w:val="multilevel"/>
    <w:tmpl w:val="59FD0840"/>
    <w:lvl w:ilvl="0">
      <w:start w:val="1"/>
      <w:numFmt w:val="decimal"/>
      <w:lvlText w:val="%1)"/>
      <w:lvlJc w:val="left"/>
      <w:pPr>
        <w:tabs>
          <w:tab w:val="left" w:pos="1380"/>
        </w:tabs>
        <w:ind w:left="1380" w:hanging="360"/>
      </w:pPr>
      <w:rPr>
        <w:rFonts w:hint="default"/>
      </w:rPr>
    </w:lvl>
    <w:lvl w:ilvl="1">
      <w:start w:val="1"/>
      <w:numFmt w:val="lowerLetter"/>
      <w:lvlText w:val="%2."/>
      <w:lvlJc w:val="left"/>
      <w:pPr>
        <w:tabs>
          <w:tab w:val="left" w:pos="2100"/>
        </w:tabs>
        <w:ind w:left="2100" w:hanging="360"/>
      </w:pPr>
    </w:lvl>
    <w:lvl w:ilvl="2">
      <w:start w:val="1"/>
      <w:numFmt w:val="lowerRoman"/>
      <w:lvlText w:val="%3."/>
      <w:lvlJc w:val="right"/>
      <w:pPr>
        <w:tabs>
          <w:tab w:val="left" w:pos="2820"/>
        </w:tabs>
        <w:ind w:left="2820" w:hanging="180"/>
      </w:pPr>
    </w:lvl>
    <w:lvl w:ilvl="3">
      <w:start w:val="1"/>
      <w:numFmt w:val="decimal"/>
      <w:lvlText w:val="%4."/>
      <w:lvlJc w:val="left"/>
      <w:pPr>
        <w:tabs>
          <w:tab w:val="left" w:pos="3540"/>
        </w:tabs>
        <w:ind w:left="3540" w:hanging="360"/>
      </w:pPr>
    </w:lvl>
    <w:lvl w:ilvl="4">
      <w:start w:val="1"/>
      <w:numFmt w:val="lowerLetter"/>
      <w:lvlText w:val="%5."/>
      <w:lvlJc w:val="left"/>
      <w:pPr>
        <w:tabs>
          <w:tab w:val="left" w:pos="4260"/>
        </w:tabs>
        <w:ind w:left="4260" w:hanging="360"/>
      </w:pPr>
    </w:lvl>
    <w:lvl w:ilvl="5">
      <w:start w:val="1"/>
      <w:numFmt w:val="lowerRoman"/>
      <w:lvlText w:val="%6."/>
      <w:lvlJc w:val="right"/>
      <w:pPr>
        <w:tabs>
          <w:tab w:val="left" w:pos="4980"/>
        </w:tabs>
        <w:ind w:left="4980" w:hanging="180"/>
      </w:pPr>
    </w:lvl>
    <w:lvl w:ilvl="6">
      <w:start w:val="1"/>
      <w:numFmt w:val="decimal"/>
      <w:lvlText w:val="%7."/>
      <w:lvlJc w:val="left"/>
      <w:pPr>
        <w:tabs>
          <w:tab w:val="left" w:pos="5700"/>
        </w:tabs>
        <w:ind w:left="5700" w:hanging="360"/>
      </w:pPr>
    </w:lvl>
    <w:lvl w:ilvl="7">
      <w:start w:val="1"/>
      <w:numFmt w:val="lowerLetter"/>
      <w:lvlText w:val="%8."/>
      <w:lvlJc w:val="left"/>
      <w:pPr>
        <w:tabs>
          <w:tab w:val="left" w:pos="6420"/>
        </w:tabs>
        <w:ind w:left="6420" w:hanging="360"/>
      </w:pPr>
    </w:lvl>
    <w:lvl w:ilvl="8">
      <w:start w:val="1"/>
      <w:numFmt w:val="lowerRoman"/>
      <w:lvlText w:val="%9."/>
      <w:lvlJc w:val="right"/>
      <w:pPr>
        <w:tabs>
          <w:tab w:val="left" w:pos="7140"/>
        </w:tabs>
        <w:ind w:left="7140" w:hanging="180"/>
      </w:pPr>
    </w:lvl>
  </w:abstractNum>
  <w:abstractNum w:abstractNumId="61">
    <w:nsid w:val="5DE57780"/>
    <w:multiLevelType w:val="multilevel"/>
    <w:tmpl w:val="5DE57780"/>
    <w:lvl w:ilvl="0">
      <w:start w:val="1"/>
      <w:numFmt w:val="decimal"/>
      <w:lvlText w:val="%1)"/>
      <w:lvlJc w:val="left"/>
      <w:pPr>
        <w:tabs>
          <w:tab w:val="left" w:pos="1701"/>
        </w:tabs>
        <w:ind w:left="1701" w:hanging="621"/>
      </w:pPr>
      <w:rPr>
        <w:rFonts w:hint="eastAsia"/>
      </w:rPr>
    </w:lvl>
    <w:lvl w:ilvl="1">
      <w:start w:val="1"/>
      <w:numFmt w:val="lowerLetter"/>
      <w:lvlText w:val="%2)"/>
      <w:lvlJc w:val="left"/>
      <w:pPr>
        <w:tabs>
          <w:tab w:val="left" w:pos="1701"/>
        </w:tabs>
        <w:ind w:left="1701" w:hanging="621"/>
      </w:pPr>
      <w:rPr>
        <w:rFonts w:hint="default"/>
        <w:sz w:val="21"/>
        <w:szCs w:val="21"/>
      </w:r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62">
    <w:nsid w:val="63865543"/>
    <w:multiLevelType w:val="multilevel"/>
    <w:tmpl w:val="63865543"/>
    <w:lvl w:ilvl="0">
      <w:start w:val="1"/>
      <w:numFmt w:val="decimal"/>
      <w:lvlText w:val="%1)"/>
      <w:lvlJc w:val="left"/>
      <w:pPr>
        <w:tabs>
          <w:tab w:val="left" w:pos="1701"/>
        </w:tabs>
        <w:ind w:left="1701" w:hanging="621"/>
      </w:pPr>
      <w:rPr>
        <w:rFonts w:hint="eastAsia"/>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63">
    <w:nsid w:val="6884690A"/>
    <w:multiLevelType w:val="multilevel"/>
    <w:tmpl w:val="6884690A"/>
    <w:lvl w:ilvl="0">
      <w:start w:val="1"/>
      <w:numFmt w:val="decimal"/>
      <w:lvlText w:val="%1)"/>
      <w:lvlJc w:val="left"/>
      <w:pPr>
        <w:tabs>
          <w:tab w:val="left" w:pos="1620"/>
        </w:tabs>
        <w:ind w:left="1620" w:hanging="360"/>
      </w:pPr>
      <w:rPr>
        <w:rFonts w:ascii="Times New Roman" w:hAnsi="Times New Roman" w:cs="Times New Roman" w:hint="default"/>
        <w:sz w:val="21"/>
        <w:szCs w:val="21"/>
        <w:lang w:val="en-GB"/>
      </w:rPr>
    </w:lvl>
    <w:lvl w:ilvl="1">
      <w:start w:val="1"/>
      <w:numFmt w:val="lowerLetter"/>
      <w:lvlText w:val="%2."/>
      <w:lvlJc w:val="left"/>
      <w:pPr>
        <w:tabs>
          <w:tab w:val="left" w:pos="1980"/>
        </w:tabs>
        <w:ind w:left="1980" w:hanging="360"/>
      </w:pPr>
    </w:lvl>
    <w:lvl w:ilvl="2">
      <w:start w:val="1"/>
      <w:numFmt w:val="lowerRoman"/>
      <w:lvlText w:val="%3."/>
      <w:lvlJc w:val="right"/>
      <w:pPr>
        <w:tabs>
          <w:tab w:val="left" w:pos="2700"/>
        </w:tabs>
        <w:ind w:left="2700" w:hanging="180"/>
      </w:pPr>
    </w:lvl>
    <w:lvl w:ilvl="3">
      <w:start w:val="1"/>
      <w:numFmt w:val="decimal"/>
      <w:lvlText w:val="%4."/>
      <w:lvlJc w:val="left"/>
      <w:pPr>
        <w:tabs>
          <w:tab w:val="left" w:pos="3420"/>
        </w:tabs>
        <w:ind w:left="3420" w:hanging="360"/>
      </w:pPr>
    </w:lvl>
    <w:lvl w:ilvl="4">
      <w:start w:val="1"/>
      <w:numFmt w:val="lowerLetter"/>
      <w:lvlText w:val="%5."/>
      <w:lvlJc w:val="left"/>
      <w:pPr>
        <w:tabs>
          <w:tab w:val="left" w:pos="4140"/>
        </w:tabs>
        <w:ind w:left="4140" w:hanging="360"/>
      </w:pPr>
    </w:lvl>
    <w:lvl w:ilvl="5">
      <w:start w:val="1"/>
      <w:numFmt w:val="lowerRoman"/>
      <w:lvlText w:val="%6."/>
      <w:lvlJc w:val="right"/>
      <w:pPr>
        <w:tabs>
          <w:tab w:val="left" w:pos="4860"/>
        </w:tabs>
        <w:ind w:left="4860" w:hanging="180"/>
      </w:pPr>
    </w:lvl>
    <w:lvl w:ilvl="6">
      <w:start w:val="1"/>
      <w:numFmt w:val="decimal"/>
      <w:lvlText w:val="%7."/>
      <w:lvlJc w:val="left"/>
      <w:pPr>
        <w:tabs>
          <w:tab w:val="left" w:pos="5580"/>
        </w:tabs>
        <w:ind w:left="5580" w:hanging="360"/>
      </w:pPr>
    </w:lvl>
    <w:lvl w:ilvl="7">
      <w:start w:val="1"/>
      <w:numFmt w:val="lowerLetter"/>
      <w:lvlText w:val="%8."/>
      <w:lvlJc w:val="left"/>
      <w:pPr>
        <w:tabs>
          <w:tab w:val="left" w:pos="6300"/>
        </w:tabs>
        <w:ind w:left="6300" w:hanging="360"/>
      </w:pPr>
    </w:lvl>
    <w:lvl w:ilvl="8">
      <w:start w:val="1"/>
      <w:numFmt w:val="lowerRoman"/>
      <w:lvlText w:val="%9."/>
      <w:lvlJc w:val="right"/>
      <w:pPr>
        <w:tabs>
          <w:tab w:val="left" w:pos="7020"/>
        </w:tabs>
        <w:ind w:left="7020" w:hanging="180"/>
      </w:pPr>
    </w:lvl>
  </w:abstractNum>
  <w:abstractNum w:abstractNumId="64">
    <w:nsid w:val="68A434A8"/>
    <w:multiLevelType w:val="multilevel"/>
    <w:tmpl w:val="68A434A8"/>
    <w:lvl w:ilvl="0">
      <w:start w:val="1"/>
      <w:numFmt w:val="decimal"/>
      <w:lvlText w:val="%1)"/>
      <w:lvlJc w:val="left"/>
      <w:pPr>
        <w:tabs>
          <w:tab w:val="left" w:pos="1800"/>
        </w:tabs>
        <w:ind w:left="1800" w:hanging="720"/>
      </w:pPr>
      <w:rPr>
        <w:rFonts w:hint="eastAsia"/>
      </w:rPr>
    </w:lvl>
    <w:lvl w:ilvl="1">
      <w:start w:val="1"/>
      <w:numFmt w:val="lowerLetter"/>
      <w:lvlText w:val="%2."/>
      <w:lvlJc w:val="left"/>
      <w:pPr>
        <w:tabs>
          <w:tab w:val="left" w:pos="2160"/>
        </w:tabs>
        <w:ind w:left="2160" w:hanging="360"/>
      </w:pPr>
    </w:lvl>
    <w:lvl w:ilvl="2">
      <w:start w:val="1"/>
      <w:numFmt w:val="lowerRoman"/>
      <w:lvlText w:val="%3."/>
      <w:lvlJc w:val="right"/>
      <w:pPr>
        <w:tabs>
          <w:tab w:val="left" w:pos="2880"/>
        </w:tabs>
        <w:ind w:left="2880" w:hanging="180"/>
      </w:pPr>
    </w:lvl>
    <w:lvl w:ilvl="3">
      <w:start w:val="1"/>
      <w:numFmt w:val="decimal"/>
      <w:lvlText w:val="%4."/>
      <w:lvlJc w:val="left"/>
      <w:pPr>
        <w:tabs>
          <w:tab w:val="left" w:pos="3600"/>
        </w:tabs>
        <w:ind w:left="3600" w:hanging="360"/>
      </w:pPr>
    </w:lvl>
    <w:lvl w:ilvl="4">
      <w:start w:val="1"/>
      <w:numFmt w:val="lowerLetter"/>
      <w:lvlText w:val="%5."/>
      <w:lvlJc w:val="left"/>
      <w:pPr>
        <w:tabs>
          <w:tab w:val="left" w:pos="4320"/>
        </w:tabs>
        <w:ind w:left="4320" w:hanging="360"/>
      </w:pPr>
    </w:lvl>
    <w:lvl w:ilvl="5">
      <w:start w:val="1"/>
      <w:numFmt w:val="lowerRoman"/>
      <w:lvlText w:val="%6."/>
      <w:lvlJc w:val="right"/>
      <w:pPr>
        <w:tabs>
          <w:tab w:val="left" w:pos="5040"/>
        </w:tabs>
        <w:ind w:left="5040" w:hanging="180"/>
      </w:pPr>
    </w:lvl>
    <w:lvl w:ilvl="6">
      <w:start w:val="1"/>
      <w:numFmt w:val="decimal"/>
      <w:lvlText w:val="%7."/>
      <w:lvlJc w:val="left"/>
      <w:pPr>
        <w:tabs>
          <w:tab w:val="left" w:pos="5760"/>
        </w:tabs>
        <w:ind w:left="5760" w:hanging="360"/>
      </w:pPr>
    </w:lvl>
    <w:lvl w:ilvl="7">
      <w:start w:val="1"/>
      <w:numFmt w:val="lowerLetter"/>
      <w:lvlText w:val="%8."/>
      <w:lvlJc w:val="left"/>
      <w:pPr>
        <w:tabs>
          <w:tab w:val="left" w:pos="6480"/>
        </w:tabs>
        <w:ind w:left="6480" w:hanging="360"/>
      </w:pPr>
    </w:lvl>
    <w:lvl w:ilvl="8">
      <w:start w:val="1"/>
      <w:numFmt w:val="lowerRoman"/>
      <w:lvlText w:val="%9."/>
      <w:lvlJc w:val="right"/>
      <w:pPr>
        <w:tabs>
          <w:tab w:val="left" w:pos="7200"/>
        </w:tabs>
        <w:ind w:left="7200" w:hanging="180"/>
      </w:pPr>
    </w:lvl>
  </w:abstractNum>
  <w:abstractNum w:abstractNumId="65">
    <w:nsid w:val="6BF02F05"/>
    <w:multiLevelType w:val="multilevel"/>
    <w:tmpl w:val="6BF02F05"/>
    <w:lvl w:ilvl="0">
      <w:start w:val="1"/>
      <w:numFmt w:val="decimal"/>
      <w:lvlText w:val="%1)"/>
      <w:lvlJc w:val="left"/>
      <w:pPr>
        <w:tabs>
          <w:tab w:val="left" w:pos="1728"/>
        </w:tabs>
        <w:ind w:left="1728" w:hanging="648"/>
      </w:pPr>
      <w:rPr>
        <w:rFonts w:ascii="Times New Roman" w:hAnsi="Times New Roman" w:hint="default"/>
        <w:sz w:val="21"/>
        <w:szCs w:val="21"/>
      </w:rPr>
    </w:lvl>
    <w:lvl w:ilvl="1">
      <w:start w:val="1"/>
      <w:numFmt w:val="decimal"/>
      <w:lvlText w:val="%2)"/>
      <w:lvlJc w:val="left"/>
      <w:pPr>
        <w:tabs>
          <w:tab w:val="left" w:pos="1716"/>
        </w:tabs>
        <w:ind w:left="1716" w:hanging="636"/>
      </w:pPr>
      <w:rPr>
        <w:rFonts w:hint="eastAsia"/>
      </w:rPr>
    </w:lvl>
    <w:lvl w:ilvl="2">
      <w:start w:val="1"/>
      <w:numFmt w:val="lowerLetter"/>
      <w:lvlText w:val="%3)"/>
      <w:lvlJc w:val="left"/>
      <w:pPr>
        <w:tabs>
          <w:tab w:val="left" w:pos="1701"/>
        </w:tabs>
        <w:ind w:left="1701" w:hanging="624"/>
      </w:pPr>
      <w:rPr>
        <w:rFonts w:hint="eastAsia"/>
      </w:r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66">
    <w:nsid w:val="6C8150B3"/>
    <w:multiLevelType w:val="multilevel"/>
    <w:tmpl w:val="6C8150B3"/>
    <w:lvl w:ilvl="0">
      <w:start w:val="1"/>
      <w:numFmt w:val="decimal"/>
      <w:lvlText w:val="%1)"/>
      <w:lvlJc w:val="left"/>
      <w:pPr>
        <w:tabs>
          <w:tab w:val="left" w:pos="720"/>
        </w:tabs>
        <w:ind w:left="720" w:hanging="360"/>
      </w:p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67">
    <w:nsid w:val="712018A1"/>
    <w:multiLevelType w:val="multilevel"/>
    <w:tmpl w:val="712018A1"/>
    <w:lvl w:ilvl="0">
      <w:start w:val="1"/>
      <w:numFmt w:val="upperLetter"/>
      <w:lvlText w:val="%1"/>
      <w:lvlJc w:val="left"/>
      <w:pPr>
        <w:tabs>
          <w:tab w:val="left" w:pos="1080"/>
        </w:tabs>
        <w:ind w:left="1080" w:hanging="1080"/>
      </w:pPr>
      <w:rPr>
        <w:rFonts w:ascii="Arial" w:hAnsi="Arial" w:hint="default"/>
        <w:b w:val="0"/>
        <w:i w:val="0"/>
        <w:caps/>
        <w:vanish w:val="0"/>
        <w:sz w:val="26"/>
      </w:rPr>
    </w:lvl>
    <w:lvl w:ilvl="1">
      <w:start w:val="1"/>
      <w:numFmt w:val="decimal"/>
      <w:pStyle w:val="AppendixLetter"/>
      <w:lvlText w:val="%1%2."/>
      <w:lvlJc w:val="left"/>
      <w:pPr>
        <w:tabs>
          <w:tab w:val="left" w:pos="1080"/>
        </w:tabs>
        <w:ind w:left="1080" w:hanging="1080"/>
      </w:pPr>
      <w:rPr>
        <w:rFonts w:ascii="Arial" w:hAnsi="Arial" w:hint="default"/>
        <w:b/>
        <w:i w:val="0"/>
        <w:caps/>
        <w:sz w:val="24"/>
      </w:rPr>
    </w:lvl>
    <w:lvl w:ilvl="2">
      <w:start w:val="1"/>
      <w:numFmt w:val="decimal"/>
      <w:lvlText w:val="%1%2.%3"/>
      <w:lvlJc w:val="left"/>
      <w:pPr>
        <w:tabs>
          <w:tab w:val="left" w:pos="1080"/>
        </w:tabs>
        <w:ind w:left="1080" w:hanging="1080"/>
      </w:pPr>
      <w:rPr>
        <w:rFonts w:ascii="Arial" w:hAnsi="Arial" w:hint="default"/>
        <w:b/>
        <w:i w:val="0"/>
        <w:sz w:val="24"/>
      </w:rPr>
    </w:lvl>
    <w:lvl w:ilvl="3">
      <w:start w:val="1"/>
      <w:numFmt w:val="decimal"/>
      <w:lvlText w:val="%1%2.%3.%4"/>
      <w:lvlJc w:val="left"/>
      <w:pPr>
        <w:tabs>
          <w:tab w:val="left" w:pos="2160"/>
        </w:tabs>
        <w:ind w:left="2160" w:hanging="1080"/>
      </w:pPr>
      <w:rPr>
        <w:rFonts w:ascii="Arial" w:hAnsi="Arial" w:hint="default"/>
        <w:b/>
        <w:i w:val="0"/>
        <w:sz w:val="20"/>
      </w:rPr>
    </w:lvl>
    <w:lvl w:ilvl="4">
      <w:start w:val="1"/>
      <w:numFmt w:val="decimal"/>
      <w:lvlText w:val="%1%2.%3.%4.%5"/>
      <w:lvlJc w:val="left"/>
      <w:pPr>
        <w:tabs>
          <w:tab w:val="left" w:pos="2160"/>
        </w:tabs>
        <w:ind w:left="2160" w:hanging="1080"/>
      </w:pPr>
      <w:rPr>
        <w:rFonts w:ascii="Arial" w:hAnsi="Arial" w:hint="default"/>
        <w:b/>
        <w:i w:val="0"/>
        <w:sz w:val="20"/>
      </w:rPr>
    </w:lvl>
    <w:lvl w:ilvl="5">
      <w:start w:val="1"/>
      <w:numFmt w:val="decimal"/>
      <w:lvlText w:val="%1.%2.%3.%4.%5.%6."/>
      <w:lvlJc w:val="left"/>
      <w:pPr>
        <w:tabs>
          <w:tab w:val="left" w:pos="2880"/>
        </w:tabs>
        <w:ind w:left="2736" w:hanging="936"/>
      </w:pPr>
      <w:rPr>
        <w:rFonts w:hint="default"/>
      </w:rPr>
    </w:lvl>
    <w:lvl w:ilvl="6">
      <w:start w:val="1"/>
      <w:numFmt w:val="decimal"/>
      <w:lvlText w:val="%1.%2.%3.%4.%5.%6.%7."/>
      <w:lvlJc w:val="left"/>
      <w:pPr>
        <w:tabs>
          <w:tab w:val="left" w:pos="3600"/>
        </w:tabs>
        <w:ind w:left="3240" w:hanging="1080"/>
      </w:pPr>
      <w:rPr>
        <w:rFonts w:hint="default"/>
      </w:rPr>
    </w:lvl>
    <w:lvl w:ilvl="7">
      <w:start w:val="1"/>
      <w:numFmt w:val="decimal"/>
      <w:lvlText w:val="%1.%2.%3.%4.%5.%6.%7.%8."/>
      <w:lvlJc w:val="left"/>
      <w:pPr>
        <w:tabs>
          <w:tab w:val="left" w:pos="3960"/>
        </w:tabs>
        <w:ind w:left="3744" w:hanging="1224"/>
      </w:pPr>
      <w:rPr>
        <w:rFonts w:hint="default"/>
      </w:rPr>
    </w:lvl>
    <w:lvl w:ilvl="8">
      <w:start w:val="1"/>
      <w:numFmt w:val="decimal"/>
      <w:lvlText w:val="%1.%2.%3.%4.%5.%6.%7.%8.%9."/>
      <w:lvlJc w:val="left"/>
      <w:pPr>
        <w:tabs>
          <w:tab w:val="left" w:pos="4680"/>
        </w:tabs>
        <w:ind w:left="4320" w:hanging="1440"/>
      </w:pPr>
      <w:rPr>
        <w:rFonts w:hint="default"/>
      </w:rPr>
    </w:lvl>
  </w:abstractNum>
  <w:abstractNum w:abstractNumId="68">
    <w:nsid w:val="717A21B9"/>
    <w:multiLevelType w:val="multilevel"/>
    <w:tmpl w:val="717A21B9"/>
    <w:lvl w:ilvl="0">
      <w:start w:val="1"/>
      <w:numFmt w:val="decimal"/>
      <w:lvlText w:val="%1)"/>
      <w:lvlJc w:val="left"/>
      <w:pPr>
        <w:tabs>
          <w:tab w:val="left" w:pos="1701"/>
        </w:tabs>
        <w:ind w:left="1701" w:hanging="621"/>
      </w:pPr>
      <w:rPr>
        <w:rFonts w:hint="eastAsia"/>
      </w:rPr>
    </w:lvl>
    <w:lvl w:ilvl="1">
      <w:start w:val="1"/>
      <w:numFmt w:val="lowerLetter"/>
      <w:lvlText w:val="%2)"/>
      <w:lvlJc w:val="left"/>
      <w:pPr>
        <w:tabs>
          <w:tab w:val="left" w:pos="1701"/>
        </w:tabs>
        <w:ind w:left="1701" w:hanging="621"/>
      </w:pPr>
      <w:rPr>
        <w:rFonts w:hint="default"/>
        <w:sz w:val="21"/>
        <w:szCs w:val="21"/>
      </w:r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69">
    <w:nsid w:val="76F61E66"/>
    <w:multiLevelType w:val="multilevel"/>
    <w:tmpl w:val="76F61E66"/>
    <w:lvl w:ilvl="0">
      <w:start w:val="1"/>
      <w:numFmt w:val="decimal"/>
      <w:lvlText w:val="%1)"/>
      <w:lvlJc w:val="left"/>
      <w:pPr>
        <w:tabs>
          <w:tab w:val="left" w:pos="1701"/>
        </w:tabs>
        <w:ind w:left="1701" w:hanging="621"/>
      </w:pPr>
      <w:rPr>
        <w:rFonts w:hint="eastAsia"/>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70">
    <w:nsid w:val="77EA0B86"/>
    <w:multiLevelType w:val="multilevel"/>
    <w:tmpl w:val="77EA0B86"/>
    <w:lvl w:ilvl="0">
      <w:start w:val="1"/>
      <w:numFmt w:val="decimal"/>
      <w:lvlText w:val="%1)"/>
      <w:lvlJc w:val="left"/>
      <w:pPr>
        <w:tabs>
          <w:tab w:val="left" w:pos="2520"/>
        </w:tabs>
        <w:ind w:left="2520" w:hanging="720"/>
      </w:pPr>
      <w:rPr>
        <w:rFonts w:ascii="Times New Roman" w:hAnsi="Times New Roman" w:hint="default"/>
        <w:sz w:val="21"/>
        <w:szCs w:val="21"/>
      </w:rPr>
    </w:lvl>
    <w:lvl w:ilvl="1">
      <w:start w:val="1"/>
      <w:numFmt w:val="lowerLetter"/>
      <w:lvlText w:val="%2)"/>
      <w:lvlJc w:val="left"/>
      <w:pPr>
        <w:tabs>
          <w:tab w:val="left" w:pos="2381"/>
        </w:tabs>
        <w:ind w:left="2381" w:hanging="567"/>
      </w:pPr>
      <w:rPr>
        <w:rFonts w:hint="default"/>
      </w:rPr>
    </w:lvl>
    <w:lvl w:ilvl="2">
      <w:start w:val="1"/>
      <w:numFmt w:val="lowerRoman"/>
      <w:lvlText w:val="%3."/>
      <w:lvlJc w:val="right"/>
      <w:pPr>
        <w:tabs>
          <w:tab w:val="left" w:pos="3240"/>
        </w:tabs>
        <w:ind w:left="3240" w:hanging="180"/>
      </w:pPr>
    </w:lvl>
    <w:lvl w:ilvl="3">
      <w:start w:val="1"/>
      <w:numFmt w:val="decimal"/>
      <w:lvlText w:val="%4."/>
      <w:lvlJc w:val="left"/>
      <w:pPr>
        <w:tabs>
          <w:tab w:val="left" w:pos="3960"/>
        </w:tabs>
        <w:ind w:left="3960" w:hanging="360"/>
      </w:pPr>
    </w:lvl>
    <w:lvl w:ilvl="4">
      <w:start w:val="1"/>
      <w:numFmt w:val="lowerLetter"/>
      <w:lvlText w:val="%5."/>
      <w:lvlJc w:val="left"/>
      <w:pPr>
        <w:tabs>
          <w:tab w:val="left" w:pos="4680"/>
        </w:tabs>
        <w:ind w:left="4680" w:hanging="360"/>
      </w:pPr>
    </w:lvl>
    <w:lvl w:ilvl="5">
      <w:start w:val="1"/>
      <w:numFmt w:val="lowerRoman"/>
      <w:lvlText w:val="%6."/>
      <w:lvlJc w:val="right"/>
      <w:pPr>
        <w:tabs>
          <w:tab w:val="left" w:pos="5400"/>
        </w:tabs>
        <w:ind w:left="5400" w:hanging="180"/>
      </w:pPr>
    </w:lvl>
    <w:lvl w:ilvl="6">
      <w:start w:val="1"/>
      <w:numFmt w:val="decimal"/>
      <w:lvlText w:val="%7."/>
      <w:lvlJc w:val="left"/>
      <w:pPr>
        <w:tabs>
          <w:tab w:val="left" w:pos="6120"/>
        </w:tabs>
        <w:ind w:left="6120" w:hanging="360"/>
      </w:pPr>
    </w:lvl>
    <w:lvl w:ilvl="7">
      <w:start w:val="1"/>
      <w:numFmt w:val="lowerLetter"/>
      <w:lvlText w:val="%8."/>
      <w:lvlJc w:val="left"/>
      <w:pPr>
        <w:tabs>
          <w:tab w:val="left" w:pos="6840"/>
        </w:tabs>
        <w:ind w:left="6840" w:hanging="360"/>
      </w:pPr>
    </w:lvl>
    <w:lvl w:ilvl="8">
      <w:start w:val="1"/>
      <w:numFmt w:val="lowerRoman"/>
      <w:lvlText w:val="%9."/>
      <w:lvlJc w:val="right"/>
      <w:pPr>
        <w:tabs>
          <w:tab w:val="left" w:pos="7560"/>
        </w:tabs>
        <w:ind w:left="7560" w:hanging="180"/>
      </w:pPr>
    </w:lvl>
  </w:abstractNum>
  <w:abstractNum w:abstractNumId="71">
    <w:nsid w:val="78604E36"/>
    <w:multiLevelType w:val="multilevel"/>
    <w:tmpl w:val="78604E36"/>
    <w:lvl w:ilvl="0">
      <w:start w:val="1"/>
      <w:numFmt w:val="decimal"/>
      <w:lvlText w:val="%1)"/>
      <w:lvlJc w:val="left"/>
      <w:pPr>
        <w:tabs>
          <w:tab w:val="left" w:pos="1620"/>
        </w:tabs>
        <w:ind w:left="1620" w:hanging="360"/>
      </w:pPr>
      <w:rPr>
        <w:rFonts w:ascii="Times New Roman" w:hAnsi="Times New Roman" w:cs="Times New Roman" w:hint="default"/>
      </w:rPr>
    </w:lvl>
    <w:lvl w:ilvl="1">
      <w:start w:val="1"/>
      <w:numFmt w:val="lowerLetter"/>
      <w:lvlText w:val="%2."/>
      <w:lvlJc w:val="left"/>
      <w:pPr>
        <w:tabs>
          <w:tab w:val="left" w:pos="1980"/>
        </w:tabs>
        <w:ind w:left="1980" w:hanging="360"/>
      </w:pPr>
    </w:lvl>
    <w:lvl w:ilvl="2">
      <w:start w:val="1"/>
      <w:numFmt w:val="lowerRoman"/>
      <w:lvlText w:val="%3."/>
      <w:lvlJc w:val="right"/>
      <w:pPr>
        <w:tabs>
          <w:tab w:val="left" w:pos="2700"/>
        </w:tabs>
        <w:ind w:left="2700" w:hanging="180"/>
      </w:pPr>
    </w:lvl>
    <w:lvl w:ilvl="3">
      <w:start w:val="1"/>
      <w:numFmt w:val="decimal"/>
      <w:lvlText w:val="%4."/>
      <w:lvlJc w:val="left"/>
      <w:pPr>
        <w:tabs>
          <w:tab w:val="left" w:pos="3420"/>
        </w:tabs>
        <w:ind w:left="3420" w:hanging="360"/>
      </w:pPr>
    </w:lvl>
    <w:lvl w:ilvl="4">
      <w:start w:val="1"/>
      <w:numFmt w:val="lowerLetter"/>
      <w:lvlText w:val="%5."/>
      <w:lvlJc w:val="left"/>
      <w:pPr>
        <w:tabs>
          <w:tab w:val="left" w:pos="4140"/>
        </w:tabs>
        <w:ind w:left="4140" w:hanging="360"/>
      </w:pPr>
    </w:lvl>
    <w:lvl w:ilvl="5">
      <w:start w:val="1"/>
      <w:numFmt w:val="lowerRoman"/>
      <w:lvlText w:val="%6."/>
      <w:lvlJc w:val="right"/>
      <w:pPr>
        <w:tabs>
          <w:tab w:val="left" w:pos="4860"/>
        </w:tabs>
        <w:ind w:left="4860" w:hanging="180"/>
      </w:pPr>
    </w:lvl>
    <w:lvl w:ilvl="6">
      <w:start w:val="1"/>
      <w:numFmt w:val="decimal"/>
      <w:lvlText w:val="%7."/>
      <w:lvlJc w:val="left"/>
      <w:pPr>
        <w:tabs>
          <w:tab w:val="left" w:pos="5580"/>
        </w:tabs>
        <w:ind w:left="5580" w:hanging="360"/>
      </w:pPr>
    </w:lvl>
    <w:lvl w:ilvl="7">
      <w:start w:val="1"/>
      <w:numFmt w:val="lowerLetter"/>
      <w:lvlText w:val="%8."/>
      <w:lvlJc w:val="left"/>
      <w:pPr>
        <w:tabs>
          <w:tab w:val="left" w:pos="6300"/>
        </w:tabs>
        <w:ind w:left="6300" w:hanging="360"/>
      </w:pPr>
    </w:lvl>
    <w:lvl w:ilvl="8">
      <w:start w:val="1"/>
      <w:numFmt w:val="lowerRoman"/>
      <w:lvlText w:val="%9."/>
      <w:lvlJc w:val="right"/>
      <w:pPr>
        <w:tabs>
          <w:tab w:val="left" w:pos="7020"/>
        </w:tabs>
        <w:ind w:left="7020" w:hanging="180"/>
      </w:pPr>
    </w:lvl>
  </w:abstractNum>
  <w:abstractNum w:abstractNumId="72">
    <w:nsid w:val="7972665E"/>
    <w:multiLevelType w:val="multilevel"/>
    <w:tmpl w:val="7972665E"/>
    <w:lvl w:ilvl="0">
      <w:start w:val="1"/>
      <w:numFmt w:val="decimal"/>
      <w:lvlText w:val="%1."/>
      <w:lvlJc w:val="left"/>
      <w:pPr>
        <w:tabs>
          <w:tab w:val="left" w:pos="1080"/>
        </w:tabs>
        <w:ind w:left="1080" w:hanging="1080"/>
      </w:pPr>
      <w:rPr>
        <w:rFonts w:ascii="Arial" w:hAnsi="Arial" w:hint="default"/>
        <w:b/>
        <w:sz w:val="20"/>
      </w:rPr>
    </w:lvl>
    <w:lvl w:ilvl="1">
      <w:start w:val="1"/>
      <w:numFmt w:val="decimal"/>
      <w:lvlText w:val="%1.%2"/>
      <w:lvlJc w:val="left"/>
      <w:pPr>
        <w:tabs>
          <w:tab w:val="left" w:pos="1080"/>
        </w:tabs>
        <w:ind w:left="1080" w:hanging="1080"/>
      </w:pPr>
      <w:rPr>
        <w:rFonts w:ascii="Arial" w:hAnsi="Arial" w:hint="default"/>
        <w:b/>
        <w:sz w:val="20"/>
      </w:rPr>
    </w:lvl>
    <w:lvl w:ilvl="2">
      <w:start w:val="1"/>
      <w:numFmt w:val="decimal"/>
      <w:lvlText w:val="%1.%2.%3"/>
      <w:lvlJc w:val="left"/>
      <w:pPr>
        <w:tabs>
          <w:tab w:val="left" w:pos="1080"/>
        </w:tabs>
        <w:ind w:left="1080" w:hanging="1080"/>
      </w:pPr>
      <w:rPr>
        <w:rFonts w:ascii="Arial" w:hAnsi="Arial" w:hint="default"/>
        <w:b/>
        <w:sz w:val="20"/>
      </w:rPr>
    </w:lvl>
    <w:lvl w:ilvl="3">
      <w:start w:val="1"/>
      <w:numFmt w:val="decimal"/>
      <w:pStyle w:val="Level20"/>
      <w:lvlText w:val="%1.%2.%3.%4"/>
      <w:lvlJc w:val="left"/>
      <w:pPr>
        <w:tabs>
          <w:tab w:val="left" w:pos="2016"/>
        </w:tabs>
        <w:ind w:left="2016" w:hanging="936"/>
      </w:pPr>
      <w:rPr>
        <w:rFonts w:ascii="Arial" w:hAnsi="Arial" w:hint="default"/>
        <w:b/>
        <w:sz w:val="20"/>
      </w:rPr>
    </w:lvl>
    <w:lvl w:ilvl="4">
      <w:start w:val="1"/>
      <w:numFmt w:val="none"/>
      <w:suff w:val="nothing"/>
      <w:lvlJc w:val="left"/>
      <w:pPr>
        <w:ind w:left="0" w:firstLine="0"/>
      </w:pPr>
      <w:rPr>
        <w:rFonts w:hint="default"/>
      </w:rPr>
    </w:lvl>
    <w:lvl w:ilvl="5">
      <w:start w:val="1"/>
      <w:numFmt w:val="none"/>
      <w:suff w:val="nothing"/>
      <w:lvlJc w:val="left"/>
      <w:pPr>
        <w:ind w:left="0" w:firstLine="0"/>
      </w:pPr>
      <w:rPr>
        <w:rFonts w:hint="default"/>
      </w:rPr>
    </w:lvl>
    <w:lvl w:ilvl="6">
      <w:start w:val="1"/>
      <w:numFmt w:val="none"/>
      <w:suff w:val="nothing"/>
      <w:lvlJc w:val="left"/>
      <w:pPr>
        <w:ind w:left="0" w:firstLine="0"/>
      </w:pPr>
      <w:rPr>
        <w:rFonts w:hint="default"/>
      </w:rPr>
    </w:lvl>
    <w:lvl w:ilvl="7">
      <w:start w:val="1"/>
      <w:numFmt w:val="none"/>
      <w:suff w:val="nothing"/>
      <w:lvlJc w:val="left"/>
      <w:pPr>
        <w:ind w:left="0" w:firstLine="0"/>
      </w:pPr>
      <w:rPr>
        <w:rFonts w:hint="default"/>
      </w:rPr>
    </w:lvl>
    <w:lvl w:ilvl="8">
      <w:start w:val="1"/>
      <w:numFmt w:val="none"/>
      <w:suff w:val="nothing"/>
      <w:lvlJc w:val="left"/>
      <w:pPr>
        <w:ind w:left="0" w:firstLine="0"/>
      </w:pPr>
      <w:rPr>
        <w:rFonts w:hint="default"/>
      </w:rPr>
    </w:lvl>
  </w:abstractNum>
  <w:abstractNum w:abstractNumId="73">
    <w:nsid w:val="7B6A57A9"/>
    <w:multiLevelType w:val="multilevel"/>
    <w:tmpl w:val="7B6A57A9"/>
    <w:lvl w:ilvl="0">
      <w:start w:val="1"/>
      <w:numFmt w:val="decimal"/>
      <w:lvlText w:val="%1)"/>
      <w:lvlJc w:val="left"/>
      <w:pPr>
        <w:tabs>
          <w:tab w:val="left" w:pos="1701"/>
        </w:tabs>
        <w:ind w:left="1701" w:hanging="621"/>
      </w:pPr>
      <w:rPr>
        <w:rFonts w:hint="eastAsia"/>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74">
    <w:nsid w:val="7CFC26EA"/>
    <w:multiLevelType w:val="multilevel"/>
    <w:tmpl w:val="7CFC26EA"/>
    <w:lvl w:ilvl="0">
      <w:start w:val="6"/>
      <w:numFmt w:val="decimal"/>
      <w:lvlText w:val="%1"/>
      <w:lvlJc w:val="left"/>
      <w:pPr>
        <w:tabs>
          <w:tab w:val="left" w:pos="1253"/>
        </w:tabs>
        <w:ind w:left="1253" w:hanging="720"/>
      </w:pPr>
      <w:rPr>
        <w:rFonts w:ascii="Times New Roman Bold" w:hAnsi="Times New Roman Bold" w:hint="default"/>
        <w:b/>
        <w:i w:val="0"/>
        <w:color w:val="auto"/>
        <w:sz w:val="22"/>
      </w:rPr>
    </w:lvl>
    <w:lvl w:ilvl="1">
      <w:start w:val="1"/>
      <w:numFmt w:val="decimal"/>
      <w:lvlText w:val="%1.%2"/>
      <w:lvlJc w:val="left"/>
      <w:pPr>
        <w:tabs>
          <w:tab w:val="left" w:pos="2102"/>
        </w:tabs>
        <w:ind w:left="2102" w:hanging="849"/>
      </w:pPr>
      <w:rPr>
        <w:rFonts w:ascii="Arial Black" w:hAnsi="Arial Black" w:hint="default"/>
        <w:b w:val="0"/>
        <w:i w:val="0"/>
        <w:sz w:val="20"/>
      </w:rPr>
    </w:lvl>
    <w:lvl w:ilvl="2">
      <w:start w:val="1"/>
      <w:numFmt w:val="decimal"/>
      <w:lvlText w:val="%1.%2.%3"/>
      <w:lvlJc w:val="left"/>
      <w:pPr>
        <w:tabs>
          <w:tab w:val="left" w:pos="2102"/>
        </w:tabs>
        <w:ind w:left="2102" w:hanging="849"/>
      </w:pPr>
      <w:rPr>
        <w:rFonts w:ascii="Arial Black" w:hAnsi="Arial Black" w:hint="default"/>
        <w:b w:val="0"/>
        <w:i w:val="0"/>
        <w:sz w:val="18"/>
      </w:rPr>
    </w:lvl>
    <w:lvl w:ilvl="3">
      <w:start w:val="1"/>
      <w:numFmt w:val="decimal"/>
      <w:pStyle w:val="SubLevel4"/>
      <w:lvlText w:val="%1.%2.%3.%4"/>
      <w:lvlJc w:val="left"/>
      <w:pPr>
        <w:tabs>
          <w:tab w:val="left" w:pos="2304"/>
        </w:tabs>
        <w:ind w:left="2304" w:hanging="1051"/>
      </w:pPr>
      <w:rPr>
        <w:rFonts w:ascii="Arial Black" w:hAnsi="Arial Black" w:hint="default"/>
        <w:b w:val="0"/>
        <w:i w:val="0"/>
        <w:sz w:val="18"/>
      </w:rPr>
    </w:lvl>
    <w:lvl w:ilvl="4">
      <w:start w:val="1"/>
      <w:numFmt w:val="decimal"/>
      <w:lvlText w:val="%1.%2.%3.%4.%5"/>
      <w:lvlJc w:val="left"/>
      <w:pPr>
        <w:tabs>
          <w:tab w:val="left" w:pos="1852"/>
        </w:tabs>
        <w:ind w:left="1852" w:hanging="1080"/>
      </w:pPr>
      <w:rPr>
        <w:rFonts w:hint="default"/>
      </w:rPr>
    </w:lvl>
    <w:lvl w:ilvl="5">
      <w:start w:val="1"/>
      <w:numFmt w:val="decimal"/>
      <w:lvlText w:val="%1.%2.%3.%4.%5.%6"/>
      <w:lvlJc w:val="left"/>
      <w:pPr>
        <w:tabs>
          <w:tab w:val="left" w:pos="1852"/>
        </w:tabs>
        <w:ind w:left="1852" w:hanging="1080"/>
      </w:pPr>
      <w:rPr>
        <w:rFonts w:hint="default"/>
      </w:rPr>
    </w:lvl>
    <w:lvl w:ilvl="6">
      <w:start w:val="1"/>
      <w:numFmt w:val="decimal"/>
      <w:lvlText w:val="%1.%2.%3.%4.%5.%6.%7"/>
      <w:lvlJc w:val="left"/>
      <w:pPr>
        <w:tabs>
          <w:tab w:val="left" w:pos="2212"/>
        </w:tabs>
        <w:ind w:left="2212" w:hanging="1440"/>
      </w:pPr>
      <w:rPr>
        <w:rFonts w:hint="default"/>
      </w:rPr>
    </w:lvl>
    <w:lvl w:ilvl="7">
      <w:start w:val="1"/>
      <w:numFmt w:val="decimal"/>
      <w:lvlText w:val="%1.%2.%3.%4.%5.%6.%7.%8"/>
      <w:lvlJc w:val="left"/>
      <w:pPr>
        <w:tabs>
          <w:tab w:val="left" w:pos="2212"/>
        </w:tabs>
        <w:ind w:left="2212" w:hanging="1440"/>
      </w:pPr>
      <w:rPr>
        <w:rFonts w:hint="default"/>
      </w:rPr>
    </w:lvl>
    <w:lvl w:ilvl="8">
      <w:start w:val="1"/>
      <w:numFmt w:val="decimal"/>
      <w:lvlText w:val="%1.%2.%3.%4.%5.%6.%7.%8.%9"/>
      <w:lvlJc w:val="left"/>
      <w:pPr>
        <w:tabs>
          <w:tab w:val="left" w:pos="2212"/>
        </w:tabs>
        <w:ind w:left="2212" w:hanging="1440"/>
      </w:pPr>
      <w:rPr>
        <w:rFonts w:hint="default"/>
      </w:rPr>
    </w:lvl>
  </w:abstractNum>
  <w:num w:numId="1">
    <w:abstractNumId w:val="57"/>
  </w:num>
  <w:num w:numId="2">
    <w:abstractNumId w:val="23"/>
  </w:num>
  <w:num w:numId="3">
    <w:abstractNumId w:val="3"/>
  </w:num>
  <w:num w:numId="4">
    <w:abstractNumId w:val="5"/>
  </w:num>
  <w:num w:numId="5">
    <w:abstractNumId w:val="8"/>
  </w:num>
  <w:num w:numId="6">
    <w:abstractNumId w:val="9"/>
  </w:num>
  <w:num w:numId="7">
    <w:abstractNumId w:val="6"/>
  </w:num>
  <w:num w:numId="8">
    <w:abstractNumId w:val="2"/>
  </w:num>
  <w:num w:numId="9">
    <w:abstractNumId w:val="7"/>
  </w:num>
  <w:num w:numId="10">
    <w:abstractNumId w:val="4"/>
  </w:num>
  <w:num w:numId="11">
    <w:abstractNumId w:val="1"/>
  </w:num>
  <w:num w:numId="12">
    <w:abstractNumId w:val="0"/>
  </w:num>
  <w:num w:numId="13">
    <w:abstractNumId w:val="50"/>
  </w:num>
  <w:num w:numId="14">
    <w:abstractNumId w:val="24"/>
  </w:num>
  <w:num w:numId="15">
    <w:abstractNumId w:val="67"/>
  </w:num>
  <w:num w:numId="16">
    <w:abstractNumId w:val="37"/>
  </w:num>
  <w:num w:numId="17">
    <w:abstractNumId w:val="72"/>
  </w:num>
  <w:num w:numId="18">
    <w:abstractNumId w:val="30"/>
  </w:num>
  <w:num w:numId="19">
    <w:abstractNumId w:val="49"/>
  </w:num>
  <w:num w:numId="20">
    <w:abstractNumId w:val="45"/>
  </w:num>
  <w:num w:numId="21">
    <w:abstractNumId w:val="17"/>
  </w:num>
  <w:num w:numId="22">
    <w:abstractNumId w:val="74"/>
  </w:num>
  <w:num w:numId="23">
    <w:abstractNumId w:val="33"/>
  </w:num>
  <w:num w:numId="24">
    <w:abstractNumId w:val="34"/>
  </w:num>
  <w:num w:numId="25">
    <w:abstractNumId w:val="63"/>
  </w:num>
  <w:num w:numId="26">
    <w:abstractNumId w:val="54"/>
  </w:num>
  <w:num w:numId="27">
    <w:abstractNumId w:val="20"/>
  </w:num>
  <w:num w:numId="28">
    <w:abstractNumId w:val="31"/>
  </w:num>
  <w:num w:numId="29">
    <w:abstractNumId w:val="71"/>
  </w:num>
  <w:num w:numId="30">
    <w:abstractNumId w:val="58"/>
  </w:num>
  <w:num w:numId="31">
    <w:abstractNumId w:val="18"/>
  </w:num>
  <w:num w:numId="32">
    <w:abstractNumId w:val="38"/>
  </w:num>
  <w:num w:numId="33">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39"/>
  </w:num>
  <w:num w:numId="35">
    <w:abstractNumId w:val="26"/>
  </w:num>
  <w:num w:numId="36">
    <w:abstractNumId w:val="66"/>
  </w:num>
  <w:num w:numId="37">
    <w:abstractNumId w:val="15"/>
  </w:num>
  <w:num w:numId="38">
    <w:abstractNumId w:val="25"/>
  </w:num>
  <w:num w:numId="39">
    <w:abstractNumId w:val="41"/>
  </w:num>
  <w:num w:numId="40">
    <w:abstractNumId w:val="70"/>
  </w:num>
  <w:num w:numId="41">
    <w:abstractNumId w:val="35"/>
  </w:num>
  <w:num w:numId="42">
    <w:abstractNumId w:val="19"/>
  </w:num>
  <w:num w:numId="43">
    <w:abstractNumId w:val="28"/>
  </w:num>
  <w:num w:numId="44">
    <w:abstractNumId w:val="10"/>
  </w:num>
  <w:num w:numId="45">
    <w:abstractNumId w:val="52"/>
  </w:num>
  <w:num w:numId="46">
    <w:abstractNumId w:val="69"/>
  </w:num>
  <w:num w:numId="47">
    <w:abstractNumId w:val="21"/>
  </w:num>
  <w:num w:numId="48">
    <w:abstractNumId w:val="42"/>
  </w:num>
  <w:num w:numId="49">
    <w:abstractNumId w:val="55"/>
  </w:num>
  <w:num w:numId="50">
    <w:abstractNumId w:val="13"/>
  </w:num>
  <w:num w:numId="51">
    <w:abstractNumId w:val="68"/>
  </w:num>
  <w:num w:numId="52">
    <w:abstractNumId w:val="64"/>
  </w:num>
  <w:num w:numId="53">
    <w:abstractNumId w:val="40"/>
  </w:num>
  <w:num w:numId="54">
    <w:abstractNumId w:val="29"/>
  </w:num>
  <w:num w:numId="55">
    <w:abstractNumId w:val="51"/>
  </w:num>
  <w:num w:numId="56">
    <w:abstractNumId w:val="73"/>
  </w:num>
  <w:num w:numId="57">
    <w:abstractNumId w:val="46"/>
  </w:num>
  <w:num w:numId="58">
    <w:abstractNumId w:val="12"/>
  </w:num>
  <w:num w:numId="59">
    <w:abstractNumId w:val="36"/>
  </w:num>
  <w:num w:numId="60">
    <w:abstractNumId w:val="61"/>
  </w:num>
  <w:num w:numId="61">
    <w:abstractNumId w:val="53"/>
  </w:num>
  <w:num w:numId="62">
    <w:abstractNumId w:val="16"/>
  </w:num>
  <w:num w:numId="63">
    <w:abstractNumId w:val="22"/>
  </w:num>
  <w:num w:numId="64">
    <w:abstractNumId w:val="47"/>
  </w:num>
  <w:num w:numId="65">
    <w:abstractNumId w:val="62"/>
  </w:num>
  <w:num w:numId="66">
    <w:abstractNumId w:val="43"/>
  </w:num>
  <w:num w:numId="67">
    <w:abstractNumId w:val="65"/>
  </w:num>
  <w:num w:numId="68">
    <w:abstractNumId w:val="60"/>
  </w:num>
  <w:num w:numId="69">
    <w:abstractNumId w:val="48"/>
  </w:num>
  <w:num w:numId="70">
    <w:abstractNumId w:val="32"/>
  </w:num>
  <w:num w:numId="71">
    <w:abstractNumId w:val="44"/>
  </w:num>
  <w:num w:numId="72">
    <w:abstractNumId w:val="56"/>
  </w:num>
  <w:num w:numId="73">
    <w:abstractNumId w:val="27"/>
  </w:num>
  <w:num w:numId="74">
    <w:abstractNumId w:val="59"/>
  </w:num>
  <w:num w:numId="75">
    <w:abstractNumId w:val="11"/>
  </w:num>
  <w:num w:numId="76">
    <w:abstractNumId w:val="14"/>
  </w:num>
  <w:numIdMacAtCleanup w:val="7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hideSpellingErrors/>
  <w:zoom w:percent="140"/>
  <w:bordersDoNotSurroundHeader/>
  <w:bordersDoNotSurroundFooter/>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35CC"/>
    <w:rsid w:val="0000549C"/>
    <w:rsid w:val="00007414"/>
    <w:rsid w:val="00011FA7"/>
    <w:rsid w:val="00013881"/>
    <w:rsid w:val="00014659"/>
    <w:rsid w:val="000233EC"/>
    <w:rsid w:val="00023543"/>
    <w:rsid w:val="00024210"/>
    <w:rsid w:val="0002486B"/>
    <w:rsid w:val="000255E9"/>
    <w:rsid w:val="00026E9C"/>
    <w:rsid w:val="00027C5A"/>
    <w:rsid w:val="00027F41"/>
    <w:rsid w:val="0003135C"/>
    <w:rsid w:val="00031FF3"/>
    <w:rsid w:val="00032B4D"/>
    <w:rsid w:val="00035D91"/>
    <w:rsid w:val="000363BA"/>
    <w:rsid w:val="000374C7"/>
    <w:rsid w:val="00040390"/>
    <w:rsid w:val="00041367"/>
    <w:rsid w:val="00042CC1"/>
    <w:rsid w:val="00043A61"/>
    <w:rsid w:val="000500A3"/>
    <w:rsid w:val="00050A5E"/>
    <w:rsid w:val="00051CBE"/>
    <w:rsid w:val="00054571"/>
    <w:rsid w:val="0005613A"/>
    <w:rsid w:val="00056147"/>
    <w:rsid w:val="000565AD"/>
    <w:rsid w:val="000604D3"/>
    <w:rsid w:val="00060758"/>
    <w:rsid w:val="00060AEF"/>
    <w:rsid w:val="000617F6"/>
    <w:rsid w:val="00063B69"/>
    <w:rsid w:val="00063CCE"/>
    <w:rsid w:val="0006523E"/>
    <w:rsid w:val="00067597"/>
    <w:rsid w:val="00067A38"/>
    <w:rsid w:val="00067D17"/>
    <w:rsid w:val="00073586"/>
    <w:rsid w:val="0007399D"/>
    <w:rsid w:val="00073A4D"/>
    <w:rsid w:val="00080387"/>
    <w:rsid w:val="00080E19"/>
    <w:rsid w:val="00082019"/>
    <w:rsid w:val="0008210B"/>
    <w:rsid w:val="000844FD"/>
    <w:rsid w:val="000847B5"/>
    <w:rsid w:val="00084BF0"/>
    <w:rsid w:val="00087B40"/>
    <w:rsid w:val="00090E32"/>
    <w:rsid w:val="00093DD6"/>
    <w:rsid w:val="000942A6"/>
    <w:rsid w:val="0009466F"/>
    <w:rsid w:val="000A03C9"/>
    <w:rsid w:val="000A1805"/>
    <w:rsid w:val="000A18FE"/>
    <w:rsid w:val="000A445B"/>
    <w:rsid w:val="000A5696"/>
    <w:rsid w:val="000A5A80"/>
    <w:rsid w:val="000B1205"/>
    <w:rsid w:val="000B1B73"/>
    <w:rsid w:val="000B1E84"/>
    <w:rsid w:val="000B2D59"/>
    <w:rsid w:val="000B35DE"/>
    <w:rsid w:val="000B4B92"/>
    <w:rsid w:val="000B5624"/>
    <w:rsid w:val="000B69E6"/>
    <w:rsid w:val="000C7C48"/>
    <w:rsid w:val="000D2262"/>
    <w:rsid w:val="000D31E5"/>
    <w:rsid w:val="000D3540"/>
    <w:rsid w:val="000D4D41"/>
    <w:rsid w:val="000E7776"/>
    <w:rsid w:val="000F2F6E"/>
    <w:rsid w:val="000F37A8"/>
    <w:rsid w:val="000F68D3"/>
    <w:rsid w:val="000F784E"/>
    <w:rsid w:val="00100F08"/>
    <w:rsid w:val="00103172"/>
    <w:rsid w:val="001033AB"/>
    <w:rsid w:val="0010681B"/>
    <w:rsid w:val="00113025"/>
    <w:rsid w:val="001143BC"/>
    <w:rsid w:val="001163F3"/>
    <w:rsid w:val="00117F11"/>
    <w:rsid w:val="0012337A"/>
    <w:rsid w:val="00125F3D"/>
    <w:rsid w:val="001311EB"/>
    <w:rsid w:val="00144F51"/>
    <w:rsid w:val="00146F6C"/>
    <w:rsid w:val="00150587"/>
    <w:rsid w:val="00152489"/>
    <w:rsid w:val="001561B5"/>
    <w:rsid w:val="00160496"/>
    <w:rsid w:val="00162C06"/>
    <w:rsid w:val="0016575B"/>
    <w:rsid w:val="00167F66"/>
    <w:rsid w:val="00170A6B"/>
    <w:rsid w:val="0017155E"/>
    <w:rsid w:val="001737AD"/>
    <w:rsid w:val="00173D6E"/>
    <w:rsid w:val="001760B3"/>
    <w:rsid w:val="0017658C"/>
    <w:rsid w:val="00181733"/>
    <w:rsid w:val="00186ADD"/>
    <w:rsid w:val="00187C47"/>
    <w:rsid w:val="00192936"/>
    <w:rsid w:val="0019300F"/>
    <w:rsid w:val="001931DB"/>
    <w:rsid w:val="0019364B"/>
    <w:rsid w:val="0019393C"/>
    <w:rsid w:val="001A012F"/>
    <w:rsid w:val="001A348F"/>
    <w:rsid w:val="001A372F"/>
    <w:rsid w:val="001C151A"/>
    <w:rsid w:val="001C3861"/>
    <w:rsid w:val="001C76B1"/>
    <w:rsid w:val="001D0ECF"/>
    <w:rsid w:val="001D2761"/>
    <w:rsid w:val="001D5933"/>
    <w:rsid w:val="001D5D80"/>
    <w:rsid w:val="001E07F1"/>
    <w:rsid w:val="001E1FB2"/>
    <w:rsid w:val="001E40E7"/>
    <w:rsid w:val="001E4FD7"/>
    <w:rsid w:val="001E510A"/>
    <w:rsid w:val="001E76AD"/>
    <w:rsid w:val="001F2018"/>
    <w:rsid w:val="001F3212"/>
    <w:rsid w:val="001F6C49"/>
    <w:rsid w:val="00204EC2"/>
    <w:rsid w:val="00205014"/>
    <w:rsid w:val="00205DDB"/>
    <w:rsid w:val="00207087"/>
    <w:rsid w:val="00207EEE"/>
    <w:rsid w:val="00210035"/>
    <w:rsid w:val="00210F88"/>
    <w:rsid w:val="0021142A"/>
    <w:rsid w:val="00212146"/>
    <w:rsid w:val="00212745"/>
    <w:rsid w:val="002206E0"/>
    <w:rsid w:val="002217CA"/>
    <w:rsid w:val="00223B7A"/>
    <w:rsid w:val="0022424B"/>
    <w:rsid w:val="00224627"/>
    <w:rsid w:val="00225920"/>
    <w:rsid w:val="002263E9"/>
    <w:rsid w:val="00227410"/>
    <w:rsid w:val="00230730"/>
    <w:rsid w:val="00242935"/>
    <w:rsid w:val="00243D03"/>
    <w:rsid w:val="002456A2"/>
    <w:rsid w:val="00246AE6"/>
    <w:rsid w:val="00247D19"/>
    <w:rsid w:val="00250786"/>
    <w:rsid w:val="00254A5B"/>
    <w:rsid w:val="0025510C"/>
    <w:rsid w:val="00255B2F"/>
    <w:rsid w:val="00255B40"/>
    <w:rsid w:val="00257A8D"/>
    <w:rsid w:val="00262B99"/>
    <w:rsid w:val="00263383"/>
    <w:rsid w:val="0026381D"/>
    <w:rsid w:val="00264369"/>
    <w:rsid w:val="002654C3"/>
    <w:rsid w:val="002654FD"/>
    <w:rsid w:val="00267643"/>
    <w:rsid w:val="00270622"/>
    <w:rsid w:val="00272A38"/>
    <w:rsid w:val="00276D65"/>
    <w:rsid w:val="00276F86"/>
    <w:rsid w:val="0028150C"/>
    <w:rsid w:val="0028211A"/>
    <w:rsid w:val="00282142"/>
    <w:rsid w:val="00284327"/>
    <w:rsid w:val="00284580"/>
    <w:rsid w:val="00285B4E"/>
    <w:rsid w:val="0029128D"/>
    <w:rsid w:val="0029656F"/>
    <w:rsid w:val="002A03C4"/>
    <w:rsid w:val="002A0868"/>
    <w:rsid w:val="002A2136"/>
    <w:rsid w:val="002A2FAF"/>
    <w:rsid w:val="002A3D18"/>
    <w:rsid w:val="002A3F30"/>
    <w:rsid w:val="002B25CA"/>
    <w:rsid w:val="002B654A"/>
    <w:rsid w:val="002B6E25"/>
    <w:rsid w:val="002B71C4"/>
    <w:rsid w:val="002C01BF"/>
    <w:rsid w:val="002C07CB"/>
    <w:rsid w:val="002C13EC"/>
    <w:rsid w:val="002C1DEE"/>
    <w:rsid w:val="002C5AA1"/>
    <w:rsid w:val="002C5F3F"/>
    <w:rsid w:val="002D411B"/>
    <w:rsid w:val="002D4D94"/>
    <w:rsid w:val="002D4FBF"/>
    <w:rsid w:val="002D5016"/>
    <w:rsid w:val="002E3F58"/>
    <w:rsid w:val="002F0C1F"/>
    <w:rsid w:val="002F1556"/>
    <w:rsid w:val="002F16A4"/>
    <w:rsid w:val="002F725E"/>
    <w:rsid w:val="003001E6"/>
    <w:rsid w:val="00300272"/>
    <w:rsid w:val="003018AF"/>
    <w:rsid w:val="003038A7"/>
    <w:rsid w:val="003053A3"/>
    <w:rsid w:val="003059F2"/>
    <w:rsid w:val="00313F49"/>
    <w:rsid w:val="00314649"/>
    <w:rsid w:val="0031477F"/>
    <w:rsid w:val="00315583"/>
    <w:rsid w:val="00315EEC"/>
    <w:rsid w:val="00315FB0"/>
    <w:rsid w:val="0031687A"/>
    <w:rsid w:val="003207E3"/>
    <w:rsid w:val="0032436D"/>
    <w:rsid w:val="00325DDB"/>
    <w:rsid w:val="00330A80"/>
    <w:rsid w:val="00331E50"/>
    <w:rsid w:val="00334362"/>
    <w:rsid w:val="00334867"/>
    <w:rsid w:val="0034274E"/>
    <w:rsid w:val="00351C30"/>
    <w:rsid w:val="00357A0F"/>
    <w:rsid w:val="00360595"/>
    <w:rsid w:val="00362E44"/>
    <w:rsid w:val="00362F41"/>
    <w:rsid w:val="00363BEF"/>
    <w:rsid w:val="0036667D"/>
    <w:rsid w:val="003703D3"/>
    <w:rsid w:val="00370CB3"/>
    <w:rsid w:val="0038036A"/>
    <w:rsid w:val="00382D64"/>
    <w:rsid w:val="00382F48"/>
    <w:rsid w:val="003845C7"/>
    <w:rsid w:val="00384ACE"/>
    <w:rsid w:val="00384FEA"/>
    <w:rsid w:val="00385FFE"/>
    <w:rsid w:val="00392CEC"/>
    <w:rsid w:val="003944DA"/>
    <w:rsid w:val="00394F41"/>
    <w:rsid w:val="00395CCD"/>
    <w:rsid w:val="00396B04"/>
    <w:rsid w:val="003A00C5"/>
    <w:rsid w:val="003A2E81"/>
    <w:rsid w:val="003A394E"/>
    <w:rsid w:val="003A4BE7"/>
    <w:rsid w:val="003A4DDA"/>
    <w:rsid w:val="003B0588"/>
    <w:rsid w:val="003B3A53"/>
    <w:rsid w:val="003C1E32"/>
    <w:rsid w:val="003C2A1B"/>
    <w:rsid w:val="003C389A"/>
    <w:rsid w:val="003C494C"/>
    <w:rsid w:val="003C5804"/>
    <w:rsid w:val="003C7106"/>
    <w:rsid w:val="003D0603"/>
    <w:rsid w:val="003D38C8"/>
    <w:rsid w:val="003D465B"/>
    <w:rsid w:val="003D5A98"/>
    <w:rsid w:val="003E0FAD"/>
    <w:rsid w:val="003E2903"/>
    <w:rsid w:val="003E2DF2"/>
    <w:rsid w:val="003E2E24"/>
    <w:rsid w:val="003E7B89"/>
    <w:rsid w:val="003F3B4E"/>
    <w:rsid w:val="003F62C1"/>
    <w:rsid w:val="004025F1"/>
    <w:rsid w:val="00410653"/>
    <w:rsid w:val="0041175C"/>
    <w:rsid w:val="004137AE"/>
    <w:rsid w:val="00417B1C"/>
    <w:rsid w:val="00422D00"/>
    <w:rsid w:val="00423938"/>
    <w:rsid w:val="0042408D"/>
    <w:rsid w:val="00431DA5"/>
    <w:rsid w:val="00440878"/>
    <w:rsid w:val="004415AE"/>
    <w:rsid w:val="0044213F"/>
    <w:rsid w:val="00442755"/>
    <w:rsid w:val="00443AB2"/>
    <w:rsid w:val="00444AA2"/>
    <w:rsid w:val="00446602"/>
    <w:rsid w:val="00447697"/>
    <w:rsid w:val="00453C4D"/>
    <w:rsid w:val="004603DB"/>
    <w:rsid w:val="004616A7"/>
    <w:rsid w:val="00472F5E"/>
    <w:rsid w:val="00476DB9"/>
    <w:rsid w:val="00484260"/>
    <w:rsid w:val="0048627E"/>
    <w:rsid w:val="004912E8"/>
    <w:rsid w:val="004A01E2"/>
    <w:rsid w:val="004A3F57"/>
    <w:rsid w:val="004A3F63"/>
    <w:rsid w:val="004A5AC2"/>
    <w:rsid w:val="004A620B"/>
    <w:rsid w:val="004A658C"/>
    <w:rsid w:val="004A6FD7"/>
    <w:rsid w:val="004A78DE"/>
    <w:rsid w:val="004B1C32"/>
    <w:rsid w:val="004B285C"/>
    <w:rsid w:val="004B3609"/>
    <w:rsid w:val="004B4577"/>
    <w:rsid w:val="004B5CA9"/>
    <w:rsid w:val="004C0410"/>
    <w:rsid w:val="004C0589"/>
    <w:rsid w:val="004C243F"/>
    <w:rsid w:val="004C2894"/>
    <w:rsid w:val="004C3796"/>
    <w:rsid w:val="004C4B41"/>
    <w:rsid w:val="004C6C3D"/>
    <w:rsid w:val="004D0329"/>
    <w:rsid w:val="004D0F11"/>
    <w:rsid w:val="004D2660"/>
    <w:rsid w:val="004D28A6"/>
    <w:rsid w:val="004D3704"/>
    <w:rsid w:val="004E122F"/>
    <w:rsid w:val="004E3D95"/>
    <w:rsid w:val="004E41F8"/>
    <w:rsid w:val="004E669F"/>
    <w:rsid w:val="004E7F93"/>
    <w:rsid w:val="004F1485"/>
    <w:rsid w:val="004F512C"/>
    <w:rsid w:val="004F7FCC"/>
    <w:rsid w:val="0050191F"/>
    <w:rsid w:val="00502B4F"/>
    <w:rsid w:val="00503253"/>
    <w:rsid w:val="00503275"/>
    <w:rsid w:val="005106AD"/>
    <w:rsid w:val="00510E49"/>
    <w:rsid w:val="005131AD"/>
    <w:rsid w:val="0051365A"/>
    <w:rsid w:val="005145B2"/>
    <w:rsid w:val="00514746"/>
    <w:rsid w:val="00514F29"/>
    <w:rsid w:val="00517351"/>
    <w:rsid w:val="0052639F"/>
    <w:rsid w:val="00527359"/>
    <w:rsid w:val="0053301F"/>
    <w:rsid w:val="00533F63"/>
    <w:rsid w:val="00540335"/>
    <w:rsid w:val="005424DF"/>
    <w:rsid w:val="00545E4D"/>
    <w:rsid w:val="005537F6"/>
    <w:rsid w:val="005542F7"/>
    <w:rsid w:val="00560E7E"/>
    <w:rsid w:val="00561E11"/>
    <w:rsid w:val="005639D1"/>
    <w:rsid w:val="00564BB9"/>
    <w:rsid w:val="00565BCD"/>
    <w:rsid w:val="00567D7A"/>
    <w:rsid w:val="00570292"/>
    <w:rsid w:val="0057130F"/>
    <w:rsid w:val="00572960"/>
    <w:rsid w:val="00573C9B"/>
    <w:rsid w:val="00573EB3"/>
    <w:rsid w:val="00574001"/>
    <w:rsid w:val="00574BC6"/>
    <w:rsid w:val="00577B91"/>
    <w:rsid w:val="0058120C"/>
    <w:rsid w:val="005879FC"/>
    <w:rsid w:val="00593AA1"/>
    <w:rsid w:val="00593B35"/>
    <w:rsid w:val="00595271"/>
    <w:rsid w:val="00596D4E"/>
    <w:rsid w:val="00596D8C"/>
    <w:rsid w:val="00596F8A"/>
    <w:rsid w:val="005A5C8B"/>
    <w:rsid w:val="005B1D62"/>
    <w:rsid w:val="005B1F2D"/>
    <w:rsid w:val="005B2C93"/>
    <w:rsid w:val="005B3725"/>
    <w:rsid w:val="005B3D42"/>
    <w:rsid w:val="005B5DF3"/>
    <w:rsid w:val="005B6DF3"/>
    <w:rsid w:val="005B72DB"/>
    <w:rsid w:val="005C117F"/>
    <w:rsid w:val="005C128F"/>
    <w:rsid w:val="005C4830"/>
    <w:rsid w:val="005D0605"/>
    <w:rsid w:val="005D2C2C"/>
    <w:rsid w:val="005D47AF"/>
    <w:rsid w:val="005D6A25"/>
    <w:rsid w:val="005E11FF"/>
    <w:rsid w:val="005E26A4"/>
    <w:rsid w:val="005E64A0"/>
    <w:rsid w:val="005F1FD4"/>
    <w:rsid w:val="005F48D0"/>
    <w:rsid w:val="005F6896"/>
    <w:rsid w:val="00602EF8"/>
    <w:rsid w:val="0060345A"/>
    <w:rsid w:val="00607F56"/>
    <w:rsid w:val="00610371"/>
    <w:rsid w:val="00611E29"/>
    <w:rsid w:val="00612439"/>
    <w:rsid w:val="00615D7B"/>
    <w:rsid w:val="0061733C"/>
    <w:rsid w:val="00620B89"/>
    <w:rsid w:val="006219A9"/>
    <w:rsid w:val="00621C81"/>
    <w:rsid w:val="00625E43"/>
    <w:rsid w:val="006260BD"/>
    <w:rsid w:val="006327FE"/>
    <w:rsid w:val="0063442B"/>
    <w:rsid w:val="00650812"/>
    <w:rsid w:val="006523A8"/>
    <w:rsid w:val="0065563D"/>
    <w:rsid w:val="006564AD"/>
    <w:rsid w:val="006574DC"/>
    <w:rsid w:val="00657ED0"/>
    <w:rsid w:val="0066267B"/>
    <w:rsid w:val="006628EB"/>
    <w:rsid w:val="00663852"/>
    <w:rsid w:val="006646E8"/>
    <w:rsid w:val="006672C5"/>
    <w:rsid w:val="006678B7"/>
    <w:rsid w:val="006704C8"/>
    <w:rsid w:val="006730D2"/>
    <w:rsid w:val="00673738"/>
    <w:rsid w:val="00675D4D"/>
    <w:rsid w:val="00677DC4"/>
    <w:rsid w:val="00682267"/>
    <w:rsid w:val="00682B7E"/>
    <w:rsid w:val="00682EAD"/>
    <w:rsid w:val="00682FFA"/>
    <w:rsid w:val="00683F50"/>
    <w:rsid w:val="00684664"/>
    <w:rsid w:val="00684B01"/>
    <w:rsid w:val="006868F3"/>
    <w:rsid w:val="006921A7"/>
    <w:rsid w:val="006A3595"/>
    <w:rsid w:val="006A515D"/>
    <w:rsid w:val="006A6159"/>
    <w:rsid w:val="006B4324"/>
    <w:rsid w:val="006B6163"/>
    <w:rsid w:val="006B6A80"/>
    <w:rsid w:val="006B738F"/>
    <w:rsid w:val="006C395F"/>
    <w:rsid w:val="006C7AA8"/>
    <w:rsid w:val="006D1C54"/>
    <w:rsid w:val="006E0309"/>
    <w:rsid w:val="006E784B"/>
    <w:rsid w:val="006F17C2"/>
    <w:rsid w:val="006F4258"/>
    <w:rsid w:val="006F5AF7"/>
    <w:rsid w:val="006F6945"/>
    <w:rsid w:val="006F70C7"/>
    <w:rsid w:val="006F773D"/>
    <w:rsid w:val="00701A4C"/>
    <w:rsid w:val="0070372E"/>
    <w:rsid w:val="0070372F"/>
    <w:rsid w:val="00703DA1"/>
    <w:rsid w:val="0071117D"/>
    <w:rsid w:val="00712344"/>
    <w:rsid w:val="007135FF"/>
    <w:rsid w:val="00714161"/>
    <w:rsid w:val="00721B35"/>
    <w:rsid w:val="007235F6"/>
    <w:rsid w:val="00724563"/>
    <w:rsid w:val="00725155"/>
    <w:rsid w:val="00727559"/>
    <w:rsid w:val="00731719"/>
    <w:rsid w:val="00732D17"/>
    <w:rsid w:val="00736159"/>
    <w:rsid w:val="00736865"/>
    <w:rsid w:val="00737585"/>
    <w:rsid w:val="00737C71"/>
    <w:rsid w:val="0074182D"/>
    <w:rsid w:val="00753C1D"/>
    <w:rsid w:val="007542AD"/>
    <w:rsid w:val="00754F31"/>
    <w:rsid w:val="00755305"/>
    <w:rsid w:val="007578EB"/>
    <w:rsid w:val="00760317"/>
    <w:rsid w:val="00760D78"/>
    <w:rsid w:val="007644C5"/>
    <w:rsid w:val="00764C86"/>
    <w:rsid w:val="007719E6"/>
    <w:rsid w:val="0077202A"/>
    <w:rsid w:val="007728B0"/>
    <w:rsid w:val="00774979"/>
    <w:rsid w:val="00774AFF"/>
    <w:rsid w:val="0077749F"/>
    <w:rsid w:val="00777753"/>
    <w:rsid w:val="007862C6"/>
    <w:rsid w:val="00786361"/>
    <w:rsid w:val="007903F7"/>
    <w:rsid w:val="00793E6E"/>
    <w:rsid w:val="00796559"/>
    <w:rsid w:val="00797942"/>
    <w:rsid w:val="007A4913"/>
    <w:rsid w:val="007A6BC5"/>
    <w:rsid w:val="007A73E4"/>
    <w:rsid w:val="007B14BD"/>
    <w:rsid w:val="007B1AE8"/>
    <w:rsid w:val="007B43C4"/>
    <w:rsid w:val="007B4480"/>
    <w:rsid w:val="007C2717"/>
    <w:rsid w:val="007C2850"/>
    <w:rsid w:val="007C3561"/>
    <w:rsid w:val="007C74B0"/>
    <w:rsid w:val="007C76A4"/>
    <w:rsid w:val="007C7AAC"/>
    <w:rsid w:val="007D11C4"/>
    <w:rsid w:val="007D7D64"/>
    <w:rsid w:val="007E3165"/>
    <w:rsid w:val="007E64B0"/>
    <w:rsid w:val="007E6B23"/>
    <w:rsid w:val="007F09A9"/>
    <w:rsid w:val="007F0A89"/>
    <w:rsid w:val="007F271F"/>
    <w:rsid w:val="007F49E9"/>
    <w:rsid w:val="007F6822"/>
    <w:rsid w:val="00803572"/>
    <w:rsid w:val="00803859"/>
    <w:rsid w:val="008046B8"/>
    <w:rsid w:val="00805493"/>
    <w:rsid w:val="0080734B"/>
    <w:rsid w:val="00807954"/>
    <w:rsid w:val="0081174F"/>
    <w:rsid w:val="00811D26"/>
    <w:rsid w:val="00812495"/>
    <w:rsid w:val="00812C4E"/>
    <w:rsid w:val="00814DC3"/>
    <w:rsid w:val="00817E47"/>
    <w:rsid w:val="00823853"/>
    <w:rsid w:val="00824D23"/>
    <w:rsid w:val="008432E6"/>
    <w:rsid w:val="008449B9"/>
    <w:rsid w:val="00851EBB"/>
    <w:rsid w:val="00853C56"/>
    <w:rsid w:val="00854D91"/>
    <w:rsid w:val="008550FB"/>
    <w:rsid w:val="00861990"/>
    <w:rsid w:val="0086439E"/>
    <w:rsid w:val="008644EF"/>
    <w:rsid w:val="00865582"/>
    <w:rsid w:val="00865D05"/>
    <w:rsid w:val="008675EF"/>
    <w:rsid w:val="00872B55"/>
    <w:rsid w:val="008746AC"/>
    <w:rsid w:val="00874C71"/>
    <w:rsid w:val="00875AE8"/>
    <w:rsid w:val="00880C83"/>
    <w:rsid w:val="00882A3D"/>
    <w:rsid w:val="00882F9C"/>
    <w:rsid w:val="00884958"/>
    <w:rsid w:val="00884960"/>
    <w:rsid w:val="00884F8E"/>
    <w:rsid w:val="008876BB"/>
    <w:rsid w:val="00887886"/>
    <w:rsid w:val="008906DA"/>
    <w:rsid w:val="008913B0"/>
    <w:rsid w:val="00891552"/>
    <w:rsid w:val="008A171A"/>
    <w:rsid w:val="008A7AB5"/>
    <w:rsid w:val="008B3219"/>
    <w:rsid w:val="008B4D51"/>
    <w:rsid w:val="008B4E79"/>
    <w:rsid w:val="008C21F9"/>
    <w:rsid w:val="008C5042"/>
    <w:rsid w:val="008D1C9F"/>
    <w:rsid w:val="008D3BBC"/>
    <w:rsid w:val="008D46ED"/>
    <w:rsid w:val="008D5F1D"/>
    <w:rsid w:val="008D5F72"/>
    <w:rsid w:val="008D6BF9"/>
    <w:rsid w:val="008D7983"/>
    <w:rsid w:val="008E42B5"/>
    <w:rsid w:val="008F4E68"/>
    <w:rsid w:val="008F6B2F"/>
    <w:rsid w:val="008F7E0E"/>
    <w:rsid w:val="0090235E"/>
    <w:rsid w:val="00902985"/>
    <w:rsid w:val="009063F0"/>
    <w:rsid w:val="0090675B"/>
    <w:rsid w:val="00907764"/>
    <w:rsid w:val="009120B9"/>
    <w:rsid w:val="00914A2E"/>
    <w:rsid w:val="00920B64"/>
    <w:rsid w:val="009221F9"/>
    <w:rsid w:val="00924178"/>
    <w:rsid w:val="009257F3"/>
    <w:rsid w:val="009300C6"/>
    <w:rsid w:val="00933137"/>
    <w:rsid w:val="00934B03"/>
    <w:rsid w:val="0093657C"/>
    <w:rsid w:val="00944DE6"/>
    <w:rsid w:val="00952737"/>
    <w:rsid w:val="00954DAC"/>
    <w:rsid w:val="009577DF"/>
    <w:rsid w:val="00960960"/>
    <w:rsid w:val="00964F80"/>
    <w:rsid w:val="00966426"/>
    <w:rsid w:val="00971FBE"/>
    <w:rsid w:val="00974BA5"/>
    <w:rsid w:val="0097721F"/>
    <w:rsid w:val="00980AE9"/>
    <w:rsid w:val="00981010"/>
    <w:rsid w:val="00981D89"/>
    <w:rsid w:val="00986E1B"/>
    <w:rsid w:val="009918E2"/>
    <w:rsid w:val="00991D9C"/>
    <w:rsid w:val="00995A94"/>
    <w:rsid w:val="00995DDD"/>
    <w:rsid w:val="00995F7A"/>
    <w:rsid w:val="009964A5"/>
    <w:rsid w:val="00996735"/>
    <w:rsid w:val="009A1D9F"/>
    <w:rsid w:val="009A20FB"/>
    <w:rsid w:val="009A3066"/>
    <w:rsid w:val="009A6A1C"/>
    <w:rsid w:val="009B2604"/>
    <w:rsid w:val="009B3AAD"/>
    <w:rsid w:val="009B4FE4"/>
    <w:rsid w:val="009C2AC9"/>
    <w:rsid w:val="009C2C38"/>
    <w:rsid w:val="009C6A4B"/>
    <w:rsid w:val="009C745A"/>
    <w:rsid w:val="009C7F48"/>
    <w:rsid w:val="009D0BD6"/>
    <w:rsid w:val="009D4C22"/>
    <w:rsid w:val="009E084C"/>
    <w:rsid w:val="009E27F0"/>
    <w:rsid w:val="009E2AA3"/>
    <w:rsid w:val="009F05FF"/>
    <w:rsid w:val="009F26B0"/>
    <w:rsid w:val="009F51D7"/>
    <w:rsid w:val="009F6A7D"/>
    <w:rsid w:val="00A0140E"/>
    <w:rsid w:val="00A01AA5"/>
    <w:rsid w:val="00A145BA"/>
    <w:rsid w:val="00A1664C"/>
    <w:rsid w:val="00A16ADC"/>
    <w:rsid w:val="00A16E49"/>
    <w:rsid w:val="00A248FB"/>
    <w:rsid w:val="00A25B23"/>
    <w:rsid w:val="00A3317D"/>
    <w:rsid w:val="00A343E9"/>
    <w:rsid w:val="00A37DD0"/>
    <w:rsid w:val="00A37F1B"/>
    <w:rsid w:val="00A410CA"/>
    <w:rsid w:val="00A4153C"/>
    <w:rsid w:val="00A42F05"/>
    <w:rsid w:val="00A44362"/>
    <w:rsid w:val="00A46195"/>
    <w:rsid w:val="00A469CB"/>
    <w:rsid w:val="00A47767"/>
    <w:rsid w:val="00A47C3D"/>
    <w:rsid w:val="00A52426"/>
    <w:rsid w:val="00A613F9"/>
    <w:rsid w:val="00A6322B"/>
    <w:rsid w:val="00A64D27"/>
    <w:rsid w:val="00A65628"/>
    <w:rsid w:val="00A65725"/>
    <w:rsid w:val="00A659E2"/>
    <w:rsid w:val="00A6739C"/>
    <w:rsid w:val="00A67457"/>
    <w:rsid w:val="00A706A1"/>
    <w:rsid w:val="00A711A6"/>
    <w:rsid w:val="00A71B7F"/>
    <w:rsid w:val="00A71C06"/>
    <w:rsid w:val="00A72376"/>
    <w:rsid w:val="00A75E41"/>
    <w:rsid w:val="00A80460"/>
    <w:rsid w:val="00A82C4D"/>
    <w:rsid w:val="00A837F3"/>
    <w:rsid w:val="00A8493A"/>
    <w:rsid w:val="00A84A6A"/>
    <w:rsid w:val="00A901F6"/>
    <w:rsid w:val="00A96FAD"/>
    <w:rsid w:val="00AA0A12"/>
    <w:rsid w:val="00AA1B68"/>
    <w:rsid w:val="00AA4075"/>
    <w:rsid w:val="00AB2FD3"/>
    <w:rsid w:val="00AB4C16"/>
    <w:rsid w:val="00AB50B5"/>
    <w:rsid w:val="00AB518E"/>
    <w:rsid w:val="00AB5C6C"/>
    <w:rsid w:val="00AB5CD8"/>
    <w:rsid w:val="00AC450E"/>
    <w:rsid w:val="00AC492C"/>
    <w:rsid w:val="00AC4E5F"/>
    <w:rsid w:val="00AC5026"/>
    <w:rsid w:val="00AC557A"/>
    <w:rsid w:val="00AC68D7"/>
    <w:rsid w:val="00AD0A63"/>
    <w:rsid w:val="00AD4B68"/>
    <w:rsid w:val="00AF1D81"/>
    <w:rsid w:val="00AF268F"/>
    <w:rsid w:val="00AF6AC2"/>
    <w:rsid w:val="00B0739E"/>
    <w:rsid w:val="00B10B76"/>
    <w:rsid w:val="00B12D65"/>
    <w:rsid w:val="00B12FB3"/>
    <w:rsid w:val="00B135C2"/>
    <w:rsid w:val="00B14B34"/>
    <w:rsid w:val="00B15679"/>
    <w:rsid w:val="00B15ADD"/>
    <w:rsid w:val="00B21F8A"/>
    <w:rsid w:val="00B224D7"/>
    <w:rsid w:val="00B23B22"/>
    <w:rsid w:val="00B244E6"/>
    <w:rsid w:val="00B247FB"/>
    <w:rsid w:val="00B25AB0"/>
    <w:rsid w:val="00B3431E"/>
    <w:rsid w:val="00B366EA"/>
    <w:rsid w:val="00B370BB"/>
    <w:rsid w:val="00B37BC5"/>
    <w:rsid w:val="00B37F4D"/>
    <w:rsid w:val="00B406EB"/>
    <w:rsid w:val="00B41789"/>
    <w:rsid w:val="00B426BA"/>
    <w:rsid w:val="00B43AE2"/>
    <w:rsid w:val="00B4461C"/>
    <w:rsid w:val="00B45F58"/>
    <w:rsid w:val="00B50B63"/>
    <w:rsid w:val="00B5110F"/>
    <w:rsid w:val="00B547EC"/>
    <w:rsid w:val="00B54B81"/>
    <w:rsid w:val="00B567E8"/>
    <w:rsid w:val="00B57136"/>
    <w:rsid w:val="00B62224"/>
    <w:rsid w:val="00B64F97"/>
    <w:rsid w:val="00B654DA"/>
    <w:rsid w:val="00B678B1"/>
    <w:rsid w:val="00B7304D"/>
    <w:rsid w:val="00B73B96"/>
    <w:rsid w:val="00B74DD2"/>
    <w:rsid w:val="00B77A1F"/>
    <w:rsid w:val="00B77A44"/>
    <w:rsid w:val="00B832A6"/>
    <w:rsid w:val="00B84A40"/>
    <w:rsid w:val="00B87177"/>
    <w:rsid w:val="00B943F2"/>
    <w:rsid w:val="00B97532"/>
    <w:rsid w:val="00B97950"/>
    <w:rsid w:val="00BA2D3E"/>
    <w:rsid w:val="00BA6242"/>
    <w:rsid w:val="00BB1B96"/>
    <w:rsid w:val="00BB4FD1"/>
    <w:rsid w:val="00BC0344"/>
    <w:rsid w:val="00BC4ADB"/>
    <w:rsid w:val="00BC58E2"/>
    <w:rsid w:val="00BC632F"/>
    <w:rsid w:val="00BC6D8A"/>
    <w:rsid w:val="00BD16C1"/>
    <w:rsid w:val="00BD1F6D"/>
    <w:rsid w:val="00BD29FC"/>
    <w:rsid w:val="00BD3EB2"/>
    <w:rsid w:val="00BD7219"/>
    <w:rsid w:val="00BE2788"/>
    <w:rsid w:val="00BE28B8"/>
    <w:rsid w:val="00BF19C3"/>
    <w:rsid w:val="00BF2D3D"/>
    <w:rsid w:val="00BF2E03"/>
    <w:rsid w:val="00BF35CC"/>
    <w:rsid w:val="00BF3E85"/>
    <w:rsid w:val="00BF4687"/>
    <w:rsid w:val="00BF5176"/>
    <w:rsid w:val="00BF573E"/>
    <w:rsid w:val="00C017EE"/>
    <w:rsid w:val="00C02452"/>
    <w:rsid w:val="00C02FF4"/>
    <w:rsid w:val="00C05F80"/>
    <w:rsid w:val="00C06CA3"/>
    <w:rsid w:val="00C15D89"/>
    <w:rsid w:val="00C167E7"/>
    <w:rsid w:val="00C24355"/>
    <w:rsid w:val="00C24807"/>
    <w:rsid w:val="00C25E36"/>
    <w:rsid w:val="00C30CB3"/>
    <w:rsid w:val="00C32601"/>
    <w:rsid w:val="00C33058"/>
    <w:rsid w:val="00C337FC"/>
    <w:rsid w:val="00C377AE"/>
    <w:rsid w:val="00C4005A"/>
    <w:rsid w:val="00C400CA"/>
    <w:rsid w:val="00C40A97"/>
    <w:rsid w:val="00C4177F"/>
    <w:rsid w:val="00C475D4"/>
    <w:rsid w:val="00C47CC3"/>
    <w:rsid w:val="00C51E37"/>
    <w:rsid w:val="00C539E7"/>
    <w:rsid w:val="00C545E0"/>
    <w:rsid w:val="00C565BB"/>
    <w:rsid w:val="00C56A0E"/>
    <w:rsid w:val="00C57907"/>
    <w:rsid w:val="00C60BCD"/>
    <w:rsid w:val="00C61A2F"/>
    <w:rsid w:val="00C62818"/>
    <w:rsid w:val="00C62C53"/>
    <w:rsid w:val="00C64222"/>
    <w:rsid w:val="00C70CA3"/>
    <w:rsid w:val="00C7114B"/>
    <w:rsid w:val="00C71D1A"/>
    <w:rsid w:val="00C7394D"/>
    <w:rsid w:val="00C757E5"/>
    <w:rsid w:val="00C75B58"/>
    <w:rsid w:val="00C76C61"/>
    <w:rsid w:val="00C80399"/>
    <w:rsid w:val="00C804BC"/>
    <w:rsid w:val="00C82C3B"/>
    <w:rsid w:val="00C838BB"/>
    <w:rsid w:val="00C85E48"/>
    <w:rsid w:val="00C866C0"/>
    <w:rsid w:val="00C86E16"/>
    <w:rsid w:val="00C87355"/>
    <w:rsid w:val="00C90EDD"/>
    <w:rsid w:val="00C9187C"/>
    <w:rsid w:val="00C92F77"/>
    <w:rsid w:val="00C9478F"/>
    <w:rsid w:val="00C9492E"/>
    <w:rsid w:val="00C94E40"/>
    <w:rsid w:val="00C95363"/>
    <w:rsid w:val="00C9716A"/>
    <w:rsid w:val="00C97376"/>
    <w:rsid w:val="00C9778F"/>
    <w:rsid w:val="00CA1C10"/>
    <w:rsid w:val="00CB1CE3"/>
    <w:rsid w:val="00CB276E"/>
    <w:rsid w:val="00CB39DD"/>
    <w:rsid w:val="00CB5C7E"/>
    <w:rsid w:val="00CB6F5E"/>
    <w:rsid w:val="00CC063A"/>
    <w:rsid w:val="00CC2BA2"/>
    <w:rsid w:val="00CC2FF1"/>
    <w:rsid w:val="00CC7814"/>
    <w:rsid w:val="00CD041A"/>
    <w:rsid w:val="00CD29BC"/>
    <w:rsid w:val="00CE00CA"/>
    <w:rsid w:val="00CE1242"/>
    <w:rsid w:val="00CE2F19"/>
    <w:rsid w:val="00CE5FF6"/>
    <w:rsid w:val="00CF2300"/>
    <w:rsid w:val="00D00CBC"/>
    <w:rsid w:val="00D02CD7"/>
    <w:rsid w:val="00D030E2"/>
    <w:rsid w:val="00D04470"/>
    <w:rsid w:val="00D07DEF"/>
    <w:rsid w:val="00D1414D"/>
    <w:rsid w:val="00D1626F"/>
    <w:rsid w:val="00D2255A"/>
    <w:rsid w:val="00D23052"/>
    <w:rsid w:val="00D23A0B"/>
    <w:rsid w:val="00D23F92"/>
    <w:rsid w:val="00D26796"/>
    <w:rsid w:val="00D3200D"/>
    <w:rsid w:val="00D34051"/>
    <w:rsid w:val="00D37F99"/>
    <w:rsid w:val="00D4094B"/>
    <w:rsid w:val="00D41332"/>
    <w:rsid w:val="00D41A03"/>
    <w:rsid w:val="00D43928"/>
    <w:rsid w:val="00D44A88"/>
    <w:rsid w:val="00D454F7"/>
    <w:rsid w:val="00D50DEA"/>
    <w:rsid w:val="00D53E2A"/>
    <w:rsid w:val="00D53ECB"/>
    <w:rsid w:val="00D577CE"/>
    <w:rsid w:val="00D613D4"/>
    <w:rsid w:val="00D623E8"/>
    <w:rsid w:val="00D62AA4"/>
    <w:rsid w:val="00D738BE"/>
    <w:rsid w:val="00D75A72"/>
    <w:rsid w:val="00D763AF"/>
    <w:rsid w:val="00D801D4"/>
    <w:rsid w:val="00D8102A"/>
    <w:rsid w:val="00D82F42"/>
    <w:rsid w:val="00D86BD7"/>
    <w:rsid w:val="00D9466B"/>
    <w:rsid w:val="00DA1664"/>
    <w:rsid w:val="00DA359F"/>
    <w:rsid w:val="00DA6228"/>
    <w:rsid w:val="00DA74B1"/>
    <w:rsid w:val="00DA7986"/>
    <w:rsid w:val="00DB0ADB"/>
    <w:rsid w:val="00DB4A8B"/>
    <w:rsid w:val="00DB5B39"/>
    <w:rsid w:val="00DC1070"/>
    <w:rsid w:val="00DC2B91"/>
    <w:rsid w:val="00DC32B0"/>
    <w:rsid w:val="00DC4793"/>
    <w:rsid w:val="00DC4E9B"/>
    <w:rsid w:val="00DC6830"/>
    <w:rsid w:val="00DD0488"/>
    <w:rsid w:val="00DD0DED"/>
    <w:rsid w:val="00DD1F59"/>
    <w:rsid w:val="00DD4DBB"/>
    <w:rsid w:val="00DD7975"/>
    <w:rsid w:val="00DE03D2"/>
    <w:rsid w:val="00DE27DC"/>
    <w:rsid w:val="00DE3957"/>
    <w:rsid w:val="00DE4B58"/>
    <w:rsid w:val="00DE5055"/>
    <w:rsid w:val="00DE5CF2"/>
    <w:rsid w:val="00DE67EF"/>
    <w:rsid w:val="00DF2CF1"/>
    <w:rsid w:val="00DF5ABA"/>
    <w:rsid w:val="00DF5E21"/>
    <w:rsid w:val="00DF5F73"/>
    <w:rsid w:val="00DF7267"/>
    <w:rsid w:val="00DF7C52"/>
    <w:rsid w:val="00E00EE8"/>
    <w:rsid w:val="00E010A8"/>
    <w:rsid w:val="00E0194F"/>
    <w:rsid w:val="00E0571A"/>
    <w:rsid w:val="00E05AEB"/>
    <w:rsid w:val="00E1094C"/>
    <w:rsid w:val="00E10D44"/>
    <w:rsid w:val="00E11655"/>
    <w:rsid w:val="00E13111"/>
    <w:rsid w:val="00E132FD"/>
    <w:rsid w:val="00E14E97"/>
    <w:rsid w:val="00E21C0C"/>
    <w:rsid w:val="00E21F46"/>
    <w:rsid w:val="00E228D6"/>
    <w:rsid w:val="00E22D66"/>
    <w:rsid w:val="00E27B60"/>
    <w:rsid w:val="00E30344"/>
    <w:rsid w:val="00E33099"/>
    <w:rsid w:val="00E35DFD"/>
    <w:rsid w:val="00E40E2A"/>
    <w:rsid w:val="00E428C2"/>
    <w:rsid w:val="00E42CEB"/>
    <w:rsid w:val="00E44D3C"/>
    <w:rsid w:val="00E506C0"/>
    <w:rsid w:val="00E512D9"/>
    <w:rsid w:val="00E52944"/>
    <w:rsid w:val="00E558EB"/>
    <w:rsid w:val="00E56E46"/>
    <w:rsid w:val="00E60106"/>
    <w:rsid w:val="00E60213"/>
    <w:rsid w:val="00E61DA2"/>
    <w:rsid w:val="00E629EC"/>
    <w:rsid w:val="00E650EE"/>
    <w:rsid w:val="00E655B7"/>
    <w:rsid w:val="00E66857"/>
    <w:rsid w:val="00E66CE9"/>
    <w:rsid w:val="00E67331"/>
    <w:rsid w:val="00E70DC0"/>
    <w:rsid w:val="00E73260"/>
    <w:rsid w:val="00E739C4"/>
    <w:rsid w:val="00E75B40"/>
    <w:rsid w:val="00E768E4"/>
    <w:rsid w:val="00E774D1"/>
    <w:rsid w:val="00E814C4"/>
    <w:rsid w:val="00E90898"/>
    <w:rsid w:val="00E90C4A"/>
    <w:rsid w:val="00E910E3"/>
    <w:rsid w:val="00E941C0"/>
    <w:rsid w:val="00E95E59"/>
    <w:rsid w:val="00E960EB"/>
    <w:rsid w:val="00E96255"/>
    <w:rsid w:val="00EA1189"/>
    <w:rsid w:val="00EA3E7A"/>
    <w:rsid w:val="00EA4A0A"/>
    <w:rsid w:val="00EA78A2"/>
    <w:rsid w:val="00EB3FE3"/>
    <w:rsid w:val="00EC1532"/>
    <w:rsid w:val="00EC21F1"/>
    <w:rsid w:val="00EC62B3"/>
    <w:rsid w:val="00EC7C0B"/>
    <w:rsid w:val="00ED17A8"/>
    <w:rsid w:val="00ED1866"/>
    <w:rsid w:val="00ED4018"/>
    <w:rsid w:val="00ED7E2F"/>
    <w:rsid w:val="00EE0CB8"/>
    <w:rsid w:val="00EE1EA1"/>
    <w:rsid w:val="00EE52B6"/>
    <w:rsid w:val="00EE586E"/>
    <w:rsid w:val="00EE74F9"/>
    <w:rsid w:val="00EF0125"/>
    <w:rsid w:val="00EF1144"/>
    <w:rsid w:val="00EF1A19"/>
    <w:rsid w:val="00EF1B7E"/>
    <w:rsid w:val="00EF1F31"/>
    <w:rsid w:val="00EF47D6"/>
    <w:rsid w:val="00EF5143"/>
    <w:rsid w:val="00EF6645"/>
    <w:rsid w:val="00F0096F"/>
    <w:rsid w:val="00F01ED7"/>
    <w:rsid w:val="00F03D8E"/>
    <w:rsid w:val="00F04F72"/>
    <w:rsid w:val="00F06445"/>
    <w:rsid w:val="00F076E4"/>
    <w:rsid w:val="00F07FE6"/>
    <w:rsid w:val="00F11FCF"/>
    <w:rsid w:val="00F12320"/>
    <w:rsid w:val="00F16C56"/>
    <w:rsid w:val="00F17D6C"/>
    <w:rsid w:val="00F207FC"/>
    <w:rsid w:val="00F20F62"/>
    <w:rsid w:val="00F21242"/>
    <w:rsid w:val="00F307FC"/>
    <w:rsid w:val="00F316B0"/>
    <w:rsid w:val="00F37EDD"/>
    <w:rsid w:val="00F4014C"/>
    <w:rsid w:val="00F401C4"/>
    <w:rsid w:val="00F45B7E"/>
    <w:rsid w:val="00F46C78"/>
    <w:rsid w:val="00F473F6"/>
    <w:rsid w:val="00F5415F"/>
    <w:rsid w:val="00F544BB"/>
    <w:rsid w:val="00F545C9"/>
    <w:rsid w:val="00F5639D"/>
    <w:rsid w:val="00F70B7C"/>
    <w:rsid w:val="00F72B17"/>
    <w:rsid w:val="00F72F2E"/>
    <w:rsid w:val="00F740FA"/>
    <w:rsid w:val="00F767BB"/>
    <w:rsid w:val="00F801C5"/>
    <w:rsid w:val="00F81FDC"/>
    <w:rsid w:val="00F82685"/>
    <w:rsid w:val="00F82BF4"/>
    <w:rsid w:val="00F86945"/>
    <w:rsid w:val="00F86B7B"/>
    <w:rsid w:val="00F87A50"/>
    <w:rsid w:val="00F91926"/>
    <w:rsid w:val="00F9288E"/>
    <w:rsid w:val="00F94B1B"/>
    <w:rsid w:val="00F9612C"/>
    <w:rsid w:val="00F976AC"/>
    <w:rsid w:val="00F9783F"/>
    <w:rsid w:val="00FA05B6"/>
    <w:rsid w:val="00FA619C"/>
    <w:rsid w:val="00FB2876"/>
    <w:rsid w:val="00FB3595"/>
    <w:rsid w:val="00FB3715"/>
    <w:rsid w:val="00FB6DD6"/>
    <w:rsid w:val="00FC1B1E"/>
    <w:rsid w:val="00FC375A"/>
    <w:rsid w:val="00FC4690"/>
    <w:rsid w:val="00FC6936"/>
    <w:rsid w:val="00FC7CDF"/>
    <w:rsid w:val="00FD15AD"/>
    <w:rsid w:val="00FD5931"/>
    <w:rsid w:val="00FD68EA"/>
    <w:rsid w:val="00FE3C90"/>
    <w:rsid w:val="00FE4AE6"/>
    <w:rsid w:val="00FE5240"/>
    <w:rsid w:val="00FE7CC8"/>
    <w:rsid w:val="00FF047A"/>
    <w:rsid w:val="00FF0595"/>
    <w:rsid w:val="00FF17BF"/>
    <w:rsid w:val="00FF1873"/>
    <w:rsid w:val="00FF2803"/>
    <w:rsid w:val="00FF369A"/>
    <w:rsid w:val="00FF73A7"/>
    <w:rsid w:val="015108A8"/>
    <w:rsid w:val="01730C29"/>
    <w:rsid w:val="01C02307"/>
    <w:rsid w:val="02143CFC"/>
    <w:rsid w:val="025116A1"/>
    <w:rsid w:val="02644902"/>
    <w:rsid w:val="02DE69C5"/>
    <w:rsid w:val="02EC476B"/>
    <w:rsid w:val="032A32DD"/>
    <w:rsid w:val="0366225C"/>
    <w:rsid w:val="03D16C91"/>
    <w:rsid w:val="03E0663B"/>
    <w:rsid w:val="03F670E8"/>
    <w:rsid w:val="04414D7E"/>
    <w:rsid w:val="04570730"/>
    <w:rsid w:val="04ED238A"/>
    <w:rsid w:val="05D64811"/>
    <w:rsid w:val="065B1A65"/>
    <w:rsid w:val="06646CC9"/>
    <w:rsid w:val="067237C8"/>
    <w:rsid w:val="07F20741"/>
    <w:rsid w:val="082727AF"/>
    <w:rsid w:val="08982230"/>
    <w:rsid w:val="08DA3F16"/>
    <w:rsid w:val="090055CD"/>
    <w:rsid w:val="09851B73"/>
    <w:rsid w:val="09F133B5"/>
    <w:rsid w:val="0A45566B"/>
    <w:rsid w:val="0A4E5DFD"/>
    <w:rsid w:val="0AF41385"/>
    <w:rsid w:val="0B24192B"/>
    <w:rsid w:val="0B7E0144"/>
    <w:rsid w:val="0BA27663"/>
    <w:rsid w:val="0C017BF2"/>
    <w:rsid w:val="0C171D24"/>
    <w:rsid w:val="0C2F5D11"/>
    <w:rsid w:val="0C463032"/>
    <w:rsid w:val="0C607AC3"/>
    <w:rsid w:val="0D3708E8"/>
    <w:rsid w:val="0D586618"/>
    <w:rsid w:val="0DF84576"/>
    <w:rsid w:val="0E082F4D"/>
    <w:rsid w:val="0E347DB9"/>
    <w:rsid w:val="0E5056BA"/>
    <w:rsid w:val="0F8841C7"/>
    <w:rsid w:val="10BF2D9A"/>
    <w:rsid w:val="10FE56AD"/>
    <w:rsid w:val="116A1AA7"/>
    <w:rsid w:val="123A033D"/>
    <w:rsid w:val="12B41D6F"/>
    <w:rsid w:val="12D41054"/>
    <w:rsid w:val="13223B16"/>
    <w:rsid w:val="13832EE1"/>
    <w:rsid w:val="13B83BE0"/>
    <w:rsid w:val="141B0C22"/>
    <w:rsid w:val="162F36F9"/>
    <w:rsid w:val="16A33333"/>
    <w:rsid w:val="16D00AC8"/>
    <w:rsid w:val="17116E3C"/>
    <w:rsid w:val="18C36D55"/>
    <w:rsid w:val="191C1ECB"/>
    <w:rsid w:val="19447C82"/>
    <w:rsid w:val="19936D00"/>
    <w:rsid w:val="1A0526AC"/>
    <w:rsid w:val="1A5A5AAB"/>
    <w:rsid w:val="1A6479F6"/>
    <w:rsid w:val="1A791ED5"/>
    <w:rsid w:val="1A8C2581"/>
    <w:rsid w:val="1AA45E38"/>
    <w:rsid w:val="1AB0196E"/>
    <w:rsid w:val="1BBE192C"/>
    <w:rsid w:val="1C812AF1"/>
    <w:rsid w:val="1EBB0C47"/>
    <w:rsid w:val="1F877E27"/>
    <w:rsid w:val="1FAB05CF"/>
    <w:rsid w:val="1FBF07C9"/>
    <w:rsid w:val="1FE32975"/>
    <w:rsid w:val="20077EDE"/>
    <w:rsid w:val="20320460"/>
    <w:rsid w:val="2068211B"/>
    <w:rsid w:val="207B19F1"/>
    <w:rsid w:val="21182BF7"/>
    <w:rsid w:val="226C1651"/>
    <w:rsid w:val="235B71E9"/>
    <w:rsid w:val="24053BA7"/>
    <w:rsid w:val="24234110"/>
    <w:rsid w:val="24793E01"/>
    <w:rsid w:val="24CE5DC2"/>
    <w:rsid w:val="256B35C4"/>
    <w:rsid w:val="258C7674"/>
    <w:rsid w:val="26E50B2F"/>
    <w:rsid w:val="27206BD3"/>
    <w:rsid w:val="274B3D3F"/>
    <w:rsid w:val="27681209"/>
    <w:rsid w:val="27E64ED5"/>
    <w:rsid w:val="27EF1D4A"/>
    <w:rsid w:val="28FC56EA"/>
    <w:rsid w:val="29522331"/>
    <w:rsid w:val="2AA34C92"/>
    <w:rsid w:val="2DF7643A"/>
    <w:rsid w:val="2E021FC3"/>
    <w:rsid w:val="2E234772"/>
    <w:rsid w:val="2E2E194E"/>
    <w:rsid w:val="2E3252AD"/>
    <w:rsid w:val="2E5D37E6"/>
    <w:rsid w:val="2E8A2EC5"/>
    <w:rsid w:val="2EFD55EA"/>
    <w:rsid w:val="2FCE3BF7"/>
    <w:rsid w:val="30E727DA"/>
    <w:rsid w:val="313136D9"/>
    <w:rsid w:val="31FC51B7"/>
    <w:rsid w:val="32C564A4"/>
    <w:rsid w:val="339D157E"/>
    <w:rsid w:val="33EF79B5"/>
    <w:rsid w:val="34652785"/>
    <w:rsid w:val="35B414C0"/>
    <w:rsid w:val="35D85248"/>
    <w:rsid w:val="36627B1B"/>
    <w:rsid w:val="366A2CFD"/>
    <w:rsid w:val="367F05D6"/>
    <w:rsid w:val="37127E0E"/>
    <w:rsid w:val="375C38C6"/>
    <w:rsid w:val="37867BC8"/>
    <w:rsid w:val="37896C5B"/>
    <w:rsid w:val="383C6142"/>
    <w:rsid w:val="38DB28BC"/>
    <w:rsid w:val="39807290"/>
    <w:rsid w:val="39CE4B93"/>
    <w:rsid w:val="3A0546C1"/>
    <w:rsid w:val="3ABC19A5"/>
    <w:rsid w:val="3ADA7D07"/>
    <w:rsid w:val="3B251CDB"/>
    <w:rsid w:val="3BA97D7C"/>
    <w:rsid w:val="3BCA66CD"/>
    <w:rsid w:val="3C1A36EB"/>
    <w:rsid w:val="3C330447"/>
    <w:rsid w:val="3CEA54EC"/>
    <w:rsid w:val="3DA41A66"/>
    <w:rsid w:val="3DA9528B"/>
    <w:rsid w:val="3E29305A"/>
    <w:rsid w:val="3E5C75E6"/>
    <w:rsid w:val="3E7B4D0D"/>
    <w:rsid w:val="3F1F579B"/>
    <w:rsid w:val="40D80075"/>
    <w:rsid w:val="41C76357"/>
    <w:rsid w:val="41FB658D"/>
    <w:rsid w:val="42635B30"/>
    <w:rsid w:val="42F827E4"/>
    <w:rsid w:val="43BC7523"/>
    <w:rsid w:val="441F6D00"/>
    <w:rsid w:val="44D83A7C"/>
    <w:rsid w:val="44E11AEA"/>
    <w:rsid w:val="45B71D4B"/>
    <w:rsid w:val="465D3F3F"/>
    <w:rsid w:val="469F5C0E"/>
    <w:rsid w:val="473715C4"/>
    <w:rsid w:val="477372CD"/>
    <w:rsid w:val="48A67417"/>
    <w:rsid w:val="49D36AD4"/>
    <w:rsid w:val="4A38378B"/>
    <w:rsid w:val="4AB92CA7"/>
    <w:rsid w:val="4AEC28E3"/>
    <w:rsid w:val="4B4415BA"/>
    <w:rsid w:val="4B980F44"/>
    <w:rsid w:val="4BF565BE"/>
    <w:rsid w:val="4C0F301F"/>
    <w:rsid w:val="4C787939"/>
    <w:rsid w:val="4CDF1CBE"/>
    <w:rsid w:val="4CE264ED"/>
    <w:rsid w:val="4CFC5EDA"/>
    <w:rsid w:val="4D1A46E7"/>
    <w:rsid w:val="4F1A22CC"/>
    <w:rsid w:val="4F783CF3"/>
    <w:rsid w:val="4FB167C7"/>
    <w:rsid w:val="4FC73983"/>
    <w:rsid w:val="5040157F"/>
    <w:rsid w:val="50FD4D9E"/>
    <w:rsid w:val="53812554"/>
    <w:rsid w:val="553A208E"/>
    <w:rsid w:val="55C41CCF"/>
    <w:rsid w:val="56CB33F1"/>
    <w:rsid w:val="57673148"/>
    <w:rsid w:val="576F5575"/>
    <w:rsid w:val="5A6F580C"/>
    <w:rsid w:val="5A744133"/>
    <w:rsid w:val="5ADC3925"/>
    <w:rsid w:val="5B0C5796"/>
    <w:rsid w:val="5B224DED"/>
    <w:rsid w:val="5BA648DB"/>
    <w:rsid w:val="5BBC6546"/>
    <w:rsid w:val="5BBE35D0"/>
    <w:rsid w:val="5BDD59A8"/>
    <w:rsid w:val="5D2A6038"/>
    <w:rsid w:val="5DBC680A"/>
    <w:rsid w:val="603C3949"/>
    <w:rsid w:val="60D47CBC"/>
    <w:rsid w:val="620D030E"/>
    <w:rsid w:val="627C56B5"/>
    <w:rsid w:val="62A66B7D"/>
    <w:rsid w:val="6304699F"/>
    <w:rsid w:val="651051B3"/>
    <w:rsid w:val="662E360B"/>
    <w:rsid w:val="66732EBF"/>
    <w:rsid w:val="66ED642F"/>
    <w:rsid w:val="67AC6267"/>
    <w:rsid w:val="68873EFB"/>
    <w:rsid w:val="688B37F3"/>
    <w:rsid w:val="68E91323"/>
    <w:rsid w:val="699567AA"/>
    <w:rsid w:val="6A261BE2"/>
    <w:rsid w:val="6B1E4F20"/>
    <w:rsid w:val="6B897E33"/>
    <w:rsid w:val="6BD368C7"/>
    <w:rsid w:val="6BF754E0"/>
    <w:rsid w:val="6D5F7B60"/>
    <w:rsid w:val="6EEE738C"/>
    <w:rsid w:val="6F0E5AB3"/>
    <w:rsid w:val="6F5855FF"/>
    <w:rsid w:val="70167CFC"/>
    <w:rsid w:val="70520E2E"/>
    <w:rsid w:val="70905C77"/>
    <w:rsid w:val="70994A7F"/>
    <w:rsid w:val="709C7839"/>
    <w:rsid w:val="70B37C19"/>
    <w:rsid w:val="70FD3F5C"/>
    <w:rsid w:val="714548CB"/>
    <w:rsid w:val="71771833"/>
    <w:rsid w:val="722B7C7A"/>
    <w:rsid w:val="72AE6D43"/>
    <w:rsid w:val="72E51138"/>
    <w:rsid w:val="73A1534C"/>
    <w:rsid w:val="73AE3E6F"/>
    <w:rsid w:val="73C95DEA"/>
    <w:rsid w:val="741E22F8"/>
    <w:rsid w:val="74742FDF"/>
    <w:rsid w:val="74900347"/>
    <w:rsid w:val="75225FEC"/>
    <w:rsid w:val="754E3616"/>
    <w:rsid w:val="755B5769"/>
    <w:rsid w:val="76044F62"/>
    <w:rsid w:val="7622229B"/>
    <w:rsid w:val="765D77B1"/>
    <w:rsid w:val="77FD6AA9"/>
    <w:rsid w:val="78175796"/>
    <w:rsid w:val="790D6E3B"/>
    <w:rsid w:val="79F50378"/>
    <w:rsid w:val="7A35180F"/>
    <w:rsid w:val="7A915CDC"/>
    <w:rsid w:val="7AB82528"/>
    <w:rsid w:val="7ABC1895"/>
    <w:rsid w:val="7B3B73F8"/>
    <w:rsid w:val="7BC56FC8"/>
    <w:rsid w:val="7C1524D1"/>
    <w:rsid w:val="7C7C00B4"/>
    <w:rsid w:val="7D4E6CF6"/>
    <w:rsid w:val="7DE85FE9"/>
    <w:rsid w:val="7EAF7949"/>
    <w:rsid w:val="7EBF75D0"/>
    <w:rsid w:val="7EC95AEB"/>
    <w:rsid w:val="7EDB33B2"/>
    <w:rsid w:val="7F09737D"/>
    <w:rsid w:val="7F0F367B"/>
    <w:rsid w:val="7F115A1B"/>
  </w:rsids>
  <w:docVars>
    <w:docVar w:name="commondata" w:val="eyJoZGlkIjoiYTc3NjZhNzUyNDNjOWU4NzE2NDAwOGU1NzRmZTJlNWEifQ=="/>
  </w:docVar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14:docId w14:val="6625B6FD"/>
  <w15:docId w15:val="{A6055605-77B9-4C00-904B-3E51F5B03D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uiPriority="99" w:qFormat="1"/>
    <w:lsdException w:name="heading 6" w:qFormat="1"/>
    <w:lsdException w:name="heading 7" w:qFormat="1"/>
    <w:lsdException w:name="heading 8" w:qFormat="1"/>
    <w:lsdException w:name="heading 9" w:qFormat="1"/>
    <w:lsdException w:name="index 1" w:semiHidden="1" w:qFormat="1"/>
    <w:lsdException w:name="index 2" w:semiHidden="1" w:qFormat="1"/>
    <w:lsdException w:name="index 3" w:semiHidden="1" w:qFormat="1"/>
    <w:lsdException w:name="index 4" w:semiHidden="1" w:qFormat="1"/>
    <w:lsdException w:name="index 5" w:semiHidden="1" w:qFormat="1"/>
    <w:lsdException w:name="index 6" w:semiHidden="1" w:qFormat="1"/>
    <w:lsdException w:name="index 7" w:semiHidden="1" w:qFormat="1"/>
    <w:lsdException w:name="index 8" w:semiHidden="1" w:qFormat="1"/>
    <w:lsdException w:name="index 9" w:semiHidden="1" w:qFormat="1"/>
    <w:lsdException w:name="toc 1" w:uiPriority="39" w:qFormat="1"/>
    <w:lsdException w:name="toc 2" w:uiPriority="39" w:qFormat="1"/>
    <w:lsdException w:name="toc 3" w:uiPriority="39" w:qFormat="1"/>
    <w:lsdException w:name="toc 4" w:uiPriority="39" w:unhideWhenUsed="1"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qFormat="1"/>
    <w:lsdException w:name="footnote text" w:semiHidden="1" w:qFormat="1"/>
    <w:lsdException w:name="annotation text" w:qFormat="1"/>
    <w:lsdException w:name="header" w:qFormat="1"/>
    <w:lsdException w:name="footer" w:uiPriority="99" w:qFormat="1"/>
    <w:lsdException w:name="index heading" w:semiHidden="1" w:qFormat="1"/>
    <w:lsdException w:name="caption" w:qFormat="1"/>
    <w:lsdException w:name="table of figures" w:semiHidden="1" w:qFormat="1"/>
    <w:lsdException w:name="envelope address" w:qFormat="1"/>
    <w:lsdException w:name="envelope return" w:qFormat="1"/>
    <w:lsdException w:name="footnote reference" w:semiHidden="1" w:uiPriority="99" w:unhideWhenUsed="1"/>
    <w:lsdException w:name="annotation reference" w:semiHidden="1" w:uiPriority="99" w:unhideWhenUsed="1" w:qFormat="1"/>
    <w:lsdException w:name="line number" w:semiHidden="1" w:uiPriority="99" w:unhideWhenUsed="1"/>
    <w:lsdException w:name="page number" w:qFormat="1"/>
    <w:lsdException w:name="endnote reference" w:semiHidden="1" w:uiPriority="99" w:unhideWhenUsed="1"/>
    <w:lsdException w:name="endnote text" w:semiHidden="1" w:qFormat="1"/>
    <w:lsdException w:name="table of authorities" w:semiHidden="1" w:qFormat="1"/>
    <w:lsdException w:name="macro" w:semiHidden="1" w:qFormat="1"/>
    <w:lsdException w:name="toa heading" w:semiHidden="1" w:qFormat="1"/>
    <w:lsdException w:name="List" w:qFormat="1"/>
    <w:lsdException w:name="List Bullet" w:qFormat="1"/>
    <w:lsdException w:name="List Number" w:qFormat="1"/>
    <w:lsdException w:name="List 2" w:qFormat="1"/>
    <w:lsdException w:name="List 3" w:qFormat="1"/>
    <w:lsdException w:name="List 4" w:qFormat="1"/>
    <w:lsdException w:name="List 5" w:qFormat="1"/>
    <w:lsdException w:name="List Bullet 2" w:qFormat="1"/>
    <w:lsdException w:name="List Bullet 3" w:qFormat="1"/>
    <w:lsdException w:name="List Bullet 4" w:qFormat="1"/>
    <w:lsdException w:name="List Bullet 5" w:qFormat="1"/>
    <w:lsdException w:name="List Number 2" w:qFormat="1"/>
    <w:lsdException w:name="List Number 3" w:qFormat="1"/>
    <w:lsdException w:name="List Number 4" w:qFormat="1"/>
    <w:lsdException w:name="List Number 5" w:qFormat="1"/>
    <w:lsdException w:name="Title" w:qFormat="1"/>
    <w:lsdException w:name="Closing" w:qFormat="1"/>
    <w:lsdException w:name="Signature" w:qFormat="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qFormat="1"/>
    <w:lsdException w:name="Message Header" w:qFormat="1"/>
    <w:lsdException w:name="Subtitle" w:qFormat="1"/>
    <w:lsdException w:name="Salutation" w:qFormat="1"/>
    <w:lsdException w:name="Date" w:qFormat="1"/>
    <w:lsdException w:name="Body Text First Indent" w:qFormat="1"/>
    <w:lsdException w:name="Body Text First Indent 2" w:qFormat="1"/>
    <w:lsdException w:name="Note Heading" w:qFormat="1"/>
    <w:lsdException w:name="Body Text 2" w:qFormat="1"/>
    <w:lsdException w:name="Body Text 3" w:uiPriority="99" w:unhideWhenUsed="1" w:qFormat="1"/>
    <w:lsdException w:name="Body Text Indent 2" w:unhideWhenUsed="1" w:qFormat="1"/>
    <w:lsdException w:name="Body Text Indent 3" w:qFormat="1"/>
    <w:lsdException w:name="Block Text" w:qFormat="1"/>
    <w:lsdException w:name="Hyperlink" w:uiPriority="99" w:qFormat="1"/>
    <w:lsdException w:name="FollowedHyperlink" w:qFormat="1"/>
    <w:lsdException w:name="Strong" w:uiPriority="22" w:qFormat="1"/>
    <w:lsdException w:name="Emphasis" w:uiPriority="20" w:qFormat="1"/>
    <w:lsdException w:name="Document Map" w:semiHidden="1" w:qFormat="1"/>
    <w:lsdException w:name="Plain Text" w:qFormat="1"/>
    <w:lsdException w:name="E-mail Signature" w:qFormat="1"/>
    <w:lsdException w:name="HTML Top of Form" w:semiHidden="1" w:uiPriority="99" w:unhideWhenUsed="1"/>
    <w:lsdException w:name="HTML Bottom of Form" w:semiHidden="1" w:uiPriority="99" w:unhideWhenUsed="1"/>
    <w:lsdException w:name="Normal (Web)" w:qFormat="1"/>
    <w:lsdException w:name="HTML Acronym" w:semiHidden="1" w:uiPriority="99" w:unhideWhenUsed="1"/>
    <w:lsdException w:name="HTML Address" w:qFormat="1"/>
    <w:lsdException w:name="HTML Cite" w:semiHidden="1" w:uiPriority="99" w:unhideWhenUsed="1"/>
    <w:lsdException w:name="HTML Code" w:semiHidden="1" w:uiPriority="99" w:unhideWhenUsed="1"/>
    <w:lsdException w:name="HTML Definition" w:semiHidden="1" w:uiPriority="99" w:unhideWhenUsed="1"/>
    <w:lsdException w:name="HTML Keyboard" w:semiHidden="1" w:uiPriority="99" w:unhideWhenUsed="1"/>
    <w:lsdException w:name="HTML Preformatted" w:qFormat="1"/>
    <w:lsdException w:name="HTML Sample" w:semiHidden="1" w:uiPriority="99" w:unhideWhenUsed="1"/>
    <w:lsdException w:name="HTML Typewriter" w:semiHidden="1" w:uiPriority="99" w:unhideWhenUsed="1"/>
    <w:lsdException w:name="HTML Variable" w:semiHidden="1" w:uiPriority="99" w:unhideWhenUsed="1"/>
    <w:lsdException w:name="Normal Table" w:semiHidden="1" w:uiPriority="99" w:unhideWhenUsed="1" w:qFormat="1"/>
    <w:lsdException w:name="annotation subject"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iPriority="99" w:qFormat="1"/>
    <w:lsdException w:name="Table Grid" w:semiHidden="1" w:unhideWhenUsed="1" w:qFormat="1"/>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Times New Roman" w:eastAsia="PMingLiU" w:hAnsi="Times New Roman"/>
      <w:sz w:val="22"/>
      <w:lang w:val="en-GB" w:eastAsia="en-US"/>
    </w:rPr>
  </w:style>
  <w:style w:type="paragraph" w:styleId="Heading1">
    <w:name w:val="heading 1"/>
    <w:basedOn w:val="ReportLevel1"/>
    <w:next w:val="Normal"/>
    <w:link w:val="1"/>
    <w:qFormat/>
    <w:pPr>
      <w:keepNext w:val="0"/>
      <w:numPr>
        <w:numId w:val="1"/>
      </w:numPr>
      <w:tabs>
        <w:tab w:val="left" w:pos="1080"/>
      </w:tabs>
      <w:outlineLvl w:val="0"/>
    </w:pPr>
    <w:rPr>
      <w:rFonts w:cs="Arial"/>
    </w:rPr>
  </w:style>
  <w:style w:type="paragraph" w:styleId="Heading2">
    <w:name w:val="heading 2"/>
    <w:basedOn w:val="Heading1"/>
    <w:next w:val="Normal"/>
    <w:link w:val="2"/>
    <w:qFormat/>
    <w:pPr>
      <w:outlineLvl w:val="1"/>
    </w:pPr>
    <w:rPr>
      <w:caps w:val="0"/>
    </w:rPr>
  </w:style>
  <w:style w:type="paragraph" w:styleId="Heading3">
    <w:name w:val="heading 3"/>
    <w:basedOn w:val="Heading1"/>
    <w:next w:val="Normal"/>
    <w:link w:val="3"/>
    <w:qFormat/>
    <w:pPr>
      <w:outlineLvl w:val="2"/>
    </w:pPr>
    <w:rPr>
      <w:caps w:val="0"/>
      <w:sz w:val="20"/>
    </w:rPr>
  </w:style>
  <w:style w:type="paragraph" w:styleId="Heading4">
    <w:name w:val="heading 4"/>
    <w:basedOn w:val="Heading3"/>
    <w:next w:val="Normal"/>
    <w:link w:val="4"/>
    <w:qFormat/>
    <w:pPr>
      <w:outlineLvl w:val="3"/>
    </w:pPr>
  </w:style>
  <w:style w:type="paragraph" w:styleId="Heading5">
    <w:name w:val="heading 5"/>
    <w:basedOn w:val="Normal"/>
    <w:next w:val="Normal"/>
    <w:link w:val="5"/>
    <w:uiPriority w:val="99"/>
    <w:qFormat/>
    <w:pPr>
      <w:keepNext/>
      <w:outlineLvl w:val="4"/>
    </w:pPr>
    <w:rPr>
      <w:rFonts w:ascii="Arial" w:hAnsi="Arial"/>
      <w:sz w:val="36"/>
    </w:rPr>
  </w:style>
  <w:style w:type="paragraph" w:styleId="Heading6">
    <w:name w:val="heading 6"/>
    <w:basedOn w:val="Normal"/>
    <w:next w:val="Normal"/>
    <w:link w:val="6"/>
    <w:qFormat/>
    <w:pPr>
      <w:outlineLvl w:val="5"/>
    </w:pPr>
    <w:rPr>
      <w:i/>
    </w:rPr>
  </w:style>
  <w:style w:type="paragraph" w:styleId="Heading7">
    <w:name w:val="heading 7"/>
    <w:basedOn w:val="Normal"/>
    <w:next w:val="Normal"/>
    <w:link w:val="7"/>
    <w:qFormat/>
    <w:pPr>
      <w:outlineLvl w:val="6"/>
    </w:pPr>
    <w:rPr>
      <w:rFonts w:ascii="Arial" w:hAnsi="Arial"/>
    </w:rPr>
  </w:style>
  <w:style w:type="paragraph" w:styleId="Heading8">
    <w:name w:val="heading 8"/>
    <w:basedOn w:val="Normal"/>
    <w:next w:val="Normal"/>
    <w:link w:val="8"/>
    <w:qFormat/>
    <w:pPr>
      <w:outlineLvl w:val="7"/>
    </w:pPr>
    <w:rPr>
      <w:rFonts w:ascii="Arial" w:hAnsi="Arial"/>
      <w:i/>
    </w:rPr>
  </w:style>
  <w:style w:type="paragraph" w:styleId="Heading9">
    <w:name w:val="heading 9"/>
    <w:basedOn w:val="Normal"/>
    <w:next w:val="Normal"/>
    <w:link w:val="9"/>
    <w:qFormat/>
    <w:pPr>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Macro">
    <w:name w:val="macro"/>
    <w:link w:val="a9"/>
    <w:semiHidden/>
    <w:qFormat/>
    <w:pPr>
      <w:tabs>
        <w:tab w:val="left" w:pos="480"/>
        <w:tab w:val="left" w:pos="960"/>
        <w:tab w:val="left" w:pos="1440"/>
        <w:tab w:val="left" w:pos="1920"/>
        <w:tab w:val="left" w:pos="2400"/>
        <w:tab w:val="left" w:pos="2880"/>
        <w:tab w:val="left" w:pos="3360"/>
        <w:tab w:val="left" w:pos="3840"/>
        <w:tab w:val="left" w:pos="4320"/>
      </w:tabs>
    </w:pPr>
    <w:rPr>
      <w:rFonts w:ascii="Courier New" w:eastAsia="PMingLiU" w:hAnsi="Courier New" w:cs="Courier New"/>
      <w:lang w:val="en-GB" w:eastAsia="en-US"/>
    </w:rPr>
  </w:style>
  <w:style w:type="paragraph" w:customStyle="1" w:styleId="ReportLevel1">
    <w:name w:val="Report Level 1"/>
    <w:basedOn w:val="Normal"/>
    <w:next w:val="Normal"/>
    <w:qFormat/>
    <w:pPr>
      <w:keepNext/>
      <w:numPr>
        <w:numId w:val="2"/>
      </w:numPr>
      <w:outlineLvl w:val="0"/>
    </w:pPr>
    <w:rPr>
      <w:rFonts w:eastAsia="宋体"/>
      <w:b/>
      <w:caps/>
      <w:sz w:val="24"/>
    </w:rPr>
  </w:style>
  <w:style w:type="paragraph" w:styleId="List3">
    <w:name w:val="List 3"/>
    <w:basedOn w:val="Normal"/>
    <w:qFormat/>
    <w:pPr>
      <w:ind w:left="1080" w:hanging="360"/>
    </w:pPr>
  </w:style>
  <w:style w:type="paragraph" w:styleId="TOC7">
    <w:name w:val="toc 7"/>
    <w:basedOn w:val="TOC2"/>
    <w:next w:val="Normal"/>
    <w:uiPriority w:val="39"/>
    <w:qFormat/>
    <w:pPr>
      <w:ind w:left="1320"/>
    </w:pPr>
    <w:rPr>
      <w:smallCaps w:val="0"/>
      <w:sz w:val="18"/>
    </w:rPr>
  </w:style>
  <w:style w:type="paragraph" w:styleId="TOC2">
    <w:name w:val="toc 2"/>
    <w:basedOn w:val="Normal"/>
    <w:next w:val="Normal"/>
    <w:uiPriority w:val="39"/>
    <w:qFormat/>
    <w:pPr>
      <w:ind w:left="220"/>
    </w:pPr>
    <w:rPr>
      <w:smallCaps/>
      <w:sz w:val="20"/>
    </w:rPr>
  </w:style>
  <w:style w:type="paragraph" w:styleId="ListNumber2">
    <w:name w:val="List Number 2"/>
    <w:basedOn w:val="Normal"/>
    <w:qFormat/>
    <w:pPr>
      <w:numPr>
        <w:numId w:val="3"/>
      </w:numPr>
    </w:pPr>
  </w:style>
  <w:style w:type="paragraph" w:styleId="TableofAuthorities">
    <w:name w:val="table of authorities"/>
    <w:basedOn w:val="Normal"/>
    <w:next w:val="Normal"/>
    <w:semiHidden/>
    <w:qFormat/>
    <w:pPr>
      <w:ind w:left="220" w:hanging="220"/>
    </w:pPr>
  </w:style>
  <w:style w:type="paragraph" w:styleId="NoteHeading">
    <w:name w:val="Note Heading"/>
    <w:basedOn w:val="Normal"/>
    <w:next w:val="Normal"/>
    <w:link w:val="a17"/>
    <w:qFormat/>
  </w:style>
  <w:style w:type="paragraph" w:styleId="ListBullet4">
    <w:name w:val="List Bullet 4"/>
    <w:basedOn w:val="Normal"/>
    <w:qFormat/>
    <w:pPr>
      <w:numPr>
        <w:numId w:val="4"/>
      </w:numPr>
    </w:pPr>
  </w:style>
  <w:style w:type="paragraph" w:styleId="Index8">
    <w:name w:val="index 8"/>
    <w:basedOn w:val="Normal"/>
    <w:next w:val="Normal"/>
    <w:semiHidden/>
    <w:qFormat/>
    <w:pPr>
      <w:ind w:left="1760" w:hanging="220"/>
    </w:pPr>
  </w:style>
  <w:style w:type="paragraph" w:styleId="E-mailSignature">
    <w:name w:val="E-mail Signature"/>
    <w:basedOn w:val="Normal"/>
    <w:link w:val="a18"/>
    <w:qFormat/>
  </w:style>
  <w:style w:type="paragraph" w:styleId="ListNumber">
    <w:name w:val="List Number"/>
    <w:basedOn w:val="Normal"/>
    <w:qFormat/>
    <w:pPr>
      <w:numPr>
        <w:numId w:val="5"/>
      </w:numPr>
      <w:spacing w:before="138"/>
    </w:pPr>
  </w:style>
  <w:style w:type="paragraph" w:styleId="NormalIndent">
    <w:name w:val="Normal Indent"/>
    <w:basedOn w:val="Normal"/>
    <w:qFormat/>
    <w:pPr>
      <w:ind w:left="720"/>
    </w:pPr>
  </w:style>
  <w:style w:type="paragraph" w:styleId="Caption">
    <w:name w:val="caption"/>
    <w:basedOn w:val="Normal"/>
    <w:next w:val="Normal"/>
    <w:qFormat/>
    <w:pPr>
      <w:tabs>
        <w:tab w:val="right" w:pos="9360"/>
      </w:tabs>
      <w:spacing w:before="400"/>
    </w:pPr>
    <w:rPr>
      <w:rFonts w:ascii="Arial" w:hAnsi="Arial"/>
      <w:sz w:val="28"/>
    </w:rPr>
  </w:style>
  <w:style w:type="paragraph" w:styleId="Index5">
    <w:name w:val="index 5"/>
    <w:basedOn w:val="Normal"/>
    <w:next w:val="Normal"/>
    <w:semiHidden/>
    <w:qFormat/>
    <w:pPr>
      <w:ind w:left="1100" w:hanging="220"/>
    </w:pPr>
  </w:style>
  <w:style w:type="paragraph" w:styleId="ListBullet">
    <w:name w:val="List Bullet"/>
    <w:basedOn w:val="Normal"/>
    <w:qFormat/>
    <w:pPr>
      <w:numPr>
        <w:numId w:val="6"/>
      </w:numPr>
    </w:pPr>
  </w:style>
  <w:style w:type="paragraph" w:styleId="EnvelopeAddress">
    <w:name w:val="envelope address"/>
    <w:basedOn w:val="Normal"/>
    <w:qFormat/>
    <w:pPr>
      <w:framePr w:w="7920" w:h="1980" w:hRule="exact" w:hSpace="180" w:wrap="around" w:hAnchor="page" w:xAlign="center" w:yAlign="bottom"/>
      <w:ind w:left="2880"/>
    </w:pPr>
    <w:rPr>
      <w:rFonts w:ascii="Arial" w:hAnsi="Arial" w:cs="Arial"/>
      <w:sz w:val="24"/>
      <w:szCs w:val="24"/>
    </w:rPr>
  </w:style>
  <w:style w:type="paragraph" w:styleId="DocumentMap">
    <w:name w:val="Document Map"/>
    <w:basedOn w:val="Normal"/>
    <w:link w:val="a3"/>
    <w:semiHidden/>
    <w:qFormat/>
    <w:pPr>
      <w:shd w:val="clear" w:color="auto" w:fill="000080"/>
    </w:pPr>
    <w:rPr>
      <w:rFonts w:ascii="Tahoma" w:hAnsi="Tahoma"/>
    </w:rPr>
  </w:style>
  <w:style w:type="paragraph" w:styleId="TOAHeading">
    <w:name w:val="toa heading"/>
    <w:basedOn w:val="Normal"/>
    <w:next w:val="Normal"/>
    <w:semiHidden/>
    <w:qFormat/>
    <w:pPr>
      <w:spacing w:before="120"/>
    </w:pPr>
    <w:rPr>
      <w:rFonts w:ascii="Arial" w:hAnsi="Arial" w:cs="Arial"/>
      <w:b/>
      <w:bCs/>
      <w:sz w:val="24"/>
      <w:szCs w:val="24"/>
    </w:rPr>
  </w:style>
  <w:style w:type="paragraph" w:styleId="CommentText">
    <w:name w:val="annotation text"/>
    <w:basedOn w:val="Normal"/>
    <w:link w:val="a1"/>
    <w:qFormat/>
    <w:rPr>
      <w:sz w:val="20"/>
    </w:rPr>
  </w:style>
  <w:style w:type="paragraph" w:styleId="Index6">
    <w:name w:val="index 6"/>
    <w:basedOn w:val="Normal"/>
    <w:next w:val="Normal"/>
    <w:semiHidden/>
    <w:qFormat/>
    <w:pPr>
      <w:ind w:left="1320" w:hanging="220"/>
    </w:pPr>
  </w:style>
  <w:style w:type="paragraph" w:styleId="Salutation">
    <w:name w:val="Salutation"/>
    <w:basedOn w:val="Normal"/>
    <w:next w:val="Normal"/>
    <w:link w:val="a8"/>
    <w:qFormat/>
  </w:style>
  <w:style w:type="paragraph" w:styleId="BodyText3">
    <w:name w:val="Body Text 3"/>
    <w:basedOn w:val="Normal"/>
    <w:link w:val="31"/>
    <w:uiPriority w:val="99"/>
    <w:unhideWhenUsed/>
    <w:qFormat/>
    <w:pPr>
      <w:spacing w:after="120"/>
    </w:pPr>
    <w:rPr>
      <w:sz w:val="16"/>
      <w:szCs w:val="16"/>
    </w:rPr>
  </w:style>
  <w:style w:type="paragraph" w:styleId="Closing">
    <w:name w:val="Closing"/>
    <w:basedOn w:val="Normal"/>
    <w:link w:val="a14"/>
    <w:qFormat/>
    <w:pPr>
      <w:ind w:left="4320"/>
    </w:pPr>
  </w:style>
  <w:style w:type="paragraph" w:styleId="ListBullet3">
    <w:name w:val="List Bullet 3"/>
    <w:basedOn w:val="Normal"/>
    <w:qFormat/>
    <w:pPr>
      <w:numPr>
        <w:numId w:val="7"/>
      </w:numPr>
    </w:pPr>
  </w:style>
  <w:style w:type="paragraph" w:styleId="BodyText">
    <w:name w:val="Body Text"/>
    <w:basedOn w:val="Normal"/>
    <w:link w:val="a2"/>
    <w:qFormat/>
    <w:pPr>
      <w:ind w:left="720"/>
    </w:pPr>
  </w:style>
  <w:style w:type="paragraph" w:styleId="BodyTextIndent">
    <w:name w:val="Body Text Indent"/>
    <w:basedOn w:val="Normal"/>
    <w:link w:val="a5"/>
    <w:qFormat/>
    <w:pPr>
      <w:ind w:left="851"/>
    </w:pPr>
    <w:rPr>
      <w:rFonts w:eastAsia="金梅簡中明"/>
      <w:sz w:val="24"/>
      <w:lang w:eastAsia="zh-TW"/>
    </w:rPr>
  </w:style>
  <w:style w:type="paragraph" w:styleId="ListNumber3">
    <w:name w:val="List Number 3"/>
    <w:basedOn w:val="Normal"/>
    <w:qFormat/>
    <w:pPr>
      <w:numPr>
        <w:numId w:val="8"/>
      </w:numPr>
    </w:pPr>
  </w:style>
  <w:style w:type="paragraph" w:styleId="List2">
    <w:name w:val="List 2"/>
    <w:basedOn w:val="List"/>
    <w:qFormat/>
    <w:pPr>
      <w:spacing w:before="0"/>
    </w:pPr>
  </w:style>
  <w:style w:type="paragraph" w:styleId="List">
    <w:name w:val="List"/>
    <w:basedOn w:val="Normal"/>
    <w:qFormat/>
    <w:pPr>
      <w:tabs>
        <w:tab w:val="left" w:pos="1077"/>
      </w:tabs>
      <w:spacing w:before="138"/>
      <w:ind w:left="1077" w:hanging="1077"/>
    </w:pPr>
  </w:style>
  <w:style w:type="paragraph" w:styleId="ListContinue">
    <w:name w:val="List Continue"/>
    <w:basedOn w:val="Normal"/>
    <w:qFormat/>
    <w:pPr>
      <w:spacing w:after="120"/>
      <w:ind w:left="360"/>
    </w:pPr>
  </w:style>
  <w:style w:type="paragraph" w:styleId="BlockText">
    <w:name w:val="Block Text"/>
    <w:basedOn w:val="Normal"/>
    <w:qFormat/>
    <w:pPr>
      <w:spacing w:after="120"/>
      <w:ind w:left="1440" w:right="1440"/>
    </w:pPr>
  </w:style>
  <w:style w:type="paragraph" w:styleId="ListBullet2">
    <w:name w:val="List Bullet 2"/>
    <w:basedOn w:val="Normal"/>
    <w:qFormat/>
    <w:pPr>
      <w:numPr>
        <w:numId w:val="9"/>
      </w:numPr>
    </w:pPr>
  </w:style>
  <w:style w:type="paragraph" w:styleId="HTMLAddress">
    <w:name w:val="HTML Address"/>
    <w:basedOn w:val="Normal"/>
    <w:link w:val="HTML"/>
    <w:qFormat/>
    <w:rPr>
      <w:i/>
      <w:iCs/>
    </w:rPr>
  </w:style>
  <w:style w:type="paragraph" w:styleId="Index4">
    <w:name w:val="index 4"/>
    <w:basedOn w:val="Normal"/>
    <w:next w:val="Normal"/>
    <w:semiHidden/>
    <w:qFormat/>
    <w:pPr>
      <w:ind w:left="880" w:hanging="220"/>
    </w:pPr>
  </w:style>
  <w:style w:type="paragraph" w:styleId="TOC5">
    <w:name w:val="toc 5"/>
    <w:basedOn w:val="TOC1"/>
    <w:next w:val="Normal"/>
    <w:uiPriority w:val="39"/>
    <w:qFormat/>
    <w:pPr>
      <w:spacing w:before="0" w:after="0"/>
      <w:ind w:left="880"/>
    </w:pPr>
    <w:rPr>
      <w:b w:val="0"/>
      <w:caps w:val="0"/>
      <w:sz w:val="18"/>
    </w:rPr>
  </w:style>
  <w:style w:type="paragraph" w:styleId="TOC1">
    <w:name w:val="toc 1"/>
    <w:basedOn w:val="Normal"/>
    <w:next w:val="Normal"/>
    <w:uiPriority w:val="39"/>
    <w:qFormat/>
    <w:pPr>
      <w:spacing w:before="120" w:after="120"/>
    </w:pPr>
    <w:rPr>
      <w:b/>
      <w:caps/>
      <w:sz w:val="20"/>
    </w:rPr>
  </w:style>
  <w:style w:type="paragraph" w:styleId="TOC3">
    <w:name w:val="toc 3"/>
    <w:basedOn w:val="Normal"/>
    <w:next w:val="Normal"/>
    <w:uiPriority w:val="39"/>
    <w:qFormat/>
    <w:pPr>
      <w:ind w:left="440"/>
    </w:pPr>
    <w:rPr>
      <w:i/>
      <w:sz w:val="20"/>
    </w:rPr>
  </w:style>
  <w:style w:type="paragraph" w:styleId="PlainText">
    <w:name w:val="Plain Text"/>
    <w:basedOn w:val="Normal"/>
    <w:link w:val="a6"/>
    <w:qFormat/>
    <w:rPr>
      <w:rFonts w:ascii="Courier New" w:hAnsi="Courier New" w:cs="Courier New"/>
      <w:sz w:val="20"/>
    </w:rPr>
  </w:style>
  <w:style w:type="paragraph" w:styleId="ListBullet5">
    <w:name w:val="List Bullet 5"/>
    <w:basedOn w:val="Normal"/>
    <w:qFormat/>
    <w:pPr>
      <w:numPr>
        <w:numId w:val="10"/>
      </w:numPr>
    </w:pPr>
  </w:style>
  <w:style w:type="paragraph" w:styleId="ListNumber4">
    <w:name w:val="List Number 4"/>
    <w:basedOn w:val="Normal"/>
    <w:qFormat/>
    <w:pPr>
      <w:numPr>
        <w:numId w:val="11"/>
      </w:numPr>
    </w:pPr>
  </w:style>
  <w:style w:type="paragraph" w:styleId="TOC8">
    <w:name w:val="toc 8"/>
    <w:basedOn w:val="TOC3"/>
    <w:next w:val="Normal"/>
    <w:uiPriority w:val="39"/>
    <w:qFormat/>
    <w:pPr>
      <w:ind w:left="1540"/>
    </w:pPr>
    <w:rPr>
      <w:i w:val="0"/>
      <w:sz w:val="18"/>
    </w:rPr>
  </w:style>
  <w:style w:type="paragraph" w:styleId="Index3">
    <w:name w:val="index 3"/>
    <w:basedOn w:val="Normal"/>
    <w:next w:val="Normal"/>
    <w:semiHidden/>
    <w:qFormat/>
    <w:pPr>
      <w:ind w:left="660" w:hanging="220"/>
    </w:pPr>
  </w:style>
  <w:style w:type="paragraph" w:styleId="Date">
    <w:name w:val="Date"/>
    <w:basedOn w:val="Normal"/>
    <w:next w:val="Normal"/>
    <w:link w:val="a4"/>
    <w:qFormat/>
    <w:pPr>
      <w:jc w:val="right"/>
    </w:pPr>
    <w:rPr>
      <w:rFonts w:eastAsia="金梅簡中明"/>
      <w:sz w:val="24"/>
      <w:lang w:eastAsia="zh-TW"/>
    </w:rPr>
  </w:style>
  <w:style w:type="paragraph" w:styleId="BodyTextIndent2">
    <w:name w:val="Body Text Indent 2"/>
    <w:basedOn w:val="Normal"/>
    <w:link w:val="20"/>
    <w:unhideWhenUsed/>
    <w:qFormat/>
    <w:pPr>
      <w:spacing w:after="120" w:line="480" w:lineRule="auto"/>
      <w:ind w:left="420" w:leftChars="200"/>
    </w:pPr>
  </w:style>
  <w:style w:type="paragraph" w:styleId="EndnoteText">
    <w:name w:val="endnote text"/>
    <w:basedOn w:val="Normal"/>
    <w:link w:val="a12"/>
    <w:semiHidden/>
    <w:qFormat/>
    <w:rPr>
      <w:sz w:val="20"/>
    </w:rPr>
  </w:style>
  <w:style w:type="paragraph" w:styleId="ListContinue5">
    <w:name w:val="List Continue 5"/>
    <w:basedOn w:val="Normal"/>
    <w:qFormat/>
    <w:pPr>
      <w:spacing w:after="120"/>
      <w:ind w:left="1800"/>
    </w:pPr>
  </w:style>
  <w:style w:type="paragraph" w:styleId="BalloonText">
    <w:name w:val="Balloon Text"/>
    <w:basedOn w:val="Normal"/>
    <w:link w:val="a19"/>
    <w:uiPriority w:val="99"/>
    <w:qFormat/>
    <w:rPr>
      <w:rFonts w:ascii="宋体" w:eastAsia="宋体"/>
      <w:sz w:val="18"/>
      <w:szCs w:val="18"/>
    </w:rPr>
  </w:style>
  <w:style w:type="paragraph" w:styleId="Footer">
    <w:name w:val="footer"/>
    <w:basedOn w:val="Normal"/>
    <w:link w:val="a"/>
    <w:uiPriority w:val="99"/>
    <w:qFormat/>
    <w:pPr>
      <w:tabs>
        <w:tab w:val="center" w:pos="4153"/>
        <w:tab w:val="right" w:pos="8306"/>
      </w:tabs>
    </w:pPr>
  </w:style>
  <w:style w:type="paragraph" w:styleId="EnvelopeReturn">
    <w:name w:val="envelope return"/>
    <w:basedOn w:val="Normal"/>
    <w:qFormat/>
    <w:rPr>
      <w:rFonts w:ascii="Arial" w:hAnsi="Arial" w:cs="Arial"/>
      <w:sz w:val="20"/>
    </w:rPr>
  </w:style>
  <w:style w:type="paragraph" w:styleId="Header">
    <w:name w:val="header"/>
    <w:basedOn w:val="Normal"/>
    <w:link w:val="a0"/>
    <w:qFormat/>
    <w:pPr>
      <w:tabs>
        <w:tab w:val="center" w:pos="4153"/>
        <w:tab w:val="right" w:pos="8306"/>
      </w:tabs>
    </w:pPr>
  </w:style>
  <w:style w:type="paragraph" w:styleId="Signature">
    <w:name w:val="Signature"/>
    <w:basedOn w:val="Normal"/>
    <w:link w:val="a13"/>
    <w:qFormat/>
    <w:pPr>
      <w:ind w:left="4320"/>
    </w:pPr>
  </w:style>
  <w:style w:type="paragraph" w:styleId="ListContinue4">
    <w:name w:val="List Continue 4"/>
    <w:basedOn w:val="Normal"/>
    <w:qFormat/>
    <w:pPr>
      <w:spacing w:after="120"/>
      <w:ind w:left="1440"/>
    </w:pPr>
  </w:style>
  <w:style w:type="paragraph" w:styleId="TOC4">
    <w:name w:val="toc 4"/>
    <w:basedOn w:val="Normal"/>
    <w:next w:val="Normal"/>
    <w:uiPriority w:val="39"/>
    <w:unhideWhenUsed/>
    <w:qFormat/>
    <w:pPr>
      <w:ind w:left="1260" w:leftChars="600"/>
    </w:pPr>
  </w:style>
  <w:style w:type="paragraph" w:styleId="IndexHeading">
    <w:name w:val="index heading"/>
    <w:basedOn w:val="Normal"/>
    <w:next w:val="Index1"/>
    <w:semiHidden/>
    <w:qFormat/>
    <w:rPr>
      <w:rFonts w:ascii="Arial" w:hAnsi="Arial" w:cs="Arial"/>
      <w:b/>
      <w:bCs/>
    </w:rPr>
  </w:style>
  <w:style w:type="paragraph" w:styleId="Index1">
    <w:name w:val="index 1"/>
    <w:basedOn w:val="Normal"/>
    <w:next w:val="Normal"/>
    <w:semiHidden/>
    <w:qFormat/>
    <w:pPr>
      <w:ind w:left="220" w:hanging="220"/>
    </w:pPr>
  </w:style>
  <w:style w:type="paragraph" w:styleId="Subtitle">
    <w:name w:val="Subtitle"/>
    <w:basedOn w:val="Normal"/>
    <w:link w:val="a7"/>
    <w:qFormat/>
    <w:pPr>
      <w:spacing w:after="60"/>
      <w:jc w:val="center"/>
      <w:outlineLvl w:val="1"/>
    </w:pPr>
    <w:rPr>
      <w:rFonts w:ascii="Arial" w:hAnsi="Arial" w:cs="Arial"/>
      <w:sz w:val="24"/>
      <w:szCs w:val="24"/>
    </w:rPr>
  </w:style>
  <w:style w:type="paragraph" w:styleId="ListNumber5">
    <w:name w:val="List Number 5"/>
    <w:basedOn w:val="Normal"/>
    <w:qFormat/>
    <w:pPr>
      <w:numPr>
        <w:numId w:val="12"/>
      </w:numPr>
    </w:pPr>
  </w:style>
  <w:style w:type="paragraph" w:styleId="FootnoteText">
    <w:name w:val="footnote text"/>
    <w:basedOn w:val="Normal"/>
    <w:link w:val="a16"/>
    <w:semiHidden/>
    <w:qFormat/>
    <w:rPr>
      <w:sz w:val="20"/>
    </w:rPr>
  </w:style>
  <w:style w:type="paragraph" w:styleId="TOC6">
    <w:name w:val="toc 6"/>
    <w:basedOn w:val="TOC1"/>
    <w:next w:val="Normal"/>
    <w:uiPriority w:val="39"/>
    <w:qFormat/>
    <w:pPr>
      <w:spacing w:before="0" w:after="0"/>
      <w:ind w:left="1100"/>
    </w:pPr>
    <w:rPr>
      <w:b w:val="0"/>
      <w:caps w:val="0"/>
      <w:sz w:val="18"/>
    </w:rPr>
  </w:style>
  <w:style w:type="paragraph" w:styleId="List5">
    <w:name w:val="List 5"/>
    <w:basedOn w:val="Normal"/>
    <w:qFormat/>
    <w:pPr>
      <w:ind w:left="1800" w:hanging="360"/>
    </w:pPr>
  </w:style>
  <w:style w:type="paragraph" w:styleId="BodyTextIndent3">
    <w:name w:val="Body Text Indent 3"/>
    <w:basedOn w:val="Normal"/>
    <w:link w:val="30"/>
    <w:qFormat/>
    <w:pPr>
      <w:autoSpaceDE w:val="0"/>
      <w:autoSpaceDN w:val="0"/>
      <w:adjustRightInd w:val="0"/>
      <w:ind w:left="720"/>
    </w:pPr>
    <w:rPr>
      <w:sz w:val="24"/>
      <w:lang w:val="en-US" w:eastAsia="zh-CN"/>
    </w:rPr>
  </w:style>
  <w:style w:type="paragraph" w:styleId="Index7">
    <w:name w:val="index 7"/>
    <w:basedOn w:val="Normal"/>
    <w:next w:val="Normal"/>
    <w:semiHidden/>
    <w:qFormat/>
    <w:pPr>
      <w:ind w:left="1540" w:hanging="220"/>
    </w:pPr>
  </w:style>
  <w:style w:type="paragraph" w:styleId="Index9">
    <w:name w:val="index 9"/>
    <w:basedOn w:val="Normal"/>
    <w:next w:val="Normal"/>
    <w:semiHidden/>
    <w:qFormat/>
    <w:pPr>
      <w:ind w:left="1980" w:hanging="220"/>
    </w:pPr>
  </w:style>
  <w:style w:type="paragraph" w:styleId="TableofFigures">
    <w:name w:val="table of figures"/>
    <w:basedOn w:val="Normal"/>
    <w:next w:val="Normal"/>
    <w:semiHidden/>
    <w:qFormat/>
    <w:pPr>
      <w:ind w:left="440" w:hanging="440"/>
    </w:pPr>
  </w:style>
  <w:style w:type="paragraph" w:styleId="TOC9">
    <w:name w:val="toc 9"/>
    <w:basedOn w:val="Normal"/>
    <w:next w:val="Normal"/>
    <w:uiPriority w:val="39"/>
    <w:qFormat/>
    <w:pPr>
      <w:ind w:left="1760"/>
    </w:pPr>
    <w:rPr>
      <w:sz w:val="18"/>
    </w:rPr>
  </w:style>
  <w:style w:type="paragraph" w:styleId="BodyText2">
    <w:name w:val="Body Text 2"/>
    <w:basedOn w:val="Normal"/>
    <w:link w:val="21"/>
    <w:qFormat/>
    <w:pPr>
      <w:widowControl w:val="0"/>
    </w:pPr>
    <w:rPr>
      <w:rFonts w:ascii="金梅簡中明" w:eastAsia="金梅簡中明"/>
      <w:b/>
      <w:kern w:val="2"/>
      <w:sz w:val="24"/>
      <w:lang w:val="en-US" w:eastAsia="zh-TW"/>
    </w:rPr>
  </w:style>
  <w:style w:type="paragraph" w:styleId="List4">
    <w:name w:val="List 4"/>
    <w:basedOn w:val="Normal"/>
    <w:qFormat/>
    <w:pPr>
      <w:ind w:left="1440" w:hanging="360"/>
    </w:pPr>
  </w:style>
  <w:style w:type="paragraph" w:styleId="ListContinue2">
    <w:name w:val="List Continue 2"/>
    <w:basedOn w:val="Normal"/>
    <w:qFormat/>
    <w:pPr>
      <w:spacing w:after="120"/>
      <w:ind w:left="720"/>
    </w:pPr>
  </w:style>
  <w:style w:type="paragraph" w:styleId="MessageHeader">
    <w:name w:val="Message Header"/>
    <w:basedOn w:val="Normal"/>
    <w:link w:val="a15"/>
    <w:qFormat/>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sz w:val="24"/>
      <w:szCs w:val="24"/>
    </w:rPr>
  </w:style>
  <w:style w:type="paragraph" w:styleId="HTMLPreformatted">
    <w:name w:val="HTML Preformatted"/>
    <w:basedOn w:val="Normal"/>
    <w:link w:val="HTML0"/>
    <w:qFormat/>
    <w:rPr>
      <w:rFonts w:ascii="Courier New" w:hAnsi="Courier New" w:cs="Courier New"/>
      <w:sz w:val="20"/>
    </w:rPr>
  </w:style>
  <w:style w:type="paragraph" w:styleId="NormalWeb">
    <w:name w:val="Normal (Web)"/>
    <w:basedOn w:val="Normal"/>
    <w:qFormat/>
    <w:pPr>
      <w:spacing w:before="100" w:beforeAutospacing="1"/>
    </w:pPr>
    <w:rPr>
      <w:szCs w:val="24"/>
    </w:rPr>
  </w:style>
  <w:style w:type="paragraph" w:styleId="ListContinue3">
    <w:name w:val="List Continue 3"/>
    <w:basedOn w:val="Normal"/>
    <w:qFormat/>
    <w:pPr>
      <w:spacing w:after="120"/>
      <w:ind w:left="1080"/>
    </w:pPr>
  </w:style>
  <w:style w:type="paragraph" w:styleId="Index2">
    <w:name w:val="index 2"/>
    <w:basedOn w:val="Normal"/>
    <w:next w:val="Normal"/>
    <w:semiHidden/>
    <w:qFormat/>
    <w:pPr>
      <w:ind w:left="440" w:hanging="220"/>
    </w:pPr>
  </w:style>
  <w:style w:type="paragraph" w:styleId="Title">
    <w:name w:val="Title"/>
    <w:basedOn w:val="Normal"/>
    <w:link w:val="a11"/>
    <w:qFormat/>
    <w:pPr>
      <w:spacing w:before="240" w:after="60"/>
      <w:jc w:val="center"/>
      <w:outlineLvl w:val="0"/>
    </w:pPr>
    <w:rPr>
      <w:rFonts w:ascii="Arial" w:hAnsi="Arial" w:cs="Arial"/>
      <w:b/>
      <w:bCs/>
      <w:kern w:val="28"/>
      <w:sz w:val="32"/>
      <w:szCs w:val="32"/>
    </w:rPr>
  </w:style>
  <w:style w:type="paragraph" w:styleId="CommentSubject">
    <w:name w:val="annotation subject"/>
    <w:basedOn w:val="CommentText"/>
    <w:next w:val="CommentText"/>
    <w:link w:val="a22"/>
    <w:uiPriority w:val="99"/>
    <w:semiHidden/>
    <w:unhideWhenUsed/>
    <w:qFormat/>
    <w:rPr>
      <w:b/>
      <w:bCs/>
    </w:rPr>
  </w:style>
  <w:style w:type="paragraph" w:styleId="BodyTextFirstIndent">
    <w:name w:val="Body Text First Indent"/>
    <w:basedOn w:val="BodyText"/>
    <w:link w:val="a10"/>
    <w:qFormat/>
    <w:pPr>
      <w:spacing w:after="120"/>
      <w:ind w:left="0" w:firstLine="210"/>
    </w:pPr>
  </w:style>
  <w:style w:type="paragraph" w:styleId="BodyTextFirstIndent2">
    <w:name w:val="Body Text First Indent 2"/>
    <w:basedOn w:val="BodyTextIndent"/>
    <w:link w:val="22"/>
    <w:qFormat/>
    <w:pPr>
      <w:spacing w:after="120"/>
      <w:ind w:left="360" w:firstLine="210"/>
    </w:pPr>
    <w:rPr>
      <w:rFonts w:eastAsia="PMingLiU"/>
      <w:sz w:val="22"/>
      <w:lang w:eastAsia="en-US"/>
    </w:rPr>
  </w:style>
  <w:style w:type="table" w:styleId="TableGrid">
    <w:name w:val="Table Grid"/>
    <w:basedOn w:val="TableNormal"/>
    <w:qFormat/>
    <w:rPr>
      <w:rFonts w:eastAsia="PMingLi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qFormat/>
  </w:style>
  <w:style w:type="character" w:styleId="FollowedHyperlink">
    <w:name w:val="FollowedHyperlink"/>
    <w:qFormat/>
    <w:rPr>
      <w:color w:val="800080"/>
      <w:u w:val="single"/>
    </w:rPr>
  </w:style>
  <w:style w:type="character" w:styleId="Emphasis">
    <w:name w:val="Emphasis"/>
    <w:uiPriority w:val="20"/>
    <w:qFormat/>
    <w:rPr>
      <w:i/>
      <w:iCs/>
    </w:rPr>
  </w:style>
  <w:style w:type="character" w:styleId="Hyperlink">
    <w:name w:val="Hyperlink"/>
    <w:uiPriority w:val="99"/>
    <w:qFormat/>
    <w:rPr>
      <w:color w:val="auto"/>
      <w:u w:val="single"/>
    </w:rPr>
  </w:style>
  <w:style w:type="character" w:styleId="CommentReference">
    <w:name w:val="annotation reference"/>
    <w:basedOn w:val="DefaultParagraphFont"/>
    <w:uiPriority w:val="99"/>
    <w:semiHidden/>
    <w:unhideWhenUsed/>
    <w:qFormat/>
    <w:rPr>
      <w:sz w:val="21"/>
      <w:szCs w:val="21"/>
    </w:rPr>
  </w:style>
  <w:style w:type="character" w:customStyle="1" w:styleId="1">
    <w:name w:val="标题 1 字符"/>
    <w:basedOn w:val="DefaultParagraphFont"/>
    <w:link w:val="Heading1"/>
    <w:qFormat/>
    <w:rPr>
      <w:rFonts w:ascii="Times New Roman" w:hAnsi="Times New Roman" w:cs="Arial"/>
      <w:b/>
      <w:caps/>
      <w:sz w:val="24"/>
      <w:lang w:val="en-GB" w:eastAsia="en-US"/>
    </w:rPr>
  </w:style>
  <w:style w:type="character" w:customStyle="1" w:styleId="2">
    <w:name w:val="标题 2 字符"/>
    <w:basedOn w:val="DefaultParagraphFont"/>
    <w:link w:val="Heading2"/>
    <w:qFormat/>
    <w:rPr>
      <w:rFonts w:ascii="Times New Roman" w:hAnsi="Times New Roman" w:cs="Arial"/>
      <w:b/>
      <w:sz w:val="24"/>
      <w:lang w:val="en-GB" w:eastAsia="en-US"/>
    </w:rPr>
  </w:style>
  <w:style w:type="character" w:customStyle="1" w:styleId="3">
    <w:name w:val="标题 3 字符"/>
    <w:basedOn w:val="DefaultParagraphFont"/>
    <w:link w:val="Heading3"/>
    <w:qFormat/>
    <w:rPr>
      <w:rFonts w:ascii="Times New Roman" w:hAnsi="Times New Roman" w:cs="Arial"/>
      <w:b/>
      <w:lang w:val="en-GB" w:eastAsia="en-US"/>
    </w:rPr>
  </w:style>
  <w:style w:type="character" w:customStyle="1" w:styleId="4">
    <w:name w:val="标题 4 字符"/>
    <w:basedOn w:val="DefaultParagraphFont"/>
    <w:link w:val="Heading4"/>
    <w:qFormat/>
    <w:rPr>
      <w:rFonts w:ascii="Times New Roman" w:hAnsi="Times New Roman" w:cs="Arial"/>
      <w:b/>
      <w:lang w:val="en-GB" w:eastAsia="en-US"/>
    </w:rPr>
  </w:style>
  <w:style w:type="character" w:customStyle="1" w:styleId="5">
    <w:name w:val="标题 5 字符"/>
    <w:basedOn w:val="DefaultParagraphFont"/>
    <w:link w:val="Heading5"/>
    <w:uiPriority w:val="99"/>
    <w:qFormat/>
    <w:rPr>
      <w:rFonts w:ascii="Arial" w:eastAsia="PMingLiU" w:hAnsi="Arial" w:cs="Times New Roman"/>
      <w:kern w:val="0"/>
      <w:sz w:val="36"/>
      <w:szCs w:val="20"/>
      <w:lang w:val="en-GB" w:eastAsia="en-US"/>
    </w:rPr>
  </w:style>
  <w:style w:type="character" w:customStyle="1" w:styleId="6">
    <w:name w:val="标题 6 字符"/>
    <w:basedOn w:val="DefaultParagraphFont"/>
    <w:link w:val="Heading6"/>
    <w:qFormat/>
    <w:rPr>
      <w:rFonts w:ascii="Times New Roman" w:eastAsia="PMingLiU" w:hAnsi="Times New Roman" w:cs="Times New Roman"/>
      <w:i/>
      <w:kern w:val="0"/>
      <w:sz w:val="22"/>
      <w:szCs w:val="20"/>
      <w:lang w:val="en-GB" w:eastAsia="en-US"/>
    </w:rPr>
  </w:style>
  <w:style w:type="character" w:customStyle="1" w:styleId="7">
    <w:name w:val="标题 7 字符"/>
    <w:basedOn w:val="DefaultParagraphFont"/>
    <w:link w:val="Heading7"/>
    <w:qFormat/>
    <w:rPr>
      <w:rFonts w:ascii="Arial" w:eastAsia="PMingLiU" w:hAnsi="Arial" w:cs="Times New Roman"/>
      <w:kern w:val="0"/>
      <w:sz w:val="22"/>
      <w:szCs w:val="20"/>
      <w:lang w:val="en-GB" w:eastAsia="en-US"/>
    </w:rPr>
  </w:style>
  <w:style w:type="character" w:customStyle="1" w:styleId="8">
    <w:name w:val="标题 8 字符"/>
    <w:basedOn w:val="DefaultParagraphFont"/>
    <w:link w:val="Heading8"/>
    <w:qFormat/>
    <w:rPr>
      <w:rFonts w:ascii="Arial" w:eastAsia="PMingLiU" w:hAnsi="Arial" w:cs="Times New Roman"/>
      <w:i/>
      <w:kern w:val="0"/>
      <w:sz w:val="22"/>
      <w:szCs w:val="20"/>
      <w:lang w:val="en-GB" w:eastAsia="en-US"/>
    </w:rPr>
  </w:style>
  <w:style w:type="character" w:customStyle="1" w:styleId="9">
    <w:name w:val="标题 9 字符"/>
    <w:basedOn w:val="DefaultParagraphFont"/>
    <w:link w:val="Heading9"/>
    <w:qFormat/>
    <w:rPr>
      <w:rFonts w:ascii="Arial" w:eastAsia="PMingLiU" w:hAnsi="Arial" w:cs="Times New Roman"/>
      <w:b/>
      <w:i/>
      <w:kern w:val="0"/>
      <w:sz w:val="18"/>
      <w:szCs w:val="20"/>
      <w:lang w:val="en-GB" w:eastAsia="en-US"/>
    </w:rPr>
  </w:style>
  <w:style w:type="character" w:customStyle="1" w:styleId="HR-12">
    <w:name w:val="HR-12"/>
    <w:qFormat/>
    <w:rPr>
      <w:rFonts w:ascii="Arial" w:hAnsi="Arial"/>
      <w:sz w:val="24"/>
    </w:rPr>
  </w:style>
  <w:style w:type="character" w:customStyle="1" w:styleId="a">
    <w:name w:val="页脚 字符"/>
    <w:basedOn w:val="DefaultParagraphFont"/>
    <w:link w:val="Footer"/>
    <w:uiPriority w:val="99"/>
    <w:qFormat/>
    <w:rPr>
      <w:rFonts w:ascii="Times New Roman" w:eastAsia="PMingLiU" w:hAnsi="Times New Roman" w:cs="Times New Roman"/>
      <w:kern w:val="0"/>
      <w:sz w:val="22"/>
      <w:szCs w:val="20"/>
      <w:lang w:val="en-GB" w:eastAsia="en-US"/>
    </w:rPr>
  </w:style>
  <w:style w:type="character" w:customStyle="1" w:styleId="a0">
    <w:name w:val="页眉 字符"/>
    <w:basedOn w:val="DefaultParagraphFont"/>
    <w:link w:val="Header"/>
    <w:uiPriority w:val="99"/>
    <w:qFormat/>
    <w:rPr>
      <w:rFonts w:ascii="Times New Roman" w:eastAsia="PMingLiU" w:hAnsi="Times New Roman" w:cs="Times New Roman"/>
      <w:kern w:val="0"/>
      <w:sz w:val="22"/>
      <w:szCs w:val="20"/>
      <w:lang w:val="en-GB" w:eastAsia="en-US"/>
    </w:rPr>
  </w:style>
  <w:style w:type="character" w:customStyle="1" w:styleId="HR-10">
    <w:name w:val="HR-10"/>
    <w:qFormat/>
    <w:rPr>
      <w:rFonts w:ascii="Arial" w:hAnsi="Arial"/>
      <w:sz w:val="20"/>
    </w:rPr>
  </w:style>
  <w:style w:type="character" w:customStyle="1" w:styleId="a1">
    <w:name w:val="批注文字 字符"/>
    <w:basedOn w:val="DefaultParagraphFont"/>
    <w:link w:val="CommentText"/>
    <w:qFormat/>
    <w:rPr>
      <w:rFonts w:ascii="Times New Roman" w:eastAsia="PMingLiU" w:hAnsi="Times New Roman" w:cs="Times New Roman"/>
      <w:kern w:val="0"/>
      <w:sz w:val="20"/>
      <w:szCs w:val="20"/>
      <w:lang w:val="en-GB" w:eastAsia="en-US"/>
    </w:rPr>
  </w:style>
  <w:style w:type="paragraph" w:customStyle="1" w:styleId="ReportLevel2">
    <w:name w:val="Report Level 2"/>
    <w:basedOn w:val="ReportLevel1"/>
    <w:next w:val="Normal"/>
    <w:link w:val="ReportLevel2Char1"/>
    <w:qFormat/>
    <w:pPr>
      <w:numPr>
        <w:ilvl w:val="1"/>
      </w:numPr>
      <w:outlineLvl w:val="1"/>
    </w:pPr>
    <w:rPr>
      <w:b w:val="0"/>
      <w:caps w:val="0"/>
    </w:rPr>
  </w:style>
  <w:style w:type="character" w:customStyle="1" w:styleId="ReportLevel2Char1">
    <w:name w:val="Report Level 2 Char1"/>
    <w:link w:val="ReportLevel2"/>
    <w:qFormat/>
    <w:rPr>
      <w:rFonts w:ascii="Times New Roman" w:hAnsi="Times New Roman"/>
      <w:sz w:val="24"/>
      <w:lang w:val="en-GB" w:eastAsia="en-US"/>
    </w:rPr>
  </w:style>
  <w:style w:type="paragraph" w:customStyle="1" w:styleId="ReportLevel3">
    <w:name w:val="Report Level 3"/>
    <w:basedOn w:val="ReportLevel1"/>
    <w:next w:val="Normal"/>
    <w:link w:val="ReportLevel3Char"/>
    <w:qFormat/>
    <w:pPr>
      <w:numPr>
        <w:ilvl w:val="2"/>
      </w:numPr>
      <w:jc w:val="both"/>
      <w:outlineLvl w:val="2"/>
    </w:pPr>
    <w:rPr>
      <w:rFonts w:eastAsia="PMingLiU"/>
      <w:b w:val="0"/>
      <w:caps w:val="0"/>
    </w:rPr>
  </w:style>
  <w:style w:type="character" w:customStyle="1" w:styleId="ReportLevel3Char">
    <w:name w:val="Report Level 3 Char"/>
    <w:link w:val="ReportLevel3"/>
    <w:qFormat/>
    <w:rPr>
      <w:rFonts w:ascii="Times New Roman" w:eastAsia="PMingLiU" w:hAnsi="Times New Roman"/>
      <w:sz w:val="24"/>
      <w:lang w:val="en-GB" w:eastAsia="en-US"/>
    </w:rPr>
  </w:style>
  <w:style w:type="paragraph" w:customStyle="1" w:styleId="ReportLevel4">
    <w:name w:val="Report Level 4"/>
    <w:basedOn w:val="ReportLevel3"/>
    <w:next w:val="Normal"/>
    <w:qFormat/>
    <w:pPr>
      <w:numPr>
        <w:ilvl w:val="3"/>
      </w:numPr>
      <w:outlineLvl w:val="3"/>
    </w:pPr>
  </w:style>
  <w:style w:type="character" w:customStyle="1" w:styleId="30">
    <w:name w:val="正文文本缩进 3 字符"/>
    <w:basedOn w:val="DefaultParagraphFont"/>
    <w:link w:val="BodyTextIndent3"/>
    <w:qFormat/>
    <w:rPr>
      <w:rFonts w:ascii="Times New Roman" w:eastAsia="PMingLiU" w:hAnsi="Times New Roman" w:cs="Times New Roman"/>
      <w:kern w:val="0"/>
      <w:sz w:val="24"/>
      <w:szCs w:val="20"/>
    </w:rPr>
  </w:style>
  <w:style w:type="paragraph" w:customStyle="1" w:styleId="ReportText">
    <w:name w:val="Report Text"/>
    <w:basedOn w:val="Normal"/>
    <w:link w:val="ReportTextChar3"/>
    <w:qFormat/>
    <w:pPr>
      <w:ind w:left="1080"/>
      <w:jc w:val="both"/>
    </w:pPr>
    <w:rPr>
      <w:rFonts w:eastAsia="宋体"/>
      <w:sz w:val="24"/>
    </w:rPr>
  </w:style>
  <w:style w:type="character" w:customStyle="1" w:styleId="ReportTextChar3">
    <w:name w:val="Report Text Char3"/>
    <w:basedOn w:val="DefaultParagraphFont"/>
    <w:link w:val="ReportText"/>
    <w:qFormat/>
    <w:locked/>
    <w:rPr>
      <w:rFonts w:ascii="Times New Roman" w:eastAsia="宋体" w:hAnsi="Times New Roman" w:cs="Times New Roman"/>
      <w:kern w:val="0"/>
      <w:sz w:val="24"/>
      <w:szCs w:val="20"/>
      <w:lang w:val="en-GB" w:eastAsia="en-US"/>
    </w:rPr>
  </w:style>
  <w:style w:type="character" w:customStyle="1" w:styleId="31">
    <w:name w:val="正文文本 3 字符"/>
    <w:basedOn w:val="DefaultParagraphFont"/>
    <w:link w:val="BodyText3"/>
    <w:uiPriority w:val="99"/>
    <w:qFormat/>
    <w:rPr>
      <w:rFonts w:ascii="Times New Roman" w:eastAsia="PMingLiU" w:hAnsi="Times New Roman" w:cs="Times New Roman"/>
      <w:kern w:val="0"/>
      <w:sz w:val="16"/>
      <w:szCs w:val="16"/>
      <w:lang w:val="en-GB" w:eastAsia="en-US"/>
    </w:rPr>
  </w:style>
  <w:style w:type="paragraph" w:customStyle="1" w:styleId="ReportLevel5">
    <w:name w:val="Report Level 5"/>
    <w:basedOn w:val="ReportLevel3"/>
    <w:qFormat/>
    <w:pPr>
      <w:keepNext w:val="0"/>
      <w:numPr>
        <w:ilvl w:val="0"/>
        <w:numId w:val="0"/>
      </w:numPr>
      <w:tabs>
        <w:tab w:val="clear" w:pos="1077"/>
        <w:tab w:val="left" w:pos="1080"/>
      </w:tabs>
      <w:spacing w:after="240"/>
      <w:ind w:left="1080" w:hanging="1080"/>
    </w:pPr>
    <w:rPr>
      <w:rFonts w:eastAsia="宋体"/>
      <w:lang w:val="en-US" w:eastAsia="zh-CN"/>
    </w:rPr>
  </w:style>
  <w:style w:type="character" w:customStyle="1" w:styleId="20">
    <w:name w:val="正文文本缩进 2 字符"/>
    <w:basedOn w:val="DefaultParagraphFont"/>
    <w:link w:val="BodyTextIndent2"/>
    <w:qFormat/>
    <w:rPr>
      <w:rFonts w:ascii="Times New Roman" w:eastAsia="PMingLiU" w:hAnsi="Times New Roman" w:cs="Times New Roman"/>
      <w:kern w:val="0"/>
      <w:sz w:val="22"/>
      <w:szCs w:val="20"/>
      <w:lang w:val="en-GB" w:eastAsia="en-US"/>
    </w:rPr>
  </w:style>
  <w:style w:type="paragraph" w:customStyle="1" w:styleId="ReportList1">
    <w:name w:val="Report List 1"/>
    <w:basedOn w:val="List"/>
    <w:qFormat/>
    <w:pPr>
      <w:numPr>
        <w:numId w:val="13"/>
      </w:numPr>
      <w:spacing w:before="0" w:after="138"/>
    </w:pPr>
  </w:style>
  <w:style w:type="paragraph" w:customStyle="1" w:styleId="ReportList2">
    <w:name w:val="Report List 2"/>
    <w:basedOn w:val="ReportList1"/>
    <w:qFormat/>
    <w:pPr>
      <w:numPr>
        <w:numId w:val="14"/>
      </w:numPr>
      <w:spacing w:after="0"/>
    </w:pPr>
  </w:style>
  <w:style w:type="character" w:customStyle="1" w:styleId="8pt">
    <w:name w:val="8pt"/>
    <w:qFormat/>
    <w:rPr>
      <w:rFonts w:ascii="Arial" w:hAnsi="Arial"/>
      <w:sz w:val="16"/>
    </w:rPr>
  </w:style>
  <w:style w:type="paragraph" w:customStyle="1" w:styleId="ReportHeading">
    <w:name w:val="Report Heading"/>
    <w:basedOn w:val="Normal"/>
    <w:next w:val="ReportText"/>
    <w:qFormat/>
    <w:pPr>
      <w:tabs>
        <w:tab w:val="left" w:pos="2160"/>
      </w:tabs>
      <w:spacing w:before="120" w:after="138"/>
      <w:ind w:firstLine="1080"/>
    </w:pPr>
    <w:rPr>
      <w:rFonts w:ascii="Arial" w:hAnsi="Arial"/>
      <w:b/>
    </w:rPr>
  </w:style>
  <w:style w:type="paragraph" w:customStyle="1" w:styleId="HR-14">
    <w:name w:val="HR-14"/>
    <w:basedOn w:val="Normal"/>
    <w:next w:val="Normal"/>
    <w:qFormat/>
    <w:rPr>
      <w:rFonts w:ascii="Arial" w:hAnsi="Arial"/>
      <w:sz w:val="28"/>
    </w:rPr>
  </w:style>
  <w:style w:type="character" w:customStyle="1" w:styleId="AB-10">
    <w:name w:val="AB-10"/>
    <w:qFormat/>
    <w:rPr>
      <w:rFonts w:ascii="Arial" w:hAnsi="Arial"/>
      <w:b/>
      <w:sz w:val="20"/>
    </w:rPr>
  </w:style>
  <w:style w:type="paragraph" w:customStyle="1" w:styleId="HR-13">
    <w:name w:val="HR-13"/>
    <w:basedOn w:val="Normal"/>
    <w:next w:val="Normal"/>
    <w:qFormat/>
    <w:rPr>
      <w:rFonts w:ascii="Arial" w:hAnsi="Arial"/>
      <w:sz w:val="26"/>
    </w:rPr>
  </w:style>
  <w:style w:type="paragraph" w:customStyle="1" w:styleId="AB-18">
    <w:name w:val="AB-18"/>
    <w:basedOn w:val="HR-13"/>
    <w:qFormat/>
    <w:rPr>
      <w:b/>
      <w:bCs/>
    </w:rPr>
  </w:style>
  <w:style w:type="paragraph" w:customStyle="1" w:styleId="AB-14">
    <w:name w:val="AB-14"/>
    <w:basedOn w:val="Normal"/>
    <w:next w:val="Normal"/>
    <w:qFormat/>
    <w:rPr>
      <w:rFonts w:ascii="Arial" w:hAnsi="Arial"/>
      <w:b/>
      <w:sz w:val="28"/>
    </w:rPr>
  </w:style>
  <w:style w:type="paragraph" w:customStyle="1" w:styleId="ReportList">
    <w:name w:val="Report List"/>
    <w:basedOn w:val="ReportText"/>
    <w:qFormat/>
  </w:style>
  <w:style w:type="character" w:customStyle="1" w:styleId="a2">
    <w:name w:val="正文文本 字符"/>
    <w:basedOn w:val="DefaultParagraphFont"/>
    <w:link w:val="BodyText"/>
    <w:qFormat/>
    <w:rPr>
      <w:rFonts w:ascii="Times New Roman" w:eastAsia="PMingLiU" w:hAnsi="Times New Roman" w:cs="Times New Roman"/>
      <w:kern w:val="0"/>
      <w:sz w:val="22"/>
      <w:szCs w:val="20"/>
      <w:lang w:val="en-GB" w:eastAsia="en-US"/>
    </w:rPr>
  </w:style>
  <w:style w:type="paragraph" w:customStyle="1" w:styleId="Label">
    <w:name w:val="Label"/>
    <w:basedOn w:val="Normal"/>
    <w:next w:val="Normal"/>
    <w:qFormat/>
    <w:pPr>
      <w:spacing w:before="120"/>
    </w:pPr>
    <w:rPr>
      <w:rFonts w:ascii="Arial" w:hAnsi="Arial"/>
      <w:sz w:val="16"/>
    </w:rPr>
  </w:style>
  <w:style w:type="paragraph" w:customStyle="1" w:styleId="Headinginput">
    <w:name w:val="Heading input"/>
    <w:basedOn w:val="Normal"/>
    <w:next w:val="Normal"/>
    <w:qFormat/>
    <w:pPr>
      <w:spacing w:before="80"/>
    </w:pPr>
  </w:style>
  <w:style w:type="character" w:customStyle="1" w:styleId="HR-8">
    <w:name w:val="HR-8"/>
    <w:qFormat/>
    <w:rPr>
      <w:rFonts w:ascii="Arial" w:hAnsi="Arial"/>
      <w:sz w:val="16"/>
    </w:rPr>
  </w:style>
  <w:style w:type="paragraph" w:customStyle="1" w:styleId="Filename">
    <w:name w:val="Filename"/>
    <w:basedOn w:val="Footer"/>
    <w:qFormat/>
    <w:pPr>
      <w:spacing w:before="72"/>
    </w:pPr>
    <w:rPr>
      <w:caps/>
      <w:sz w:val="12"/>
    </w:rPr>
  </w:style>
  <w:style w:type="character" w:customStyle="1" w:styleId="a3">
    <w:name w:val="文档结构图 字符"/>
    <w:basedOn w:val="DefaultParagraphFont"/>
    <w:link w:val="DocumentMap"/>
    <w:semiHidden/>
    <w:qFormat/>
    <w:rPr>
      <w:rFonts w:ascii="Tahoma" w:eastAsia="PMingLiU" w:hAnsi="Tahoma" w:cs="Times New Roman"/>
      <w:kern w:val="0"/>
      <w:sz w:val="22"/>
      <w:szCs w:val="20"/>
      <w:shd w:val="clear" w:color="auto" w:fill="000080"/>
      <w:lang w:val="en-GB" w:eastAsia="en-US"/>
    </w:rPr>
  </w:style>
  <w:style w:type="paragraph" w:customStyle="1" w:styleId="ClauseNum1">
    <w:name w:val="ClauseNum 1"/>
    <w:basedOn w:val="Heading1"/>
    <w:qFormat/>
    <w:pPr>
      <w:keepNext/>
      <w:pageBreakBefore/>
    </w:pPr>
  </w:style>
  <w:style w:type="paragraph" w:customStyle="1" w:styleId="AppendixLetter">
    <w:name w:val="Appendix Letter"/>
    <w:basedOn w:val="HR-18"/>
    <w:next w:val="Normal"/>
    <w:qFormat/>
    <w:pPr>
      <w:numPr>
        <w:ilvl w:val="1"/>
        <w:numId w:val="15"/>
      </w:numPr>
      <w:tabs>
        <w:tab w:val="clear" w:pos="1080"/>
        <w:tab w:val="left" w:pos="1800"/>
      </w:tabs>
    </w:pPr>
    <w:rPr>
      <w:sz w:val="26"/>
    </w:rPr>
  </w:style>
  <w:style w:type="paragraph" w:customStyle="1" w:styleId="HR-18">
    <w:name w:val="HR-18"/>
    <w:basedOn w:val="Normal"/>
    <w:next w:val="Normal"/>
    <w:qFormat/>
    <w:rPr>
      <w:rFonts w:ascii="Arial" w:hAnsi="Arial"/>
      <w:sz w:val="36"/>
    </w:rPr>
  </w:style>
  <w:style w:type="paragraph" w:customStyle="1" w:styleId="AppendixLevel1">
    <w:name w:val="Appendix Level 1"/>
    <w:basedOn w:val="Normal"/>
    <w:next w:val="ReportText"/>
    <w:qFormat/>
    <w:pPr>
      <w:keepNext/>
      <w:tabs>
        <w:tab w:val="left" w:pos="1080"/>
      </w:tabs>
      <w:spacing w:before="240" w:after="138"/>
      <w:ind w:left="1080" w:hanging="1080"/>
      <w:outlineLvl w:val="1"/>
    </w:pPr>
    <w:rPr>
      <w:rFonts w:ascii="Arial" w:hAnsi="Arial"/>
      <w:b/>
      <w:caps/>
      <w:sz w:val="24"/>
    </w:rPr>
  </w:style>
  <w:style w:type="paragraph" w:customStyle="1" w:styleId="AppendixLevel2">
    <w:name w:val="Appendix Level 2"/>
    <w:basedOn w:val="AppendixLevel1"/>
    <w:next w:val="ReportText"/>
    <w:qFormat/>
    <w:pPr>
      <w:outlineLvl w:val="2"/>
    </w:pPr>
    <w:rPr>
      <w:caps w:val="0"/>
    </w:rPr>
  </w:style>
  <w:style w:type="paragraph" w:customStyle="1" w:styleId="AppendixLevel3">
    <w:name w:val="Appendix Level 3"/>
    <w:basedOn w:val="AppendixLevel1"/>
    <w:next w:val="ReportText"/>
    <w:qFormat/>
    <w:pPr>
      <w:spacing w:before="120"/>
      <w:outlineLvl w:val="3"/>
    </w:pPr>
    <w:rPr>
      <w:caps w:val="0"/>
      <w:sz w:val="20"/>
    </w:rPr>
  </w:style>
  <w:style w:type="paragraph" w:customStyle="1" w:styleId="AppendixLevel4">
    <w:name w:val="Appendix Level 4"/>
    <w:basedOn w:val="AppendixLevel3"/>
    <w:next w:val="ReportText"/>
    <w:qFormat/>
    <w:pPr>
      <w:outlineLvl w:val="4"/>
    </w:pPr>
  </w:style>
  <w:style w:type="paragraph" w:customStyle="1" w:styleId="AppendixTitle">
    <w:name w:val="Appendix Title"/>
    <w:basedOn w:val="HR-18"/>
    <w:next w:val="Normal"/>
    <w:qFormat/>
    <w:pPr>
      <w:outlineLvl w:val="0"/>
    </w:pPr>
    <w:rPr>
      <w:b/>
      <w:sz w:val="26"/>
    </w:rPr>
  </w:style>
  <w:style w:type="paragraph" w:customStyle="1" w:styleId="ClauseNum2">
    <w:name w:val="ClauseNum 2"/>
    <w:basedOn w:val="Heading2"/>
    <w:qFormat/>
    <w:pPr>
      <w:keepNext/>
    </w:pPr>
  </w:style>
  <w:style w:type="paragraph" w:customStyle="1" w:styleId="ClauseNum3">
    <w:name w:val="ClauseNum 3"/>
    <w:basedOn w:val="Heading3"/>
    <w:qFormat/>
  </w:style>
  <w:style w:type="paragraph" w:customStyle="1" w:styleId="ClauseNum4">
    <w:name w:val="ClauseNum 4"/>
    <w:basedOn w:val="Heading4"/>
    <w:qFormat/>
  </w:style>
  <w:style w:type="paragraph" w:customStyle="1" w:styleId="ReportExecSummary">
    <w:name w:val="Report Exec Summary"/>
    <w:basedOn w:val="ReportLevel1"/>
    <w:next w:val="Normal"/>
    <w:qFormat/>
    <w:pPr>
      <w:numPr>
        <w:numId w:val="0"/>
      </w:numPr>
      <w:tabs>
        <w:tab w:val="clear" w:pos="1077"/>
        <w:tab w:val="left" w:pos="1080"/>
      </w:tabs>
      <w:spacing w:after="138"/>
      <w:outlineLvl w:val="9"/>
    </w:pPr>
    <w:rPr>
      <w:rFonts w:eastAsia="PMingLiU"/>
    </w:rPr>
  </w:style>
  <w:style w:type="paragraph" w:customStyle="1" w:styleId="ReportExecSummaryText">
    <w:name w:val="Report Exec Summary Text"/>
    <w:basedOn w:val="ReportText"/>
    <w:qFormat/>
    <w:pPr>
      <w:ind w:left="0"/>
      <w:jc w:val="left"/>
    </w:pPr>
  </w:style>
  <w:style w:type="paragraph" w:customStyle="1" w:styleId="ReportReference">
    <w:name w:val="Report Reference"/>
    <w:basedOn w:val="Normal"/>
    <w:qFormat/>
    <w:pPr>
      <w:numPr>
        <w:numId w:val="16"/>
      </w:numPr>
      <w:tabs>
        <w:tab w:val="left" w:pos="1080"/>
        <w:tab w:val="clear" w:pos="2736"/>
      </w:tabs>
      <w:spacing w:before="240"/>
      <w:ind w:left="1080" w:hanging="1080"/>
    </w:pPr>
  </w:style>
  <w:style w:type="character" w:customStyle="1" w:styleId="a4">
    <w:name w:val="日期 字符"/>
    <w:basedOn w:val="DefaultParagraphFont"/>
    <w:link w:val="Date"/>
    <w:qFormat/>
    <w:rPr>
      <w:rFonts w:ascii="Times New Roman" w:eastAsia="金梅簡中明" w:hAnsi="Times New Roman" w:cs="Times New Roman"/>
      <w:kern w:val="0"/>
      <w:sz w:val="24"/>
      <w:szCs w:val="20"/>
      <w:lang w:val="en-GB" w:eastAsia="zh-TW"/>
    </w:rPr>
  </w:style>
  <w:style w:type="character" w:customStyle="1" w:styleId="a5">
    <w:name w:val="正文文本缩进 字符"/>
    <w:basedOn w:val="DefaultParagraphFont"/>
    <w:link w:val="BodyTextIndent"/>
    <w:qFormat/>
    <w:rPr>
      <w:rFonts w:ascii="Times New Roman" w:eastAsia="金梅簡中明" w:hAnsi="Times New Roman" w:cs="Times New Roman"/>
      <w:kern w:val="0"/>
      <w:sz w:val="24"/>
      <w:szCs w:val="20"/>
      <w:lang w:val="en-GB" w:eastAsia="zh-TW"/>
    </w:rPr>
  </w:style>
  <w:style w:type="character" w:customStyle="1" w:styleId="21">
    <w:name w:val="正文文本 2 字符"/>
    <w:basedOn w:val="DefaultParagraphFont"/>
    <w:link w:val="BodyText2"/>
    <w:qFormat/>
    <w:rPr>
      <w:rFonts w:ascii="金梅簡中明" w:eastAsia="金梅簡中明" w:hAnsi="Times New Roman" w:cs="Times New Roman"/>
      <w:b/>
      <w:sz w:val="24"/>
      <w:szCs w:val="20"/>
      <w:lang w:eastAsia="zh-TW"/>
    </w:rPr>
  </w:style>
  <w:style w:type="paragraph" w:customStyle="1" w:styleId="level3">
    <w:name w:val="level 3"/>
    <w:basedOn w:val="Normal"/>
    <w:qFormat/>
    <w:pPr>
      <w:widowControl w:val="0"/>
      <w:tabs>
        <w:tab w:val="left" w:pos="1080"/>
      </w:tabs>
      <w:autoSpaceDE w:val="0"/>
      <w:autoSpaceDN w:val="0"/>
      <w:adjustRightInd w:val="0"/>
      <w:spacing w:line="360" w:lineRule="auto"/>
    </w:pPr>
    <w:rPr>
      <w:rFonts w:eastAsia="宋体" w:cs="Arial"/>
      <w:sz w:val="24"/>
      <w:szCs w:val="24"/>
      <w:lang w:val="en-US" w:eastAsia="zh-CN"/>
    </w:rPr>
  </w:style>
  <w:style w:type="paragraph" w:customStyle="1" w:styleId="level1">
    <w:name w:val="level 1"/>
    <w:basedOn w:val="Normal"/>
    <w:qFormat/>
    <w:pPr>
      <w:widowControl w:val="0"/>
      <w:tabs>
        <w:tab w:val="left" w:pos="1080"/>
      </w:tabs>
      <w:autoSpaceDE w:val="0"/>
      <w:autoSpaceDN w:val="0"/>
      <w:adjustRightInd w:val="0"/>
      <w:spacing w:line="360" w:lineRule="auto"/>
    </w:pPr>
    <w:rPr>
      <w:rFonts w:eastAsia="宋体" w:cs="Arial"/>
      <w:sz w:val="24"/>
      <w:szCs w:val="24"/>
      <w:lang w:val="en-US" w:eastAsia="zh-CN"/>
    </w:rPr>
  </w:style>
  <w:style w:type="character" w:customStyle="1" w:styleId="HTML">
    <w:name w:val="HTML 地址 字符"/>
    <w:basedOn w:val="DefaultParagraphFont"/>
    <w:link w:val="HTMLAddress"/>
    <w:qFormat/>
    <w:rPr>
      <w:rFonts w:ascii="Times New Roman" w:eastAsia="PMingLiU" w:hAnsi="Times New Roman" w:cs="Times New Roman"/>
      <w:i/>
      <w:iCs/>
      <w:kern w:val="0"/>
      <w:sz w:val="22"/>
      <w:szCs w:val="20"/>
      <w:lang w:val="en-GB" w:eastAsia="en-US"/>
    </w:rPr>
  </w:style>
  <w:style w:type="character" w:customStyle="1" w:styleId="HTML0">
    <w:name w:val="HTML 预设格式 字符"/>
    <w:basedOn w:val="DefaultParagraphFont"/>
    <w:link w:val="HTMLPreformatted"/>
    <w:qFormat/>
    <w:rPr>
      <w:rFonts w:ascii="Courier New" w:eastAsia="PMingLiU" w:hAnsi="Courier New" w:cs="Courier New"/>
      <w:kern w:val="0"/>
      <w:sz w:val="20"/>
      <w:szCs w:val="20"/>
      <w:lang w:val="en-GB" w:eastAsia="en-US"/>
    </w:rPr>
  </w:style>
  <w:style w:type="character" w:customStyle="1" w:styleId="a6">
    <w:name w:val="纯文本 字符"/>
    <w:basedOn w:val="DefaultParagraphFont"/>
    <w:link w:val="PlainText"/>
    <w:qFormat/>
    <w:rPr>
      <w:rFonts w:ascii="Courier New" w:eastAsia="PMingLiU" w:hAnsi="Courier New" w:cs="Courier New"/>
      <w:kern w:val="0"/>
      <w:sz w:val="20"/>
      <w:szCs w:val="20"/>
      <w:lang w:val="en-GB" w:eastAsia="en-US"/>
    </w:rPr>
  </w:style>
  <w:style w:type="character" w:customStyle="1" w:styleId="a7">
    <w:name w:val="副标题 字符"/>
    <w:basedOn w:val="DefaultParagraphFont"/>
    <w:link w:val="Subtitle"/>
    <w:qFormat/>
    <w:rPr>
      <w:rFonts w:ascii="Arial" w:eastAsia="PMingLiU" w:hAnsi="Arial" w:cs="Arial"/>
      <w:kern w:val="0"/>
      <w:sz w:val="24"/>
      <w:szCs w:val="24"/>
      <w:lang w:val="en-GB" w:eastAsia="en-US"/>
    </w:rPr>
  </w:style>
  <w:style w:type="character" w:customStyle="1" w:styleId="a8">
    <w:name w:val="称呼 字符"/>
    <w:basedOn w:val="DefaultParagraphFont"/>
    <w:link w:val="Salutation"/>
    <w:qFormat/>
    <w:rPr>
      <w:rFonts w:ascii="Times New Roman" w:eastAsia="PMingLiU" w:hAnsi="Times New Roman" w:cs="Times New Roman"/>
      <w:kern w:val="0"/>
      <w:sz w:val="22"/>
      <w:szCs w:val="20"/>
      <w:lang w:val="en-GB" w:eastAsia="en-US"/>
    </w:rPr>
  </w:style>
  <w:style w:type="character" w:customStyle="1" w:styleId="a9">
    <w:name w:val="宏文本 字符"/>
    <w:basedOn w:val="DefaultParagraphFont"/>
    <w:link w:val="Macro"/>
    <w:semiHidden/>
    <w:qFormat/>
    <w:rPr>
      <w:rFonts w:ascii="Courier New" w:eastAsia="PMingLiU" w:hAnsi="Courier New" w:cs="Courier New"/>
      <w:kern w:val="0"/>
      <w:sz w:val="20"/>
      <w:szCs w:val="20"/>
      <w:lang w:val="en-GB" w:eastAsia="en-US"/>
    </w:rPr>
  </w:style>
  <w:style w:type="character" w:customStyle="1" w:styleId="a10">
    <w:name w:val="正文首行缩进 字符"/>
    <w:basedOn w:val="a2"/>
    <w:link w:val="BodyTextFirstIndent"/>
    <w:qFormat/>
    <w:rPr>
      <w:rFonts w:ascii="Times New Roman" w:eastAsia="PMingLiU" w:hAnsi="Times New Roman" w:cs="Times New Roman"/>
      <w:kern w:val="0"/>
      <w:sz w:val="22"/>
      <w:szCs w:val="20"/>
      <w:lang w:val="en-GB" w:eastAsia="en-US"/>
    </w:rPr>
  </w:style>
  <w:style w:type="character" w:customStyle="1" w:styleId="22">
    <w:name w:val="正文首行缩进 2 字符"/>
    <w:basedOn w:val="a5"/>
    <w:link w:val="BodyTextFirstIndent2"/>
    <w:qFormat/>
    <w:rPr>
      <w:rFonts w:ascii="Times New Roman" w:eastAsia="PMingLiU" w:hAnsi="Times New Roman" w:cs="Times New Roman"/>
      <w:kern w:val="0"/>
      <w:sz w:val="22"/>
      <w:szCs w:val="20"/>
      <w:lang w:val="en-GB" w:eastAsia="en-US"/>
    </w:rPr>
  </w:style>
  <w:style w:type="character" w:customStyle="1" w:styleId="a11">
    <w:name w:val="标题 字符"/>
    <w:basedOn w:val="DefaultParagraphFont"/>
    <w:link w:val="Title"/>
    <w:qFormat/>
    <w:rPr>
      <w:rFonts w:ascii="Arial" w:eastAsia="PMingLiU" w:hAnsi="Arial" w:cs="Arial"/>
      <w:b/>
      <w:bCs/>
      <w:kern w:val="28"/>
      <w:sz w:val="32"/>
      <w:szCs w:val="32"/>
      <w:lang w:val="en-GB" w:eastAsia="en-US"/>
    </w:rPr>
  </w:style>
  <w:style w:type="character" w:customStyle="1" w:styleId="a12">
    <w:name w:val="尾注文本 字符"/>
    <w:basedOn w:val="DefaultParagraphFont"/>
    <w:link w:val="EndnoteText"/>
    <w:semiHidden/>
    <w:qFormat/>
    <w:rPr>
      <w:rFonts w:ascii="Times New Roman" w:eastAsia="PMingLiU" w:hAnsi="Times New Roman" w:cs="Times New Roman"/>
      <w:kern w:val="0"/>
      <w:sz w:val="20"/>
      <w:szCs w:val="20"/>
      <w:lang w:val="en-GB" w:eastAsia="en-US"/>
    </w:rPr>
  </w:style>
  <w:style w:type="character" w:customStyle="1" w:styleId="a13">
    <w:name w:val="签名 字符"/>
    <w:basedOn w:val="DefaultParagraphFont"/>
    <w:link w:val="Signature"/>
    <w:qFormat/>
    <w:rPr>
      <w:rFonts w:ascii="Times New Roman" w:eastAsia="PMingLiU" w:hAnsi="Times New Roman" w:cs="Times New Roman"/>
      <w:kern w:val="0"/>
      <w:sz w:val="22"/>
      <w:szCs w:val="20"/>
      <w:lang w:val="en-GB" w:eastAsia="en-US"/>
    </w:rPr>
  </w:style>
  <w:style w:type="character" w:customStyle="1" w:styleId="a14">
    <w:name w:val="结束语 字符"/>
    <w:basedOn w:val="DefaultParagraphFont"/>
    <w:link w:val="Closing"/>
    <w:qFormat/>
    <w:rPr>
      <w:rFonts w:ascii="Times New Roman" w:eastAsia="PMingLiU" w:hAnsi="Times New Roman" w:cs="Times New Roman"/>
      <w:kern w:val="0"/>
      <w:sz w:val="22"/>
      <w:szCs w:val="20"/>
      <w:lang w:val="en-GB" w:eastAsia="en-US"/>
    </w:rPr>
  </w:style>
  <w:style w:type="character" w:customStyle="1" w:styleId="a15">
    <w:name w:val="信息标题 字符"/>
    <w:basedOn w:val="DefaultParagraphFont"/>
    <w:link w:val="MessageHeader"/>
    <w:qFormat/>
    <w:rPr>
      <w:rFonts w:ascii="Arial" w:eastAsia="PMingLiU" w:hAnsi="Arial" w:cs="Arial"/>
      <w:kern w:val="0"/>
      <w:sz w:val="24"/>
      <w:szCs w:val="24"/>
      <w:shd w:val="pct20" w:color="auto" w:fill="auto"/>
      <w:lang w:val="en-GB" w:eastAsia="en-US"/>
    </w:rPr>
  </w:style>
  <w:style w:type="character" w:customStyle="1" w:styleId="a16">
    <w:name w:val="脚注文本 字符"/>
    <w:basedOn w:val="DefaultParagraphFont"/>
    <w:link w:val="FootnoteText"/>
    <w:semiHidden/>
    <w:qFormat/>
    <w:rPr>
      <w:rFonts w:ascii="Times New Roman" w:eastAsia="PMingLiU" w:hAnsi="Times New Roman" w:cs="Times New Roman"/>
      <w:kern w:val="0"/>
      <w:sz w:val="20"/>
      <w:szCs w:val="20"/>
      <w:lang w:val="en-GB" w:eastAsia="en-US"/>
    </w:rPr>
  </w:style>
  <w:style w:type="character" w:customStyle="1" w:styleId="a17">
    <w:name w:val="注释标题 字符"/>
    <w:basedOn w:val="DefaultParagraphFont"/>
    <w:link w:val="NoteHeading"/>
    <w:qFormat/>
    <w:rPr>
      <w:rFonts w:ascii="Times New Roman" w:eastAsia="PMingLiU" w:hAnsi="Times New Roman" w:cs="Times New Roman"/>
      <w:kern w:val="0"/>
      <w:sz w:val="22"/>
      <w:szCs w:val="20"/>
      <w:lang w:val="en-GB" w:eastAsia="en-US"/>
    </w:rPr>
  </w:style>
  <w:style w:type="character" w:customStyle="1" w:styleId="a18">
    <w:name w:val="电子邮件签名 字符"/>
    <w:basedOn w:val="DefaultParagraphFont"/>
    <w:link w:val="E-mailSignature"/>
    <w:qFormat/>
    <w:rPr>
      <w:rFonts w:ascii="Times New Roman" w:eastAsia="PMingLiU" w:hAnsi="Times New Roman" w:cs="Times New Roman"/>
      <w:kern w:val="0"/>
      <w:sz w:val="22"/>
      <w:szCs w:val="20"/>
      <w:lang w:val="en-GB" w:eastAsia="en-US"/>
    </w:rPr>
  </w:style>
  <w:style w:type="paragraph" w:customStyle="1" w:styleId="BalloonText1">
    <w:name w:val="Balloon Text1"/>
    <w:basedOn w:val="Normal"/>
    <w:semiHidden/>
    <w:qFormat/>
    <w:rPr>
      <w:rFonts w:ascii="Tahoma" w:hAnsi="Tahoma" w:cs="Tahoma"/>
      <w:sz w:val="16"/>
      <w:szCs w:val="16"/>
    </w:rPr>
  </w:style>
  <w:style w:type="paragraph" w:styleId="ListParagraph">
    <w:name w:val="List Paragraph"/>
    <w:basedOn w:val="Normal"/>
    <w:link w:val="a24"/>
    <w:uiPriority w:val="34"/>
    <w:qFormat/>
    <w:pPr>
      <w:ind w:left="420"/>
    </w:pPr>
  </w:style>
  <w:style w:type="paragraph" w:customStyle="1" w:styleId="level2">
    <w:name w:val="level 2"/>
    <w:basedOn w:val="Normal"/>
    <w:qFormat/>
    <w:pPr>
      <w:tabs>
        <w:tab w:val="left" w:pos="240"/>
        <w:tab w:val="left" w:pos="1140"/>
        <w:tab w:val="left" w:pos="1620"/>
      </w:tabs>
      <w:jc w:val="both"/>
    </w:pPr>
    <w:rPr>
      <w:sz w:val="24"/>
      <w:lang w:val="en-US" w:eastAsia="zh-TW"/>
    </w:rPr>
  </w:style>
  <w:style w:type="paragraph" w:customStyle="1" w:styleId="Level20">
    <w:name w:val="Level 2"/>
    <w:basedOn w:val="Normal"/>
    <w:qFormat/>
    <w:pPr>
      <w:numPr>
        <w:ilvl w:val="3"/>
        <w:numId w:val="17"/>
      </w:numPr>
      <w:tabs>
        <w:tab w:val="left" w:pos="1080"/>
        <w:tab w:val="clear" w:pos="2016"/>
      </w:tabs>
      <w:spacing w:line="360" w:lineRule="auto"/>
      <w:ind w:left="1080" w:hanging="1080"/>
      <w:jc w:val="both"/>
    </w:pPr>
    <w:rPr>
      <w:rFonts w:eastAsia="宋体"/>
      <w:sz w:val="24"/>
    </w:rPr>
  </w:style>
  <w:style w:type="paragraph" w:customStyle="1" w:styleId="Level4">
    <w:name w:val="Level 4"/>
    <w:basedOn w:val="Normal"/>
    <w:qFormat/>
    <w:pPr>
      <w:tabs>
        <w:tab w:val="left" w:pos="2016"/>
      </w:tabs>
      <w:ind w:left="2016" w:hanging="936"/>
    </w:pPr>
  </w:style>
  <w:style w:type="paragraph" w:customStyle="1" w:styleId="AB-13">
    <w:name w:val="AB-13"/>
    <w:basedOn w:val="HR-13"/>
    <w:qFormat/>
    <w:pPr>
      <w:tabs>
        <w:tab w:val="left" w:pos="1080"/>
      </w:tabs>
      <w:spacing w:line="360" w:lineRule="auto"/>
    </w:pPr>
    <w:rPr>
      <w:rFonts w:eastAsia="宋体"/>
      <w:b/>
      <w:bCs/>
    </w:rPr>
  </w:style>
  <w:style w:type="paragraph" w:customStyle="1" w:styleId="ReportTable">
    <w:name w:val="Report Table"/>
    <w:basedOn w:val="ReportText"/>
    <w:qFormat/>
    <w:pPr>
      <w:tabs>
        <w:tab w:val="left" w:pos="1080"/>
      </w:tabs>
      <w:spacing w:before="60" w:after="60" w:line="360" w:lineRule="auto"/>
      <w:ind w:left="0"/>
      <w:jc w:val="left"/>
    </w:pPr>
    <w:rPr>
      <w:sz w:val="20"/>
    </w:rPr>
  </w:style>
  <w:style w:type="paragraph" w:customStyle="1" w:styleId="AppendixHeading">
    <w:name w:val="Appendix Heading"/>
    <w:basedOn w:val="ReportHeading"/>
    <w:next w:val="ReportText"/>
    <w:qFormat/>
    <w:pPr>
      <w:keepNext/>
      <w:tabs>
        <w:tab w:val="left" w:pos="1080"/>
        <w:tab w:val="clear" w:pos="2160"/>
      </w:tabs>
      <w:spacing w:line="360" w:lineRule="auto"/>
      <w:ind w:left="1080" w:firstLine="0"/>
    </w:pPr>
    <w:rPr>
      <w:rFonts w:eastAsia="宋体" w:cs="Arial"/>
      <w:sz w:val="24"/>
    </w:rPr>
  </w:style>
  <w:style w:type="paragraph" w:customStyle="1" w:styleId="Level10">
    <w:name w:val="Level 1"/>
    <w:basedOn w:val="Normal"/>
    <w:qFormat/>
    <w:pPr>
      <w:numPr>
        <w:ilvl w:val="2"/>
        <w:numId w:val="18"/>
      </w:numPr>
      <w:tabs>
        <w:tab w:val="left" w:pos="1440"/>
        <w:tab w:val="clear" w:pos="2167"/>
      </w:tabs>
      <w:ind w:left="1440"/>
    </w:pPr>
  </w:style>
  <w:style w:type="paragraph" w:customStyle="1" w:styleId="Level30">
    <w:name w:val="Level 3"/>
    <w:basedOn w:val="Normal"/>
    <w:qFormat/>
    <w:pPr>
      <w:tabs>
        <w:tab w:val="left" w:pos="2167"/>
      </w:tabs>
      <w:ind w:left="2167" w:hanging="360"/>
    </w:pPr>
  </w:style>
  <w:style w:type="paragraph" w:customStyle="1" w:styleId="P1">
    <w:name w:val="P1"/>
    <w:qFormat/>
    <w:pPr>
      <w:widowControl w:val="0"/>
      <w:adjustRightInd w:val="0"/>
      <w:spacing w:after="240" w:line="0" w:lineRule="atLeast"/>
      <w:ind w:left="2304" w:hanging="576"/>
      <w:jc w:val="both"/>
      <w:textAlignment w:val="baseline"/>
    </w:pPr>
    <w:rPr>
      <w:rFonts w:ascii="Times New Roman" w:eastAsia="全真中明體" w:hAnsi="Times New Roman"/>
      <w:spacing w:val="30"/>
      <w:sz w:val="24"/>
      <w:lang w:val="en-GB" w:eastAsia="zh-TW"/>
    </w:rPr>
  </w:style>
  <w:style w:type="character" w:customStyle="1" w:styleId="a19">
    <w:name w:val="批注框文本 字符"/>
    <w:basedOn w:val="DefaultParagraphFont"/>
    <w:link w:val="BalloonText"/>
    <w:uiPriority w:val="99"/>
    <w:qFormat/>
    <w:rPr>
      <w:rFonts w:ascii="宋体" w:eastAsia="宋体" w:hAnsi="Times New Roman" w:cs="Times New Roman"/>
      <w:kern w:val="0"/>
      <w:sz w:val="18"/>
      <w:szCs w:val="18"/>
      <w:lang w:val="en-GB" w:eastAsia="en-US"/>
    </w:rPr>
  </w:style>
  <w:style w:type="paragraph" w:customStyle="1" w:styleId="H1">
    <w:name w:val="H1"/>
    <w:qFormat/>
    <w:pPr>
      <w:widowControl w:val="0"/>
      <w:adjustRightInd w:val="0"/>
      <w:spacing w:after="240"/>
      <w:textAlignment w:val="baseline"/>
    </w:pPr>
    <w:rPr>
      <w:rFonts w:ascii="Times New Roman" w:eastAsia="全真中明體" w:hAnsi="Times New Roman"/>
      <w:b/>
      <w:caps/>
      <w:spacing w:val="30"/>
      <w:sz w:val="24"/>
      <w:lang w:val="en-GB" w:eastAsia="zh-TW"/>
    </w:rPr>
  </w:style>
  <w:style w:type="paragraph" w:customStyle="1" w:styleId="P3">
    <w:name w:val="P3"/>
    <w:qFormat/>
    <w:pPr>
      <w:widowControl w:val="0"/>
      <w:adjustRightInd w:val="0"/>
      <w:spacing w:after="240"/>
      <w:ind w:left="2880" w:hanging="576"/>
      <w:jc w:val="both"/>
      <w:textAlignment w:val="baseline"/>
    </w:pPr>
    <w:rPr>
      <w:rFonts w:ascii="Times New Roman" w:eastAsia="全真中明體" w:hAnsi="Times New Roman"/>
      <w:spacing w:val="30"/>
      <w:sz w:val="24"/>
      <w:lang w:val="en-GB" w:eastAsia="zh-TW"/>
    </w:rPr>
  </w:style>
  <w:style w:type="paragraph" w:customStyle="1" w:styleId="P5">
    <w:name w:val="P5"/>
    <w:qFormat/>
    <w:pPr>
      <w:widowControl w:val="0"/>
      <w:adjustRightInd w:val="0"/>
      <w:spacing w:after="240"/>
      <w:ind w:left="2304"/>
      <w:jc w:val="both"/>
      <w:textAlignment w:val="baseline"/>
    </w:pPr>
    <w:rPr>
      <w:rFonts w:ascii="全真中明體" w:eastAsia="全真中明體" w:hAnsi="Times New Roman"/>
      <w:spacing w:val="30"/>
      <w:sz w:val="24"/>
      <w:lang w:val="en-GB" w:eastAsia="zh-TW"/>
    </w:rPr>
  </w:style>
  <w:style w:type="paragraph" w:customStyle="1" w:styleId="P6">
    <w:name w:val="P6"/>
    <w:qFormat/>
    <w:pPr>
      <w:widowControl w:val="0"/>
      <w:adjustRightInd w:val="0"/>
      <w:spacing w:after="240"/>
      <w:ind w:left="3456" w:hanging="576"/>
      <w:jc w:val="both"/>
      <w:textAlignment w:val="baseline"/>
    </w:pPr>
    <w:rPr>
      <w:rFonts w:ascii="Times New Roman" w:eastAsia="全真中明體" w:hAnsi="Times New Roman"/>
      <w:spacing w:val="30"/>
      <w:sz w:val="24"/>
      <w:lang w:val="en-GB" w:eastAsia="zh-TW"/>
    </w:rPr>
  </w:style>
  <w:style w:type="paragraph" w:customStyle="1" w:styleId="P2">
    <w:name w:val="P2"/>
    <w:qFormat/>
    <w:pPr>
      <w:widowControl w:val="0"/>
      <w:adjustRightInd w:val="0"/>
      <w:spacing w:after="240"/>
      <w:ind w:left="1728"/>
      <w:jc w:val="both"/>
      <w:textAlignment w:val="baseline"/>
    </w:pPr>
    <w:rPr>
      <w:rFonts w:ascii="Times New Roman" w:eastAsia="全真中明體" w:hAnsi="Times New Roman"/>
      <w:spacing w:val="30"/>
      <w:sz w:val="24"/>
      <w:lang w:val="en-GB" w:eastAsia="zh-TW"/>
    </w:rPr>
  </w:style>
  <w:style w:type="paragraph" w:customStyle="1" w:styleId="10">
    <w:name w:val="样式1"/>
    <w:basedOn w:val="Normal"/>
    <w:qFormat/>
    <w:pPr>
      <w:widowControl w:val="0"/>
      <w:spacing w:line="500" w:lineRule="exact"/>
      <w:ind w:left="250" w:hanging="250" w:hangingChars="250"/>
      <w:jc w:val="both"/>
    </w:pPr>
    <w:rPr>
      <w:rFonts w:eastAsia="宋体"/>
      <w:kern w:val="2"/>
      <w:sz w:val="24"/>
      <w:szCs w:val="24"/>
      <w:lang w:val="en-US" w:eastAsia="zh-CN"/>
    </w:rPr>
  </w:style>
  <w:style w:type="paragraph" w:customStyle="1" w:styleId="11">
    <w:name w:val="样式 1"/>
    <w:basedOn w:val="Heading1"/>
    <w:qFormat/>
    <w:pPr>
      <w:keepNext/>
      <w:widowControl w:val="0"/>
      <w:numPr>
        <w:numId w:val="0"/>
      </w:numPr>
      <w:spacing w:line="480" w:lineRule="exact"/>
      <w:jc w:val="both"/>
    </w:pPr>
    <w:rPr>
      <w:rFonts w:cs="Times New Roman"/>
      <w:b w:val="0"/>
      <w:caps w:val="0"/>
      <w:kern w:val="2"/>
      <w:szCs w:val="24"/>
      <w:lang w:val="en-US" w:eastAsia="zh-CN"/>
    </w:rPr>
  </w:style>
  <w:style w:type="paragraph" w:customStyle="1" w:styleId="a20">
    <w:name w:val="正文表标题"/>
    <w:next w:val="Normal"/>
    <w:qFormat/>
    <w:pPr>
      <w:tabs>
        <w:tab w:val="left" w:pos="360"/>
      </w:tabs>
      <w:ind w:left="360" w:hanging="360"/>
      <w:jc w:val="center"/>
    </w:pPr>
    <w:rPr>
      <w:rFonts w:ascii="黑体" w:eastAsia="黑体" w:hAnsi="Times New Roman"/>
      <w:sz w:val="21"/>
      <w:szCs w:val="21"/>
    </w:rPr>
  </w:style>
  <w:style w:type="paragraph" w:customStyle="1" w:styleId="Spec3-Points">
    <w:name w:val="(Spec) 3-Points"/>
    <w:qFormat/>
    <w:pPr>
      <w:widowControl w:val="0"/>
      <w:numPr>
        <w:ilvl w:val="3"/>
        <w:numId w:val="19"/>
      </w:numPr>
      <w:spacing w:after="120"/>
      <w:jc w:val="both"/>
    </w:pPr>
    <w:rPr>
      <w:rFonts w:ascii="Arial" w:hAnsi="Arial" w:cs="Arial"/>
      <w:kern w:val="2"/>
      <w:sz w:val="22"/>
      <w:szCs w:val="22"/>
    </w:rPr>
  </w:style>
  <w:style w:type="paragraph" w:customStyle="1" w:styleId="Spec1-StyleHeading">
    <w:name w:val="(Spec) 1-Style Heading"/>
    <w:next w:val="Normal"/>
    <w:qFormat/>
    <w:pPr>
      <w:tabs>
        <w:tab w:val="left" w:pos="1701"/>
      </w:tabs>
      <w:spacing w:before="480" w:line="480" w:lineRule="auto"/>
      <w:ind w:left="1701" w:hanging="1701"/>
      <w:jc w:val="both"/>
    </w:pPr>
    <w:rPr>
      <w:rFonts w:ascii="Arial" w:hAnsi="Arial" w:cs="Arial"/>
      <w:b/>
      <w:bCs/>
      <w:kern w:val="52"/>
      <w:sz w:val="28"/>
      <w:szCs w:val="28"/>
      <w:lang w:eastAsia="zh-TW"/>
    </w:rPr>
  </w:style>
  <w:style w:type="paragraph" w:customStyle="1" w:styleId="Spec4-Points">
    <w:name w:val="(Spec) 4-Points"/>
    <w:qFormat/>
    <w:pPr>
      <w:widowControl w:val="0"/>
      <w:adjustRightInd w:val="0"/>
      <w:snapToGrid w:val="0"/>
      <w:spacing w:before="120" w:after="120"/>
      <w:jc w:val="both"/>
    </w:pPr>
    <w:rPr>
      <w:rFonts w:ascii="Arial" w:hAnsi="Arial"/>
      <w:kern w:val="2"/>
      <w:sz w:val="22"/>
      <w:szCs w:val="22"/>
    </w:rPr>
  </w:style>
  <w:style w:type="paragraph" w:customStyle="1" w:styleId="Spec2-Nos">
    <w:name w:val="(Spec) 2-Nos"/>
    <w:qFormat/>
    <w:pPr>
      <w:numPr>
        <w:ilvl w:val="2"/>
        <w:numId w:val="19"/>
      </w:numPr>
      <w:tabs>
        <w:tab w:val="left" w:pos="567"/>
        <w:tab w:val="clear" w:pos="1134"/>
      </w:tabs>
      <w:spacing w:after="240"/>
      <w:ind w:left="567" w:hanging="567"/>
      <w:jc w:val="both"/>
    </w:pPr>
    <w:rPr>
      <w:rFonts w:ascii="Arial" w:hAnsi="Arial" w:cs="Arial"/>
      <w:sz w:val="22"/>
      <w:szCs w:val="22"/>
    </w:rPr>
  </w:style>
  <w:style w:type="paragraph" w:customStyle="1" w:styleId="Spec3-Nos">
    <w:name w:val="(Spec) 3-Nos"/>
    <w:basedOn w:val="Normal"/>
    <w:qFormat/>
    <w:pPr>
      <w:widowControl w:val="0"/>
      <w:tabs>
        <w:tab w:val="left" w:pos="1134"/>
      </w:tabs>
      <w:ind w:left="1134" w:hanging="680"/>
    </w:pPr>
    <w:rPr>
      <w:kern w:val="2"/>
      <w:sz w:val="24"/>
      <w:lang w:val="en-US" w:eastAsia="zh-TW"/>
    </w:rPr>
  </w:style>
  <w:style w:type="paragraph" w:customStyle="1" w:styleId="SpecOthers">
    <w:name w:val="(Spec) Others"/>
    <w:link w:val="SpecOthersChar"/>
    <w:qFormat/>
    <w:pPr>
      <w:widowControl w:val="0"/>
      <w:spacing w:after="120"/>
      <w:ind w:left="851"/>
      <w:jc w:val="both"/>
    </w:pPr>
    <w:rPr>
      <w:rFonts w:ascii="Arial" w:hAnsi="Arial"/>
      <w:kern w:val="2"/>
      <w:sz w:val="22"/>
      <w:szCs w:val="28"/>
    </w:rPr>
  </w:style>
  <w:style w:type="character" w:customStyle="1" w:styleId="SpecOthersChar">
    <w:name w:val="(Spec) Others Char"/>
    <w:link w:val="SpecOthers"/>
    <w:qFormat/>
    <w:rPr>
      <w:rFonts w:ascii="Arial" w:eastAsia="宋体" w:hAnsi="Arial" w:cs="Times New Roman"/>
      <w:sz w:val="22"/>
      <w:szCs w:val="28"/>
    </w:rPr>
  </w:style>
  <w:style w:type="paragraph" w:customStyle="1" w:styleId="Spec6-Subicons">
    <w:name w:val="(Spec) 6-Sub.icons"/>
    <w:basedOn w:val="Normal"/>
    <w:link w:val="Spec6-SubiconsChar"/>
    <w:semiHidden/>
    <w:qFormat/>
    <w:pPr>
      <w:widowControl w:val="0"/>
      <w:numPr>
        <w:numId w:val="20"/>
      </w:numPr>
      <w:tabs>
        <w:tab w:val="left" w:pos="522"/>
        <w:tab w:val="left" w:pos="1418"/>
        <w:tab w:val="left" w:pos="2340"/>
        <w:tab w:val="clear" w:pos="2790"/>
        <w:tab w:val="left" w:pos="5640"/>
      </w:tabs>
      <w:adjustRightInd w:val="0"/>
      <w:snapToGrid w:val="0"/>
      <w:ind w:left="2340" w:hanging="450"/>
    </w:pPr>
    <w:rPr>
      <w:rFonts w:ascii="Arial" w:eastAsia="宋体" w:hAnsi="Arial"/>
      <w:kern w:val="2"/>
      <w:sz w:val="24"/>
      <w:szCs w:val="24"/>
      <w:lang w:val="en-US" w:eastAsia="zh-CN"/>
    </w:rPr>
  </w:style>
  <w:style w:type="character" w:customStyle="1" w:styleId="Spec6-SubiconsChar">
    <w:name w:val="(Spec) 6-Sub.icons Char"/>
    <w:link w:val="Spec6-Subicons"/>
    <w:semiHidden/>
    <w:qFormat/>
    <w:rPr>
      <w:rFonts w:ascii="Arial" w:hAnsi="Arial"/>
      <w:kern w:val="2"/>
      <w:sz w:val="24"/>
      <w:szCs w:val="24"/>
    </w:rPr>
  </w:style>
  <w:style w:type="paragraph" w:customStyle="1" w:styleId="Spec8-Normal">
    <w:name w:val="(Spec) 8-Normal"/>
    <w:link w:val="Spec8-Normal0"/>
    <w:semiHidden/>
    <w:qFormat/>
    <w:pPr>
      <w:numPr>
        <w:ilvl w:val="1"/>
        <w:numId w:val="21"/>
      </w:numPr>
      <w:tabs>
        <w:tab w:val="left" w:pos="1620"/>
      </w:tabs>
      <w:spacing w:after="120"/>
      <w:ind w:hanging="540"/>
    </w:pPr>
    <w:rPr>
      <w:rFonts w:ascii="Arial" w:hAnsi="Arial"/>
      <w:kern w:val="52"/>
      <w:sz w:val="22"/>
      <w:szCs w:val="22"/>
    </w:rPr>
  </w:style>
  <w:style w:type="character" w:customStyle="1" w:styleId="Spec8-Normal0">
    <w:name w:val="(Spec) 8-Normal 字元"/>
    <w:link w:val="Spec8-Normal"/>
    <w:semiHidden/>
    <w:qFormat/>
    <w:rPr>
      <w:rFonts w:ascii="Arial" w:hAnsi="Arial"/>
      <w:kern w:val="52"/>
      <w:sz w:val="22"/>
      <w:szCs w:val="22"/>
    </w:rPr>
  </w:style>
  <w:style w:type="paragraph" w:customStyle="1" w:styleId="Default">
    <w:name w:val="Default"/>
    <w:qFormat/>
    <w:pPr>
      <w:widowControl w:val="0"/>
      <w:autoSpaceDE w:val="0"/>
      <w:autoSpaceDN w:val="0"/>
      <w:adjustRightInd w:val="0"/>
    </w:pPr>
    <w:rPr>
      <w:rFonts w:ascii="华文楷体" w:eastAsia="华文楷体" w:hAnsi="Times New Roman"/>
      <w:color w:val="000000"/>
      <w:sz w:val="24"/>
      <w:szCs w:val="24"/>
      <w:lang w:eastAsia="en-US"/>
    </w:rPr>
  </w:style>
  <w:style w:type="paragraph" w:customStyle="1" w:styleId="locationlist">
    <w:name w:val="locationlist"/>
    <w:basedOn w:val="Normal"/>
    <w:qFormat/>
    <w:pPr>
      <w:spacing w:before="30" w:after="60"/>
    </w:pPr>
    <w:rPr>
      <w:rFonts w:eastAsia="宋体"/>
      <w:szCs w:val="22"/>
      <w:lang w:val="en-US" w:eastAsia="zh-CN"/>
    </w:rPr>
  </w:style>
  <w:style w:type="paragraph" w:customStyle="1" w:styleId="SubLevel1">
    <w:name w:val="Sub Level 1"/>
    <w:basedOn w:val="Normal"/>
    <w:qFormat/>
    <w:pPr>
      <w:tabs>
        <w:tab w:val="left" w:pos="1253"/>
      </w:tabs>
      <w:ind w:left="1253" w:hanging="720"/>
    </w:pPr>
  </w:style>
  <w:style w:type="paragraph" w:customStyle="1" w:styleId="SubLevel2">
    <w:name w:val="Sub Level 2"/>
    <w:basedOn w:val="Normal"/>
    <w:qFormat/>
    <w:pPr>
      <w:tabs>
        <w:tab w:val="left" w:pos="2102"/>
      </w:tabs>
      <w:ind w:left="2102" w:hanging="849"/>
    </w:pPr>
  </w:style>
  <w:style w:type="paragraph" w:customStyle="1" w:styleId="SubLevel3">
    <w:name w:val="Sub Level 3"/>
    <w:basedOn w:val="Normal"/>
    <w:qFormat/>
    <w:pPr>
      <w:tabs>
        <w:tab w:val="left" w:pos="2102"/>
      </w:tabs>
      <w:ind w:left="2102" w:hanging="849"/>
    </w:pPr>
  </w:style>
  <w:style w:type="paragraph" w:customStyle="1" w:styleId="SubLevel4">
    <w:name w:val="Sub Level 4"/>
    <w:basedOn w:val="Normal"/>
    <w:qFormat/>
    <w:pPr>
      <w:numPr>
        <w:ilvl w:val="3"/>
        <w:numId w:val="22"/>
      </w:numPr>
    </w:pPr>
  </w:style>
  <w:style w:type="paragraph" w:customStyle="1" w:styleId="xl26">
    <w:name w:val="xl26"/>
    <w:basedOn w:val="Normal"/>
    <w:qFormat/>
    <w:pPr>
      <w:spacing w:before="100" w:beforeAutospacing="1" w:after="100" w:afterAutospacing="1"/>
      <w:jc w:val="center"/>
    </w:pPr>
    <w:rPr>
      <w:rFonts w:ascii="Arial Unicode MS" w:eastAsia="Arial Unicode MS" w:hAnsi="Arial Unicode MS" w:cs="Arial Unicode MS"/>
      <w:sz w:val="24"/>
      <w:szCs w:val="24"/>
      <w:u w:val="single"/>
      <w:lang w:val="en-US"/>
    </w:rPr>
  </w:style>
  <w:style w:type="paragraph" w:customStyle="1" w:styleId="xl24">
    <w:name w:val="xl24"/>
    <w:basedOn w:val="Normal"/>
    <w:qFormat/>
    <w:pPr>
      <w:spacing w:before="100" w:beforeAutospacing="1" w:after="100" w:afterAutospacing="1"/>
      <w:jc w:val="center"/>
    </w:pPr>
    <w:rPr>
      <w:rFonts w:ascii="Arial Unicode MS" w:eastAsia="Arial Unicode MS" w:hAnsi="Arial Unicode MS" w:cs="Arial Unicode MS"/>
      <w:sz w:val="24"/>
      <w:szCs w:val="24"/>
      <w:lang w:val="en-US"/>
    </w:rPr>
  </w:style>
  <w:style w:type="paragraph" w:customStyle="1" w:styleId="xl72">
    <w:name w:val="xl72"/>
    <w:basedOn w:val="Normal"/>
    <w:qFormat/>
    <w:pPr>
      <w:pBdr>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sz w:val="16"/>
      <w:szCs w:val="16"/>
      <w:lang w:val="en-US"/>
    </w:rPr>
  </w:style>
  <w:style w:type="paragraph" w:customStyle="1" w:styleId="font5">
    <w:name w:val="font5"/>
    <w:basedOn w:val="Normal"/>
    <w:qFormat/>
    <w:pPr>
      <w:spacing w:before="100" w:beforeAutospacing="1" w:after="100" w:afterAutospacing="1"/>
    </w:pPr>
    <w:rPr>
      <w:rFonts w:ascii="Arial" w:eastAsia="Arial Unicode MS" w:hAnsi="Arial" w:cs="Arial"/>
      <w:sz w:val="16"/>
      <w:szCs w:val="16"/>
      <w:lang w:val="en-US"/>
    </w:rPr>
  </w:style>
  <w:style w:type="paragraph" w:customStyle="1" w:styleId="font7">
    <w:name w:val="font7"/>
    <w:basedOn w:val="Normal"/>
    <w:qFormat/>
    <w:pPr>
      <w:spacing w:before="100" w:beforeAutospacing="1" w:after="100" w:afterAutospacing="1"/>
    </w:pPr>
    <w:rPr>
      <w:rFonts w:ascii="宋体" w:eastAsia="宋体" w:hAnsi="宋体" w:cs="Arial Unicode MS" w:hint="eastAsia"/>
      <w:b/>
      <w:bCs/>
      <w:sz w:val="20"/>
      <w:lang w:val="en-US"/>
    </w:rPr>
  </w:style>
  <w:style w:type="paragraph" w:customStyle="1" w:styleId="xl36">
    <w:name w:val="xl36"/>
    <w:basedOn w:val="Normal"/>
    <w:qFormat/>
    <w:pPr>
      <w:spacing w:before="100" w:beforeAutospacing="1" w:after="100" w:afterAutospacing="1"/>
      <w:textAlignment w:val="center"/>
    </w:pPr>
    <w:rPr>
      <w:rFonts w:ascii="宋体" w:eastAsia="宋体" w:hAnsi="宋体" w:cs="Arial Unicode MS" w:hint="eastAsia"/>
      <w:sz w:val="16"/>
      <w:szCs w:val="16"/>
      <w:lang w:val="en-US"/>
    </w:rPr>
  </w:style>
  <w:style w:type="paragraph" w:customStyle="1" w:styleId="xl42">
    <w:name w:val="xl42"/>
    <w:basedOn w:val="Normal"/>
    <w:qFormat/>
    <w:pPr>
      <w:pBdr>
        <w:bottom w:val="single" w:sz="4" w:space="0" w:color="auto"/>
      </w:pBdr>
      <w:spacing w:before="100" w:beforeAutospacing="1" w:after="100" w:afterAutospacing="1"/>
      <w:jc w:val="center"/>
      <w:textAlignment w:val="center"/>
    </w:pPr>
    <w:rPr>
      <w:rFonts w:ascii="宋体" w:eastAsia="宋体" w:hAnsi="宋体" w:cs="Arial Unicode MS" w:hint="eastAsia"/>
      <w:b/>
      <w:bCs/>
      <w:sz w:val="16"/>
      <w:szCs w:val="16"/>
      <w:lang w:val="en-US"/>
    </w:rPr>
  </w:style>
  <w:style w:type="paragraph" w:customStyle="1" w:styleId="xl62">
    <w:name w:val="xl62"/>
    <w:basedOn w:val="Normal"/>
    <w:qFormat/>
    <w:pPr>
      <w:pBdr>
        <w:left w:val="single" w:sz="4" w:space="0" w:color="auto"/>
      </w:pBdr>
      <w:spacing w:before="100" w:beforeAutospacing="1" w:after="100" w:afterAutospacing="1"/>
      <w:textAlignment w:val="center"/>
    </w:pPr>
    <w:rPr>
      <w:rFonts w:ascii="Arial Unicode MS" w:eastAsia="Arial Unicode MS" w:hAnsi="Arial Unicode MS" w:cs="Arial Unicode MS"/>
      <w:sz w:val="16"/>
      <w:szCs w:val="16"/>
      <w:lang w:val="en-US"/>
    </w:rPr>
  </w:style>
  <w:style w:type="character" w:customStyle="1" w:styleId="a21">
    <w:name w:val="引用 字符"/>
    <w:basedOn w:val="DefaultParagraphFont"/>
    <w:link w:val="Quote"/>
    <w:uiPriority w:val="29"/>
    <w:qFormat/>
    <w:rPr>
      <w:rFonts w:ascii="Times New Roman" w:eastAsia="PMingLiU" w:hAnsi="Times New Roman" w:cs="Times New Roman"/>
      <w:i/>
      <w:iCs/>
      <w:color w:val="404040" w:themeColor="text1" w:themeTint="BF"/>
      <w:kern w:val="0"/>
      <w:sz w:val="22"/>
      <w:szCs w:val="20"/>
      <w:lang w:val="en-GB" w:eastAsia="en-US"/>
    </w:rPr>
  </w:style>
  <w:style w:type="paragraph" w:styleId="Quote">
    <w:name w:val="Quote"/>
    <w:basedOn w:val="Normal"/>
    <w:next w:val="Normal"/>
    <w:link w:val="a21"/>
    <w:uiPriority w:val="29"/>
    <w:qFormat/>
    <w:pPr>
      <w:spacing w:before="200" w:after="160"/>
      <w:ind w:left="864" w:right="864"/>
      <w:jc w:val="center"/>
    </w:pPr>
    <w:rPr>
      <w:i/>
      <w:iCs/>
      <w:color w:val="404040" w:themeColor="text1" w:themeTint="BF"/>
    </w:rPr>
  </w:style>
  <w:style w:type="character" w:customStyle="1" w:styleId="Char1">
    <w:name w:val="引用 Char1"/>
    <w:basedOn w:val="DefaultParagraphFont"/>
    <w:uiPriority w:val="29"/>
    <w:qFormat/>
    <w:rPr>
      <w:rFonts w:ascii="Times New Roman" w:eastAsia="PMingLiU" w:hAnsi="Times New Roman" w:cs="Times New Roman"/>
      <w:i/>
      <w:iCs/>
      <w:color w:val="404040" w:themeColor="text1" w:themeTint="BF"/>
      <w:kern w:val="0"/>
      <w:sz w:val="22"/>
      <w:szCs w:val="20"/>
      <w:lang w:val="en-GB" w:eastAsia="en-US"/>
    </w:rPr>
  </w:style>
  <w:style w:type="character" w:customStyle="1" w:styleId="a22">
    <w:name w:val="批注主题 字符"/>
    <w:basedOn w:val="a1"/>
    <w:link w:val="CommentSubject"/>
    <w:uiPriority w:val="99"/>
    <w:semiHidden/>
    <w:qFormat/>
    <w:rPr>
      <w:rFonts w:ascii="Times New Roman" w:eastAsia="PMingLiU" w:hAnsi="Times New Roman" w:cs="Times New Roman"/>
      <w:b/>
      <w:bCs/>
      <w:kern w:val="0"/>
      <w:sz w:val="20"/>
      <w:szCs w:val="20"/>
      <w:lang w:val="en-GB" w:eastAsia="en-US"/>
    </w:rPr>
  </w:style>
  <w:style w:type="character" w:customStyle="1" w:styleId="Char10">
    <w:name w:val="批注主题 Char1"/>
    <w:basedOn w:val="a1"/>
    <w:uiPriority w:val="99"/>
    <w:semiHidden/>
    <w:qFormat/>
    <w:rPr>
      <w:rFonts w:ascii="Times New Roman" w:eastAsia="PMingLiU" w:hAnsi="Times New Roman" w:cs="Times New Roman"/>
      <w:b/>
      <w:bCs/>
      <w:kern w:val="0"/>
      <w:sz w:val="20"/>
      <w:szCs w:val="20"/>
      <w:lang w:val="en-GB" w:eastAsia="en-US"/>
    </w:rPr>
  </w:style>
  <w:style w:type="character" w:customStyle="1" w:styleId="a23">
    <w:name w:val="明显引用 字符"/>
    <w:basedOn w:val="DefaultParagraphFont"/>
    <w:link w:val="IntenseQuote"/>
    <w:uiPriority w:val="30"/>
    <w:qFormat/>
    <w:rPr>
      <w:rFonts w:ascii="Times New Roman" w:eastAsia="PMingLiU" w:hAnsi="Times New Roman" w:cs="Times New Roman"/>
      <w:i/>
      <w:iCs/>
      <w:color w:val="5B9BD5" w:themeColor="accent1"/>
      <w:kern w:val="0"/>
      <w:sz w:val="22"/>
      <w:szCs w:val="20"/>
      <w:lang w:val="en-GB" w:eastAsia="en-US"/>
    </w:rPr>
  </w:style>
  <w:style w:type="paragraph" w:styleId="IntenseQuote">
    <w:name w:val="Intense Quote"/>
    <w:basedOn w:val="Normal"/>
    <w:next w:val="Normal"/>
    <w:link w:val="a23"/>
    <w:uiPriority w:val="30"/>
    <w:qFormat/>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Char11">
    <w:name w:val="明显引用 Char1"/>
    <w:basedOn w:val="DefaultParagraphFont"/>
    <w:uiPriority w:val="30"/>
    <w:qFormat/>
    <w:rPr>
      <w:rFonts w:ascii="Times New Roman" w:eastAsia="PMingLiU" w:hAnsi="Times New Roman" w:cs="Times New Roman"/>
      <w:i/>
      <w:iCs/>
      <w:color w:val="5B9BD5" w:themeColor="accent1"/>
      <w:kern w:val="0"/>
      <w:sz w:val="22"/>
      <w:szCs w:val="20"/>
      <w:lang w:val="en-GB" w:eastAsia="en-US"/>
    </w:rPr>
  </w:style>
  <w:style w:type="paragraph" w:customStyle="1" w:styleId="TOC10">
    <w:name w:val="TOC 标题1"/>
    <w:basedOn w:val="Heading1"/>
    <w:next w:val="Normal"/>
    <w:uiPriority w:val="39"/>
    <w:unhideWhenUsed/>
    <w:qFormat/>
    <w:pPr>
      <w:keepNext/>
      <w:keepLines/>
      <w:numPr>
        <w:numId w:val="0"/>
      </w:numPr>
      <w:tabs>
        <w:tab w:val="clear" w:pos="1077"/>
        <w:tab w:val="clear" w:pos="1080"/>
      </w:tabs>
      <w:spacing w:before="240" w:line="259" w:lineRule="auto"/>
      <w:outlineLvl w:val="9"/>
    </w:pPr>
    <w:rPr>
      <w:rFonts w:asciiTheme="majorHAnsi" w:eastAsiaTheme="majorEastAsia" w:hAnsiTheme="majorHAnsi" w:cstheme="majorBidi"/>
      <w:b w:val="0"/>
      <w:caps w:val="0"/>
      <w:color w:val="2E74B5" w:themeColor="accent1" w:themeShade="BF"/>
      <w:sz w:val="32"/>
      <w:szCs w:val="32"/>
      <w:lang w:val="en-US" w:eastAsia="zh-CN"/>
    </w:rPr>
  </w:style>
  <w:style w:type="table" w:customStyle="1" w:styleId="12">
    <w:name w:val="网格型1"/>
    <w:basedOn w:val="TableNormal"/>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24">
    <w:name w:val="列出段落 字符"/>
    <w:link w:val="ListParagraph"/>
    <w:uiPriority w:val="34"/>
    <w:qFormat/>
    <w:locked/>
    <w:rPr>
      <w:rFonts w:ascii="Times New Roman" w:eastAsia="PMingLiU" w:hAnsi="Times New Roman" w:cs="Times New Roman"/>
      <w:kern w:val="0"/>
      <w:sz w:val="22"/>
      <w:szCs w:val="20"/>
      <w:lang w:val="en-GB" w:eastAsia="en-US"/>
    </w:rPr>
  </w:style>
  <w:style w:type="character" w:customStyle="1" w:styleId="ReportTextChar">
    <w:name w:val="Report Text Char"/>
    <w:qFormat/>
    <w:rPr>
      <w:rFonts w:eastAsia="華康簡宋"/>
      <w:sz w:val="24"/>
      <w:lang w:val="en-GB" w:eastAsia="en-US"/>
    </w:rPr>
  </w:style>
  <w:style w:type="paragraph" w:customStyle="1" w:styleId="H2">
    <w:name w:val="H2"/>
    <w:qFormat/>
    <w:pPr>
      <w:widowControl w:val="0"/>
      <w:adjustRightInd w:val="0"/>
      <w:spacing w:after="240" w:line="0" w:lineRule="atLeast"/>
      <w:textAlignment w:val="baseline"/>
    </w:pPr>
    <w:rPr>
      <w:rFonts w:ascii="Times New Roman" w:eastAsia="全真中明體" w:hAnsi="Times New Roman"/>
      <w:b/>
      <w:spacing w:val="20"/>
      <w:sz w:val="24"/>
      <w:lang w:val="en-GB" w:eastAsia="zh-TW"/>
    </w:rPr>
  </w:style>
  <w:style w:type="paragraph" w:customStyle="1" w:styleId="Appendixtext">
    <w:name w:val="Appendix text"/>
    <w:basedOn w:val="NormalIndent"/>
    <w:qFormat/>
    <w:pPr>
      <w:spacing w:before="138"/>
      <w:ind w:left="1080"/>
    </w:pPr>
    <w:rPr>
      <w:rFonts w:eastAsia="華康簡宋"/>
      <w:sz w:val="24"/>
    </w:rPr>
  </w:style>
  <w:style w:type="paragraph" w:customStyle="1" w:styleId="AppendixList">
    <w:name w:val="Appendix List"/>
    <w:basedOn w:val="Normal"/>
    <w:qFormat/>
    <w:pPr>
      <w:ind w:left="1077"/>
    </w:pPr>
    <w:rPr>
      <w:rFonts w:eastAsia="華康簡宋"/>
      <w:sz w:val="24"/>
    </w:rPr>
  </w:style>
  <w:style w:type="paragraph" w:customStyle="1" w:styleId="AppendixList1">
    <w:name w:val="Appendix List 1"/>
    <w:basedOn w:val="List"/>
    <w:qFormat/>
    <w:pPr>
      <w:tabs>
        <w:tab w:val="clear" w:pos="1077"/>
        <w:tab w:val="left" w:pos="1440"/>
      </w:tabs>
      <w:ind w:left="1440" w:hanging="360"/>
    </w:pPr>
    <w:rPr>
      <w:rFonts w:eastAsia="華康簡宋"/>
      <w:sz w:val="24"/>
    </w:rPr>
  </w:style>
  <w:style w:type="paragraph" w:customStyle="1" w:styleId="AppendixList2">
    <w:name w:val="Appendix List 2"/>
    <w:basedOn w:val="AppendixList1"/>
    <w:qFormat/>
    <w:pPr>
      <w:tabs>
        <w:tab w:val="clear" w:pos="1440"/>
      </w:tabs>
      <w:spacing w:before="0"/>
    </w:pPr>
  </w:style>
  <w:style w:type="paragraph" w:customStyle="1" w:styleId="SubText">
    <w:name w:val="Sub Text"/>
    <w:basedOn w:val="Normal"/>
    <w:qFormat/>
    <w:pPr>
      <w:spacing w:after="120" w:line="260" w:lineRule="atLeast"/>
    </w:pPr>
    <w:rPr>
      <w:rFonts w:ascii="Arial" w:eastAsia="Times New Roman" w:hAnsi="Arial"/>
      <w:sz w:val="18"/>
    </w:rPr>
  </w:style>
  <w:style w:type="paragraph" w:customStyle="1" w:styleId="xl25">
    <w:name w:val="xl25"/>
    <w:basedOn w:val="Normal"/>
    <w:qFormat/>
    <w:pPr>
      <w:spacing w:before="100" w:beforeAutospacing="1" w:after="100" w:afterAutospacing="1"/>
    </w:pPr>
    <w:rPr>
      <w:rFonts w:ascii="Arial" w:eastAsia="Arial Unicode MS" w:hAnsi="Arial" w:cs="Arial"/>
      <w:sz w:val="16"/>
      <w:szCs w:val="16"/>
      <w:lang w:val="en-US"/>
    </w:rPr>
  </w:style>
  <w:style w:type="paragraph" w:customStyle="1" w:styleId="xl27">
    <w:name w:val="xl27"/>
    <w:basedOn w:val="Normal"/>
    <w:qFormat/>
    <w:pPr>
      <w:spacing w:before="100" w:beforeAutospacing="1" w:after="100" w:afterAutospacing="1"/>
    </w:pPr>
    <w:rPr>
      <w:rFonts w:ascii="Arial" w:eastAsia="Arial Unicode MS" w:hAnsi="Arial" w:cs="Arial"/>
      <w:sz w:val="16"/>
      <w:szCs w:val="16"/>
      <w:lang w:val="en-US"/>
    </w:rPr>
  </w:style>
  <w:style w:type="paragraph" w:customStyle="1" w:styleId="xl28">
    <w:name w:val="xl28"/>
    <w:basedOn w:val="Normal"/>
    <w:qFormat/>
    <w:pPr>
      <w:spacing w:before="100" w:beforeAutospacing="1" w:after="100" w:afterAutospacing="1"/>
      <w:jc w:val="center"/>
    </w:pPr>
    <w:rPr>
      <w:rFonts w:ascii="Arial" w:eastAsia="Arial Unicode MS" w:hAnsi="Arial" w:cs="Arial"/>
      <w:sz w:val="16"/>
      <w:szCs w:val="16"/>
      <w:lang w:val="en-US"/>
    </w:rPr>
  </w:style>
  <w:style w:type="paragraph" w:customStyle="1" w:styleId="xl29">
    <w:name w:val="xl29"/>
    <w:basedOn w:val="Normal"/>
    <w:qFormat/>
    <w:pPr>
      <w:spacing w:before="100" w:beforeAutospacing="1" w:after="100" w:afterAutospacing="1"/>
    </w:pPr>
    <w:rPr>
      <w:rFonts w:ascii="Arial" w:eastAsia="Arial Unicode MS" w:hAnsi="Arial" w:cs="Arial"/>
      <w:sz w:val="16"/>
      <w:szCs w:val="16"/>
      <w:lang w:val="en-US"/>
    </w:rPr>
  </w:style>
  <w:style w:type="paragraph" w:customStyle="1" w:styleId="HYTitle2">
    <w:name w:val="HYTitle2"/>
    <w:qFormat/>
    <w:pPr>
      <w:tabs>
        <w:tab w:val="left" w:pos="1145"/>
        <w:tab w:val="left" w:pos="2716"/>
      </w:tabs>
      <w:ind w:left="851" w:hanging="426"/>
    </w:pPr>
    <w:rPr>
      <w:rFonts w:ascii="宋体" w:hAnsi="Times New Roman"/>
      <w:b/>
      <w:sz w:val="28"/>
    </w:rPr>
  </w:style>
  <w:style w:type="paragraph" w:customStyle="1" w:styleId="HYTitle3">
    <w:name w:val="HYTitle3"/>
    <w:qFormat/>
    <w:pPr>
      <w:tabs>
        <w:tab w:val="left" w:pos="1571"/>
        <w:tab w:val="left" w:pos="1851"/>
      </w:tabs>
      <w:ind w:left="1276" w:hanging="425"/>
    </w:pPr>
    <w:rPr>
      <w:rFonts w:ascii="宋体" w:hAnsi="Times New Roman"/>
      <w:sz w:val="28"/>
    </w:rPr>
  </w:style>
  <w:style w:type="paragraph" w:customStyle="1" w:styleId="13">
    <w:name w:val="列出段落1"/>
    <w:basedOn w:val="Normal"/>
    <w:uiPriority w:val="34"/>
    <w:qFormat/>
    <w:pPr>
      <w:widowControl w:val="0"/>
      <w:ind w:left="720"/>
      <w:contextualSpacing/>
      <w:jc w:val="both"/>
    </w:pPr>
    <w:rPr>
      <w:rFonts w:ascii="宋体" w:eastAsia="宋体" w:hAnsi="宋体" w:hint="eastAsia"/>
      <w:sz w:val="20"/>
      <w:lang w:val="en-US" w:eastAsia="zh-CN"/>
    </w:rPr>
  </w:style>
  <w:style w:type="character" w:customStyle="1" w:styleId="Char12">
    <w:name w:val="列出段落 Char1"/>
    <w:uiPriority w:val="34"/>
    <w:qFormat/>
    <w:locked/>
  </w:style>
  <w:style w:type="character" w:customStyle="1" w:styleId="ZZ-5Char">
    <w:name w:val="ZZ-5 正文 Char"/>
    <w:link w:val="ZZ-5"/>
    <w:uiPriority w:val="2"/>
    <w:qFormat/>
    <w:locked/>
    <w:rPr>
      <w:rFonts w:ascii="宋体" w:eastAsia="宋体" w:hAnsi="宋体" w:cs="宋体"/>
    </w:rPr>
  </w:style>
  <w:style w:type="paragraph" w:customStyle="1" w:styleId="ZZ-5">
    <w:name w:val="ZZ-5 正文"/>
    <w:basedOn w:val="Normal"/>
    <w:link w:val="ZZ-5Char"/>
    <w:uiPriority w:val="2"/>
    <w:qFormat/>
    <w:pPr>
      <w:spacing w:before="60" w:after="60" w:line="360" w:lineRule="auto"/>
      <w:ind w:left="200" w:firstLine="200" w:leftChars="200" w:firstLineChars="200"/>
    </w:pPr>
    <w:rPr>
      <w:rFonts w:ascii="宋体" w:eastAsia="宋体" w:hAnsi="宋体" w:cs="宋体"/>
      <w:kern w:val="2"/>
      <w:sz w:val="21"/>
      <w:szCs w:val="22"/>
      <w:lang w:val="en-US" w:eastAsia="zh-CN"/>
    </w:rPr>
  </w:style>
  <w:style w:type="character" w:customStyle="1" w:styleId="apple-converted-space">
    <w:name w:val="apple-converted-space"/>
    <w:qFormat/>
  </w:style>
  <w:style w:type="character" w:customStyle="1" w:styleId="ReportTextChar2">
    <w:name w:val="Report Text Char2"/>
    <w:qFormat/>
    <w:rPr>
      <w:rFonts w:ascii="Times New Roman" w:eastAsia="Times New Roman" w:hAnsi="Times New Roman" w:cs="Times New Roman"/>
      <w:sz w:val="24"/>
      <w:szCs w:val="20"/>
      <w:lang w:val="en-US" w:eastAsia="en-US"/>
    </w:rPr>
  </w:style>
  <w:style w:type="paragraph" w:customStyle="1" w:styleId="2a">
    <w:name w:val="标题2 （a）"/>
    <w:basedOn w:val="Heading2"/>
    <w:link w:val="2aChar"/>
    <w:qFormat/>
    <w:pPr>
      <w:numPr>
        <w:numId w:val="0"/>
      </w:numPr>
      <w:tabs>
        <w:tab w:val="clear" w:pos="1077"/>
        <w:tab w:val="clear" w:pos="1080"/>
      </w:tabs>
      <w:adjustRightInd w:val="0"/>
      <w:snapToGrid w:val="0"/>
    </w:pPr>
    <w:rPr>
      <w:rFonts w:cs="Times New Roman"/>
    </w:rPr>
  </w:style>
  <w:style w:type="character" w:customStyle="1" w:styleId="2aChar">
    <w:name w:val="标题2 （a） Char"/>
    <w:link w:val="2a"/>
    <w:qFormat/>
    <w:rPr>
      <w:rFonts w:ascii="Times New Roman" w:eastAsia="宋体" w:hAnsi="Times New Roman" w:cs="Times New Roman"/>
      <w:b/>
      <w:kern w:val="0"/>
      <w:sz w:val="24"/>
      <w:szCs w:val="20"/>
      <w:lang w:val="en-GB"/>
    </w:rPr>
  </w:style>
  <w:style w:type="paragraph" w:customStyle="1" w:styleId="Pa2">
    <w:name w:val="Pa2"/>
    <w:basedOn w:val="Normal"/>
    <w:next w:val="Normal"/>
    <w:uiPriority w:val="99"/>
    <w:qFormat/>
    <w:pPr>
      <w:widowControl w:val="0"/>
      <w:autoSpaceDE w:val="0"/>
      <w:autoSpaceDN w:val="0"/>
      <w:adjustRightInd w:val="0"/>
      <w:spacing w:line="241" w:lineRule="atLeast"/>
    </w:pPr>
    <w:rPr>
      <w:rFonts w:ascii="Century Gothic" w:hAnsi="Century Gothic"/>
      <w:sz w:val="24"/>
      <w:szCs w:val="24"/>
      <w:lang w:val="en-US" w:eastAsia="zh-CN"/>
    </w:rPr>
  </w:style>
  <w:style w:type="paragraph" w:customStyle="1" w:styleId="Pa3">
    <w:name w:val="Pa3"/>
    <w:basedOn w:val="Normal"/>
    <w:next w:val="Normal"/>
    <w:uiPriority w:val="99"/>
    <w:qFormat/>
    <w:pPr>
      <w:widowControl w:val="0"/>
      <w:autoSpaceDE w:val="0"/>
      <w:autoSpaceDN w:val="0"/>
      <w:adjustRightInd w:val="0"/>
      <w:spacing w:line="241" w:lineRule="atLeast"/>
    </w:pPr>
    <w:rPr>
      <w:rFonts w:ascii="微软雅黑Q" w:eastAsia="微软雅黑Q"/>
      <w:sz w:val="24"/>
      <w:szCs w:val="24"/>
      <w:lang w:val="en-US" w:eastAsia="zh-CN"/>
    </w:rPr>
  </w:style>
  <w:style w:type="paragraph" w:styleId="NoSpacing">
    <w:name w:val="No Spacing"/>
    <w:link w:val="a25"/>
    <w:uiPriority w:val="1"/>
    <w:qFormat/>
    <w:rPr>
      <w:sz w:val="22"/>
      <w:szCs w:val="22"/>
      <w:lang w:eastAsia="en-US" w:bidi="en-US"/>
    </w:rPr>
  </w:style>
  <w:style w:type="character" w:customStyle="1" w:styleId="a25">
    <w:name w:val="无间隔 字符"/>
    <w:link w:val="NoSpacing"/>
    <w:uiPriority w:val="1"/>
    <w:qFormat/>
    <w:rPr>
      <w:rFonts w:ascii="Calibri" w:eastAsia="宋体" w:hAnsi="Calibri" w:cs="Times New Roman"/>
      <w:kern w:val="0"/>
      <w:sz w:val="22"/>
      <w:lang w:eastAsia="en-US" w:bidi="en-US"/>
    </w:rPr>
  </w:style>
  <w:style w:type="paragraph" w:customStyle="1" w:styleId="23">
    <w:name w:val="标题2"/>
    <w:basedOn w:val="13"/>
    <w:link w:val="2Char"/>
    <w:qFormat/>
    <w:pPr>
      <w:numPr>
        <w:numId w:val="23"/>
      </w:numPr>
      <w:snapToGrid w:val="0"/>
      <w:spacing w:line="276" w:lineRule="auto"/>
      <w:contextualSpacing w:val="0"/>
    </w:pPr>
    <w:rPr>
      <w:rFonts w:hAnsi="Times New Roman" w:hint="default"/>
      <w:b/>
      <w:color w:val="000000"/>
      <w:kern w:val="2"/>
      <w:sz w:val="24"/>
      <w:szCs w:val="24"/>
    </w:rPr>
  </w:style>
  <w:style w:type="character" w:customStyle="1" w:styleId="2Char">
    <w:name w:val="标题2 Char"/>
    <w:link w:val="23"/>
    <w:qFormat/>
    <w:rPr>
      <w:rFonts w:ascii="宋体" w:hAnsi="Times New Roman"/>
      <w:b/>
      <w:color w:val="000000"/>
      <w:kern w:val="2"/>
      <w:sz w:val="24"/>
      <w:szCs w:val="24"/>
    </w:rPr>
  </w:style>
  <w:style w:type="paragraph" w:customStyle="1" w:styleId="32">
    <w:name w:val="标题3"/>
    <w:basedOn w:val="13"/>
    <w:link w:val="3Char"/>
    <w:qFormat/>
    <w:pPr>
      <w:numPr>
        <w:ilvl w:val="1"/>
        <w:numId w:val="23"/>
      </w:numPr>
      <w:snapToGrid w:val="0"/>
      <w:spacing w:line="276" w:lineRule="auto"/>
      <w:contextualSpacing w:val="0"/>
    </w:pPr>
    <w:rPr>
      <w:rFonts w:hAnsi="Times New Roman" w:hint="default"/>
      <w:color w:val="000000"/>
      <w:kern w:val="2"/>
      <w:sz w:val="24"/>
      <w:szCs w:val="24"/>
    </w:rPr>
  </w:style>
  <w:style w:type="character" w:customStyle="1" w:styleId="3Char">
    <w:name w:val="标题3 Char"/>
    <w:link w:val="32"/>
    <w:qFormat/>
    <w:rPr>
      <w:rFonts w:ascii="宋体" w:hAnsi="Times New Roman"/>
      <w:color w:val="000000"/>
      <w:kern w:val="2"/>
      <w:sz w:val="24"/>
      <w:szCs w:val="24"/>
    </w:rPr>
  </w:style>
  <w:style w:type="paragraph" w:customStyle="1" w:styleId="a26">
    <w:name w:val="图表内容"/>
    <w:basedOn w:val="Normal"/>
    <w:link w:val="Char"/>
    <w:qFormat/>
    <w:pPr>
      <w:widowControl w:val="0"/>
      <w:spacing w:line="288" w:lineRule="auto"/>
      <w:jc w:val="center"/>
    </w:pPr>
    <w:rPr>
      <w:rFonts w:eastAsia="宋体"/>
      <w:kern w:val="2"/>
      <w:sz w:val="21"/>
      <w:szCs w:val="21"/>
      <w:lang w:val="en-US" w:eastAsia="zh-CN"/>
    </w:rPr>
  </w:style>
  <w:style w:type="character" w:customStyle="1" w:styleId="Char">
    <w:name w:val="图表内容 Char"/>
    <w:link w:val="a26"/>
    <w:qFormat/>
    <w:rPr>
      <w:rFonts w:ascii="Times New Roman" w:eastAsia="宋体" w:hAnsi="Times New Roman" w:cs="Times New Roman"/>
      <w:szCs w:val="21"/>
    </w:rPr>
  </w:style>
  <w:style w:type="paragraph" w:customStyle="1" w:styleId="Cover-Ref">
    <w:name w:val="Cover - Ref"/>
    <w:basedOn w:val="Normal"/>
    <w:uiPriority w:val="2"/>
    <w:qFormat/>
    <w:pPr>
      <w:spacing w:before="200" w:after="113" w:line="220" w:lineRule="exact"/>
    </w:pPr>
    <w:rPr>
      <w:rFonts w:eastAsia="Times New Roman"/>
      <w:sz w:val="18"/>
    </w:rPr>
  </w:style>
  <w:style w:type="character" w:customStyle="1" w:styleId="Cover-JobTitle">
    <w:name w:val="Cover - Job Title"/>
    <w:uiPriority w:val="2"/>
    <w:qFormat/>
    <w:rPr>
      <w:rFonts w:ascii="Times New Roman" w:hAnsi="Times New Roman"/>
      <w:b/>
      <w:color w:val="28AAE1"/>
      <w:sz w:val="32"/>
    </w:rPr>
  </w:style>
  <w:style w:type="character" w:customStyle="1" w:styleId="2Char0">
    <w:name w:val="样式2 Char"/>
    <w:link w:val="24"/>
    <w:qFormat/>
    <w:rPr>
      <w:rFonts w:ascii="宋体" w:hAnsi="宋体"/>
      <w:b/>
      <w:sz w:val="24"/>
      <w:szCs w:val="24"/>
      <w:lang w:val="zh-CN"/>
    </w:rPr>
  </w:style>
  <w:style w:type="paragraph" w:customStyle="1" w:styleId="24">
    <w:name w:val="样式2"/>
    <w:basedOn w:val="Normal"/>
    <w:link w:val="2Char0"/>
    <w:qFormat/>
    <w:pPr>
      <w:widowControl w:val="0"/>
      <w:tabs>
        <w:tab w:val="left" w:pos="794"/>
      </w:tabs>
      <w:wordWrap w:val="0"/>
      <w:topLinePunct/>
      <w:adjustRightInd w:val="0"/>
      <w:snapToGrid w:val="0"/>
      <w:spacing w:before="156" w:beforeLines="50" w:line="240" w:lineRule="atLeast"/>
      <w:ind w:left="794" w:hanging="794"/>
      <w:textAlignment w:val="center"/>
      <w:outlineLvl w:val="1"/>
    </w:pPr>
    <w:rPr>
      <w:rFonts w:ascii="宋体" w:eastAsia="宋体" w:hAnsi="宋体"/>
      <w:b/>
      <w:sz w:val="24"/>
      <w:szCs w:val="24"/>
      <w:lang w:val="zh-CN" w:eastAsia="zh-CN"/>
    </w:rPr>
  </w:style>
  <w:style w:type="paragraph" w:customStyle="1" w:styleId="14">
    <w:name w:val="修订1"/>
    <w:hidden/>
    <w:uiPriority w:val="99"/>
    <w:semiHidden/>
    <w:qFormat/>
    <w:rPr>
      <w:rFonts w:ascii="Times New Roman" w:eastAsia="PMingLiU" w:hAnsi="Times New Roman"/>
      <w:sz w:val="22"/>
      <w:lang w:val="en-GB" w:eastAsia="en-US"/>
    </w:rPr>
  </w:style>
  <w:style w:type="paragraph" w:customStyle="1" w:styleId="Normal0">
    <w:name w:val="Normal_0"/>
    <w:qFormat/>
    <w:pPr>
      <w:widowControl w:val="0"/>
      <w:jc w:val="both"/>
    </w:pPr>
    <w:rPr>
      <w:rFonts w:ascii="Times New Roman" w:hAnsi="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header" Target="header14.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header" Target="header16.xml" /><Relationship Id="rId36" Type="http://schemas.openxmlformats.org/officeDocument/2006/relationships/footer" Target="footer16.xm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hyperlink" Target="https://d.book118.com/355101333002011120" TargetMode="External" /><Relationship Id="rId4" Type="http://schemas.openxmlformats.org/officeDocument/2006/relationships/customXml" Target="../customXml/item1.xml" /><Relationship Id="rId40" Type="http://schemas.openxmlformats.org/officeDocument/2006/relationships/header" Target="header18.xml" /><Relationship Id="rId41" Type="http://schemas.openxmlformats.org/officeDocument/2006/relationships/footer" Target="footer18.xml" /><Relationship Id="rId42" Type="http://schemas.openxmlformats.org/officeDocument/2006/relationships/theme" Target="theme/theme1.xml" /><Relationship Id="rId43" Type="http://schemas.openxmlformats.org/officeDocument/2006/relationships/numbering" Target="numbering.xml" /><Relationship Id="rId44" Type="http://schemas.openxmlformats.org/officeDocument/2006/relationships/styles" Target="styles.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08A266-53B4-4A19-AD5D-3186DEE78C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18</Pages>
  <Words>4332</Words>
  <Characters>24697</Characters>
  <Application>Microsoft Office Word</Application>
  <DocSecurity>0</DocSecurity>
  <Lines>205</Lines>
  <Paragraphs>57</Paragraphs>
  <ScaleCrop>false</ScaleCrop>
  <Company/>
  <LinksUpToDate>false</LinksUpToDate>
  <CharactersWithSpaces>28972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S国际设计中心-林娴</dc:creator>
  <cp:lastModifiedBy>windows</cp:lastModifiedBy>
  <cp:revision>501</cp:revision>
  <cp:lastPrinted>2022-10-10T07:14:00Z</cp:lastPrinted>
  <dcterms:created xsi:type="dcterms:W3CDTF">2020-01-13T08:38:00Z</dcterms:created>
  <dcterms:modified xsi:type="dcterms:W3CDTF">2024-03-06T07:50:00Z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BD670F421B564B36817F302DBDFA9BC1</vt:lpwstr>
  </property>
  <property fmtid="{D5CDD505-2E9C-101B-9397-08002B2CF9AE}" pid="3" name="KSOProductBuildVer">
    <vt:lpwstr>2052-11.1.0.12763</vt:lpwstr>
  </property>
</Properties>
</file>