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激光测距仪、测向仪项目规划设计纲要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47" w:history="1">
        <w:r>
          <w:rPr>
            <w:rFonts w:ascii="仿宋" w:eastAsia="仿宋" w:hAnsi="仿宋" w:cs="仿宋" w:hint="eastAsia"/>
            <w:lang w:eastAsia="zh-CN"/>
          </w:rPr>
          <w:t>概论</w:t>
        </w:r>
        <w:r>
          <w:tab/>
        </w:r>
        <w:r>
          <w:fldChar w:fldCharType="begin"/>
        </w:r>
        <w:r>
          <w:instrText xml:space="preserve"> PAGEREF _Toc18347 \h </w:instrText>
        </w:r>
        <w:r>
          <w:fldChar w:fldCharType="separate"/>
        </w:r>
        <w:r>
          <w:t>3</w:t>
        </w:r>
        <w:r>
          <w:fldChar w:fldCharType="end"/>
        </w:r>
      </w:hyperlink>
    </w:p>
    <w:p>
      <w:pPr>
        <w:pStyle w:val="TOC1"/>
        <w:tabs>
          <w:tab w:val="right" w:leader="dot" w:pos="8306"/>
        </w:tabs>
      </w:pPr>
      <w:hyperlink w:anchor="_Toc19389" w:history="1">
        <w:r>
          <w:rPr>
            <w:rFonts w:ascii="仿宋" w:eastAsia="仿宋" w:hAnsi="仿宋" w:cs="仿宋" w:hint="eastAsia"/>
            <w:lang w:eastAsia="zh-CN"/>
          </w:rPr>
          <w:t>一、激光测距仪、测向仪项目绩效评估</w:t>
        </w:r>
        <w:r>
          <w:tab/>
        </w:r>
        <w:r>
          <w:fldChar w:fldCharType="begin"/>
        </w:r>
        <w:r>
          <w:instrText xml:space="preserve"> PAGEREF _Toc19389 \h </w:instrText>
        </w:r>
        <w:r>
          <w:fldChar w:fldCharType="separate"/>
        </w:r>
        <w:r>
          <w:t>3</w:t>
        </w:r>
        <w:r>
          <w:fldChar w:fldCharType="end"/>
        </w:r>
      </w:hyperlink>
    </w:p>
    <w:p>
      <w:pPr>
        <w:pStyle w:val="TOC2"/>
        <w:tabs>
          <w:tab w:val="right" w:leader="dot" w:pos="8306"/>
        </w:tabs>
      </w:pPr>
      <w:hyperlink w:anchor="_Toc13883" w:history="1">
        <w:r>
          <w:rPr>
            <w:rFonts w:ascii="仿宋" w:eastAsia="仿宋" w:hAnsi="仿宋" w:cs="仿宋" w:hint="eastAsia"/>
            <w:lang w:eastAsia="zh-CN"/>
          </w:rPr>
          <w:t>(一)、绩效评估指标</w:t>
        </w:r>
        <w:r>
          <w:tab/>
        </w:r>
        <w:r>
          <w:fldChar w:fldCharType="begin"/>
        </w:r>
        <w:r>
          <w:instrText xml:space="preserve"> PAGEREF _Toc13883 \h </w:instrText>
        </w:r>
        <w:r>
          <w:fldChar w:fldCharType="separate"/>
        </w:r>
        <w:r>
          <w:t>3</w:t>
        </w:r>
        <w:r>
          <w:fldChar w:fldCharType="end"/>
        </w:r>
      </w:hyperlink>
    </w:p>
    <w:p>
      <w:pPr>
        <w:pStyle w:val="TOC2"/>
        <w:tabs>
          <w:tab w:val="right" w:leader="dot" w:pos="8306"/>
        </w:tabs>
      </w:pPr>
      <w:hyperlink w:anchor="_Toc29267" w:history="1">
        <w:r>
          <w:rPr>
            <w:rFonts w:ascii="仿宋" w:eastAsia="仿宋" w:hAnsi="仿宋" w:cs="仿宋" w:hint="eastAsia"/>
            <w:lang w:eastAsia="zh-CN"/>
          </w:rPr>
          <w:t>(二)、绩效评估方法</w:t>
        </w:r>
        <w:r>
          <w:tab/>
        </w:r>
        <w:r>
          <w:fldChar w:fldCharType="begin"/>
        </w:r>
        <w:r>
          <w:instrText xml:space="preserve"> PAGEREF _Toc29267 \h </w:instrText>
        </w:r>
        <w:r>
          <w:fldChar w:fldCharType="separate"/>
        </w:r>
        <w:r>
          <w:t>4</w:t>
        </w:r>
        <w:r>
          <w:fldChar w:fldCharType="end"/>
        </w:r>
      </w:hyperlink>
    </w:p>
    <w:p>
      <w:pPr>
        <w:pStyle w:val="TOC2"/>
        <w:tabs>
          <w:tab w:val="right" w:leader="dot" w:pos="8306"/>
        </w:tabs>
      </w:pPr>
      <w:hyperlink w:anchor="_Toc27712" w:history="1">
        <w:r>
          <w:rPr>
            <w:rFonts w:ascii="仿宋" w:eastAsia="仿宋" w:hAnsi="仿宋" w:cs="仿宋" w:hint="eastAsia"/>
            <w:lang w:eastAsia="zh-CN"/>
          </w:rPr>
          <w:t>(三)、绩效评估周期</w:t>
        </w:r>
        <w:r>
          <w:tab/>
        </w:r>
        <w:r>
          <w:fldChar w:fldCharType="begin"/>
        </w:r>
        <w:r>
          <w:instrText xml:space="preserve"> PAGEREF _Toc27712 \h </w:instrText>
        </w:r>
        <w:r>
          <w:fldChar w:fldCharType="separate"/>
        </w:r>
        <w:r>
          <w:t>5</w:t>
        </w:r>
        <w:r>
          <w:fldChar w:fldCharType="end"/>
        </w:r>
      </w:hyperlink>
    </w:p>
    <w:p>
      <w:pPr>
        <w:pStyle w:val="TOC1"/>
        <w:tabs>
          <w:tab w:val="right" w:leader="dot" w:pos="8306"/>
        </w:tabs>
      </w:pPr>
      <w:hyperlink w:anchor="_Toc20744" w:history="1">
        <w:r>
          <w:rPr>
            <w:rFonts w:ascii="仿宋" w:eastAsia="仿宋" w:hAnsi="仿宋" w:cs="仿宋" w:hint="eastAsia"/>
            <w:lang w:eastAsia="zh-CN"/>
          </w:rPr>
          <w:t>二、激光测距仪、测向仪项目选址可行性分析</w:t>
        </w:r>
        <w:r>
          <w:tab/>
        </w:r>
        <w:r>
          <w:fldChar w:fldCharType="begin"/>
        </w:r>
        <w:r>
          <w:instrText xml:space="preserve"> PAGEREF _Toc20744 \h </w:instrText>
        </w:r>
        <w:r>
          <w:fldChar w:fldCharType="separate"/>
        </w:r>
        <w:r>
          <w:t>6</w:t>
        </w:r>
        <w:r>
          <w:fldChar w:fldCharType="end"/>
        </w:r>
      </w:hyperlink>
    </w:p>
    <w:p>
      <w:pPr>
        <w:pStyle w:val="TOC2"/>
        <w:tabs>
          <w:tab w:val="right" w:leader="dot" w:pos="8306"/>
        </w:tabs>
      </w:pPr>
      <w:hyperlink w:anchor="_Toc21363" w:history="1">
        <w:r>
          <w:rPr>
            <w:rFonts w:ascii="仿宋" w:eastAsia="仿宋" w:hAnsi="仿宋" w:cs="仿宋" w:hint="eastAsia"/>
            <w:lang w:eastAsia="zh-CN"/>
          </w:rPr>
          <w:t>(一)、激光测距仪、测向仪项目选址</w:t>
        </w:r>
        <w:r>
          <w:tab/>
        </w:r>
        <w:r>
          <w:fldChar w:fldCharType="begin"/>
        </w:r>
        <w:r>
          <w:instrText xml:space="preserve"> PAGEREF _Toc21363 \h </w:instrText>
        </w:r>
        <w:r>
          <w:fldChar w:fldCharType="separate"/>
        </w:r>
        <w:r>
          <w:t>6</w:t>
        </w:r>
        <w:r>
          <w:fldChar w:fldCharType="end"/>
        </w:r>
      </w:hyperlink>
    </w:p>
    <w:p>
      <w:pPr>
        <w:pStyle w:val="TOC2"/>
        <w:tabs>
          <w:tab w:val="right" w:leader="dot" w:pos="8306"/>
        </w:tabs>
      </w:pPr>
      <w:hyperlink w:anchor="_Toc156" w:history="1">
        <w:r>
          <w:rPr>
            <w:rFonts w:ascii="仿宋" w:eastAsia="仿宋" w:hAnsi="仿宋" w:cs="仿宋" w:hint="eastAsia"/>
            <w:lang w:eastAsia="zh-CN"/>
          </w:rPr>
          <w:t>(二)、用地控制指标</w:t>
        </w:r>
        <w:r>
          <w:tab/>
        </w:r>
        <w:r>
          <w:fldChar w:fldCharType="begin"/>
        </w:r>
        <w:r>
          <w:instrText xml:space="preserve"> PAGEREF _Toc156 \h </w:instrText>
        </w:r>
        <w:r>
          <w:fldChar w:fldCharType="separate"/>
        </w:r>
        <w:r>
          <w:t>6</w:t>
        </w:r>
        <w:r>
          <w:fldChar w:fldCharType="end"/>
        </w:r>
      </w:hyperlink>
    </w:p>
    <w:p>
      <w:pPr>
        <w:pStyle w:val="TOC2"/>
        <w:tabs>
          <w:tab w:val="right" w:leader="dot" w:pos="8306"/>
        </w:tabs>
      </w:pPr>
      <w:hyperlink w:anchor="_Toc18388" w:history="1">
        <w:r>
          <w:rPr>
            <w:rFonts w:ascii="仿宋" w:eastAsia="仿宋" w:hAnsi="仿宋" w:cs="仿宋" w:hint="eastAsia"/>
            <w:lang w:eastAsia="zh-CN"/>
          </w:rPr>
          <w:t>(三)、节约用地措施</w:t>
        </w:r>
        <w:r>
          <w:tab/>
        </w:r>
        <w:r>
          <w:fldChar w:fldCharType="begin"/>
        </w:r>
        <w:r>
          <w:instrText xml:space="preserve"> PAGEREF _Toc18388 \h </w:instrText>
        </w:r>
        <w:r>
          <w:fldChar w:fldCharType="separate"/>
        </w:r>
        <w:r>
          <w:t>9</w:t>
        </w:r>
        <w:r>
          <w:fldChar w:fldCharType="end"/>
        </w:r>
      </w:hyperlink>
    </w:p>
    <w:p>
      <w:pPr>
        <w:pStyle w:val="TOC2"/>
        <w:tabs>
          <w:tab w:val="right" w:leader="dot" w:pos="8306"/>
        </w:tabs>
      </w:pPr>
      <w:hyperlink w:anchor="_Toc584" w:history="1">
        <w:r>
          <w:rPr>
            <w:rFonts w:ascii="仿宋" w:eastAsia="仿宋" w:hAnsi="仿宋" w:cs="仿宋" w:hint="eastAsia"/>
            <w:lang w:eastAsia="zh-CN"/>
          </w:rPr>
          <w:t>(四)、总图布置方案</w:t>
        </w:r>
        <w:r>
          <w:tab/>
        </w:r>
        <w:r>
          <w:fldChar w:fldCharType="begin"/>
        </w:r>
        <w:r>
          <w:instrText xml:space="preserve"> PAGEREF _Toc584 \h </w:instrText>
        </w:r>
        <w:r>
          <w:fldChar w:fldCharType="separate"/>
        </w:r>
        <w:r>
          <w:t>10</w:t>
        </w:r>
        <w:r>
          <w:fldChar w:fldCharType="end"/>
        </w:r>
      </w:hyperlink>
    </w:p>
    <w:p>
      <w:pPr>
        <w:pStyle w:val="TOC2"/>
        <w:tabs>
          <w:tab w:val="right" w:leader="dot" w:pos="8306"/>
        </w:tabs>
      </w:pPr>
      <w:hyperlink w:anchor="_Toc28165" w:history="1">
        <w:r>
          <w:rPr>
            <w:rFonts w:ascii="仿宋" w:eastAsia="仿宋" w:hAnsi="仿宋" w:cs="仿宋" w:hint="eastAsia"/>
            <w:lang w:eastAsia="zh-CN"/>
          </w:rPr>
          <w:t>(五)、选址综合评价</w:t>
        </w:r>
        <w:r>
          <w:tab/>
        </w:r>
        <w:r>
          <w:fldChar w:fldCharType="begin"/>
        </w:r>
        <w:r>
          <w:instrText xml:space="preserve"> PAGEREF _Toc28165 \h </w:instrText>
        </w:r>
        <w:r>
          <w:fldChar w:fldCharType="separate"/>
        </w:r>
        <w:r>
          <w:t>11</w:t>
        </w:r>
        <w:r>
          <w:fldChar w:fldCharType="end"/>
        </w:r>
      </w:hyperlink>
    </w:p>
    <w:p>
      <w:pPr>
        <w:pStyle w:val="TOC1"/>
        <w:tabs>
          <w:tab w:val="right" w:leader="dot" w:pos="8306"/>
        </w:tabs>
      </w:pPr>
      <w:hyperlink w:anchor="_Toc14123" w:history="1">
        <w:r>
          <w:rPr>
            <w:rFonts w:ascii="仿宋" w:eastAsia="仿宋" w:hAnsi="仿宋" w:cs="仿宋" w:hint="eastAsia"/>
            <w:lang w:eastAsia="zh-CN"/>
          </w:rPr>
          <w:t>三、激光测距仪、测向仪项目文档管理</w:t>
        </w:r>
        <w:r>
          <w:tab/>
        </w:r>
        <w:r>
          <w:fldChar w:fldCharType="begin"/>
        </w:r>
        <w:r>
          <w:instrText xml:space="preserve"> PAGEREF _Toc14123 \h </w:instrText>
        </w:r>
        <w:r>
          <w:fldChar w:fldCharType="separate"/>
        </w:r>
        <w:r>
          <w:t>12</w:t>
        </w:r>
        <w:r>
          <w:fldChar w:fldCharType="end"/>
        </w:r>
      </w:hyperlink>
    </w:p>
    <w:p>
      <w:pPr>
        <w:pStyle w:val="TOC2"/>
        <w:tabs>
          <w:tab w:val="right" w:leader="dot" w:pos="8306"/>
        </w:tabs>
      </w:pPr>
      <w:hyperlink w:anchor="_Toc23955" w:history="1">
        <w:r>
          <w:rPr>
            <w:rFonts w:ascii="仿宋" w:eastAsia="仿宋" w:hAnsi="仿宋" w:cs="仿宋" w:hint="eastAsia"/>
            <w:lang w:eastAsia="zh-CN"/>
          </w:rPr>
          <w:t>(一)、文档编制与审查</w:t>
        </w:r>
        <w:r>
          <w:tab/>
        </w:r>
        <w:r>
          <w:fldChar w:fldCharType="begin"/>
        </w:r>
        <w:r>
          <w:instrText xml:space="preserve"> PAGEREF _Toc23955 \h </w:instrText>
        </w:r>
        <w:r>
          <w:fldChar w:fldCharType="separate"/>
        </w:r>
        <w:r>
          <w:t>12</w:t>
        </w:r>
        <w:r>
          <w:fldChar w:fldCharType="end"/>
        </w:r>
      </w:hyperlink>
    </w:p>
    <w:p>
      <w:pPr>
        <w:pStyle w:val="TOC2"/>
        <w:tabs>
          <w:tab w:val="right" w:leader="dot" w:pos="8306"/>
        </w:tabs>
      </w:pPr>
      <w:hyperlink w:anchor="_Toc12288" w:history="1">
        <w:r>
          <w:rPr>
            <w:rFonts w:ascii="仿宋" w:eastAsia="仿宋" w:hAnsi="仿宋" w:cs="仿宋" w:hint="eastAsia"/>
            <w:lang w:eastAsia="zh-CN"/>
          </w:rPr>
          <w:t>(二)、文档发布与分发</w:t>
        </w:r>
        <w:r>
          <w:tab/>
        </w:r>
        <w:r>
          <w:fldChar w:fldCharType="begin"/>
        </w:r>
        <w:r>
          <w:instrText xml:space="preserve"> PAGEREF _Toc12288 \h </w:instrText>
        </w:r>
        <w:r>
          <w:fldChar w:fldCharType="separate"/>
        </w:r>
        <w:r>
          <w:t>13</w:t>
        </w:r>
        <w:r>
          <w:fldChar w:fldCharType="end"/>
        </w:r>
      </w:hyperlink>
    </w:p>
    <w:p>
      <w:pPr>
        <w:pStyle w:val="TOC2"/>
        <w:tabs>
          <w:tab w:val="right" w:leader="dot" w:pos="8306"/>
        </w:tabs>
      </w:pPr>
      <w:hyperlink w:anchor="_Toc17979" w:history="1">
        <w:r>
          <w:rPr>
            <w:rFonts w:ascii="仿宋" w:eastAsia="仿宋" w:hAnsi="仿宋" w:cs="仿宋" w:hint="eastAsia"/>
            <w:lang w:eastAsia="zh-CN"/>
          </w:rPr>
          <w:t>(三)、文档存档与归档</w:t>
        </w:r>
        <w:r>
          <w:tab/>
        </w:r>
        <w:r>
          <w:fldChar w:fldCharType="begin"/>
        </w:r>
        <w:r>
          <w:instrText xml:space="preserve"> PAGEREF _Toc17979 \h </w:instrText>
        </w:r>
        <w:r>
          <w:fldChar w:fldCharType="separate"/>
        </w:r>
        <w:r>
          <w:t>14</w:t>
        </w:r>
        <w:r>
          <w:fldChar w:fldCharType="end"/>
        </w:r>
      </w:hyperlink>
    </w:p>
    <w:p>
      <w:pPr>
        <w:pStyle w:val="TOC1"/>
        <w:tabs>
          <w:tab w:val="right" w:leader="dot" w:pos="8306"/>
        </w:tabs>
      </w:pPr>
      <w:hyperlink w:anchor="_Toc32693" w:history="1">
        <w:r>
          <w:rPr>
            <w:rFonts w:ascii="仿宋" w:eastAsia="仿宋" w:hAnsi="仿宋" w:cs="仿宋" w:hint="eastAsia"/>
            <w:lang w:eastAsia="zh-CN"/>
          </w:rPr>
          <w:t>四、工艺说明</w:t>
        </w:r>
        <w:r>
          <w:tab/>
        </w:r>
        <w:r>
          <w:fldChar w:fldCharType="begin"/>
        </w:r>
        <w:r>
          <w:instrText xml:space="preserve"> PAGEREF _Toc32693 \h </w:instrText>
        </w:r>
        <w:r>
          <w:fldChar w:fldCharType="separate"/>
        </w:r>
        <w:r>
          <w:t>16</w:t>
        </w:r>
        <w:r>
          <w:fldChar w:fldCharType="end"/>
        </w:r>
      </w:hyperlink>
    </w:p>
    <w:p>
      <w:pPr>
        <w:pStyle w:val="TOC2"/>
        <w:tabs>
          <w:tab w:val="right" w:leader="dot" w:pos="8306"/>
        </w:tabs>
      </w:pPr>
      <w:hyperlink w:anchor="_Toc12468" w:history="1">
        <w:r>
          <w:rPr>
            <w:rFonts w:ascii="仿宋" w:eastAsia="仿宋" w:hAnsi="仿宋" w:cs="仿宋" w:hint="eastAsia"/>
            <w:lang w:eastAsia="zh-CN"/>
          </w:rPr>
          <w:t>(一)、技术管理特点</w:t>
        </w:r>
        <w:r>
          <w:tab/>
        </w:r>
        <w:r>
          <w:fldChar w:fldCharType="begin"/>
        </w:r>
        <w:r>
          <w:instrText xml:space="preserve"> PAGEREF _Toc12468 \h </w:instrText>
        </w:r>
        <w:r>
          <w:fldChar w:fldCharType="separate"/>
        </w:r>
        <w:r>
          <w:t>16</w:t>
        </w:r>
        <w:r>
          <w:fldChar w:fldCharType="end"/>
        </w:r>
      </w:hyperlink>
    </w:p>
    <w:p>
      <w:pPr>
        <w:pStyle w:val="TOC2"/>
        <w:tabs>
          <w:tab w:val="right" w:leader="dot" w:pos="8306"/>
        </w:tabs>
      </w:pPr>
      <w:hyperlink w:anchor="_Toc20385" w:history="1">
        <w:r>
          <w:rPr>
            <w:rFonts w:ascii="仿宋" w:eastAsia="仿宋" w:hAnsi="仿宋" w:cs="仿宋" w:hint="eastAsia"/>
            <w:lang w:eastAsia="zh-CN"/>
          </w:rPr>
          <w:t>(二)、激光测距仪、测向仪项目工艺技术设计方案</w:t>
        </w:r>
        <w:r>
          <w:tab/>
        </w:r>
        <w:r>
          <w:fldChar w:fldCharType="begin"/>
        </w:r>
        <w:r>
          <w:instrText xml:space="preserve"> PAGEREF _Toc20385 \h </w:instrText>
        </w:r>
        <w:r>
          <w:fldChar w:fldCharType="separate"/>
        </w:r>
        <w:r>
          <w:t>17</w:t>
        </w:r>
        <w:r>
          <w:fldChar w:fldCharType="end"/>
        </w:r>
      </w:hyperlink>
    </w:p>
    <w:p>
      <w:pPr>
        <w:pStyle w:val="TOC2"/>
        <w:tabs>
          <w:tab w:val="right" w:leader="dot" w:pos="8306"/>
        </w:tabs>
      </w:pPr>
      <w:hyperlink w:anchor="_Toc16013" w:history="1">
        <w:r>
          <w:rPr>
            <w:rFonts w:ascii="仿宋" w:eastAsia="仿宋" w:hAnsi="仿宋" w:cs="仿宋" w:hint="eastAsia"/>
            <w:lang w:eastAsia="zh-CN"/>
          </w:rPr>
          <w:t>(三)、设备选型方案</w:t>
        </w:r>
        <w:r>
          <w:tab/>
        </w:r>
        <w:r>
          <w:fldChar w:fldCharType="begin"/>
        </w:r>
        <w:r>
          <w:instrText xml:space="preserve"> PAGEREF _Toc16013 \h </w:instrText>
        </w:r>
        <w:r>
          <w:fldChar w:fldCharType="separate"/>
        </w:r>
        <w:r>
          <w:t>18</w:t>
        </w:r>
        <w:r>
          <w:fldChar w:fldCharType="end"/>
        </w:r>
      </w:hyperlink>
    </w:p>
    <w:p>
      <w:pPr>
        <w:pStyle w:val="TOC1"/>
        <w:tabs>
          <w:tab w:val="right" w:leader="dot" w:pos="8306"/>
        </w:tabs>
      </w:pPr>
      <w:hyperlink w:anchor="_Toc10848" w:history="1">
        <w:r>
          <w:rPr>
            <w:rFonts w:ascii="仿宋" w:eastAsia="仿宋" w:hAnsi="仿宋" w:cs="仿宋" w:hint="eastAsia"/>
            <w:lang w:eastAsia="zh-CN"/>
          </w:rPr>
          <w:t>五、激光测距仪、测向仪项目危机管理</w:t>
        </w:r>
        <w:r>
          <w:tab/>
        </w:r>
        <w:r>
          <w:fldChar w:fldCharType="begin"/>
        </w:r>
        <w:r>
          <w:instrText xml:space="preserve"> PAGEREF _Toc10848 \h </w:instrText>
        </w:r>
        <w:r>
          <w:fldChar w:fldCharType="separate"/>
        </w:r>
        <w:r>
          <w:t>20</w:t>
        </w:r>
        <w:r>
          <w:fldChar w:fldCharType="end"/>
        </w:r>
      </w:hyperlink>
    </w:p>
    <w:p>
      <w:pPr>
        <w:pStyle w:val="TOC2"/>
        <w:tabs>
          <w:tab w:val="right" w:leader="dot" w:pos="8306"/>
        </w:tabs>
      </w:pPr>
      <w:hyperlink w:anchor="_Toc10772" w:history="1">
        <w:r>
          <w:rPr>
            <w:rFonts w:ascii="仿宋" w:eastAsia="仿宋" w:hAnsi="仿宋" w:cs="仿宋" w:hint="eastAsia"/>
            <w:lang w:eastAsia="zh-CN"/>
          </w:rPr>
          <w:t>(一)、危机预警与识别</w:t>
        </w:r>
        <w:r>
          <w:tab/>
        </w:r>
        <w:r>
          <w:fldChar w:fldCharType="begin"/>
        </w:r>
        <w:r>
          <w:instrText xml:space="preserve"> PAGEREF _Toc10772 \h </w:instrText>
        </w:r>
        <w:r>
          <w:fldChar w:fldCharType="separate"/>
        </w:r>
        <w:r>
          <w:t>20</w:t>
        </w:r>
        <w:r>
          <w:fldChar w:fldCharType="end"/>
        </w:r>
      </w:hyperlink>
    </w:p>
    <w:p>
      <w:pPr>
        <w:pStyle w:val="TOC2"/>
        <w:tabs>
          <w:tab w:val="right" w:leader="dot" w:pos="8306"/>
        </w:tabs>
      </w:pPr>
      <w:hyperlink w:anchor="_Toc23203" w:history="1">
        <w:r>
          <w:rPr>
            <w:rFonts w:ascii="仿宋" w:eastAsia="仿宋" w:hAnsi="仿宋" w:cs="仿宋" w:hint="eastAsia"/>
            <w:lang w:eastAsia="zh-CN"/>
          </w:rPr>
          <w:t>(二)、危机应对与恢复</w:t>
        </w:r>
        <w:r>
          <w:tab/>
        </w:r>
        <w:r>
          <w:fldChar w:fldCharType="begin"/>
        </w:r>
        <w:r>
          <w:instrText xml:space="preserve"> PAGEREF _Toc23203 \h </w:instrText>
        </w:r>
        <w:r>
          <w:fldChar w:fldCharType="separate"/>
        </w:r>
        <w:r>
          <w:t>21</w:t>
        </w:r>
        <w:r>
          <w:fldChar w:fldCharType="end"/>
        </w:r>
      </w:hyperlink>
    </w:p>
    <w:p>
      <w:pPr>
        <w:pStyle w:val="TOC1"/>
        <w:tabs>
          <w:tab w:val="right" w:leader="dot" w:pos="8306"/>
        </w:tabs>
      </w:pPr>
      <w:hyperlink w:anchor="_Toc3687" w:history="1">
        <w:r>
          <w:rPr>
            <w:rFonts w:ascii="仿宋" w:eastAsia="仿宋" w:hAnsi="仿宋" w:cs="仿宋" w:hint="eastAsia"/>
            <w:lang w:eastAsia="zh-CN"/>
          </w:rPr>
          <w:t>六、激光测距仪、测向仪项目土建工程</w:t>
        </w:r>
        <w:r>
          <w:tab/>
        </w:r>
        <w:r>
          <w:fldChar w:fldCharType="begin"/>
        </w:r>
        <w:r>
          <w:instrText xml:space="preserve"> PAGEREF _Toc3687 \h </w:instrText>
        </w:r>
        <w:r>
          <w:fldChar w:fldCharType="separate"/>
        </w:r>
        <w:r>
          <w:t>22</w:t>
        </w:r>
        <w:r>
          <w:fldChar w:fldCharType="end"/>
        </w:r>
      </w:hyperlink>
    </w:p>
    <w:p>
      <w:pPr>
        <w:pStyle w:val="TOC2"/>
        <w:tabs>
          <w:tab w:val="right" w:leader="dot" w:pos="8306"/>
        </w:tabs>
      </w:pPr>
      <w:hyperlink w:anchor="_Toc25976" w:history="1">
        <w:r>
          <w:rPr>
            <w:rFonts w:ascii="仿宋" w:eastAsia="仿宋" w:hAnsi="仿宋" w:cs="仿宋" w:hint="eastAsia"/>
            <w:lang w:eastAsia="zh-CN"/>
          </w:rPr>
          <w:t>(一)、建筑工程设计原则</w:t>
        </w:r>
        <w:r>
          <w:tab/>
        </w:r>
        <w:r>
          <w:fldChar w:fldCharType="begin"/>
        </w:r>
        <w:r>
          <w:instrText xml:space="preserve"> PAGEREF _Toc25976 \h </w:instrText>
        </w:r>
        <w:r>
          <w:fldChar w:fldCharType="separate"/>
        </w:r>
        <w:r>
          <w:t>22</w:t>
        </w:r>
        <w:r>
          <w:fldChar w:fldCharType="end"/>
        </w:r>
      </w:hyperlink>
    </w:p>
    <w:p>
      <w:pPr>
        <w:pStyle w:val="TOC2"/>
        <w:tabs>
          <w:tab w:val="right" w:leader="dot" w:pos="8306"/>
        </w:tabs>
      </w:pPr>
      <w:hyperlink w:anchor="_Toc285" w:history="1">
        <w:r>
          <w:rPr>
            <w:rFonts w:ascii="仿宋" w:eastAsia="仿宋" w:hAnsi="仿宋" w:cs="仿宋" w:hint="eastAsia"/>
            <w:lang w:eastAsia="zh-CN"/>
          </w:rPr>
          <w:t>(二)、土建工程设计年限及安全等级</w:t>
        </w:r>
        <w:r>
          <w:tab/>
        </w:r>
        <w:r>
          <w:fldChar w:fldCharType="begin"/>
        </w:r>
        <w:r>
          <w:instrText xml:space="preserve"> PAGEREF _Toc285 \h </w:instrText>
        </w:r>
        <w:r>
          <w:fldChar w:fldCharType="separate"/>
        </w:r>
        <w:r>
          <w:t>23</w:t>
        </w:r>
        <w:r>
          <w:fldChar w:fldCharType="end"/>
        </w:r>
      </w:hyperlink>
    </w:p>
    <w:p>
      <w:pPr>
        <w:pStyle w:val="TOC2"/>
        <w:tabs>
          <w:tab w:val="right" w:leader="dot" w:pos="8306"/>
        </w:tabs>
      </w:pPr>
      <w:hyperlink w:anchor="_Toc9171" w:history="1">
        <w:r>
          <w:rPr>
            <w:rFonts w:ascii="仿宋" w:eastAsia="仿宋" w:hAnsi="仿宋" w:cs="仿宋" w:hint="eastAsia"/>
            <w:lang w:eastAsia="zh-CN"/>
          </w:rPr>
          <w:t>(三)、建筑工程设计总体要求</w:t>
        </w:r>
        <w:r>
          <w:tab/>
        </w:r>
        <w:r>
          <w:fldChar w:fldCharType="begin"/>
        </w:r>
        <w:r>
          <w:instrText xml:space="preserve"> PAGEREF _Toc9171 \h </w:instrText>
        </w:r>
        <w:r>
          <w:fldChar w:fldCharType="separate"/>
        </w:r>
        <w:r>
          <w:t>25</w:t>
        </w:r>
        <w:r>
          <w:fldChar w:fldCharType="end"/>
        </w:r>
      </w:hyperlink>
    </w:p>
    <w:p>
      <w:pPr>
        <w:pStyle w:val="TOC2"/>
        <w:tabs>
          <w:tab w:val="right" w:leader="dot" w:pos="8306"/>
        </w:tabs>
      </w:pPr>
      <w:hyperlink w:anchor="_Toc4652" w:history="1">
        <w:r>
          <w:rPr>
            <w:rFonts w:ascii="仿宋" w:eastAsia="仿宋" w:hAnsi="仿宋" w:cs="仿宋" w:hint="eastAsia"/>
            <w:lang w:eastAsia="zh-CN"/>
          </w:rPr>
          <w:t>(四)、土建工程建设指标</w:t>
        </w:r>
        <w:r>
          <w:tab/>
        </w:r>
        <w:r>
          <w:fldChar w:fldCharType="begin"/>
        </w:r>
        <w:r>
          <w:instrText xml:space="preserve"> PAGEREF _Toc4652 \h </w:instrText>
        </w:r>
        <w:r>
          <w:fldChar w:fldCharType="separate"/>
        </w:r>
        <w:r>
          <w:t>25</w:t>
        </w:r>
        <w:r>
          <w:fldChar w:fldCharType="end"/>
        </w:r>
      </w:hyperlink>
    </w:p>
    <w:p>
      <w:pPr>
        <w:pStyle w:val="TOC1"/>
        <w:tabs>
          <w:tab w:val="right" w:leader="dot" w:pos="8306"/>
        </w:tabs>
      </w:pPr>
      <w:hyperlink w:anchor="_Toc23907" w:history="1">
        <w:r>
          <w:rPr>
            <w:rFonts w:ascii="仿宋" w:eastAsia="仿宋" w:hAnsi="仿宋" w:cs="仿宋" w:hint="eastAsia"/>
            <w:lang w:eastAsia="zh-CN"/>
          </w:rPr>
          <w:t>七、激光测距仪、测向仪项目创新与研发</w:t>
        </w:r>
        <w:r>
          <w:tab/>
        </w:r>
        <w:r>
          <w:fldChar w:fldCharType="begin"/>
        </w:r>
        <w:r>
          <w:instrText xml:space="preserve"> PAGEREF _Toc23907 \h </w:instrText>
        </w:r>
        <w:r>
          <w:fldChar w:fldCharType="separate"/>
        </w:r>
        <w:r>
          <w:t>26</w:t>
        </w:r>
        <w:r>
          <w:fldChar w:fldCharType="end"/>
        </w:r>
      </w:hyperlink>
    </w:p>
    <w:p>
      <w:pPr>
        <w:pStyle w:val="TOC2"/>
        <w:tabs>
          <w:tab w:val="right" w:leader="dot" w:pos="8306"/>
        </w:tabs>
      </w:pPr>
      <w:hyperlink w:anchor="_Toc11245" w:history="1">
        <w:r>
          <w:rPr>
            <w:rFonts w:ascii="仿宋" w:eastAsia="仿宋" w:hAnsi="仿宋" w:cs="仿宋" w:hint="eastAsia"/>
            <w:lang w:eastAsia="zh-CN"/>
          </w:rPr>
          <w:t>(一)、创新策略与方向</w:t>
        </w:r>
        <w:r>
          <w:tab/>
        </w:r>
        <w:r>
          <w:fldChar w:fldCharType="begin"/>
        </w:r>
        <w:r>
          <w:instrText xml:space="preserve"> PAGEREF _Toc11245 \h </w:instrText>
        </w:r>
        <w:r>
          <w:fldChar w:fldCharType="separate"/>
        </w:r>
        <w:r>
          <w:t>26</w:t>
        </w:r>
        <w:r>
          <w:fldChar w:fldCharType="end"/>
        </w:r>
      </w:hyperlink>
    </w:p>
    <w:p>
      <w:pPr>
        <w:pStyle w:val="TOC2"/>
        <w:tabs>
          <w:tab w:val="right" w:leader="dot" w:pos="8306"/>
        </w:tabs>
      </w:pPr>
      <w:hyperlink w:anchor="_Toc5871" w:history="1">
        <w:r>
          <w:rPr>
            <w:rFonts w:ascii="仿宋" w:eastAsia="仿宋" w:hAnsi="仿宋" w:cs="仿宋" w:hint="eastAsia"/>
            <w:lang w:eastAsia="zh-CN"/>
          </w:rPr>
          <w:t>(二)、研发规划与投入</w:t>
        </w:r>
        <w:r>
          <w:tab/>
        </w:r>
        <w:r>
          <w:fldChar w:fldCharType="begin"/>
        </w:r>
        <w:r>
          <w:instrText xml:space="preserve"> PAGEREF _Toc5871 \h </w:instrText>
        </w:r>
        <w:r>
          <w:fldChar w:fldCharType="separate"/>
        </w:r>
        <w:r>
          <w:t>27</w:t>
        </w:r>
        <w:r>
          <w:fldChar w:fldCharType="end"/>
        </w:r>
      </w:hyperlink>
    </w:p>
    <w:p>
      <w:pPr>
        <w:pStyle w:val="TOC1"/>
        <w:tabs>
          <w:tab w:val="right" w:leader="dot" w:pos="8306"/>
        </w:tabs>
      </w:pPr>
      <w:hyperlink w:anchor="_Toc23674" w:history="1">
        <w:r>
          <w:rPr>
            <w:rFonts w:ascii="仿宋" w:eastAsia="仿宋" w:hAnsi="仿宋" w:cs="仿宋" w:hint="eastAsia"/>
            <w:lang w:eastAsia="zh-CN"/>
          </w:rPr>
          <w:t>八、激光测距仪、测向仪项目人力资源管理</w:t>
        </w:r>
        <w:r>
          <w:tab/>
        </w:r>
        <w:r>
          <w:fldChar w:fldCharType="begin"/>
        </w:r>
        <w:r>
          <w:instrText xml:space="preserve"> PAGEREF _Toc23674 \h </w:instrText>
        </w:r>
        <w:r>
          <w:fldChar w:fldCharType="separate"/>
        </w:r>
        <w:r>
          <w:t>29</w:t>
        </w:r>
        <w:r>
          <w:fldChar w:fldCharType="end"/>
        </w:r>
      </w:hyperlink>
    </w:p>
    <w:p>
      <w:pPr>
        <w:pStyle w:val="TOC2"/>
        <w:tabs>
          <w:tab w:val="right" w:leader="dot" w:pos="8306"/>
        </w:tabs>
      </w:pPr>
      <w:hyperlink w:anchor="_Toc6359" w:history="1">
        <w:r>
          <w:rPr>
            <w:rFonts w:ascii="仿宋" w:eastAsia="仿宋" w:hAnsi="仿宋" w:cs="仿宋" w:hint="eastAsia"/>
            <w:lang w:eastAsia="zh-CN"/>
          </w:rPr>
          <w:t>(一)、建立健全的预算管理制度</w:t>
        </w:r>
        <w:r>
          <w:tab/>
        </w:r>
        <w:r>
          <w:fldChar w:fldCharType="begin"/>
        </w:r>
        <w:r>
          <w:instrText xml:space="preserve"> PAGEREF _Toc6359 \h </w:instrText>
        </w:r>
        <w:r>
          <w:fldChar w:fldCharType="separate"/>
        </w:r>
        <w:r>
          <w:t>29</w:t>
        </w:r>
        <w:r>
          <w:fldChar w:fldCharType="end"/>
        </w:r>
      </w:hyperlink>
    </w:p>
    <w:p>
      <w:pPr>
        <w:pStyle w:val="TOC2"/>
        <w:tabs>
          <w:tab w:val="right" w:leader="dot" w:pos="8306"/>
        </w:tabs>
      </w:pPr>
      <w:hyperlink w:anchor="_Toc6836" w:history="1">
        <w:r>
          <w:rPr>
            <w:rFonts w:ascii="仿宋" w:eastAsia="仿宋" w:hAnsi="仿宋" w:cs="仿宋" w:hint="eastAsia"/>
            <w:lang w:eastAsia="zh-CN"/>
          </w:rPr>
          <w:t>(二)、加强资金流动监控</w:t>
        </w:r>
        <w:r>
          <w:tab/>
        </w:r>
        <w:r>
          <w:fldChar w:fldCharType="begin"/>
        </w:r>
        <w:r>
          <w:instrText xml:space="preserve"> PAGEREF _Toc6836 \h </w:instrText>
        </w:r>
        <w:r>
          <w:fldChar w:fldCharType="separate"/>
        </w:r>
        <w:r>
          <w:t>31</w:t>
        </w:r>
        <w:r>
          <w:fldChar w:fldCharType="end"/>
        </w:r>
      </w:hyperlink>
    </w:p>
    <w:p>
      <w:pPr>
        <w:pStyle w:val="TOC2"/>
        <w:tabs>
          <w:tab w:val="right" w:leader="dot" w:pos="8306"/>
        </w:tabs>
      </w:pPr>
      <w:hyperlink w:anchor="_Toc5744" w:history="1">
        <w:r>
          <w:rPr>
            <w:rFonts w:ascii="仿宋" w:eastAsia="仿宋" w:hAnsi="仿宋" w:cs="仿宋" w:hint="eastAsia"/>
            <w:lang w:eastAsia="zh-CN"/>
          </w:rPr>
          <w:t>(三)、制定完善的风险控制机制</w:t>
        </w:r>
        <w:r>
          <w:tab/>
        </w:r>
        <w:r>
          <w:fldChar w:fldCharType="begin"/>
        </w:r>
        <w:r>
          <w:instrText xml:space="preserve"> PAGEREF _Toc5744 \h </w:instrText>
        </w:r>
        <w:r>
          <w:fldChar w:fldCharType="separate"/>
        </w:r>
        <w:r>
          <w:t>32</w:t>
        </w:r>
        <w:r>
          <w:fldChar w:fldCharType="end"/>
        </w:r>
      </w:hyperlink>
    </w:p>
    <w:p>
      <w:pPr>
        <w:pStyle w:val="TOC2"/>
        <w:tabs>
          <w:tab w:val="right" w:leader="dot" w:pos="8306"/>
        </w:tabs>
      </w:pPr>
      <w:hyperlink w:anchor="_Toc27824" w:history="1">
        <w:r>
          <w:rPr>
            <w:rFonts w:ascii="仿宋" w:eastAsia="仿宋" w:hAnsi="仿宋" w:cs="仿宋" w:hint="eastAsia"/>
            <w:lang w:eastAsia="zh-CN"/>
          </w:rPr>
          <w:t>(四)、优化成本管理</w:t>
        </w:r>
        <w:r>
          <w:tab/>
        </w:r>
        <w:r>
          <w:fldChar w:fldCharType="begin"/>
        </w:r>
        <w:r>
          <w:instrText xml:space="preserve"> PAGEREF _Toc27824 \h </w:instrText>
        </w:r>
        <w:r>
          <w:fldChar w:fldCharType="separate"/>
        </w:r>
        <w:r>
          <w:t>33</w:t>
        </w:r>
        <w:r>
          <w:fldChar w:fldCharType="end"/>
        </w:r>
      </w:hyperlink>
    </w:p>
    <w:p>
      <w:pPr>
        <w:pStyle w:val="TOC1"/>
        <w:tabs>
          <w:tab w:val="right" w:leader="dot" w:pos="8306"/>
        </w:tabs>
      </w:pPr>
      <w:hyperlink w:anchor="_Toc25930" w:history="1">
        <w:r>
          <w:rPr>
            <w:rFonts w:ascii="仿宋" w:eastAsia="仿宋" w:hAnsi="仿宋" w:cs="仿宋" w:hint="eastAsia"/>
            <w:lang w:eastAsia="zh-CN"/>
          </w:rPr>
          <w:t>九、激光测距仪、测向仪项目人力资源培养与发展</w:t>
        </w:r>
        <w:r>
          <w:tab/>
        </w:r>
        <w:r>
          <w:fldChar w:fldCharType="begin"/>
        </w:r>
        <w:r>
          <w:instrText xml:space="preserve"> PAGEREF _Toc25930 \h </w:instrText>
        </w:r>
        <w:r>
          <w:fldChar w:fldCharType="separate"/>
        </w:r>
        <w:r>
          <w:t>35</w:t>
        </w:r>
        <w:r>
          <w:fldChar w:fldCharType="end"/>
        </w:r>
      </w:hyperlink>
    </w:p>
    <w:p>
      <w:pPr>
        <w:pStyle w:val="TOC2"/>
        <w:tabs>
          <w:tab w:val="right" w:leader="dot" w:pos="8306"/>
        </w:tabs>
      </w:pPr>
      <w:hyperlink w:anchor="_Toc16990" w:history="1">
        <w:r>
          <w:rPr>
            <w:rFonts w:ascii="仿宋" w:eastAsia="仿宋" w:hAnsi="仿宋" w:cs="仿宋" w:hint="eastAsia"/>
            <w:lang w:eastAsia="zh-CN"/>
          </w:rPr>
          <w:t>(一)、人才需求与规划</w:t>
        </w:r>
        <w:r>
          <w:tab/>
        </w:r>
        <w:r>
          <w:fldChar w:fldCharType="begin"/>
        </w:r>
        <w:r>
          <w:instrText xml:space="preserve"> PAGEREF _Toc16990 \h </w:instrText>
        </w:r>
        <w:r>
          <w:fldChar w:fldCharType="separate"/>
        </w:r>
        <w:r>
          <w:t>35</w:t>
        </w:r>
        <w:r>
          <w:fldChar w:fldCharType="end"/>
        </w:r>
      </w:hyperlink>
    </w:p>
    <w:p>
      <w:pPr>
        <w:pStyle w:val="TOC2"/>
        <w:tabs>
          <w:tab w:val="right" w:leader="dot" w:pos="8306"/>
        </w:tabs>
      </w:pPr>
      <w:hyperlink w:anchor="_Toc27559" w:history="1">
        <w:r>
          <w:rPr>
            <w:rFonts w:ascii="仿宋" w:eastAsia="仿宋" w:hAnsi="仿宋" w:cs="仿宋" w:hint="eastAsia"/>
            <w:lang w:eastAsia="zh-CN"/>
          </w:rPr>
          <w:t>(二)、培训与发展计划</w:t>
        </w:r>
        <w:r>
          <w:tab/>
        </w:r>
        <w:r>
          <w:fldChar w:fldCharType="begin"/>
        </w:r>
        <w:r>
          <w:instrText xml:space="preserve"> PAGEREF _Toc27559 \h </w:instrText>
        </w:r>
        <w:r>
          <w:fldChar w:fldCharType="separate"/>
        </w:r>
        <w:r>
          <w:t>35</w:t>
        </w:r>
        <w:r>
          <w:fldChar w:fldCharType="end"/>
        </w:r>
      </w:hyperlink>
    </w:p>
    <w:p>
      <w:pPr>
        <w:pStyle w:val="TOC1"/>
        <w:tabs>
          <w:tab w:val="right" w:leader="dot" w:pos="8306"/>
        </w:tabs>
      </w:pPr>
      <w:hyperlink w:anchor="_Toc11949" w:history="1">
        <w:r>
          <w:rPr>
            <w:rFonts w:ascii="仿宋" w:eastAsia="仿宋" w:hAnsi="仿宋" w:cs="仿宋" w:hint="eastAsia"/>
            <w:lang w:eastAsia="zh-CN"/>
          </w:rPr>
          <w:t>十、激光测距仪、测向仪项目投资规划</w:t>
        </w:r>
        <w:r>
          <w:tab/>
        </w:r>
        <w:r>
          <w:fldChar w:fldCharType="begin"/>
        </w:r>
        <w:r>
          <w:instrText xml:space="preserve"> PAGEREF _Toc11949 \h </w:instrText>
        </w:r>
        <w:r>
          <w:fldChar w:fldCharType="separate"/>
        </w:r>
        <w:r>
          <w:t>36</w:t>
        </w:r>
        <w:r>
          <w:fldChar w:fldCharType="end"/>
        </w:r>
      </w:hyperlink>
    </w:p>
    <w:p>
      <w:pPr>
        <w:pStyle w:val="TOC2"/>
        <w:tabs>
          <w:tab w:val="right" w:leader="dot" w:pos="8306"/>
        </w:tabs>
      </w:pPr>
      <w:hyperlink w:anchor="_Toc26538" w:history="1">
        <w:r>
          <w:rPr>
            <w:rFonts w:ascii="仿宋" w:eastAsia="仿宋" w:hAnsi="仿宋" w:cs="仿宋" w:hint="eastAsia"/>
            <w:lang w:eastAsia="zh-CN"/>
          </w:rPr>
          <w:t>(一)、激光测距仪、测向仪项目总投资估算</w:t>
        </w:r>
        <w:r>
          <w:tab/>
        </w:r>
        <w:r>
          <w:fldChar w:fldCharType="begin"/>
        </w:r>
        <w:r>
          <w:instrText xml:space="preserve"> PAGEREF _Toc26538 \h </w:instrText>
        </w:r>
        <w:r>
          <w:fldChar w:fldCharType="separate"/>
        </w:r>
        <w:r>
          <w:t>36</w:t>
        </w:r>
        <w:r>
          <w:fldChar w:fldCharType="end"/>
        </w:r>
      </w:hyperlink>
    </w:p>
    <w:p>
      <w:pPr>
        <w:pStyle w:val="TOC2"/>
        <w:tabs>
          <w:tab w:val="right" w:leader="dot" w:pos="8306"/>
        </w:tabs>
      </w:pPr>
      <w:hyperlink w:anchor="_Toc14963" w:history="1">
        <w:r>
          <w:rPr>
            <w:rFonts w:ascii="仿宋" w:eastAsia="仿宋" w:hAnsi="仿宋" w:cs="仿宋" w:hint="eastAsia"/>
            <w:lang w:eastAsia="zh-CN"/>
          </w:rPr>
          <w:t>(二)、资金筹措</w:t>
        </w:r>
        <w:r>
          <w:tab/>
        </w:r>
        <w:r>
          <w:fldChar w:fldCharType="begin"/>
        </w:r>
        <w:r>
          <w:instrText xml:space="preserve"> PAGEREF _Toc14963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11" w:history="1">
        <w:r>
          <w:rPr>
            <w:rFonts w:ascii="仿宋" w:eastAsia="仿宋" w:hAnsi="仿宋" w:cs="仿宋" w:hint="eastAsia"/>
            <w:lang w:eastAsia="zh-CN"/>
          </w:rPr>
          <w:t>十一、激光测距仪、测向仪项目环境影响分析</w:t>
        </w:r>
        <w:r>
          <w:tab/>
        </w:r>
        <w:r>
          <w:fldChar w:fldCharType="begin"/>
        </w:r>
        <w:r>
          <w:instrText xml:space="preserve"> PAGEREF _Toc32011 \h </w:instrText>
        </w:r>
        <w:r>
          <w:fldChar w:fldCharType="separate"/>
        </w:r>
        <w:r>
          <w:t>38</w:t>
        </w:r>
        <w:r>
          <w:fldChar w:fldCharType="end"/>
        </w:r>
      </w:hyperlink>
    </w:p>
    <w:p>
      <w:pPr>
        <w:pStyle w:val="TOC2"/>
        <w:tabs>
          <w:tab w:val="right" w:leader="dot" w:pos="8306"/>
        </w:tabs>
      </w:pPr>
      <w:hyperlink w:anchor="_Toc10203" w:history="1">
        <w:r>
          <w:rPr>
            <w:rFonts w:ascii="仿宋" w:eastAsia="仿宋" w:hAnsi="仿宋" w:cs="仿宋" w:hint="eastAsia"/>
            <w:lang w:eastAsia="zh-CN"/>
          </w:rPr>
          <w:t>(一)、建设区域环境质量现状</w:t>
        </w:r>
        <w:r>
          <w:tab/>
        </w:r>
        <w:r>
          <w:fldChar w:fldCharType="begin"/>
        </w:r>
        <w:r>
          <w:instrText xml:space="preserve"> PAGEREF _Toc10203 \h </w:instrText>
        </w:r>
        <w:r>
          <w:fldChar w:fldCharType="separate"/>
        </w:r>
        <w:r>
          <w:t>38</w:t>
        </w:r>
        <w:r>
          <w:fldChar w:fldCharType="end"/>
        </w:r>
      </w:hyperlink>
    </w:p>
    <w:p>
      <w:pPr>
        <w:pStyle w:val="TOC2"/>
        <w:tabs>
          <w:tab w:val="right" w:leader="dot" w:pos="8306"/>
        </w:tabs>
      </w:pPr>
      <w:hyperlink w:anchor="_Toc9551" w:history="1">
        <w:r>
          <w:rPr>
            <w:rFonts w:ascii="仿宋" w:eastAsia="仿宋" w:hAnsi="仿宋" w:cs="仿宋" w:hint="eastAsia"/>
            <w:lang w:eastAsia="zh-CN"/>
          </w:rPr>
          <w:t>(二)、建设期环境保护</w:t>
        </w:r>
        <w:r>
          <w:tab/>
        </w:r>
        <w:r>
          <w:fldChar w:fldCharType="begin"/>
        </w:r>
        <w:r>
          <w:instrText xml:space="preserve"> PAGEREF _Toc9551 \h </w:instrText>
        </w:r>
        <w:r>
          <w:fldChar w:fldCharType="separate"/>
        </w:r>
        <w:r>
          <w:t>39</w:t>
        </w:r>
        <w:r>
          <w:fldChar w:fldCharType="end"/>
        </w:r>
      </w:hyperlink>
    </w:p>
    <w:p>
      <w:pPr>
        <w:pStyle w:val="TOC2"/>
        <w:tabs>
          <w:tab w:val="right" w:leader="dot" w:pos="8306"/>
        </w:tabs>
      </w:pPr>
      <w:hyperlink w:anchor="_Toc29243" w:history="1">
        <w:r>
          <w:rPr>
            <w:rFonts w:ascii="仿宋" w:eastAsia="仿宋" w:hAnsi="仿宋" w:cs="仿宋" w:hint="eastAsia"/>
            <w:lang w:eastAsia="zh-CN"/>
          </w:rPr>
          <w:t>(三)、运营期环境保护</w:t>
        </w:r>
        <w:r>
          <w:tab/>
        </w:r>
        <w:r>
          <w:fldChar w:fldCharType="begin"/>
        </w:r>
        <w:r>
          <w:instrText xml:space="preserve"> PAGEREF _Toc29243 \h </w:instrText>
        </w:r>
        <w:r>
          <w:fldChar w:fldCharType="separate"/>
        </w:r>
        <w:r>
          <w:t>41</w:t>
        </w:r>
        <w:r>
          <w:fldChar w:fldCharType="end"/>
        </w:r>
      </w:hyperlink>
    </w:p>
    <w:p>
      <w:pPr>
        <w:pStyle w:val="TOC2"/>
        <w:tabs>
          <w:tab w:val="right" w:leader="dot" w:pos="8306"/>
        </w:tabs>
      </w:pPr>
      <w:hyperlink w:anchor="_Toc16082" w:history="1">
        <w:r>
          <w:rPr>
            <w:rFonts w:ascii="仿宋" w:eastAsia="仿宋" w:hAnsi="仿宋" w:cs="仿宋" w:hint="eastAsia"/>
            <w:lang w:eastAsia="zh-CN"/>
          </w:rPr>
          <w:t>(四)、激光测距仪、测向仪项目建设对区域经济的影响</w:t>
        </w:r>
        <w:r>
          <w:tab/>
        </w:r>
        <w:r>
          <w:fldChar w:fldCharType="begin"/>
        </w:r>
        <w:r>
          <w:instrText xml:space="preserve"> PAGEREF _Toc16082 \h </w:instrText>
        </w:r>
        <w:r>
          <w:fldChar w:fldCharType="separate"/>
        </w:r>
        <w:r>
          <w:t>42</w:t>
        </w:r>
        <w:r>
          <w:fldChar w:fldCharType="end"/>
        </w:r>
      </w:hyperlink>
    </w:p>
    <w:p>
      <w:pPr>
        <w:pStyle w:val="TOC2"/>
        <w:tabs>
          <w:tab w:val="right" w:leader="dot" w:pos="8306"/>
        </w:tabs>
      </w:pPr>
      <w:hyperlink w:anchor="_Toc30061" w:history="1">
        <w:r>
          <w:rPr>
            <w:rFonts w:ascii="仿宋" w:eastAsia="仿宋" w:hAnsi="仿宋" w:cs="仿宋" w:hint="eastAsia"/>
            <w:lang w:eastAsia="zh-CN"/>
          </w:rPr>
          <w:t>(五)、废弃物处理</w:t>
        </w:r>
        <w:r>
          <w:tab/>
        </w:r>
        <w:r>
          <w:fldChar w:fldCharType="begin"/>
        </w:r>
        <w:r>
          <w:instrText xml:space="preserve"> PAGEREF _Toc30061 \h </w:instrText>
        </w:r>
        <w:r>
          <w:fldChar w:fldCharType="separate"/>
        </w:r>
        <w:r>
          <w:t>44</w:t>
        </w:r>
        <w:r>
          <w:fldChar w:fldCharType="end"/>
        </w:r>
      </w:hyperlink>
    </w:p>
    <w:p>
      <w:pPr>
        <w:pStyle w:val="TOC2"/>
        <w:tabs>
          <w:tab w:val="right" w:leader="dot" w:pos="8306"/>
        </w:tabs>
      </w:pPr>
      <w:hyperlink w:anchor="_Toc6446" w:history="1">
        <w:r>
          <w:rPr>
            <w:rFonts w:ascii="仿宋" w:eastAsia="仿宋" w:hAnsi="仿宋" w:cs="仿宋" w:hint="eastAsia"/>
            <w:lang w:eastAsia="zh-CN"/>
          </w:rPr>
          <w:t>(六)、特殊环境影响分析</w:t>
        </w:r>
        <w:r>
          <w:tab/>
        </w:r>
        <w:r>
          <w:fldChar w:fldCharType="begin"/>
        </w:r>
        <w:r>
          <w:instrText xml:space="preserve"> PAGEREF _Toc6446 \h </w:instrText>
        </w:r>
        <w:r>
          <w:fldChar w:fldCharType="separate"/>
        </w:r>
        <w:r>
          <w:t>45</w:t>
        </w:r>
        <w:r>
          <w:fldChar w:fldCharType="end"/>
        </w:r>
      </w:hyperlink>
    </w:p>
    <w:p>
      <w:pPr>
        <w:pStyle w:val="TOC2"/>
        <w:tabs>
          <w:tab w:val="right" w:leader="dot" w:pos="8306"/>
        </w:tabs>
      </w:pPr>
      <w:hyperlink w:anchor="_Toc16677" w:history="1">
        <w:r>
          <w:rPr>
            <w:rFonts w:ascii="仿宋" w:eastAsia="仿宋" w:hAnsi="仿宋" w:cs="仿宋" w:hint="eastAsia"/>
            <w:lang w:eastAsia="zh-CN"/>
          </w:rPr>
          <w:t>(七)、清洁生产</w:t>
        </w:r>
        <w:r>
          <w:tab/>
        </w:r>
        <w:r>
          <w:fldChar w:fldCharType="begin"/>
        </w:r>
        <w:r>
          <w:instrText xml:space="preserve"> PAGEREF _Toc16677 \h </w:instrText>
        </w:r>
        <w:r>
          <w:fldChar w:fldCharType="separate"/>
        </w:r>
        <w:r>
          <w:t>47</w:t>
        </w:r>
        <w:r>
          <w:fldChar w:fldCharType="end"/>
        </w:r>
      </w:hyperlink>
    </w:p>
    <w:p>
      <w:pPr>
        <w:pStyle w:val="TOC2"/>
        <w:tabs>
          <w:tab w:val="right" w:leader="dot" w:pos="8306"/>
        </w:tabs>
      </w:pPr>
      <w:hyperlink w:anchor="_Toc4542" w:history="1">
        <w:r>
          <w:rPr>
            <w:rFonts w:ascii="仿宋" w:eastAsia="仿宋" w:hAnsi="仿宋" w:cs="仿宋" w:hint="eastAsia"/>
            <w:lang w:eastAsia="zh-CN"/>
          </w:rPr>
          <w:t>(八)、环境保护综合评价</w:t>
        </w:r>
        <w:r>
          <w:tab/>
        </w:r>
        <w:r>
          <w:fldChar w:fldCharType="begin"/>
        </w:r>
        <w:r>
          <w:instrText xml:space="preserve"> PAGEREF _Toc4542 \h </w:instrText>
        </w:r>
        <w:r>
          <w:fldChar w:fldCharType="separate"/>
        </w:r>
        <w:r>
          <w:t>48</w:t>
        </w:r>
        <w:r>
          <w:fldChar w:fldCharType="end"/>
        </w:r>
      </w:hyperlink>
    </w:p>
    <w:p>
      <w:pPr>
        <w:pStyle w:val="TOC1"/>
        <w:tabs>
          <w:tab w:val="right" w:leader="dot" w:pos="8306"/>
        </w:tabs>
      </w:pPr>
      <w:hyperlink w:anchor="_Toc32740" w:history="1">
        <w:r>
          <w:rPr>
            <w:rFonts w:ascii="仿宋" w:eastAsia="仿宋" w:hAnsi="仿宋" w:cs="仿宋" w:hint="eastAsia"/>
            <w:lang w:eastAsia="zh-CN"/>
          </w:rPr>
          <w:t>十二、激光测距仪、测向仪项目社会影响</w:t>
        </w:r>
        <w:r>
          <w:tab/>
        </w:r>
        <w:r>
          <w:fldChar w:fldCharType="begin"/>
        </w:r>
        <w:r>
          <w:instrText xml:space="preserve"> PAGEREF _Toc32740 \h </w:instrText>
        </w:r>
        <w:r>
          <w:fldChar w:fldCharType="separate"/>
        </w:r>
        <w:r>
          <w:t>49</w:t>
        </w:r>
        <w:r>
          <w:fldChar w:fldCharType="end"/>
        </w:r>
      </w:hyperlink>
    </w:p>
    <w:p>
      <w:pPr>
        <w:pStyle w:val="TOC2"/>
        <w:tabs>
          <w:tab w:val="right" w:leader="dot" w:pos="8306"/>
        </w:tabs>
      </w:pPr>
      <w:hyperlink w:anchor="_Toc10575" w:history="1">
        <w:r>
          <w:rPr>
            <w:rFonts w:ascii="仿宋" w:eastAsia="仿宋" w:hAnsi="仿宋" w:cs="仿宋" w:hint="eastAsia"/>
            <w:lang w:eastAsia="zh-CN"/>
          </w:rPr>
          <w:t>(一)、社会责任与义务</w:t>
        </w:r>
        <w:r>
          <w:tab/>
        </w:r>
        <w:r>
          <w:fldChar w:fldCharType="begin"/>
        </w:r>
        <w:r>
          <w:instrText xml:space="preserve"> PAGEREF _Toc10575 \h </w:instrText>
        </w:r>
        <w:r>
          <w:fldChar w:fldCharType="separate"/>
        </w:r>
        <w:r>
          <w:t>49</w:t>
        </w:r>
        <w:r>
          <w:fldChar w:fldCharType="end"/>
        </w:r>
      </w:hyperlink>
    </w:p>
    <w:p>
      <w:pPr>
        <w:pStyle w:val="TOC2"/>
        <w:tabs>
          <w:tab w:val="right" w:leader="dot" w:pos="8306"/>
        </w:tabs>
      </w:pPr>
      <w:hyperlink w:anchor="_Toc22121" w:history="1">
        <w:r>
          <w:rPr>
            <w:rFonts w:ascii="仿宋" w:eastAsia="仿宋" w:hAnsi="仿宋" w:cs="仿宋" w:hint="eastAsia"/>
            <w:lang w:eastAsia="zh-CN"/>
          </w:rPr>
          <w:t>(二)、社会参与与沟通</w:t>
        </w:r>
        <w:r>
          <w:tab/>
        </w:r>
        <w:r>
          <w:fldChar w:fldCharType="begin"/>
        </w:r>
        <w:r>
          <w:instrText xml:space="preserve"> PAGEREF _Toc22121 \h </w:instrText>
        </w:r>
        <w:r>
          <w:fldChar w:fldCharType="separate"/>
        </w:r>
        <w:r>
          <w:t>50</w:t>
        </w:r>
        <w:r>
          <w:fldChar w:fldCharType="end"/>
        </w:r>
      </w:hyperlink>
    </w:p>
    <w:p>
      <w:pPr>
        <w:pStyle w:val="TOC1"/>
        <w:tabs>
          <w:tab w:val="right" w:leader="dot" w:pos="8306"/>
        </w:tabs>
      </w:pPr>
      <w:hyperlink w:anchor="_Toc1082" w:history="1">
        <w:r>
          <w:rPr>
            <w:rFonts w:ascii="仿宋" w:eastAsia="仿宋" w:hAnsi="仿宋" w:cs="仿宋" w:hint="eastAsia"/>
            <w:lang w:eastAsia="zh-CN"/>
          </w:rPr>
          <w:t>十三、激光测距仪、测向仪项目实施保障措施</w:t>
        </w:r>
        <w:r>
          <w:tab/>
        </w:r>
        <w:r>
          <w:fldChar w:fldCharType="begin"/>
        </w:r>
        <w:r>
          <w:instrText xml:space="preserve"> PAGEREF _Toc1082 \h </w:instrText>
        </w:r>
        <w:r>
          <w:fldChar w:fldCharType="separate"/>
        </w:r>
        <w:r>
          <w:t>51</w:t>
        </w:r>
        <w:r>
          <w:fldChar w:fldCharType="end"/>
        </w:r>
      </w:hyperlink>
    </w:p>
    <w:p>
      <w:pPr>
        <w:pStyle w:val="TOC2"/>
        <w:tabs>
          <w:tab w:val="right" w:leader="dot" w:pos="8306"/>
        </w:tabs>
      </w:pPr>
      <w:hyperlink w:anchor="_Toc2008" w:history="1">
        <w:r>
          <w:rPr>
            <w:rFonts w:ascii="仿宋" w:eastAsia="仿宋" w:hAnsi="仿宋" w:cs="仿宋" w:hint="eastAsia"/>
            <w:lang w:eastAsia="zh-CN"/>
          </w:rPr>
          <w:t>(一)、激光测距仪、测向仪项目实施保障机制</w:t>
        </w:r>
        <w:r>
          <w:tab/>
        </w:r>
        <w:r>
          <w:fldChar w:fldCharType="begin"/>
        </w:r>
        <w:r>
          <w:instrText xml:space="preserve"> PAGEREF _Toc2008 \h </w:instrText>
        </w:r>
        <w:r>
          <w:fldChar w:fldCharType="separate"/>
        </w:r>
        <w:r>
          <w:t>51</w:t>
        </w:r>
        <w:r>
          <w:fldChar w:fldCharType="end"/>
        </w:r>
      </w:hyperlink>
    </w:p>
    <w:p>
      <w:pPr>
        <w:pStyle w:val="TOC2"/>
        <w:tabs>
          <w:tab w:val="right" w:leader="dot" w:pos="8306"/>
        </w:tabs>
      </w:pPr>
      <w:hyperlink w:anchor="_Toc4225" w:history="1">
        <w:r>
          <w:rPr>
            <w:rFonts w:ascii="仿宋" w:eastAsia="仿宋" w:hAnsi="仿宋" w:cs="仿宋" w:hint="eastAsia"/>
            <w:lang w:eastAsia="zh-CN"/>
          </w:rPr>
          <w:t>(二)、激光测距仪、测向仪项目法律合规要求</w:t>
        </w:r>
        <w:r>
          <w:tab/>
        </w:r>
        <w:r>
          <w:fldChar w:fldCharType="begin"/>
        </w:r>
        <w:r>
          <w:instrText xml:space="preserve"> PAGEREF _Toc4225 \h </w:instrText>
        </w:r>
        <w:r>
          <w:fldChar w:fldCharType="separate"/>
        </w:r>
        <w:r>
          <w:t>55</w:t>
        </w:r>
        <w:r>
          <w:fldChar w:fldCharType="end"/>
        </w:r>
      </w:hyperlink>
    </w:p>
    <w:p>
      <w:pPr>
        <w:pStyle w:val="TOC2"/>
        <w:tabs>
          <w:tab w:val="right" w:leader="dot" w:pos="8306"/>
        </w:tabs>
      </w:pPr>
      <w:hyperlink w:anchor="_Toc19437" w:history="1">
        <w:r>
          <w:rPr>
            <w:rFonts w:ascii="仿宋" w:eastAsia="仿宋" w:hAnsi="仿宋" w:cs="仿宋" w:hint="eastAsia"/>
            <w:lang w:eastAsia="zh-CN"/>
          </w:rPr>
          <w:t>(三)、激光测距仪、测向仪项目合同管理与法律事务</w:t>
        </w:r>
        <w:r>
          <w:tab/>
        </w:r>
        <w:r>
          <w:fldChar w:fldCharType="begin"/>
        </w:r>
        <w:r>
          <w:instrText xml:space="preserve"> PAGEREF _Toc19437 \h </w:instrText>
        </w:r>
        <w:r>
          <w:fldChar w:fldCharType="separate"/>
        </w:r>
        <w:r>
          <w:t>59</w:t>
        </w:r>
        <w:r>
          <w:fldChar w:fldCharType="end"/>
        </w:r>
      </w:hyperlink>
    </w:p>
    <w:p>
      <w:pPr>
        <w:pStyle w:val="TOC2"/>
        <w:tabs>
          <w:tab w:val="right" w:leader="dot" w:pos="8306"/>
        </w:tabs>
      </w:pPr>
      <w:hyperlink w:anchor="_Toc10661" w:history="1">
        <w:r>
          <w:rPr>
            <w:rFonts w:ascii="仿宋" w:eastAsia="仿宋" w:hAnsi="仿宋" w:cs="仿宋" w:hint="eastAsia"/>
            <w:lang w:eastAsia="zh-CN"/>
          </w:rPr>
          <w:t>(四)、激光测距仪、测向仪项目知识产权保护策略</w:t>
        </w:r>
        <w:r>
          <w:tab/>
        </w:r>
        <w:r>
          <w:fldChar w:fldCharType="begin"/>
        </w:r>
        <w:r>
          <w:instrText xml:space="preserve"> PAGEREF _Toc10661 \h </w:instrText>
        </w:r>
        <w:r>
          <w:fldChar w:fldCharType="separate"/>
        </w:r>
        <w:r>
          <w:t>66</w:t>
        </w:r>
        <w:r>
          <w:fldChar w:fldCharType="end"/>
        </w:r>
      </w:hyperlink>
    </w:p>
    <w:p>
      <w:pPr>
        <w:pStyle w:val="TOC1"/>
        <w:tabs>
          <w:tab w:val="right" w:leader="dot" w:pos="8306"/>
        </w:tabs>
      </w:pPr>
      <w:hyperlink w:anchor="_Toc28661" w:history="1">
        <w:r>
          <w:rPr>
            <w:rFonts w:ascii="仿宋" w:eastAsia="仿宋" w:hAnsi="仿宋" w:cs="仿宋" w:hint="eastAsia"/>
            <w:lang w:eastAsia="zh-CN"/>
          </w:rPr>
          <w:t>十四、激光测距仪、测向仪项目工程方案分析</w:t>
        </w:r>
        <w:r>
          <w:tab/>
        </w:r>
        <w:r>
          <w:fldChar w:fldCharType="begin"/>
        </w:r>
        <w:r>
          <w:instrText xml:space="preserve"> PAGEREF _Toc28661 \h </w:instrText>
        </w:r>
        <w:r>
          <w:fldChar w:fldCharType="separate"/>
        </w:r>
        <w:r>
          <w:t>68</w:t>
        </w:r>
        <w:r>
          <w:fldChar w:fldCharType="end"/>
        </w:r>
      </w:hyperlink>
    </w:p>
    <w:p>
      <w:pPr>
        <w:pStyle w:val="TOC2"/>
        <w:tabs>
          <w:tab w:val="right" w:leader="dot" w:pos="8306"/>
        </w:tabs>
      </w:pPr>
      <w:hyperlink w:anchor="_Toc4172" w:history="1">
        <w:r>
          <w:rPr>
            <w:rFonts w:ascii="仿宋" w:eastAsia="仿宋" w:hAnsi="仿宋" w:cs="仿宋" w:hint="eastAsia"/>
            <w:lang w:eastAsia="zh-CN"/>
          </w:rPr>
          <w:t>(一)、建筑工程设计原则</w:t>
        </w:r>
        <w:r>
          <w:tab/>
        </w:r>
        <w:r>
          <w:fldChar w:fldCharType="begin"/>
        </w:r>
        <w:r>
          <w:instrText xml:space="preserve"> PAGEREF _Toc4172 \h </w:instrText>
        </w:r>
        <w:r>
          <w:fldChar w:fldCharType="separate"/>
        </w:r>
        <w:r>
          <w:t>68</w:t>
        </w:r>
        <w:r>
          <w:fldChar w:fldCharType="end"/>
        </w:r>
      </w:hyperlink>
    </w:p>
    <w:p>
      <w:pPr>
        <w:pStyle w:val="TOC2"/>
        <w:tabs>
          <w:tab w:val="right" w:leader="dot" w:pos="8306"/>
        </w:tabs>
      </w:pPr>
      <w:hyperlink w:anchor="_Toc24678" w:history="1">
        <w:r>
          <w:rPr>
            <w:rFonts w:ascii="仿宋" w:eastAsia="仿宋" w:hAnsi="仿宋" w:cs="仿宋" w:hint="eastAsia"/>
            <w:lang w:eastAsia="zh-CN"/>
          </w:rPr>
          <w:t>(二)、土建工程建设指标</w:t>
        </w:r>
        <w:r>
          <w:tab/>
        </w:r>
        <w:r>
          <w:fldChar w:fldCharType="begin"/>
        </w:r>
        <w:r>
          <w:instrText xml:space="preserve"> PAGEREF _Toc24678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389"/>
      <w:r>
        <w:rPr>
          <w:rFonts w:ascii="仿宋" w:eastAsia="仿宋" w:hAnsi="仿宋" w:cs="仿宋" w:hint="eastAsia"/>
          <w:sz w:val="28"/>
          <w:lang w:eastAsia="zh-CN"/>
        </w:rPr>
        <w:t>一、激光测距仪、测向仪项目绩效评估</w:t>
      </w:r>
      <w:bookmarkEnd w:id="2"/>
    </w:p>
    <w:p>
      <w:pPr>
        <w:pStyle w:val="Heading2"/>
        <w:rPr>
          <w:rFonts w:ascii="仿宋" w:eastAsia="仿宋" w:hAnsi="仿宋" w:cs="仿宋" w:hint="eastAsia"/>
          <w:lang w:eastAsia="zh-CN"/>
        </w:rPr>
      </w:pPr>
      <w:bookmarkStart w:id="3" w:name="_Toc1388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测距仪、测向仪项目中，我们设计了一套全面的绩效评估指标，以确保激光测距仪、测向仪项目的可控和成功交付。这些指标跨足激光测距仪、测向仪项目目标、成本、进度和质量等多个维度，为我们提供了全面洞察激光测距仪、测向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目标达成率是我们关注的首要指标。我们设定了明确的目标，并通过定期监测和评估，迅速发现并应对潜在的目标偏差。这为激光测距仪、测向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成本绩效是另一个核心关注点。通过实际成本与预算成本的对比分析，我们深入了解成本差异的原因，及时调整资源分配，保持激光测距仪、测向仪项目在经济效益方面的合理水平。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进度作为关键的绩效指标之一，得到了精心的关注。我们制定了详细的激光测距仪、测向仪项目进度计划，并设立了进度符合度指标，确保实际进度与计划进度保持一致。这使我们能够快速发现和解决潜在的进度问题，保持激光测距仪、测向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激光测距仪、测向仪项目绩效的不可或缺的一环。我们引入了一系列的质量标准和客户满意度指标，以确保激光测距仪、测向仪项目交付的成果在质量上达到或超越预期水平。通过持续监测这些指标，我们努力提升激光测距仪、测向仪项目整体质量水平，为激光测距仪、测向仪项目的成功交付提供有力保障。通过这些科学且全面的绩效评估，我们能够更好地引导激光测距仪、测向仪项目的持续改进，确保激光测距仪、测向仪项目目标的顺利达成。</w:t>
      </w:r>
    </w:p>
    <w:p>
      <w:pPr>
        <w:pStyle w:val="Heading2"/>
        <w:ind w:firstLine="560" w:firstLineChars="200"/>
        <w:rPr>
          <w:rFonts w:ascii="仿宋" w:eastAsia="仿宋" w:hAnsi="仿宋" w:cs="仿宋" w:hint="eastAsia"/>
          <w:sz w:val="28"/>
          <w:lang w:eastAsia="zh-CN"/>
        </w:rPr>
      </w:pPr>
      <w:bookmarkStart w:id="4" w:name="_Toc2926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绩效评估是激光测距仪、测向仪项目中的关键环节，为确保激光测距仪、测向仪项目达到预期目标，我们采用了多层次、多维度的绩效评估方法。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激光测距仪、测向仪项目的战略目标对齐，确保每个决策和行动都与激光测距仪、测向仪项目整体目标保持一致。团队会定期召开战略对齐会议，审视当前工作与激光测距仪、测向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激光测距仪、测向仪项目进度、质量、成本和风险等方面。这些指标通过数据收集和分析，为激光测距仪、测向仪项目管理团队提供了客观的评估依据。例如，我们通过激光测距仪、测向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激光测距仪、测向仪项目内部，还考虑了激光测距仪、测向仪项目对外部环境的影响。我们定期进行干系人满意度调查，以了解各利益相关方对激光测距仪、测向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这种多层次、多角度的绩效评估方法，使得我们能够全面了解激光测距仪、测向仪项目的运行状态，及时做出调整，确保激光测距仪、测向仪项目在不断变化的环境中保持稳健前行。</w:t>
      </w:r>
    </w:p>
    <w:p>
      <w:pPr>
        <w:pStyle w:val="Heading2"/>
        <w:ind w:firstLine="560" w:firstLineChars="200"/>
        <w:rPr>
          <w:rFonts w:ascii="仿宋" w:eastAsia="仿宋" w:hAnsi="仿宋" w:cs="仿宋" w:hint="eastAsia"/>
          <w:sz w:val="28"/>
          <w:lang w:eastAsia="zh-CN"/>
        </w:rPr>
      </w:pPr>
      <w:bookmarkStart w:id="5" w:name="_Toc2771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为了确保激光测距仪、测向仪项目的有效管理和不断优化，我们采用了精心设计的绩效评估周期。这个周期旨在实现灵活、实时和全面的评估，以适应激光测距仪、测向仪项目执行中的各种挑战。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激光测距仪、测向仪项目的不同需求，分为短期、中期和长期。短期评估关注每个迭代或工作周期，以及时发现和解决当前任务中的问题。中期评估涵盖几个迭代，深入了解整体激光测距仪、测向仪项目的趋势和性能。长期评估则着眼于整个激光测距仪、测向仪项目阶段，确保激光测距仪、测向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激光测距仪、测向仪项目管理工具和协作平台，团队成员能够随时更新和分享激光测距仪、测向仪项目数据。这种实时性的反馈机制使我们能够及时察觉潜在问题，快速调整，保持激光测距仪、测向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激光测距仪、测向仪项目的决策制定密不可分。每个周期的激光测距仪、测向仪项目回顾会议成为集体总结经验、识别问题深层次原因并找到创新解决方案的平台。这种定期的反思与调整机制使激光测距仪、测向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744"/>
      <w:r>
        <w:rPr>
          <w:rFonts w:ascii="仿宋" w:eastAsia="仿宋" w:hAnsi="仿宋" w:cs="仿宋" w:hint="eastAsia"/>
          <w:sz w:val="28"/>
          <w:lang w:eastAsia="zh-CN"/>
        </w:rPr>
        <w:t>二、激光测距仪、测向仪项目选址可行性分析</w:t>
      </w:r>
      <w:bookmarkEnd w:id="6"/>
    </w:p>
    <w:p>
      <w:pPr>
        <w:pStyle w:val="Heading2"/>
        <w:rPr>
          <w:rFonts w:ascii="仿宋" w:eastAsia="仿宋" w:hAnsi="仿宋" w:cs="仿宋" w:hint="eastAsia"/>
          <w:lang w:eastAsia="zh-CN"/>
        </w:rPr>
      </w:pPr>
      <w:bookmarkStart w:id="7" w:name="_Toc21363"/>
      <w:r>
        <w:rPr>
          <w:rFonts w:ascii="仿宋" w:eastAsia="仿宋" w:hAnsi="仿宋" w:cs="仿宋" w:hint="eastAsia"/>
          <w:lang w:eastAsia="zh-CN"/>
        </w:rPr>
        <w:t>(一)、激光测距仪、测向仪项目选址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该激光测距仪、测向仪项目选址位于XX省XX市XX区XXX街道</w:t>
      </w:r>
    </w:p>
    <w:p>
      <w:pPr>
        <w:pStyle w:val="Heading2"/>
        <w:ind w:firstLine="560" w:firstLineChars="200"/>
        <w:rPr>
          <w:rFonts w:ascii="仿宋" w:eastAsia="仿宋" w:hAnsi="仿宋" w:cs="仿宋" w:hint="eastAsia"/>
          <w:sz w:val="28"/>
          <w:lang w:eastAsia="zh-CN"/>
        </w:rPr>
      </w:pPr>
      <w:bookmarkStart w:id="8" w:name="_Toc15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光测距仪、测向仪项目的征地面积将根据激光测距仪、测向仪项目的实际规模和需求进行精确规划。具体面积XXX平方米，旨在确保激光测距仪、测向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净用地面积是在征地面积基础上去除不可利用面积后的实际可开发用地。具体面积XXX平方米，考虑到环保、交通、安全等多方面因素，以确保激光测距仪、测向仪项目在整体利用效率上达到最优。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激光测距仪、测向仪项目计划建设的建筑总规模具体面积XXX平方米。这一规模的确定综合考虑了激光测距仪、测向仪项目的性质、规模，以及城市规划的相关要求，确保建筑布局与周边环境协调一致。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绿地率是激光测距仪、测向仪项目用地中被规划为绿地的比例。具体面积XXX平方米，旨在通过合理规划绿地，改善激光测距仪、测向仪项目周边环境，提升居民生活质量，并符合城市整体绿化规划。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容积率是用地上可以建设的建筑总体积与用地面积之比。具体面积XXX，通过合理的容积率规划，确保激光测距仪、测向仪项目建筑规模与周边环境和谐共生。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激光测距仪、测向仪项目选址与当地城市规划相一致，具体面积XXX平方米。通过与城市规划部门深入沟通，确保激光测距仪、测向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激光测距仪、测向仪项目选址符合当地产业政策，具体面积XXX平方米。这包括激光测距仪、测向仪项目对当地经济的促进作用，以及对相关产业的带动效应，确保激光测距仪、测向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用地总体要求必须符合环保和可持续发展的原则，具体面积XXX平方米。通过采用绿色建筑设计、节能减排等措施，确保激光测距仪、测向仪项目在建设和运营过程中对环境的影响最小化，达到可持续发展的要求。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确保激光测距仪、测向仪项目选址具备必要的公共设施配套，具体面积XXX平方米。这包括交通便利性、教育、医疗等基础设施，以提高居民生活品质，使得激光测距仪、测向仪项目选址更具吸引力。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考虑用地总体要求对当地社会稳定性的影响，具体面积XXX平方米。通过深入了解当地社区反馈，确保激光测距仪、测向仪项目的选址和建设过程对当地社会和谐稳定产生积极作用。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激光测距仪、测向仪项目选址不仅符合法规和规划，还在实际操作中具有可行性。这一全面规划将为激光测距仪、测向仪项目的成功实施提供坚实的基础，确保激光测距仪、测向仪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838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测距仪、测向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激光测距仪、测向仪项目的设备规划和空间设计中，我们将采取灵活设备布局的措施。设备布局将根据实际需求进行灵活设计，避免不必要的浪费。通过合理规划设备摆放位置，我们将提高设备的利用率，减少设备间距，以确保激光测距仪、测向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激光测距仪、测向仪项目内部引入共享设施的概念，例如共享会议室、办公区等。通过这种方式，我们可以减少对资源的重复建设，提高资源共享效率，从而减小激光测距仪、测向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58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激光测距仪、测向仪项目的总图布置中，我们将不同功能区域进行明确的规划，以最大程度满足激光测距仪、测向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816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激光测距仪、测向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激光测距仪、测向仪项目对环境的影响是综合评价的重要因素之一。我们将详细考虑选址周边的自然环境、生态保护区、水源地等情况，确保激光测距仪、测向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对选址的评价还需充分考虑当地政府的产业政策和法规。我们将详细了解激光测距仪、测向仪项目所在地的相关政策，确保激光测距仪、测向仪项目的规划和运营与当地法规相符，降低不必要的法律风险。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考虑到社会稳定性对企业运营的重要性，我们将评估选址地区的社会安全情况、劳工关系、社区反馈等方面，以确保激光测距仪、测向仪项目的建设和运营不会受到社会稳定性的负面影响。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最后，我们将综合考虑用地成本，包括土地购置费用、土地开发成本等。通过对用地成本的详细评估，我们能够做出更为精确的经济效益分析，为激光测距仪、测向仪项目的投资决策提供有力支持。</w:t>
      </w:r>
    </w:p>
    <w:p>
      <w:pPr>
        <w:pStyle w:val="Heading1"/>
        <w:ind w:firstLine="560" w:firstLineChars="200"/>
        <w:rPr>
          <w:rFonts w:ascii="仿宋" w:eastAsia="仿宋" w:hAnsi="仿宋" w:cs="仿宋" w:hint="eastAsia"/>
          <w:sz w:val="28"/>
          <w:lang w:eastAsia="zh-CN"/>
        </w:rPr>
      </w:pPr>
      <w:bookmarkStart w:id="12" w:name="_Toc14123"/>
      <w:r>
        <w:rPr>
          <w:rFonts w:ascii="仿宋" w:eastAsia="仿宋" w:hAnsi="仿宋" w:cs="仿宋" w:hint="eastAsia"/>
          <w:sz w:val="28"/>
          <w:lang w:eastAsia="zh-CN"/>
        </w:rPr>
        <w:t>三、激光测距仪、测向仪项目文档管理</w:t>
      </w:r>
      <w:bookmarkEnd w:id="12"/>
    </w:p>
    <w:p>
      <w:pPr>
        <w:pStyle w:val="Heading2"/>
        <w:rPr>
          <w:rFonts w:ascii="仿宋" w:eastAsia="仿宋" w:hAnsi="仿宋" w:cs="仿宋" w:hint="eastAsia"/>
          <w:lang w:eastAsia="zh-CN"/>
        </w:rPr>
      </w:pPr>
      <w:bookmarkStart w:id="13" w:name="_Toc2395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激光测距仪、测向仪项目高度重视文档的质量和准确性，以支持激光测距仪、测向仪项目的各项活动和决策。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激光测距仪、测向仪项目文档的编制始于激光测距仪、测向仪项目计划的初期，我们制定了详细的文档编制计划，明确了每个文档的内容、格式和编写责任人。在激光测距仪、测向仪项目启动阶段，我们首先编制了激光测距仪、测向仪项目章程，明确定义了激光测距仪、测向仪项目的目标、范围、风险等关键要素。随后，激光测距仪、测向仪项目团队根据计划陆续编制了需求文档、设计文档、测试文档等各类文档，确保激光测距仪、测向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激光测距仪、测向仪项目管理中的重要环节，旨在确保激光测距仪、测向仪项目文档符合质量标准和激光测距仪、测向仪项目需求。在激光测距仪、测向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激光测距仪、测向仪项目相关利益方和专业领域的专家对文档进行独立审查。这有助于获取更全面、客观的反馈，确保激光测距仪、测向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在文档编制与审查方面建立了严格的管理机制，通过规范的流程和多维度的审查，确保激光测距仪、测向仪项目文档的质量、准确性和可靠性，为激光测距仪、测向仪项目的顺利推进提供了有力支持。</w:t>
      </w:r>
    </w:p>
    <w:p>
      <w:pPr>
        <w:pStyle w:val="Heading2"/>
        <w:ind w:firstLine="560" w:firstLineChars="200"/>
        <w:rPr>
          <w:rFonts w:ascii="仿宋" w:eastAsia="仿宋" w:hAnsi="仿宋" w:cs="仿宋" w:hint="eastAsia"/>
          <w:sz w:val="28"/>
          <w:lang w:eastAsia="zh-CN"/>
        </w:rPr>
      </w:pPr>
      <w:bookmarkStart w:id="14" w:name="_Toc1228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在激光测距仪、测向仪项目中，我们致力于优化文档发布与分发过程，以确保信息的高效传递和团队间协作的顺畅进行。以下是我们采取的关键优化策略：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我们通过多渠道发布文档，包括电子邮件、激光测距仪、测向仪项目管理平台、内部网站等，以满足不同团队成员的偏好和需求。多渠道发布确保了信息的全面覆盖。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我们采用了精细的权限控制，确保只有授权人员可以访问敏感信息。这种安全措施保护了激光测距仪、测向仪项目文档的机密性，防止了未经授权的信息泄露。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797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激光测距仪、测向仪项目生命周期中一个至关重要的环节，直接关系到激光测距仪、测向仪项目信息的长期保存和历史记录的完整性。在激光测距仪、测向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2693"/>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2468"/>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的技术管理特点体现在其创新导向。通过引入最先进的技术趋势和解决方案，激光测距仪、测向仪项目致力于提升科技含量、提高质量和效率水平。这意味着我们将采用最新的工具和方法，确保激光测距仪、测向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激光测距仪、测向仪项目技术管理的显著特征。通过整合不同领域的技术资源，我们实现了跨学科的协同工作。这有助于优化技术架构，提高整体效能。此外，整合性策略还促进了不同技术团队之间的紧密沟通和高效合作，确保激光测距仪、测向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激光测距仪、测向仪项目所采用的技术。通过不断优化技术方案，激光测距仪、测向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激光测距仪、测向仪项目团队将在激光测距仪、测向仪项目初期识别可能的技术风险，并采取相应的预防和应对措施。通过建立健全的风险评估机制，激光测距仪、测向仪项目能够在实施过程中及时发现并解决潜在的技术问题，保障激光测距仪、测向仪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https://d.book118.com/355240211312011040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562BE1"/>
    <w:rsid w:val="0A562B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24021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2024-01-08T19:45:00Z</dcterms:created>
  <dcterms:modified xsi:type="dcterms:W3CDTF">2024-01-08T19:46:11Z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83A039E314AB4CD6A5F359DE0EFDD845_11</vt:lpwstr>
  </property>
  <property fmtid="{D5CDD505-2E9C-101B-9397-08002B2CF9AE}" pid="3" name="KSOProductBuildVer">
    <vt:lpwstr>2052-12.1.0.16120</vt:lpwstr>
  </property>
</Properties>
</file>