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860" w:lineRule="exact"/>
        <w:ind w:firstLine="49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85.75pt;height:22.3pt;margin-top:43pt;margin-left:78.74pt;mso-position-horizontal-relative:page;mso-position-vertical-relative:page;position:absolute;z-index:-251657216" o:allowincell="f" filled="f" stroked="f">
            <o:lock v:ext="edit" aspectratio="f"/>
            <v:textbox inset="0,0,0,0">
              <w:txbxContent>
                <w:p>
                  <w:pPr>
                    <w:spacing w:before="20" w:line="220" w:lineRule="auto"/>
                    <w:ind w:left="20"/>
                    <w:rPr>
                      <w:rFonts w:ascii="SimSun" w:eastAsia="SimSun" w:hAnsi="SimSun" w:cs="SimSun"/>
                      <w:sz w:val="34"/>
                      <w:szCs w:val="34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spacing w:val="-14"/>
                      <w:sz w:val="34"/>
                      <w:szCs w:val="34"/>
                    </w:rPr>
                    <w:t>海</w:t>
                  </w:r>
                  <w:r>
                    <w:rPr>
                      <w:rFonts w:ascii="SimSun" w:eastAsia="SimSun" w:hAnsi="SimSun" w:cs="SimSun"/>
                      <w:spacing w:val="-46"/>
                      <w:sz w:val="34"/>
                      <w:szCs w:val="34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b/>
                      <w:bCs/>
                      <w:spacing w:val="-14"/>
                      <w:sz w:val="34"/>
                      <w:szCs w:val="34"/>
                    </w:rPr>
                    <w:t>通</w:t>
                  </w:r>
                  <w:r>
                    <w:rPr>
                      <w:rFonts w:ascii="SimSun" w:eastAsia="SimSun" w:hAnsi="SimSun" w:cs="SimSun"/>
                      <w:spacing w:val="-48"/>
                      <w:sz w:val="34"/>
                      <w:szCs w:val="34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b/>
                      <w:bCs/>
                      <w:spacing w:val="-14"/>
                      <w:sz w:val="34"/>
                      <w:szCs w:val="34"/>
                    </w:rPr>
                    <w:t>证</w:t>
                  </w:r>
                  <w:r>
                    <w:rPr>
                      <w:rFonts w:ascii="SimSun" w:eastAsia="SimSun" w:hAnsi="SimSun" w:cs="SimSun"/>
                      <w:spacing w:val="-49"/>
                      <w:sz w:val="34"/>
                      <w:szCs w:val="34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b/>
                      <w:bCs/>
                      <w:spacing w:val="-14"/>
                      <w:sz w:val="34"/>
                      <w:szCs w:val="34"/>
                    </w:rPr>
                    <w:t>券</w:t>
                  </w:r>
                </w:p>
              </w:txbxContent>
            </v:textbox>
          </v:shape>
        </w:pict>
      </w:r>
      <w:r>
        <w:pict>
          <v:shape id="_x0000_s1026" type="#_x0000_t202" style="width:31.65pt;height:10.5pt;margin-top:66.92pt;margin-left:86.12pt;mso-position-horizontal-relative:page;mso-position-vertical-relative:page;position:absolute;z-index:-251658240" o:allowincell="f" filled="f" stroked="f">
            <o:lock v:ext="edit" aspectratio="f"/>
            <v:textbox inset="0,0,0,0">
              <w:txbxContent>
                <w:p>
                  <w:pPr>
                    <w:spacing w:before="19" w:line="185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spacing w:val="-3"/>
                      <w:sz w:val="17"/>
                      <w:szCs w:val="17"/>
                    </w:rPr>
                    <w:t>HAITONG</w:t>
                  </w:r>
                </w:p>
              </w:txbxContent>
            </v:textbox>
          </v:shape>
        </w:pict>
      </w:r>
      <w:r>
        <w:rPr>
          <w:position w:val="-17"/>
        </w:rPr>
        <w:drawing>
          <wp:inline distT="0" distB="0" distL="0" distR="0">
            <wp:extent cx="1873242" cy="546111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73242" cy="54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19" w:line="675" w:lineRule="exact"/>
      </w:pPr>
      <w:r>
        <w:rPr>
          <w:position w:val="-13"/>
        </w:rPr>
        <w:pict>
          <v:group id="_x0000_i1027" style="width:175.5pt;height:33.75pt;mso-position-horizontal-relative:char;mso-position-vertical-relative:line" coordorigin="0,0" coordsize="3510,675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width:3510;height:620;position:absolute" filled="f" stroked="f">
              <v:imagedata r:id="rId5" o:title=""/>
            </v:shape>
            <v:shape id="_x0000_s1029" type="#_x0000_t202" style="width:585;height:585;left:2733;position:absolute;top:41" filled="f" stroked="f">
              <o:lock v:ext="edit" aspectratio="f"/>
              <v:textbox inset="0,0,0,0">
                <w:txbxContent>
                  <w:p>
                    <w:pPr>
                      <w:spacing w:before="19" w:line="219" w:lineRule="auto"/>
                      <w:ind w:left="20" w:right="20" w:firstLine="60"/>
                      <w:rPr>
                        <w:rFonts w:ascii="KaiTi" w:eastAsia="KaiTi" w:hAnsi="KaiTi" w:cs="KaiTi"/>
                        <w:sz w:val="25"/>
                        <w:szCs w:val="25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color w:val="FFFFFF"/>
                        <w:spacing w:val="-11"/>
                        <w:sz w:val="25"/>
                        <w:szCs w:val="25"/>
                      </w:rPr>
                      <w:t>首次</w:t>
                    </w:r>
                    <w:r>
                      <w:rPr>
                        <w:rFonts w:ascii="KaiTi" w:eastAsia="KaiTi" w:hAnsi="KaiTi" w:cs="KaiTi"/>
                        <w:color w:val="FFFFFF"/>
                        <w:sz w:val="25"/>
                        <w:szCs w:val="25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color w:val="FFFFFF"/>
                        <w:spacing w:val="-5"/>
                        <w:sz w:val="25"/>
                        <w:szCs w:val="25"/>
                      </w:rPr>
                      <w:t>覆盖</w:t>
                    </w:r>
                  </w:p>
                </w:txbxContent>
              </v:textbox>
            </v:shape>
            <v:shape id="_x0000_s1030" type="#_x0000_t202" style="width:1164;height:301;left:1163;position:absolute;top:394" filled="f" stroked="f">
              <o:lock v:ext="edit" aspectratio="f"/>
              <v:textbox inset="0,0,0,0">
                <w:txbxContent>
                  <w:p>
                    <w:pPr>
                      <w:spacing w:before="19" w:line="227" w:lineRule="auto"/>
                      <w:ind w:left="20"/>
                      <w:rPr>
                        <w:rFonts w:ascii="KaiTi" w:eastAsia="KaiTi" w:hAnsi="KaiTi" w:cs="KaiTi"/>
                        <w:sz w:val="25"/>
                        <w:szCs w:val="25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color w:val="FFFFFF"/>
                        <w:spacing w:val="28"/>
                        <w:sz w:val="25"/>
                        <w:szCs w:val="25"/>
                      </w:rPr>
                      <w:t>优于大市</w:t>
                    </w:r>
                  </w:p>
                </w:txbxContent>
              </v:textbox>
            </v:shape>
            <v:shape id="_x0000_s1031" type="#_x0000_t202" style="width:1029;height:301;left:29;position:absolute;top:394" filled="f" stroked="f">
              <o:lock v:ext="edit" aspectratio="f"/>
              <v:textbox inset="0,0,0,0">
                <w:txbxContent>
                  <w:p>
                    <w:pPr>
                      <w:spacing w:before="19" w:line="223" w:lineRule="auto"/>
                      <w:ind w:left="20"/>
                      <w:rPr>
                        <w:rFonts w:ascii="KaiTi" w:eastAsia="KaiTi" w:hAnsi="KaiTi" w:cs="KaiTi"/>
                        <w:sz w:val="25"/>
                        <w:szCs w:val="25"/>
                      </w:rPr>
                    </w:pPr>
                    <w:r>
                      <w:rPr>
                        <w:rFonts w:ascii="KaiTi" w:eastAsia="KaiTi" w:hAnsi="KaiTi" w:cs="KaiTi"/>
                        <w:color w:val="005BD4"/>
                        <w:spacing w:val="-3"/>
                        <w:sz w:val="25"/>
                        <w:szCs w:val="25"/>
                      </w:rPr>
                      <w:t>投资评级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35" w:line="184" w:lineRule="auto"/>
        <w:ind w:left="52"/>
      </w:pPr>
      <w:r>
        <w:rPr>
          <w:b/>
          <w:bCs/>
          <w:color w:val="003299"/>
          <w:spacing w:val="-9"/>
        </w:rPr>
        <w:t>股</w:t>
      </w:r>
      <w:r>
        <w:rPr>
          <w:color w:val="003299"/>
          <w:spacing w:val="51"/>
        </w:rPr>
        <w:t xml:space="preserve"> </w:t>
      </w:r>
      <w:r>
        <w:rPr>
          <w:b/>
          <w:bCs/>
          <w:color w:val="003299"/>
          <w:spacing w:val="-9"/>
        </w:rPr>
        <w:t>票</w:t>
      </w:r>
      <w:r>
        <w:rPr>
          <w:color w:val="003299"/>
          <w:spacing w:val="38"/>
        </w:rPr>
        <w:t xml:space="preserve"> </w:t>
      </w:r>
      <w:r>
        <w:rPr>
          <w:b/>
          <w:bCs/>
          <w:color w:val="003299"/>
          <w:spacing w:val="-9"/>
        </w:rPr>
        <w:t>数</w:t>
      </w:r>
      <w:r>
        <w:rPr>
          <w:color w:val="003299"/>
          <w:spacing w:val="38"/>
        </w:rPr>
        <w:t xml:space="preserve"> </w:t>
      </w:r>
      <w:r>
        <w:rPr>
          <w:b/>
          <w:bCs/>
          <w:color w:val="003299"/>
          <w:spacing w:val="-9"/>
        </w:rPr>
        <w:t>据</w:t>
      </w:r>
    </w:p>
    <w:tbl>
      <w:tblPr>
        <w:tblStyle w:val="TableNormal"/>
        <w:tblW w:w="3686" w:type="dxa"/>
        <w:tblInd w:w="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76"/>
        <w:gridCol w:w="1210"/>
      </w:tblGrid>
      <w:tr>
        <w:tblPrEx>
          <w:tblW w:w="3686" w:type="dxa"/>
          <w:tblInd w:w="2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30"/>
        </w:trPr>
        <w:tc>
          <w:tcPr>
            <w:tcW w:w="2476" w:type="dxa"/>
            <w:tcBorders>
              <w:top w:val="single" w:sz="2" w:space="0" w:color="003299"/>
            </w:tcBorders>
            <w:vAlign w:val="top"/>
          </w:tcPr>
          <w:p>
            <w:pPr>
              <w:spacing w:before="101" w:line="224" w:lineRule="auto"/>
              <w:ind w:left="21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11"/>
                <w:sz w:val="18"/>
                <w:szCs w:val="18"/>
              </w:rPr>
              <w:t>03月07日收盘价(元)</w:t>
            </w:r>
          </w:p>
        </w:tc>
        <w:tc>
          <w:tcPr>
            <w:tcW w:w="1210" w:type="dxa"/>
            <w:tcBorders>
              <w:top w:val="single" w:sz="2" w:space="0" w:color="003299"/>
            </w:tcBorders>
            <w:vAlign w:val="top"/>
          </w:tcPr>
          <w:p>
            <w:pPr>
              <w:pStyle w:val="TableText"/>
              <w:spacing w:before="138" w:line="184" w:lineRule="auto"/>
              <w:ind w:right="1"/>
              <w:jc w:val="right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11.26</w:t>
            </w:r>
          </w:p>
        </w:tc>
      </w:tr>
      <w:tr>
        <w:tblPrEx>
          <w:tblW w:w="3686" w:type="dxa"/>
          <w:tblInd w:w="28" w:type="dxa"/>
          <w:tblLayout w:type="fixed"/>
        </w:tblPrEx>
        <w:trPr>
          <w:trHeight w:val="214"/>
        </w:trPr>
        <w:tc>
          <w:tcPr>
            <w:tcW w:w="2476" w:type="dxa"/>
            <w:tcBorders>
              <w:bottom w:val="single" w:sz="2" w:space="0" w:color="000000"/>
            </w:tcBorders>
            <w:vAlign w:val="top"/>
          </w:tcPr>
          <w:p>
            <w:pPr>
              <w:spacing w:before="32" w:line="176" w:lineRule="auto"/>
              <w:ind w:left="21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-10"/>
                <w:sz w:val="18"/>
                <w:szCs w:val="18"/>
              </w:rPr>
              <w:t>5</w:t>
            </w:r>
            <w:r>
              <w:rPr>
                <w:rFonts w:ascii="KaiTi" w:eastAsia="KaiTi" w:hAnsi="KaiTi" w:cs="KaiTi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0"/>
                <w:sz w:val="18"/>
                <w:szCs w:val="18"/>
              </w:rPr>
              <w:t>2</w:t>
            </w:r>
            <w:r>
              <w:rPr>
                <w:rFonts w:ascii="KaiTi" w:eastAsia="KaiTi" w:hAnsi="KaiTi" w:cs="KaiTi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0"/>
                <w:sz w:val="18"/>
                <w:szCs w:val="18"/>
              </w:rPr>
              <w:t>周</w:t>
            </w:r>
            <w:r>
              <w:rPr>
                <w:rFonts w:ascii="KaiTi" w:eastAsia="KaiTi" w:hAnsi="KaiTi" w:cs="KaiTi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0"/>
                <w:sz w:val="18"/>
                <w:szCs w:val="18"/>
              </w:rPr>
              <w:t>股</w:t>
            </w:r>
            <w:r>
              <w:rPr>
                <w:rFonts w:ascii="KaiTi" w:eastAsia="KaiTi" w:hAnsi="KaiTi" w:cs="KaiTi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0"/>
                <w:sz w:val="18"/>
                <w:szCs w:val="18"/>
              </w:rPr>
              <w:t>价</w:t>
            </w:r>
            <w:r>
              <w:rPr>
                <w:rFonts w:ascii="KaiTi" w:eastAsia="KaiTi" w:hAnsi="KaiTi" w:cs="KaiTi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0"/>
                <w:sz w:val="18"/>
                <w:szCs w:val="18"/>
              </w:rPr>
              <w:t>波</w:t>
            </w:r>
            <w:r>
              <w:rPr>
                <w:rFonts w:ascii="KaiTi" w:eastAsia="KaiTi" w:hAnsi="KaiTi" w:cs="KaiTi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0"/>
                <w:sz w:val="18"/>
                <w:szCs w:val="18"/>
              </w:rPr>
              <w:t>动</w:t>
            </w:r>
            <w:r>
              <w:rPr>
                <w:rFonts w:ascii="KaiTi" w:eastAsia="KaiTi" w:hAnsi="KaiTi" w:cs="KaiTi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0"/>
                <w:sz w:val="18"/>
                <w:szCs w:val="18"/>
              </w:rPr>
              <w:t>(</w:t>
            </w:r>
            <w:r>
              <w:rPr>
                <w:rFonts w:ascii="KaiTi" w:eastAsia="KaiTi" w:hAnsi="KaiTi" w:cs="KaiTi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0"/>
                <w:sz w:val="18"/>
                <w:szCs w:val="18"/>
              </w:rPr>
              <w:t>元</w:t>
            </w:r>
            <w:r>
              <w:rPr>
                <w:rFonts w:ascii="KaiTi" w:eastAsia="KaiTi" w:hAnsi="KaiTi" w:cs="KaiTi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0"/>
                <w:sz w:val="18"/>
                <w:szCs w:val="18"/>
              </w:rPr>
              <w:t>)</w:t>
            </w:r>
          </w:p>
        </w:tc>
        <w:tc>
          <w:tcPr>
            <w:tcW w:w="1210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59" w:line="145" w:lineRule="exact"/>
              <w:jc w:val="right"/>
              <w:rPr>
                <w:sz w:val="18"/>
                <w:szCs w:val="18"/>
              </w:rPr>
            </w:pPr>
            <w:r>
              <w:rPr>
                <w:spacing w:val="-13"/>
                <w:w w:val="61"/>
                <w:position w:val="-2"/>
                <w:sz w:val="18"/>
                <w:szCs w:val="18"/>
              </w:rPr>
              <w:t>6</w:t>
            </w:r>
            <w:r>
              <w:rPr>
                <w:spacing w:val="-12"/>
                <w:w w:val="61"/>
                <w:position w:val="-2"/>
                <w:sz w:val="18"/>
                <w:szCs w:val="18"/>
              </w:rPr>
              <w:t xml:space="preserve"> 26-14.4</w:t>
            </w:r>
            <w:r>
              <w:rPr>
                <w:spacing w:val="-11"/>
                <w:w w:val="61"/>
                <w:position w:val="-2"/>
                <w:sz w:val="18"/>
                <w:szCs w:val="18"/>
              </w:rPr>
              <w:t>8</w:t>
            </w:r>
          </w:p>
        </w:tc>
      </w:tr>
      <w:tr>
        <w:tblPrEx>
          <w:tblW w:w="3686" w:type="dxa"/>
          <w:tblInd w:w="28" w:type="dxa"/>
          <w:tblLayout w:type="fixed"/>
        </w:tblPrEx>
        <w:trPr>
          <w:trHeight w:val="249"/>
        </w:trPr>
        <w:tc>
          <w:tcPr>
            <w:tcW w:w="2476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41" w:line="203" w:lineRule="auto"/>
              <w:ind w:left="21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1"/>
                <w:sz w:val="18"/>
                <w:szCs w:val="18"/>
              </w:rPr>
              <w:t>总股本/流通</w:t>
            </w:r>
            <w:r>
              <w:rPr>
                <w:spacing w:val="1"/>
                <w:sz w:val="18"/>
                <w:szCs w:val="18"/>
              </w:rPr>
              <w:t>A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1"/>
                <w:sz w:val="18"/>
                <w:szCs w:val="18"/>
              </w:rPr>
              <w:t>股(百万股)</w:t>
            </w:r>
          </w:p>
        </w:tc>
        <w:tc>
          <w:tcPr>
            <w:tcW w:w="1210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38" w:line="206" w:lineRule="auto"/>
              <w:ind w:right="21"/>
              <w:jc w:val="right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125/50</w:t>
            </w:r>
          </w:p>
        </w:tc>
      </w:tr>
      <w:tr>
        <w:tblPrEx>
          <w:tblW w:w="3686" w:type="dxa"/>
          <w:tblInd w:w="28" w:type="dxa"/>
          <w:tblLayout w:type="fixed"/>
        </w:tblPrEx>
        <w:trPr>
          <w:trHeight w:val="1471"/>
        </w:trPr>
        <w:tc>
          <w:tcPr>
            <w:tcW w:w="2476" w:type="dxa"/>
            <w:tcBorders>
              <w:bottom w:val="single" w:sz="4" w:space="0" w:color="003299"/>
            </w:tcBorders>
            <w:vAlign w:val="top"/>
          </w:tcPr>
          <w:p>
            <w:pPr>
              <w:spacing w:before="13" w:line="227" w:lineRule="auto"/>
              <w:ind w:left="21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-2"/>
                <w:sz w:val="18"/>
                <w:szCs w:val="18"/>
              </w:rPr>
              <w:t>总市值/流通市值(百万元)</w:t>
            </w:r>
          </w:p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before="69" w:line="175" w:lineRule="auto"/>
              <w:ind w:left="24"/>
              <w:rPr>
                <w:rFonts w:ascii="KaiTi" w:eastAsia="KaiTi" w:hAnsi="KaiTi" w:cs="KaiTi"/>
                <w:sz w:val="21"/>
                <w:szCs w:val="21"/>
              </w:rPr>
            </w:pPr>
            <w:r>
              <w:rPr>
                <w:rFonts w:ascii="KaiTi" w:eastAsia="KaiTi" w:hAnsi="KaiTi" w:cs="KaiTi"/>
                <w:b/>
                <w:bCs/>
                <w:color w:val="003299"/>
                <w:spacing w:val="-10"/>
                <w:sz w:val="21"/>
                <w:szCs w:val="21"/>
              </w:rPr>
              <w:t>市</w:t>
            </w:r>
            <w:r>
              <w:rPr>
                <w:rFonts w:ascii="KaiTi" w:eastAsia="KaiTi" w:hAnsi="KaiTi" w:cs="KaiTi"/>
                <w:color w:val="003299"/>
                <w:spacing w:val="24"/>
                <w:sz w:val="21"/>
                <w:szCs w:val="21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color w:val="003299"/>
                <w:spacing w:val="-10"/>
                <w:sz w:val="21"/>
                <w:szCs w:val="21"/>
              </w:rPr>
              <w:t>场</w:t>
            </w:r>
            <w:r>
              <w:rPr>
                <w:rFonts w:ascii="KaiTi" w:eastAsia="KaiTi" w:hAnsi="KaiTi" w:cs="KaiTi"/>
                <w:color w:val="003299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color w:val="003299"/>
                <w:spacing w:val="-10"/>
                <w:sz w:val="21"/>
                <w:szCs w:val="21"/>
              </w:rPr>
              <w:t>表</w:t>
            </w:r>
            <w:r>
              <w:rPr>
                <w:rFonts w:ascii="KaiTi" w:eastAsia="KaiTi" w:hAnsi="KaiTi" w:cs="KaiTi"/>
                <w:color w:val="003299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color w:val="003299"/>
                <w:spacing w:val="-10"/>
                <w:sz w:val="21"/>
                <w:szCs w:val="21"/>
              </w:rPr>
              <w:t>现</w:t>
            </w:r>
          </w:p>
        </w:tc>
        <w:tc>
          <w:tcPr>
            <w:tcW w:w="1210" w:type="dxa"/>
            <w:tcBorders>
              <w:bottom w:val="single" w:sz="4" w:space="0" w:color="003299"/>
            </w:tcBorders>
            <w:vAlign w:val="top"/>
          </w:tcPr>
          <w:p>
            <w:pPr>
              <w:pStyle w:val="TableText"/>
              <w:spacing w:before="79" w:line="224" w:lineRule="auto"/>
              <w:ind w:right="22"/>
              <w:jc w:val="right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1402/559</w:t>
            </w:r>
          </w:p>
        </w:tc>
      </w:tr>
      <w:tr>
        <w:tblPrEx>
          <w:tblW w:w="3686" w:type="dxa"/>
          <w:tblInd w:w="28" w:type="dxa"/>
          <w:tblLayout w:type="fixed"/>
        </w:tblPrEx>
        <w:trPr>
          <w:trHeight w:val="2323"/>
        </w:trPr>
        <w:tc>
          <w:tcPr>
            <w:tcW w:w="3686" w:type="dxa"/>
            <w:gridSpan w:val="2"/>
            <w:tcBorders>
              <w:top w:val="single" w:sz="4" w:space="0" w:color="003299"/>
              <w:bottom w:val="single" w:sz="2" w:space="0" w:color="000000"/>
            </w:tcBorders>
            <w:vAlign w:val="top"/>
          </w:tcPr>
          <w:p>
            <w:pPr>
              <w:spacing w:before="156" w:line="1880" w:lineRule="exact"/>
              <w:ind w:firstLine="71"/>
            </w:pPr>
            <w:r>
              <w:rPr>
                <w:position w:val="-37"/>
              </w:rPr>
              <w:drawing>
                <wp:inline distT="0" distB="0" distL="0" distR="0">
                  <wp:extent cx="1822495" cy="1193810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495" cy="119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12" w:line="224" w:lineRule="auto"/>
              <w:ind w:left="521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2023/3202316</w:t>
            </w:r>
            <w:r>
              <w:rPr>
                <w:spacing w:val="30"/>
                <w:sz w:val="18"/>
                <w:szCs w:val="18"/>
              </w:rPr>
              <w:t xml:space="preserve"> </w:t>
            </w:r>
            <w:r>
              <w:rPr>
                <w:spacing w:val="-10"/>
                <w:sz w:val="18"/>
                <w:szCs w:val="18"/>
              </w:rPr>
              <w:t>2023/92023/12</w:t>
            </w:r>
          </w:p>
        </w:tc>
      </w:tr>
      <w:tr>
        <w:tblPrEx>
          <w:tblW w:w="3686" w:type="dxa"/>
          <w:tblInd w:w="28" w:type="dxa"/>
          <w:tblLayout w:type="fixed"/>
        </w:tblPrEx>
        <w:trPr>
          <w:trHeight w:val="4519"/>
        </w:trPr>
        <w:tc>
          <w:tcPr>
            <w:tcW w:w="3686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7" w:line="219" w:lineRule="auto"/>
              <w:ind w:left="21"/>
              <w:rPr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2"/>
                <w:position w:val="1"/>
                <w:sz w:val="18"/>
                <w:szCs w:val="18"/>
                <w:u w:val="single" w:color="auto"/>
              </w:rPr>
              <w:t>沪深300对比</w:t>
            </w:r>
            <w:r>
              <w:rPr>
                <w:rFonts w:ascii="KaiTi" w:eastAsia="KaiTi" w:hAnsi="KaiTi" w:cs="KaiTi"/>
                <w:spacing w:val="-52"/>
                <w:position w:val="1"/>
                <w:sz w:val="18"/>
                <w:szCs w:val="18"/>
              </w:rPr>
              <w:t xml:space="preserve"> </w:t>
            </w:r>
            <w:r>
              <w:rPr>
                <w:spacing w:val="7"/>
                <w:position w:val="-2"/>
                <w:sz w:val="18"/>
                <w:szCs w:val="18"/>
                <w:u w:val="single" w:color="auto"/>
              </w:rPr>
              <w:t xml:space="preserve">        </w:t>
            </w:r>
            <w:r>
              <w:rPr>
                <w:spacing w:val="2"/>
                <w:position w:val="-2"/>
                <w:sz w:val="18"/>
                <w:szCs w:val="18"/>
                <w:u w:val="single" w:color="auto"/>
              </w:rPr>
              <w:t>1M</w:t>
            </w:r>
            <w:r>
              <w:rPr>
                <w:spacing w:val="-56"/>
                <w:position w:val="-2"/>
                <w:sz w:val="18"/>
                <w:szCs w:val="18"/>
              </w:rPr>
              <w:t xml:space="preserve"> </w:t>
            </w:r>
            <w:r>
              <w:rPr>
                <w:spacing w:val="14"/>
                <w:position w:val="-2"/>
                <w:sz w:val="18"/>
                <w:szCs w:val="18"/>
                <w:u w:val="single" w:color="auto"/>
              </w:rPr>
              <w:t xml:space="preserve">     </w:t>
            </w:r>
            <w:r>
              <w:rPr>
                <w:spacing w:val="2"/>
                <w:position w:val="-2"/>
                <w:sz w:val="18"/>
                <w:szCs w:val="18"/>
                <w:u w:val="single" w:color="auto"/>
              </w:rPr>
              <w:t>2M</w:t>
            </w:r>
            <w:r>
              <w:rPr>
                <w:spacing w:val="-61"/>
                <w:position w:val="-2"/>
                <w:sz w:val="18"/>
                <w:szCs w:val="18"/>
              </w:rPr>
              <w:t xml:space="preserve"> </w:t>
            </w:r>
            <w:r>
              <w:rPr>
                <w:spacing w:val="16"/>
                <w:position w:val="-2"/>
                <w:sz w:val="18"/>
                <w:szCs w:val="18"/>
                <w:u w:val="single" w:color="auto"/>
              </w:rPr>
              <w:t xml:space="preserve">     </w:t>
            </w:r>
            <w:r>
              <w:rPr>
                <w:spacing w:val="2"/>
                <w:position w:val="-2"/>
                <w:sz w:val="18"/>
                <w:szCs w:val="18"/>
                <w:u w:val="single" w:color="auto"/>
              </w:rPr>
              <w:t>3M</w:t>
            </w:r>
          </w:p>
          <w:p>
            <w:pPr>
              <w:pStyle w:val="TableText"/>
              <w:spacing w:before="49" w:line="207" w:lineRule="auto"/>
              <w:ind w:left="21"/>
              <w:rPr>
                <w:sz w:val="21"/>
                <w:szCs w:val="21"/>
              </w:rPr>
            </w:pPr>
            <w:r>
              <w:rPr>
                <w:rFonts w:ascii="KaiTi" w:eastAsia="KaiTi" w:hAnsi="KaiTi" w:cs="KaiTi"/>
                <w:spacing w:val="3"/>
                <w:sz w:val="18"/>
                <w:szCs w:val="18"/>
              </w:rPr>
              <w:t>绝对涨幅(%)</w:t>
            </w:r>
            <w:r>
              <w:rPr>
                <w:rFonts w:ascii="KaiTi" w:eastAsia="KaiTi" w:hAnsi="KaiTi" w:cs="KaiTi"/>
                <w:spacing w:val="3"/>
                <w:sz w:val="18"/>
                <w:szCs w:val="18"/>
              </w:rPr>
              <w:t xml:space="preserve">      </w:t>
            </w:r>
            <w:r>
              <w:rPr>
                <w:spacing w:val="3"/>
                <w:sz w:val="18"/>
                <w:szCs w:val="18"/>
              </w:rPr>
              <w:t>11.3</w:t>
            </w:r>
            <w:r>
              <w:rPr>
                <w:spacing w:val="14"/>
                <w:sz w:val="18"/>
                <w:szCs w:val="18"/>
              </w:rPr>
              <w:t xml:space="preserve">   </w:t>
            </w:r>
            <w:r>
              <w:rPr>
                <w:spacing w:val="3"/>
                <w:sz w:val="18"/>
                <w:szCs w:val="18"/>
              </w:rPr>
              <w:t xml:space="preserve">-10.6     </w:t>
            </w:r>
            <w:r>
              <w:rPr>
                <w:spacing w:val="3"/>
                <w:sz w:val="21"/>
                <w:szCs w:val="21"/>
              </w:rPr>
              <w:t>8.3</w:t>
            </w:r>
          </w:p>
          <w:p>
            <w:pPr>
              <w:pStyle w:val="TableText"/>
              <w:spacing w:before="34" w:line="178" w:lineRule="auto"/>
              <w:ind w:left="21"/>
              <w:rPr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3"/>
                <w:sz w:val="18"/>
                <w:szCs w:val="18"/>
              </w:rPr>
              <w:t>相对涨幅(%)</w:t>
            </w:r>
            <w:r>
              <w:rPr>
                <w:rFonts w:ascii="KaiTi" w:eastAsia="KaiTi" w:hAnsi="KaiTi" w:cs="KaiTi"/>
                <w:spacing w:val="1"/>
                <w:sz w:val="18"/>
                <w:szCs w:val="18"/>
              </w:rPr>
              <w:t xml:space="preserve">       </w:t>
            </w:r>
            <w:r>
              <w:rPr>
                <w:spacing w:val="3"/>
                <w:sz w:val="21"/>
                <w:szCs w:val="21"/>
              </w:rPr>
              <w:t>5.7</w:t>
            </w:r>
            <w:r>
              <w:rPr>
                <w:spacing w:val="40"/>
                <w:sz w:val="21"/>
                <w:szCs w:val="21"/>
              </w:rPr>
              <w:t xml:space="preserve">  </w:t>
            </w:r>
            <w:r>
              <w:rPr>
                <w:spacing w:val="3"/>
                <w:sz w:val="18"/>
                <w:szCs w:val="18"/>
              </w:rPr>
              <w:t xml:space="preserve">-16.7     </w:t>
            </w:r>
            <w:r>
              <w:rPr>
                <w:spacing w:val="3"/>
                <w:position w:val="1"/>
                <w:sz w:val="18"/>
                <w:szCs w:val="18"/>
              </w:rPr>
              <w:t>4.2</w:t>
            </w:r>
          </w:p>
          <w:p>
            <w:pPr>
              <w:spacing w:line="224" w:lineRule="auto"/>
              <w:ind w:left="21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-15"/>
                <w:w w:val="93"/>
                <w:sz w:val="18"/>
                <w:szCs w:val="18"/>
              </w:rPr>
              <w:t>资料来源：海通证券研究所</w:t>
            </w: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58" w:line="222" w:lineRule="auto"/>
              <w:ind w:left="21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-20"/>
                <w:w w:val="97"/>
                <w:sz w:val="18"/>
                <w:szCs w:val="18"/>
              </w:rPr>
              <w:t>分析师：颜慧菁</w:t>
            </w:r>
          </w:p>
          <w:p>
            <w:pPr>
              <w:pStyle w:val="TableText"/>
              <w:spacing w:before="81" w:line="222" w:lineRule="auto"/>
              <w:ind w:left="21"/>
              <w:rPr>
                <w:sz w:val="18"/>
                <w:szCs w:val="18"/>
              </w:rPr>
            </w:pPr>
            <w:r>
              <w:rPr>
                <w:spacing w:val="-12"/>
                <w:sz w:val="18"/>
                <w:szCs w:val="18"/>
              </w:rPr>
              <w:t>Telt:(021)23183952</w:t>
            </w:r>
          </w:p>
          <w:p>
            <w:pPr>
              <w:spacing w:before="39" w:line="245" w:lineRule="exact"/>
              <w:ind w:left="2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7"/>
                <w:position w:val="3"/>
                <w:sz w:val="18"/>
                <w:szCs w:val="18"/>
              </w:rPr>
              <w:t>Email:yhj12866 @haitong.com</w:t>
            </w:r>
          </w:p>
          <w:p>
            <w:pPr>
              <w:spacing w:before="69" w:line="165" w:lineRule="auto"/>
              <w:ind w:left="21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证</w:t>
            </w:r>
            <w:r>
              <w:rPr>
                <w:rFonts w:ascii="KaiTi" w:eastAsia="KaiTi" w:hAnsi="KaiTi" w:cs="KaiTi"/>
                <w:spacing w:val="-18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书</w:t>
            </w:r>
            <w:r>
              <w:rPr>
                <w:rFonts w:ascii="KaiTi" w:eastAsia="KaiTi" w:hAnsi="KaiTi" w:cs="KaiTi"/>
                <w:spacing w:val="-46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：</w:t>
            </w:r>
            <w:r>
              <w:rPr>
                <w:rFonts w:ascii="KaiTi" w:eastAsia="KaiTi" w:hAnsi="KaiTi" w:cs="KaiTi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S</w:t>
            </w:r>
            <w:r>
              <w:rPr>
                <w:rFonts w:ascii="KaiTi" w:eastAsia="KaiTi" w:hAnsi="KaiTi" w:cs="KaiTi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0</w:t>
            </w:r>
            <w:r>
              <w:rPr>
                <w:rFonts w:ascii="KaiTi" w:eastAsia="KaiTi" w:hAnsi="KaiTi" w:cs="KaiTi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8</w:t>
            </w:r>
            <w:r>
              <w:rPr>
                <w:rFonts w:ascii="KaiTi" w:eastAsia="KaiTi" w:hAnsi="KaiTi" w:cs="KaiTi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5</w:t>
            </w:r>
            <w:r>
              <w:rPr>
                <w:rFonts w:ascii="KaiTi" w:eastAsia="KaiTi" w:hAnsi="KaiTi" w:cs="KaiTi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0</w:t>
            </w:r>
            <w:r>
              <w:rPr>
                <w:rFonts w:ascii="KaiTi" w:eastAsia="KaiTi" w:hAnsi="KaiTi" w:cs="KaiTi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5</w:t>
            </w:r>
            <w:r>
              <w:rPr>
                <w:rFonts w:ascii="KaiTi" w:eastAsia="KaiTi" w:hAnsi="KaiTi" w:cs="KaiTi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2</w:t>
            </w:r>
            <w:r>
              <w:rPr>
                <w:rFonts w:ascii="KaiTi" w:eastAsia="KaiTi" w:hAnsi="KaiTi" w:cs="KaiTi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0</w:t>
            </w:r>
            <w:r>
              <w:rPr>
                <w:rFonts w:ascii="KaiTi" w:eastAsia="KaiTi" w:hAnsi="KaiTi" w:cs="KaiTi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0</w:t>
            </w:r>
            <w:r>
              <w:rPr>
                <w:rFonts w:ascii="KaiTi" w:eastAsia="KaiTi" w:hAnsi="KaiTi" w:cs="KaiTi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2</w:t>
            </w:r>
            <w:r>
              <w:rPr>
                <w:rFonts w:ascii="KaiTi" w:eastAsia="KaiTi" w:hAnsi="KaiTi" w:cs="KaiTi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0</w:t>
            </w:r>
            <w:r>
              <w:rPr>
                <w:rFonts w:ascii="KaiTi" w:eastAsia="KaiTi" w:hAnsi="KaiTi" w:cs="KaiTi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0</w:t>
            </w:r>
            <w:r>
              <w:rPr>
                <w:rFonts w:ascii="KaiTi" w:eastAsia="KaiTi" w:hAnsi="KaiTi" w:cs="KaiTi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0</w:t>
            </w:r>
            <w:r>
              <w:rPr>
                <w:rFonts w:ascii="KaiTi" w:eastAsia="KaiTi" w:hAnsi="KaiTi" w:cs="KaiTi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8"/>
                <w:szCs w:val="18"/>
              </w:rPr>
              <w:t>1</w:t>
            </w:r>
          </w:p>
        </w:tc>
      </w:tr>
      <w:tr>
        <w:tblPrEx>
          <w:tblW w:w="3686" w:type="dxa"/>
          <w:tblInd w:w="28" w:type="dxa"/>
          <w:tblLayout w:type="fixed"/>
        </w:tblPrEx>
        <w:trPr>
          <w:trHeight w:val="1189"/>
        </w:trPr>
        <w:tc>
          <w:tcPr>
            <w:tcW w:w="3686" w:type="dxa"/>
            <w:gridSpan w:val="2"/>
            <w:tcBorders>
              <w:top w:val="single" w:sz="2" w:space="0" w:color="000000"/>
              <w:bottom w:val="single" w:sz="2" w:space="0" w:color="0000FF"/>
            </w:tcBorders>
            <w:vAlign w:val="top"/>
          </w:tcPr>
          <w:p>
            <w:pPr>
              <w:spacing w:before="107" w:line="224" w:lineRule="auto"/>
              <w:ind w:left="21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-19"/>
                <w:w w:val="97"/>
                <w:sz w:val="18"/>
                <w:szCs w:val="18"/>
              </w:rPr>
              <w:t>分析师：程碧升</w:t>
            </w:r>
          </w:p>
          <w:p>
            <w:pPr>
              <w:pStyle w:val="TableText"/>
              <w:spacing w:before="68" w:line="222" w:lineRule="auto"/>
              <w:ind w:left="21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Tel:(021)23185685</w:t>
            </w:r>
          </w:p>
          <w:p>
            <w:pPr>
              <w:spacing w:before="72" w:line="198" w:lineRule="auto"/>
              <w:ind w:left="2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Email:cbs10969@haitong.com</w:t>
            </w:r>
          </w:p>
          <w:p>
            <w:pPr>
              <w:spacing w:before="89" w:line="229" w:lineRule="auto"/>
              <w:ind w:left="21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-11"/>
                <w:sz w:val="18"/>
                <w:szCs w:val="18"/>
              </w:rPr>
              <w:t>证书：S0850520100001</w:t>
            </w:r>
          </w:p>
        </w:tc>
      </w:tr>
    </w:tbl>
    <w:p>
      <w:pPr>
        <w:spacing w:line="184" w:lineRule="exact"/>
        <w:rPr>
          <w:rFonts w:ascii="Arial"/>
          <w:sz w:val="16"/>
        </w:rPr>
      </w:pPr>
    </w:p>
    <w:p>
      <w:pPr>
        <w:spacing w:line="14" w:lineRule="auto"/>
        <w:rPr>
          <w:rFonts w:ascii="Arial"/>
          <w:sz w:val="2"/>
        </w:rPr>
        <w:sectPr>
          <w:footerReference w:type="default" r:id="rId7"/>
          <w:pgSz w:w="11910" w:h="16840"/>
          <w:pgMar w:top="700" w:right="560" w:bottom="730" w:left="390" w:header="0" w:footer="472" w:gutter="0"/>
          <w:cols w:num="2" w:space="708" w:equalWidth="0">
            <w:col w:w="3716" w:space="74"/>
            <w:col w:w="7170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06" w:line="219" w:lineRule="auto"/>
        <w:ind w:left="1049"/>
        <w:rPr>
          <w:rFonts w:ascii="SimSun" w:eastAsia="SimSun" w:hAnsi="SimSun" w:cs="SimSun"/>
          <w:sz w:val="23"/>
          <w:szCs w:val="23"/>
        </w:rPr>
      </w:pPr>
      <w:r>
        <w:pict>
          <v:shape id="_x0000_s1032" type="#_x0000_t202" style="width:81.05pt;height:35.75pt;margin-top:9.12pt;margin-left:275.5pt;position:absolute;z-index:251660288" filled="f" stroked="f">
            <o:lock v:ext="edit" aspectratio="f"/>
            <v:textbox inset="0,0,0,0">
              <w:txbxContent>
                <w:p>
                  <w:pPr>
                    <w:spacing w:before="19" w:line="218" w:lineRule="auto"/>
                    <w:ind w:right="8"/>
                    <w:jc w:val="right"/>
                    <w:rPr>
                      <w:rFonts w:ascii="SimSun" w:eastAsia="SimSun" w:hAnsi="SimSun" w:cs="SimSun"/>
                      <w:sz w:val="23"/>
                      <w:szCs w:val="23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spacing w:val="-20"/>
                      <w:sz w:val="23"/>
                      <w:szCs w:val="23"/>
                    </w:rPr>
                    <w:t>证券研究报告</w:t>
                  </w:r>
                </w:p>
                <w:p>
                  <w:pPr>
                    <w:spacing w:before="201" w:line="219" w:lineRule="auto"/>
                    <w:jc w:val="right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spacing w:val="-11"/>
                      <w:sz w:val="17"/>
                      <w:szCs w:val="17"/>
                    </w:rPr>
                    <w:t>2</w:t>
                  </w:r>
                  <w:r>
                    <w:rPr>
                      <w:rFonts w:ascii="SimSun" w:eastAsia="SimSun" w:hAnsi="SimSun" w:cs="SimSun"/>
                      <w:spacing w:val="-3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11"/>
                      <w:sz w:val="17"/>
                      <w:szCs w:val="17"/>
                    </w:rPr>
                    <w:t>0</w:t>
                  </w:r>
                  <w:r>
                    <w:rPr>
                      <w:rFonts w:ascii="SimSun" w:eastAsia="SimSun" w:hAnsi="SimSun" w:cs="SimSun"/>
                      <w:spacing w:val="-37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11"/>
                      <w:sz w:val="17"/>
                      <w:szCs w:val="17"/>
                    </w:rPr>
                    <w:t>2</w:t>
                  </w:r>
                  <w:r>
                    <w:rPr>
                      <w:rFonts w:ascii="SimSun" w:eastAsia="SimSun" w:hAnsi="SimSun" w:cs="SimSun"/>
                      <w:spacing w:val="-3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11"/>
                      <w:sz w:val="17"/>
                      <w:szCs w:val="17"/>
                    </w:rPr>
                    <w:t>4</w:t>
                  </w:r>
                  <w:r>
                    <w:rPr>
                      <w:rFonts w:ascii="SimSun" w:eastAsia="SimSun" w:hAnsi="SimSun" w:cs="SimSun"/>
                      <w:spacing w:val="-38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11"/>
                      <w:sz w:val="17"/>
                      <w:szCs w:val="17"/>
                    </w:rPr>
                    <w:t>年</w:t>
                  </w:r>
                  <w:r>
                    <w:rPr>
                      <w:rFonts w:ascii="SimSun" w:eastAsia="SimSun" w:hAnsi="SimSun" w:cs="SimSun"/>
                      <w:spacing w:val="-37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11"/>
                      <w:sz w:val="17"/>
                      <w:szCs w:val="17"/>
                    </w:rPr>
                    <w:t>0</w:t>
                  </w:r>
                  <w:r>
                    <w:rPr>
                      <w:rFonts w:ascii="SimSun" w:eastAsia="SimSun" w:hAnsi="SimSun" w:cs="SimSun"/>
                      <w:spacing w:val="-35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11"/>
                      <w:sz w:val="17"/>
                      <w:szCs w:val="17"/>
                    </w:rPr>
                    <w:t>3</w:t>
                  </w:r>
                  <w:r>
                    <w:rPr>
                      <w:rFonts w:ascii="SimSun" w:eastAsia="SimSun" w:hAnsi="SimSun" w:cs="SimSun"/>
                      <w:spacing w:val="-3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11"/>
                      <w:sz w:val="17"/>
                      <w:szCs w:val="17"/>
                    </w:rPr>
                    <w:t>月</w:t>
                  </w:r>
                  <w:r>
                    <w:rPr>
                      <w:rFonts w:ascii="SimSun" w:eastAsia="SimSun" w:hAnsi="SimSun" w:cs="SimSun"/>
                      <w:spacing w:val="-37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11"/>
                      <w:sz w:val="17"/>
                      <w:szCs w:val="17"/>
                    </w:rPr>
                    <w:t>0</w:t>
                  </w:r>
                  <w:r>
                    <w:rPr>
                      <w:rFonts w:ascii="SimSun" w:eastAsia="SimSun" w:hAnsi="SimSun" w:cs="SimSun"/>
                      <w:spacing w:val="-38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11"/>
                      <w:sz w:val="17"/>
                      <w:szCs w:val="17"/>
                    </w:rPr>
                    <w:t>8 日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24"/>
          <w:sz w:val="23"/>
          <w:szCs w:val="23"/>
        </w:rPr>
        <w:t>公司研究/食品/食品制造</w:t>
      </w:r>
    </w:p>
    <w:p>
      <w:pPr>
        <w:spacing w:before="103" w:line="218" w:lineRule="auto"/>
        <w:ind w:left="473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b/>
          <w:bCs/>
          <w:spacing w:val="22"/>
          <w:sz w:val="23"/>
          <w:szCs w:val="23"/>
        </w:rPr>
        <w:t>康比特(833429)公司研究报告</w:t>
      </w:r>
    </w:p>
    <w:p>
      <w:pPr>
        <w:spacing w:line="320" w:lineRule="auto"/>
        <w:rPr>
          <w:rFonts w:ascii="Arial"/>
          <w:sz w:val="21"/>
        </w:rPr>
      </w:pPr>
    </w:p>
    <w:p>
      <w:pPr>
        <w:pStyle w:val="BodyText"/>
        <w:spacing w:before="107" w:line="220" w:lineRule="auto"/>
        <w:ind w:left="34"/>
        <w:rPr>
          <w:sz w:val="33"/>
          <w:szCs w:val="33"/>
        </w:rPr>
      </w:pPr>
      <w:r>
        <w:rPr>
          <w:b/>
          <w:bCs/>
          <w:color w:val="003299"/>
          <w:spacing w:val="-13"/>
          <w:sz w:val="33"/>
          <w:szCs w:val="33"/>
        </w:rPr>
        <w:t>运动营养行业景气度较高，公司全渠道发力</w:t>
      </w:r>
    </w:p>
    <w:p>
      <w:pPr>
        <w:pStyle w:val="BodyText"/>
        <w:spacing w:before="210" w:line="530" w:lineRule="exact"/>
      </w:pPr>
      <w:r>
        <w:rPr>
          <w:position w:val="-10"/>
        </w:rPr>
        <w:pict>
          <v:shape id="_x0000_i1033" type="#_x0000_t202" style="width:357pt;height:26.5pt;mso-position-horizontal-relative:char;mso-position-vertical-relative:line" filled="t" fillcolor="#ccc" stroked="f">
            <o:lock v:ext="edit" aspectratio="f"/>
            <v:textbox inset="0,0,0,0">
              <w:txbxContent>
                <w:p>
                  <w:pPr>
                    <w:spacing w:before="164" w:line="226" w:lineRule="auto"/>
                    <w:ind w:left="133"/>
                    <w:rPr>
                      <w:rFonts w:ascii="KaiTi" w:eastAsia="KaiTi" w:hAnsi="KaiTi" w:cs="KaiTi"/>
                      <w:sz w:val="25"/>
                      <w:szCs w:val="25"/>
                    </w:rPr>
                  </w:pPr>
                  <w:r>
                    <w:rPr>
                      <w:rFonts w:ascii="KaiTi" w:eastAsia="KaiTi" w:hAnsi="KaiTi" w:cs="KaiTi"/>
                      <w:b/>
                      <w:bCs/>
                      <w:color w:val="003299"/>
                      <w:spacing w:val="-21"/>
                      <w:sz w:val="25"/>
                      <w:szCs w:val="25"/>
                    </w:rPr>
                    <w:t>投资要点：</w:t>
                  </w:r>
                </w:p>
              </w:txbxContent>
            </v:textbox>
            <w10:wrap type="none"/>
          </v:shape>
        </w:pict>
      </w:r>
    </w:p>
    <w:p>
      <w:pPr>
        <w:spacing w:line="250" w:lineRule="auto"/>
        <w:rPr>
          <w:rFonts w:ascii="Arial"/>
          <w:sz w:val="21"/>
        </w:rPr>
      </w:pPr>
    </w:p>
    <w:p>
      <w:pPr>
        <w:pStyle w:val="BodyText"/>
        <w:spacing w:before="59" w:line="260" w:lineRule="auto"/>
        <w:ind w:left="348" w:right="149" w:hanging="219"/>
      </w:pPr>
      <w:r>
        <w:rPr>
          <w:spacing w:val="16"/>
        </w:rPr>
        <w:t>·</w:t>
      </w:r>
      <w:r>
        <w:rPr>
          <w:spacing w:val="16"/>
        </w:rPr>
        <w:t xml:space="preserve"> </w:t>
      </w:r>
      <w:r>
        <w:rPr>
          <w:b/>
          <w:bCs/>
          <w:color w:val="003299"/>
          <w:spacing w:val="16"/>
        </w:rPr>
        <w:t>国内运动营养行业空间较大，康比特综合优势明显</w:t>
      </w:r>
      <w:r>
        <w:rPr>
          <w:spacing w:val="16"/>
        </w:rPr>
        <w:t>。全球运动营养市场规模</w:t>
      </w:r>
      <w:r>
        <w:rPr>
          <w:spacing w:val="16"/>
        </w:rPr>
        <w:t xml:space="preserve"> </w:t>
      </w:r>
      <w:r>
        <w:rPr>
          <w:spacing w:val="20"/>
        </w:rPr>
        <w:t>由2014年的108</w:t>
      </w:r>
      <w:r>
        <w:rPr>
          <w:spacing w:val="-30"/>
        </w:rPr>
        <w:t xml:space="preserve"> </w:t>
      </w:r>
      <w:r>
        <w:rPr>
          <w:spacing w:val="20"/>
        </w:rPr>
        <w:t>.</w:t>
      </w:r>
      <w:r>
        <w:rPr>
          <w:spacing w:val="-53"/>
        </w:rPr>
        <w:t xml:space="preserve"> </w:t>
      </w:r>
      <w:r>
        <w:rPr>
          <w:spacing w:val="20"/>
        </w:rPr>
        <w:t>83亿美元增长到2020年的176亿美元，</w:t>
      </w:r>
      <w:r>
        <w:rPr>
          <w:rFonts w:ascii="Arial" w:eastAsia="Arial" w:hAnsi="Arial" w:cs="Arial"/>
        </w:rPr>
        <w:t>CAGR</w:t>
      </w:r>
      <w:r>
        <w:rPr>
          <w:rFonts w:ascii="Arial" w:eastAsia="Arial" w:hAnsi="Arial" w:cs="Arial"/>
          <w:spacing w:val="20"/>
        </w:rPr>
        <w:t xml:space="preserve">  </w:t>
      </w:r>
      <w:r>
        <w:rPr>
          <w:spacing w:val="20"/>
        </w:rPr>
        <w:t>为7</w:t>
      </w:r>
      <w:r>
        <w:rPr>
          <w:spacing w:val="-46"/>
        </w:rPr>
        <w:t xml:space="preserve"> </w:t>
      </w:r>
      <w:r>
        <w:rPr>
          <w:spacing w:val="20"/>
        </w:rPr>
        <w:t>.</w:t>
      </w:r>
      <w:r>
        <w:rPr>
          <w:spacing w:val="-42"/>
        </w:rPr>
        <w:t xml:space="preserve"> </w:t>
      </w:r>
      <w:r>
        <w:rPr>
          <w:spacing w:val="20"/>
        </w:rPr>
        <w:t>11%。</w:t>
      </w:r>
      <w:r>
        <w:t xml:space="preserve"> </w:t>
      </w:r>
      <w:r>
        <w:rPr>
          <w:spacing w:val="22"/>
        </w:rPr>
        <w:t>预计到2026年，全球运动营养市场规模将达到228</w:t>
      </w:r>
      <w:r>
        <w:rPr>
          <w:spacing w:val="-45"/>
        </w:rPr>
        <w:t xml:space="preserve"> </w:t>
      </w:r>
      <w:r>
        <w:rPr>
          <w:spacing w:val="22"/>
        </w:rPr>
        <w:t>.57亿美元，持续保持较</w:t>
      </w:r>
      <w:r>
        <w:t xml:space="preserve"> </w:t>
      </w:r>
      <w:r>
        <w:rPr>
          <w:spacing w:val="22"/>
        </w:rPr>
        <w:t>快增长。2015-2020年国内运动营养市场</w:t>
      </w:r>
      <w:r>
        <w:rPr>
          <w:spacing w:val="-15"/>
        </w:rPr>
        <w:t xml:space="preserve"> </w:t>
      </w:r>
      <w:r>
        <w:rPr>
          <w:rFonts w:ascii="SimSun" w:eastAsia="SimSun" w:hAnsi="SimSun" w:cs="SimSun"/>
        </w:rPr>
        <w:t>CAGR</w:t>
      </w:r>
      <w:r>
        <w:rPr>
          <w:rFonts w:ascii="SimSun" w:eastAsia="SimSun" w:hAnsi="SimSun" w:cs="SimSun"/>
          <w:spacing w:val="22"/>
        </w:rPr>
        <w:t xml:space="preserve">40%,    </w:t>
      </w:r>
      <w:r>
        <w:rPr>
          <w:spacing w:val="22"/>
        </w:rPr>
        <w:t>预计到2</w:t>
      </w:r>
      <w:r>
        <w:rPr>
          <w:spacing w:val="21"/>
        </w:rPr>
        <w:t>023年可达</w:t>
      </w:r>
      <w:r>
        <w:t xml:space="preserve"> </w:t>
      </w:r>
      <w:r>
        <w:rPr>
          <w:spacing w:val="31"/>
        </w:rPr>
        <w:t>到60亿元，未来3年增速仍可达21%。行业格局上，国</w:t>
      </w:r>
      <w:r>
        <w:rPr>
          <w:spacing w:val="30"/>
        </w:rPr>
        <w:t>内市场目前主要被</w:t>
      </w:r>
      <w:r>
        <w:t xml:space="preserve"> </w:t>
      </w:r>
      <w:r>
        <w:rPr>
          <w:spacing w:val="20"/>
        </w:rPr>
        <w:t>内资品牌主导，我们认为行业本身门槛不算高，康比特技术、渠道等综合优</w:t>
      </w:r>
      <w:r>
        <w:rPr>
          <w:spacing w:val="9"/>
        </w:rPr>
        <w:t xml:space="preserve"> </w:t>
      </w:r>
      <w:r>
        <w:rPr>
          <w:spacing w:val="14"/>
        </w:rPr>
        <w:t>势较强，未来市占率有望持续提升。</w:t>
      </w:r>
    </w:p>
    <w:p>
      <w:pPr>
        <w:pStyle w:val="BodyText"/>
        <w:spacing w:before="290" w:line="248" w:lineRule="auto"/>
        <w:ind w:left="348" w:right="149" w:hanging="219"/>
        <w:rPr>
          <w:rFonts w:ascii="SimSun" w:eastAsia="SimSun" w:hAnsi="SimSun" w:cs="SimSun"/>
          <w:sz w:val="21"/>
          <w:szCs w:val="21"/>
        </w:rPr>
      </w:pPr>
      <w:r>
        <w:rPr>
          <w:spacing w:val="16"/>
        </w:rPr>
        <w:t>●</w:t>
      </w:r>
      <w:r>
        <w:rPr>
          <w:spacing w:val="16"/>
        </w:rPr>
        <w:t xml:space="preserve"> </w:t>
      </w:r>
      <w:r>
        <w:rPr>
          <w:b/>
          <w:bCs/>
          <w:color w:val="003299"/>
          <w:spacing w:val="16"/>
        </w:rPr>
        <w:t>公司技术专业度高，近几年收入、利润稳健增长。</w:t>
      </w:r>
      <w:r>
        <w:rPr>
          <w:spacing w:val="16"/>
        </w:rPr>
        <w:t>公司在竞技体育领域已经</w:t>
      </w:r>
      <w:r>
        <w:rPr>
          <w:spacing w:val="9"/>
        </w:rPr>
        <w:t xml:space="preserve">  </w:t>
      </w:r>
      <w:r>
        <w:rPr>
          <w:spacing w:val="16"/>
        </w:rPr>
        <w:t>形成领先的品牌优势，连续入围国家体育总局国家队集中采购营养食品目录，</w:t>
      </w:r>
      <w:r>
        <w:rPr>
          <w:spacing w:val="5"/>
        </w:rPr>
        <w:t xml:space="preserve"> </w:t>
      </w:r>
      <w:r>
        <w:rPr>
          <w:spacing w:val="20"/>
        </w:rPr>
        <w:t>入围产品的品类、数量、销售额多年位居前列，技术实力强劲。近几年公司</w:t>
      </w:r>
      <w:r>
        <w:rPr>
          <w:spacing w:val="6"/>
        </w:rPr>
        <w:t xml:space="preserve"> </w:t>
      </w:r>
      <w:r>
        <w:rPr>
          <w:spacing w:val="20"/>
        </w:rPr>
        <w:t>收入、利润稳健增长，2013-2023年公司收入从1.59亿元增长至8.43亿</w:t>
      </w:r>
      <w:r>
        <w:rPr>
          <w:spacing w:val="19"/>
        </w:rPr>
        <w:t>元，</w:t>
      </w:r>
      <w:r>
        <w:t xml:space="preserve"> </w:t>
      </w:r>
      <w:r>
        <w:rPr>
          <w:rFonts w:ascii="SimSun" w:eastAsia="SimSun" w:hAnsi="SimSun" w:cs="SimSun"/>
        </w:rPr>
        <w:t>CAGR</w:t>
      </w:r>
      <w:r>
        <w:rPr>
          <w:rFonts w:ascii="SimSun" w:eastAsia="SimSun" w:hAnsi="SimSun" w:cs="SimSun"/>
          <w:spacing w:val="19"/>
        </w:rPr>
        <w:t xml:space="preserve">   </w:t>
      </w:r>
      <w:r>
        <w:rPr>
          <w:spacing w:val="19"/>
        </w:rPr>
        <w:t>为18</w:t>
      </w:r>
      <w:r>
        <w:rPr>
          <w:spacing w:val="-31"/>
        </w:rPr>
        <w:t xml:space="preserve"> </w:t>
      </w:r>
      <w:r>
        <w:rPr>
          <w:spacing w:val="19"/>
        </w:rPr>
        <w:t>.</w:t>
      </w:r>
      <w:r>
        <w:rPr>
          <w:spacing w:val="-37"/>
        </w:rPr>
        <w:t xml:space="preserve"> </w:t>
      </w:r>
      <w:r>
        <w:rPr>
          <w:spacing w:val="19"/>
        </w:rPr>
        <w:t>14%;归母净利润从0</w:t>
      </w:r>
      <w:r>
        <w:rPr>
          <w:spacing w:val="-41"/>
        </w:rPr>
        <w:t xml:space="preserve"> </w:t>
      </w:r>
      <w:r>
        <w:rPr>
          <w:spacing w:val="19"/>
        </w:rPr>
        <w:t>.</w:t>
      </w:r>
      <w:r>
        <w:rPr>
          <w:spacing w:val="-48"/>
        </w:rPr>
        <w:t xml:space="preserve"> </w:t>
      </w:r>
      <w:r>
        <w:rPr>
          <w:spacing w:val="19"/>
        </w:rPr>
        <w:t>23亿元增长至0</w:t>
      </w:r>
      <w:r>
        <w:rPr>
          <w:spacing w:val="-41"/>
        </w:rPr>
        <w:t xml:space="preserve"> </w:t>
      </w:r>
      <w:r>
        <w:rPr>
          <w:spacing w:val="19"/>
        </w:rPr>
        <w:t>.</w:t>
      </w:r>
      <w:r>
        <w:rPr>
          <w:spacing w:val="-48"/>
        </w:rPr>
        <w:t xml:space="preserve"> </w:t>
      </w:r>
      <w:r>
        <w:rPr>
          <w:spacing w:val="19"/>
        </w:rPr>
        <w:t>88亿元，</w:t>
      </w:r>
      <w:r>
        <w:rPr>
          <w:spacing w:val="19"/>
        </w:rPr>
        <w:t xml:space="preserve"> </w:t>
      </w:r>
      <w:r>
        <w:rPr>
          <w:rFonts w:ascii="SimSun" w:eastAsia="SimSun" w:hAnsi="SimSun" w:cs="SimSun"/>
        </w:rPr>
        <w:t>CAGR</w:t>
      </w:r>
      <w:r>
        <w:rPr>
          <w:rFonts w:ascii="SimSun" w:eastAsia="SimSun" w:hAnsi="SimSun" w:cs="SimSun"/>
          <w:spacing w:val="21"/>
        </w:rPr>
        <w:t xml:space="preserve">   </w:t>
      </w:r>
      <w:r>
        <w:rPr>
          <w:spacing w:val="19"/>
        </w:rPr>
        <w:t>为</w:t>
      </w:r>
      <w:r>
        <w:rPr>
          <w:spacing w:val="2"/>
        </w:rPr>
        <w:t xml:space="preserve"> </w:t>
      </w:r>
      <w:r>
        <w:rPr>
          <w:spacing w:val="11"/>
          <w:sz w:val="21"/>
          <w:szCs w:val="21"/>
        </w:rPr>
        <w:t>14.22%。23年9月公告限制性激励计划(草案),授予14人110万股，授</w:t>
      </w:r>
      <w:r>
        <w:rPr>
          <w:spacing w:val="8"/>
          <w:sz w:val="21"/>
          <w:szCs w:val="21"/>
        </w:rPr>
        <w:t xml:space="preserve"> </w:t>
      </w:r>
      <w:r>
        <w:rPr>
          <w:spacing w:val="3"/>
          <w:sz w:val="21"/>
          <w:szCs w:val="21"/>
        </w:rPr>
        <w:t>予价格为5元/股，23、24、25</w:t>
      </w:r>
      <w:r>
        <w:rPr>
          <w:spacing w:val="3"/>
          <w:sz w:val="21"/>
          <w:szCs w:val="21"/>
        </w:rPr>
        <w:t xml:space="preserve"> </w:t>
      </w:r>
      <w:r>
        <w:rPr>
          <w:spacing w:val="3"/>
          <w:sz w:val="21"/>
          <w:szCs w:val="21"/>
        </w:rPr>
        <w:t>年收入/利润的考核目标分别为同比增长</w:t>
      </w:r>
      <w:r>
        <w:rPr>
          <w:spacing w:val="1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26%/21%、15%/15%、15%/15%。</w:t>
      </w:r>
    </w:p>
    <w:p>
      <w:pPr>
        <w:pStyle w:val="BodyText"/>
        <w:spacing w:before="246" w:line="229" w:lineRule="auto"/>
        <w:ind w:left="349" w:right="196"/>
        <w:jc w:val="both"/>
        <w:rPr>
          <w:sz w:val="21"/>
          <w:szCs w:val="21"/>
        </w:rPr>
      </w:pPr>
      <w:r>
        <w:rPr>
          <w:rFonts w:ascii="SimSun" w:eastAsia="SimSun" w:hAnsi="SimSun" w:cs="SimSun"/>
          <w:spacing w:val="-12"/>
          <w:position w:val="1"/>
          <w:sz w:val="8"/>
          <w:szCs w:val="8"/>
        </w:rPr>
        <w:t>1</w:t>
      </w:r>
      <w:r>
        <w:rPr>
          <w:b/>
          <w:bCs/>
          <w:color w:val="003299"/>
          <w:spacing w:val="-12"/>
          <w:sz w:val="21"/>
          <w:szCs w:val="21"/>
        </w:rPr>
        <w:t>运动营养、健康营养稳健增长，聚焦核心产品。</w:t>
      </w:r>
      <w:r>
        <w:rPr>
          <w:spacing w:val="-12"/>
          <w:sz w:val="21"/>
          <w:szCs w:val="21"/>
        </w:rPr>
        <w:t>核心业务运动营养食品、健</w:t>
      </w:r>
      <w:r>
        <w:rPr>
          <w:spacing w:val="13"/>
          <w:sz w:val="21"/>
          <w:szCs w:val="21"/>
        </w:rPr>
        <w:t xml:space="preserve"> </w:t>
      </w:r>
      <w:r>
        <w:rPr>
          <w:spacing w:val="2"/>
          <w:sz w:val="21"/>
          <w:szCs w:val="21"/>
        </w:rPr>
        <w:t>康营养食品保持较快增长，2020-2022年</w:t>
      </w:r>
      <w:r>
        <w:rPr>
          <w:rFonts w:ascii="SimSun" w:eastAsia="SimSun" w:hAnsi="SimSun" w:cs="SimSun"/>
          <w:sz w:val="21"/>
          <w:szCs w:val="21"/>
        </w:rPr>
        <w:t>CAGR</w:t>
      </w:r>
      <w:r>
        <w:rPr>
          <w:rFonts w:ascii="SimSun" w:eastAsia="SimSun" w:hAnsi="SimSun" w:cs="SimSun"/>
          <w:spacing w:val="2"/>
          <w:sz w:val="21"/>
          <w:szCs w:val="21"/>
        </w:rPr>
        <w:t xml:space="preserve">  </w:t>
      </w:r>
      <w:r>
        <w:rPr>
          <w:spacing w:val="2"/>
          <w:sz w:val="21"/>
          <w:szCs w:val="21"/>
        </w:rPr>
        <w:t>分别为36%、45%,其中健</w:t>
      </w:r>
      <w:r>
        <w:rPr>
          <w:spacing w:val="16"/>
          <w:sz w:val="21"/>
          <w:szCs w:val="21"/>
        </w:rPr>
        <w:t xml:space="preserve"> </w:t>
      </w:r>
      <w:r>
        <w:rPr>
          <w:spacing w:val="20"/>
        </w:rPr>
        <w:t>康营养食品得益于军需业务快速放量，业务增长迅猛。具体产品层面，为了</w:t>
      </w:r>
      <w:r>
        <w:rPr>
          <w:spacing w:val="15"/>
        </w:rPr>
        <w:t xml:space="preserve"> </w:t>
      </w:r>
      <w:r>
        <w:rPr>
          <w:spacing w:val="-11"/>
          <w:sz w:val="21"/>
          <w:szCs w:val="21"/>
        </w:rPr>
        <w:t>强化资源利用效率，近几年公司聚焦乳清蛋白、能量胶等爆品，成效显</w:t>
      </w:r>
      <w:r>
        <w:rPr>
          <w:spacing w:val="-12"/>
          <w:sz w:val="21"/>
          <w:szCs w:val="21"/>
        </w:rPr>
        <w:t>著。</w:t>
      </w:r>
    </w:p>
    <w:p>
      <w:pPr>
        <w:pStyle w:val="BodyText"/>
        <w:spacing w:before="247"/>
        <w:ind w:left="348" w:right="171" w:hanging="219"/>
        <w:rPr>
          <w:sz w:val="21"/>
          <w:szCs w:val="21"/>
        </w:rPr>
      </w:pPr>
      <w:r>
        <w:rPr>
          <w:spacing w:val="-11"/>
          <w:sz w:val="21"/>
          <w:szCs w:val="21"/>
        </w:rPr>
        <w:t>●</w:t>
      </w:r>
      <w:r>
        <w:rPr>
          <w:spacing w:val="-11"/>
          <w:sz w:val="21"/>
          <w:szCs w:val="21"/>
        </w:rPr>
        <w:t xml:space="preserve"> </w:t>
      </w:r>
      <w:r>
        <w:rPr>
          <w:b/>
          <w:bCs/>
          <w:color w:val="003299"/>
          <w:spacing w:val="-11"/>
          <w:sz w:val="21"/>
          <w:szCs w:val="21"/>
        </w:rPr>
        <w:t>线上、线下齐头并进，营销精细化管理。2019-2022</w:t>
      </w:r>
      <w:r>
        <w:rPr>
          <w:rFonts w:ascii="SimSun" w:eastAsia="SimSun" w:hAnsi="SimSun" w:cs="SimSun"/>
          <w:b/>
          <w:bCs/>
          <w:spacing w:val="-11"/>
          <w:sz w:val="21"/>
          <w:szCs w:val="21"/>
        </w:rPr>
        <w:t>H1</w:t>
      </w:r>
      <w:r>
        <w:rPr>
          <w:rFonts w:ascii="SimSun" w:eastAsia="SimSun" w:hAnsi="SimSun" w:cs="SimSun"/>
          <w:spacing w:val="-24"/>
          <w:sz w:val="21"/>
          <w:szCs w:val="21"/>
        </w:rPr>
        <w:t xml:space="preserve"> </w:t>
      </w:r>
      <w:r>
        <w:rPr>
          <w:spacing w:val="-11"/>
          <w:sz w:val="21"/>
          <w:szCs w:val="21"/>
        </w:rPr>
        <w:t>公司</w:t>
      </w:r>
      <w:r>
        <w:rPr>
          <w:spacing w:val="-12"/>
          <w:sz w:val="21"/>
          <w:szCs w:val="21"/>
        </w:rPr>
        <w:t>线上、线下均保</w:t>
      </w:r>
      <w:r>
        <w:rPr>
          <w:spacing w:val="-12"/>
          <w:sz w:val="21"/>
          <w:szCs w:val="21"/>
        </w:rPr>
        <w:t xml:space="preserve"> </w:t>
      </w:r>
      <w:r>
        <w:rPr>
          <w:spacing w:val="21"/>
        </w:rPr>
        <w:t>持稳健增长，先后布局了微信小程序等社交电商平台，以及抖音、快</w:t>
      </w:r>
      <w:r>
        <w:rPr>
          <w:spacing w:val="20"/>
        </w:rPr>
        <w:t>手等直</w:t>
      </w:r>
      <w:r>
        <w:t xml:space="preserve"> </w:t>
      </w:r>
      <w:r>
        <w:rPr>
          <w:spacing w:val="21"/>
        </w:rPr>
        <w:t>播带货的新兴线下平台，线上直营表现亮眼。线下经销商数量增长较快，同</w:t>
      </w:r>
      <w:r>
        <w:rPr>
          <w:spacing w:val="14"/>
        </w:rPr>
        <w:t xml:space="preserve"> </w:t>
      </w:r>
      <w:r>
        <w:rPr>
          <w:spacing w:val="-10"/>
          <w:sz w:val="21"/>
          <w:szCs w:val="21"/>
        </w:rPr>
        <w:t>时对经销商进行结构优化，中坚阶层经销商的经销能力不断提升。营销费用</w:t>
      </w:r>
      <w:r>
        <w:rPr>
          <w:spacing w:val="11"/>
          <w:sz w:val="21"/>
          <w:szCs w:val="21"/>
        </w:rPr>
        <w:t xml:space="preserve"> </w:t>
      </w:r>
      <w:r>
        <w:rPr>
          <w:spacing w:val="-9"/>
          <w:sz w:val="21"/>
          <w:szCs w:val="21"/>
        </w:rPr>
        <w:t>投放上，建立数据模型，分析投入产出效果，通过数据找准营销平台</w:t>
      </w:r>
      <w:r>
        <w:rPr>
          <w:spacing w:val="-10"/>
          <w:sz w:val="21"/>
          <w:szCs w:val="21"/>
        </w:rPr>
        <w:t>，优化</w:t>
      </w:r>
      <w:r>
        <w:rPr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投入产出效果。</w:t>
      </w:r>
    </w:p>
    <w:p>
      <w:pPr>
        <w:pStyle w:val="BodyText"/>
        <w:spacing w:before="293" w:line="251" w:lineRule="auto"/>
        <w:ind w:left="348" w:right="182" w:hanging="219"/>
      </w:pPr>
      <w:r>
        <w:rPr>
          <w:color w:val="00007F"/>
          <w:spacing w:val="14"/>
        </w:rPr>
        <w:t>●</w:t>
      </w:r>
      <w:r>
        <w:rPr>
          <w:color w:val="00007F"/>
          <w:spacing w:val="14"/>
        </w:rPr>
        <w:t xml:space="preserve"> </w:t>
      </w:r>
      <w:r>
        <w:rPr>
          <w:b/>
          <w:bCs/>
          <w:color w:val="003299"/>
          <w:spacing w:val="14"/>
        </w:rPr>
        <w:t>盈利预测与估值。</w:t>
      </w:r>
      <w:r>
        <w:rPr>
          <w:spacing w:val="14"/>
        </w:rPr>
        <w:t>我们预计公司23-25年</w:t>
      </w:r>
      <w:r>
        <w:rPr>
          <w:spacing w:val="-50"/>
        </w:rPr>
        <w:t xml:space="preserve"> </w:t>
      </w:r>
      <w:r>
        <w:rPr>
          <w:rFonts w:ascii="SimSun" w:eastAsia="SimSun" w:hAnsi="SimSun" w:cs="SimSun"/>
        </w:rPr>
        <w:t>EPS</w:t>
      </w:r>
      <w:r>
        <w:rPr>
          <w:rFonts w:ascii="SimSun" w:eastAsia="SimSun" w:hAnsi="SimSun" w:cs="SimSun"/>
          <w:spacing w:val="2"/>
        </w:rPr>
        <w:t xml:space="preserve">  </w:t>
      </w:r>
      <w:r>
        <w:rPr>
          <w:spacing w:val="14"/>
        </w:rPr>
        <w:t>分别为0.71/0.86/1.04元</w:t>
      </w:r>
      <w:r>
        <w:rPr>
          <w:spacing w:val="13"/>
        </w:rPr>
        <w:t>，相</w:t>
      </w:r>
      <w:r>
        <w:rPr>
          <w:spacing w:val="1"/>
        </w:rPr>
        <w:t xml:space="preserve"> </w:t>
      </w:r>
      <w:r>
        <w:rPr>
          <w:spacing w:val="26"/>
        </w:rPr>
        <w:t>关可比公司24年</w:t>
      </w:r>
      <w:r>
        <w:rPr>
          <w:spacing w:val="-20"/>
        </w:rPr>
        <w:t xml:space="preserve"> </w:t>
      </w:r>
      <w:r>
        <w:rPr>
          <w:rFonts w:ascii="Times New Roman" w:eastAsia="Times New Roman" w:hAnsi="Times New Roman" w:cs="Times New Roman"/>
        </w:rPr>
        <w:t>PE</w:t>
      </w:r>
      <w:r>
        <w:rPr>
          <w:rFonts w:ascii="Times New Roman" w:eastAsia="Times New Roman" w:hAnsi="Times New Roman" w:cs="Times New Roman"/>
          <w:spacing w:val="2"/>
        </w:rPr>
        <w:t xml:space="preserve">  </w:t>
      </w:r>
      <w:r>
        <w:rPr>
          <w:spacing w:val="26"/>
        </w:rPr>
        <w:t>在13</w:t>
      </w:r>
      <w:r>
        <w:rPr>
          <w:spacing w:val="-51"/>
        </w:rPr>
        <w:t xml:space="preserve"> </w:t>
      </w:r>
      <w:r>
        <w:rPr>
          <w:spacing w:val="26"/>
        </w:rPr>
        <w:t>-</w:t>
      </w:r>
      <w:r>
        <w:rPr>
          <w:spacing w:val="-49"/>
        </w:rPr>
        <w:t xml:space="preserve"> </w:t>
      </w:r>
      <w:r>
        <w:rPr>
          <w:spacing w:val="26"/>
        </w:rPr>
        <w:t>28倍，给予公司24年16</w:t>
      </w:r>
      <w:r>
        <w:rPr>
          <w:spacing w:val="-50"/>
        </w:rPr>
        <w:t xml:space="preserve"> </w:t>
      </w:r>
      <w:r>
        <w:rPr>
          <w:spacing w:val="26"/>
        </w:rPr>
        <w:t>-</w:t>
      </w:r>
      <w:r>
        <w:rPr>
          <w:spacing w:val="-49"/>
        </w:rPr>
        <w:t xml:space="preserve"> </w:t>
      </w:r>
      <w:r>
        <w:rPr>
          <w:spacing w:val="26"/>
        </w:rPr>
        <w:t>2</w:t>
      </w:r>
      <w:r>
        <w:rPr>
          <w:spacing w:val="25"/>
        </w:rPr>
        <w:t>0倍</w:t>
      </w:r>
      <w:r>
        <w:rPr>
          <w:spacing w:val="-23"/>
        </w:rPr>
        <w:t xml:space="preserve"> </w:t>
      </w:r>
      <w:r>
        <w:rPr>
          <w:rFonts w:ascii="Times New Roman" w:eastAsia="Times New Roman" w:hAnsi="Times New Roman" w:cs="Times New Roman"/>
        </w:rPr>
        <w:t>PE</w:t>
      </w:r>
      <w:r>
        <w:rPr>
          <w:rFonts w:ascii="Times New Roman" w:eastAsia="Times New Roman" w:hAnsi="Times New Roman" w:cs="Times New Roman"/>
          <w:spacing w:val="25"/>
        </w:rPr>
        <w:t xml:space="preserve">,   </w:t>
      </w:r>
      <w:r>
        <w:rPr>
          <w:spacing w:val="25"/>
        </w:rPr>
        <w:t>对应合理</w:t>
      </w:r>
      <w:r>
        <w:t xml:space="preserve"> </w:t>
      </w:r>
      <w:r>
        <w:rPr>
          <w:spacing w:val="17"/>
        </w:rPr>
        <w:t>价值区间13.76-17.2元，首次覆盖给予“优于大市”评级。</w:t>
      </w:r>
    </w:p>
    <w:p>
      <w:pPr>
        <w:pStyle w:val="BodyText"/>
        <w:spacing w:before="285" w:line="220" w:lineRule="auto"/>
        <w:ind w:left="129"/>
      </w:pPr>
      <w:r>
        <w:rPr>
          <w:color w:val="00007F"/>
          <w:spacing w:val="9"/>
        </w:rPr>
        <w:t>●</w:t>
      </w:r>
      <w:r>
        <w:rPr>
          <w:color w:val="00007F"/>
          <w:spacing w:val="9"/>
        </w:rPr>
        <w:t xml:space="preserve"> </w:t>
      </w:r>
      <w:r>
        <w:rPr>
          <w:b/>
          <w:bCs/>
          <w:color w:val="003299"/>
          <w:spacing w:val="9"/>
        </w:rPr>
        <w:t>风险提示。</w:t>
      </w:r>
      <w:r>
        <w:rPr>
          <w:color w:val="003299"/>
          <w:spacing w:val="9"/>
        </w:rPr>
        <w:t xml:space="preserve"> </w:t>
      </w:r>
      <w:r>
        <w:rPr>
          <w:spacing w:val="9"/>
        </w:rPr>
        <w:t>市场拓展不达预期，行业竞争加剧等。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59" w:line="184" w:lineRule="auto"/>
        <w:ind w:left="62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b/>
          <w:bCs/>
          <w:spacing w:val="-3"/>
          <w:sz w:val="18"/>
          <w:szCs w:val="18"/>
        </w:rPr>
        <w:t>主要财务数据及预测</w:t>
      </w:r>
    </w:p>
    <w:p>
      <w:pPr>
        <w:spacing w:line="184" w:lineRule="auto"/>
        <w:rPr>
          <w:rFonts w:ascii="SimSun" w:eastAsia="SimSun" w:hAnsi="SimSun" w:cs="SimSun"/>
          <w:sz w:val="18"/>
          <w:szCs w:val="18"/>
        </w:rPr>
        <w:sectPr>
          <w:footerReference w:type="default" r:id="rId8"/>
          <w:type w:val="nextPage"/>
          <w:pgSz w:w="11910" w:h="16840"/>
          <w:pgMar w:top="700" w:right="560" w:bottom="730" w:left="390" w:header="0" w:footer="472" w:gutter="0"/>
          <w:pgNumType w:start="2"/>
          <w:cols w:num="2" w:space="708" w:equalWidth="0">
            <w:col w:w="3716" w:space="74"/>
            <w:col w:w="7170" w:space="0"/>
          </w:cols>
          <w:titlePg w:val="0"/>
        </w:sectPr>
      </w:pPr>
    </w:p>
    <w:p>
      <w:pPr>
        <w:spacing w:line="70" w:lineRule="exact"/>
      </w:pPr>
    </w:p>
    <w:tbl>
      <w:tblPr>
        <w:tblStyle w:val="TableNormal0"/>
        <w:tblW w:w="7130" w:type="dxa"/>
        <w:tblInd w:w="38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695"/>
        <w:gridCol w:w="1212"/>
        <w:gridCol w:w="883"/>
        <w:gridCol w:w="1120"/>
        <w:gridCol w:w="1237"/>
        <w:gridCol w:w="983"/>
      </w:tblGrid>
      <w:tr>
        <w:tblPrEx>
          <w:tblW w:w="7130" w:type="dxa"/>
          <w:tblInd w:w="382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83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134" w:line="138" w:lineRule="exact"/>
              <w:ind w:left="497"/>
            </w:pPr>
            <w:r>
              <w:rPr>
                <w:b/>
                <w:bCs/>
                <w:spacing w:val="-4"/>
                <w:position w:val="-2"/>
              </w:rPr>
              <w:t>2021</w:t>
            </w:r>
          </w:p>
        </w:tc>
        <w:tc>
          <w:tcPr>
            <w:tcW w:w="8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34" w:line="138" w:lineRule="exact"/>
              <w:ind w:left="455"/>
            </w:pPr>
            <w:r>
              <w:rPr>
                <w:b/>
                <w:bCs/>
                <w:spacing w:val="-4"/>
                <w:position w:val="-2"/>
              </w:rPr>
              <w:t>2022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34" w:line="138" w:lineRule="exact"/>
              <w:ind w:left="577"/>
            </w:pPr>
            <w:r>
              <w:rPr>
                <w:b/>
                <w:bCs/>
                <w:spacing w:val="-4"/>
                <w:position w:val="-2"/>
              </w:rPr>
              <w:t>2023E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144" w:line="128" w:lineRule="exact"/>
              <w:ind w:left="497"/>
            </w:pPr>
            <w:r>
              <w:rPr>
                <w:b/>
                <w:bCs/>
                <w:spacing w:val="-4"/>
                <w:position w:val="-2"/>
              </w:rPr>
              <w:t>2024E</w:t>
            </w:r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144" w:line="128" w:lineRule="exact"/>
              <w:ind w:left="425"/>
            </w:pPr>
            <w:r>
              <w:rPr>
                <w:b/>
                <w:bCs/>
                <w:spacing w:val="-4"/>
                <w:position w:val="-2"/>
              </w:rPr>
              <w:t>2025E</w:t>
            </w:r>
          </w:p>
        </w:tc>
      </w:tr>
      <w:tr>
        <w:tblPrEx>
          <w:tblW w:w="7130" w:type="dxa"/>
          <w:tblInd w:w="3829" w:type="dxa"/>
          <w:tblLayout w:type="fixed"/>
        </w:tblPrEx>
        <w:trPr>
          <w:trHeight w:val="266"/>
        </w:trPr>
        <w:tc>
          <w:tcPr>
            <w:tcW w:w="1695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19" w:line="219" w:lineRule="auto"/>
              <w:ind w:left="120"/>
            </w:pPr>
            <w:r>
              <w:rPr>
                <w:spacing w:val="-2"/>
              </w:rPr>
              <w:t>营业收入(百万</w:t>
            </w:r>
          </w:p>
        </w:tc>
        <w:tc>
          <w:tcPr>
            <w:tcW w:w="1212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72" w:line="183" w:lineRule="auto"/>
              <w:ind w:left="565"/>
            </w:pPr>
            <w:r>
              <w:rPr>
                <w:spacing w:val="-2"/>
              </w:rPr>
              <w:t>490</w:t>
            </w:r>
          </w:p>
        </w:tc>
        <w:tc>
          <w:tcPr>
            <w:tcW w:w="883" w:type="dxa"/>
            <w:tcBorders>
              <w:top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12" w:line="144" w:lineRule="exact"/>
              <w:ind w:left="533"/>
            </w:pPr>
            <w:r>
              <w:rPr>
                <w:spacing w:val="-2"/>
                <w:position w:val="-2"/>
              </w:rPr>
              <w:t>635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12" w:line="144" w:lineRule="exact"/>
              <w:ind w:left="745"/>
            </w:pPr>
            <w:r>
              <w:rPr>
                <w:spacing w:val="-2"/>
                <w:position w:val="-2"/>
              </w:rPr>
              <w:t>843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</w:tcBorders>
            <w:vAlign w:val="top"/>
          </w:tcPr>
          <w:p>
            <w:pPr>
              <w:pStyle w:val="TableText"/>
              <w:spacing w:before="102" w:line="167" w:lineRule="auto"/>
              <w:ind w:left="625"/>
            </w:pPr>
            <w:r>
              <w:rPr>
                <w:spacing w:val="-4"/>
              </w:rPr>
              <w:t>1042</w:t>
            </w:r>
          </w:p>
        </w:tc>
        <w:tc>
          <w:tcPr>
            <w:tcW w:w="983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102" w:line="167" w:lineRule="auto"/>
              <w:ind w:left="513"/>
            </w:pPr>
            <w:r>
              <w:rPr>
                <w:spacing w:val="-4"/>
              </w:rPr>
              <w:t>1264</w:t>
            </w:r>
          </w:p>
        </w:tc>
      </w:tr>
      <w:tr>
        <w:tblPrEx>
          <w:tblW w:w="7130" w:type="dxa"/>
          <w:tblInd w:w="3829" w:type="dxa"/>
          <w:tblLayout w:type="fixed"/>
        </w:tblPrEx>
        <w:trPr>
          <w:trHeight w:val="227"/>
        </w:trPr>
        <w:tc>
          <w:tcPr>
            <w:tcW w:w="1695" w:type="dxa"/>
            <w:vAlign w:val="top"/>
          </w:tcPr>
          <w:p>
            <w:pPr>
              <w:pStyle w:val="TableText"/>
              <w:spacing w:before="35" w:line="197" w:lineRule="auto"/>
              <w:ind w:left="130"/>
            </w:pPr>
            <w:r>
              <w:rPr>
                <w:spacing w:val="-4"/>
              </w:rPr>
              <w:t>(+1-)YoY(%)</w:t>
            </w:r>
          </w:p>
        </w:tc>
        <w:tc>
          <w:tcPr>
            <w:tcW w:w="1212" w:type="dxa"/>
            <w:vAlign w:val="top"/>
          </w:tcPr>
          <w:p>
            <w:pPr>
              <w:pStyle w:val="TableText"/>
              <w:spacing w:before="96" w:line="121" w:lineRule="exact"/>
              <w:ind w:left="385"/>
            </w:pPr>
            <w:r>
              <w:rPr>
                <w:spacing w:val="-3"/>
                <w:position w:val="-2"/>
              </w:rPr>
              <w:t>37.2%</w:t>
            </w:r>
          </w:p>
        </w:tc>
        <w:tc>
          <w:tcPr>
            <w:tcW w:w="883" w:type="dxa"/>
            <w:tcBorders>
              <w:right w:val="single" w:sz="4" w:space="0" w:color="000000"/>
            </w:tcBorders>
            <w:vAlign w:val="top"/>
          </w:tcPr>
          <w:p>
            <w:pPr>
              <w:pStyle w:val="TableText"/>
              <w:spacing w:before="96" w:line="121" w:lineRule="exact"/>
              <w:ind w:left="363"/>
            </w:pPr>
            <w:r>
              <w:rPr>
                <w:spacing w:val="-2"/>
                <w:position w:val="-2"/>
              </w:rPr>
              <w:t>29.7%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96" w:line="121" w:lineRule="exact"/>
              <w:ind w:left="575"/>
            </w:pPr>
            <w:r>
              <w:rPr>
                <w:spacing w:val="-3"/>
                <w:position w:val="-2"/>
              </w:rPr>
              <w:t>32.8%</w:t>
            </w:r>
          </w:p>
        </w:tc>
        <w:tc>
          <w:tcPr>
            <w:tcW w:w="1237" w:type="dxa"/>
            <w:tcBorders>
              <w:left w:val="single" w:sz="4" w:space="0" w:color="000000"/>
            </w:tcBorders>
            <w:vAlign w:val="top"/>
          </w:tcPr>
          <w:p>
            <w:pPr>
              <w:pStyle w:val="TableText"/>
              <w:spacing w:before="96" w:line="121" w:lineRule="exact"/>
              <w:ind w:left="484"/>
            </w:pPr>
            <w:r>
              <w:rPr>
                <w:spacing w:val="-2"/>
                <w:position w:val="-2"/>
              </w:rPr>
              <w:t>23.5%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spacing w:before="86" w:line="131" w:lineRule="exact"/>
              <w:ind w:left="293"/>
            </w:pPr>
            <w:r>
              <w:rPr>
                <w:spacing w:val="-2"/>
                <w:position w:val="-2"/>
              </w:rPr>
              <w:t>21.3%</w:t>
            </w:r>
          </w:p>
        </w:tc>
      </w:tr>
      <w:tr>
        <w:tblPrEx>
          <w:tblW w:w="7130" w:type="dxa"/>
          <w:tblInd w:w="3829" w:type="dxa"/>
          <w:tblLayout w:type="fixed"/>
        </w:tblPrEx>
        <w:trPr>
          <w:trHeight w:val="251"/>
        </w:trPr>
        <w:tc>
          <w:tcPr>
            <w:tcW w:w="1695" w:type="dxa"/>
            <w:vAlign w:val="top"/>
          </w:tcPr>
          <w:p>
            <w:pPr>
              <w:pStyle w:val="TableText"/>
              <w:spacing w:before="16" w:line="220" w:lineRule="auto"/>
              <w:ind w:left="110"/>
            </w:pPr>
            <w:r>
              <w:rPr>
                <w:spacing w:val="4"/>
              </w:rPr>
              <w:t>净利润(百万元)</w:t>
            </w:r>
          </w:p>
        </w:tc>
        <w:tc>
          <w:tcPr>
            <w:tcW w:w="1212" w:type="dxa"/>
            <w:vAlign w:val="top"/>
          </w:tcPr>
          <w:p>
            <w:pPr>
              <w:pStyle w:val="TableText"/>
              <w:spacing w:before="109" w:line="132" w:lineRule="exact"/>
              <w:ind w:left="685"/>
            </w:pPr>
            <w:r>
              <w:rPr>
                <w:spacing w:val="-2"/>
                <w:position w:val="-2"/>
              </w:rPr>
              <w:t>45</w:t>
            </w:r>
          </w:p>
        </w:tc>
        <w:tc>
          <w:tcPr>
            <w:tcW w:w="883" w:type="dxa"/>
            <w:tcBorders>
              <w:right w:val="single" w:sz="4" w:space="0" w:color="000000"/>
            </w:tcBorders>
            <w:vAlign w:val="top"/>
          </w:tcPr>
          <w:p>
            <w:pPr>
              <w:pStyle w:val="TableText"/>
              <w:spacing w:before="109" w:line="132" w:lineRule="exact"/>
              <w:ind w:left="623"/>
            </w:pPr>
            <w:r>
              <w:rPr>
                <w:spacing w:val="-3"/>
                <w:position w:val="-2"/>
              </w:rPr>
              <w:t>58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09" w:line="132" w:lineRule="exact"/>
              <w:ind w:left="835"/>
            </w:pPr>
            <w:r>
              <w:rPr>
                <w:spacing w:val="-2"/>
                <w:position w:val="-2"/>
              </w:rPr>
              <w:t>88</w:t>
            </w:r>
          </w:p>
        </w:tc>
        <w:tc>
          <w:tcPr>
            <w:tcW w:w="1237" w:type="dxa"/>
            <w:tcBorders>
              <w:left w:val="single" w:sz="4" w:space="0" w:color="000000"/>
            </w:tcBorders>
            <w:vAlign w:val="top"/>
          </w:tcPr>
          <w:p>
            <w:pPr>
              <w:pStyle w:val="TableText"/>
              <w:spacing w:before="109" w:line="132" w:lineRule="exact"/>
              <w:ind w:left="705"/>
            </w:pPr>
            <w:r>
              <w:rPr>
                <w:spacing w:val="-5"/>
                <w:position w:val="-2"/>
              </w:rPr>
              <w:t>107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spacing w:before="99" w:line="142" w:lineRule="exact"/>
              <w:ind w:left="593"/>
            </w:pPr>
            <w:r>
              <w:rPr>
                <w:spacing w:val="-5"/>
                <w:position w:val="-2"/>
              </w:rPr>
              <w:t>130</w:t>
            </w:r>
          </w:p>
        </w:tc>
      </w:tr>
      <w:tr>
        <w:tblPrEx>
          <w:tblW w:w="7130" w:type="dxa"/>
          <w:tblInd w:w="3829" w:type="dxa"/>
          <w:tblLayout w:type="fixed"/>
        </w:tblPrEx>
        <w:trPr>
          <w:trHeight w:val="221"/>
        </w:trPr>
        <w:tc>
          <w:tcPr>
            <w:tcW w:w="1695" w:type="dxa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7" w:line="199" w:lineRule="auto"/>
              <w:ind w:left="110"/>
            </w:pPr>
            <w:r>
              <w:rPr>
                <w:spacing w:val="-4"/>
              </w:rPr>
              <w:t>(+/-)YoY(%)</w:t>
            </w:r>
          </w:p>
        </w:tc>
        <w:tc>
          <w:tcPr>
            <w:tcW w:w="1212" w:type="dxa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88" w:line="123" w:lineRule="exact"/>
              <w:ind w:left="315"/>
            </w:pPr>
            <w:r>
              <w:rPr>
                <w:spacing w:val="-4"/>
                <w:position w:val="-2"/>
              </w:rPr>
              <w:t>172.4%</w:t>
            </w:r>
          </w:p>
        </w:tc>
        <w:tc>
          <w:tcPr>
            <w:tcW w:w="883" w:type="dxa"/>
            <w:tcBorders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88" w:line="123" w:lineRule="exact"/>
              <w:ind w:left="363"/>
            </w:pPr>
            <w:r>
              <w:rPr>
                <w:spacing w:val="-2"/>
                <w:position w:val="-2"/>
              </w:rPr>
              <w:t>26.9%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78" w:line="133" w:lineRule="exact"/>
              <w:ind w:left="575"/>
            </w:pPr>
            <w:r>
              <w:rPr>
                <w:spacing w:val="-3"/>
                <w:position w:val="-2"/>
              </w:rPr>
              <w:t>53.4%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88" w:line="123" w:lineRule="exact"/>
              <w:ind w:left="505"/>
            </w:pPr>
            <w:r>
              <w:rPr>
                <w:spacing w:val="-2"/>
                <w:position w:val="-2"/>
              </w:rPr>
              <w:t>20.9%</w:t>
            </w:r>
          </w:p>
        </w:tc>
        <w:tc>
          <w:tcPr>
            <w:tcW w:w="983" w:type="dxa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68" w:line="143" w:lineRule="exact"/>
              <w:ind w:left="273"/>
            </w:pPr>
            <w:r>
              <w:rPr>
                <w:spacing w:val="-2"/>
                <w:position w:val="-2"/>
              </w:rPr>
              <w:t>21.5%</w:t>
            </w:r>
          </w:p>
        </w:tc>
      </w:tr>
      <w:tr>
        <w:tblPrEx>
          <w:tblW w:w="7130" w:type="dxa"/>
          <w:tblInd w:w="3829" w:type="dxa"/>
          <w:tblLayout w:type="fixed"/>
        </w:tblPrEx>
        <w:trPr>
          <w:trHeight w:val="259"/>
        </w:trPr>
        <w:tc>
          <w:tcPr>
            <w:tcW w:w="1695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44" w:line="219" w:lineRule="auto"/>
              <w:ind w:left="110"/>
            </w:pPr>
            <w:r>
              <w:rPr>
                <w:spacing w:val="4"/>
              </w:rPr>
              <w:t>全面摊薄</w:t>
            </w:r>
            <w:r>
              <w:t>EPS</w:t>
            </w:r>
            <w:r>
              <w:rPr>
                <w:spacing w:val="4"/>
              </w:rPr>
              <w:t>(元)</w:t>
            </w:r>
          </w:p>
        </w:tc>
        <w:tc>
          <w:tcPr>
            <w:tcW w:w="1212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107" w:line="141" w:lineRule="exact"/>
              <w:ind w:left="525"/>
            </w:pPr>
            <w:r>
              <w:rPr>
                <w:spacing w:val="-2"/>
                <w:position w:val="-2"/>
              </w:rPr>
              <w:t>0.36</w:t>
            </w:r>
          </w:p>
        </w:tc>
        <w:tc>
          <w:tcPr>
            <w:tcW w:w="883" w:type="dxa"/>
            <w:tcBorders>
              <w:top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07" w:line="141" w:lineRule="exact"/>
              <w:ind w:left="453"/>
            </w:pPr>
            <w:r>
              <w:rPr>
                <w:spacing w:val="-2"/>
                <w:position w:val="-2"/>
              </w:rPr>
              <w:t>0.46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17" w:line="131" w:lineRule="exact"/>
              <w:ind w:left="665"/>
            </w:pPr>
            <w:r>
              <w:rPr>
                <w:spacing w:val="-2"/>
                <w:position w:val="-2"/>
              </w:rPr>
              <w:t>0.71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</w:tcBorders>
            <w:vAlign w:val="top"/>
          </w:tcPr>
          <w:p>
            <w:pPr>
              <w:pStyle w:val="TableText"/>
              <w:spacing w:before="107" w:line="141" w:lineRule="exact"/>
              <w:ind w:left="635"/>
            </w:pPr>
            <w:r>
              <w:rPr>
                <w:spacing w:val="-2"/>
                <w:position w:val="-2"/>
              </w:rPr>
              <w:t>0.86</w:t>
            </w:r>
          </w:p>
        </w:tc>
        <w:tc>
          <w:tcPr>
            <w:tcW w:w="983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107" w:line="141" w:lineRule="exact"/>
              <w:ind w:left="513"/>
            </w:pPr>
            <w:r>
              <w:rPr>
                <w:spacing w:val="-4"/>
                <w:position w:val="-2"/>
              </w:rPr>
              <w:t>1.04</w:t>
            </w:r>
          </w:p>
        </w:tc>
      </w:tr>
      <w:tr>
        <w:tblPrEx>
          <w:tblW w:w="7130" w:type="dxa"/>
          <w:tblInd w:w="3829" w:type="dxa"/>
          <w:tblLayout w:type="fixed"/>
        </w:tblPrEx>
        <w:trPr>
          <w:trHeight w:val="228"/>
        </w:trPr>
        <w:tc>
          <w:tcPr>
            <w:tcW w:w="1695" w:type="dxa"/>
            <w:vAlign w:val="top"/>
          </w:tcPr>
          <w:p>
            <w:pPr>
              <w:pStyle w:val="TableText"/>
              <w:spacing w:before="34" w:line="199" w:lineRule="auto"/>
              <w:ind w:left="130"/>
            </w:pPr>
            <w:r>
              <w:rPr>
                <w:spacing w:val="5"/>
              </w:rPr>
              <w:t>毛利率(%)</w:t>
            </w:r>
          </w:p>
        </w:tc>
        <w:tc>
          <w:tcPr>
            <w:tcW w:w="1212" w:type="dxa"/>
            <w:vAlign w:val="top"/>
          </w:tcPr>
          <w:p>
            <w:pPr>
              <w:pStyle w:val="TableText"/>
              <w:spacing w:before="88" w:line="130" w:lineRule="exact"/>
              <w:ind w:left="395"/>
            </w:pPr>
            <w:r>
              <w:rPr>
                <w:spacing w:val="-2"/>
                <w:position w:val="-2"/>
              </w:rPr>
              <w:t>42.9%</w:t>
            </w:r>
          </w:p>
        </w:tc>
        <w:tc>
          <w:tcPr>
            <w:tcW w:w="883" w:type="dxa"/>
            <w:tcBorders>
              <w:right w:val="single" w:sz="4" w:space="0" w:color="000000"/>
            </w:tcBorders>
            <w:vAlign w:val="top"/>
          </w:tcPr>
          <w:p>
            <w:pPr>
              <w:pStyle w:val="TableText"/>
              <w:spacing w:before="88" w:line="130" w:lineRule="exact"/>
              <w:ind w:left="363"/>
            </w:pPr>
            <w:r>
              <w:rPr>
                <w:spacing w:val="-2"/>
                <w:position w:val="-2"/>
              </w:rPr>
              <w:t>43.1%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98" w:line="120" w:lineRule="exact"/>
              <w:ind w:left="575"/>
            </w:pPr>
            <w:r>
              <w:rPr>
                <w:spacing w:val="-2"/>
                <w:position w:val="-2"/>
              </w:rPr>
              <w:t>40.6%</w:t>
            </w:r>
          </w:p>
        </w:tc>
        <w:tc>
          <w:tcPr>
            <w:tcW w:w="1237" w:type="dxa"/>
            <w:tcBorders>
              <w:left w:val="single" w:sz="4" w:space="0" w:color="000000"/>
            </w:tcBorders>
            <w:vAlign w:val="top"/>
          </w:tcPr>
          <w:p>
            <w:pPr>
              <w:pStyle w:val="TableText"/>
              <w:spacing w:before="88" w:line="130" w:lineRule="exact"/>
              <w:ind w:left="515"/>
            </w:pPr>
            <w:r>
              <w:rPr>
                <w:spacing w:val="-2"/>
                <w:position w:val="-2"/>
              </w:rPr>
              <w:t>41.4%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spacing w:before="88" w:line="130" w:lineRule="exact"/>
              <w:ind w:left="303"/>
            </w:pPr>
            <w:r>
              <w:rPr>
                <w:spacing w:val="-2"/>
                <w:position w:val="-2"/>
              </w:rPr>
              <w:t>42.1%</w:t>
            </w:r>
          </w:p>
        </w:tc>
      </w:tr>
      <w:tr>
        <w:tblPrEx>
          <w:tblW w:w="7130" w:type="dxa"/>
          <w:tblInd w:w="3829" w:type="dxa"/>
          <w:tblLayout w:type="fixed"/>
        </w:tblPrEx>
        <w:trPr>
          <w:trHeight w:val="224"/>
        </w:trPr>
        <w:tc>
          <w:tcPr>
            <w:tcW w:w="1695" w:type="dxa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7" w:line="203" w:lineRule="auto"/>
              <w:ind w:left="100"/>
            </w:pPr>
            <w:r>
              <w:rPr>
                <w:spacing w:val="3"/>
              </w:rPr>
              <w:t>净资产收益率(%)</w:t>
            </w:r>
          </w:p>
        </w:tc>
        <w:tc>
          <w:tcPr>
            <w:tcW w:w="1212" w:type="dxa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80" w:line="133" w:lineRule="exact"/>
              <w:ind w:left="475"/>
            </w:pPr>
            <w:r>
              <w:rPr>
                <w:spacing w:val="-2"/>
                <w:position w:val="-2"/>
              </w:rPr>
              <w:t>8.2%</w:t>
            </w:r>
          </w:p>
        </w:tc>
        <w:tc>
          <w:tcPr>
            <w:tcW w:w="883" w:type="dxa"/>
            <w:tcBorders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80" w:line="133" w:lineRule="exact"/>
              <w:ind w:left="453"/>
            </w:pPr>
            <w:r>
              <w:rPr>
                <w:spacing w:val="-3"/>
                <w:position w:val="-2"/>
              </w:rPr>
              <w:t>7.8%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80" w:line="133" w:lineRule="exact"/>
              <w:ind w:left="575"/>
            </w:pPr>
            <w:r>
              <w:rPr>
                <w:spacing w:val="-4"/>
                <w:position w:val="-2"/>
              </w:rPr>
              <w:t>11.1%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80" w:line="133" w:lineRule="exact"/>
              <w:ind w:left="525"/>
            </w:pPr>
            <w:r>
              <w:rPr>
                <w:spacing w:val="-4"/>
                <w:position w:val="-2"/>
              </w:rPr>
              <w:t>11.8%</w:t>
            </w:r>
          </w:p>
        </w:tc>
        <w:tc>
          <w:tcPr>
            <w:tcW w:w="983" w:type="dxa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before="90" w:line="123" w:lineRule="exact"/>
              <w:ind w:left="313"/>
            </w:pPr>
            <w:r>
              <w:rPr>
                <w:spacing w:val="-4"/>
                <w:position w:val="-2"/>
              </w:rPr>
              <w:t>12.5%</w:t>
            </w:r>
          </w:p>
        </w:tc>
      </w:tr>
    </w:tbl>
    <w:p>
      <w:pPr>
        <w:spacing w:before="20" w:line="185" w:lineRule="auto"/>
        <w:ind w:left="3929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sz w:val="18"/>
          <w:szCs w:val="18"/>
        </w:rPr>
        <w:t>资料来源：公司年报(2021-2022),海通证券研究所</w:t>
      </w:r>
    </w:p>
    <w:p>
      <w:pPr>
        <w:pStyle w:val="BodyText"/>
        <w:spacing w:line="192" w:lineRule="auto"/>
        <w:ind w:left="3919"/>
      </w:pPr>
      <w:r>
        <w:rPr>
          <w:spacing w:val="-23"/>
          <w:w w:val="97"/>
        </w:rPr>
        <w:t>备注：净利润为归属母公司所有者的净利润</w:t>
      </w:r>
    </w:p>
    <w:p>
      <w:pPr>
        <w:spacing w:line="192" w:lineRule="auto"/>
        <w:sectPr>
          <w:footerReference w:type="default" r:id="rId9"/>
          <w:type w:val="continuous"/>
          <w:pgSz w:w="11910" w:h="16840"/>
          <w:pgMar w:top="700" w:right="560" w:bottom="730" w:left="390" w:header="0" w:footer="472" w:gutter="0"/>
          <w:pgNumType w:start="3"/>
          <w:cols w:num="1" w:space="708" w:equalWidth="0">
            <w:col w:w="10960" w:space="0"/>
          </w:cols>
        </w:sectPr>
      </w:pPr>
    </w:p>
    <w:p>
      <w:pPr>
        <w:spacing w:before="134" w:line="159" w:lineRule="auto"/>
        <w:ind w:left="2185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b/>
          <w:bCs/>
          <w:color w:val="000080"/>
          <w:spacing w:val="-41"/>
          <w:sz w:val="36"/>
          <w:szCs w:val="36"/>
        </w:rPr>
        <w:t>目</w:t>
      </w:r>
      <w:r>
        <w:rPr>
          <w:rFonts w:ascii="Microsoft YaHei" w:eastAsia="Microsoft YaHei" w:hAnsi="Microsoft YaHei" w:cs="Microsoft YaHei"/>
          <w:b/>
          <w:bCs/>
          <w:color w:val="000080"/>
          <w:spacing w:val="23"/>
          <w:sz w:val="36"/>
          <w:szCs w:val="36"/>
        </w:rPr>
        <w:t xml:space="preserve">   </w:t>
      </w:r>
      <w:r>
        <w:rPr>
          <w:rFonts w:ascii="Microsoft YaHei" w:eastAsia="Microsoft YaHei" w:hAnsi="Microsoft YaHei" w:cs="Microsoft YaHei"/>
          <w:b/>
          <w:bCs/>
          <w:color w:val="000080"/>
          <w:spacing w:val="-41"/>
          <w:sz w:val="36"/>
          <w:szCs w:val="36"/>
        </w:rPr>
        <w:t>录</w:t>
      </w:r>
    </w:p>
    <w:p>
      <w:pPr>
        <w:spacing w:line="28" w:lineRule="exact"/>
        <w:ind w:firstLine="1995"/>
      </w:pPr>
      <w:r>
        <w:pict>
          <v:shape id="_x0000_i1034" style="width:424.55pt;height:1.45pt;mso-position-horizontal-relative:char;mso-position-vertical-relative:line" coordorigin="0,0" coordsize="8490,29" path="m,28l8065,28l8065,l,l,28xem8065,28l8094,28l8094,l8065,l8065,28xem8094,28l8490,28l8490,l8094,l8094,28xe" filled="t" fillcolor="#669" stroked="f">
            <w10:wrap type="none"/>
          </v:shape>
        </w:pic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sdt>
      <w:sdtPr>
        <w:rPr>
          <w:rFonts w:ascii="Arial" w:eastAsia="Arial" w:hAnsi="Arial" w:cs="Arial"/>
          <w:sz w:val="19"/>
          <w:szCs w:val="19"/>
        </w:rPr>
        <w:id w:val="317761786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19"/>
          <w:szCs w:val="19"/>
        </w:rPr>
      </w:sdtEndPr>
      <w:sdtContent>
        <w:p>
          <w:pPr>
            <w:tabs>
              <w:tab w:val="right" w:leader="dot" w:pos="10501"/>
            </w:tabs>
            <w:spacing w:before="61" w:line="228" w:lineRule="auto"/>
            <w:ind w:left="2753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Arial" w:eastAsia="Arial" w:hAnsi="Arial" w:cs="Arial"/>
              <w:spacing w:val="1"/>
              <w:sz w:val="19"/>
              <w:szCs w:val="19"/>
            </w:rPr>
            <w:t xml:space="preserve">1.    </w:t>
          </w:r>
          <w:r>
            <w:rPr>
              <w:rFonts w:ascii="NSimSun" w:eastAsia="NSimSun" w:hAnsi="NSimSun" w:cs="NSimSun"/>
              <w:spacing w:val="1"/>
              <w:sz w:val="19"/>
              <w:szCs w:val="19"/>
            </w:rPr>
            <w:t>国内运动营养行业空间较大，</w:t>
          </w:r>
          <w:r>
            <w:rPr>
              <w:rFonts w:ascii="NSimSun" w:eastAsia="NSimSun" w:hAnsi="NSimSun" w:cs="NSimSun"/>
              <w:spacing w:val="53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pacing w:val="1"/>
              <w:sz w:val="19"/>
              <w:szCs w:val="19"/>
            </w:rPr>
            <w:t>内资品牌主导</w:t>
          </w:r>
          <w:r>
            <w:rPr>
              <w:rFonts w:ascii="NSimSun" w:eastAsia="NSimSun" w:hAnsi="NSimSun" w:cs="NSimSun"/>
              <w:spacing w:val="-44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59"/>
              <w:sz w:val="19"/>
              <w:szCs w:val="19"/>
            </w:rPr>
            <w:t xml:space="preserve"> </w:t>
          </w:r>
          <w:hyperlink w:anchor="bookmark1" w:history="1">
            <w:r>
              <w:rPr>
                <w:rFonts w:ascii="Arial" w:eastAsia="Arial" w:hAnsi="Arial" w:cs="Arial"/>
                <w:sz w:val="19"/>
                <w:szCs w:val="19"/>
              </w:rPr>
              <w:t>6</w:t>
            </w:r>
          </w:hyperlink>
        </w:p>
        <w:p>
          <w:pPr>
            <w:tabs>
              <w:tab w:val="right" w:leader="dot" w:pos="10501"/>
            </w:tabs>
            <w:spacing w:before="206" w:line="228" w:lineRule="auto"/>
            <w:ind w:left="2737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Arial" w:eastAsia="Arial" w:hAnsi="Arial" w:cs="Arial"/>
              <w:spacing w:val="7"/>
              <w:sz w:val="19"/>
              <w:szCs w:val="19"/>
            </w:rPr>
            <w:t xml:space="preserve">2.    </w:t>
          </w:r>
          <w:r>
            <w:rPr>
              <w:rFonts w:ascii="NSimSun" w:eastAsia="NSimSun" w:hAnsi="NSimSun" w:cs="NSimSun"/>
              <w:spacing w:val="7"/>
              <w:sz w:val="19"/>
              <w:szCs w:val="19"/>
            </w:rPr>
            <w:t>竞技体育领先品牌，技术专业度高</w:t>
          </w:r>
          <w:r>
            <w:rPr>
              <w:rFonts w:ascii="NSimSun" w:eastAsia="NSimSun" w:hAnsi="NSimSun" w:cs="NSimSun"/>
              <w:spacing w:val="-71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59"/>
              <w:sz w:val="19"/>
              <w:szCs w:val="19"/>
            </w:rPr>
            <w:t xml:space="preserve"> </w:t>
          </w:r>
          <w:hyperlink w:anchor="bookmark2" w:history="1">
            <w:r>
              <w:rPr>
                <w:rFonts w:ascii="Arial" w:eastAsia="Arial" w:hAnsi="Arial" w:cs="Arial"/>
                <w:sz w:val="19"/>
                <w:szCs w:val="19"/>
              </w:rPr>
              <w:t>8</w:t>
            </w:r>
          </w:hyperlink>
        </w:p>
        <w:p>
          <w:pPr>
            <w:tabs>
              <w:tab w:val="right" w:leader="dot" w:pos="10500"/>
            </w:tabs>
            <w:spacing w:before="205" w:line="228" w:lineRule="auto"/>
            <w:ind w:left="2740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Arial" w:eastAsia="Arial" w:hAnsi="Arial" w:cs="Arial"/>
              <w:spacing w:val="9"/>
              <w:sz w:val="19"/>
              <w:szCs w:val="19"/>
            </w:rPr>
            <w:t>3.</w:t>
          </w:r>
          <w:r>
            <w:rPr>
              <w:rFonts w:ascii="Arial" w:eastAsia="Arial" w:hAnsi="Arial" w:cs="Arial"/>
              <w:sz w:val="19"/>
              <w:szCs w:val="19"/>
            </w:rPr>
            <w:t xml:space="preserve">    </w:t>
          </w:r>
          <w:r>
            <w:rPr>
              <w:rFonts w:ascii="NSimSun" w:eastAsia="NSimSun" w:hAnsi="NSimSun" w:cs="NSimSun"/>
              <w:spacing w:val="9"/>
              <w:sz w:val="19"/>
              <w:szCs w:val="19"/>
            </w:rPr>
            <w:t>运动营养、健康营养稳健增长，聚焦核心产品</w:t>
          </w:r>
          <w:r>
            <w:rPr>
              <w:rFonts w:ascii="NSimSun" w:eastAsia="NSimSun" w:hAnsi="NSimSun" w:cs="NSimSun"/>
              <w:spacing w:val="-25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47"/>
              <w:sz w:val="19"/>
              <w:szCs w:val="19"/>
            </w:rPr>
            <w:t xml:space="preserve"> </w:t>
          </w:r>
          <w:hyperlink w:anchor="bookmark3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10</w:t>
            </w:r>
          </w:hyperlink>
        </w:p>
        <w:p>
          <w:pPr>
            <w:tabs>
              <w:tab w:val="right" w:leader="dot" w:pos="10500"/>
            </w:tabs>
            <w:spacing w:before="204" w:line="228" w:lineRule="auto"/>
            <w:ind w:left="2734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Arial" w:eastAsia="Arial" w:hAnsi="Arial" w:cs="Arial"/>
              <w:spacing w:val="2"/>
              <w:sz w:val="19"/>
              <w:szCs w:val="19"/>
            </w:rPr>
            <w:t xml:space="preserve">4.    </w:t>
          </w:r>
          <w:r>
            <w:rPr>
              <w:rFonts w:ascii="NSimSun" w:eastAsia="NSimSun" w:hAnsi="NSimSun" w:cs="NSimSun"/>
              <w:spacing w:val="2"/>
              <w:sz w:val="19"/>
              <w:szCs w:val="19"/>
            </w:rPr>
            <w:t>线上、线下齐头并进，</w:t>
          </w:r>
          <w:r>
            <w:rPr>
              <w:rFonts w:ascii="NSimSun" w:eastAsia="NSimSun" w:hAnsi="NSimSun" w:cs="NSimSun"/>
              <w:spacing w:val="34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pacing w:val="2"/>
              <w:sz w:val="19"/>
              <w:szCs w:val="19"/>
            </w:rPr>
            <w:t>营销精细化</w:t>
          </w:r>
          <w:r>
            <w:rPr>
              <w:rFonts w:ascii="NSimSun" w:eastAsia="NSimSun" w:hAnsi="NSimSun" w:cs="NSimSun"/>
              <w:spacing w:val="1"/>
              <w:sz w:val="19"/>
              <w:szCs w:val="19"/>
            </w:rPr>
            <w:t>管理</w:t>
          </w:r>
          <w:r>
            <w:rPr>
              <w:rFonts w:ascii="NSimSun" w:eastAsia="NSimSun" w:hAnsi="NSimSun" w:cs="NSimSun"/>
              <w:spacing w:val="-32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47"/>
              <w:sz w:val="19"/>
              <w:szCs w:val="19"/>
            </w:rPr>
            <w:t xml:space="preserve"> </w:t>
          </w:r>
          <w:hyperlink w:anchor="bookmark4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12</w:t>
            </w:r>
          </w:hyperlink>
        </w:p>
        <w:p>
          <w:pPr>
            <w:tabs>
              <w:tab w:val="right" w:leader="dot" w:pos="10500"/>
            </w:tabs>
            <w:spacing w:before="207" w:line="228" w:lineRule="auto"/>
            <w:ind w:left="2740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Arial" w:eastAsia="Arial" w:hAnsi="Arial" w:cs="Arial"/>
              <w:spacing w:val="6"/>
              <w:sz w:val="19"/>
              <w:szCs w:val="19"/>
            </w:rPr>
            <w:t>5.</w:t>
          </w:r>
          <w:r>
            <w:rPr>
              <w:rFonts w:ascii="Arial" w:eastAsia="Arial" w:hAnsi="Arial" w:cs="Arial"/>
              <w:spacing w:val="3"/>
              <w:sz w:val="19"/>
              <w:szCs w:val="19"/>
            </w:rPr>
            <w:t xml:space="preserve">    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上市募投扩产能</w:t>
          </w:r>
          <w:r>
            <w:rPr>
              <w:rFonts w:ascii="NSimSun" w:eastAsia="NSimSun" w:hAnsi="NSimSun" w:cs="NSimSun"/>
              <w:spacing w:val="-73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47"/>
              <w:sz w:val="19"/>
              <w:szCs w:val="19"/>
            </w:rPr>
            <w:t xml:space="preserve"> </w:t>
          </w:r>
          <w:hyperlink w:anchor="bookmark5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15</w:t>
            </w:r>
          </w:hyperlink>
        </w:p>
        <w:p>
          <w:pPr>
            <w:tabs>
              <w:tab w:val="right" w:leader="dot" w:pos="10500"/>
            </w:tabs>
            <w:spacing w:before="205" w:line="227" w:lineRule="auto"/>
            <w:ind w:left="273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Arial" w:eastAsia="Arial" w:hAnsi="Arial" w:cs="Arial"/>
              <w:spacing w:val="6"/>
              <w:sz w:val="19"/>
              <w:szCs w:val="19"/>
            </w:rPr>
            <w:t>6.</w:t>
          </w:r>
          <w:r>
            <w:rPr>
              <w:rFonts w:ascii="Arial" w:eastAsia="Arial" w:hAnsi="Arial" w:cs="Arial"/>
              <w:spacing w:val="3"/>
              <w:sz w:val="19"/>
              <w:szCs w:val="19"/>
            </w:rPr>
            <w:t xml:space="preserve">    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盈利预测与估值</w:t>
          </w:r>
          <w:r>
            <w:rPr>
              <w:rFonts w:ascii="NSimSun" w:eastAsia="NSimSun" w:hAnsi="NSimSun" w:cs="NSimSun"/>
              <w:spacing w:val="-73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47"/>
              <w:sz w:val="19"/>
              <w:szCs w:val="19"/>
            </w:rPr>
            <w:t xml:space="preserve"> </w:t>
          </w:r>
          <w:hyperlink w:anchor="bookmark6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16</w:t>
            </w:r>
          </w:hyperlink>
        </w:p>
        <w:p>
          <w:pPr>
            <w:tabs>
              <w:tab w:val="right" w:leader="dot" w:pos="10500"/>
            </w:tabs>
            <w:spacing w:before="205" w:line="229" w:lineRule="auto"/>
            <w:ind w:left="2741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Arial" w:eastAsia="Arial" w:hAnsi="Arial" w:cs="Arial"/>
              <w:spacing w:val="5"/>
              <w:sz w:val="19"/>
              <w:szCs w:val="19"/>
            </w:rPr>
            <w:t>7.</w:t>
          </w:r>
          <w:r>
            <w:rPr>
              <w:rFonts w:ascii="Arial" w:eastAsia="Arial" w:hAnsi="Arial" w:cs="Arial"/>
              <w:spacing w:val="1"/>
              <w:sz w:val="19"/>
              <w:szCs w:val="19"/>
            </w:rPr>
            <w:t xml:space="preserve">    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风险提示</w:t>
          </w:r>
          <w:r>
            <w:rPr>
              <w:rFonts w:ascii="NSimSun" w:eastAsia="NSimSun" w:hAnsi="NSimSun" w:cs="NSimSun"/>
              <w:spacing w:val="-24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47"/>
              <w:sz w:val="19"/>
              <w:szCs w:val="19"/>
            </w:rPr>
            <w:t xml:space="preserve"> </w:t>
          </w:r>
          <w:hyperlink w:anchor="bookmark7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17</w:t>
            </w:r>
          </w:hyperlink>
        </w:p>
        <w:p>
          <w:pPr>
            <w:tabs>
              <w:tab w:val="right" w:leader="dot" w:pos="10500"/>
            </w:tabs>
            <w:spacing w:before="207" w:line="228" w:lineRule="auto"/>
            <w:ind w:left="2744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8"/>
              <w:sz w:val="19"/>
              <w:szCs w:val="19"/>
            </w:rPr>
            <w:t>财务报表分析和预测</w:t>
          </w:r>
          <w:r>
            <w:rPr>
              <w:rFonts w:ascii="NSimSun" w:eastAsia="NSimSun" w:hAnsi="NSimSun" w:cs="NSimSun"/>
              <w:spacing w:val="-39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47"/>
              <w:sz w:val="19"/>
              <w:szCs w:val="19"/>
            </w:rPr>
            <w:t xml:space="preserve"> </w:t>
          </w:r>
          <w:hyperlink w:anchor="bookmark8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18</w:t>
            </w:r>
          </w:hyperlink>
        </w:p>
      </w:sdtContent>
    </w:sdt>
    <w:p>
      <w:pPr>
        <w:spacing w:line="228" w:lineRule="auto"/>
        <w:rPr>
          <w:rFonts w:ascii="Arial" w:eastAsia="Arial" w:hAnsi="Arial" w:cs="Arial"/>
          <w:sz w:val="19"/>
          <w:szCs w:val="19"/>
        </w:rPr>
        <w:sectPr>
          <w:headerReference w:type="default" r:id="rId10"/>
          <w:footerReference w:type="default" r:id="rId11"/>
          <w:pgSz w:w="11907" w:h="16841"/>
          <w:pgMar w:top="966" w:right="661" w:bottom="997" w:left="679" w:header="280" w:footer="653" w:gutter="0"/>
          <w:pgNumType w:start="4"/>
          <w:cols w:space="708"/>
        </w:sectPr>
      </w:pPr>
    </w:p>
    <w:p>
      <w:pPr>
        <w:tabs>
          <w:tab w:val="left" w:pos="2156"/>
        </w:tabs>
        <w:spacing w:before="376" w:line="187" w:lineRule="auto"/>
        <w:ind w:left="1995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000080"/>
          <w:sz w:val="36"/>
          <w:szCs w:val="36"/>
          <w:u w:val="single" w:color="666699"/>
        </w:rPr>
        <w:tab/>
      </w:r>
      <w:r>
        <w:rPr>
          <w:rFonts w:ascii="Microsoft YaHei" w:eastAsia="Microsoft YaHei" w:hAnsi="Microsoft YaHei" w:cs="Microsoft YaHei"/>
          <w:b/>
          <w:bCs/>
          <w:color w:val="000080"/>
          <w:spacing w:val="-16"/>
          <w:sz w:val="36"/>
          <w:szCs w:val="36"/>
          <w:u w:val="single" w:color="666699"/>
        </w:rPr>
        <w:t>图目录</w:t>
      </w:r>
      <w:r>
        <w:rPr>
          <w:rFonts w:ascii="Microsoft YaHei" w:eastAsia="Microsoft YaHei" w:hAnsi="Microsoft YaHei" w:cs="Microsoft YaHei"/>
          <w:b/>
          <w:bCs/>
          <w:color w:val="000080"/>
          <w:sz w:val="36"/>
          <w:szCs w:val="36"/>
          <w:u w:val="single" w:color="666699"/>
        </w:rPr>
        <w:t xml:space="preserve">                                                                </w:t>
      </w:r>
      <w:r>
        <w:rPr>
          <w:position w:val="-12"/>
          <w:sz w:val="36"/>
          <w:szCs w:val="36"/>
        </w:rPr>
        <w:drawing>
          <wp:inline distT="0" distB="0" distL="0" distR="0">
            <wp:extent cx="18288" cy="18288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b/>
          <w:bCs/>
          <w:color w:val="000080"/>
          <w:spacing w:val="2"/>
          <w:sz w:val="36"/>
          <w:szCs w:val="36"/>
          <w:u w:val="single" w:color="666699"/>
        </w:rPr>
        <w:t xml:space="preserve">    </w:t>
      </w: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sdt>
      <w:sdtPr>
        <w:rPr>
          <w:rFonts w:ascii="NSimSun" w:eastAsia="NSimSun" w:hAnsi="NSimSun" w:cs="NSimSun"/>
          <w:sz w:val="19"/>
          <w:szCs w:val="19"/>
        </w:rPr>
        <w:id w:val="463279957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19"/>
          <w:szCs w:val="19"/>
        </w:rPr>
      </w:sdtEndPr>
      <w:sdtContent>
        <w:p>
          <w:pPr>
            <w:tabs>
              <w:tab w:val="right" w:leader="dot" w:pos="10538"/>
            </w:tabs>
            <w:spacing w:before="62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20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1</w:t>
          </w:r>
          <w:r>
            <w:rPr>
              <w:rFonts w:ascii="Arial" w:eastAsia="Arial" w:hAnsi="Arial" w:cs="Arial"/>
              <w:sz w:val="19"/>
              <w:szCs w:val="19"/>
            </w:rPr>
            <w:t xml:space="preserve">         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全球运动营养行业市场规模及增速（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2013-2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020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53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hyperlink w:anchor="bookmark1" w:history="1">
            <w:r>
              <w:rPr>
                <w:rFonts w:ascii="Arial" w:eastAsia="Arial" w:hAnsi="Arial" w:cs="Arial"/>
                <w:spacing w:val="14"/>
                <w:sz w:val="19"/>
                <w:szCs w:val="19"/>
              </w:rPr>
              <w:t>6</w:t>
            </w:r>
          </w:hyperlink>
        </w:p>
        <w:p>
          <w:pPr>
            <w:tabs>
              <w:tab w:val="right" w:leader="dot" w:pos="10538"/>
            </w:tabs>
            <w:spacing w:before="204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33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 xml:space="preserve">2         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中国运动营养行业市场规模及增速（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2016-2023E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27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hyperlink w:anchor="bookmark9" w:history="1">
            <w:r>
              <w:rPr>
                <w:rFonts w:ascii="Arial" w:eastAsia="Arial" w:hAnsi="Arial" w:cs="Arial"/>
                <w:spacing w:val="14"/>
                <w:sz w:val="19"/>
                <w:szCs w:val="19"/>
              </w:rPr>
              <w:t>6</w:t>
            </w:r>
          </w:hyperlink>
        </w:p>
        <w:p>
          <w:pPr>
            <w:tabs>
              <w:tab w:val="right" w:leader="dot" w:pos="10538"/>
            </w:tabs>
            <w:spacing w:before="207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2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34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2"/>
              <w:sz w:val="19"/>
              <w:szCs w:val="19"/>
            </w:rPr>
            <w:t xml:space="preserve">3         </w:t>
          </w:r>
          <w:r>
            <w:rPr>
              <w:rFonts w:ascii="NSimSun" w:eastAsia="NSimSun" w:hAnsi="NSimSun" w:cs="NSimSun"/>
              <w:spacing w:val="2"/>
              <w:sz w:val="19"/>
              <w:szCs w:val="19"/>
            </w:rPr>
            <w:t>中国体育产业规模（万亿</w:t>
          </w:r>
          <w:r>
            <w:rPr>
              <w:rFonts w:ascii="NSimSun" w:eastAsia="NSimSun" w:hAnsi="NSimSun" w:cs="NSimSun"/>
              <w:spacing w:val="1"/>
              <w:sz w:val="19"/>
              <w:szCs w:val="19"/>
            </w:rPr>
            <w:t>，</w:t>
          </w:r>
          <w:r>
            <w:rPr>
              <w:rFonts w:ascii="NSimSun" w:eastAsia="NSimSun" w:hAnsi="NSimSun" w:cs="NSimSun"/>
              <w:spacing w:val="1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1"/>
              <w:sz w:val="19"/>
              <w:szCs w:val="19"/>
            </w:rPr>
            <w:t>2018-2021E</w:t>
          </w:r>
          <w:r>
            <w:rPr>
              <w:rFonts w:ascii="NSimSun" w:eastAsia="NSimSun" w:hAnsi="NSimSun" w:cs="NSimSun"/>
              <w:spacing w:val="1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56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hyperlink w:anchor="bookmark10" w:history="1">
            <w:r>
              <w:rPr>
                <w:rFonts w:ascii="Arial" w:eastAsia="Arial" w:hAnsi="Arial" w:cs="Arial"/>
                <w:spacing w:val="14"/>
                <w:sz w:val="19"/>
                <w:szCs w:val="19"/>
              </w:rPr>
              <w:t>7</w:t>
            </w:r>
          </w:hyperlink>
        </w:p>
        <w:p>
          <w:pPr>
            <w:tabs>
              <w:tab w:val="right" w:leader="dot" w:pos="10538"/>
            </w:tabs>
            <w:spacing w:before="204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39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4</w:t>
          </w:r>
          <w:r>
            <w:rPr>
              <w:rFonts w:ascii="Arial" w:eastAsia="Arial" w:hAnsi="Arial" w:cs="Arial"/>
              <w:sz w:val="19"/>
              <w:szCs w:val="19"/>
            </w:rPr>
            <w:t xml:space="preserve">         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 xml:space="preserve">2020 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年各国付费健身人口渗透率</w:t>
          </w:r>
          <w:r>
            <w:rPr>
              <w:rFonts w:ascii="NSimSun" w:eastAsia="NSimSun" w:hAnsi="NSimSun" w:cs="NSimSun"/>
              <w:spacing w:val="-36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hyperlink w:anchor="bookmark11" w:history="1">
            <w:r>
              <w:rPr>
                <w:rFonts w:ascii="Arial" w:eastAsia="Arial" w:hAnsi="Arial" w:cs="Arial"/>
                <w:spacing w:val="14"/>
                <w:sz w:val="19"/>
                <w:szCs w:val="19"/>
              </w:rPr>
              <w:t>7</w:t>
            </w:r>
          </w:hyperlink>
        </w:p>
        <w:p>
          <w:pPr>
            <w:tabs>
              <w:tab w:val="right" w:leader="dot" w:pos="10538"/>
            </w:tabs>
            <w:spacing w:before="205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31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5</w:t>
          </w:r>
          <w:r>
            <w:rPr>
              <w:rFonts w:ascii="Arial" w:eastAsia="Arial" w:hAnsi="Arial" w:cs="Arial"/>
              <w:spacing w:val="1"/>
              <w:sz w:val="19"/>
              <w:szCs w:val="19"/>
            </w:rPr>
            <w:t xml:space="preserve">         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京东上的运动营养食品示例</w:t>
          </w:r>
          <w:r>
            <w:rPr>
              <w:rFonts w:ascii="NSimSun" w:eastAsia="NSimSun" w:hAnsi="NSimSun" w:cs="NSimSun"/>
              <w:spacing w:val="-44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hyperlink w:anchor="bookmark12" w:history="1">
            <w:r>
              <w:rPr>
                <w:rFonts w:ascii="Arial" w:eastAsia="Arial" w:hAnsi="Arial" w:cs="Arial"/>
                <w:spacing w:val="14"/>
                <w:sz w:val="19"/>
                <w:szCs w:val="19"/>
              </w:rPr>
              <w:t>7</w:t>
            </w:r>
          </w:hyperlink>
        </w:p>
        <w:p>
          <w:pPr>
            <w:tabs>
              <w:tab w:val="right" w:leader="dot" w:pos="10538"/>
            </w:tabs>
            <w:spacing w:before="207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7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35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7"/>
              <w:sz w:val="19"/>
              <w:szCs w:val="19"/>
            </w:rPr>
            <w:t xml:space="preserve">6        </w:t>
          </w:r>
          <w:r>
            <w:rPr>
              <w:rFonts w:ascii="NSimSun" w:eastAsia="NSimSun" w:hAnsi="NSimSun" w:cs="NSimSun"/>
              <w:spacing w:val="7"/>
              <w:sz w:val="19"/>
              <w:szCs w:val="19"/>
            </w:rPr>
            <w:t>康比特在国内运动营养行业市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占率（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2012-2022E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27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hyperlink w:anchor="bookmark13" w:history="1">
            <w:r>
              <w:rPr>
                <w:rFonts w:ascii="Arial" w:eastAsia="Arial" w:hAnsi="Arial" w:cs="Arial"/>
                <w:spacing w:val="14"/>
                <w:sz w:val="19"/>
                <w:szCs w:val="19"/>
              </w:rPr>
              <w:t>7</w:t>
            </w:r>
          </w:hyperlink>
        </w:p>
        <w:p>
          <w:pPr>
            <w:tabs>
              <w:tab w:val="right" w:leader="dot" w:pos="10538"/>
            </w:tabs>
            <w:spacing w:before="204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27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7</w:t>
          </w:r>
          <w:r>
            <w:rPr>
              <w:rFonts w:ascii="Arial" w:eastAsia="Arial" w:hAnsi="Arial" w:cs="Arial"/>
              <w:sz w:val="19"/>
              <w:szCs w:val="19"/>
            </w:rPr>
            <w:t xml:space="preserve">         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公司专家团队介绍</w:t>
          </w:r>
          <w:r>
            <w:rPr>
              <w:rFonts w:ascii="NSimSun" w:eastAsia="NSimSun" w:hAnsi="NSimSun" w:cs="NSimSun"/>
              <w:spacing w:val="-74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hyperlink w:anchor="bookmark14" w:history="1">
            <w:r>
              <w:rPr>
                <w:rFonts w:ascii="Arial" w:eastAsia="Arial" w:hAnsi="Arial" w:cs="Arial"/>
                <w:spacing w:val="14"/>
                <w:sz w:val="19"/>
                <w:szCs w:val="19"/>
              </w:rPr>
              <w:t>8</w:t>
            </w:r>
          </w:hyperlink>
        </w:p>
        <w:p>
          <w:pPr>
            <w:tabs>
              <w:tab w:val="right" w:leader="dot" w:pos="10538"/>
            </w:tabs>
            <w:spacing w:before="205" w:line="229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34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8</w:t>
          </w:r>
          <w:r>
            <w:rPr>
              <w:rFonts w:ascii="Arial" w:eastAsia="Arial" w:hAnsi="Arial" w:cs="Arial"/>
              <w:sz w:val="19"/>
              <w:szCs w:val="19"/>
            </w:rPr>
            <w:t xml:space="preserve">         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公司参与的标准制定</w:t>
          </w:r>
          <w:r>
            <w:rPr>
              <w:rFonts w:ascii="NSimSun" w:eastAsia="NSimSun" w:hAnsi="NSimSun" w:cs="NSimSun"/>
              <w:spacing w:val="-52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hyperlink w:anchor="bookmark15" w:history="1">
            <w:r>
              <w:rPr>
                <w:rFonts w:ascii="Arial" w:eastAsia="Arial" w:hAnsi="Arial" w:cs="Arial"/>
                <w:spacing w:val="14"/>
                <w:sz w:val="19"/>
                <w:szCs w:val="19"/>
              </w:rPr>
              <w:t>8</w:t>
            </w:r>
          </w:hyperlink>
        </w:p>
        <w:p>
          <w:pPr>
            <w:tabs>
              <w:tab w:val="right" w:leader="dot" w:pos="10538"/>
            </w:tabs>
            <w:spacing w:before="206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30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9</w:t>
          </w:r>
          <w:r>
            <w:rPr>
              <w:rFonts w:ascii="Arial" w:eastAsia="Arial" w:hAnsi="Arial" w:cs="Arial"/>
              <w:sz w:val="19"/>
              <w:szCs w:val="19"/>
            </w:rPr>
            <w:t xml:space="preserve">         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公司收入及增速（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2013-2023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60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hyperlink w:anchor="bookmark16" w:history="1">
            <w:r>
              <w:rPr>
                <w:rFonts w:ascii="Arial" w:eastAsia="Arial" w:hAnsi="Arial" w:cs="Arial"/>
                <w:spacing w:val="14"/>
                <w:sz w:val="19"/>
                <w:szCs w:val="19"/>
              </w:rPr>
              <w:t>9</w:t>
            </w:r>
          </w:hyperlink>
        </w:p>
        <w:p>
          <w:pPr>
            <w:tabs>
              <w:tab w:val="right" w:leader="dot" w:pos="10538"/>
            </w:tabs>
            <w:spacing w:before="205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17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10</w:t>
          </w:r>
          <w:r>
            <w:rPr>
              <w:rFonts w:ascii="Arial" w:eastAsia="Arial" w:hAnsi="Arial" w:cs="Arial"/>
              <w:spacing w:val="8"/>
              <w:sz w:val="19"/>
              <w:szCs w:val="19"/>
            </w:rPr>
            <w:t xml:space="preserve">      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公司归母净利润及增速（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2013-2023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51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hyperlink w:anchor="bookmark17" w:history="1">
            <w:r>
              <w:rPr>
                <w:rFonts w:ascii="Arial" w:eastAsia="Arial" w:hAnsi="Arial" w:cs="Arial"/>
                <w:spacing w:val="14"/>
                <w:sz w:val="19"/>
                <w:szCs w:val="19"/>
              </w:rPr>
              <w:t>9</w:t>
            </w:r>
          </w:hyperlink>
        </w:p>
        <w:p>
          <w:pPr>
            <w:tabs>
              <w:tab w:val="right" w:leader="dot" w:pos="10535"/>
            </w:tabs>
            <w:spacing w:before="204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3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2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3"/>
              <w:sz w:val="19"/>
              <w:szCs w:val="19"/>
            </w:rPr>
            <w:t xml:space="preserve">11       </w:t>
          </w:r>
          <w:r>
            <w:rPr>
              <w:rFonts w:ascii="NSimSun" w:eastAsia="NSimSun" w:hAnsi="NSimSun" w:cs="NSimSun"/>
              <w:spacing w:val="3"/>
              <w:sz w:val="19"/>
              <w:szCs w:val="19"/>
            </w:rPr>
            <w:t>公司股权结构（截止</w:t>
          </w:r>
          <w:r>
            <w:rPr>
              <w:rFonts w:ascii="NSimSun" w:eastAsia="NSimSun" w:hAnsi="NSimSun" w:cs="NSimSun"/>
              <w:spacing w:val="-36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3"/>
              <w:sz w:val="19"/>
              <w:szCs w:val="19"/>
            </w:rPr>
            <w:t xml:space="preserve">2023 </w:t>
          </w:r>
          <w:r>
            <w:rPr>
              <w:rFonts w:ascii="NSimSun" w:eastAsia="NSimSun" w:hAnsi="NSimSun" w:cs="NSimSun"/>
              <w:spacing w:val="3"/>
              <w:sz w:val="19"/>
              <w:szCs w:val="19"/>
            </w:rPr>
            <w:t>三季度末）</w:t>
          </w:r>
          <w:r>
            <w:rPr>
              <w:rFonts w:ascii="NSimSun" w:eastAsia="NSimSun" w:hAnsi="NSimSun" w:cs="NSimSun"/>
              <w:spacing w:val="-44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18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10</w:t>
            </w:r>
          </w:hyperlink>
        </w:p>
        <w:p>
          <w:pPr>
            <w:tabs>
              <w:tab w:val="right" w:leader="dot" w:pos="10535"/>
            </w:tabs>
            <w:spacing w:before="207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4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4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4"/>
              <w:sz w:val="19"/>
              <w:szCs w:val="19"/>
            </w:rPr>
            <w:t>12</w:t>
          </w:r>
          <w:r>
            <w:rPr>
              <w:rFonts w:ascii="Arial" w:eastAsia="Arial" w:hAnsi="Arial" w:cs="Arial"/>
              <w:spacing w:val="8"/>
              <w:sz w:val="19"/>
              <w:szCs w:val="19"/>
            </w:rPr>
            <w:t xml:space="preserve">      </w:t>
          </w:r>
          <w:r>
            <w:rPr>
              <w:rFonts w:ascii="NSimSun" w:eastAsia="NSimSun" w:hAnsi="NSimSun" w:cs="NSimSun"/>
              <w:spacing w:val="4"/>
              <w:sz w:val="19"/>
              <w:szCs w:val="19"/>
            </w:rPr>
            <w:t>公司主要产品收入（</w:t>
          </w:r>
          <w:r>
            <w:rPr>
              <w:rFonts w:ascii="Arial" w:eastAsia="Arial" w:hAnsi="Arial" w:cs="Arial"/>
              <w:spacing w:val="4"/>
              <w:sz w:val="19"/>
              <w:szCs w:val="19"/>
            </w:rPr>
            <w:t>2013-2022</w:t>
          </w:r>
          <w:r>
            <w:rPr>
              <w:rFonts w:ascii="NSimSun" w:eastAsia="NSimSun" w:hAnsi="NSimSun" w:cs="NSimSun"/>
              <w:spacing w:val="4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38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19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10</w:t>
            </w:r>
          </w:hyperlink>
        </w:p>
        <w:p>
          <w:pPr>
            <w:tabs>
              <w:tab w:val="right" w:leader="dot" w:pos="10535"/>
            </w:tabs>
            <w:spacing w:before="205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21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13</w:t>
          </w:r>
          <w:r>
            <w:rPr>
              <w:rFonts w:ascii="Arial" w:eastAsia="Arial" w:hAnsi="Arial" w:cs="Arial"/>
              <w:spacing w:val="8"/>
              <w:sz w:val="19"/>
              <w:szCs w:val="19"/>
            </w:rPr>
            <w:t xml:space="preserve">      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公司主要产品毛利率（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2013-2022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18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20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10</w:t>
            </w:r>
          </w:hyperlink>
        </w:p>
        <w:p>
          <w:pPr>
            <w:tabs>
              <w:tab w:val="right" w:leader="dot" w:pos="10535"/>
            </w:tabs>
            <w:spacing w:before="204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19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14</w:t>
          </w:r>
          <w:r>
            <w:rPr>
              <w:rFonts w:ascii="Arial" w:eastAsia="Arial" w:hAnsi="Arial" w:cs="Arial"/>
              <w:spacing w:val="8"/>
              <w:sz w:val="19"/>
              <w:szCs w:val="19"/>
            </w:rPr>
            <w:t xml:space="preserve">      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公司运动营养食品示例</w:t>
          </w:r>
          <w:r>
            <w:rPr>
              <w:rFonts w:ascii="NSimSun" w:eastAsia="NSimSun" w:hAnsi="NSimSun" w:cs="NSimSun"/>
              <w:spacing w:val="-31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51"/>
              <w:sz w:val="19"/>
              <w:szCs w:val="19"/>
            </w:rPr>
            <w:t xml:space="preserve"> </w:t>
          </w:r>
          <w:hyperlink w:anchor="bookmark21" w:history="1"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11</w:t>
            </w:r>
          </w:hyperlink>
        </w:p>
        <w:p>
          <w:pPr>
            <w:tabs>
              <w:tab w:val="right" w:leader="dot" w:pos="10535"/>
            </w:tabs>
            <w:spacing w:before="208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13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 xml:space="preserve">15      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公司运动营养食品各类别收入（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2019-2022H1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27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51"/>
              <w:sz w:val="19"/>
              <w:szCs w:val="19"/>
            </w:rPr>
            <w:t xml:space="preserve"> </w:t>
          </w:r>
          <w:hyperlink w:anchor="bookmark22" w:history="1"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11</w:t>
            </w:r>
          </w:hyperlink>
        </w:p>
        <w:p>
          <w:pPr>
            <w:tabs>
              <w:tab w:val="right" w:leader="dot" w:pos="10535"/>
            </w:tabs>
            <w:spacing w:before="204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19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16</w:t>
          </w:r>
          <w:r>
            <w:rPr>
              <w:rFonts w:ascii="Arial" w:eastAsia="Arial" w:hAnsi="Arial" w:cs="Arial"/>
              <w:spacing w:val="8"/>
              <w:sz w:val="19"/>
              <w:szCs w:val="19"/>
            </w:rPr>
            <w:t xml:space="preserve">      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公司健康营养食品示例</w:t>
          </w:r>
          <w:r>
            <w:rPr>
              <w:rFonts w:ascii="NSimSun" w:eastAsia="NSimSun" w:hAnsi="NSimSun" w:cs="NSimSun"/>
              <w:spacing w:val="-31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51"/>
              <w:sz w:val="19"/>
              <w:szCs w:val="19"/>
            </w:rPr>
            <w:t xml:space="preserve"> </w:t>
          </w:r>
          <w:hyperlink w:anchor="bookmark23" w:history="1"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11</w:t>
            </w:r>
          </w:hyperlink>
        </w:p>
        <w:p>
          <w:pPr>
            <w:tabs>
              <w:tab w:val="right" w:leader="dot" w:pos="10535"/>
            </w:tabs>
            <w:spacing w:before="205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13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 xml:space="preserve">17      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公司健康营养食品各类别收入（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2019-2022H1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27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51"/>
              <w:sz w:val="19"/>
              <w:szCs w:val="19"/>
            </w:rPr>
            <w:t xml:space="preserve"> </w:t>
          </w:r>
          <w:hyperlink w:anchor="bookmark24" w:history="1"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11</w:t>
            </w:r>
          </w:hyperlink>
        </w:p>
        <w:p>
          <w:pPr>
            <w:tabs>
              <w:tab w:val="right" w:leader="dot" w:pos="10535"/>
            </w:tabs>
            <w:spacing w:before="206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20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18</w:t>
          </w:r>
          <w:r>
            <w:rPr>
              <w:rFonts w:ascii="Arial" w:eastAsia="Arial" w:hAnsi="Arial" w:cs="Arial"/>
              <w:spacing w:val="8"/>
              <w:sz w:val="19"/>
              <w:szCs w:val="19"/>
            </w:rPr>
            <w:t xml:space="preserve">      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公司数字化体育科技服务示例</w:t>
          </w:r>
          <w:r>
            <w:rPr>
              <w:rFonts w:ascii="NSimSun" w:eastAsia="NSimSun" w:hAnsi="NSimSun" w:cs="NSimSun"/>
              <w:spacing w:val="-23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25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12</w:t>
            </w:r>
          </w:hyperlink>
        </w:p>
        <w:p>
          <w:pPr>
            <w:tabs>
              <w:tab w:val="right" w:leader="dot" w:pos="10535"/>
            </w:tabs>
            <w:spacing w:before="205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19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19</w:t>
          </w:r>
          <w:r>
            <w:rPr>
              <w:rFonts w:ascii="Arial" w:eastAsia="Arial" w:hAnsi="Arial" w:cs="Arial"/>
              <w:spacing w:val="8"/>
              <w:sz w:val="19"/>
              <w:szCs w:val="19"/>
            </w:rPr>
            <w:t xml:space="preserve">      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公司受托加工业务示例</w:t>
          </w:r>
          <w:r>
            <w:rPr>
              <w:rFonts w:ascii="NSimSun" w:eastAsia="NSimSun" w:hAnsi="NSimSun" w:cs="NSimSun"/>
              <w:spacing w:val="-31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26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12</w:t>
            </w:r>
          </w:hyperlink>
        </w:p>
        <w:p>
          <w:pPr>
            <w:tabs>
              <w:tab w:val="right" w:leader="dot" w:pos="10535"/>
            </w:tabs>
            <w:spacing w:before="205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37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20</w:t>
          </w:r>
          <w:r>
            <w:rPr>
              <w:rFonts w:ascii="Arial" w:eastAsia="Arial" w:hAnsi="Arial" w:cs="Arial"/>
              <w:spacing w:val="8"/>
              <w:sz w:val="19"/>
              <w:szCs w:val="19"/>
            </w:rPr>
            <w:t xml:space="preserve">      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公司各销售渠道收入（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2019-2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022H1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53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27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13</w:t>
            </w:r>
          </w:hyperlink>
        </w:p>
        <w:p>
          <w:pPr>
            <w:tabs>
              <w:tab w:val="right" w:leader="dot" w:pos="10535"/>
            </w:tabs>
            <w:spacing w:before="207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26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21</w:t>
          </w:r>
          <w:r>
            <w:rPr>
              <w:rFonts w:ascii="Arial" w:eastAsia="Arial" w:hAnsi="Arial" w:cs="Arial"/>
              <w:sz w:val="19"/>
              <w:szCs w:val="19"/>
            </w:rPr>
            <w:t xml:space="preserve">       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 xml:space="preserve">2021 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年公司不同产品线上、线下收入占比</w:t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28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13</w:t>
            </w:r>
          </w:hyperlink>
        </w:p>
        <w:p>
          <w:pPr>
            <w:tabs>
              <w:tab w:val="right" w:leader="dot" w:pos="10535"/>
            </w:tabs>
            <w:spacing w:before="205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7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37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7"/>
              <w:sz w:val="19"/>
              <w:szCs w:val="19"/>
            </w:rPr>
            <w:t xml:space="preserve">22      </w:t>
          </w:r>
          <w:r>
            <w:rPr>
              <w:rFonts w:ascii="NSimSun" w:eastAsia="NSimSun" w:hAnsi="NSimSun" w:cs="NSimSun"/>
              <w:spacing w:val="7"/>
              <w:sz w:val="19"/>
              <w:szCs w:val="19"/>
            </w:rPr>
            <w:t>公司直营、经销占主营业务收入比（</w:t>
          </w:r>
          <w:r>
            <w:rPr>
              <w:rFonts w:ascii="Arial" w:eastAsia="Arial" w:hAnsi="Arial" w:cs="Arial"/>
              <w:spacing w:val="7"/>
              <w:sz w:val="19"/>
              <w:szCs w:val="19"/>
            </w:rPr>
            <w:t>2019-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2022H1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38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29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13</w:t>
            </w:r>
          </w:hyperlink>
        </w:p>
        <w:p>
          <w:pPr>
            <w:tabs>
              <w:tab w:val="right" w:leader="dot" w:pos="10535"/>
            </w:tabs>
            <w:spacing w:before="205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7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37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7"/>
              <w:sz w:val="19"/>
              <w:szCs w:val="19"/>
            </w:rPr>
            <w:t xml:space="preserve">23      </w:t>
          </w:r>
          <w:r>
            <w:rPr>
              <w:rFonts w:ascii="NSimSun" w:eastAsia="NSimSun" w:hAnsi="NSimSun" w:cs="NSimSun"/>
              <w:spacing w:val="7"/>
              <w:sz w:val="19"/>
              <w:szCs w:val="19"/>
            </w:rPr>
            <w:t>公司线上、线下占主营业务收入比（</w:t>
          </w:r>
          <w:r>
            <w:rPr>
              <w:rFonts w:ascii="Arial" w:eastAsia="Arial" w:hAnsi="Arial" w:cs="Arial"/>
              <w:spacing w:val="7"/>
              <w:sz w:val="19"/>
              <w:szCs w:val="19"/>
            </w:rPr>
            <w:t>2019-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2022H1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38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30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13</w:t>
            </w:r>
          </w:hyperlink>
        </w:p>
        <w:p>
          <w:pPr>
            <w:tabs>
              <w:tab w:val="right" w:leader="dot" w:pos="10535"/>
            </w:tabs>
            <w:spacing w:before="206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37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24</w:t>
          </w:r>
          <w:r>
            <w:rPr>
              <w:rFonts w:ascii="Arial" w:eastAsia="Arial" w:hAnsi="Arial" w:cs="Arial"/>
              <w:spacing w:val="8"/>
              <w:sz w:val="19"/>
              <w:szCs w:val="19"/>
            </w:rPr>
            <w:t xml:space="preserve">      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公司经销商数量变化（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2019-2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022H1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53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31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14</w:t>
            </w:r>
          </w:hyperlink>
        </w:p>
        <w:p>
          <w:pPr>
            <w:tabs>
              <w:tab w:val="right" w:leader="dot" w:pos="10535"/>
            </w:tabs>
            <w:spacing w:before="205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7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36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7"/>
              <w:sz w:val="19"/>
              <w:szCs w:val="19"/>
            </w:rPr>
            <w:t xml:space="preserve">25      </w:t>
          </w:r>
          <w:r>
            <w:rPr>
              <w:rFonts w:ascii="NSimSun" w:eastAsia="NSimSun" w:hAnsi="NSimSun" w:cs="NSimSun"/>
              <w:spacing w:val="7"/>
              <w:sz w:val="19"/>
              <w:szCs w:val="19"/>
            </w:rPr>
            <w:t>公司在各电商平台直营及代销销售收入（</w:t>
          </w:r>
          <w:r>
            <w:rPr>
              <w:rFonts w:ascii="Arial" w:eastAsia="Arial" w:hAnsi="Arial" w:cs="Arial"/>
              <w:spacing w:val="7"/>
              <w:sz w:val="19"/>
              <w:szCs w:val="19"/>
            </w:rPr>
            <w:t>2019-2022H1</w:t>
          </w:r>
          <w:r>
            <w:rPr>
              <w:rFonts w:ascii="NSimSun" w:eastAsia="NSimSun" w:hAnsi="NSimSun" w:cs="NSimSun"/>
              <w:spacing w:val="7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53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32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14</w:t>
            </w:r>
          </w:hyperlink>
        </w:p>
        <w:p>
          <w:pPr>
            <w:tabs>
              <w:tab w:val="right" w:leader="dot" w:pos="10535"/>
            </w:tabs>
            <w:spacing w:before="204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7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36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7"/>
              <w:sz w:val="19"/>
              <w:szCs w:val="19"/>
            </w:rPr>
            <w:t xml:space="preserve">26      </w:t>
          </w:r>
          <w:r>
            <w:rPr>
              <w:rFonts w:ascii="NSimSun" w:eastAsia="NSimSun" w:hAnsi="NSimSun" w:cs="NSimSun"/>
              <w:spacing w:val="7"/>
              <w:sz w:val="19"/>
              <w:szCs w:val="19"/>
            </w:rPr>
            <w:t>公司广告宣传服务费用率</w:t>
          </w:r>
          <w:r>
            <w:rPr>
              <w:rFonts w:ascii="Arial" w:eastAsia="Arial" w:hAnsi="Arial" w:cs="Arial"/>
              <w:spacing w:val="7"/>
              <w:sz w:val="19"/>
              <w:szCs w:val="19"/>
            </w:rPr>
            <w:t>&amp;</w:t>
          </w:r>
          <w:r>
            <w:rPr>
              <w:rFonts w:ascii="NSimSun" w:eastAsia="NSimSun" w:hAnsi="NSimSun" w:cs="NSimSun"/>
              <w:spacing w:val="7"/>
              <w:sz w:val="19"/>
              <w:szCs w:val="19"/>
            </w:rPr>
            <w:t>销售费用率（</w:t>
          </w:r>
          <w:r>
            <w:rPr>
              <w:rFonts w:ascii="Arial" w:eastAsia="Arial" w:hAnsi="Arial" w:cs="Arial"/>
              <w:spacing w:val="7"/>
              <w:sz w:val="19"/>
              <w:szCs w:val="19"/>
            </w:rPr>
            <w:t>2015-202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3H1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41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33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15</w:t>
            </w:r>
          </w:hyperlink>
        </w:p>
        <w:p>
          <w:pPr>
            <w:tabs>
              <w:tab w:val="right" w:leader="dot" w:pos="10535"/>
            </w:tabs>
            <w:spacing w:before="195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34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27</w:t>
          </w:r>
          <w:r>
            <w:rPr>
              <w:rFonts w:ascii="Arial" w:eastAsia="Arial" w:hAnsi="Arial" w:cs="Arial"/>
              <w:spacing w:val="8"/>
              <w:sz w:val="19"/>
              <w:szCs w:val="19"/>
            </w:rPr>
            <w:t xml:space="preserve">      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公司代言人示例</w:t>
          </w:r>
          <w:r>
            <w:rPr>
              <w:rFonts w:ascii="NSimSun" w:eastAsia="NSimSun" w:hAnsi="NSimSun" w:cs="NSimSun"/>
              <w:spacing w:val="-38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34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15</w:t>
            </w:r>
          </w:hyperlink>
        </w:p>
        <w:p>
          <w:pPr>
            <w:tabs>
              <w:tab w:val="right" w:leader="dot" w:pos="10535"/>
            </w:tabs>
            <w:spacing w:before="204" w:line="227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19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 xml:space="preserve">28      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公司广告宣传服务费用明细（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2019-2022H1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45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35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15</w:t>
            </w:r>
          </w:hyperlink>
        </w:p>
        <w:p>
          <w:pPr>
            <w:tabs>
              <w:tab w:val="right" w:leader="dot" w:pos="10535"/>
            </w:tabs>
            <w:spacing w:before="206" w:line="228" w:lineRule="auto"/>
            <w:ind w:left="2759"/>
            <w:rPr>
              <w:rFonts w:ascii="Arial" w:eastAsia="Arial" w:hAnsi="Arial" w:cs="Arial"/>
              <w:sz w:val="19"/>
              <w:szCs w:val="19"/>
            </w:rPr>
            <w:sectPr>
              <w:headerReference w:type="default" r:id="rId13"/>
              <w:footerReference w:type="default" r:id="rId14"/>
              <w:pgSz w:w="11907" w:h="16841"/>
              <w:pgMar w:top="966" w:right="661" w:bottom="997" w:left="679" w:header="280" w:footer="653" w:gutter="0"/>
              <w:pgNumType w:start="5"/>
              <w:cols w:space="708"/>
            </w:sectPr>
          </w:pP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36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29</w:t>
          </w:r>
          <w:r>
            <w:rPr>
              <w:rFonts w:ascii="Arial" w:eastAsia="Arial" w:hAnsi="Arial" w:cs="Arial"/>
              <w:spacing w:val="8"/>
              <w:sz w:val="19"/>
              <w:szCs w:val="19"/>
            </w:rPr>
            <w:t xml:space="preserve">      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公司市场推广费用明细（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2019-2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022H1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29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36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15</w:t>
            </w:r>
          </w:hyperlink>
        </w:p>
      </w:sdtContent>
    </w:sdt>
    <w:sdt>
      <w:sdtPr>
        <w:rPr>
          <w:rFonts w:ascii="NSimSun" w:eastAsia="NSimSun" w:hAnsi="NSimSun" w:cs="NSimSun"/>
          <w:sz w:val="19"/>
          <w:szCs w:val="19"/>
        </w:rPr>
        <w:id w:val="1888305791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19"/>
          <w:szCs w:val="19"/>
        </w:rPr>
      </w:sdtEndPr>
      <w:sdtContent>
        <w:p>
          <w:pPr>
            <w:tabs>
              <w:tab w:val="right" w:leader="dot" w:pos="10535"/>
            </w:tabs>
            <w:spacing w:before="208" w:line="228" w:lineRule="auto"/>
            <w:ind w:left="2759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2"/>
              <w:sz w:val="19"/>
              <w:szCs w:val="19"/>
            </w:rPr>
            <w:t>图</w:t>
          </w:r>
          <w:r>
            <w:rPr>
              <w:rFonts w:ascii="NSimSun" w:eastAsia="NSimSun" w:hAnsi="NSimSun" w:cs="NSimSun"/>
              <w:spacing w:val="-34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2"/>
              <w:sz w:val="19"/>
              <w:szCs w:val="19"/>
            </w:rPr>
            <w:t>30</w:t>
          </w:r>
          <w:r>
            <w:rPr>
              <w:rFonts w:ascii="Arial" w:eastAsia="Arial" w:hAnsi="Arial" w:cs="Arial"/>
              <w:spacing w:val="8"/>
              <w:sz w:val="19"/>
              <w:szCs w:val="19"/>
            </w:rPr>
            <w:t xml:space="preserve">      </w:t>
          </w:r>
          <w:r>
            <w:rPr>
              <w:rFonts w:ascii="NSimSun" w:eastAsia="NSimSun" w:hAnsi="NSimSun" w:cs="NSimSun"/>
              <w:spacing w:val="2"/>
              <w:sz w:val="19"/>
              <w:szCs w:val="19"/>
            </w:rPr>
            <w:t>公司各产品产能（吨，</w:t>
          </w:r>
          <w:r>
            <w:rPr>
              <w:rFonts w:ascii="NSimSun" w:eastAsia="NSimSun" w:hAnsi="NSimSun" w:cs="NSimSun"/>
              <w:spacing w:val="2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2"/>
              <w:sz w:val="19"/>
              <w:szCs w:val="19"/>
            </w:rPr>
            <w:t>2013-2</w:t>
          </w:r>
          <w:r>
            <w:rPr>
              <w:rFonts w:ascii="Arial" w:eastAsia="Arial" w:hAnsi="Arial" w:cs="Arial"/>
              <w:spacing w:val="1"/>
              <w:sz w:val="19"/>
              <w:szCs w:val="19"/>
            </w:rPr>
            <w:t>022H1</w:t>
          </w:r>
          <w:r>
            <w:rPr>
              <w:rFonts w:ascii="NSimSun" w:eastAsia="NSimSun" w:hAnsi="NSimSun" w:cs="NSimSun"/>
              <w:spacing w:val="1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53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37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15</w:t>
            </w:r>
          </w:hyperlink>
        </w:p>
      </w:sdtContent>
    </w:sdt>
    <w:p>
      <w:pPr>
        <w:spacing w:line="228" w:lineRule="auto"/>
        <w:rPr>
          <w:rFonts w:ascii="Arial" w:eastAsia="Arial" w:hAnsi="Arial" w:cs="Arial"/>
          <w:sz w:val="19"/>
          <w:szCs w:val="19"/>
        </w:rPr>
        <w:sectPr>
          <w:headerReference w:type="default" r:id="rId15"/>
          <w:footerReference w:type="default" r:id="rId16"/>
          <w:type w:val="nextPage"/>
          <w:pgSz w:w="11907" w:h="16841"/>
          <w:pgMar w:top="966" w:right="661" w:bottom="997" w:left="679" w:header="280" w:footer="653" w:gutter="0"/>
          <w:pgNumType w:start="6"/>
          <w:cols w:space="708"/>
          <w:titlePg w:val="0"/>
        </w:sectPr>
      </w:pPr>
    </w:p>
    <w:p>
      <w:pPr>
        <w:spacing w:before="223" w:line="228" w:lineRule="auto"/>
        <w:ind w:right="23"/>
        <w:jc w:val="right"/>
        <w:rPr>
          <w:rFonts w:ascii="Arial" w:eastAsia="Arial" w:hAnsi="Arial" w:cs="Arial"/>
          <w:sz w:val="19"/>
          <w:szCs w:val="19"/>
        </w:rPr>
      </w:pPr>
      <w:r>
        <w:rPr>
          <w:rFonts w:ascii="NSimSun" w:eastAsia="NSimSun" w:hAnsi="NSimSun" w:cs="NSimSun"/>
          <w:spacing w:val="4"/>
          <w:sz w:val="19"/>
          <w:szCs w:val="19"/>
        </w:rPr>
        <w:t>图</w:t>
      </w:r>
      <w:r>
        <w:rPr>
          <w:rFonts w:ascii="NSimSun" w:eastAsia="NSimSun" w:hAnsi="NSimSun" w:cs="NSimSun"/>
          <w:spacing w:val="-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4"/>
          <w:sz w:val="19"/>
          <w:szCs w:val="19"/>
        </w:rPr>
        <w:t xml:space="preserve">31      </w:t>
      </w:r>
      <w:r>
        <w:rPr>
          <w:rFonts w:ascii="NSimSun" w:eastAsia="NSimSun" w:hAnsi="NSimSun" w:cs="NSimSun"/>
          <w:spacing w:val="4"/>
          <w:sz w:val="19"/>
          <w:szCs w:val="19"/>
        </w:rPr>
        <w:t>公司各产品产能利用率（</w:t>
      </w:r>
      <w:r>
        <w:rPr>
          <w:rFonts w:ascii="Arial" w:eastAsia="Arial" w:hAnsi="Arial" w:cs="Arial"/>
          <w:spacing w:val="4"/>
          <w:sz w:val="19"/>
          <w:szCs w:val="19"/>
        </w:rPr>
        <w:t>2013-2022H1</w:t>
      </w:r>
      <w:r>
        <w:rPr>
          <w:rFonts w:ascii="NSimSun" w:eastAsia="NSimSun" w:hAnsi="NSimSun" w:cs="NSimSun"/>
          <w:spacing w:val="4"/>
          <w:sz w:val="19"/>
          <w:szCs w:val="19"/>
        </w:rPr>
        <w:t>）</w:t>
      </w:r>
      <w:r>
        <w:rPr>
          <w:rFonts w:ascii="NSimSun" w:eastAsia="NSimSun" w:hAnsi="NSimSun" w:cs="NSimSun"/>
          <w:spacing w:val="-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4"/>
          <w:sz w:val="19"/>
          <w:szCs w:val="19"/>
        </w:rPr>
        <w:t>........</w:t>
      </w:r>
      <w:r>
        <w:rPr>
          <w:rFonts w:ascii="Arial" w:eastAsia="Arial" w:hAnsi="Arial" w:cs="Arial"/>
          <w:spacing w:val="3"/>
          <w:sz w:val="19"/>
          <w:szCs w:val="19"/>
        </w:rPr>
        <w:t>................................................</w:t>
      </w:r>
      <w:r>
        <w:rPr>
          <w:rFonts w:ascii="Arial" w:eastAsia="Arial" w:hAnsi="Arial" w:cs="Arial"/>
          <w:spacing w:val="-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15</w:t>
      </w:r>
    </w:p>
    <w:p>
      <w:pPr>
        <w:spacing w:line="228" w:lineRule="auto"/>
        <w:rPr>
          <w:rFonts w:ascii="Arial" w:eastAsia="Arial" w:hAnsi="Arial" w:cs="Arial"/>
          <w:sz w:val="19"/>
          <w:szCs w:val="19"/>
        </w:rPr>
        <w:sectPr>
          <w:headerReference w:type="default" r:id="rId17"/>
          <w:footerReference w:type="default" r:id="rId18"/>
          <w:pgSz w:w="11907" w:h="16841"/>
          <w:pgMar w:top="966" w:right="661" w:bottom="997" w:left="679" w:header="280" w:footer="653" w:gutter="0"/>
          <w:pgNumType w:start="7"/>
          <w:cols w:space="708"/>
        </w:sectPr>
      </w:pPr>
    </w:p>
    <w:p>
      <w:pPr>
        <w:spacing w:before="376" w:line="187" w:lineRule="auto"/>
        <w:ind w:left="2111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b/>
          <w:bCs/>
          <w:color w:val="000080"/>
          <w:sz w:val="36"/>
          <w:szCs w:val="36"/>
          <w:u w:val="single" w:color="666699"/>
        </w:rPr>
        <w:t xml:space="preserve">表目录                                                                </w:t>
      </w:r>
      <w:r>
        <w:rPr>
          <w:position w:val="-12"/>
          <w:sz w:val="36"/>
          <w:szCs w:val="36"/>
        </w:rPr>
        <w:drawing>
          <wp:inline distT="0" distB="0" distL="0" distR="0">
            <wp:extent cx="18288" cy="18288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b/>
          <w:bCs/>
          <w:color w:val="000080"/>
          <w:spacing w:val="1"/>
          <w:sz w:val="36"/>
          <w:szCs w:val="36"/>
          <w:u w:val="single" w:color="666699"/>
        </w:rPr>
        <w:t xml:space="preserve">    </w:t>
      </w: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sdt>
      <w:sdtPr>
        <w:rPr>
          <w:rFonts w:ascii="NSimSun" w:eastAsia="NSimSun" w:hAnsi="NSimSun" w:cs="NSimSun"/>
          <w:sz w:val="19"/>
          <w:szCs w:val="19"/>
        </w:rPr>
        <w:id w:val="1940195184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19"/>
          <w:szCs w:val="19"/>
        </w:rPr>
      </w:sdtEndPr>
      <w:sdtContent>
        <w:p>
          <w:pPr>
            <w:tabs>
              <w:tab w:val="right" w:leader="dot" w:pos="10538"/>
            </w:tabs>
            <w:spacing w:before="62" w:line="228" w:lineRule="auto"/>
            <w:ind w:left="2734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表</w:t>
          </w:r>
          <w:r>
            <w:rPr>
              <w:rFonts w:ascii="NSimSun" w:eastAsia="NSimSun" w:hAnsi="NSimSun" w:cs="NSimSun"/>
              <w:spacing w:val="38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6"/>
              <w:sz w:val="19"/>
              <w:szCs w:val="19"/>
            </w:rPr>
            <w:t>1</w:t>
          </w:r>
          <w:r>
            <w:rPr>
              <w:rFonts w:ascii="Arial" w:eastAsia="Arial" w:hAnsi="Arial" w:cs="Arial"/>
              <w:sz w:val="19"/>
              <w:szCs w:val="19"/>
            </w:rPr>
            <w:t xml:space="preserve">        </w:t>
          </w:r>
          <w:r>
            <w:rPr>
              <w:rFonts w:ascii="NSimSun" w:eastAsia="NSimSun" w:hAnsi="NSimSun" w:cs="NSimSun"/>
              <w:spacing w:val="6"/>
              <w:sz w:val="19"/>
              <w:szCs w:val="19"/>
            </w:rPr>
            <w:t>公司主要竞争对手</w:t>
          </w:r>
          <w:r>
            <w:rPr>
              <w:rFonts w:ascii="NSimSun" w:eastAsia="NSimSun" w:hAnsi="NSimSun" w:cs="NSimSun"/>
              <w:spacing w:val="-71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hyperlink w:anchor="bookmark38" w:history="1">
            <w:r>
              <w:rPr>
                <w:rFonts w:ascii="Arial" w:eastAsia="Arial" w:hAnsi="Arial" w:cs="Arial"/>
                <w:spacing w:val="14"/>
                <w:sz w:val="19"/>
                <w:szCs w:val="19"/>
              </w:rPr>
              <w:t>7</w:t>
            </w:r>
          </w:hyperlink>
        </w:p>
        <w:p>
          <w:pPr>
            <w:tabs>
              <w:tab w:val="right" w:leader="dot" w:pos="10538"/>
            </w:tabs>
            <w:spacing w:before="204" w:line="229" w:lineRule="auto"/>
            <w:ind w:left="2734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8"/>
              <w:sz w:val="19"/>
              <w:szCs w:val="19"/>
            </w:rPr>
            <w:t>表</w:t>
          </w:r>
          <w:r>
            <w:rPr>
              <w:rFonts w:ascii="NSimSun" w:eastAsia="NSimSun" w:hAnsi="NSimSun" w:cs="NSimSun"/>
              <w:spacing w:val="8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8"/>
              <w:sz w:val="19"/>
              <w:szCs w:val="19"/>
            </w:rPr>
            <w:t>2</w:t>
          </w:r>
          <w:r>
            <w:rPr>
              <w:rFonts w:ascii="Arial" w:eastAsia="Arial" w:hAnsi="Arial" w:cs="Arial"/>
              <w:spacing w:val="1"/>
              <w:sz w:val="19"/>
              <w:szCs w:val="19"/>
            </w:rPr>
            <w:t xml:space="preserve">        </w:t>
          </w:r>
          <w:r>
            <w:rPr>
              <w:rFonts w:ascii="NSimSun" w:eastAsia="NSimSun" w:hAnsi="NSimSun" w:cs="NSimSun"/>
              <w:spacing w:val="8"/>
              <w:sz w:val="19"/>
              <w:szCs w:val="19"/>
            </w:rPr>
            <w:t>公司发展历程</w:t>
          </w:r>
          <w:r>
            <w:rPr>
              <w:rFonts w:ascii="NSimSun" w:eastAsia="NSimSun" w:hAnsi="NSimSun" w:cs="NSimSun"/>
              <w:spacing w:val="-60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hyperlink w:anchor="bookmark39" w:history="1">
            <w:r>
              <w:rPr>
                <w:rFonts w:ascii="Arial" w:eastAsia="Arial" w:hAnsi="Arial" w:cs="Arial"/>
                <w:spacing w:val="14"/>
                <w:sz w:val="19"/>
                <w:szCs w:val="19"/>
              </w:rPr>
              <w:t>8</w:t>
            </w:r>
          </w:hyperlink>
        </w:p>
        <w:p>
          <w:pPr>
            <w:tabs>
              <w:tab w:val="right" w:leader="dot" w:pos="10535"/>
            </w:tabs>
            <w:spacing w:before="205" w:line="227" w:lineRule="auto"/>
            <w:ind w:left="2734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9"/>
              <w:sz w:val="19"/>
              <w:szCs w:val="19"/>
            </w:rPr>
            <w:t>表</w:t>
          </w:r>
          <w:r>
            <w:rPr>
              <w:rFonts w:ascii="NSimSun" w:eastAsia="NSimSun" w:hAnsi="NSimSun" w:cs="NSimSun"/>
              <w:spacing w:val="9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9"/>
              <w:sz w:val="19"/>
              <w:szCs w:val="19"/>
            </w:rPr>
            <w:t>3</w:t>
          </w:r>
          <w:r>
            <w:rPr>
              <w:rFonts w:ascii="Arial" w:eastAsia="Arial" w:hAnsi="Arial" w:cs="Arial"/>
              <w:spacing w:val="1"/>
              <w:sz w:val="19"/>
              <w:szCs w:val="19"/>
            </w:rPr>
            <w:t xml:space="preserve">        </w:t>
          </w:r>
          <w:r>
            <w:rPr>
              <w:rFonts w:ascii="NSimSun" w:eastAsia="NSimSun" w:hAnsi="NSimSun" w:cs="NSimSun"/>
              <w:spacing w:val="9"/>
              <w:sz w:val="19"/>
              <w:szCs w:val="19"/>
            </w:rPr>
            <w:t>公司产品聚焦策略在定期报告中的叙述</w:t>
          </w:r>
          <w:r>
            <w:rPr>
              <w:rFonts w:ascii="NSimSun" w:eastAsia="NSimSun" w:hAnsi="NSimSun" w:cs="NSimSun"/>
              <w:spacing w:val="-49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4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12</w:t>
            </w:r>
          </w:hyperlink>
        </w:p>
        <w:p>
          <w:pPr>
            <w:tabs>
              <w:tab w:val="right" w:leader="dot" w:pos="10535"/>
            </w:tabs>
            <w:spacing w:before="206" w:line="229" w:lineRule="auto"/>
            <w:ind w:left="2734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7"/>
              <w:sz w:val="19"/>
              <w:szCs w:val="19"/>
            </w:rPr>
            <w:t>表</w:t>
          </w:r>
          <w:r>
            <w:rPr>
              <w:rFonts w:ascii="NSimSun" w:eastAsia="NSimSun" w:hAnsi="NSimSun" w:cs="NSimSun"/>
              <w:spacing w:val="7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7"/>
              <w:sz w:val="19"/>
              <w:szCs w:val="19"/>
            </w:rPr>
            <w:t>4</w:t>
          </w:r>
          <w:r>
            <w:rPr>
              <w:rFonts w:ascii="Arial" w:eastAsia="Arial" w:hAnsi="Arial" w:cs="Arial"/>
              <w:spacing w:val="2"/>
              <w:sz w:val="19"/>
              <w:szCs w:val="19"/>
            </w:rPr>
            <w:t xml:space="preserve">        </w:t>
          </w:r>
          <w:r>
            <w:rPr>
              <w:rFonts w:ascii="Arial" w:eastAsia="Arial" w:hAnsi="Arial" w:cs="Arial"/>
              <w:spacing w:val="7"/>
              <w:sz w:val="19"/>
              <w:szCs w:val="19"/>
            </w:rPr>
            <w:t xml:space="preserve">22H1 </w:t>
          </w:r>
          <w:r>
            <w:rPr>
              <w:rFonts w:ascii="NSimSun" w:eastAsia="NSimSun" w:hAnsi="NSimSun" w:cs="NSimSun"/>
              <w:spacing w:val="7"/>
              <w:sz w:val="19"/>
              <w:szCs w:val="19"/>
            </w:rPr>
            <w:t>公司前五大客户销售情况</w:t>
          </w:r>
          <w:r>
            <w:rPr>
              <w:rFonts w:ascii="NSimSun" w:eastAsia="NSimSun" w:hAnsi="NSimSun" w:cs="NSimSun"/>
              <w:spacing w:val="-40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40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14</w:t>
            </w:r>
          </w:hyperlink>
        </w:p>
        <w:p>
          <w:pPr>
            <w:tabs>
              <w:tab w:val="right" w:leader="dot" w:pos="10535"/>
            </w:tabs>
            <w:spacing w:before="204" w:line="228" w:lineRule="auto"/>
            <w:ind w:left="2734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4"/>
              <w:sz w:val="19"/>
              <w:szCs w:val="19"/>
            </w:rPr>
            <w:t>表</w:t>
          </w:r>
          <w:r>
            <w:rPr>
              <w:rFonts w:ascii="NSimSun" w:eastAsia="NSimSun" w:hAnsi="NSimSun" w:cs="NSimSun"/>
              <w:spacing w:val="4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4"/>
              <w:sz w:val="19"/>
              <w:szCs w:val="19"/>
            </w:rPr>
            <w:t xml:space="preserve">5        </w:t>
          </w:r>
          <w:r>
            <w:rPr>
              <w:rFonts w:ascii="NSimSun" w:eastAsia="NSimSun" w:hAnsi="NSimSun" w:cs="NSimSun"/>
              <w:spacing w:val="4"/>
              <w:sz w:val="19"/>
              <w:szCs w:val="19"/>
            </w:rPr>
            <w:t>公司上市募投项目（万元）</w:t>
          </w:r>
          <w:r>
            <w:rPr>
              <w:rFonts w:ascii="NSimSun" w:eastAsia="NSimSun" w:hAnsi="NSimSun" w:cs="NSimSun"/>
              <w:spacing w:val="4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6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16</w:t>
            </w:r>
          </w:hyperlink>
        </w:p>
        <w:p>
          <w:pPr>
            <w:tabs>
              <w:tab w:val="right" w:leader="dot" w:pos="10535"/>
            </w:tabs>
            <w:spacing w:before="207" w:line="228" w:lineRule="auto"/>
            <w:ind w:left="2734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9"/>
              <w:sz w:val="19"/>
              <w:szCs w:val="19"/>
            </w:rPr>
            <w:t>表</w:t>
          </w:r>
          <w:r>
            <w:rPr>
              <w:rFonts w:ascii="NSimSun" w:eastAsia="NSimSun" w:hAnsi="NSimSun" w:cs="NSimSun"/>
              <w:spacing w:val="9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9"/>
              <w:sz w:val="19"/>
              <w:szCs w:val="19"/>
            </w:rPr>
            <w:t>6</w:t>
          </w:r>
          <w:r>
            <w:rPr>
              <w:rFonts w:ascii="Arial" w:eastAsia="Arial" w:hAnsi="Arial" w:cs="Arial"/>
              <w:spacing w:val="1"/>
              <w:sz w:val="19"/>
              <w:szCs w:val="19"/>
            </w:rPr>
            <w:t xml:space="preserve">        </w:t>
          </w:r>
          <w:r>
            <w:rPr>
              <w:rFonts w:ascii="NSimSun" w:eastAsia="NSimSun" w:hAnsi="NSimSun" w:cs="NSimSun"/>
              <w:spacing w:val="9"/>
              <w:sz w:val="19"/>
              <w:szCs w:val="19"/>
            </w:rPr>
            <w:t>公司上市募投项目主要产品产能</w:t>
          </w:r>
          <w:r>
            <w:rPr>
              <w:rFonts w:ascii="NSimSun" w:eastAsia="NSimSun" w:hAnsi="NSimSun" w:cs="NSimSun"/>
              <w:spacing w:val="-59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41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16</w:t>
            </w:r>
          </w:hyperlink>
        </w:p>
        <w:p>
          <w:pPr>
            <w:tabs>
              <w:tab w:val="right" w:leader="dot" w:pos="10535"/>
            </w:tabs>
            <w:spacing w:before="205" w:line="228" w:lineRule="auto"/>
            <w:ind w:left="2734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4"/>
              <w:sz w:val="19"/>
              <w:szCs w:val="19"/>
            </w:rPr>
            <w:t>表</w:t>
          </w:r>
          <w:r>
            <w:rPr>
              <w:rFonts w:ascii="NSimSun" w:eastAsia="NSimSun" w:hAnsi="NSimSun" w:cs="NSimSun"/>
              <w:spacing w:val="4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4"/>
              <w:sz w:val="19"/>
              <w:szCs w:val="19"/>
            </w:rPr>
            <w:t xml:space="preserve">7        </w:t>
          </w:r>
          <w:r>
            <w:rPr>
              <w:rFonts w:ascii="NSimSun" w:eastAsia="NSimSun" w:hAnsi="NSimSun" w:cs="NSimSun"/>
              <w:spacing w:val="4"/>
              <w:sz w:val="19"/>
              <w:szCs w:val="19"/>
            </w:rPr>
            <w:t>公司主要业务拆分预测（百万元）</w:t>
          </w:r>
          <w:r>
            <w:rPr>
              <w:rFonts w:ascii="NSimSun" w:eastAsia="NSimSun" w:hAnsi="NSimSun" w:cs="NSimSun"/>
              <w:spacing w:val="28"/>
              <w:w w:val="101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42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16</w:t>
            </w:r>
          </w:hyperlink>
        </w:p>
        <w:p>
          <w:pPr>
            <w:tabs>
              <w:tab w:val="right" w:leader="dot" w:pos="10535"/>
            </w:tabs>
            <w:spacing w:before="204" w:line="227" w:lineRule="auto"/>
            <w:ind w:left="2734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表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 xml:space="preserve">8        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可比公司估值对比（</w:t>
          </w:r>
          <w:r>
            <w:rPr>
              <w:rFonts w:ascii="Arial" w:eastAsia="Arial" w:hAnsi="Arial" w:cs="Arial"/>
              <w:spacing w:val="5"/>
              <w:sz w:val="19"/>
              <w:szCs w:val="19"/>
            </w:rPr>
            <w:t>2024.3.7</w:t>
          </w:r>
          <w:r>
            <w:rPr>
              <w:rFonts w:ascii="NSimSun" w:eastAsia="NSimSun" w:hAnsi="NSimSun" w:cs="NSimSun"/>
              <w:spacing w:val="5"/>
              <w:sz w:val="19"/>
              <w:szCs w:val="19"/>
            </w:rPr>
            <w:t>）</w:t>
          </w:r>
          <w:r>
            <w:rPr>
              <w:rFonts w:ascii="NSimSun" w:eastAsia="NSimSun" w:hAnsi="NSimSun" w:cs="NSimSun"/>
              <w:spacing w:val="-23"/>
              <w:sz w:val="19"/>
              <w:szCs w:val="19"/>
            </w:rPr>
            <w:t xml:space="preserve"> </w:t>
          </w:r>
          <w:r>
            <w:rPr>
              <w:rFonts w:ascii="NSimSun" w:eastAsia="NSimSun" w:hAnsi="NSimSun" w:cs="NSimSun"/>
              <w:sz w:val="19"/>
              <w:szCs w:val="19"/>
            </w:rPr>
            <w:tab/>
          </w:r>
          <w:r>
            <w:rPr>
              <w:rFonts w:ascii="NSimSun" w:eastAsia="NSimSun" w:hAnsi="NSimSun" w:cs="NSimSun"/>
              <w:spacing w:val="-66"/>
              <w:sz w:val="19"/>
              <w:szCs w:val="19"/>
            </w:rPr>
            <w:t xml:space="preserve"> </w:t>
          </w:r>
          <w:hyperlink w:anchor="bookmark43" w:history="1"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>17</w:t>
            </w:r>
          </w:hyperlink>
        </w:p>
      </w:sdtContent>
    </w:sdt>
    <w:p>
      <w:pPr>
        <w:spacing w:line="227" w:lineRule="auto"/>
        <w:rPr>
          <w:rFonts w:ascii="Arial" w:eastAsia="Arial" w:hAnsi="Arial" w:cs="Arial"/>
          <w:sz w:val="19"/>
          <w:szCs w:val="19"/>
        </w:rPr>
        <w:sectPr>
          <w:headerReference w:type="default" r:id="rId19"/>
          <w:footerReference w:type="default" r:id="rId20"/>
          <w:pgSz w:w="11907" w:h="16841"/>
          <w:pgMar w:top="966" w:right="661" w:bottom="997" w:left="679" w:header="280" w:footer="653" w:gutter="0"/>
          <w:pgNumType w:start="8"/>
          <w:cols w:space="708"/>
        </w:sectPr>
      </w:pPr>
    </w:p>
    <w:p>
      <w:pPr>
        <w:spacing w:before="244" w:line="220" w:lineRule="auto"/>
        <w:ind w:left="7201"/>
        <w:rPr>
          <w:rFonts w:ascii="Arial" w:eastAsia="Arial" w:hAnsi="Arial" w:cs="Arial"/>
          <w:sz w:val="21"/>
          <w:szCs w:val="21"/>
        </w:rPr>
      </w:pPr>
      <w:r>
        <w:pict>
          <v:shape id="_x0000_s1035" style="width:255.1pt;height:0.5pt;margin-top:446.47pt;margin-left:43.8pt;mso-position-horizontal-relative:page;mso-position-vertical-relative:page;position:absolute;z-index:251664384" coordorigin="0,0" coordsize="5102,10" o:allowincell="f" path="m,9l5101,9l5101,l,l,9xe" filled="t" fillcolor="black" stroked="f"/>
        </w:pict>
      </w:r>
      <w:r>
        <w:pict>
          <v:shape id="_x0000_s1036" style="width:255.1pt;height:0.5pt;margin-top:463.99pt;margin-left:43.8pt;mso-position-horizontal-relative:page;mso-position-vertical-relative:page;position:absolute;z-index:251662336" coordorigin="0,0" coordsize="5102,10" o:allowincell="f" path="m,9l5101,9l5101,l,l,9xe" filled="t" fillcolor="black" stroked="f"/>
        </w:pict>
      </w:r>
      <w:r>
        <w:pict>
          <v:shape id="_x0000_s1037" style="width:255.1pt;height:0.5pt;margin-top:606.34pt;margin-left:43.8pt;mso-position-horizontal-relative:page;mso-position-vertical-relative:page;position:absolute;z-index:251665408" coordorigin="0,0" coordsize="5102,10" o:allowincell="f" path="m,9l5101,9l5101,l,l,9xe" filled="t" fillcolor="black" stroked="f"/>
        </w:pict>
      </w:r>
      <w:r>
        <w:pict>
          <v:shape id="_x0000_s1038" style="width:255.05pt;height:0.5pt;margin-top:446.47pt;margin-left:307.49pt;mso-position-horizontal-relative:page;mso-position-vertical-relative:page;position:absolute;z-index:251666432" coordorigin="0,0" coordsize="5101,10" o:allowincell="f" path="m,9l5100,9l5100,l,l,9xe" filled="t" fillcolor="black" stroked="f"/>
        </w:pict>
      </w:r>
      <w:r>
        <w:pict>
          <v:shape id="_x0000_s1039" style="width:255.05pt;height:0.5pt;margin-top:463.99pt;margin-left:307.49pt;mso-position-horizontal-relative:page;mso-position-vertical-relative:page;position:absolute;z-index:251663360" coordorigin="0,0" coordsize="5101,10" o:allowincell="f" path="m,9l5100,9l5100,l,l,9xe" filled="t" fillcolor="black" stroked="f"/>
        </w:pict>
      </w:r>
      <w:r>
        <w:pict>
          <v:shape id="_x0000_s1040" style="width:255.05pt;height:0.5pt;margin-top:606.34pt;margin-left:307.49pt;mso-position-horizontal-relative:page;mso-position-vertical-relative:page;position:absolute;z-index:251667456" coordorigin="0,0" coordsize="5101,10" o:allowincell="f" path="m,9l5100,9l5100,l,l,9xe" filled="t" fillcolor="black" stroked="f"/>
        </w:pict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431165</wp:posOffset>
            </wp:positionH>
            <wp:positionV relativeFrom="page">
              <wp:posOffset>178434</wp:posOffset>
            </wp:positionV>
            <wp:extent cx="1237615" cy="346075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37615" cy="346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NSimSun" w:eastAsia="NSimSun" w:hAnsi="NSimSun" w:cs="NSimSun"/>
          <w:sz w:val="21"/>
          <w:szCs w:val="21"/>
        </w:rPr>
        <w:t>公司研究〃康比特（</w:t>
      </w:r>
      <w:r>
        <w:rPr>
          <w:rFonts w:ascii="Arial" w:eastAsia="Arial" w:hAnsi="Arial" w:cs="Arial"/>
          <w:sz w:val="21"/>
          <w:szCs w:val="21"/>
        </w:rPr>
        <w:t>833429</w:t>
      </w:r>
      <w:r>
        <w:rPr>
          <w:rFonts w:ascii="NSimSun" w:eastAsia="NSimSun" w:hAnsi="NSimSun" w:cs="NSimSun"/>
          <w:sz w:val="21"/>
          <w:szCs w:val="21"/>
        </w:rPr>
        <w:t>）</w:t>
      </w:r>
      <w:r>
        <w:rPr>
          <w:rFonts w:ascii="Arial" w:eastAsia="Arial" w:hAnsi="Arial" w:cs="Arial"/>
          <w:b/>
          <w:bCs/>
          <w:sz w:val="21"/>
          <w:szCs w:val="21"/>
        </w:rPr>
        <w:t>6</w:t>
      </w:r>
    </w:p>
    <w:p>
      <w:pPr>
        <w:spacing w:before="39" w:line="32" w:lineRule="exact"/>
        <w:ind w:firstLine="37"/>
      </w:pPr>
      <w:r>
        <w:drawing>
          <wp:inline distT="0" distB="0" distL="0" distR="0">
            <wp:extent cx="6677825" cy="2032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77825" cy="2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before="129" w:line="185" w:lineRule="auto"/>
        <w:ind w:left="2964"/>
        <w:outlineLvl w:val="0"/>
        <w:rPr>
          <w:rFonts w:ascii="Microsoft YaHei" w:eastAsia="Microsoft YaHei" w:hAnsi="Microsoft YaHei" w:cs="Microsoft YaHei"/>
          <w:sz w:val="30"/>
          <w:szCs w:val="30"/>
        </w:rPr>
      </w:pPr>
      <w:bookmarkStart w:id="0" w:name="bookmark1"/>
      <w:bookmarkEnd w:id="0"/>
      <w:bookmarkStart w:id="1" w:name="bookmark9"/>
      <w:bookmarkEnd w:id="1"/>
      <w:r>
        <w:rPr>
          <w:rFonts w:ascii="Arial" w:eastAsia="Arial" w:hAnsi="Arial" w:cs="Arial"/>
          <w:b/>
          <w:bCs/>
          <w:color w:val="000080"/>
          <w:spacing w:val="-6"/>
          <w:sz w:val="30"/>
          <w:szCs w:val="30"/>
        </w:rPr>
        <w:t>1.</w:t>
      </w:r>
      <w:r>
        <w:rPr>
          <w:rFonts w:ascii="Arial" w:eastAsia="Arial" w:hAnsi="Arial" w:cs="Arial"/>
          <w:b/>
          <w:bCs/>
          <w:color w:val="000080"/>
          <w:spacing w:val="23"/>
          <w:w w:val="101"/>
          <w:sz w:val="30"/>
          <w:szCs w:val="30"/>
        </w:rPr>
        <w:t xml:space="preserve">  </w:t>
      </w:r>
      <w:r>
        <w:rPr>
          <w:rFonts w:ascii="Microsoft YaHei" w:eastAsia="Microsoft YaHei" w:hAnsi="Microsoft YaHei" w:cs="Microsoft YaHei"/>
          <w:b/>
          <w:bCs/>
          <w:color w:val="000080"/>
          <w:spacing w:val="-6"/>
          <w:sz w:val="30"/>
          <w:szCs w:val="30"/>
        </w:rPr>
        <w:t>国内运动营养行业空间较大，</w:t>
      </w:r>
      <w:r>
        <w:rPr>
          <w:rFonts w:ascii="Microsoft YaHei" w:eastAsia="Microsoft YaHei" w:hAnsi="Microsoft YaHei" w:cs="Microsoft YaHei"/>
          <w:b/>
          <w:bCs/>
          <w:color w:val="000080"/>
          <w:spacing w:val="-22"/>
          <w:sz w:val="30"/>
          <w:szCs w:val="30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000080"/>
          <w:spacing w:val="-6"/>
          <w:sz w:val="30"/>
          <w:szCs w:val="30"/>
        </w:rPr>
        <w:t>内资品牌主导</w:t>
      </w:r>
    </w:p>
    <w:p>
      <w:pPr>
        <w:spacing w:before="203" w:line="249" w:lineRule="auto"/>
        <w:ind w:left="2942" w:right="30" w:firstLine="402"/>
        <w:jc w:val="both"/>
        <w:rPr>
          <w:rFonts w:ascii="NSimSun" w:eastAsia="NSimSun" w:hAnsi="NSimSun" w:cs="NSimSun"/>
          <w:sz w:val="19"/>
          <w:szCs w:val="19"/>
        </w:rPr>
      </w:pPr>
      <w:r>
        <w:rPr>
          <w:rFonts w:ascii="NSimSun" w:eastAsia="NSimSun" w:hAnsi="NSimSun" w:cs="NSimSun"/>
          <w:spacing w:val="10"/>
          <w:sz w:val="19"/>
          <w:szCs w:val="19"/>
        </w:rPr>
        <w:t>各国对运动营养食品的定义并不统一，国内将运动营养食品具体定义是为满足运动</w:t>
      </w:r>
      <w:r>
        <w:rPr>
          <w:rFonts w:ascii="NSimSun" w:eastAsia="NSimSun" w:hAnsi="NSimSun" w:cs="NSimSun"/>
          <w:spacing w:val="2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9"/>
          <w:sz w:val="19"/>
          <w:szCs w:val="19"/>
        </w:rPr>
        <w:t>人群的生理代谢状态、运动能力及对某些营养成分的特殊需求专门加工的食品。</w:t>
      </w:r>
      <w:r>
        <w:rPr>
          <w:rFonts w:ascii="NSimSun" w:eastAsia="NSimSun" w:hAnsi="NSimSun" w:cs="NSimSun"/>
          <w:spacing w:val="-51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9"/>
          <w:sz w:val="19"/>
          <w:szCs w:val="19"/>
        </w:rPr>
        <w:t>国外运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6"/>
          <w:sz w:val="19"/>
          <w:szCs w:val="19"/>
        </w:rPr>
        <w:t>动营养食品发展较早、较快，自</w:t>
      </w:r>
      <w:r>
        <w:rPr>
          <w:rFonts w:ascii="NSimSun" w:eastAsia="NSimSun" w:hAnsi="NSimSun" w:cs="NSimSun"/>
          <w:spacing w:val="6"/>
          <w:sz w:val="19"/>
          <w:szCs w:val="19"/>
        </w:rPr>
        <w:t xml:space="preserve"> </w:t>
      </w:r>
      <w:r>
        <w:rPr>
          <w:rFonts w:ascii="Arial" w:eastAsia="Arial" w:hAnsi="Arial" w:cs="Arial"/>
          <w:spacing w:val="6"/>
          <w:sz w:val="19"/>
          <w:szCs w:val="19"/>
        </w:rPr>
        <w:t>1965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6"/>
          <w:sz w:val="19"/>
          <w:szCs w:val="19"/>
        </w:rPr>
        <w:t>年第一个运动饮料问世，</w:t>
      </w:r>
      <w:r>
        <w:rPr>
          <w:rFonts w:ascii="NSimSun" w:eastAsia="NSimSun" w:hAnsi="NSimSun" w:cs="NSimSun"/>
          <w:spacing w:val="6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6"/>
          <w:sz w:val="19"/>
          <w:szCs w:val="19"/>
        </w:rPr>
        <w:t>运动营养食品产业就进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入了快速发展期，到</w:t>
      </w:r>
      <w:r>
        <w:rPr>
          <w:rFonts w:ascii="NSimSun" w:eastAsia="NSimSun" w:hAnsi="NSimSun" w:cs="NSimSun"/>
          <w:spacing w:val="-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 xml:space="preserve">20 </w:t>
      </w:r>
      <w:r>
        <w:rPr>
          <w:rFonts w:ascii="NSimSun" w:eastAsia="NSimSun" w:hAnsi="NSimSun" w:cs="NSimSun"/>
          <w:spacing w:val="3"/>
          <w:sz w:val="19"/>
          <w:szCs w:val="19"/>
        </w:rPr>
        <w:t>世纪</w:t>
      </w:r>
      <w:r>
        <w:rPr>
          <w:rFonts w:ascii="NSimSun" w:eastAsia="NSimSun" w:hAnsi="NSimSun" w:cs="NSimSun"/>
          <w:spacing w:val="-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 xml:space="preserve">80 </w:t>
      </w:r>
      <w:r>
        <w:rPr>
          <w:rFonts w:ascii="NSimSun" w:eastAsia="NSimSun" w:hAnsi="NSimSun" w:cs="NSimSun"/>
          <w:spacing w:val="3"/>
          <w:sz w:val="19"/>
          <w:szCs w:val="19"/>
        </w:rPr>
        <w:t>年代，</w:t>
      </w:r>
      <w:r>
        <w:rPr>
          <w:rFonts w:ascii="NSimSun" w:eastAsia="NSimSun" w:hAnsi="NSimSun" w:cs="NSimSun"/>
          <w:spacing w:val="3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健美产品的生产</w:t>
      </w:r>
      <w:r>
        <w:rPr>
          <w:rFonts w:ascii="NSimSun" w:eastAsia="NSimSun" w:hAnsi="NSimSun" w:cs="NSimSun"/>
          <w:spacing w:val="2"/>
          <w:sz w:val="19"/>
          <w:szCs w:val="19"/>
        </w:rPr>
        <w:t>和销售超过早期预想界限，</w:t>
      </w:r>
      <w:r>
        <w:rPr>
          <w:rFonts w:ascii="NSimSun" w:eastAsia="NSimSun" w:hAnsi="NSimSun" w:cs="NSimSun"/>
          <w:spacing w:val="2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2"/>
          <w:sz w:val="19"/>
          <w:szCs w:val="19"/>
        </w:rPr>
        <w:t>转入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6"/>
          <w:sz w:val="19"/>
          <w:szCs w:val="19"/>
        </w:rPr>
        <w:t>膳食补充剂市场，</w:t>
      </w:r>
      <w:r>
        <w:rPr>
          <w:rFonts w:ascii="NSimSun" w:eastAsia="NSimSun" w:hAnsi="NSimSun" w:cs="NSimSun"/>
          <w:spacing w:val="58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6"/>
          <w:sz w:val="19"/>
          <w:szCs w:val="19"/>
        </w:rPr>
        <w:t>出现了“补充剂暴涨”的情况。目前国外运动营养食品已经是食品行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7"/>
          <w:sz w:val="19"/>
          <w:szCs w:val="19"/>
        </w:rPr>
        <w:t>业中的重要组成部分，</w:t>
      </w:r>
      <w:r>
        <w:rPr>
          <w:rFonts w:ascii="NSimSun" w:eastAsia="NSimSun" w:hAnsi="NSimSun" w:cs="NSimSun"/>
          <w:spacing w:val="7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7"/>
          <w:sz w:val="19"/>
          <w:szCs w:val="19"/>
        </w:rPr>
        <w:t>由最开始的十几种发展为现在的上千种，由最开始的专注于服务</w:t>
      </w:r>
      <w:r>
        <w:rPr>
          <w:rFonts w:ascii="NSimSun" w:eastAsia="NSimSun" w:hAnsi="NSimSun" w:cs="NSimSun"/>
          <w:spacing w:val="13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9"/>
          <w:sz w:val="19"/>
          <w:szCs w:val="19"/>
        </w:rPr>
        <w:t>专业体育人群发展为现在的服务更广范围的大众体育人群。</w:t>
      </w:r>
    </w:p>
    <w:p>
      <w:pPr>
        <w:spacing w:before="262" w:line="245" w:lineRule="auto"/>
        <w:ind w:left="2946" w:right="88" w:firstLine="397"/>
        <w:rPr>
          <w:rFonts w:ascii="NSimSun" w:eastAsia="NSimSun" w:hAnsi="NSimSun" w:cs="NSimSun"/>
          <w:sz w:val="19"/>
          <w:szCs w:val="19"/>
        </w:rPr>
      </w:pPr>
      <w:r>
        <w:rPr>
          <w:rFonts w:ascii="NSimSun" w:eastAsia="NSimSun" w:hAnsi="NSimSun" w:cs="NSimSun"/>
          <w:spacing w:val="7"/>
          <w:sz w:val="19"/>
          <w:szCs w:val="19"/>
        </w:rPr>
        <w:t>据公司招股说明书援引欧睿国际和华经产业研究院数据，</w:t>
      </w:r>
      <w:r>
        <w:rPr>
          <w:rFonts w:ascii="NSimSun" w:eastAsia="NSimSun" w:hAnsi="NSimSun" w:cs="NSimSun"/>
          <w:spacing w:val="-29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6"/>
          <w:sz w:val="19"/>
          <w:szCs w:val="19"/>
        </w:rPr>
        <w:t>全球运动营养市场规模由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 xml:space="preserve">2014 </w:t>
      </w:r>
      <w:r>
        <w:rPr>
          <w:rFonts w:ascii="NSimSun" w:eastAsia="NSimSun" w:hAnsi="NSimSun" w:cs="NSimSun"/>
          <w:spacing w:val="1"/>
          <w:sz w:val="19"/>
          <w:szCs w:val="19"/>
        </w:rPr>
        <w:t>年的</w:t>
      </w:r>
      <w:r>
        <w:rPr>
          <w:rFonts w:ascii="NSimSun" w:eastAsia="NSimSun" w:hAnsi="NSimSun" w:cs="NSimSun"/>
          <w:spacing w:val="-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 xml:space="preserve">108.83 </w:t>
      </w:r>
      <w:r>
        <w:rPr>
          <w:rFonts w:ascii="NSimSun" w:eastAsia="NSimSun" w:hAnsi="NSimSun" w:cs="NSimSun"/>
          <w:spacing w:val="1"/>
          <w:sz w:val="19"/>
          <w:szCs w:val="19"/>
        </w:rPr>
        <w:t>亿美元增长到</w:t>
      </w:r>
      <w:r>
        <w:rPr>
          <w:rFonts w:ascii="NSimSun" w:eastAsia="NSimSun" w:hAnsi="NSimSun" w:cs="NSimSun"/>
          <w:spacing w:val="-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 xml:space="preserve">2020 </w:t>
      </w:r>
      <w:r>
        <w:rPr>
          <w:rFonts w:ascii="NSimSun" w:eastAsia="NSimSun" w:hAnsi="NSimSun" w:cs="NSimSun"/>
          <w:spacing w:val="1"/>
          <w:sz w:val="19"/>
          <w:szCs w:val="19"/>
        </w:rPr>
        <w:t>年的</w:t>
      </w:r>
      <w:r>
        <w:rPr>
          <w:rFonts w:ascii="NSimSun" w:eastAsia="NSimSun" w:hAnsi="NSimSun" w:cs="NSimSun"/>
          <w:spacing w:val="-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 xml:space="preserve">176 </w:t>
      </w:r>
      <w:r>
        <w:rPr>
          <w:rFonts w:ascii="NSimSun" w:eastAsia="NSimSun" w:hAnsi="NSimSun" w:cs="NSimSun"/>
          <w:spacing w:val="1"/>
          <w:sz w:val="19"/>
          <w:szCs w:val="19"/>
        </w:rPr>
        <w:t>亿美元，</w:t>
      </w:r>
      <w:r>
        <w:rPr>
          <w:rFonts w:ascii="NSimSun" w:eastAsia="NSimSun" w:hAnsi="NSimSun" w:cs="NSimSun"/>
          <w:spacing w:val="-5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CAGR</w:t>
      </w:r>
      <w:r>
        <w:rPr>
          <w:rFonts w:ascii="Arial" w:eastAsia="Arial" w:hAnsi="Arial" w:cs="Arial"/>
          <w:spacing w:val="1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1"/>
          <w:sz w:val="19"/>
          <w:szCs w:val="19"/>
        </w:rPr>
        <w:t>为</w:t>
      </w:r>
      <w:r>
        <w:rPr>
          <w:rFonts w:ascii="NSimSun" w:eastAsia="NSimSun" w:hAnsi="NSimSun" w:cs="NSimSun"/>
          <w:spacing w:val="-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7.11%</w:t>
      </w:r>
      <w:r>
        <w:rPr>
          <w:rFonts w:ascii="NSimSun" w:eastAsia="NSimSun" w:hAnsi="NSimSun" w:cs="NSimSun"/>
          <w:spacing w:val="1"/>
          <w:sz w:val="19"/>
          <w:szCs w:val="19"/>
        </w:rPr>
        <w:t>。预计到</w:t>
      </w:r>
      <w:r>
        <w:rPr>
          <w:rFonts w:ascii="NSimSun" w:eastAsia="NSimSun" w:hAnsi="NSimSun" w:cs="NSimSun"/>
          <w:spacing w:val="-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20</w:t>
      </w:r>
      <w:r>
        <w:rPr>
          <w:rFonts w:ascii="Arial" w:eastAsia="Arial" w:hAnsi="Arial" w:cs="Arial"/>
          <w:sz w:val="19"/>
          <w:szCs w:val="19"/>
        </w:rPr>
        <w:t xml:space="preserve">26 </w:t>
      </w:r>
      <w:r>
        <w:rPr>
          <w:rFonts w:ascii="NSimSun" w:eastAsia="NSimSun" w:hAnsi="NSimSun" w:cs="NSimSun"/>
          <w:spacing w:val="6"/>
          <w:sz w:val="19"/>
          <w:szCs w:val="19"/>
        </w:rPr>
        <w:t>年，</w:t>
      </w:r>
      <w:r>
        <w:rPr>
          <w:rFonts w:ascii="NSimSun" w:eastAsia="NSimSun" w:hAnsi="NSimSun" w:cs="NSimSun"/>
          <w:spacing w:val="6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6"/>
          <w:sz w:val="19"/>
          <w:szCs w:val="19"/>
        </w:rPr>
        <w:t>全球运动营养市场规模将达到</w:t>
      </w:r>
      <w:r>
        <w:rPr>
          <w:rFonts w:ascii="NSimSun" w:eastAsia="NSimSun" w:hAnsi="NSimSun" w:cs="NSimSun"/>
          <w:spacing w:val="-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6"/>
          <w:sz w:val="19"/>
          <w:szCs w:val="19"/>
        </w:rPr>
        <w:t xml:space="preserve">228.57 </w:t>
      </w:r>
      <w:r>
        <w:rPr>
          <w:rFonts w:ascii="NSimSun" w:eastAsia="NSimSun" w:hAnsi="NSimSun" w:cs="NSimSun"/>
          <w:spacing w:val="6"/>
          <w:sz w:val="19"/>
          <w:szCs w:val="19"/>
        </w:rPr>
        <w:t>亿美元，持续保持较快增长。</w:t>
      </w:r>
      <w:r>
        <w:rPr>
          <w:rFonts w:ascii="NSimSun" w:eastAsia="NSimSun" w:hAnsi="NSimSun" w:cs="NSimSun"/>
          <w:spacing w:val="5"/>
          <w:sz w:val="19"/>
          <w:szCs w:val="19"/>
        </w:rPr>
        <w:t>市场分布上，</w:t>
      </w:r>
    </w:p>
    <w:p>
      <w:pPr>
        <w:spacing w:before="25" w:line="248" w:lineRule="auto"/>
        <w:ind w:left="2962" w:right="117" w:hanging="20"/>
        <w:rPr>
          <w:rFonts w:ascii="NSimSun" w:eastAsia="NSimSun" w:hAnsi="NSimSun" w:cs="NSimSun"/>
          <w:sz w:val="19"/>
          <w:szCs w:val="19"/>
        </w:rPr>
      </w:pPr>
      <w:r>
        <w:rPr>
          <w:rFonts w:ascii="NSimSun" w:eastAsia="NSimSun" w:hAnsi="NSimSun" w:cs="NSimSun"/>
          <w:spacing w:val="5"/>
          <w:sz w:val="19"/>
          <w:szCs w:val="19"/>
        </w:rPr>
        <w:t>据公司招股说明书援引</w:t>
      </w:r>
      <w:r>
        <w:rPr>
          <w:rFonts w:ascii="NSimSun" w:eastAsia="NSimSun" w:hAnsi="NSimSun" w:cs="NSimSun"/>
          <w:spacing w:val="-2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Foodaily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5"/>
          <w:sz w:val="19"/>
          <w:szCs w:val="19"/>
        </w:rPr>
        <w:t>每日食品数据，</w:t>
      </w:r>
      <w:r>
        <w:rPr>
          <w:rFonts w:ascii="NSimSun" w:eastAsia="NSimSun" w:hAnsi="NSimSun" w:cs="NSimSun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5"/>
          <w:sz w:val="19"/>
          <w:szCs w:val="19"/>
        </w:rPr>
        <w:t xml:space="preserve">2018 </w:t>
      </w:r>
      <w:r>
        <w:rPr>
          <w:rFonts w:ascii="NSimSun" w:eastAsia="NSimSun" w:hAnsi="NSimSun" w:cs="NSimSun"/>
          <w:spacing w:val="5"/>
          <w:sz w:val="19"/>
          <w:szCs w:val="19"/>
        </w:rPr>
        <w:t>年美洲市</w:t>
      </w:r>
      <w:r>
        <w:rPr>
          <w:rFonts w:ascii="NSimSun" w:eastAsia="NSimSun" w:hAnsi="NSimSun" w:cs="NSimSun"/>
          <w:spacing w:val="4"/>
          <w:sz w:val="19"/>
          <w:szCs w:val="19"/>
        </w:rPr>
        <w:t>场占比</w:t>
      </w:r>
      <w:r>
        <w:rPr>
          <w:rFonts w:ascii="NSimSun" w:eastAsia="NSimSun" w:hAnsi="NSimSun" w:cs="NSimSun"/>
          <w:spacing w:val="-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4"/>
          <w:sz w:val="19"/>
          <w:szCs w:val="19"/>
        </w:rPr>
        <w:t>67.5%</w:t>
      </w:r>
      <w:r>
        <w:rPr>
          <w:rFonts w:ascii="NSimSun" w:eastAsia="NSimSun" w:hAnsi="NSimSun" w:cs="NSimSun"/>
          <w:spacing w:val="4"/>
          <w:sz w:val="19"/>
          <w:szCs w:val="19"/>
        </w:rPr>
        <w:t>，亚洲占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比仅</w:t>
      </w:r>
      <w:r>
        <w:rPr>
          <w:rFonts w:ascii="NSimSun" w:eastAsia="NSimSun" w:hAnsi="NSimSun" w:cs="NSimSun"/>
          <w:spacing w:val="-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7.6%</w:t>
      </w:r>
      <w:r>
        <w:rPr>
          <w:rFonts w:ascii="NSimSun" w:eastAsia="NSimSun" w:hAnsi="NSimSun" w:cs="NSimSun"/>
          <w:spacing w:val="3"/>
          <w:sz w:val="19"/>
          <w:szCs w:val="19"/>
        </w:rPr>
        <w:t>，但增速亮眼，</w:t>
      </w:r>
      <w:r>
        <w:rPr>
          <w:rFonts w:ascii="NSimSun" w:eastAsia="NSimSun" w:hAnsi="NSimSun" w:cs="NSimSun"/>
          <w:spacing w:val="3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预计</w:t>
      </w:r>
      <w:r>
        <w:rPr>
          <w:rFonts w:ascii="NSimSun" w:eastAsia="NSimSun" w:hAnsi="NSimSun" w:cs="NSimSun"/>
          <w:spacing w:val="-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13-</w:t>
      </w:r>
      <w:r>
        <w:rPr>
          <w:rFonts w:ascii="Arial" w:eastAsia="Arial" w:hAnsi="Arial" w:cs="Arial"/>
          <w:spacing w:val="-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1</w:t>
      </w:r>
      <w:r>
        <w:rPr>
          <w:rFonts w:ascii="Arial" w:eastAsia="Arial" w:hAnsi="Arial" w:cs="Arial"/>
          <w:spacing w:val="2"/>
          <w:sz w:val="19"/>
          <w:szCs w:val="19"/>
        </w:rPr>
        <w:t xml:space="preserve">8 </w:t>
      </w:r>
      <w:r>
        <w:rPr>
          <w:rFonts w:ascii="NSimSun" w:eastAsia="NSimSun" w:hAnsi="NSimSun" w:cs="NSimSun"/>
          <w:spacing w:val="2"/>
          <w:sz w:val="19"/>
          <w:szCs w:val="19"/>
        </w:rPr>
        <w:t>年、</w:t>
      </w:r>
      <w:r>
        <w:rPr>
          <w:rFonts w:ascii="Arial" w:eastAsia="Arial" w:hAnsi="Arial" w:cs="Arial"/>
          <w:spacing w:val="2"/>
          <w:sz w:val="19"/>
          <w:szCs w:val="19"/>
        </w:rPr>
        <w:t xml:space="preserve">18-23 </w:t>
      </w:r>
      <w:r>
        <w:rPr>
          <w:rFonts w:ascii="NSimSun" w:eastAsia="NSimSun" w:hAnsi="NSimSun" w:cs="NSimSun"/>
          <w:spacing w:val="2"/>
          <w:sz w:val="19"/>
          <w:szCs w:val="19"/>
        </w:rPr>
        <w:t>年的</w:t>
      </w:r>
      <w:r>
        <w:rPr>
          <w:rFonts w:ascii="NSimSun" w:eastAsia="NSimSun" w:hAnsi="NSimSun" w:cs="NSimSun"/>
          <w:spacing w:val="-3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CAGR</w:t>
      </w:r>
      <w:r>
        <w:rPr>
          <w:rFonts w:ascii="Arial" w:eastAsia="Arial" w:hAnsi="Arial" w:cs="Arial"/>
          <w:spacing w:val="2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2"/>
          <w:sz w:val="19"/>
          <w:szCs w:val="19"/>
        </w:rPr>
        <w:t>均达到</w:t>
      </w:r>
      <w:r>
        <w:rPr>
          <w:rFonts w:ascii="NSimSun" w:eastAsia="NSimSun" w:hAnsi="NSimSun" w:cs="NSimSun"/>
          <w:spacing w:val="-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16%</w:t>
      </w:r>
      <w:r>
        <w:rPr>
          <w:rFonts w:ascii="NSimSun" w:eastAsia="NSimSun" w:hAnsi="NSimSun" w:cs="NSimSun"/>
          <w:spacing w:val="2"/>
          <w:sz w:val="19"/>
          <w:szCs w:val="19"/>
        </w:rPr>
        <w:t>以上。</w:t>
      </w:r>
    </w:p>
    <w:p>
      <w:pPr>
        <w:spacing w:before="250" w:line="245" w:lineRule="auto"/>
        <w:ind w:left="2944" w:firstLine="423"/>
        <w:jc w:val="both"/>
        <w:rPr>
          <w:rFonts w:ascii="NSimSun" w:eastAsia="NSimSun" w:hAnsi="NSimSun" w:cs="NSimSun"/>
          <w:sz w:val="19"/>
          <w:szCs w:val="19"/>
        </w:rPr>
      </w:pPr>
      <w:r>
        <w:rPr>
          <w:rFonts w:ascii="NSimSun" w:eastAsia="NSimSun" w:hAnsi="NSimSun" w:cs="NSimSun"/>
          <w:spacing w:val="3"/>
          <w:sz w:val="19"/>
          <w:szCs w:val="19"/>
        </w:rPr>
        <w:t>国内行业起步较晚，</w:t>
      </w:r>
      <w:r>
        <w:rPr>
          <w:rFonts w:ascii="NSimSun" w:eastAsia="NSimSun" w:hAnsi="NSimSun" w:cs="NSimSun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 xml:space="preserve">20 </w:t>
      </w:r>
      <w:r>
        <w:rPr>
          <w:rFonts w:ascii="NSimSun" w:eastAsia="NSimSun" w:hAnsi="NSimSun" w:cs="NSimSun"/>
          <w:spacing w:val="3"/>
          <w:sz w:val="19"/>
          <w:szCs w:val="19"/>
        </w:rPr>
        <w:t>世纪</w:t>
      </w:r>
      <w:r>
        <w:rPr>
          <w:rFonts w:ascii="NSimSun" w:eastAsia="NSimSun" w:hAnsi="NSimSun" w:cs="NSimSun"/>
          <w:spacing w:val="-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 xml:space="preserve">90 </w:t>
      </w:r>
      <w:r>
        <w:rPr>
          <w:rFonts w:ascii="NSimSun" w:eastAsia="NSimSun" w:hAnsi="NSimSun" w:cs="NSimSun"/>
          <w:spacing w:val="3"/>
          <w:sz w:val="19"/>
          <w:szCs w:val="19"/>
        </w:rPr>
        <w:t>年代初，</w:t>
      </w:r>
      <w:r>
        <w:rPr>
          <w:rFonts w:ascii="NSimSun" w:eastAsia="NSimSun" w:hAnsi="NSimSun" w:cs="NSimSun"/>
          <w:spacing w:val="3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一些健美爱好者从国外带回部分具有增强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10"/>
          <w:sz w:val="19"/>
          <w:szCs w:val="19"/>
        </w:rPr>
        <w:t>肌肉效果的运动营养补剂，德国英豪最早被引入国内，运动营养食品的市场因此应运而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生。</w:t>
      </w:r>
      <w:r>
        <w:rPr>
          <w:rFonts w:ascii="NSimSun" w:eastAsia="NSimSun" w:hAnsi="NSimSun" w:cs="NSimSun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 xml:space="preserve">21 </w:t>
      </w:r>
      <w:r>
        <w:rPr>
          <w:rFonts w:ascii="NSimSun" w:eastAsia="NSimSun" w:hAnsi="NSimSun" w:cs="NSimSun"/>
          <w:spacing w:val="3"/>
          <w:sz w:val="19"/>
          <w:szCs w:val="19"/>
        </w:rPr>
        <w:t>世纪初，</w:t>
      </w:r>
      <w:r>
        <w:rPr>
          <w:rFonts w:ascii="NSimSun" w:eastAsia="NSimSun" w:hAnsi="NSimSun" w:cs="NSimSun"/>
          <w:spacing w:val="-57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国外的欧普特蒙、健安喜进</w:t>
      </w:r>
      <w:r>
        <w:rPr>
          <w:rFonts w:ascii="NSimSun" w:eastAsia="NSimSun" w:hAnsi="NSimSun" w:cs="NSimSun"/>
          <w:spacing w:val="2"/>
          <w:sz w:val="19"/>
          <w:szCs w:val="19"/>
        </w:rPr>
        <w:t>入中国，康比特等成立。肌肉科技、</w:t>
      </w:r>
      <w:r>
        <w:rPr>
          <w:rFonts w:ascii="NSimSun" w:eastAsia="NSimSun" w:hAnsi="NSimSun" w:cs="NSimSun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BSN</w:t>
      </w:r>
      <w:r>
        <w:rPr>
          <w:rFonts w:ascii="NSimSun" w:eastAsia="NSimSun" w:hAnsi="NSimSun" w:cs="NSimSun"/>
          <w:spacing w:val="2"/>
          <w:sz w:val="19"/>
          <w:szCs w:val="19"/>
        </w:rPr>
        <w:t>、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9"/>
          <w:sz w:val="19"/>
          <w:szCs w:val="19"/>
        </w:rPr>
        <w:t>美瑞克斯、</w:t>
      </w:r>
      <w:r>
        <w:rPr>
          <w:rFonts w:ascii="Arial" w:eastAsia="Arial" w:hAnsi="Arial" w:cs="Arial"/>
          <w:sz w:val="19"/>
          <w:szCs w:val="19"/>
        </w:rPr>
        <w:t>THG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9"/>
          <w:sz w:val="19"/>
          <w:szCs w:val="19"/>
        </w:rPr>
        <w:t>旗下的</w:t>
      </w:r>
      <w:r>
        <w:rPr>
          <w:rFonts w:ascii="NSimSun" w:eastAsia="NSimSun" w:hAnsi="NSimSun" w:cs="NSimSun"/>
          <w:spacing w:val="-19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Myprotein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9"/>
          <w:sz w:val="19"/>
          <w:szCs w:val="19"/>
        </w:rPr>
        <w:t>等国外品牌也逐步进入国内健身市场。</w:t>
      </w:r>
    </w:p>
    <w:p>
      <w:pPr>
        <w:spacing w:before="270" w:line="249" w:lineRule="auto"/>
        <w:ind w:left="2941" w:right="37" w:firstLine="445"/>
        <w:jc w:val="both"/>
        <w:rPr>
          <w:rFonts w:ascii="NSimSun" w:eastAsia="NSimSun" w:hAnsi="NSimSun" w:cs="NSimSun"/>
          <w:sz w:val="19"/>
          <w:szCs w:val="19"/>
        </w:rPr>
      </w:pPr>
      <w:r>
        <w:rPr>
          <w:rFonts w:ascii="NSimSun" w:eastAsia="NSimSun" w:hAnsi="NSimSun" w:cs="NSimSun"/>
          <w:spacing w:val="5"/>
          <w:sz w:val="19"/>
          <w:szCs w:val="19"/>
        </w:rPr>
        <w:t>目前行业发展呈现以下几个趋势：</w:t>
      </w:r>
      <w:r>
        <w:rPr>
          <w:rFonts w:ascii="NSimSun" w:eastAsia="NSimSun" w:hAnsi="NSimSun" w:cs="NSimSun"/>
          <w:spacing w:val="5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5"/>
          <w:sz w:val="19"/>
          <w:szCs w:val="19"/>
        </w:rPr>
        <w:t>①从专业小众拓展</w:t>
      </w:r>
      <w:r>
        <w:rPr>
          <w:rFonts w:ascii="NSimSun" w:eastAsia="NSimSun" w:hAnsi="NSimSun" w:cs="NSimSun"/>
          <w:spacing w:val="4"/>
          <w:sz w:val="19"/>
          <w:szCs w:val="19"/>
        </w:rPr>
        <w:t>到大众健康市场。从专业运动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6"/>
          <w:sz w:val="19"/>
          <w:szCs w:val="19"/>
        </w:rPr>
        <w:t>员到热爱体育的健美健身人群，再到崇尚健康生活方式的普通人群；</w:t>
      </w:r>
      <w:r>
        <w:rPr>
          <w:rFonts w:ascii="NSimSun" w:eastAsia="NSimSun" w:hAnsi="NSimSun" w:cs="NSimSun"/>
          <w:spacing w:val="6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6"/>
          <w:sz w:val="19"/>
          <w:szCs w:val="19"/>
        </w:rPr>
        <w:t>②产品功能细分化</w:t>
      </w:r>
      <w:r>
        <w:rPr>
          <w:rFonts w:ascii="NSimSun" w:eastAsia="NSimSun" w:hAnsi="NSimSun" w:cs="NSimSun"/>
          <w:spacing w:val="3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5"/>
          <w:sz w:val="19"/>
          <w:szCs w:val="19"/>
        </w:rPr>
        <w:t>发展，比如不同的配方、用量、服用方法；</w:t>
      </w:r>
      <w:r>
        <w:rPr>
          <w:rFonts w:ascii="NSimSun" w:eastAsia="NSimSun" w:hAnsi="NSimSun" w:cs="NSimSun"/>
          <w:spacing w:val="-55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5"/>
          <w:sz w:val="19"/>
          <w:szCs w:val="19"/>
        </w:rPr>
        <w:t>③产品以粉剂为主，</w:t>
      </w:r>
      <w:r>
        <w:rPr>
          <w:rFonts w:ascii="NSimSun" w:eastAsia="NSimSun" w:hAnsi="NSimSun" w:cs="NSimSun"/>
          <w:spacing w:val="5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5"/>
          <w:sz w:val="19"/>
          <w:szCs w:val="19"/>
        </w:rPr>
        <w:t>形态逐步多元化。基于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9"/>
          <w:sz w:val="19"/>
          <w:szCs w:val="19"/>
        </w:rPr>
        <w:t>此，我们认为国内运动营养食品行业未来发展空间较大。据公司</w:t>
      </w:r>
      <w:r>
        <w:rPr>
          <w:rFonts w:ascii="NSimSun" w:eastAsia="NSimSun" w:hAnsi="NSimSun" w:cs="NSimSun"/>
          <w:spacing w:val="8"/>
          <w:sz w:val="19"/>
          <w:szCs w:val="19"/>
        </w:rPr>
        <w:t>招股说明书援引欧睿国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际数据，</w:t>
      </w:r>
      <w:r>
        <w:rPr>
          <w:rFonts w:ascii="NSimSun" w:eastAsia="NSimSun" w:hAnsi="NSimSun" w:cs="NSimSun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 xml:space="preserve">2015-2020 </w:t>
      </w:r>
      <w:r>
        <w:rPr>
          <w:rFonts w:ascii="NSimSun" w:eastAsia="NSimSun" w:hAnsi="NSimSun" w:cs="NSimSun"/>
          <w:spacing w:val="3"/>
          <w:sz w:val="19"/>
          <w:szCs w:val="19"/>
        </w:rPr>
        <w:t>年国内运动营养市场</w:t>
      </w:r>
      <w:r>
        <w:rPr>
          <w:rFonts w:ascii="NSimSun" w:eastAsia="NSimSun" w:hAnsi="NSimSun" w:cs="NSimSun"/>
          <w:spacing w:val="-3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CAGR</w:t>
      </w:r>
      <w:r>
        <w:rPr>
          <w:rFonts w:ascii="Arial" w:eastAsia="Arial" w:hAnsi="Arial" w:cs="Arial"/>
          <w:spacing w:val="3"/>
          <w:sz w:val="19"/>
          <w:szCs w:val="19"/>
        </w:rPr>
        <w:t>40%</w:t>
      </w:r>
      <w:r>
        <w:rPr>
          <w:rFonts w:ascii="NSimSun" w:eastAsia="NSimSun" w:hAnsi="NSimSun" w:cs="NSimSun"/>
          <w:spacing w:val="3"/>
          <w:sz w:val="19"/>
          <w:szCs w:val="19"/>
        </w:rPr>
        <w:t>，预计到</w:t>
      </w:r>
      <w:r>
        <w:rPr>
          <w:rFonts w:ascii="NSimSun" w:eastAsia="NSimSun" w:hAnsi="NSimSun" w:cs="NSimSun"/>
          <w:spacing w:val="-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 xml:space="preserve">2023 </w:t>
      </w:r>
      <w:r>
        <w:rPr>
          <w:rFonts w:ascii="NSimSun" w:eastAsia="NSimSun" w:hAnsi="NSimSun" w:cs="NSimSun"/>
          <w:spacing w:val="3"/>
          <w:sz w:val="19"/>
          <w:szCs w:val="19"/>
        </w:rPr>
        <w:t>年可达到</w:t>
      </w:r>
      <w:r>
        <w:rPr>
          <w:rFonts w:ascii="NSimSun" w:eastAsia="NSimSun" w:hAnsi="NSimSun" w:cs="NSimSun"/>
          <w:spacing w:val="-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 xml:space="preserve">60 </w:t>
      </w:r>
      <w:r>
        <w:rPr>
          <w:rFonts w:ascii="NSimSun" w:eastAsia="NSimSun" w:hAnsi="NSimSun" w:cs="NSimSun"/>
          <w:spacing w:val="2"/>
          <w:sz w:val="19"/>
          <w:szCs w:val="19"/>
        </w:rPr>
        <w:t>亿元，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7"/>
          <w:sz w:val="19"/>
          <w:szCs w:val="19"/>
        </w:rPr>
        <w:t>未来</w:t>
      </w:r>
      <w:r>
        <w:rPr>
          <w:rFonts w:ascii="NSimSun" w:eastAsia="NSimSun" w:hAnsi="NSimSun" w:cs="NSimSun"/>
          <w:spacing w:val="-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7"/>
          <w:sz w:val="19"/>
          <w:szCs w:val="19"/>
        </w:rPr>
        <w:t xml:space="preserve">3 </w:t>
      </w:r>
      <w:r>
        <w:rPr>
          <w:rFonts w:ascii="NSimSun" w:eastAsia="NSimSun" w:hAnsi="NSimSun" w:cs="NSimSun"/>
          <w:spacing w:val="7"/>
          <w:sz w:val="19"/>
          <w:szCs w:val="19"/>
        </w:rPr>
        <w:t>年增速仍可达</w:t>
      </w:r>
      <w:r>
        <w:rPr>
          <w:rFonts w:ascii="NSimSun" w:eastAsia="NSimSun" w:hAnsi="NSimSun" w:cs="NSimSun"/>
          <w:spacing w:val="-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7"/>
          <w:sz w:val="19"/>
          <w:szCs w:val="19"/>
        </w:rPr>
        <w:t>21%</w:t>
      </w:r>
      <w:r>
        <w:rPr>
          <w:rFonts w:ascii="NSimSun" w:eastAsia="NSimSun" w:hAnsi="NSimSun" w:cs="NSimSun"/>
          <w:spacing w:val="7"/>
          <w:sz w:val="19"/>
          <w:szCs w:val="19"/>
        </w:rPr>
        <w:t>，远高于全球运动营养行业</w:t>
      </w:r>
      <w:r>
        <w:rPr>
          <w:rFonts w:ascii="NSimSun" w:eastAsia="NSimSun" w:hAnsi="NSimSun" w:cs="NSimSun"/>
          <w:spacing w:val="-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7"/>
          <w:sz w:val="19"/>
          <w:szCs w:val="19"/>
        </w:rPr>
        <w:t>5%</w:t>
      </w:r>
      <w:r>
        <w:rPr>
          <w:rFonts w:ascii="NSimSun" w:eastAsia="NSimSun" w:hAnsi="NSimSun" w:cs="NSimSun"/>
          <w:spacing w:val="7"/>
          <w:sz w:val="19"/>
          <w:szCs w:val="19"/>
        </w:rPr>
        <w:t>的增速。</w:t>
      </w:r>
    </w:p>
    <w:p>
      <w:pPr>
        <w:spacing w:line="190" w:lineRule="exact"/>
      </w:pPr>
    </w:p>
    <w:p>
      <w:pPr>
        <w:spacing w:line="190" w:lineRule="exact"/>
        <w:sectPr>
          <w:headerReference w:type="default" r:id="rId23"/>
          <w:footerReference w:type="default" r:id="rId24"/>
          <w:pgSz w:w="11907" w:h="16841"/>
          <w:pgMar w:top="400" w:right="646" w:bottom="400" w:left="679" w:header="0" w:footer="0" w:gutter="0"/>
          <w:pgNumType w:start="9"/>
          <w:cols w:num="1" w:space="708" w:equalWidth="0">
            <w:col w:w="10581" w:space="0"/>
          </w:cols>
        </w:sectPr>
      </w:pPr>
    </w:p>
    <w:p>
      <w:pPr>
        <w:spacing w:before="127" w:line="180" w:lineRule="auto"/>
        <w:ind w:left="330"/>
        <w:rPr>
          <w:rFonts w:ascii="Microsoft YaHei" w:eastAsia="Microsoft YaHei" w:hAnsi="Microsoft YaHei" w:cs="Microsoft YaHei"/>
          <w:sz w:val="18"/>
          <w:szCs w:val="18"/>
        </w:rPr>
      </w:pPr>
      <w:r>
        <w:rPr>
          <w:rFonts w:ascii="Microsoft YaHei" w:eastAsia="Microsoft YaHei" w:hAnsi="Microsoft YaHei" w:cs="Microsoft YaHei"/>
          <w:b/>
          <w:bCs/>
          <w:spacing w:val="-1"/>
          <w:sz w:val="18"/>
          <w:szCs w:val="18"/>
        </w:rPr>
        <w:t>图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1</w:t>
      </w:r>
      <w:r>
        <w:rPr>
          <w:rFonts w:ascii="Arial" w:eastAsia="Arial" w:hAnsi="Arial" w:cs="Arial"/>
          <w:b/>
          <w:bCs/>
          <w:spacing w:val="28"/>
          <w:sz w:val="18"/>
          <w:szCs w:val="18"/>
        </w:rPr>
        <w:t xml:space="preserve">  </w:t>
      </w:r>
      <w:r>
        <w:rPr>
          <w:rFonts w:ascii="Microsoft YaHei" w:eastAsia="Microsoft YaHei" w:hAnsi="Microsoft YaHei" w:cs="Microsoft YaHei"/>
          <w:b/>
          <w:bCs/>
          <w:spacing w:val="-1"/>
          <w:sz w:val="18"/>
          <w:szCs w:val="18"/>
        </w:rPr>
        <w:t>全球运动营养行业市场规模及增速（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2013-2020</w:t>
      </w:r>
      <w:r>
        <w:rPr>
          <w:rFonts w:ascii="Microsoft YaHei" w:eastAsia="Microsoft YaHei" w:hAnsi="Microsoft YaHei" w:cs="Microsoft YaHei"/>
          <w:b/>
          <w:bCs/>
          <w:spacing w:val="-1"/>
          <w:sz w:val="18"/>
          <w:szCs w:val="18"/>
        </w:rPr>
        <w:t>）</w:t>
      </w:r>
    </w:p>
    <w:p/>
    <w:tbl>
      <w:tblPr>
        <w:tblStyle w:val="TableNormal1"/>
        <w:tblW w:w="4628" w:type="dxa"/>
        <w:tblInd w:w="3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"/>
        <w:gridCol w:w="4059"/>
        <w:gridCol w:w="309"/>
      </w:tblGrid>
      <w:tr>
        <w:tblPrEx>
          <w:tblW w:w="4628" w:type="dxa"/>
          <w:tblInd w:w="392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051"/>
        </w:trPr>
        <w:tc>
          <w:tcPr>
            <w:tcW w:w="260" w:type="dxa"/>
            <w:vAlign w:val="top"/>
          </w:tcPr>
          <w:p>
            <w:pPr>
              <w:spacing w:before="1" w:line="199" w:lineRule="auto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>200</w:t>
            </w:r>
          </w:p>
          <w:p>
            <w:pPr>
              <w:spacing w:before="55" w:line="199" w:lineRule="auto"/>
              <w:ind w:left="1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180</w:t>
            </w:r>
          </w:p>
          <w:p>
            <w:pPr>
              <w:spacing w:before="55" w:line="199" w:lineRule="auto"/>
              <w:ind w:left="1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160</w:t>
            </w:r>
          </w:p>
          <w:p>
            <w:pPr>
              <w:spacing w:before="55" w:line="199" w:lineRule="auto"/>
              <w:ind w:left="1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140</w:t>
            </w:r>
          </w:p>
          <w:p>
            <w:pPr>
              <w:spacing w:before="55" w:line="199" w:lineRule="auto"/>
              <w:ind w:left="1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120</w:t>
            </w:r>
          </w:p>
          <w:p>
            <w:pPr>
              <w:spacing w:before="54" w:line="200" w:lineRule="auto"/>
              <w:ind w:left="1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100</w:t>
            </w:r>
          </w:p>
          <w:p>
            <w:pPr>
              <w:spacing w:before="54" w:line="199" w:lineRule="auto"/>
              <w:ind w:left="7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80</w:t>
            </w:r>
          </w:p>
          <w:p>
            <w:pPr>
              <w:spacing w:before="55" w:line="199" w:lineRule="auto"/>
              <w:ind w:left="7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60</w:t>
            </w:r>
          </w:p>
          <w:p>
            <w:pPr>
              <w:spacing w:before="56" w:line="199" w:lineRule="auto"/>
              <w:ind w:left="7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>40</w:t>
            </w:r>
          </w:p>
          <w:p>
            <w:pPr>
              <w:spacing w:before="55" w:line="199" w:lineRule="auto"/>
              <w:ind w:left="7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20</w:t>
            </w:r>
          </w:p>
          <w:p>
            <w:pPr>
              <w:spacing w:before="55" w:line="199" w:lineRule="auto"/>
              <w:ind w:left="15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</w:t>
            </w:r>
          </w:p>
        </w:tc>
        <w:tc>
          <w:tcPr>
            <w:tcW w:w="4059" w:type="dxa"/>
            <w:vAlign w:val="top"/>
          </w:tcPr>
          <w:p>
            <w:pPr>
              <w:spacing w:before="48" w:line="1836" w:lineRule="exact"/>
              <w:ind w:firstLine="37"/>
            </w:pPr>
            <w:r>
              <w:rPr>
                <w:position w:val="-36"/>
              </w:rPr>
              <w:pict>
                <v:group id="_x0000_i1041" style="width:199.15pt;height:91.8pt;mso-position-horizontal-relative:char;mso-position-vertical-relative:line" coordorigin="0,0" coordsize="3982,1836" filled="f" stroked="f">
                  <v:shape id="_x0000_s1042" style="width:196;height:878;left:188;position:absolute;top:919" coordorigin="0,0" coordsize="196,878" path="m,877l195,877l195,l,l,877xe" filled="t" fillcolor="navy" stroked="f"/>
                  <v:shape id="_x0000_s1043" style="width:208;height:891;left:181;position:absolute;top:912" coordorigin="0,0" coordsize="208,891" path="m6,884l202,884l202,6l6,6l6,884xe" filled="f" strokecolor="black" strokeweight="0.7pt"/>
                  <v:shape id="_x0000_s1044" style="width:196;height:978;left:675;position:absolute;top:819" coordorigin="0,0" coordsize="196,978" path="m,977l195,977l195,l,l,977xe" filled="t" fillcolor="navy" stroked="f"/>
                  <v:shape id="_x0000_s1045" style="width:208;height:991;left:668;position:absolute;top:812" coordorigin="0,0" coordsize="208,991" path="m6,984l202,984l202,6l6,6l6,984xe" filled="f" strokecolor="black" strokeweight="0.7pt"/>
                  <v:shape id="_x0000_s1046" style="width:196;height:1011;left:1163;position:absolute;top:784" coordorigin="0,0" coordsize="196,1011" path="m,1011l195,1011l195,l,l,1011xe" filled="t" fillcolor="navy" stroked="f"/>
                  <v:shape id="_x0000_s1047" style="width:208;height:1025;left:1156;position:absolute;top:777" coordorigin="0,0" coordsize="208,1025" path="m6,1018l202,1018l202,6l6,6l6,1018xe" filled="f" strokecolor="black" strokeweight="0.7pt"/>
                  <v:shape id="_x0000_s1048" style="width:196;height:1119;left:1650;position:absolute;top:677" coordorigin="0,0" coordsize="196,1119" path="m,1118l195,1118l195,l,l,1118xe" filled="t" fillcolor="navy" stroked="f"/>
                  <v:shape id="_x0000_s1049" style="width:208;height:1133;left:1643;position:absolute;top:670" coordorigin="0,0" coordsize="208,1133" path="m6,1125l202,1125l202,6l6,6l6,1125xe" filled="f" strokecolor="black" strokeweight="0.7pt"/>
                  <v:shape id="_x0000_s1050" style="width:196;height:1316;left:2138;position:absolute;top:480" coordorigin="0,0" coordsize="196,1316" path="m,1315l195,1315l195,l,l,1315xe" filled="t" fillcolor="navy" stroked="f"/>
                  <v:shape id="_x0000_s1051" style="width:208;height:1330;left:2131;position:absolute;top:473" coordorigin="0,0" coordsize="208,1330" path="m6,1322l202,1322l202,6l6,6l6,1322xe" filled="f" strokecolor="black" strokeweight="0.7pt"/>
                  <v:shape id="_x0000_s1052" style="width:196;height:1413;left:2623;position:absolute;top:382" coordorigin="0,0" coordsize="196,1413" path="m,1413l195,1413l195,l,l,1413xe" filled="t" fillcolor="navy" stroked="f"/>
                  <v:shape id="_x0000_s1053" style="width:208;height:1428;left:2616;position:absolute;top:375" coordorigin="0,0" coordsize="208,1428" path="m6,1420l202,1420l202,6l6,6l6,1420xe" filled="f" strokecolor="black" strokeweight="0.7pt"/>
                  <v:shape id="_x0000_s1054" style="width:196;height:1476;left:3111;position:absolute;top:320" coordorigin="0,0" coordsize="196,1476" path="m,1476l195,1476l195,l,l,1476xe" filled="t" fillcolor="navy" stroked="f"/>
                  <v:shape id="_x0000_s1055" style="width:208;height:1490;left:3104;position:absolute;top:313" coordorigin="0,0" coordsize="208,1490" path="m6,1483l202,1483l202,6l6,6l6,1483xe" filled="f" strokecolor="black" strokeweight="0.7pt"/>
                  <v:shape id="_x0000_s1056" style="width:196;height:1576;left:3599;position:absolute;top:220" coordorigin="0,0" coordsize="196,1576" path="m,1575l195,1575l195,l,l,1575xe" filled="t" fillcolor="navy" stroked="f"/>
                  <v:shape id="_x0000_s1057" style="width:208;height:1590;left:3592;position:absolute;top:213" coordorigin="0,0" coordsize="208,1590" path="m6,1582l202,1582l202,6l6,6l6,1582xe" filled="f" strokecolor="black" strokeweight="0.7pt"/>
                  <v:shape id="_x0000_s1058" style="width:3982;height:1836;position:absolute" coordorigin="0,0" coordsize="3982,1836" path="m3940,1796l3940,6m3940,1796l3982,1796m3940,1617l3982,1617m3940,1436l3982,1436m3940,1257l3982,1257m3940,1079l3982,1079m3940,900l3982,900m3940,721l3982,721m3940,543l3982,543m3940,364l3982,364m3940,185l3982,185m3940,6l3982,6m41,1796l41,6m,1796l41,1796m,1617l41,1617m,1436l41,1436m,1257l41,1257m,1079l41,1079m,900l41,900m,721l41,721m,543l41,543m,364l41,364m,185l41,185m,6l41,6m41,1796l3940,1796m41,1796l41,1835m529,1796l529,1835m1017,1796l1017,1835m1504,1796l1504,1835m1992,1796l1992,1835m2477,1796l2477,1835m2965,1796l2965,1835m3452,1796l3452,1835m3940,1796l3940,1835e" filled="f" strokecolor="#868686" strokeweight="0.7pt"/>
                  <v:shape id="_x0000_s1059" style="width:2966;height:1288;left:752;position:absolute;top:199" coordorigin="0,0" coordsize="2966,1288" path="m20,591l508,1267l996,645l1483,20l1969,926l2456,1199l2944,1000e" filled="f" strokecolor="blue" strokeweight="2.09pt">
                    <v:stroke endcap="round"/>
                  </v:shape>
                  <w10:wrap type="none"/>
                </v:group>
              </w:pict>
            </w:r>
          </w:p>
          <w:p>
            <w:pPr>
              <w:spacing w:before="69" w:line="87" w:lineRule="exact"/>
              <w:ind w:left="17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2"/>
                <w:position w:val="-2"/>
                <w:sz w:val="13"/>
                <w:szCs w:val="13"/>
              </w:rPr>
              <w:t>2013     2014     2015     2016     2017     2018     201</w:t>
            </w:r>
            <w:r>
              <w:rPr>
                <w:rFonts w:ascii="Arial" w:eastAsia="Arial" w:hAnsi="Arial" w:cs="Arial"/>
                <w:spacing w:val="1"/>
                <w:position w:val="-2"/>
                <w:sz w:val="13"/>
                <w:szCs w:val="13"/>
              </w:rPr>
              <w:t>9</w:t>
            </w:r>
            <w:r>
              <w:rPr>
                <w:rFonts w:ascii="Arial" w:eastAsia="Arial" w:hAnsi="Arial" w:cs="Arial"/>
                <w:spacing w:val="2"/>
                <w:position w:val="-2"/>
                <w:sz w:val="13"/>
                <w:szCs w:val="13"/>
              </w:rPr>
              <w:t xml:space="preserve">     </w:t>
            </w:r>
            <w:r>
              <w:rPr>
                <w:rFonts w:ascii="Arial" w:eastAsia="Arial" w:hAnsi="Arial" w:cs="Arial"/>
                <w:spacing w:val="1"/>
                <w:position w:val="-2"/>
                <w:sz w:val="13"/>
                <w:szCs w:val="13"/>
              </w:rPr>
              <w:t>2020</w:t>
            </w:r>
          </w:p>
        </w:tc>
        <w:tc>
          <w:tcPr>
            <w:tcW w:w="309" w:type="dxa"/>
            <w:vAlign w:val="top"/>
          </w:tcPr>
          <w:p>
            <w:pPr>
              <w:spacing w:before="5" w:line="279" w:lineRule="auto"/>
              <w:ind w:left="39" w:firstLine="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20%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18%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16%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14%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12%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10%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8%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 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6%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 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4%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 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2%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 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0%</w:t>
            </w:r>
          </w:p>
        </w:tc>
      </w:tr>
    </w:tbl>
    <w:p>
      <w:pPr>
        <w:spacing w:before="215" w:line="219" w:lineRule="auto"/>
        <w:ind w:left="562"/>
        <w:rPr>
          <w:rFonts w:ascii="NSimSun" w:eastAsia="NSimSun" w:hAnsi="NSimSun" w:cs="NSimSun"/>
          <w:sz w:val="13"/>
          <w:szCs w:val="13"/>
        </w:rPr>
      </w:pPr>
      <w:r>
        <w:rPr>
          <w:rFonts w:ascii="NSimSun" w:eastAsia="NSimSun" w:hAnsi="NSimSun" w:cs="NSimSun"/>
          <w:position w:val="1"/>
          <w:sz w:val="13"/>
          <w:szCs w:val="13"/>
        </w:rPr>
        <w:drawing>
          <wp:inline distT="0" distB="0" distL="0" distR="0">
            <wp:extent cx="244760" cy="42738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4760" cy="42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NSimSun" w:eastAsia="NSimSun" w:hAnsi="NSimSun" w:cs="NSimSun"/>
          <w:spacing w:val="-30"/>
          <w:sz w:val="13"/>
          <w:szCs w:val="13"/>
        </w:rPr>
        <w:t xml:space="preserve"> </w:t>
      </w:r>
      <w:r>
        <w:rPr>
          <w:rFonts w:ascii="NSimSun" w:eastAsia="NSimSun" w:hAnsi="NSimSun" w:cs="NSimSun"/>
          <w:spacing w:val="3"/>
          <w:sz w:val="13"/>
          <w:szCs w:val="13"/>
        </w:rPr>
        <w:t>全球运动营养行业市场规模（亿美元，左轴）</w:t>
      </w:r>
      <w:r>
        <w:rPr>
          <w:rFonts w:ascii="NSimSun" w:eastAsia="NSimSun" w:hAnsi="NSimSun" w:cs="NSimSun"/>
          <w:spacing w:val="19"/>
          <w:sz w:val="13"/>
          <w:szCs w:val="13"/>
        </w:rPr>
        <w:t xml:space="preserve"> </w:t>
      </w:r>
      <w:r>
        <w:rPr>
          <w:position w:val="2"/>
          <w:sz w:val="13"/>
          <w:szCs w:val="13"/>
        </w:rPr>
        <w:drawing>
          <wp:inline distT="0" distB="0" distL="0" distR="0">
            <wp:extent cx="262453" cy="26527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2453" cy="2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NSimSun" w:eastAsia="NSimSun" w:hAnsi="NSimSun" w:cs="NSimSun"/>
          <w:spacing w:val="-43"/>
          <w:sz w:val="13"/>
          <w:szCs w:val="13"/>
        </w:rPr>
        <w:t xml:space="preserve"> </w:t>
      </w:r>
      <w:r>
        <w:rPr>
          <w:rFonts w:ascii="Arial" w:eastAsia="Arial" w:hAnsi="Arial" w:cs="Arial"/>
          <w:sz w:val="13"/>
          <w:szCs w:val="13"/>
        </w:rPr>
        <w:t>yoy</w:t>
      </w:r>
      <w:r>
        <w:rPr>
          <w:rFonts w:ascii="NSimSun" w:eastAsia="NSimSun" w:hAnsi="NSimSun" w:cs="NSimSun"/>
          <w:spacing w:val="2"/>
          <w:sz w:val="13"/>
          <w:szCs w:val="13"/>
        </w:rPr>
        <w:t>（右轴）</w:t>
      </w:r>
    </w:p>
    <w:p>
      <w:pPr>
        <w:spacing w:before="287" w:line="186" w:lineRule="auto"/>
        <w:ind w:left="308"/>
        <w:rPr>
          <w:rFonts w:ascii="NSimSun" w:eastAsia="NSimSun" w:hAnsi="NSimSun" w:cs="NSimSun"/>
          <w:sz w:val="15"/>
          <w:szCs w:val="15"/>
        </w:rPr>
      </w:pPr>
      <w:r>
        <w:rPr>
          <w:rFonts w:ascii="NSimSun" w:eastAsia="NSimSun" w:hAnsi="NSimSun" w:cs="NSimSun"/>
          <w:spacing w:val="-7"/>
          <w:sz w:val="15"/>
          <w:szCs w:val="15"/>
        </w:rPr>
        <w:t>数据来源：</w:t>
      </w:r>
      <w:r>
        <w:rPr>
          <w:rFonts w:ascii="NSimSun" w:eastAsia="NSimSun" w:hAnsi="NSimSun" w:cs="NSimSun"/>
          <w:spacing w:val="-7"/>
          <w:sz w:val="15"/>
          <w:szCs w:val="15"/>
        </w:rPr>
        <w:t xml:space="preserve"> </w:t>
      </w:r>
      <w:r>
        <w:rPr>
          <w:rFonts w:ascii="NSimSun" w:eastAsia="NSimSun" w:hAnsi="NSimSun" w:cs="NSimSun"/>
          <w:spacing w:val="-7"/>
          <w:sz w:val="15"/>
          <w:szCs w:val="15"/>
        </w:rPr>
        <w:t>华经产业研究院，</w:t>
      </w:r>
      <w:r>
        <w:rPr>
          <w:rFonts w:ascii="NSimSun" w:eastAsia="NSimSun" w:hAnsi="NSimSun" w:cs="NSimSun"/>
          <w:spacing w:val="-7"/>
          <w:sz w:val="15"/>
          <w:szCs w:val="15"/>
        </w:rPr>
        <w:t xml:space="preserve"> </w:t>
      </w:r>
      <w:r>
        <w:rPr>
          <w:rFonts w:ascii="NSimSun" w:eastAsia="NSimSun" w:hAnsi="NSimSun" w:cs="NSimSun"/>
          <w:spacing w:val="-7"/>
          <w:sz w:val="15"/>
          <w:szCs w:val="15"/>
        </w:rPr>
        <w:t>海通证券研究所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26" w:line="180" w:lineRule="auto"/>
        <w:ind w:left="133"/>
        <w:rPr>
          <w:rFonts w:ascii="Microsoft YaHei" w:eastAsia="Microsoft YaHei" w:hAnsi="Microsoft YaHei" w:cs="Microsoft YaHei"/>
          <w:sz w:val="18"/>
          <w:szCs w:val="18"/>
        </w:rPr>
      </w:pPr>
      <w:r>
        <w:rPr>
          <w:rFonts w:ascii="Microsoft YaHei" w:eastAsia="Microsoft YaHei" w:hAnsi="Microsoft YaHei" w:cs="Microsoft YaHei"/>
          <w:b/>
          <w:bCs/>
          <w:spacing w:val="-1"/>
          <w:sz w:val="18"/>
          <w:szCs w:val="18"/>
        </w:rPr>
        <w:t>图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 xml:space="preserve">2   </w:t>
      </w:r>
      <w:r>
        <w:rPr>
          <w:rFonts w:ascii="Microsoft YaHei" w:eastAsia="Microsoft YaHei" w:hAnsi="Microsoft YaHei" w:cs="Microsoft YaHei"/>
          <w:b/>
          <w:bCs/>
          <w:spacing w:val="-1"/>
          <w:sz w:val="18"/>
          <w:szCs w:val="18"/>
        </w:rPr>
        <w:t>中国运动营养行业市场规模及增速（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2016-2023E</w:t>
      </w:r>
      <w:r>
        <w:rPr>
          <w:rFonts w:ascii="Microsoft YaHei" w:eastAsia="Microsoft YaHei" w:hAnsi="Microsoft YaHei" w:cs="Microsoft YaHei"/>
          <w:b/>
          <w:bCs/>
          <w:spacing w:val="-1"/>
          <w:sz w:val="18"/>
          <w:szCs w:val="18"/>
        </w:rPr>
        <w:t>）</w:t>
      </w:r>
    </w:p>
    <w:p>
      <w:pPr>
        <w:spacing w:line="219" w:lineRule="exact"/>
      </w:pPr>
    </w:p>
    <w:tbl>
      <w:tblPr>
        <w:tblStyle w:val="TableNormal1"/>
        <w:tblW w:w="4630" w:type="dxa"/>
        <w:tblInd w:w="1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7"/>
        <w:gridCol w:w="4134"/>
        <w:gridCol w:w="309"/>
      </w:tblGrid>
      <w:tr>
        <w:tblPrEx>
          <w:tblW w:w="4630" w:type="dxa"/>
          <w:tblInd w:w="12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095"/>
        </w:trPr>
        <w:tc>
          <w:tcPr>
            <w:tcW w:w="187" w:type="dxa"/>
            <w:vAlign w:val="top"/>
          </w:tcPr>
          <w:p>
            <w:pPr>
              <w:spacing w:before="1" w:line="199" w:lineRule="auto"/>
              <w:ind w:left="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70</w:t>
            </w:r>
          </w:p>
          <w:p>
            <w:pPr>
              <w:spacing w:before="137" w:line="200" w:lineRule="auto"/>
              <w:ind w:left="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60</w:t>
            </w:r>
          </w:p>
          <w:p>
            <w:pPr>
              <w:spacing w:before="137" w:line="199" w:lineRule="auto"/>
              <w:ind w:left="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50</w:t>
            </w:r>
          </w:p>
          <w:p>
            <w:pPr>
              <w:spacing w:before="137" w:line="200" w:lineRule="auto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>40</w:t>
            </w:r>
          </w:p>
          <w:p>
            <w:pPr>
              <w:spacing w:before="138" w:line="200" w:lineRule="auto"/>
              <w:ind w:left="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30</w:t>
            </w:r>
          </w:p>
          <w:p>
            <w:pPr>
              <w:spacing w:before="138" w:line="200" w:lineRule="auto"/>
              <w:ind w:left="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20</w:t>
            </w:r>
          </w:p>
          <w:p>
            <w:pPr>
              <w:spacing w:before="137" w:line="199" w:lineRule="auto"/>
              <w:ind w:left="1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3"/>
                <w:sz w:val="13"/>
                <w:szCs w:val="13"/>
              </w:rPr>
              <w:t>10</w:t>
            </w:r>
          </w:p>
          <w:p>
            <w:pPr>
              <w:spacing w:before="138" w:line="200" w:lineRule="auto"/>
              <w:ind w:left="7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</w:t>
            </w:r>
          </w:p>
        </w:tc>
        <w:tc>
          <w:tcPr>
            <w:tcW w:w="4134" w:type="dxa"/>
            <w:vAlign w:val="top"/>
          </w:tcPr>
          <w:p>
            <w:pPr>
              <w:spacing w:before="48" w:line="1881" w:lineRule="exact"/>
              <w:ind w:firstLine="38"/>
            </w:pPr>
            <w:r>
              <w:rPr>
                <w:position w:val="-37"/>
              </w:rPr>
              <w:pict>
                <v:group id="_x0000_i1060" style="width:202.85pt;height:94.05pt;mso-position-horizontal-relative:char;mso-position-vertical-relative:line" coordorigin="0,0" coordsize="4057,1881" filled="f" stroked="f">
                  <v:shape id="_x0000_s1061" style="width:200;height:235;left:188;position:absolute;top:1604" coordorigin="0,0" coordsize="200,235" path="m,234l199,234l199,l,l,234xe" filled="t" fillcolor="navy" stroked="f"/>
                  <v:shape id="_x0000_s1062" style="width:213;height:248;left:181;position:absolute;top:1597" coordorigin="0,0" coordsize="213,248" path="m6,241l206,241l206,6l6,6l6,241xe" filled="f" strokecolor="black" strokeweight="0.7pt"/>
                  <v:shape id="_x0000_s1063" style="width:200;height:392;left:684;position:absolute;top:1446" coordorigin="0,0" coordsize="200,392" path="m,392l199,392l199,l,l,392xe" filled="t" fillcolor="navy" stroked="f"/>
                  <v:shape id="_x0000_s1064" style="width:213;height:407;left:678;position:absolute;top:1439" coordorigin="0,0" coordsize="213,407" path="m6,399l206,399l206,6l6,6l6,399xe" filled="f" strokecolor="black" strokeweight="0.7pt"/>
                  <v:shape id="_x0000_s1065" style="width:200;height:550;left:1181;position:absolute;top:1288" coordorigin="0,0" coordsize="200,550" path="m,550l199,550l199,l,l,550xe" filled="t" fillcolor="navy" stroked="f"/>
                  <v:shape id="_x0000_s1066" style="width:213;height:565;left:1174;position:absolute;top:1281" coordorigin="0,0" coordsize="213,565" path="m6,557l206,557l206,6l6,6l6,557xe" filled="f" strokecolor="black" strokeweight="0.7pt"/>
                  <v:shape id="_x0000_s1067" style="width:197;height:680;left:1681;position:absolute;top:1158" coordorigin="0,0" coordsize="197,680" path="m,680l197,680l197,l,l,680xe" filled="t" fillcolor="navy" stroked="f"/>
                  <v:shape id="_x0000_s1068" style="width:212;height:695;left:1674;position:absolute;top:1151" coordorigin="0,0" coordsize="212,695" path="m6,687l204,687l204,6l6,6l6,687xe" filled="f" strokecolor="black" strokeweight="0.7pt"/>
                  <v:shape id="_x0000_s1069" style="width:197;height:915;left:2178;position:absolute;top:923" coordorigin="0,0" coordsize="197,915" path="m,914l197,914l197,l,l,914xe" filled="t" fillcolor="navy" stroked="f"/>
                  <v:shape id="_x0000_s1070" style="width:212;height:929;left:2171;position:absolute;top:916" coordorigin="0,0" coordsize="212,929" path="m6,921l204,921l204,6l6,6l6,921xe" filled="f" strokecolor="black" strokeweight="0.7pt"/>
                  <v:shape id="_x0000_s1071" style="width:197;height:1073;left:2674;position:absolute;top:766" coordorigin="0,0" coordsize="197,1073" path="m,1072l197,1072l197,l,l,1072xe" filled="t" fillcolor="navy" stroked="f"/>
                  <v:shape id="_x0000_s1072" style="width:212;height:1086;left:2667;position:absolute;top:759" coordorigin="0,0" coordsize="212,1086" path="m6,1079l204,1079l204,6l6,6l6,1079xe" filled="f" strokecolor="black" strokeweight="0.7pt"/>
                  <v:shape id="_x0000_s1073" style="width:197;height:1255;left:3171;position:absolute;top:582" coordorigin="0,0" coordsize="197,1255" path="m,1255l197,1255l197,l,l,1255xe" filled="t" fillcolor="navy" stroked="f"/>
                  <v:shape id="_x0000_s1074" style="width:212;height:1270;left:3164;position:absolute;top:575" coordorigin="0,0" coordsize="212,1270" path="m6,1262l204,1262l204,6l6,6l6,1262xe" filled="f" strokecolor="black" strokeweight="0.7pt"/>
                  <v:shape id="_x0000_s1075" style="width:197;height:1571;left:3668;position:absolute;top:266" coordorigin="0,0" coordsize="197,1571" path="m,1571l197,1571l197,l,l,1571xe" filled="t" fillcolor="navy" stroked="f"/>
                  <v:shape id="_x0000_s1076" style="width:212;height:1586;left:3661;position:absolute;top:259" coordorigin="0,0" coordsize="212,1586" path="m6,1578l204,1578l204,6l6,6l6,1578xe" filled="f" strokecolor="black" strokeweight="0.7pt"/>
                  <v:shape id="_x0000_s1077" style="width:4057;height:1881;position:absolute" coordorigin="0,0" coordsize="4057,1881" path="m4014,1838l4014,6m4014,1838l4056,1838m4014,1578l4056,1578m4014,1316l4056,1316m4014,1053l4056,1053m4014,791l4056,791m4014,529l4056,529m4014,266l4056,266m4014,6l4056,6m39,1838l39,6m,1838l39,1838m,1578l39,1578m,1316l39,1316m,1053l39,1053m,791l39,791m,529l39,529m,266l39,266m,6l39,6m39,1838l4014,1838m39,1838l39,1880m536,1838l536,1880m1033,1838l1033,1880m1530,1838l1530,1880m2027,1838l2027,1880m2523,1838l2523,1880m3020,1838l3020,1880m3517,1838l3517,1880m4014,1838l4014,1880e" filled="f" strokecolor="#868686" strokeweight="0.7pt"/>
                  <v:shape id="_x0000_s1078" style="width:3023;height:1341;left:763;position:absolute;top:71" coordorigin="0,0" coordsize="3023,1341" path="m20,20l517,719l1014,1144l1511,861l2008,1318l2505,1320l3002,1111e" filled="f" strokecolor="blue" strokeweight="2.09pt">
                    <v:stroke endcap="round"/>
                  </v:shape>
                  <w10:wrap type="none"/>
                </v:group>
              </w:pict>
            </w:r>
          </w:p>
          <w:p>
            <w:pPr>
              <w:spacing w:before="68" w:line="87" w:lineRule="exact"/>
              <w:ind w:left="18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2"/>
                <w:position w:val="-2"/>
                <w:sz w:val="13"/>
                <w:szCs w:val="13"/>
              </w:rPr>
              <w:t>2016     2017</w:t>
            </w:r>
            <w:r>
              <w:rPr>
                <w:rFonts w:ascii="Arial" w:eastAsia="Arial" w:hAnsi="Arial" w:cs="Arial"/>
                <w:spacing w:val="4"/>
                <w:position w:val="-2"/>
                <w:sz w:val="13"/>
                <w:szCs w:val="13"/>
              </w:rPr>
              <w:t xml:space="preserve">     </w:t>
            </w:r>
            <w:r>
              <w:rPr>
                <w:rFonts w:ascii="Arial" w:eastAsia="Arial" w:hAnsi="Arial" w:cs="Arial"/>
                <w:spacing w:val="2"/>
                <w:position w:val="-2"/>
                <w:sz w:val="13"/>
                <w:szCs w:val="13"/>
              </w:rPr>
              <w:t>2018</w:t>
            </w:r>
            <w:r>
              <w:rPr>
                <w:rFonts w:ascii="Arial" w:eastAsia="Arial" w:hAnsi="Arial" w:cs="Arial"/>
                <w:spacing w:val="4"/>
                <w:position w:val="-2"/>
                <w:sz w:val="13"/>
                <w:szCs w:val="13"/>
              </w:rPr>
              <w:t xml:space="preserve">     </w:t>
            </w:r>
            <w:r>
              <w:rPr>
                <w:rFonts w:ascii="Arial" w:eastAsia="Arial" w:hAnsi="Arial" w:cs="Arial"/>
                <w:spacing w:val="2"/>
                <w:position w:val="-2"/>
                <w:sz w:val="13"/>
                <w:szCs w:val="13"/>
              </w:rPr>
              <w:t>2019</w:t>
            </w:r>
            <w:r>
              <w:rPr>
                <w:rFonts w:ascii="Arial" w:eastAsia="Arial" w:hAnsi="Arial" w:cs="Arial"/>
                <w:spacing w:val="4"/>
                <w:position w:val="-2"/>
                <w:sz w:val="13"/>
                <w:szCs w:val="13"/>
              </w:rPr>
              <w:t xml:space="preserve">     </w:t>
            </w:r>
            <w:r>
              <w:rPr>
                <w:rFonts w:ascii="Arial" w:eastAsia="Arial" w:hAnsi="Arial" w:cs="Arial"/>
                <w:spacing w:val="2"/>
                <w:position w:val="-2"/>
                <w:sz w:val="13"/>
                <w:szCs w:val="13"/>
              </w:rPr>
              <w:t>2020    2021E   2022E   2023E</w:t>
            </w:r>
          </w:p>
        </w:tc>
        <w:tc>
          <w:tcPr>
            <w:tcW w:w="309" w:type="dxa"/>
            <w:vAlign w:val="top"/>
          </w:tcPr>
          <w:p>
            <w:pPr>
              <w:spacing w:before="3" w:line="420" w:lineRule="auto"/>
              <w:ind w:left="40" w:firstLine="4"/>
              <w:jc w:val="both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>70%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60%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50%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40%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30%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20%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10%</w:t>
            </w:r>
          </w:p>
          <w:p>
            <w:pPr>
              <w:spacing w:line="202" w:lineRule="auto"/>
              <w:ind w:left="4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0%</w:t>
            </w:r>
          </w:p>
        </w:tc>
      </w:tr>
    </w:tbl>
    <w:p>
      <w:pPr>
        <w:spacing w:before="215" w:line="220" w:lineRule="auto"/>
        <w:ind w:left="344"/>
        <w:rPr>
          <w:rFonts w:ascii="NSimSun" w:eastAsia="NSimSun" w:hAnsi="NSimSun" w:cs="NSimSun"/>
          <w:sz w:val="13"/>
          <w:szCs w:val="13"/>
        </w:rPr>
      </w:pPr>
      <w:r>
        <w:rPr>
          <w:rFonts w:ascii="NSimSun" w:eastAsia="NSimSun" w:hAnsi="NSimSun" w:cs="NSimSun"/>
          <w:position w:val="1"/>
          <w:sz w:val="13"/>
          <w:szCs w:val="13"/>
        </w:rPr>
        <w:drawing>
          <wp:inline distT="0" distB="0" distL="0" distR="0">
            <wp:extent cx="244760" cy="44223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4760" cy="44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NSimSun" w:eastAsia="NSimSun" w:hAnsi="NSimSun" w:cs="NSimSun"/>
          <w:spacing w:val="-12"/>
          <w:sz w:val="13"/>
          <w:szCs w:val="13"/>
        </w:rPr>
        <w:t xml:space="preserve"> </w:t>
      </w:r>
      <w:r>
        <w:rPr>
          <w:rFonts w:ascii="NSimSun" w:eastAsia="NSimSun" w:hAnsi="NSimSun" w:cs="NSimSun"/>
          <w:spacing w:val="4"/>
          <w:sz w:val="13"/>
          <w:szCs w:val="13"/>
        </w:rPr>
        <w:t>中国运动营养食品市场规模（亿元，左轴）</w:t>
      </w:r>
      <w:r>
        <w:rPr>
          <w:rFonts w:ascii="NSimSun" w:eastAsia="NSimSun" w:hAnsi="NSimSun" w:cs="NSimSun"/>
          <w:spacing w:val="19"/>
          <w:sz w:val="13"/>
          <w:szCs w:val="13"/>
        </w:rPr>
        <w:t xml:space="preserve"> </w:t>
      </w:r>
      <w:r>
        <w:rPr>
          <w:position w:val="2"/>
          <w:sz w:val="13"/>
          <w:szCs w:val="13"/>
        </w:rPr>
        <w:drawing>
          <wp:inline distT="0" distB="0" distL="0" distR="0">
            <wp:extent cx="262453" cy="26534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2453" cy="2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NSimSun" w:eastAsia="NSimSun" w:hAnsi="NSimSun" w:cs="NSimSun"/>
          <w:spacing w:val="-44"/>
          <w:sz w:val="13"/>
          <w:szCs w:val="13"/>
        </w:rPr>
        <w:t xml:space="preserve"> </w:t>
      </w:r>
      <w:r>
        <w:rPr>
          <w:rFonts w:ascii="Arial" w:eastAsia="Arial" w:hAnsi="Arial" w:cs="Arial"/>
          <w:sz w:val="13"/>
          <w:szCs w:val="13"/>
        </w:rPr>
        <w:t>yoy</w:t>
      </w:r>
      <w:r>
        <w:rPr>
          <w:rFonts w:ascii="NSimSun" w:eastAsia="NSimSun" w:hAnsi="NSimSun" w:cs="NSimSun"/>
          <w:spacing w:val="4"/>
          <w:sz w:val="13"/>
          <w:szCs w:val="13"/>
        </w:rPr>
        <w:t>（右轴）</w:t>
      </w:r>
    </w:p>
    <w:p>
      <w:pPr>
        <w:spacing w:before="264" w:line="186" w:lineRule="auto"/>
        <w:ind w:left="121"/>
        <w:rPr>
          <w:rFonts w:ascii="NSimSun" w:eastAsia="NSimSun" w:hAnsi="NSimSun" w:cs="NSimSun"/>
          <w:sz w:val="15"/>
          <w:szCs w:val="15"/>
        </w:rPr>
      </w:pPr>
      <w:r>
        <w:rPr>
          <w:rFonts w:ascii="NSimSun" w:eastAsia="NSimSun" w:hAnsi="NSimSun" w:cs="NSimSun"/>
          <w:spacing w:val="-8"/>
          <w:sz w:val="15"/>
          <w:szCs w:val="15"/>
        </w:rPr>
        <w:t>资料来源：</w:t>
      </w:r>
      <w:r>
        <w:rPr>
          <w:rFonts w:ascii="NSimSun" w:eastAsia="NSimSun" w:hAnsi="NSimSun" w:cs="NSimSun"/>
          <w:spacing w:val="-8"/>
          <w:sz w:val="15"/>
          <w:szCs w:val="15"/>
        </w:rPr>
        <w:t xml:space="preserve"> </w:t>
      </w:r>
      <w:r>
        <w:rPr>
          <w:rFonts w:ascii="NSimSun" w:eastAsia="NSimSun" w:hAnsi="NSimSun" w:cs="NSimSun"/>
          <w:spacing w:val="-8"/>
          <w:sz w:val="15"/>
          <w:szCs w:val="15"/>
        </w:rPr>
        <w:t>华经产业研究院，</w:t>
      </w:r>
      <w:r>
        <w:rPr>
          <w:rFonts w:ascii="NSimSun" w:eastAsia="NSimSun" w:hAnsi="NSimSun" w:cs="NSimSun"/>
          <w:spacing w:val="-8"/>
          <w:sz w:val="15"/>
          <w:szCs w:val="15"/>
        </w:rPr>
        <w:t xml:space="preserve"> </w:t>
      </w:r>
      <w:r>
        <w:rPr>
          <w:rFonts w:ascii="NSimSun" w:eastAsia="NSimSun" w:hAnsi="NSimSun" w:cs="NSimSun"/>
          <w:spacing w:val="-8"/>
          <w:sz w:val="15"/>
          <w:szCs w:val="15"/>
        </w:rPr>
        <w:t>海通证券研究所</w:t>
      </w:r>
    </w:p>
    <w:p>
      <w:pPr>
        <w:spacing w:line="186" w:lineRule="auto"/>
        <w:rPr>
          <w:rFonts w:ascii="NSimSun" w:eastAsia="NSimSun" w:hAnsi="NSimSun" w:cs="NSimSun"/>
          <w:sz w:val="15"/>
          <w:szCs w:val="15"/>
        </w:rPr>
        <w:sectPr>
          <w:headerReference w:type="default" r:id="rId29"/>
          <w:footerReference w:type="default" r:id="rId30"/>
          <w:type w:val="continuous"/>
          <w:pgSz w:w="11907" w:h="16841"/>
          <w:pgMar w:top="400" w:right="646" w:bottom="400" w:left="679" w:header="0" w:footer="0" w:gutter="0"/>
          <w:pgNumType w:start="10"/>
          <w:cols w:num="2" w:space="708" w:equalWidth="0">
            <w:col w:w="5371" w:space="100"/>
            <w:col w:w="5111" w:space="0"/>
          </w:cols>
        </w:sect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  <w:sectPr>
          <w:headerReference w:type="default" r:id="rId31"/>
          <w:footerReference w:type="default" r:id="rId32"/>
          <w:type w:val="continuous"/>
          <w:pgSz w:w="11907" w:h="16841"/>
          <w:pgMar w:top="400" w:right="646" w:bottom="400" w:left="679" w:header="0" w:footer="0" w:gutter="0"/>
          <w:pgNumType w:start="11"/>
          <w:cols w:num="1" w:space="708" w:equalWidth="0">
            <w:col w:w="10581" w:space="0"/>
          </w:cols>
        </w:sect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32" w:lineRule="exact"/>
        <w:ind w:firstLine="37"/>
      </w:pPr>
      <w:r>
        <w:drawing>
          <wp:inline distT="0" distB="0" distL="0" distR="0">
            <wp:extent cx="6685362" cy="2032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85362" cy="2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98" w:line="185" w:lineRule="auto"/>
        <w:ind w:left="7131"/>
        <w:rPr>
          <w:rFonts w:ascii="NSimSun" w:eastAsia="NSimSun" w:hAnsi="NSimSun" w:cs="NSimSun"/>
          <w:sz w:val="18"/>
          <w:szCs w:val="18"/>
        </w:rPr>
      </w:pPr>
      <w:r>
        <w:rPr>
          <w:rFonts w:ascii="NSimSun" w:eastAsia="NSimSun" w:hAnsi="NSimSun" w:cs="NSimSun"/>
          <w:spacing w:val="-1"/>
          <w:sz w:val="18"/>
          <w:szCs w:val="18"/>
        </w:rPr>
        <w:t>请务必阅读正文之后的信息披露和法律声明</w:t>
      </w:r>
    </w:p>
    <w:p>
      <w:pPr>
        <w:spacing w:line="185" w:lineRule="auto"/>
        <w:rPr>
          <w:rFonts w:ascii="NSimSun" w:eastAsia="NSimSun" w:hAnsi="NSimSun" w:cs="NSimSun"/>
          <w:sz w:val="18"/>
          <w:szCs w:val="18"/>
        </w:rPr>
        <w:sectPr>
          <w:headerReference w:type="default" r:id="rId34"/>
          <w:footerReference w:type="default" r:id="rId35"/>
          <w:type w:val="nextPage"/>
          <w:pgSz w:w="11907" w:h="16841"/>
          <w:pgMar w:top="400" w:right="646" w:bottom="400" w:left="679" w:header="0" w:footer="0" w:gutter="0"/>
          <w:pgNumType w:start="12"/>
          <w:cols w:num="1" w:space="708" w:equalWidth="0">
            <w:col w:w="10581" w:space="0"/>
          </w:cols>
          <w:titlePg w:val="0"/>
        </w:sectPr>
      </w:pPr>
    </w:p>
    <w:p>
      <w:pPr>
        <w:pStyle w:val="BodyText"/>
        <w:spacing w:before="257" w:line="212" w:lineRule="auto"/>
        <w:ind w:left="7350"/>
        <w:rPr>
          <w:rFonts w:ascii="Arial" w:eastAsia="Arial" w:hAnsi="Arial" w:cs="Arial"/>
        </w:rPr>
      </w:pPr>
      <w:r>
        <w:pict>
          <v:rect id="_x0000_s1079" style="width:530.05pt;height:1pt;margin-top:48pt;margin-left:34.5pt;mso-position-horizontal-relative:page;mso-position-vertical-relative:page;position:absolute;z-index:251671552" o:allowincell="f" filled="t" fillcolor="blue" stroked="f"/>
        </w:pict>
      </w: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539760</wp:posOffset>
            </wp:positionH>
            <wp:positionV relativeFrom="page">
              <wp:posOffset>7562800</wp:posOffset>
            </wp:positionV>
            <wp:extent cx="3276605" cy="6416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76605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3886170</wp:posOffset>
            </wp:positionH>
            <wp:positionV relativeFrom="page">
              <wp:posOffset>9588450</wp:posOffset>
            </wp:positionV>
            <wp:extent cx="3276604" cy="6416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76604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368310</wp:posOffset>
            </wp:positionH>
            <wp:positionV relativeFrom="page">
              <wp:posOffset>127036</wp:posOffset>
            </wp:positionV>
            <wp:extent cx="1320775" cy="431800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207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0"/>
        </w:rPr>
        <w:t>公司研究</w:t>
      </w:r>
      <w:r>
        <w:rPr>
          <w:spacing w:val="10"/>
        </w:rPr>
        <w:t xml:space="preserve"> </w:t>
      </w:r>
      <w:r>
        <w:rPr>
          <w:spacing w:val="10"/>
        </w:rPr>
        <w:t>·</w:t>
      </w:r>
      <w:r>
        <w:rPr>
          <w:spacing w:val="-38"/>
        </w:rPr>
        <w:t xml:space="preserve"> </w:t>
      </w:r>
      <w:r>
        <w:rPr>
          <w:spacing w:val="10"/>
        </w:rPr>
        <w:t>康比特(</w:t>
      </w:r>
      <w:r>
        <w:rPr>
          <w:rFonts w:ascii="Arial" w:eastAsia="Arial" w:hAnsi="Arial" w:cs="Arial"/>
          <w:spacing w:val="10"/>
        </w:rPr>
        <w:t>833429)7</w:t>
      </w:r>
    </w:p>
    <w:p>
      <w:pPr>
        <w:pStyle w:val="BodyText"/>
        <w:spacing w:before="95" w:line="3466" w:lineRule="exact"/>
        <w:ind w:firstLine="239"/>
      </w:pPr>
      <w:r>
        <w:rPr>
          <w:position w:val="-69"/>
        </w:rPr>
        <w:pict>
          <v:group id="_x0000_i1080" style="width:527pt;height:173.35pt;mso-position-horizontal-relative:char;mso-position-vertical-relative:line" coordorigin="0,0" coordsize="10540,3467" filled="f" stroked="f">
            <v:shape id="_x0000_s1081" type="#_x0000_t75" style="width:10540;height:3300;position:absolute" filled="f" stroked="f">
              <v:imagedata r:id="rId38" o:title=""/>
            </v:shape>
            <v:shape id="_x0000_s1082" type="#_x0000_t202" style="width:8784;height:3358;left:169;position:absolute;top:127" filled="f" stroked="f">
              <o:lock v:ext="edit" aspectratio="f"/>
              <v:textbox inset="0,0,0,0">
                <w:txbxContent>
                  <w:p>
                    <w:pPr>
                      <w:spacing w:before="20" w:line="220" w:lineRule="auto"/>
                      <w:ind w:left="22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bookmarkStart w:id="2" w:name="bookmark38"/>
                    <w:bookmarkEnd w:id="2"/>
                    <w:bookmarkStart w:id="3" w:name="bookmark10"/>
                    <w:bookmarkEnd w:id="3"/>
                    <w:bookmarkStart w:id="4" w:name="bookmark11"/>
                    <w:bookmarkEnd w:id="4"/>
                    <w:bookmarkStart w:id="5" w:name="bookmark12"/>
                    <w:bookmarkEnd w:id="5"/>
                    <w:bookmarkStart w:id="6" w:name="bookmark13"/>
                    <w:bookmarkEnd w:id="6"/>
                    <w:r>
                      <w:rPr>
                        <w:rFonts w:ascii="KaiTi" w:eastAsia="KaiTi" w:hAnsi="KaiTi" w:cs="KaiTi"/>
                        <w:b/>
                        <w:bCs/>
                        <w:spacing w:val="2"/>
                        <w:sz w:val="18"/>
                        <w:szCs w:val="18"/>
                      </w:rPr>
                      <w:t>图3</w:t>
                    </w:r>
                    <w:r>
                      <w:rPr>
                        <w:rFonts w:ascii="KaiTi" w:eastAsia="KaiTi" w:hAnsi="KaiTi" w:cs="KaiTi"/>
                        <w:spacing w:val="8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2"/>
                        <w:sz w:val="18"/>
                        <w:szCs w:val="18"/>
                      </w:rPr>
                      <w:t>中国体育产业规模(万亿，2018-2021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2"/>
                        <w:sz w:val="18"/>
                        <w:szCs w:val="18"/>
                      </w:rPr>
                      <w:t>E)</w:t>
                    </w:r>
                  </w:p>
                  <w:p>
                    <w:pPr>
                      <w:spacing w:before="221" w:line="183" w:lineRule="auto"/>
                      <w:ind w:left="8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2"/>
                        <w:sz w:val="18"/>
                        <w:szCs w:val="18"/>
                      </w:rPr>
                      <w:t>2.8</w:t>
                    </w:r>
                  </w:p>
                  <w:p>
                    <w:pPr>
                      <w:spacing w:before="61" w:line="92" w:lineRule="exact"/>
                      <w:ind w:left="5300"/>
                      <w:rPr>
                        <w:rFonts w:ascii="SimSun" w:eastAsia="SimSun" w:hAnsi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position w:val="-3"/>
                        <w:sz w:val="15"/>
                        <w:szCs w:val="15"/>
                      </w:rPr>
                      <w:t>18%</w:t>
                    </w:r>
                  </w:p>
                  <w:p>
                    <w:pPr>
                      <w:spacing w:line="126" w:lineRule="exact"/>
                      <w:ind w:left="8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position w:val="-2"/>
                        <w:sz w:val="18"/>
                        <w:szCs w:val="18"/>
                      </w:rPr>
                      <w:t>2.7</w:t>
                    </w:r>
                  </w:p>
                  <w:p>
                    <w:pPr>
                      <w:spacing w:before="1" w:line="183" w:lineRule="auto"/>
                      <w:ind w:left="530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18"/>
                        <w:szCs w:val="18"/>
                      </w:rPr>
                      <w:t>16%</w:t>
                    </w:r>
                  </w:p>
                  <w:p>
                    <w:pPr>
                      <w:spacing w:before="1" w:line="183" w:lineRule="auto"/>
                      <w:ind w:left="8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8"/>
                        <w:szCs w:val="18"/>
                      </w:rPr>
                      <w:t>2.6</w:t>
                    </w:r>
                  </w:p>
                  <w:p>
                    <w:pPr>
                      <w:spacing w:before="93" w:line="220" w:lineRule="auto"/>
                      <w:ind w:left="5300"/>
                      <w:rPr>
                        <w:rFonts w:ascii="SimSun" w:eastAsia="SimSun" w:hAnsi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15"/>
                        <w:szCs w:val="15"/>
                      </w:rPr>
                      <w:t>12%</w:t>
                    </w:r>
                  </w:p>
                  <w:p>
                    <w:pPr>
                      <w:spacing w:line="183" w:lineRule="auto"/>
                      <w:ind w:left="530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18"/>
                        <w:szCs w:val="18"/>
                      </w:rPr>
                      <w:t>10%</w:t>
                    </w:r>
                  </w:p>
                  <w:p>
                    <w:pPr>
                      <w:spacing w:before="83" w:line="183" w:lineRule="auto"/>
                      <w:ind w:left="5380"/>
                      <w:rPr>
                        <w:rFonts w:ascii="SimSun" w:eastAsia="SimSun" w:hAnsi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5"/>
                        <w:szCs w:val="15"/>
                      </w:rPr>
                      <w:t>8%</w:t>
                    </w:r>
                  </w:p>
                  <w:p>
                    <w:pPr>
                      <w:spacing w:before="20" w:line="183" w:lineRule="auto"/>
                      <w:ind w:left="538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color w:val="12263B"/>
                        <w:spacing w:val="-3"/>
                        <w:sz w:val="18"/>
                        <w:szCs w:val="18"/>
                      </w:rPr>
                      <w:t>6%</w:t>
                    </w:r>
                  </w:p>
                  <w:p>
                    <w:pPr>
                      <w:spacing w:before="162" w:line="113" w:lineRule="exact"/>
                      <w:ind w:left="8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2"/>
                        <w:position w:val="-3"/>
                        <w:sz w:val="18"/>
                        <w:szCs w:val="18"/>
                      </w:rPr>
                      <w:t>2.2</w:t>
                    </w:r>
                  </w:p>
                  <w:p>
                    <w:pPr>
                      <w:spacing w:before="1" w:line="167" w:lineRule="auto"/>
                      <w:ind w:left="5380"/>
                      <w:rPr>
                        <w:rFonts w:ascii="SimSun" w:eastAsia="SimSun" w:hAnsi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5"/>
                        <w:szCs w:val="15"/>
                      </w:rPr>
                      <w:t>2%</w:t>
                    </w:r>
                  </w:p>
                  <w:p>
                    <w:pPr>
                      <w:spacing w:before="79" w:line="184" w:lineRule="auto"/>
                      <w:ind w:left="8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8"/>
                        <w:szCs w:val="18"/>
                      </w:rPr>
                      <w:t>2.1</w:t>
                    </w:r>
                  </w:p>
                  <w:p>
                    <w:pPr>
                      <w:spacing w:before="3" w:line="195" w:lineRule="auto"/>
                      <w:ind w:left="780"/>
                      <w:rPr>
                        <w:rFonts w:ascii="SimSun" w:eastAsia="SimSun" w:hAnsi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5"/>
                        <w:szCs w:val="15"/>
                      </w:rPr>
                      <w:t>2018</w:t>
                    </w:r>
                    <w:r>
                      <w:rPr>
                        <w:rFonts w:ascii="SimSun" w:eastAsia="SimSun" w:hAnsi="SimSun" w:cs="SimSun"/>
                        <w:sz w:val="15"/>
                        <w:szCs w:val="15"/>
                      </w:rPr>
                      <w:t xml:space="preserve">          </w:t>
                    </w:r>
                    <w:r>
                      <w:rPr>
                        <w:rFonts w:ascii="SimSun" w:eastAsia="SimSun" w:hAnsi="SimSun" w:cs="SimSun"/>
                        <w:spacing w:val="-2"/>
                        <w:sz w:val="15"/>
                        <w:szCs w:val="15"/>
                      </w:rPr>
                      <w:t>2019</w:t>
                    </w:r>
                    <w:r>
                      <w:rPr>
                        <w:rFonts w:ascii="SimSun" w:eastAsia="SimSun" w:hAnsi="SimSun" w:cs="SimSun"/>
                        <w:spacing w:val="3"/>
                        <w:sz w:val="15"/>
                        <w:szCs w:val="15"/>
                      </w:rPr>
                      <w:t xml:space="preserve">          </w:t>
                    </w:r>
                    <w:r>
                      <w:rPr>
                        <w:rFonts w:ascii="SimSun" w:eastAsia="SimSun" w:hAnsi="SimSun" w:cs="SimSun"/>
                        <w:color w:val="C77E36"/>
                        <w:spacing w:val="-2"/>
                        <w:position w:val="1"/>
                        <w:sz w:val="15"/>
                        <w:szCs w:val="15"/>
                      </w:rPr>
                      <w:t>2020</w:t>
                    </w:r>
                  </w:p>
                  <w:p>
                    <w:pPr>
                      <w:spacing w:before="187" w:line="220" w:lineRule="auto"/>
                      <w:ind w:left="20"/>
                      <w:rPr>
                        <w:rFonts w:ascii="KaiTi" w:eastAsia="KaiTi" w:hAnsi="KaiTi" w:cs="KaiTi"/>
                        <w:sz w:val="15"/>
                        <w:szCs w:val="15"/>
                      </w:rPr>
                    </w:pPr>
                    <w:r>
                      <w:rPr>
                        <w:rFonts w:ascii="KaiTi" w:eastAsia="KaiTi" w:hAnsi="KaiTi" w:cs="KaiTi"/>
                        <w:spacing w:val="-2"/>
                        <w:sz w:val="15"/>
                        <w:szCs w:val="15"/>
                      </w:rPr>
                      <w:t>数据来源：</w:t>
                    </w:r>
                    <w:r>
                      <w:rPr>
                        <w:rFonts w:ascii="KaiTi" w:eastAsia="KaiTi" w:hAnsi="KaiTi" w:cs="KaiTi"/>
                        <w:spacing w:val="22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"/>
                        <w:sz w:val="15"/>
                        <w:szCs w:val="15"/>
                      </w:rPr>
                      <w:t>IHRSA、</w:t>
                    </w:r>
                    <w:r>
                      <w:rPr>
                        <w:rFonts w:ascii="SimSun" w:eastAsia="SimSun" w:hAnsi="SimSun" w:cs="SimSun"/>
                        <w:spacing w:val="56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2"/>
                        <w:sz w:val="15"/>
                        <w:szCs w:val="15"/>
                      </w:rPr>
                      <w:t>艾媒数据中心，海通证</w:t>
                    </w:r>
                    <w:r>
                      <w:rPr>
                        <w:rFonts w:ascii="KaiTi" w:eastAsia="KaiTi" w:hAnsi="KaiTi" w:cs="KaiTi"/>
                        <w:spacing w:val="-3"/>
                        <w:sz w:val="15"/>
                        <w:szCs w:val="15"/>
                      </w:rPr>
                      <w:t>券研究所</w:t>
                    </w:r>
                    <w:r>
                      <w:rPr>
                        <w:rFonts w:ascii="KaiTi" w:eastAsia="KaiTi" w:hAnsi="KaiTi" w:cs="KaiTi"/>
                        <w:spacing w:val="-3"/>
                        <w:sz w:val="15"/>
                        <w:szCs w:val="15"/>
                      </w:rPr>
                      <w:t xml:space="preserve">                        </w:t>
                    </w:r>
                    <w:r>
                      <w:rPr>
                        <w:rFonts w:ascii="KaiTi" w:eastAsia="KaiTi" w:hAnsi="KaiTi" w:cs="KaiTi"/>
                        <w:spacing w:val="-3"/>
                        <w:sz w:val="15"/>
                        <w:szCs w:val="15"/>
                      </w:rPr>
                      <w:t>资料来源：</w:t>
                    </w:r>
                    <w:r>
                      <w:rPr>
                        <w:rFonts w:ascii="KaiTi" w:eastAsia="KaiTi" w:hAnsi="KaiTi" w:cs="KaiTi"/>
                        <w:spacing w:val="7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3"/>
                        <w:sz w:val="15"/>
                        <w:szCs w:val="15"/>
                      </w:rPr>
                      <w:t>IHRSA</w:t>
                    </w:r>
                    <w:r>
                      <w:rPr>
                        <w:rFonts w:ascii="SimSun" w:eastAsia="SimSun" w:hAnsi="SimSun" w:cs="SimSun"/>
                        <w:spacing w:val="-3"/>
                        <w:sz w:val="15"/>
                        <w:szCs w:val="15"/>
                      </w:rPr>
                      <w:t>、</w:t>
                    </w:r>
                    <w:r>
                      <w:rPr>
                        <w:rFonts w:ascii="KaiTi" w:eastAsia="KaiTi" w:hAnsi="KaiTi" w:cs="KaiTi"/>
                        <w:spacing w:val="-3"/>
                        <w:sz w:val="15"/>
                        <w:szCs w:val="15"/>
                      </w:rPr>
                      <w:t>艾媒数据中心，海通证券研究所</w:t>
                    </w:r>
                  </w:p>
                </w:txbxContent>
              </v:textbox>
            </v:shape>
            <v:shape id="_x0000_s1083" type="#_x0000_t202" style="width:3067;height:627;left:5450;position:absolute;top:111" filled="f" stroked="f">
              <o:lock v:ext="edit" aspectratio="f"/>
              <v:textbox inset="0,0,0,0">
                <w:txbxContent>
                  <w:p>
                    <w:pPr>
                      <w:spacing w:before="20" w:line="224" w:lineRule="auto"/>
                      <w:ind w:left="22"/>
                      <w:rPr>
                        <w:rFonts w:ascii="KaiTi" w:eastAsia="KaiTi" w:hAnsi="KaiTi" w:cs="KaiTi"/>
                        <w:sz w:val="18"/>
                        <w:szCs w:val="18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spacing w:val="11"/>
                        <w:sz w:val="18"/>
                        <w:szCs w:val="18"/>
                      </w:rPr>
                      <w:t>图42020年各国付费健身人口渗透率</w:t>
                    </w:r>
                  </w:p>
                  <w:p>
                    <w:pPr>
                      <w:spacing w:before="243" w:line="183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color w:val="CD8238"/>
                        <w:spacing w:val="-3"/>
                        <w:sz w:val="18"/>
                        <w:szCs w:val="18"/>
                      </w:rPr>
                      <w:t>20%</w:t>
                    </w:r>
                  </w:p>
                </w:txbxContent>
              </v:textbox>
            </v:shape>
            <v:shape id="_x0000_s1084" type="#_x0000_t202" style="width:2773;height:247;left:6149;position:absolute;top:2875" filled="f" stroked="f">
              <o:lock v:ext="edit" aspectratio="f"/>
              <v:textbox inset="0,0,0,0">
                <w:txbxContent>
                  <w:p>
                    <w:pPr>
                      <w:spacing w:before="19"/>
                      <w:jc w:val="right"/>
                      <w:rPr>
                        <w:rFonts w:ascii="SimSun" w:eastAsia="SimSun" w:hAnsi="SimSun" w:cs="SimSun"/>
                        <w:sz w:val="15"/>
                        <w:szCs w:val="15"/>
                      </w:rPr>
                    </w:pPr>
                    <w:r>
                      <w:rPr>
                        <w:rFonts w:ascii="KaiTi" w:eastAsia="KaiTi" w:hAnsi="KaiTi" w:cs="KaiTi"/>
                        <w:spacing w:val="-12"/>
                        <w:position w:val="-2"/>
                        <w:sz w:val="15"/>
                        <w:szCs w:val="15"/>
                      </w:rPr>
                      <w:t>美国</w:t>
                    </w:r>
                    <w:r>
                      <w:rPr>
                        <w:rFonts w:ascii="KaiTi" w:eastAsia="KaiTi" w:hAnsi="KaiTi" w:cs="KaiTi"/>
                        <w:spacing w:val="-12"/>
                        <w:position w:val="-2"/>
                        <w:sz w:val="15"/>
                        <w:szCs w:val="15"/>
                      </w:rPr>
                      <w:t xml:space="preserve">        </w:t>
                    </w:r>
                    <w:r>
                      <w:rPr>
                        <w:rFonts w:ascii="KaiTi" w:eastAsia="KaiTi" w:hAnsi="KaiTi" w:cs="KaiTi"/>
                        <w:spacing w:val="-12"/>
                        <w:sz w:val="15"/>
                        <w:szCs w:val="15"/>
                      </w:rPr>
                      <w:t>英国</w:t>
                    </w:r>
                    <w:r>
                      <w:rPr>
                        <w:rFonts w:ascii="KaiTi" w:eastAsia="KaiTi" w:hAnsi="KaiTi" w:cs="KaiTi"/>
                        <w:spacing w:val="5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KaiTi" w:eastAsia="KaiTi" w:hAnsi="KaiTi" w:cs="KaiTi"/>
                        <w:spacing w:val="-12"/>
                        <w:position w:val="2"/>
                        <w:sz w:val="15"/>
                        <w:szCs w:val="15"/>
                      </w:rPr>
                      <w:t>德国</w:t>
                    </w:r>
                    <w:r>
                      <w:rPr>
                        <w:rFonts w:ascii="KaiTi" w:eastAsia="KaiTi" w:hAnsi="KaiTi" w:cs="KaiTi"/>
                        <w:spacing w:val="5"/>
                        <w:position w:val="2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15"/>
                        <w:szCs w:val="15"/>
                      </w:rPr>
                      <w:t>法国</w:t>
                    </w:r>
                  </w:p>
                </w:txbxContent>
              </v:textbox>
            </v:shape>
            <v:shape id="_x0000_s1085" type="#_x0000_t202" style="width:301;height:775;left:229;position:absolute;top:1503" filled="f" stroked="f">
              <o:lock v:ext="edit" aspectratio="f"/>
              <v:textbox inset="0,0,0,0">
                <w:txbxContent>
                  <w:p>
                    <w:pPr>
                      <w:spacing w:before="20" w:line="183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8"/>
                        <w:szCs w:val="18"/>
                      </w:rPr>
                      <w:t>2.5</w:t>
                    </w:r>
                  </w:p>
                  <w:p>
                    <w:pPr>
                      <w:spacing w:before="141" w:line="183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8"/>
                        <w:szCs w:val="18"/>
                      </w:rPr>
                      <w:t>2.4</w:t>
                    </w:r>
                  </w:p>
                  <w:p>
                    <w:pPr>
                      <w:spacing w:before="111" w:line="183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2"/>
                        <w:sz w:val="18"/>
                        <w:szCs w:val="18"/>
                      </w:rPr>
                      <w:t>2.3</w:t>
                    </w:r>
                  </w:p>
                </w:txbxContent>
              </v:textbox>
            </v:shape>
            <v:shape id="_x0000_s1086" type="#_x0000_t202" style="width:407;height:145;left:4060;position:absolute;top:2934" filled="f" stroked="f">
              <o:lock v:ext="edit" aspectratio="f"/>
              <v:textbox inset="0,0,0,0">
                <w:txbxContent>
                  <w:p>
                    <w:pPr>
                      <w:spacing w:before="19" w:line="184" w:lineRule="auto"/>
                      <w:ind w:left="20"/>
                      <w:rPr>
                        <w:rFonts w:ascii="SimSun" w:eastAsia="SimSun" w:hAnsi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5"/>
                        <w:szCs w:val="15"/>
                      </w:rPr>
                      <w:t>2021E</w:t>
                    </w:r>
                  </w:p>
                </w:txbxContent>
              </v:textbox>
            </v:shape>
            <v:shape id="_x0000_s1087" type="#_x0000_t202" style="width:262;height:190;left:9500;position:absolute;top:2886" filled="f" stroked="f">
              <o:lock v:ext="edit" aspectratio="f"/>
              <v:textbox inset="0,0,0,0">
                <w:txbxContent>
                  <w:p>
                    <w:pPr>
                      <w:spacing w:before="20" w:line="220" w:lineRule="auto"/>
                      <w:jc w:val="right"/>
                      <w:rPr>
                        <w:rFonts w:ascii="SimSun" w:eastAsia="SimSun" w:hAnsi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-40"/>
                        <w:w w:val="92"/>
                        <w:sz w:val="15"/>
                        <w:szCs w:val="15"/>
                      </w:rPr>
                      <w:t>中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-16"/>
                        <w:w w:val="92"/>
                        <w:sz w:val="15"/>
                        <w:szCs w:val="15"/>
                      </w:rPr>
                      <w:t>国</w:t>
                    </w:r>
                  </w:p>
                </w:txbxContent>
              </v:textbox>
            </v:shape>
            <v:shape id="_x0000_s1088" type="#_x0000_t202" style="width:248;height:145;left:5450;position:absolute;top:1234" filled="f" stroked="f">
              <o:lock v:ext="edit" aspectratio="f"/>
              <v:textbox inset="0,0,0,0">
                <w:txbxContent>
                  <w:p>
                    <w:pPr>
                      <w:spacing w:before="19" w:line="184" w:lineRule="auto"/>
                      <w:ind w:left="20"/>
                      <w:rPr>
                        <w:rFonts w:ascii="SimSun" w:eastAsia="SimSun" w:hAnsi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eastAsia="SimSun" w:hAnsi="SimSun" w:cs="SimSun"/>
                        <w:color w:val="EEA256"/>
                        <w:spacing w:val="-4"/>
                        <w:sz w:val="15"/>
                        <w:szCs w:val="15"/>
                      </w:rPr>
                      <w:t>14%</w:t>
                    </w:r>
                  </w:p>
                </w:txbxContent>
              </v:textbox>
            </v:shape>
            <v:shape id="_x0000_s1089" type="#_x0000_t202" style="width:212;height:165;left:5530;position:absolute;top:2713" filled="f" stroked="f">
              <o:lock v:ext="edit" aspectratio="f"/>
              <v:textbox inset="0,0,0,0">
                <w:txbxContent>
                  <w:p>
                    <w:pPr>
                      <w:spacing w:before="20" w:line="166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8"/>
                        <w:szCs w:val="18"/>
                      </w:rPr>
                      <w:t>0%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pStyle w:val="BodyText"/>
        <w:spacing w:before="58" w:line="263" w:lineRule="auto"/>
        <w:ind w:left="3060" w:right="197" w:firstLine="429"/>
      </w:pPr>
      <w:r>
        <w:rPr>
          <w:spacing w:val="18"/>
        </w:rPr>
        <w:t>行业格局上，近年来随着国内厂商对外资品牌的兼并收购，目前国</w:t>
      </w:r>
      <w:r>
        <w:rPr>
          <w:spacing w:val="17"/>
        </w:rPr>
        <w:t>内市场由内资品</w:t>
      </w:r>
      <w:r>
        <w:t xml:space="preserve"> </w:t>
      </w:r>
      <w:r>
        <w:rPr>
          <w:spacing w:val="25"/>
        </w:rPr>
        <w:t>牌主导，据公司招股书援引欧睿数据2018年</w:t>
      </w:r>
      <w:r>
        <w:rPr>
          <w:rFonts w:ascii="Times New Roman" w:eastAsia="Times New Roman" w:hAnsi="Times New Roman" w:cs="Times New Roman"/>
        </w:rPr>
        <w:t>CR</w:t>
      </w:r>
      <w:r>
        <w:rPr>
          <w:rFonts w:ascii="Times New Roman" w:eastAsia="Times New Roman" w:hAnsi="Times New Roman" w:cs="Times New Roman"/>
          <w:spacing w:val="25"/>
        </w:rPr>
        <w:t xml:space="preserve">10   </w:t>
      </w:r>
      <w:r>
        <w:rPr>
          <w:spacing w:val="25"/>
        </w:rPr>
        <w:t>为88%,合计产值为18</w:t>
      </w:r>
      <w:r>
        <w:rPr>
          <w:spacing w:val="-23"/>
        </w:rPr>
        <w:t xml:space="preserve"> </w:t>
      </w:r>
      <w:r>
        <w:rPr>
          <w:spacing w:val="25"/>
        </w:rPr>
        <w:t>.</w:t>
      </w:r>
      <w:r>
        <w:rPr>
          <w:spacing w:val="-49"/>
        </w:rPr>
        <w:t xml:space="preserve"> </w:t>
      </w:r>
      <w:r>
        <w:rPr>
          <w:spacing w:val="25"/>
        </w:rPr>
        <w:t>5亿元。</w:t>
      </w:r>
      <w:r>
        <w:t xml:space="preserve"> </w:t>
      </w:r>
      <w:r>
        <w:rPr>
          <w:spacing w:val="21"/>
        </w:rPr>
        <w:t>按照欧睿数据、华经产业研究院的数据进行倒推测算，康比特2021-2022</w:t>
      </w:r>
      <w:r>
        <w:rPr>
          <w:spacing w:val="21"/>
        </w:rPr>
        <w:t xml:space="preserve"> </w:t>
      </w:r>
      <w:r>
        <w:rPr>
          <w:spacing w:val="21"/>
        </w:rPr>
        <w:t>年市占率逐</w:t>
      </w:r>
      <w:r>
        <w:t xml:space="preserve"> </w:t>
      </w:r>
      <w:r>
        <w:rPr>
          <w:spacing w:val="22"/>
        </w:rPr>
        <w:t>渐提升，2022年为13</w:t>
      </w:r>
      <w:r>
        <w:rPr>
          <w:spacing w:val="-45"/>
        </w:rPr>
        <w:t xml:space="preserve"> </w:t>
      </w:r>
      <w:r>
        <w:rPr>
          <w:spacing w:val="22"/>
        </w:rPr>
        <w:t>.23%。</w:t>
      </w:r>
    </w:p>
    <w:p>
      <w:pPr>
        <w:spacing w:line="215" w:lineRule="exact"/>
      </w:pPr>
    </w:p>
    <w:tbl>
      <w:tblPr>
        <w:tblStyle w:val="TableNormal2"/>
        <w:tblW w:w="108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45"/>
        <w:gridCol w:w="379"/>
        <w:gridCol w:w="101"/>
        <w:gridCol w:w="4341"/>
        <w:gridCol w:w="1314"/>
        <w:gridCol w:w="3929"/>
      </w:tblGrid>
      <w:tr>
        <w:tblPrEx>
          <w:tblW w:w="10809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13"/>
        </w:trPr>
        <w:tc>
          <w:tcPr>
            <w:tcW w:w="10809" w:type="dxa"/>
            <w:gridSpan w:val="6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37" w:line="170" w:lineRule="auto"/>
              <w:ind w:left="102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b/>
                <w:bCs/>
                <w:spacing w:val="-13"/>
                <w:sz w:val="18"/>
                <w:szCs w:val="18"/>
              </w:rPr>
              <w:t>表</w:t>
            </w:r>
            <w:r>
              <w:rPr>
                <w:rFonts w:ascii="KaiTi" w:eastAsia="KaiTi" w:hAnsi="KaiTi" w:cs="KaiTi"/>
                <w:spacing w:val="47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18"/>
                <w:szCs w:val="18"/>
              </w:rPr>
              <w:t>1</w:t>
            </w:r>
            <w:r>
              <w:rPr>
                <w:rFonts w:ascii="KaiTi" w:eastAsia="KaiTi" w:hAnsi="KaiTi" w:cs="KaiTi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18"/>
                <w:szCs w:val="18"/>
              </w:rPr>
              <w:t>公</w:t>
            </w:r>
            <w:r>
              <w:rPr>
                <w:rFonts w:ascii="KaiTi" w:eastAsia="KaiTi" w:hAnsi="KaiTi" w:cs="KaiTi"/>
                <w:spacing w:val="54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18"/>
                <w:szCs w:val="18"/>
              </w:rPr>
              <w:t>司</w:t>
            </w:r>
            <w:r>
              <w:rPr>
                <w:rFonts w:ascii="KaiTi" w:eastAsia="KaiTi" w:hAnsi="KaiTi" w:cs="KaiTi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18"/>
                <w:szCs w:val="18"/>
              </w:rPr>
              <w:t>主</w:t>
            </w:r>
            <w:r>
              <w:rPr>
                <w:rFonts w:ascii="KaiTi" w:eastAsia="KaiTi" w:hAnsi="KaiTi" w:cs="KaiTi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18"/>
                <w:szCs w:val="18"/>
              </w:rPr>
              <w:t>要</w:t>
            </w:r>
            <w:r>
              <w:rPr>
                <w:rFonts w:ascii="KaiTi" w:eastAsia="KaiTi" w:hAnsi="KaiTi" w:cs="KaiTi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18"/>
                <w:szCs w:val="18"/>
              </w:rPr>
              <w:t>竞</w:t>
            </w:r>
            <w:r>
              <w:rPr>
                <w:rFonts w:ascii="KaiTi" w:eastAsia="KaiTi" w:hAnsi="KaiTi" w:cs="KaiTi"/>
                <w:spacing w:val="38"/>
                <w:w w:val="101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18"/>
                <w:szCs w:val="18"/>
              </w:rPr>
              <w:t>争</w:t>
            </w:r>
            <w:r>
              <w:rPr>
                <w:rFonts w:ascii="KaiTi" w:eastAsia="KaiTi" w:hAnsi="KaiTi" w:cs="KaiT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18"/>
                <w:szCs w:val="18"/>
              </w:rPr>
              <w:t>对</w:t>
            </w:r>
            <w:r>
              <w:rPr>
                <w:rFonts w:ascii="KaiTi" w:eastAsia="KaiTi" w:hAnsi="KaiTi" w:cs="KaiTi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18"/>
                <w:szCs w:val="18"/>
              </w:rPr>
              <w:t>手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02"/>
        </w:trPr>
        <w:tc>
          <w:tcPr>
            <w:tcW w:w="1225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31" w:line="165" w:lineRule="auto"/>
              <w:ind w:left="102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b/>
                <w:bCs/>
                <w:spacing w:val="-10"/>
                <w:sz w:val="18"/>
                <w:szCs w:val="18"/>
              </w:rPr>
              <w:t>公司名称</w:t>
            </w:r>
          </w:p>
        </w:tc>
        <w:tc>
          <w:tcPr>
            <w:tcW w:w="5655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36" w:line="169" w:lineRule="auto"/>
              <w:ind w:left="58"/>
              <w:rPr>
                <w:rFonts w:ascii="KaiTi" w:eastAsia="KaiTi" w:hAnsi="KaiTi" w:cs="KaiTi"/>
                <w:sz w:val="17"/>
                <w:szCs w:val="17"/>
              </w:rPr>
            </w:pPr>
            <w:r>
              <w:rPr>
                <w:rFonts w:ascii="KaiTi" w:eastAsia="KaiTi" w:hAnsi="KaiTi" w:cs="KaiTi"/>
                <w:b/>
                <w:bCs/>
                <w:spacing w:val="-13"/>
                <w:sz w:val="17"/>
                <w:szCs w:val="17"/>
              </w:rPr>
              <w:t>简</w:t>
            </w:r>
            <w:r>
              <w:rPr>
                <w:rFonts w:ascii="KaiTi" w:eastAsia="KaiTi" w:hAnsi="KaiTi" w:cs="KaiTi"/>
                <w:spacing w:val="-9"/>
                <w:sz w:val="17"/>
                <w:szCs w:val="17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17"/>
                <w:szCs w:val="17"/>
              </w:rPr>
              <w:t>介</w:t>
            </w:r>
          </w:p>
        </w:tc>
        <w:tc>
          <w:tcPr>
            <w:tcW w:w="3929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37" w:line="168" w:lineRule="auto"/>
              <w:ind w:left="81"/>
              <w:rPr>
                <w:rFonts w:ascii="KaiTi" w:eastAsia="KaiTi" w:hAnsi="KaiTi" w:cs="KaiTi"/>
                <w:sz w:val="17"/>
                <w:szCs w:val="17"/>
              </w:rPr>
            </w:pPr>
            <w:r>
              <w:rPr>
                <w:rFonts w:ascii="KaiTi" w:eastAsia="KaiTi" w:hAnsi="KaiTi" w:cs="KaiTi"/>
                <w:b/>
                <w:bCs/>
                <w:spacing w:val="-4"/>
                <w:sz w:val="17"/>
                <w:szCs w:val="17"/>
              </w:rPr>
              <w:t>产</w:t>
            </w:r>
            <w:r>
              <w:rPr>
                <w:rFonts w:ascii="KaiTi" w:eastAsia="KaiTi" w:hAnsi="KaiTi" w:cs="KaiTi"/>
                <w:spacing w:val="32"/>
                <w:sz w:val="17"/>
                <w:szCs w:val="17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4"/>
                <w:sz w:val="17"/>
                <w:szCs w:val="17"/>
              </w:rPr>
              <w:t>品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365"/>
        </w:trPr>
        <w:tc>
          <w:tcPr>
            <w:tcW w:w="1225" w:type="dxa"/>
            <w:gridSpan w:val="3"/>
            <w:tcBorders>
              <w:top w:val="single" w:sz="2" w:space="0" w:color="000000"/>
            </w:tcBorders>
            <w:vAlign w:val="top"/>
          </w:tcPr>
          <w:p>
            <w:pPr>
              <w:spacing w:before="196" w:line="195" w:lineRule="auto"/>
              <w:ind w:left="100"/>
              <w:rPr>
                <w:rFonts w:ascii="KaiTi" w:eastAsia="KaiTi" w:hAnsi="KaiTi" w:cs="KaiTi"/>
                <w:sz w:val="15"/>
                <w:szCs w:val="15"/>
              </w:rPr>
            </w:pPr>
            <w:r>
              <w:rPr>
                <w:rFonts w:ascii="KaiTi" w:eastAsia="KaiTi" w:hAnsi="KaiTi" w:cs="KaiTi"/>
                <w:spacing w:val="10"/>
                <w:sz w:val="15"/>
                <w:szCs w:val="15"/>
              </w:rPr>
              <w:t>西王食品/肌肉</w:t>
            </w:r>
          </w:p>
        </w:tc>
        <w:tc>
          <w:tcPr>
            <w:tcW w:w="5655" w:type="dxa"/>
            <w:gridSpan w:val="2"/>
            <w:vMerge w:val="restart"/>
            <w:tcBorders>
              <w:top w:val="single" w:sz="2" w:space="0" w:color="000000"/>
              <w:bottom w:val="nil"/>
            </w:tcBorders>
            <w:vAlign w:val="top"/>
          </w:tcPr>
          <w:p>
            <w:pPr>
              <w:pStyle w:val="TableText"/>
              <w:spacing w:before="39" w:line="220" w:lineRule="auto"/>
              <w:ind w:left="78" w:right="99" w:firstLine="66"/>
              <w:jc w:val="both"/>
              <w:rPr>
                <w:rFonts w:ascii="KaiTi" w:eastAsia="KaiTi" w:hAnsi="KaiTi" w:cs="KaiTi"/>
                <w:sz w:val="15"/>
                <w:szCs w:val="15"/>
              </w:rPr>
            </w:pPr>
            <w:r>
              <w:rPr>
                <w:rFonts w:ascii="KaiTi" w:eastAsia="KaiTi" w:hAnsi="KaiTi" w:cs="KaiTi"/>
                <w:spacing w:val="-7"/>
                <w:sz w:val="18"/>
                <w:szCs w:val="18"/>
              </w:rPr>
              <w:t>肌肉科技创立于1995年，09年进入中国，2016年西王食品收购</w:t>
            </w:r>
            <w:r>
              <w:rPr>
                <w:spacing w:val="-7"/>
                <w:sz w:val="18"/>
                <w:szCs w:val="18"/>
              </w:rPr>
              <w:t xml:space="preserve">KERR </w:t>
            </w:r>
            <w:r>
              <w:rPr>
                <w:rFonts w:ascii="KaiTi" w:eastAsia="KaiTi" w:hAnsi="KaiTi" w:cs="KaiTi"/>
                <w:spacing w:val="-7"/>
                <w:sz w:val="18"/>
                <w:szCs w:val="18"/>
              </w:rPr>
              <w:t>公司</w:t>
            </w:r>
            <w:r>
              <w:rPr>
                <w:rFonts w:ascii="KaiTi" w:eastAsia="KaiTi" w:hAnsi="KaiTi" w:cs="KaiTi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0"/>
                <w:sz w:val="18"/>
                <w:szCs w:val="18"/>
              </w:rPr>
              <w:t>(肌肉科技品牌所有方)80%股权，目前在国内运动营养行业排名第一</w:t>
            </w:r>
            <w:r>
              <w:rPr>
                <w:rFonts w:ascii="KaiTi" w:eastAsia="KaiTi" w:hAnsi="KaiTi" w:cs="KaiTi"/>
                <w:spacing w:val="-11"/>
                <w:sz w:val="18"/>
                <w:szCs w:val="18"/>
              </w:rPr>
              <w:t>，2022</w:t>
            </w:r>
            <w:r>
              <w:rPr>
                <w:rFonts w:ascii="KaiTi" w:eastAsia="KaiTi" w:hAnsi="KaiTi" w:cs="KaiTi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5"/>
                <w:szCs w:val="15"/>
              </w:rPr>
              <w:t>运</w:t>
            </w:r>
            <w:r>
              <w:rPr>
                <w:rFonts w:ascii="KaiTi" w:eastAsia="KaiTi" w:hAnsi="KaiTi" w:cs="KaiTi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5"/>
                <w:szCs w:val="15"/>
              </w:rPr>
              <w:t>动</w:t>
            </w:r>
            <w:r>
              <w:rPr>
                <w:rFonts w:ascii="KaiTi" w:eastAsia="KaiTi" w:hAnsi="KaiTi" w:cs="KaiTi"/>
                <w:spacing w:val="37"/>
                <w:w w:val="101"/>
                <w:sz w:val="15"/>
                <w:szCs w:val="15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5"/>
                <w:szCs w:val="15"/>
              </w:rPr>
              <w:t>营</w:t>
            </w:r>
            <w:r>
              <w:rPr>
                <w:rFonts w:ascii="KaiTi" w:eastAsia="KaiTi" w:hAnsi="KaiTi" w:cs="KaiTi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5"/>
                <w:szCs w:val="15"/>
              </w:rPr>
              <w:t>养</w:t>
            </w:r>
            <w:r>
              <w:rPr>
                <w:rFonts w:ascii="KaiTi" w:eastAsia="KaiTi" w:hAnsi="KaiTi" w:cs="KaiTi"/>
                <w:spacing w:val="33"/>
                <w:sz w:val="15"/>
                <w:szCs w:val="15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5"/>
                <w:szCs w:val="15"/>
              </w:rPr>
              <w:t>收</w:t>
            </w:r>
            <w:r>
              <w:rPr>
                <w:rFonts w:ascii="KaiTi" w:eastAsia="KaiTi" w:hAnsi="KaiTi" w:cs="KaiTi"/>
                <w:spacing w:val="29"/>
                <w:w w:val="101"/>
                <w:sz w:val="15"/>
                <w:szCs w:val="15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5"/>
                <w:szCs w:val="15"/>
              </w:rPr>
              <w:t>入</w:t>
            </w:r>
            <w:r>
              <w:rPr>
                <w:rFonts w:ascii="KaiTi" w:eastAsia="KaiTi" w:hAnsi="KaiTi" w:cs="KaiTi"/>
                <w:spacing w:val="24"/>
                <w:sz w:val="15"/>
                <w:szCs w:val="15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5"/>
                <w:szCs w:val="15"/>
              </w:rPr>
              <w:t>体</w:t>
            </w:r>
            <w:r>
              <w:rPr>
                <w:rFonts w:ascii="KaiTi" w:eastAsia="KaiTi" w:hAnsi="KaiTi" w:cs="KaiTi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5"/>
                <w:szCs w:val="15"/>
              </w:rPr>
              <w:t>量</w:t>
            </w:r>
            <w:r>
              <w:rPr>
                <w:rFonts w:ascii="KaiTi" w:eastAsia="KaiTi" w:hAnsi="KaiTi" w:cs="KaiTi"/>
                <w:spacing w:val="26"/>
                <w:sz w:val="15"/>
                <w:szCs w:val="15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5"/>
                <w:szCs w:val="15"/>
              </w:rPr>
              <w:t>2</w:t>
            </w:r>
            <w:r>
              <w:rPr>
                <w:rFonts w:ascii="KaiTi" w:eastAsia="KaiTi" w:hAnsi="KaiTi" w:cs="KaiTi"/>
                <w:spacing w:val="24"/>
                <w:sz w:val="15"/>
                <w:szCs w:val="15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5"/>
                <w:szCs w:val="15"/>
              </w:rPr>
              <w:t>5</w:t>
            </w:r>
            <w:r>
              <w:rPr>
                <w:rFonts w:ascii="KaiTi" w:eastAsia="KaiTi" w:hAnsi="KaiTi" w:cs="KaiTi"/>
                <w:spacing w:val="32"/>
                <w:w w:val="101"/>
                <w:sz w:val="15"/>
                <w:szCs w:val="15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5"/>
                <w:szCs w:val="15"/>
              </w:rPr>
              <w:t>.</w:t>
            </w:r>
            <w:r>
              <w:rPr>
                <w:rFonts w:ascii="KaiTi" w:eastAsia="KaiTi" w:hAnsi="KaiTi" w:cs="KaiTi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5"/>
                <w:szCs w:val="15"/>
              </w:rPr>
              <w:t>4</w:t>
            </w:r>
            <w:r>
              <w:rPr>
                <w:rFonts w:ascii="KaiTi" w:eastAsia="KaiTi" w:hAnsi="KaiTi" w:cs="KaiTi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5"/>
                <w:szCs w:val="15"/>
              </w:rPr>
              <w:t>亿</w:t>
            </w:r>
            <w:r>
              <w:rPr>
                <w:rFonts w:ascii="KaiTi" w:eastAsia="KaiTi" w:hAnsi="KaiTi" w:cs="KaiTi"/>
                <w:spacing w:val="35"/>
                <w:sz w:val="15"/>
                <w:szCs w:val="15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5"/>
                <w:szCs w:val="15"/>
              </w:rPr>
              <w:t>元</w:t>
            </w:r>
            <w:r>
              <w:rPr>
                <w:rFonts w:ascii="KaiTi" w:eastAsia="KaiTi" w:hAnsi="KaiTi" w:cs="KaiTi"/>
                <w:spacing w:val="21"/>
                <w:w w:val="101"/>
                <w:sz w:val="15"/>
                <w:szCs w:val="15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5"/>
                <w:szCs w:val="15"/>
              </w:rPr>
              <w:t>。</w:t>
            </w:r>
          </w:p>
        </w:tc>
        <w:tc>
          <w:tcPr>
            <w:tcW w:w="3929" w:type="dxa"/>
            <w:vMerge w:val="restart"/>
            <w:tcBorders>
              <w:top w:val="single" w:sz="2" w:space="0" w:color="000000"/>
              <w:bottom w:val="nil"/>
            </w:tcBorders>
            <w:vAlign w:val="top"/>
          </w:tcPr>
          <w:p>
            <w:pPr>
              <w:spacing w:before="190" w:line="248" w:lineRule="auto"/>
              <w:ind w:left="160" w:right="125"/>
              <w:rPr>
                <w:rFonts w:ascii="KaiTi" w:eastAsia="KaiTi" w:hAnsi="KaiTi" w:cs="KaiTi"/>
                <w:sz w:val="15"/>
                <w:szCs w:val="15"/>
              </w:rPr>
            </w:pPr>
            <w:r>
              <w:rPr>
                <w:rFonts w:ascii="KaiTi" w:eastAsia="KaiTi" w:hAnsi="KaiTi" w:cs="KaiTi"/>
                <w:spacing w:val="8"/>
                <w:sz w:val="15"/>
                <w:szCs w:val="15"/>
              </w:rPr>
              <w:t>以蛋白粉为主，包括白金系列、高性能系列和线下专</w:t>
            </w:r>
            <w:r>
              <w:rPr>
                <w:rFonts w:ascii="KaiTi" w:eastAsia="KaiTi" w:hAnsi="KaiTi" w:cs="KaiTi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KaiTi" w:eastAsia="KaiTi" w:hAnsi="KaiTi" w:cs="KaiTi"/>
                <w:spacing w:val="5"/>
                <w:sz w:val="15"/>
                <w:szCs w:val="15"/>
              </w:rPr>
              <w:t>属</w:t>
            </w:r>
            <w:r>
              <w:rPr>
                <w:rFonts w:ascii="KaiTi" w:eastAsia="KaiTi" w:hAnsi="KaiTi" w:cs="KaiTi"/>
                <w:spacing w:val="-44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PRO</w:t>
            </w:r>
            <w:r>
              <w:rPr>
                <w:rFonts w:ascii="Times New Roman" w:eastAsia="Times New Roman" w:hAnsi="Times New Roman" w:cs="Times New Roman"/>
                <w:spacing w:val="18"/>
                <w:sz w:val="15"/>
                <w:szCs w:val="15"/>
              </w:rPr>
              <w:t xml:space="preserve">  </w:t>
            </w:r>
            <w:r>
              <w:rPr>
                <w:rFonts w:ascii="KaiTi" w:eastAsia="KaiTi" w:hAnsi="KaiTi" w:cs="KaiTi"/>
                <w:spacing w:val="5"/>
                <w:sz w:val="15"/>
                <w:szCs w:val="15"/>
              </w:rPr>
              <w:t>系列产品。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92"/>
        </w:trPr>
        <w:tc>
          <w:tcPr>
            <w:tcW w:w="745" w:type="dxa"/>
            <w:tcBorders>
              <w:bottom w:val="single" w:sz="2" w:space="0" w:color="000000"/>
            </w:tcBorders>
            <w:vAlign w:val="top"/>
          </w:tcPr>
          <w:p>
            <w:pPr>
              <w:spacing w:before="22" w:line="227" w:lineRule="auto"/>
              <w:ind w:left="100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-4"/>
                <w:w w:val="98"/>
                <w:sz w:val="18"/>
                <w:szCs w:val="18"/>
              </w:rPr>
              <w:t>科技</w:t>
            </w:r>
          </w:p>
        </w:tc>
        <w:tc>
          <w:tcPr>
            <w:tcW w:w="480" w:type="dxa"/>
            <w:gridSpan w:val="2"/>
            <w:tcBorders>
              <w:bottom w:val="single" w:sz="2" w:space="0" w:color="000000"/>
            </w:tcBorders>
            <w:vAlign w:val="top"/>
          </w:tcPr>
          <w:p>
            <w:pPr>
              <w:spacing w:before="148" w:line="164" w:lineRule="auto"/>
              <w:ind w:right="18"/>
              <w:jc w:val="right"/>
              <w:rPr>
                <w:rFonts w:ascii="KaiTi" w:eastAsia="KaiTi" w:hAnsi="KaiTi" w:cs="KaiTi"/>
                <w:sz w:val="15"/>
                <w:szCs w:val="15"/>
              </w:rPr>
            </w:pPr>
            <w:r>
              <w:rPr>
                <w:rFonts w:ascii="KaiTi" w:eastAsia="KaiTi" w:hAnsi="KaiTi" w:cs="KaiTi"/>
                <w:sz w:val="15"/>
                <w:szCs w:val="15"/>
              </w:rPr>
              <w:t>年</w:t>
            </w:r>
          </w:p>
        </w:tc>
        <w:tc>
          <w:tcPr>
            <w:tcW w:w="5655" w:type="dxa"/>
            <w:gridSpan w:val="2"/>
            <w:vMerge/>
            <w:tcBorders>
              <w:top w:val="nil"/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29" w:type="dxa"/>
            <w:vMerge/>
            <w:tcBorders>
              <w:top w:val="nil"/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809" w:type="dxa"/>
          <w:tblInd w:w="0" w:type="dxa"/>
          <w:tblLayout w:type="fixed"/>
        </w:tblPrEx>
        <w:trPr>
          <w:trHeight w:val="1047"/>
        </w:trPr>
        <w:tc>
          <w:tcPr>
            <w:tcW w:w="1225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before="55" w:line="248" w:lineRule="exact"/>
              <w:ind w:left="100"/>
              <w:rPr>
                <w:rFonts w:ascii="KaiTi" w:eastAsia="KaiTi" w:hAnsi="KaiTi" w:cs="KaiTi"/>
                <w:sz w:val="17"/>
                <w:szCs w:val="17"/>
              </w:rPr>
            </w:pPr>
            <w:r>
              <w:rPr>
                <w:rFonts w:ascii="KaiTi" w:eastAsia="KaiTi" w:hAnsi="KaiTi" w:cs="KaiTi"/>
                <w:spacing w:val="-1"/>
                <w:position w:val="5"/>
                <w:sz w:val="17"/>
                <w:szCs w:val="17"/>
              </w:rPr>
              <w:t>诺特兰德</w:t>
            </w:r>
          </w:p>
          <w:p>
            <w:pPr>
              <w:spacing w:line="198" w:lineRule="auto"/>
              <w:ind w:left="10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/NUTREND</w:t>
            </w:r>
          </w:p>
        </w:tc>
        <w:tc>
          <w:tcPr>
            <w:tcW w:w="5655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38" w:line="214" w:lineRule="auto"/>
              <w:ind w:left="145" w:right="52"/>
              <w:jc w:val="both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-14"/>
                <w:w w:val="97"/>
                <w:sz w:val="18"/>
                <w:szCs w:val="18"/>
              </w:rPr>
              <w:t>1993年成立于捷克，是捷克与斯洛伐克奥林匹克委员会官方指定运动营养食品</w:t>
            </w:r>
            <w:r>
              <w:rPr>
                <w:rFonts w:ascii="KaiTi" w:eastAsia="KaiTi" w:hAnsi="KaiTi" w:cs="KaiT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w w:val="97"/>
                <w:sz w:val="18"/>
                <w:szCs w:val="18"/>
              </w:rPr>
              <w:t>合作伙伴，欧洲顶级运动营养食品及膳食纤维补充剂生产商，旗下拥有600余</w:t>
            </w:r>
            <w:r>
              <w:rPr>
                <w:rFonts w:ascii="KaiTi" w:eastAsia="KaiTi" w:hAnsi="KaiTi" w:cs="KaiTi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3"/>
                <w:sz w:val="18"/>
                <w:szCs w:val="18"/>
              </w:rPr>
              <w:t>款产品。2017年，济南斯伯特商贸公司取得</w:t>
            </w:r>
            <w:r>
              <w:rPr>
                <w:rFonts w:ascii="Arial" w:eastAsia="Arial" w:hAnsi="Arial" w:cs="Arial"/>
                <w:spacing w:val="-13"/>
                <w:sz w:val="18"/>
                <w:szCs w:val="18"/>
              </w:rPr>
              <w:t>NUTREND</w:t>
            </w:r>
            <w:r>
              <w:rPr>
                <w:rFonts w:ascii="KaiTi" w:eastAsia="KaiTi" w:hAnsi="KaiTi" w:cs="KaiTi"/>
                <w:spacing w:val="-13"/>
                <w:sz w:val="18"/>
                <w:szCs w:val="18"/>
              </w:rPr>
              <w:t>代理权</w:t>
            </w:r>
            <w:r>
              <w:rPr>
                <w:rFonts w:ascii="KaiTi" w:eastAsia="KaiTi" w:hAnsi="KaiTi" w:cs="KaiTi"/>
                <w:spacing w:val="-14"/>
                <w:sz w:val="18"/>
                <w:szCs w:val="18"/>
              </w:rPr>
              <w:t>，并注册了中</w:t>
            </w:r>
            <w:r>
              <w:rPr>
                <w:rFonts w:ascii="KaiTi" w:eastAsia="KaiTi" w:hAnsi="KaiTi" w:cs="KaiTi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22"/>
                <w:sz w:val="18"/>
                <w:szCs w:val="18"/>
              </w:rPr>
              <w:t>文商标“诺特兰德”,在国内主推“诺特兰德”品牌运动营养食品，亦代销进口</w:t>
            </w:r>
          </w:p>
          <w:p>
            <w:pPr>
              <w:pStyle w:val="TableText"/>
              <w:spacing w:before="30" w:line="164" w:lineRule="auto"/>
              <w:rPr>
                <w:sz w:val="15"/>
                <w:szCs w:val="15"/>
              </w:rPr>
            </w:pPr>
            <w:r>
              <w:rPr>
                <w:i/>
                <w:iCs/>
                <w:spacing w:val="22"/>
                <w:sz w:val="15"/>
                <w:szCs w:val="15"/>
              </w:rPr>
              <w:t>“</w:t>
            </w:r>
            <w:r>
              <w:rPr>
                <w:spacing w:val="8"/>
                <w:sz w:val="15"/>
                <w:szCs w:val="15"/>
              </w:rPr>
              <w:t xml:space="preserve"> </w:t>
            </w:r>
            <w:r>
              <w:rPr>
                <w:i/>
                <w:iCs/>
                <w:spacing w:val="22"/>
                <w:sz w:val="15"/>
                <w:szCs w:val="15"/>
              </w:rPr>
              <w:t>N</w:t>
            </w:r>
            <w:r>
              <w:rPr>
                <w:spacing w:val="22"/>
                <w:sz w:val="15"/>
                <w:szCs w:val="15"/>
              </w:rPr>
              <w:t xml:space="preserve"> </w:t>
            </w:r>
            <w:r>
              <w:rPr>
                <w:i/>
                <w:iCs/>
                <w:spacing w:val="22"/>
                <w:sz w:val="15"/>
                <w:szCs w:val="15"/>
              </w:rPr>
              <w:t>U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i/>
                <w:iCs/>
                <w:spacing w:val="22"/>
                <w:sz w:val="15"/>
                <w:szCs w:val="15"/>
              </w:rPr>
              <w:t>T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i/>
                <w:iCs/>
                <w:spacing w:val="22"/>
                <w:sz w:val="15"/>
                <w:szCs w:val="15"/>
              </w:rPr>
              <w:t>R</w:t>
            </w:r>
            <w:r>
              <w:rPr>
                <w:spacing w:val="10"/>
                <w:sz w:val="15"/>
                <w:szCs w:val="15"/>
              </w:rPr>
              <w:t xml:space="preserve"> </w:t>
            </w:r>
            <w:r>
              <w:rPr>
                <w:i/>
                <w:iCs/>
                <w:spacing w:val="22"/>
                <w:sz w:val="15"/>
                <w:szCs w:val="15"/>
              </w:rPr>
              <w:t>E</w:t>
            </w:r>
            <w:r>
              <w:rPr>
                <w:spacing w:val="8"/>
                <w:sz w:val="15"/>
                <w:szCs w:val="15"/>
              </w:rPr>
              <w:t xml:space="preserve"> </w:t>
            </w:r>
            <w:r>
              <w:rPr>
                <w:i/>
                <w:iCs/>
                <w:spacing w:val="22"/>
                <w:sz w:val="15"/>
                <w:szCs w:val="15"/>
              </w:rPr>
              <w:t>N</w:t>
            </w:r>
            <w:r>
              <w:rPr>
                <w:spacing w:val="9"/>
                <w:sz w:val="15"/>
                <w:szCs w:val="15"/>
              </w:rPr>
              <w:t xml:space="preserve"> </w:t>
            </w:r>
            <w:r>
              <w:rPr>
                <w:i/>
                <w:iCs/>
                <w:spacing w:val="22"/>
                <w:sz w:val="15"/>
                <w:szCs w:val="15"/>
              </w:rPr>
              <w:t>D</w:t>
            </w:r>
            <w:r>
              <w:rPr>
                <w:spacing w:val="48"/>
                <w:sz w:val="15"/>
                <w:szCs w:val="15"/>
              </w:rPr>
              <w:t xml:space="preserve"> </w:t>
            </w:r>
            <w:r>
              <w:rPr>
                <w:i/>
                <w:iCs/>
                <w:spacing w:val="22"/>
                <w:sz w:val="15"/>
                <w:szCs w:val="15"/>
              </w:rPr>
              <w:t>”</w:t>
            </w:r>
            <w:r>
              <w:rPr>
                <w:spacing w:val="-6"/>
                <w:sz w:val="15"/>
                <w:szCs w:val="15"/>
              </w:rPr>
              <w:t xml:space="preserve"> </w:t>
            </w:r>
            <w:r>
              <w:rPr>
                <w:i/>
                <w:iCs/>
                <w:spacing w:val="22"/>
                <w:sz w:val="15"/>
                <w:szCs w:val="15"/>
              </w:rPr>
              <w:t>产</w:t>
            </w:r>
            <w:r>
              <w:rPr>
                <w:spacing w:val="9"/>
                <w:sz w:val="15"/>
                <w:szCs w:val="15"/>
              </w:rPr>
              <w:t xml:space="preserve"> </w:t>
            </w:r>
            <w:r>
              <w:rPr>
                <w:i/>
                <w:iCs/>
                <w:spacing w:val="22"/>
                <w:sz w:val="15"/>
                <w:szCs w:val="15"/>
              </w:rPr>
              <w:t>品</w:t>
            </w:r>
            <w:r>
              <w:rPr>
                <w:spacing w:val="-3"/>
                <w:sz w:val="15"/>
                <w:szCs w:val="15"/>
              </w:rPr>
              <w:t xml:space="preserve"> </w:t>
            </w:r>
            <w:r>
              <w:rPr>
                <w:i/>
                <w:iCs/>
                <w:spacing w:val="22"/>
                <w:sz w:val="15"/>
                <w:szCs w:val="15"/>
              </w:rPr>
              <w:t>。</w:t>
            </w:r>
          </w:p>
        </w:tc>
        <w:tc>
          <w:tcPr>
            <w:tcW w:w="3929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247" w:line="219" w:lineRule="auto"/>
              <w:ind w:left="160" w:right="130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3"/>
                <w:sz w:val="15"/>
                <w:szCs w:val="15"/>
              </w:rPr>
              <w:t>乳清蛋白粉，特级/分离/缓释/酪蛋白粉，左旋肉碱、</w:t>
            </w:r>
            <w:r>
              <w:rPr>
                <w:rFonts w:ascii="KaiTi" w:eastAsia="KaiTi" w:hAnsi="KaiTi" w:cs="KaiTi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KaiTi" w:eastAsia="KaiTi" w:hAnsi="KaiTi" w:cs="KaiTi"/>
                <w:spacing w:val="-14"/>
                <w:w w:val="96"/>
                <w:sz w:val="18"/>
                <w:szCs w:val="18"/>
              </w:rPr>
              <w:t>增肌粉，</w:t>
            </w:r>
            <w:r>
              <w:rPr>
                <w:rFonts w:ascii="Arial" w:eastAsia="Arial" w:hAnsi="Arial" w:cs="Arial"/>
                <w:spacing w:val="-14"/>
                <w:w w:val="96"/>
                <w:sz w:val="18"/>
                <w:szCs w:val="18"/>
              </w:rPr>
              <w:t>MASS</w:t>
            </w:r>
            <w:r>
              <w:rPr>
                <w:rFonts w:ascii="Arial" w:eastAsia="Arial" w:hAnsi="Arial" w:cs="Arial"/>
                <w:spacing w:val="-18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4"/>
                <w:w w:val="96"/>
                <w:sz w:val="18"/>
                <w:szCs w:val="18"/>
              </w:rPr>
              <w:t>增肌粉，肌酸粉，谷氨酰胺</w:t>
            </w:r>
            <w:r>
              <w:rPr>
                <w:rFonts w:ascii="KaiTi" w:eastAsia="KaiTi" w:hAnsi="KaiTi" w:cs="KaiTi"/>
                <w:spacing w:val="-15"/>
                <w:w w:val="96"/>
                <w:sz w:val="18"/>
                <w:szCs w:val="18"/>
              </w:rPr>
              <w:t>粉，强化</w:t>
            </w:r>
            <w:r>
              <w:rPr>
                <w:rFonts w:ascii="KaiTi" w:eastAsia="KaiTi" w:hAnsi="KaiTi" w:cs="KaiTi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21"/>
                <w:sz w:val="18"/>
                <w:szCs w:val="18"/>
              </w:rPr>
              <w:t>支链氨基酸粉，高蛋白薯片，果仁棒，蛋白棒等。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422"/>
        </w:trPr>
        <w:tc>
          <w:tcPr>
            <w:tcW w:w="1225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148" w:line="235" w:lineRule="auto"/>
              <w:ind w:left="100"/>
              <w:rPr>
                <w:rFonts w:ascii="KaiTi" w:eastAsia="KaiTi" w:hAnsi="KaiTi" w:cs="KaiTi"/>
                <w:sz w:val="15"/>
                <w:szCs w:val="15"/>
              </w:rPr>
            </w:pPr>
            <w:r>
              <w:rPr>
                <w:rFonts w:ascii="KaiTi" w:eastAsia="KaiTi" w:hAnsi="KaiTi" w:cs="KaiTi"/>
                <w:spacing w:val="8"/>
                <w:sz w:val="15"/>
                <w:szCs w:val="15"/>
              </w:rPr>
              <w:t>汤臣倍健</w:t>
            </w:r>
          </w:p>
        </w:tc>
        <w:tc>
          <w:tcPr>
            <w:tcW w:w="4341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136" w:line="220" w:lineRule="auto"/>
              <w:ind w:left="145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-13"/>
                <w:sz w:val="18"/>
                <w:szCs w:val="18"/>
              </w:rPr>
              <w:t>成立于2005年，成为膳食补充剂行业的领</w:t>
            </w:r>
            <w:r>
              <w:rPr>
                <w:rFonts w:ascii="KaiTi" w:eastAsia="KaiTi" w:hAnsi="KaiTi" w:cs="KaiTi"/>
                <w:spacing w:val="-14"/>
                <w:sz w:val="18"/>
                <w:szCs w:val="18"/>
              </w:rPr>
              <w:t>导企业。</w:t>
            </w:r>
          </w:p>
        </w:tc>
        <w:tc>
          <w:tcPr>
            <w:tcW w:w="5243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51" w:line="185" w:lineRule="auto"/>
              <w:ind w:left="746" w:right="82" w:firstLine="727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-20"/>
                <w:sz w:val="18"/>
                <w:szCs w:val="18"/>
              </w:rPr>
              <w:t>蛋白质、维生素、天然动植物提取物及其它功能性膳</w:t>
            </w:r>
            <w:r>
              <w:rPr>
                <w:rFonts w:ascii="KaiTi" w:eastAsia="KaiTi" w:hAnsi="KaiTi" w:cs="KaiTi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8"/>
                <w:sz w:val="18"/>
                <w:szCs w:val="18"/>
              </w:rPr>
              <w:t>食</w:t>
            </w:r>
            <w:r>
              <w:rPr>
                <w:rFonts w:ascii="KaiTi" w:eastAsia="KaiTi" w:hAnsi="KaiTi" w:cs="KaiTi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8"/>
                <w:sz w:val="18"/>
                <w:szCs w:val="18"/>
              </w:rPr>
              <w:t>营</w:t>
            </w:r>
            <w:r>
              <w:rPr>
                <w:rFonts w:ascii="KaiTi" w:eastAsia="KaiTi" w:hAnsi="KaiTi" w:cs="KaiTi"/>
                <w:spacing w:val="35"/>
                <w:w w:val="101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8"/>
                <w:sz w:val="18"/>
                <w:szCs w:val="18"/>
              </w:rPr>
              <w:t>养</w:t>
            </w:r>
            <w:r>
              <w:rPr>
                <w:rFonts w:ascii="KaiTi" w:eastAsia="KaiTi" w:hAnsi="KaiTi" w:cs="KaiTi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8"/>
                <w:sz w:val="18"/>
                <w:szCs w:val="18"/>
              </w:rPr>
              <w:t>补</w:t>
            </w:r>
            <w:r>
              <w:rPr>
                <w:rFonts w:ascii="KaiTi" w:eastAsia="KaiTi" w:hAnsi="KaiTi" w:cs="KaiTi"/>
                <w:spacing w:val="37"/>
                <w:w w:val="101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8"/>
                <w:sz w:val="18"/>
                <w:szCs w:val="18"/>
              </w:rPr>
              <w:t>充</w:t>
            </w:r>
            <w:r>
              <w:rPr>
                <w:rFonts w:ascii="KaiTi" w:eastAsia="KaiTi" w:hAnsi="KaiTi" w:cs="KaiTi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8"/>
                <w:sz w:val="18"/>
                <w:szCs w:val="18"/>
              </w:rPr>
              <w:t>食</w:t>
            </w:r>
            <w:r>
              <w:rPr>
                <w:rFonts w:ascii="KaiTi" w:eastAsia="KaiTi" w:hAnsi="KaiTi" w:cs="KaiTi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8"/>
                <w:sz w:val="18"/>
                <w:szCs w:val="18"/>
              </w:rPr>
              <w:t>品</w:t>
            </w:r>
            <w:r>
              <w:rPr>
                <w:rFonts w:ascii="KaiTi" w:eastAsia="KaiTi" w:hAnsi="KaiTi" w:cs="KaiTi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8"/>
                <w:sz w:val="18"/>
                <w:szCs w:val="18"/>
              </w:rPr>
              <w:t>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642"/>
        </w:trPr>
        <w:tc>
          <w:tcPr>
            <w:tcW w:w="1225" w:type="dxa"/>
            <w:gridSpan w:val="3"/>
            <w:tcBorders>
              <w:top w:val="single" w:sz="2" w:space="0" w:color="000000"/>
            </w:tcBorders>
            <w:vAlign w:val="top"/>
          </w:tcPr>
          <w:p>
            <w:pPr>
              <w:spacing w:before="282" w:line="183" w:lineRule="auto"/>
              <w:ind w:left="219" w:right="143" w:hanging="1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13"/>
                <w:sz w:val="15"/>
                <w:szCs w:val="15"/>
              </w:rPr>
              <w:t>美妆电商集团</w:t>
            </w:r>
            <w:r>
              <w:rPr>
                <w:rFonts w:ascii="KaiTi" w:eastAsia="KaiTi" w:hAnsi="KaiTi" w:cs="KaiTi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(THG)</w:t>
            </w:r>
          </w:p>
        </w:tc>
        <w:tc>
          <w:tcPr>
            <w:tcW w:w="5655" w:type="dxa"/>
            <w:gridSpan w:val="2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38" w:line="203" w:lineRule="auto"/>
              <w:ind w:left="145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-13"/>
                <w:sz w:val="18"/>
                <w:szCs w:val="18"/>
              </w:rPr>
              <w:t>英国美妆电商集团</w:t>
            </w:r>
            <w:r>
              <w:rPr>
                <w:spacing w:val="-13"/>
                <w:sz w:val="18"/>
                <w:szCs w:val="18"/>
              </w:rPr>
              <w:t>(TheHutGroup,</w:t>
            </w:r>
            <w:r>
              <w:rPr>
                <w:spacing w:val="28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3"/>
                <w:sz w:val="18"/>
                <w:szCs w:val="18"/>
              </w:rPr>
              <w:t>简</w:t>
            </w:r>
            <w:r>
              <w:rPr>
                <w:rFonts w:ascii="KaiTi" w:eastAsia="KaiTi" w:hAnsi="KaiTi" w:cs="KaiTi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3"/>
                <w:sz w:val="18"/>
                <w:szCs w:val="18"/>
              </w:rPr>
              <w:t>称</w:t>
            </w:r>
            <w:r>
              <w:rPr>
                <w:spacing w:val="-13"/>
                <w:sz w:val="18"/>
                <w:szCs w:val="18"/>
              </w:rPr>
              <w:t>“T</w:t>
            </w:r>
            <w:r>
              <w:rPr>
                <w:spacing w:val="-14"/>
                <w:sz w:val="18"/>
                <w:szCs w:val="18"/>
              </w:rPr>
              <w:t>HG”)</w:t>
            </w:r>
            <w:r>
              <w:rPr>
                <w:spacing w:val="-45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4"/>
                <w:sz w:val="18"/>
                <w:szCs w:val="18"/>
              </w:rPr>
              <w:t>总部位于英国曼彻斯特，</w:t>
            </w:r>
            <w:r>
              <w:rPr>
                <w:rFonts w:ascii="KaiTi" w:eastAsia="KaiTi" w:hAnsi="KaiTi" w:cs="KaiTi"/>
                <w:sz w:val="18"/>
                <w:szCs w:val="18"/>
              </w:rPr>
              <w:t xml:space="preserve">  </w:t>
            </w:r>
            <w:r>
              <w:rPr>
                <w:rFonts w:ascii="KaiTi" w:eastAsia="KaiTi" w:hAnsi="KaiTi" w:cs="KaiTi"/>
                <w:spacing w:val="-17"/>
                <w:sz w:val="18"/>
                <w:szCs w:val="18"/>
              </w:rPr>
              <w:t>成立于2004年，其推出了第一个专注于生活方式和健康美容产品的电商网站，</w:t>
            </w:r>
            <w:r>
              <w:rPr>
                <w:rFonts w:ascii="KaiTi" w:eastAsia="KaiTi" w:hAnsi="KaiTi" w:cs="KaiTi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9"/>
                <w:w w:val="99"/>
                <w:sz w:val="18"/>
                <w:szCs w:val="18"/>
              </w:rPr>
              <w:t>如今业务涵盖了美容、健康、奢侈品、生活方式四大品类。旗下专业运动健身</w:t>
            </w:r>
          </w:p>
        </w:tc>
        <w:tc>
          <w:tcPr>
            <w:tcW w:w="3929" w:type="dxa"/>
            <w:tcBorders>
              <w:top w:val="single" w:sz="2" w:space="0" w:color="000000"/>
            </w:tcBorders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before="59" w:line="223" w:lineRule="auto"/>
              <w:ind w:right="23"/>
              <w:jc w:val="right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-21"/>
                <w:w w:val="98"/>
                <w:sz w:val="18"/>
                <w:szCs w:val="18"/>
              </w:rPr>
              <w:t>增肌粉、蛋白粉、蛋白饼、蛋白威化、全能早餐粉等。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190"/>
        </w:trPr>
        <w:tc>
          <w:tcPr>
            <w:tcW w:w="10809" w:type="dxa"/>
            <w:gridSpan w:val="6"/>
            <w:tcBorders>
              <w:bottom w:val="single" w:sz="2" w:space="0" w:color="000000"/>
            </w:tcBorders>
            <w:vAlign w:val="top"/>
          </w:tcPr>
          <w:p>
            <w:pPr>
              <w:spacing w:before="19" w:line="165" w:lineRule="auto"/>
              <w:ind w:left="893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营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养</w:t>
            </w:r>
            <w:r>
              <w:rPr>
                <w:rFonts w:ascii="KaiTi" w:eastAsia="KaiTi" w:hAnsi="KaiTi" w:cs="KaiTi"/>
                <w:spacing w:val="-22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品</w:t>
            </w:r>
            <w:r>
              <w:rPr>
                <w:rFonts w:ascii="KaiTi" w:eastAsia="KaiTi" w:hAnsi="KaiTi" w:cs="KaiTi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销</w:t>
            </w:r>
            <w:r>
              <w:rPr>
                <w:rFonts w:ascii="KaiTi" w:eastAsia="KaiTi" w:hAnsi="KaiTi" w:cs="KaiTi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售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网</w:t>
            </w:r>
            <w:r>
              <w:rPr>
                <w:rFonts w:ascii="KaiTi" w:eastAsia="KaiTi" w:hAnsi="KaiTi" w:cs="KaiTi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站</w:t>
            </w:r>
            <w:r>
              <w:rPr>
                <w:rFonts w:ascii="KaiTi" w:eastAsia="KaiTi" w:hAnsi="KaiTi" w:cs="KaiTi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主</w:t>
            </w:r>
            <w:r>
              <w:rPr>
                <w:rFonts w:ascii="KaiTi" w:eastAsia="KaiTi" w:hAnsi="KaiTi" w:cs="KaiTi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要</w:t>
            </w:r>
            <w:r>
              <w:rPr>
                <w:rFonts w:ascii="KaiTi" w:eastAsia="KaiTi" w:hAnsi="KaiTi" w:cs="KaiTi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经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营</w:t>
            </w:r>
            <w:r>
              <w:rPr>
                <w:rFonts w:ascii="KaiTi" w:eastAsia="KaiTi" w:hAnsi="KaiTi" w:cs="KaiTi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“</w:t>
            </w:r>
            <w:r>
              <w:rPr>
                <w:rFonts w:ascii="KaiTi" w:eastAsia="KaiTi" w:hAnsi="KaiTi" w:cs="KaiTi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M</w:t>
            </w:r>
            <w:r>
              <w:rPr>
                <w:rFonts w:ascii="KaiTi" w:eastAsia="KaiTi" w:hAnsi="KaiTi" w:cs="KaiTi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y</w:t>
            </w:r>
            <w:r>
              <w:rPr>
                <w:rFonts w:ascii="KaiTi" w:eastAsia="KaiTi" w:hAnsi="KaiTi" w:cs="KaiTi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P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r</w:t>
            </w:r>
            <w:r>
              <w:rPr>
                <w:rFonts w:ascii="KaiTi" w:eastAsia="KaiTi" w:hAnsi="KaiTi" w:cs="KaiTi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o</w:t>
            </w:r>
            <w:r>
              <w:rPr>
                <w:rFonts w:ascii="KaiTi" w:eastAsia="KaiTi" w:hAnsi="KaiTi" w:cs="KaiTi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t</w:t>
            </w:r>
            <w:r>
              <w:rPr>
                <w:rFonts w:ascii="KaiTi" w:eastAsia="KaiTi" w:hAnsi="KaiTi" w:cs="KaiTi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e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i</w:t>
            </w:r>
            <w:r>
              <w:rPr>
                <w:rFonts w:ascii="KaiTi" w:eastAsia="KaiTi" w:hAnsi="KaiTi" w:cs="KaiTi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n</w:t>
            </w:r>
            <w:r>
              <w:rPr>
                <w:rFonts w:ascii="KaiTi" w:eastAsia="KaiTi" w:hAnsi="KaiTi" w:cs="KaiTi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”</w:t>
            </w:r>
            <w:r>
              <w:rPr>
                <w:rFonts w:ascii="KaiTi" w:eastAsia="KaiTi" w:hAnsi="KaiTi" w:cs="KaiTi"/>
                <w:spacing w:val="-46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品</w:t>
            </w:r>
            <w:r>
              <w:rPr>
                <w:rFonts w:ascii="KaiTi" w:eastAsia="KaiTi" w:hAnsi="KaiTi" w:cs="KaiTi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牌</w:t>
            </w:r>
            <w:r>
              <w:rPr>
                <w:rFonts w:ascii="KaiTi" w:eastAsia="KaiTi" w:hAnsi="KaiTi" w:cs="KaiTi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蛋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白</w:t>
            </w:r>
            <w:r>
              <w:rPr>
                <w:rFonts w:ascii="KaiTi" w:eastAsia="KaiTi" w:hAnsi="KaiTi" w:cs="KaiTi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产</w:t>
            </w:r>
            <w:r>
              <w:rPr>
                <w:rFonts w:ascii="KaiTi" w:eastAsia="KaiTi" w:hAnsi="KaiTi" w:cs="KaiTi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品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系</w:t>
            </w:r>
            <w:r>
              <w:rPr>
                <w:rFonts w:ascii="KaiTi" w:eastAsia="KaiTi" w:hAnsi="KaiTi" w:cs="KaiTi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列</w:t>
            </w:r>
            <w:r>
              <w:rPr>
                <w:rFonts w:ascii="KaiTi" w:eastAsia="KaiTi" w:hAnsi="KaiTi" w:cs="KaiTi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1067"/>
        </w:trPr>
        <w:tc>
          <w:tcPr>
            <w:tcW w:w="1124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before="49" w:line="198" w:lineRule="auto"/>
              <w:ind w:left="100"/>
              <w:rPr>
                <w:rFonts w:ascii="KaiTi" w:eastAsia="KaiTi" w:hAnsi="KaiTi" w:cs="KaiTi"/>
                <w:sz w:val="15"/>
                <w:szCs w:val="15"/>
              </w:rPr>
            </w:pPr>
            <w:r>
              <w:rPr>
                <w:rFonts w:ascii="KaiTi" w:eastAsia="KaiTi" w:hAnsi="KaiTi" w:cs="KaiTi"/>
                <w:spacing w:val="9"/>
                <w:sz w:val="15"/>
                <w:szCs w:val="15"/>
              </w:rPr>
              <w:t>哥兰比亚</w:t>
            </w:r>
          </w:p>
          <w:p>
            <w:pPr>
              <w:spacing w:line="191" w:lineRule="auto"/>
              <w:ind w:left="2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(Glanbia)</w:t>
            </w:r>
          </w:p>
          <w:p>
            <w:pPr>
              <w:spacing w:before="145" w:line="229" w:lineRule="exact"/>
              <w:ind w:left="80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6"/>
                <w:position w:val="2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38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position w:val="2"/>
                <w:sz w:val="18"/>
                <w:szCs w:val="18"/>
              </w:rPr>
              <w:t>O</w:t>
            </w:r>
          </w:p>
        </w:tc>
        <w:tc>
          <w:tcPr>
            <w:tcW w:w="5756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31" w:line="207" w:lineRule="auto"/>
              <w:ind w:left="246" w:right="42"/>
              <w:jc w:val="both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哥兰比亚</w:t>
            </w:r>
            <w:r>
              <w:rPr>
                <w:rFonts w:ascii="Arial" w:eastAsia="Arial" w:hAnsi="Arial" w:cs="Arial"/>
                <w:spacing w:val="-12"/>
                <w:sz w:val="18"/>
                <w:szCs w:val="18"/>
              </w:rPr>
              <w:t>(Glanbia)</w:t>
            </w:r>
            <w:r>
              <w:rPr>
                <w:rFonts w:ascii="KaiTi" w:eastAsia="KaiTi" w:hAnsi="KaiTi" w:cs="KaiTi"/>
                <w:spacing w:val="-12"/>
                <w:sz w:val="18"/>
                <w:szCs w:val="18"/>
              </w:rPr>
              <w:t>作为全球最大的运动营养食品公司，在34个国家拥有69</w:t>
            </w:r>
            <w:r>
              <w:rPr>
                <w:rFonts w:ascii="KaiTi" w:eastAsia="KaiTi" w:hAnsi="KaiTi" w:cs="KaiTi"/>
                <w:spacing w:val="-13"/>
                <w:sz w:val="18"/>
                <w:szCs w:val="18"/>
              </w:rPr>
              <w:t>00</w:t>
            </w:r>
            <w:r>
              <w:rPr>
                <w:rFonts w:ascii="KaiTi" w:eastAsia="KaiTi" w:hAnsi="KaiTi" w:cs="KaiTi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7"/>
                <w:sz w:val="18"/>
                <w:szCs w:val="18"/>
              </w:rPr>
              <w:t>名员工，产品销往130多个国家和地区，其主要生产基地在爱尔兰、美国、英</w:t>
            </w:r>
            <w:r>
              <w:rPr>
                <w:rFonts w:ascii="KaiTi" w:eastAsia="KaiTi" w:hAnsi="KaiTi" w:cs="KaiT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9"/>
                <w:sz w:val="18"/>
                <w:szCs w:val="18"/>
              </w:rPr>
              <w:t>国、德国和中国。2018年，公司业务目前主要分为功能性保健品、营养解决方</w:t>
            </w:r>
          </w:p>
          <w:p>
            <w:pPr>
              <w:pStyle w:val="TableText"/>
              <w:spacing w:before="16" w:line="207" w:lineRule="auto"/>
              <w:ind w:left="46" w:right="46" w:firstLine="199"/>
              <w:rPr>
                <w:sz w:val="18"/>
                <w:szCs w:val="18"/>
              </w:rPr>
            </w:pPr>
            <w:r>
              <w:rPr>
                <w:rFonts w:ascii="KaiTi" w:eastAsia="KaiTi" w:hAnsi="KaiTi" w:cs="KaiTi"/>
                <w:spacing w:val="-16"/>
                <w:sz w:val="18"/>
                <w:szCs w:val="18"/>
              </w:rPr>
              <w:t>案和奶酪。功能性保健品作为核心业务营收占比49%。旗下</w:t>
            </w:r>
            <w:r>
              <w:rPr>
                <w:rFonts w:ascii="KaiTi" w:eastAsia="KaiTi" w:hAnsi="KaiTi" w:cs="KaiTi"/>
                <w:spacing w:val="-17"/>
                <w:sz w:val="18"/>
                <w:szCs w:val="18"/>
              </w:rPr>
              <w:t>品牌包括欧普特蒙</w:t>
            </w:r>
            <w:r>
              <w:rPr>
                <w:rFonts w:ascii="KaiTi" w:eastAsia="KaiTi" w:hAnsi="KaiTi" w:cs="KaiTi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41"/>
                <w:w w:val="10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41"/>
                <w:w w:val="10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41"/>
                <w:w w:val="10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)</w:t>
            </w:r>
            <w:r>
              <w:rPr>
                <w:spacing w:val="-6"/>
                <w:sz w:val="18"/>
                <w:szCs w:val="18"/>
              </w:rPr>
              <w:t>、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S  N</w:t>
            </w:r>
            <w:r>
              <w:rPr>
                <w:spacing w:val="-6"/>
                <w:sz w:val="18"/>
                <w:szCs w:val="18"/>
              </w:rPr>
              <w:t>、 爱 素 纯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(  I  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>s  o  p  u  r  e  )</w:t>
            </w:r>
            <w:r>
              <w:rPr>
                <w:spacing w:val="-7"/>
                <w:sz w:val="18"/>
                <w:szCs w:val="18"/>
              </w:rPr>
              <w:t>、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41"/>
                <w:w w:val="10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41"/>
                <w:w w:val="10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>k  !</w:t>
            </w:r>
            <w:r>
              <w:rPr>
                <w:spacing w:val="-7"/>
                <w:sz w:val="18"/>
                <w:szCs w:val="18"/>
              </w:rPr>
              <w:t>等 。</w:t>
            </w:r>
          </w:p>
        </w:tc>
        <w:tc>
          <w:tcPr>
            <w:tcW w:w="3929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8" w:line="226" w:lineRule="auto"/>
              <w:ind w:left="160" w:right="138"/>
              <w:rPr>
                <w:rFonts w:ascii="KaiTi" w:eastAsia="KaiTi" w:hAnsi="KaiTi" w:cs="KaiTi"/>
                <w:sz w:val="15"/>
                <w:szCs w:val="15"/>
              </w:rPr>
            </w:pPr>
            <w:r>
              <w:rPr>
                <w:rFonts w:ascii="KaiTi" w:eastAsia="KaiTi" w:hAnsi="KaiTi" w:cs="KaiTi"/>
                <w:spacing w:val="-19"/>
                <w:w w:val="98"/>
                <w:sz w:val="18"/>
                <w:szCs w:val="18"/>
              </w:rPr>
              <w:t>增肌粉、蛋白粉、肌酸粉、能量棒、蛋白奶昔、复合</w:t>
            </w:r>
            <w:r>
              <w:rPr>
                <w:rFonts w:ascii="KaiTi" w:eastAsia="KaiTi" w:hAnsi="KaiTi" w:cs="KaiTi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spacing w:val="-1"/>
                <w:sz w:val="15"/>
                <w:szCs w:val="15"/>
              </w:rPr>
              <w:t>维生素等。</w:t>
            </w:r>
          </w:p>
        </w:tc>
      </w:tr>
    </w:tbl>
    <w:p>
      <w:pPr>
        <w:pStyle w:val="BodyText"/>
        <w:spacing w:before="40" w:line="220" w:lineRule="auto"/>
        <w:ind w:left="100"/>
        <w:rPr>
          <w:sz w:val="15"/>
          <w:szCs w:val="15"/>
        </w:rPr>
      </w:pPr>
      <w:r>
        <w:rPr>
          <w:spacing w:val="1"/>
          <w:sz w:val="15"/>
          <w:szCs w:val="15"/>
        </w:rPr>
        <w:t>资料来源：公司招股说明书，海通证券研究所</w:t>
      </w:r>
    </w:p>
    <w:p>
      <w:pPr>
        <w:spacing w:line="323" w:lineRule="auto"/>
        <w:rPr>
          <w:rFonts w:ascii="Arial"/>
          <w:sz w:val="21"/>
        </w:rPr>
      </w:pPr>
    </w:p>
    <w:p>
      <w:pPr>
        <w:spacing w:line="324" w:lineRule="auto"/>
        <w:rPr>
          <w:rFonts w:ascii="Arial"/>
          <w:sz w:val="21"/>
        </w:rPr>
        <w:sectPr>
          <w:headerReference w:type="default" r:id="rId39"/>
          <w:footerReference w:type="default" r:id="rId40"/>
          <w:pgSz w:w="11910" w:h="16840"/>
          <w:pgMar w:top="400" w:right="560" w:bottom="990" w:left="540" w:header="0" w:footer="672" w:gutter="0"/>
          <w:pgNumType w:start="13"/>
          <w:cols w:space="708"/>
        </w:sectPr>
      </w:pPr>
    </w:p>
    <w:p>
      <w:pPr>
        <w:pStyle w:val="BodyText"/>
        <w:spacing w:line="3320" w:lineRule="exact"/>
        <w:ind w:firstLine="269"/>
      </w:pPr>
      <w:r>
        <w:rPr>
          <w:position w:val="-66"/>
        </w:rPr>
        <w:pict>
          <v:group id="_x0000_i1090" style="width:525.5pt;height:166.05pt;mso-position-horizontal-relative:char;mso-position-vertical-relative:line" coordorigin="0,0" coordsize="10510,3321" filled="f" stroked="f">
            <v:shape id="_x0000_s1091" type="#_x0000_t75" style="width:10510;height:3321;position:absolute" filled="f" stroked="f">
              <v:imagedata r:id="rId41" o:title=""/>
            </v:shape>
            <v:shape id="_x0000_s1092" type="#_x0000_t202" style="width:10550;height:3361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62" w:line="224" w:lineRule="auto"/>
                      <w:ind w:left="182"/>
                      <w:rPr>
                        <w:rFonts w:ascii="KaiTi" w:eastAsia="KaiTi" w:hAnsi="KaiTi" w:cs="KaiTi"/>
                        <w:sz w:val="18"/>
                        <w:szCs w:val="18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sz w:val="18"/>
                        <w:szCs w:val="18"/>
                      </w:rPr>
                      <w:t>图5</w:t>
                    </w:r>
                    <w:r>
                      <w:rPr>
                        <w:rFonts w:ascii="KaiTi" w:eastAsia="KaiTi" w:hAnsi="KaiTi" w:cs="KaiTi"/>
                        <w:spacing w:val="47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z w:val="18"/>
                        <w:szCs w:val="18"/>
                      </w:rPr>
                      <w:t>京东上的运动营养食品示例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6" w:line="215" w:lineRule="auto"/>
        <w:ind w:left="5710"/>
        <w:rPr>
          <w:sz w:val="15"/>
          <w:szCs w:val="15"/>
        </w:rPr>
      </w:pPr>
      <w:r>
        <w:pict>
          <v:shape id="_x0000_s1093" type="#_x0000_t202" style="width:114.3pt;height:10.95pt;margin-top:-0.59pt;margin-left:20.6pt;position:absolute;z-index:25167257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20" w:lineRule="auto"/>
                    <w:ind w:left="20"/>
                    <w:rPr>
                      <w:sz w:val="15"/>
                      <w:szCs w:val="15"/>
                    </w:rPr>
                  </w:pPr>
                  <w:r>
                    <w:rPr>
                      <w:b/>
                      <w:bCs/>
                      <w:spacing w:val="-2"/>
                      <w:sz w:val="15"/>
                      <w:szCs w:val="15"/>
                    </w:rPr>
                    <w:t>数据来源：京东，海通证券研究所</w:t>
                  </w:r>
                </w:p>
              </w:txbxContent>
            </v:textbox>
          </v:shape>
        </w:pict>
      </w:r>
      <w:r>
        <w:rPr>
          <w:sz w:val="15"/>
          <w:szCs w:val="15"/>
        </w:rPr>
        <w:t>资料来源：华经产业研究院、</w:t>
      </w:r>
      <w:r>
        <w:rPr>
          <w:rFonts w:ascii="Times New Roman" w:eastAsia="Times New Roman" w:hAnsi="Times New Roman" w:cs="Times New Roman"/>
          <w:sz w:val="15"/>
          <w:szCs w:val="15"/>
        </w:rPr>
        <w:t xml:space="preserve">wind,   </w:t>
      </w:r>
      <w:r>
        <w:rPr>
          <w:sz w:val="15"/>
          <w:szCs w:val="15"/>
        </w:rPr>
        <w:t>海通证券研究所</w:t>
      </w:r>
    </w:p>
    <w:p>
      <w:pPr>
        <w:spacing w:line="215" w:lineRule="auto"/>
        <w:rPr>
          <w:sz w:val="15"/>
          <w:szCs w:val="15"/>
        </w:rPr>
        <w:sectPr>
          <w:headerReference w:type="default" r:id="rId42"/>
          <w:footerReference w:type="default" r:id="rId43"/>
          <w:type w:val="nextPage"/>
          <w:pgSz w:w="11910" w:h="16840"/>
          <w:pgMar w:top="400" w:right="560" w:bottom="990" w:left="540" w:header="0" w:footer="672" w:gutter="0"/>
          <w:pgNumType w:start="14"/>
          <w:cols w:space="708"/>
          <w:titlePg w:val="0"/>
        </w:sectPr>
      </w:pPr>
    </w:p>
    <w:p>
      <w:pPr>
        <w:pStyle w:val="BodyText"/>
        <w:spacing w:before="258" w:line="227" w:lineRule="auto"/>
        <w:ind w:left="7360"/>
        <w:rPr>
          <w:rFonts w:ascii="Arial" w:eastAsia="Arial" w:hAnsi="Arial" w:cs="Arial"/>
          <w:sz w:val="20"/>
          <w:szCs w:val="20"/>
        </w:rPr>
      </w:pPr>
      <w:r>
        <w:pict>
          <v:rect id="_x0000_s1094" style="width:251pt;height:0.5pt;margin-top:606.72pt;margin-left:311.54pt;mso-position-horizontal-relative:page;mso-position-vertical-relative:page;position:absolute;z-index:251678720" o:allowincell="f" filled="t" fillcolor="black" stroked="f"/>
        </w:pict>
      </w:r>
      <w:r>
        <w:pict>
          <v:rect id="_x0000_s1095" style="width:259.05pt;height:0.5pt;margin-top:753pt;margin-left:305.5pt;mso-position-horizontal-relative:page;mso-position-vertical-relative:page;position:absolute;z-index:251676672" o:allowincell="f" filled="t" fillcolor="black" stroked="f"/>
        </w:pict>
      </w: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3886170</wp:posOffset>
            </wp:positionH>
            <wp:positionV relativeFrom="page">
              <wp:posOffset>7531127</wp:posOffset>
            </wp:positionV>
            <wp:extent cx="3276604" cy="6350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27660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368310</wp:posOffset>
            </wp:positionH>
            <wp:positionV relativeFrom="page">
              <wp:posOffset>127036</wp:posOffset>
            </wp:positionV>
            <wp:extent cx="1320775" cy="431800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207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96" type="#_x0000_t202" style="width:140.65pt;height:14.3pt;margin-top:596.22pt;margin-left:312.14pt;mso-position-horizontal-relative:page;mso-position-vertical-relative:page;position:absolute;z-index:25167564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7" w:lineRule="auto"/>
                    <w:ind w:right="2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pacing w:val="-15"/>
                      <w:sz w:val="20"/>
                      <w:szCs w:val="20"/>
                    </w:rPr>
                    <w:t>图</w:t>
                  </w:r>
                  <w:r>
                    <w:rPr>
                      <w:spacing w:val="-14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spacing w:val="-15"/>
                      <w:sz w:val="20"/>
                      <w:szCs w:val="20"/>
                    </w:rPr>
                    <w:t>8</w:t>
                  </w:r>
                  <w:r>
                    <w:rPr>
                      <w:spacing w:val="-28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spacing w:val="-15"/>
                      <w:sz w:val="20"/>
                      <w:szCs w:val="20"/>
                    </w:rPr>
                    <w:t>公</w:t>
                  </w:r>
                  <w:r>
                    <w:rPr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spacing w:val="-15"/>
                      <w:sz w:val="20"/>
                      <w:szCs w:val="20"/>
                    </w:rPr>
                    <w:t>司</w:t>
                  </w:r>
                  <w:r>
                    <w:rPr>
                      <w:spacing w:val="-23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spacing w:val="-15"/>
                      <w:sz w:val="20"/>
                      <w:szCs w:val="20"/>
                    </w:rPr>
                    <w:t>参</w:t>
                  </w:r>
                  <w:r>
                    <w:rPr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spacing w:val="-15"/>
                      <w:sz w:val="20"/>
                      <w:szCs w:val="20"/>
                    </w:rPr>
                    <w:t>与</w:t>
                  </w:r>
                  <w:r>
                    <w:rPr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spacing w:val="-15"/>
                      <w:sz w:val="20"/>
                      <w:szCs w:val="20"/>
                    </w:rPr>
                    <w:t>的</w:t>
                  </w:r>
                  <w:r>
                    <w:rPr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spacing w:val="-15"/>
                      <w:sz w:val="20"/>
                      <w:szCs w:val="20"/>
                    </w:rPr>
                    <w:t>标</w:t>
                  </w:r>
                  <w:r>
                    <w:rPr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spacing w:val="-15"/>
                      <w:sz w:val="20"/>
                      <w:szCs w:val="20"/>
                    </w:rPr>
                    <w:t>准</w:t>
                  </w:r>
                  <w:r>
                    <w:rPr>
                      <w:spacing w:val="-18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spacing w:val="-15"/>
                      <w:sz w:val="20"/>
                      <w:szCs w:val="20"/>
                    </w:rPr>
                    <w:t>制</w:t>
                  </w:r>
                  <w:r>
                    <w:rPr>
                      <w:spacing w:val="-12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spacing w:val="-15"/>
                      <w:sz w:val="20"/>
                      <w:szCs w:val="20"/>
                    </w:rPr>
                    <w:t>定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3600" behindDoc="0" locked="0" layoutInCell="0" allowOverlap="1">
            <wp:simplePos x="0" y="0"/>
            <wp:positionH relativeFrom="page">
              <wp:posOffset>3854482</wp:posOffset>
            </wp:positionH>
            <wp:positionV relativeFrom="page">
              <wp:posOffset>7981981</wp:posOffset>
            </wp:positionV>
            <wp:extent cx="3320997" cy="1346192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20997" cy="134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  <w:sz w:val="20"/>
          <w:szCs w:val="20"/>
        </w:rPr>
        <w:t>公司研究·康比特(833429)</w:t>
      </w:r>
      <w:r>
        <w:rPr>
          <w:spacing w:val="8"/>
          <w:sz w:val="20"/>
          <w:szCs w:val="20"/>
        </w:rPr>
        <w:t xml:space="preserve">  </w:t>
      </w:r>
      <w:r>
        <w:rPr>
          <w:rFonts w:ascii="Arial" w:eastAsia="Arial" w:hAnsi="Arial" w:cs="Arial"/>
          <w:b/>
          <w:bCs/>
          <w:spacing w:val="8"/>
          <w:sz w:val="20"/>
          <w:szCs w:val="20"/>
        </w:rPr>
        <w:t>8</w:t>
      </w:r>
    </w:p>
    <w:p>
      <w:pPr>
        <w:spacing w:before="35" w:line="20" w:lineRule="exact"/>
        <w:ind w:firstLine="149"/>
      </w:pPr>
      <w:r>
        <w:drawing>
          <wp:inline distT="0" distB="0" distL="0" distR="0">
            <wp:extent cx="6711954" cy="1272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711954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45" w:lineRule="auto"/>
        <w:rPr>
          <w:rFonts w:ascii="Arial"/>
          <w:sz w:val="21"/>
        </w:rPr>
      </w:pPr>
    </w:p>
    <w:p>
      <w:pPr>
        <w:pStyle w:val="BodyText"/>
        <w:spacing w:before="98" w:line="220" w:lineRule="auto"/>
        <w:ind w:left="3084"/>
        <w:outlineLvl w:val="0"/>
        <w:rPr>
          <w:sz w:val="30"/>
          <w:szCs w:val="30"/>
        </w:rPr>
      </w:pPr>
      <w:bookmarkStart w:id="7" w:name="bookmark2"/>
      <w:bookmarkEnd w:id="7"/>
      <w:bookmarkStart w:id="8" w:name="bookmark39"/>
      <w:bookmarkEnd w:id="8"/>
      <w:bookmarkStart w:id="9" w:name="bookmark14"/>
      <w:bookmarkEnd w:id="9"/>
      <w:bookmarkStart w:id="10" w:name="bookmark15"/>
      <w:bookmarkEnd w:id="10"/>
      <w:r>
        <w:rPr>
          <w:b/>
          <w:bCs/>
          <w:color w:val="000080"/>
          <w:spacing w:val="-5"/>
          <w:sz w:val="30"/>
          <w:szCs w:val="30"/>
        </w:rPr>
        <w:t>2.</w:t>
      </w:r>
      <w:r>
        <w:rPr>
          <w:color w:val="000080"/>
          <w:spacing w:val="-58"/>
          <w:sz w:val="30"/>
          <w:szCs w:val="30"/>
        </w:rPr>
        <w:t xml:space="preserve"> </w:t>
      </w:r>
      <w:r>
        <w:rPr>
          <w:b/>
          <w:bCs/>
          <w:color w:val="000080"/>
          <w:spacing w:val="-5"/>
          <w:sz w:val="30"/>
          <w:szCs w:val="30"/>
        </w:rPr>
        <w:t>竞技体育领先品牌，技术专业度高</w:t>
      </w:r>
    </w:p>
    <w:p>
      <w:pPr>
        <w:pStyle w:val="BodyText"/>
        <w:spacing w:before="235" w:line="236" w:lineRule="auto"/>
        <w:ind w:left="3080" w:right="162" w:firstLine="409"/>
        <w:jc w:val="both"/>
        <w:rPr>
          <w:sz w:val="20"/>
          <w:szCs w:val="20"/>
        </w:rPr>
      </w:pPr>
      <w:r>
        <w:rPr>
          <w:spacing w:val="3"/>
          <w:sz w:val="20"/>
          <w:szCs w:val="20"/>
        </w:rPr>
        <w:t>公司成立于2001年，是一家集运动营养、健康营养食品研发与制造、数字化体育</w:t>
      </w:r>
      <w:r>
        <w:rPr>
          <w:spacing w:val="7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科技服务为一体的创新型体育科技公司，致力于为竞技运动人群、大众健身健康人群、</w:t>
      </w:r>
      <w:r>
        <w:rPr>
          <w:spacing w:val="3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军需人群提供运动营养、健康营养食品及科学化、智能化运</w:t>
      </w:r>
      <w:r>
        <w:rPr>
          <w:spacing w:val="-2"/>
          <w:sz w:val="20"/>
          <w:szCs w:val="20"/>
        </w:rPr>
        <w:t>动健身解决方案。</w:t>
      </w:r>
    </w:p>
    <w:p>
      <w:pPr>
        <w:pStyle w:val="BodyText"/>
        <w:spacing w:before="229"/>
        <w:ind w:left="3080" w:right="139" w:firstLine="409"/>
        <w:jc w:val="both"/>
        <w:rPr>
          <w:sz w:val="20"/>
          <w:szCs w:val="20"/>
        </w:rPr>
      </w:pPr>
      <w:r>
        <w:rPr>
          <w:spacing w:val="-3"/>
          <w:sz w:val="20"/>
          <w:szCs w:val="20"/>
        </w:rPr>
        <w:t>公司作为国内运动营养食品主要推动者，研发技术能力强劲，曾参与起草并制定多</w:t>
      </w:r>
      <w:r>
        <w:rPr>
          <w:spacing w:val="-3"/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>项行业标准和国家标准，截至2022年9</w:t>
      </w:r>
      <w:r>
        <w:rPr>
          <w:spacing w:val="9"/>
          <w:sz w:val="20"/>
          <w:szCs w:val="20"/>
        </w:rPr>
        <w:t>月30日，公司已获自主知识产权合计220项，</w:t>
      </w:r>
      <w:r>
        <w:rPr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技术体系涵盖了针对运动人群运动前中后的营养需求。公司</w:t>
      </w:r>
      <w:r>
        <w:rPr>
          <w:spacing w:val="-3"/>
          <w:sz w:val="20"/>
          <w:szCs w:val="20"/>
        </w:rPr>
        <w:t>一直秉承“为中国高水平运</w:t>
      </w:r>
      <w:r>
        <w:rPr>
          <w:spacing w:val="-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动员提供高品质的运动营养产品及服务”的初衷，在竞技体</w:t>
      </w:r>
      <w:r>
        <w:rPr>
          <w:spacing w:val="-3"/>
          <w:sz w:val="20"/>
          <w:szCs w:val="20"/>
        </w:rPr>
        <w:t>育领域已经形成领先的品牌</w:t>
      </w:r>
      <w:r>
        <w:rPr>
          <w:spacing w:val="-3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优势，连续入围国家体育总局国家队集中采购营养食品目录，入围产品的品类、数量、</w:t>
      </w:r>
      <w:r>
        <w:rPr>
          <w:spacing w:val="1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销售额多年位居前列。在2016-2017年国家队集采目录，全部入围8大类目、共入围</w:t>
      </w:r>
      <w:r>
        <w:rPr>
          <w:spacing w:val="2"/>
          <w:sz w:val="20"/>
          <w:szCs w:val="20"/>
        </w:rPr>
        <w:t xml:space="preserve">  </w:t>
      </w:r>
      <w:r>
        <w:rPr>
          <w:spacing w:val="15"/>
          <w:sz w:val="20"/>
          <w:szCs w:val="20"/>
        </w:rPr>
        <w:t>33款产品(占比27%);在2019-2020年国家队集采目录，全部入围8大类目、共入</w:t>
      </w:r>
      <w:r>
        <w:rPr>
          <w:spacing w:val="1"/>
          <w:sz w:val="20"/>
          <w:szCs w:val="20"/>
        </w:rPr>
        <w:t xml:space="preserve">  </w:t>
      </w:r>
      <w:r>
        <w:rPr>
          <w:spacing w:val="8"/>
          <w:sz w:val="20"/>
          <w:szCs w:val="20"/>
        </w:rPr>
        <w:t>围27款产品(占比28%)。同时，公司长期为</w:t>
      </w:r>
      <w:r>
        <w:rPr>
          <w:spacing w:val="7"/>
          <w:sz w:val="20"/>
          <w:szCs w:val="20"/>
        </w:rPr>
        <w:t>中国人民解放军总后勤部、联勤保障部</w:t>
      </w:r>
      <w:r>
        <w:rPr>
          <w:spacing w:val="7"/>
          <w:sz w:val="20"/>
          <w:szCs w:val="20"/>
        </w:rPr>
        <w:t xml:space="preserve">  </w:t>
      </w:r>
      <w:r>
        <w:rPr>
          <w:spacing w:val="-2"/>
          <w:sz w:val="20"/>
          <w:szCs w:val="20"/>
        </w:rPr>
        <w:t>队、中国人民武装警察部队等多支军队客户供应战</w:t>
      </w:r>
      <w:r>
        <w:rPr>
          <w:spacing w:val="-3"/>
          <w:sz w:val="20"/>
          <w:szCs w:val="20"/>
        </w:rPr>
        <w:t>斗口粮、特种作战食品、能量棒等军</w:t>
      </w:r>
      <w:r>
        <w:rPr>
          <w:sz w:val="20"/>
          <w:szCs w:val="20"/>
        </w:rPr>
        <w:t xml:space="preserve">  </w:t>
      </w:r>
      <w:r>
        <w:rPr>
          <w:spacing w:val="-2"/>
          <w:sz w:val="20"/>
          <w:szCs w:val="20"/>
        </w:rPr>
        <w:t>用食品。</w:t>
      </w:r>
    </w:p>
    <w:p>
      <w:pPr>
        <w:spacing w:line="189" w:lineRule="exact"/>
      </w:pPr>
    </w:p>
    <w:tbl>
      <w:tblPr>
        <w:tblStyle w:val="TableNormal3"/>
        <w:tblW w:w="108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50"/>
        <w:gridCol w:w="9959"/>
      </w:tblGrid>
      <w:tr>
        <w:tblPrEx>
          <w:tblW w:w="10809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54"/>
        </w:trPr>
        <w:tc>
          <w:tcPr>
            <w:tcW w:w="1080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49" w:line="220" w:lineRule="auto"/>
              <w:ind w:left="112"/>
              <w:rPr>
                <w:sz w:val="16"/>
                <w:szCs w:val="16"/>
              </w:rPr>
            </w:pPr>
            <w:r>
              <w:rPr>
                <w:b/>
                <w:bCs/>
                <w:spacing w:val="-10"/>
                <w:sz w:val="16"/>
                <w:szCs w:val="16"/>
              </w:rPr>
              <w:t>表</w:t>
            </w:r>
            <w:r>
              <w:rPr>
                <w:spacing w:val="-22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10"/>
                <w:sz w:val="16"/>
                <w:szCs w:val="16"/>
              </w:rPr>
              <w:t>2</w:t>
            </w:r>
            <w:r>
              <w:rPr>
                <w:spacing w:val="-22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10"/>
                <w:sz w:val="16"/>
                <w:szCs w:val="16"/>
              </w:rPr>
              <w:t>公</w:t>
            </w:r>
            <w:r>
              <w:rPr>
                <w:spacing w:val="-21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10"/>
                <w:sz w:val="16"/>
                <w:szCs w:val="16"/>
              </w:rPr>
              <w:t>司</w:t>
            </w:r>
            <w:r>
              <w:rPr>
                <w:spacing w:val="-25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10"/>
                <w:sz w:val="16"/>
                <w:szCs w:val="16"/>
              </w:rPr>
              <w:t>发</w:t>
            </w:r>
            <w:r>
              <w:rPr>
                <w:spacing w:val="-25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10"/>
                <w:sz w:val="16"/>
                <w:szCs w:val="16"/>
              </w:rPr>
              <w:t>展</w:t>
            </w:r>
            <w:r>
              <w:rPr>
                <w:spacing w:val="-26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10"/>
                <w:sz w:val="16"/>
                <w:szCs w:val="16"/>
              </w:rPr>
              <w:t>历</w:t>
            </w:r>
            <w:r>
              <w:rPr>
                <w:spacing w:val="-27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10"/>
                <w:sz w:val="16"/>
                <w:szCs w:val="16"/>
              </w:rPr>
              <w:t>程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00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17" w:line="199" w:lineRule="auto"/>
              <w:ind w:left="8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2001年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16" w:line="200" w:lineRule="auto"/>
              <w:ind w:lef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康比特公司成立，运动营养研究所成立，运动营养食品厂建成，开创我国运动营养产业先河。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10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7" w:line="199" w:lineRule="auto"/>
              <w:ind w:left="100"/>
              <w:rPr>
                <w:sz w:val="16"/>
                <w:szCs w:val="16"/>
              </w:rPr>
            </w:pPr>
            <w:r>
              <w:rPr>
                <w:spacing w:val="-7"/>
                <w:sz w:val="16"/>
                <w:szCs w:val="16"/>
              </w:rPr>
              <w:t>2</w:t>
            </w:r>
            <w:r>
              <w:rPr>
                <w:spacing w:val="-27"/>
                <w:sz w:val="16"/>
                <w:szCs w:val="16"/>
              </w:rPr>
              <w:t xml:space="preserve"> </w:t>
            </w:r>
            <w:r>
              <w:rPr>
                <w:spacing w:val="-7"/>
                <w:sz w:val="16"/>
                <w:szCs w:val="16"/>
              </w:rPr>
              <w:t>0</w:t>
            </w:r>
            <w:r>
              <w:rPr>
                <w:spacing w:val="-28"/>
                <w:sz w:val="16"/>
                <w:szCs w:val="16"/>
              </w:rPr>
              <w:t xml:space="preserve"> </w:t>
            </w:r>
            <w:r>
              <w:rPr>
                <w:spacing w:val="-7"/>
                <w:sz w:val="16"/>
                <w:szCs w:val="16"/>
              </w:rPr>
              <w:t>0</w:t>
            </w:r>
            <w:r>
              <w:rPr>
                <w:spacing w:val="-28"/>
                <w:sz w:val="16"/>
                <w:szCs w:val="16"/>
              </w:rPr>
              <w:t xml:space="preserve"> </w:t>
            </w:r>
            <w:r>
              <w:rPr>
                <w:spacing w:val="-7"/>
                <w:sz w:val="16"/>
                <w:szCs w:val="16"/>
              </w:rPr>
              <w:t>2</w:t>
            </w:r>
            <w:r>
              <w:rPr>
                <w:spacing w:val="-30"/>
                <w:sz w:val="16"/>
                <w:szCs w:val="16"/>
              </w:rPr>
              <w:t xml:space="preserve"> </w:t>
            </w:r>
            <w:r>
              <w:rPr>
                <w:spacing w:val="-7"/>
                <w:sz w:val="16"/>
                <w:szCs w:val="16"/>
              </w:rPr>
              <w:t>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7" w:line="199" w:lineRule="auto"/>
              <w:ind w:lef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产品达到国家进出口商品要求标准，同年实现产品出</w:t>
            </w:r>
            <w:r>
              <w:rPr>
                <w:spacing w:val="-1"/>
                <w:sz w:val="16"/>
                <w:szCs w:val="16"/>
              </w:rPr>
              <w:t>口。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09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7" w:line="198" w:lineRule="auto"/>
              <w:ind w:left="5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2003年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7" w:line="198" w:lineRule="auto"/>
              <w:ind w:lef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康比特与北京体育大学、武汉体育学院等高校展开校企合作，建立研究生工作</w:t>
            </w:r>
            <w:r>
              <w:rPr>
                <w:spacing w:val="-1"/>
                <w:sz w:val="16"/>
                <w:szCs w:val="16"/>
              </w:rPr>
              <w:t>站。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00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18" w:line="198" w:lineRule="auto"/>
              <w:ind w:left="8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2004年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18" w:line="198" w:lineRule="auto"/>
              <w:ind w:lef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中国食品科学技术学会运动营养食品分会成立，首次举办国际运动营养食品高层论</w:t>
            </w:r>
            <w:r>
              <w:rPr>
                <w:spacing w:val="-1"/>
                <w:sz w:val="16"/>
                <w:szCs w:val="16"/>
              </w:rPr>
              <w:t>坛。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09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8" w:line="197" w:lineRule="auto"/>
              <w:ind w:left="17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2005年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8" w:line="197" w:lineRule="auto"/>
              <w:ind w:lef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中国第一家服务于大众健身和健康人群的运动营养专卖店问</w:t>
            </w:r>
            <w:r>
              <w:rPr>
                <w:spacing w:val="-1"/>
                <w:sz w:val="16"/>
                <w:szCs w:val="16"/>
              </w:rPr>
              <w:t>世。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00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19" w:line="197" w:lineRule="auto"/>
              <w:ind w:left="8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2006年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19" w:line="197" w:lineRule="auto"/>
              <w:ind w:lef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国内首家运动营养食品产业基地在北京昌平落成。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09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9" w:line="196" w:lineRule="auto"/>
              <w:ind w:left="17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2007年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9" w:line="196" w:lineRule="auto"/>
              <w:ind w:lef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康比特主导起草的5项运动营养食品行业标准陆续颁布实施，填补了我国运动营养食品法规空白；康比特运动营养食品通过QS认证。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10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30" w:line="196" w:lineRule="auto"/>
              <w:ind w:left="17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2008年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9" w:line="197" w:lineRule="auto"/>
              <w:ind w:lef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成为2008年奥运会供奥企业，并荣获“优秀供奥企业”、“优秀残奥供应商”称号。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00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0" w:line="196" w:lineRule="auto"/>
              <w:ind w:left="17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2009年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0" w:line="196" w:lineRule="auto"/>
              <w:ind w:lef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联合国内众多知名健身机构，共同举办首届阳光教练全国公开赛。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10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30" w:line="196" w:lineRule="auto"/>
              <w:ind w:left="100"/>
              <w:rPr>
                <w:sz w:val="16"/>
                <w:szCs w:val="16"/>
              </w:rPr>
            </w:pPr>
            <w:r>
              <w:rPr>
                <w:spacing w:val="-9"/>
                <w:sz w:val="16"/>
                <w:szCs w:val="16"/>
              </w:rPr>
              <w:t>2</w:t>
            </w:r>
            <w:r>
              <w:rPr>
                <w:spacing w:val="-27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0</w:t>
            </w:r>
            <w:r>
              <w:rPr>
                <w:spacing w:val="-18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1</w:t>
            </w:r>
            <w:r>
              <w:rPr>
                <w:spacing w:val="-28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0</w:t>
            </w:r>
            <w:r>
              <w:rPr>
                <w:spacing w:val="-30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30" w:line="196" w:lineRule="auto"/>
              <w:ind w:lef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在昌平九华山庄召开品牌发布会，重磅推出全新品牌VI体系，高调进军大众健康营养市场。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10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30" w:line="196" w:lineRule="auto"/>
              <w:ind w:left="100"/>
              <w:rPr>
                <w:sz w:val="16"/>
                <w:szCs w:val="16"/>
              </w:rPr>
            </w:pPr>
            <w:r>
              <w:rPr>
                <w:spacing w:val="-11"/>
                <w:sz w:val="16"/>
                <w:szCs w:val="16"/>
              </w:rPr>
              <w:t>2</w:t>
            </w:r>
            <w:r>
              <w:rPr>
                <w:spacing w:val="-27"/>
                <w:sz w:val="16"/>
                <w:szCs w:val="16"/>
              </w:rPr>
              <w:t xml:space="preserve"> </w:t>
            </w:r>
            <w:r>
              <w:rPr>
                <w:spacing w:val="-11"/>
                <w:sz w:val="16"/>
                <w:szCs w:val="16"/>
              </w:rPr>
              <w:t>0</w:t>
            </w:r>
            <w:r>
              <w:rPr>
                <w:spacing w:val="-18"/>
                <w:sz w:val="16"/>
                <w:szCs w:val="16"/>
              </w:rPr>
              <w:t xml:space="preserve"> </w:t>
            </w:r>
            <w:r>
              <w:rPr>
                <w:spacing w:val="-11"/>
                <w:sz w:val="16"/>
                <w:szCs w:val="16"/>
              </w:rPr>
              <w:t>1</w:t>
            </w:r>
            <w:r>
              <w:rPr>
                <w:spacing w:val="-18"/>
                <w:sz w:val="16"/>
                <w:szCs w:val="16"/>
              </w:rPr>
              <w:t xml:space="preserve"> </w:t>
            </w:r>
            <w:r>
              <w:rPr>
                <w:spacing w:val="-11"/>
                <w:sz w:val="16"/>
                <w:szCs w:val="16"/>
              </w:rPr>
              <w:t>1</w:t>
            </w:r>
            <w:r>
              <w:rPr>
                <w:spacing w:val="-30"/>
                <w:sz w:val="16"/>
                <w:szCs w:val="16"/>
              </w:rPr>
              <w:t xml:space="preserve"> </w:t>
            </w:r>
            <w:r>
              <w:rPr>
                <w:spacing w:val="-11"/>
                <w:sz w:val="16"/>
                <w:szCs w:val="16"/>
              </w:rPr>
              <w:t>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8" w:line="198" w:lineRule="auto"/>
              <w:ind w:lef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康比特荣获“国家火炬计划重点高新技术企业”称号，并被国家工商行政管理总局认定为“中国驰名商标”,成为行业发展的标杆企</w:t>
            </w:r>
            <w:r>
              <w:rPr>
                <w:spacing w:val="-1"/>
                <w:sz w:val="16"/>
                <w:szCs w:val="16"/>
              </w:rPr>
              <w:t>业。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00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0" w:line="196" w:lineRule="auto"/>
              <w:ind w:left="100"/>
              <w:rPr>
                <w:sz w:val="16"/>
                <w:szCs w:val="16"/>
              </w:rPr>
            </w:pPr>
            <w:r>
              <w:rPr>
                <w:spacing w:val="-9"/>
                <w:sz w:val="16"/>
                <w:szCs w:val="16"/>
              </w:rPr>
              <w:t>2</w:t>
            </w:r>
            <w:r>
              <w:rPr>
                <w:spacing w:val="-28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0</w:t>
            </w:r>
            <w:r>
              <w:rPr>
                <w:spacing w:val="-19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1</w:t>
            </w:r>
            <w:r>
              <w:rPr>
                <w:spacing w:val="-26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3</w:t>
            </w:r>
            <w:r>
              <w:rPr>
                <w:spacing w:val="-30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18" w:line="198" w:lineRule="auto"/>
              <w:ind w:lef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康比特牵头成立了《中国运动健康产业联盟》,同年举办《海峡两岸运动营养食品技术与应用专家论坛</w:t>
            </w:r>
            <w:r>
              <w:rPr>
                <w:spacing w:val="-1"/>
                <w:sz w:val="16"/>
                <w:szCs w:val="16"/>
              </w:rPr>
              <w:t>》。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429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60" w:line="183" w:lineRule="auto"/>
              <w:ind w:left="17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2014年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49" w:line="213" w:lineRule="auto"/>
              <w:ind w:left="139" w:right="437" w:firstLine="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北京市发改委批准设立运动营养关键技术开发工程实验室；CPT健康产业园落成；2014年世界男子冰壶锦标赛首</w:t>
            </w:r>
            <w:r>
              <w:rPr>
                <w:spacing w:val="-1"/>
                <w:sz w:val="16"/>
                <w:szCs w:val="16"/>
              </w:rPr>
              <w:t>次在亚洲举办，康比特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冠名赞助本次锦标赛。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399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21" w:line="193" w:lineRule="auto"/>
              <w:ind w:left="8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2015年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30" w:line="207" w:lineRule="auto"/>
              <w:ind w:left="149" w:right="376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公司新三板挂牌，向资本市场更高目标冲击；   头制订的GB2415</w:t>
            </w:r>
            <w:r>
              <w:rPr>
                <w:color w:val="003B7F"/>
                <w:spacing w:val="-1"/>
                <w:sz w:val="16"/>
                <w:szCs w:val="16"/>
              </w:rPr>
              <w:t>4-《2015食品安全国家标准运</w:t>
            </w:r>
            <w:r>
              <w:rPr>
                <w:color w:val="003B7F"/>
                <w:spacing w:val="-2"/>
                <w:sz w:val="16"/>
                <w:szCs w:val="16"/>
              </w:rPr>
              <w:t>动营养食品通则》颁布；2</w:t>
            </w:r>
            <w:r>
              <w:rPr>
                <w:spacing w:val="-2"/>
                <w:sz w:val="16"/>
                <w:szCs w:val="16"/>
              </w:rPr>
              <w:t>015年世界田径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锦标赛在京举办，康比特获指定运动营养品提供商称号；与中国田径协会携手，助力中国国家田径队征战里约奥运</w:t>
            </w:r>
            <w:r>
              <w:rPr>
                <w:spacing w:val="-1"/>
                <w:sz w:val="16"/>
                <w:szCs w:val="16"/>
              </w:rPr>
              <w:t>会。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29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42" w:line="204" w:lineRule="auto"/>
              <w:ind w:left="80"/>
              <w:rPr>
                <w:sz w:val="16"/>
                <w:szCs w:val="16"/>
              </w:rPr>
            </w:pPr>
            <w:r>
              <w:rPr>
                <w:spacing w:val="-9"/>
                <w:sz w:val="16"/>
                <w:szCs w:val="16"/>
              </w:rPr>
              <w:t>2</w:t>
            </w:r>
            <w:r>
              <w:rPr>
                <w:spacing w:val="-16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0 1</w:t>
            </w:r>
            <w:r>
              <w:rPr>
                <w:spacing w:val="-18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6</w:t>
            </w:r>
            <w:r>
              <w:rPr>
                <w:spacing w:val="-20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BCBCB"/>
            <w:vAlign w:val="top"/>
          </w:tcPr>
          <w:p>
            <w:pPr>
              <w:pStyle w:val="TableText"/>
              <w:spacing w:before="42" w:line="204" w:lineRule="auto"/>
              <w:jc w:val="right"/>
              <w:rPr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被认定为“北京市企业技术中心”;</w:t>
            </w:r>
            <w:r>
              <w:rPr>
                <w:color w:val="FFFFFF"/>
                <w:spacing w:val="6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全程参与亚</w:t>
            </w:r>
            <w:r>
              <w:rPr>
                <w:color w:val="FFFFFF"/>
                <w:sz w:val="16"/>
                <w:szCs w:val="16"/>
              </w:rPr>
              <w:t>洲</w:t>
            </w:r>
            <w:r>
              <w:rPr>
                <w:sz w:val="16"/>
                <w:szCs w:val="16"/>
              </w:rPr>
              <w:t>健美健身锦标赛运营，此次比赛是近年来中国健身健美</w:t>
            </w:r>
            <w:r>
              <w:rPr>
                <w:spacing w:val="-1"/>
                <w:sz w:val="16"/>
                <w:szCs w:val="16"/>
              </w:rPr>
              <w:t>市场规格最高、规模最大的赛事。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00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3" w:line="192" w:lineRule="auto"/>
              <w:ind w:left="80"/>
              <w:rPr>
                <w:sz w:val="16"/>
                <w:szCs w:val="16"/>
              </w:rPr>
            </w:pPr>
            <w:r>
              <w:rPr>
                <w:spacing w:val="-9"/>
                <w:sz w:val="16"/>
                <w:szCs w:val="16"/>
              </w:rPr>
              <w:t>2</w:t>
            </w:r>
            <w:r>
              <w:rPr>
                <w:spacing w:val="-18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0 1</w:t>
            </w:r>
            <w:r>
              <w:rPr>
                <w:spacing w:val="-16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7</w:t>
            </w:r>
            <w:r>
              <w:rPr>
                <w:spacing w:val="-20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3" w:line="192" w:lineRule="auto"/>
              <w:ind w:lef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运动营养食品SC落地，康比特成为国内首家获得生产许可的产品品</w:t>
            </w:r>
            <w:r>
              <w:rPr>
                <w:spacing w:val="-1"/>
                <w:sz w:val="16"/>
                <w:szCs w:val="16"/>
              </w:rPr>
              <w:t>牌。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209"/>
        </w:trPr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33" w:line="191" w:lineRule="auto"/>
              <w:ind w:left="80"/>
              <w:rPr>
                <w:sz w:val="16"/>
                <w:szCs w:val="16"/>
              </w:rPr>
            </w:pPr>
            <w:r>
              <w:rPr>
                <w:spacing w:val="-9"/>
                <w:sz w:val="16"/>
                <w:szCs w:val="16"/>
              </w:rPr>
              <w:t>2</w:t>
            </w:r>
            <w:r>
              <w:rPr>
                <w:spacing w:val="-15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0 1</w:t>
            </w:r>
            <w:r>
              <w:rPr>
                <w:spacing w:val="-19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8</w:t>
            </w:r>
            <w:r>
              <w:rPr>
                <w:spacing w:val="-20"/>
                <w:sz w:val="16"/>
                <w:szCs w:val="16"/>
              </w:rPr>
              <w:t xml:space="preserve"> </w:t>
            </w:r>
            <w:r>
              <w:rPr>
                <w:spacing w:val="-9"/>
                <w:sz w:val="16"/>
                <w:szCs w:val="16"/>
              </w:rPr>
              <w:t>年</w:t>
            </w:r>
          </w:p>
        </w:tc>
        <w:tc>
          <w:tcPr>
            <w:tcW w:w="995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33" w:line="191" w:lineRule="auto"/>
              <w:ind w:lef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康比特引入德国全自动一体化食物棒流水生产线并投入使用，日产量最大可达到60万支。</w:t>
            </w:r>
          </w:p>
        </w:tc>
      </w:tr>
      <w:tr>
        <w:tblPrEx>
          <w:tblW w:w="10809" w:type="dxa"/>
          <w:tblInd w:w="0" w:type="dxa"/>
          <w:tblLayout w:type="fixed"/>
        </w:tblPrEx>
        <w:trPr>
          <w:trHeight w:val="843"/>
        </w:trPr>
        <w:tc>
          <w:tcPr>
            <w:tcW w:w="1080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53" w:line="219" w:lineRule="auto"/>
              <w:ind w:left="99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康比特检测中心正式通过中国合格评定国家委员会(CNAS</w:t>
            </w:r>
            <w:r>
              <w:rPr>
                <w:color w:val="003FAD"/>
                <w:spacing w:val="-1"/>
                <w:sz w:val="16"/>
                <w:szCs w:val="16"/>
              </w:rPr>
              <w:t>)认证，具备</w:t>
            </w:r>
            <w:r>
              <w:rPr>
                <w:spacing w:val="-1"/>
                <w:sz w:val="16"/>
                <w:szCs w:val="16"/>
              </w:rPr>
              <w:t>46个食品类检测项目能力</w:t>
            </w:r>
            <w:r>
              <w:rPr>
                <w:spacing w:val="-2"/>
                <w:sz w:val="16"/>
                <w:szCs w:val="16"/>
              </w:rPr>
              <w:t>；   康比特成功斩获CMO金匠奖“B2C</w:t>
            </w:r>
          </w:p>
          <w:p>
            <w:pPr>
              <w:pStyle w:val="TableText"/>
              <w:spacing w:before="8" w:line="234" w:lineRule="auto"/>
              <w:ind w:left="110"/>
              <w:rPr>
                <w:sz w:val="16"/>
                <w:szCs w:val="16"/>
              </w:rPr>
            </w:pPr>
            <w:r>
              <w:rPr>
                <w:spacing w:val="-2"/>
                <w:position w:val="-2"/>
                <w:sz w:val="16"/>
                <w:szCs w:val="16"/>
              </w:rPr>
              <w:t>2</w:t>
            </w:r>
            <w:r>
              <w:rPr>
                <w:spacing w:val="-29"/>
                <w:position w:val="-2"/>
                <w:sz w:val="16"/>
                <w:szCs w:val="16"/>
              </w:rPr>
              <w:t xml:space="preserve"> </w:t>
            </w:r>
            <w:r>
              <w:rPr>
                <w:spacing w:val="-2"/>
                <w:position w:val="-2"/>
                <w:sz w:val="16"/>
                <w:szCs w:val="16"/>
              </w:rPr>
              <w:t>0</w:t>
            </w:r>
            <w:r>
              <w:rPr>
                <w:spacing w:val="-19"/>
                <w:position w:val="-2"/>
                <w:sz w:val="16"/>
                <w:szCs w:val="16"/>
              </w:rPr>
              <w:t xml:space="preserve"> </w:t>
            </w:r>
            <w:r>
              <w:rPr>
                <w:spacing w:val="-2"/>
                <w:position w:val="-2"/>
                <w:sz w:val="16"/>
                <w:szCs w:val="16"/>
              </w:rPr>
              <w:t>1</w:t>
            </w:r>
            <w:r>
              <w:rPr>
                <w:spacing w:val="-29"/>
                <w:position w:val="-2"/>
                <w:sz w:val="16"/>
                <w:szCs w:val="16"/>
              </w:rPr>
              <w:t xml:space="preserve"> </w:t>
            </w:r>
            <w:r>
              <w:rPr>
                <w:spacing w:val="-2"/>
                <w:position w:val="-2"/>
                <w:sz w:val="16"/>
                <w:szCs w:val="16"/>
              </w:rPr>
              <w:t>9</w:t>
            </w:r>
            <w:r>
              <w:rPr>
                <w:spacing w:val="-30"/>
                <w:position w:val="-2"/>
                <w:sz w:val="16"/>
                <w:szCs w:val="16"/>
              </w:rPr>
              <w:t xml:space="preserve"> </w:t>
            </w:r>
            <w:r>
              <w:rPr>
                <w:spacing w:val="-2"/>
                <w:position w:val="-2"/>
                <w:sz w:val="16"/>
                <w:szCs w:val="16"/>
              </w:rPr>
              <w:t>年</w:t>
            </w:r>
            <w:r>
              <w:rPr>
                <w:spacing w:val="53"/>
                <w:w w:val="101"/>
                <w:position w:val="-2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最佳产品创新奖”,国潮引领营销新趋势。</w:t>
            </w:r>
          </w:p>
          <w:p>
            <w:pPr>
              <w:pStyle w:val="TableText"/>
              <w:spacing w:before="9" w:line="208" w:lineRule="auto"/>
              <w:ind w:left="11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2020年   固安基地正式投产，产能预计2138吨，为亚洲最大、能力最强的运动营养食</w:t>
            </w:r>
            <w:r>
              <w:rPr>
                <w:spacing w:val="-2"/>
                <w:sz w:val="16"/>
                <w:szCs w:val="16"/>
              </w:rPr>
              <w:t>品供应链基地；   全力向资本市场更高目标冲击</w:t>
            </w:r>
          </w:p>
          <w:p>
            <w:pPr>
              <w:pStyle w:val="TableText"/>
              <w:spacing w:line="194" w:lineRule="auto"/>
              <w:ind w:left="11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资料来源：公司官网，海通证券研究所</w:t>
            </w:r>
          </w:p>
        </w:tc>
      </w:tr>
    </w:tbl>
    <w:p>
      <w:pPr>
        <w:spacing w:before="7"/>
      </w:pPr>
    </w:p>
    <w:p>
      <w:pPr>
        <w:spacing w:before="7"/>
        <w:sectPr>
          <w:headerReference w:type="default" r:id="rId47"/>
          <w:footerReference w:type="default" r:id="rId48"/>
          <w:pgSz w:w="11910" w:h="16840"/>
          <w:pgMar w:top="400" w:right="570" w:bottom="990" w:left="529" w:header="0" w:footer="668" w:gutter="0"/>
          <w:pgNumType w:start="15"/>
          <w:cols w:space="708"/>
        </w:sectPr>
      </w:pPr>
    </w:p>
    <w:p>
      <w:pPr>
        <w:spacing w:before="7"/>
      </w:pPr>
    </w:p>
    <w:tbl>
      <w:tblPr>
        <w:tblStyle w:val="TableNormal4"/>
        <w:tblW w:w="5180" w:type="dxa"/>
        <w:tblInd w:w="3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80"/>
      </w:tblGrid>
      <w:tr>
        <w:tblPrEx>
          <w:tblW w:w="5180" w:type="dxa"/>
          <w:tblInd w:w="31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69"/>
        </w:trPr>
        <w:tc>
          <w:tcPr>
            <w:tcW w:w="5180" w:type="dxa"/>
            <w:tcBorders>
              <w:top w:val="single" w:sz="2" w:space="0" w:color="000000"/>
              <w:bottom w:val="single" w:sz="4" w:space="0" w:color="000000"/>
            </w:tcBorders>
            <w:vAlign w:val="top"/>
          </w:tcPr>
          <w:p>
            <w:pPr>
              <w:spacing w:before="74" w:line="170" w:lineRule="auto"/>
              <w:ind w:left="13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图</w:t>
            </w:r>
            <w:r>
              <w:rPr>
                <w:rFonts w:ascii="KaiTi" w:eastAsia="KaiTi" w:hAnsi="KaiTi" w:cs="KaiTi"/>
                <w:spacing w:val="-24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7</w:t>
            </w:r>
            <w:r>
              <w:rPr>
                <w:rFonts w:ascii="KaiTi" w:eastAsia="KaiTi" w:hAnsi="KaiTi" w:cs="KaiTi"/>
                <w:spacing w:val="-3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公</w:t>
            </w:r>
            <w:r>
              <w:rPr>
                <w:rFonts w:ascii="KaiTi" w:eastAsia="KaiTi" w:hAnsi="KaiTi" w:cs="KaiT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司</w:t>
            </w:r>
            <w:r>
              <w:rPr>
                <w:rFonts w:ascii="KaiTi" w:eastAsia="KaiTi" w:hAnsi="KaiTi" w:cs="KaiT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专</w:t>
            </w:r>
            <w:r>
              <w:rPr>
                <w:rFonts w:ascii="KaiTi" w:eastAsia="KaiTi" w:hAnsi="KaiTi" w:cs="KaiT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家</w:t>
            </w:r>
            <w:r>
              <w:rPr>
                <w:rFonts w:ascii="KaiTi" w:eastAsia="KaiTi" w:hAnsi="KaiTi" w:cs="KaiT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团</w:t>
            </w:r>
            <w:r>
              <w:rPr>
                <w:rFonts w:ascii="KaiTi" w:eastAsia="KaiTi" w:hAnsi="KaiTi" w:cs="KaiT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队</w:t>
            </w:r>
            <w:r>
              <w:rPr>
                <w:rFonts w:ascii="KaiTi" w:eastAsia="KaiTi" w:hAnsi="KaiTi" w:cs="KaiTi"/>
                <w:spacing w:val="-3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介</w:t>
            </w:r>
            <w:r>
              <w:rPr>
                <w:rFonts w:ascii="KaiTi" w:eastAsia="KaiTi" w:hAnsi="KaiTi" w:cs="KaiT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绍</w:t>
            </w:r>
          </w:p>
        </w:tc>
      </w:tr>
      <w:tr>
        <w:tblPrEx>
          <w:tblW w:w="5180" w:type="dxa"/>
          <w:tblInd w:w="310" w:type="dxa"/>
          <w:tblLayout w:type="fixed"/>
        </w:tblPrEx>
        <w:trPr>
          <w:trHeight w:val="2920"/>
        </w:trPr>
        <w:tc>
          <w:tcPr>
            <w:tcW w:w="5180" w:type="dxa"/>
            <w:tcBorders>
              <w:top w:val="single" w:sz="4" w:space="0" w:color="000000"/>
              <w:bottom w:val="single" w:sz="2" w:space="0" w:color="000000"/>
            </w:tcBorders>
            <w:vAlign w:val="top"/>
          </w:tcPr>
          <w:p>
            <w:pPr>
              <w:spacing w:before="115" w:line="2740" w:lineRule="exact"/>
              <w:ind w:firstLine="1410"/>
            </w:pPr>
            <w:r>
              <w:rPr>
                <w:position w:val="-54"/>
              </w:rPr>
              <w:drawing>
                <wp:inline distT="0" distB="0" distL="0" distR="0">
                  <wp:extent cx="1403362" cy="1739922"/>
                  <wp:effectExtent l="0" t="0" r="0" b="0"/>
                  <wp:docPr id="62" name="IM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 62"/>
                          <pic:cNvPicPr/>
                        </pic:nvPicPr>
                        <pic:blipFill>
                          <a:blip xmlns:r="http://schemas.openxmlformats.org/officeDocument/2006/relationships"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62" cy="1739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spacing w:before="70" w:line="220" w:lineRule="auto"/>
        <w:ind w:left="439"/>
        <w:rPr>
          <w:sz w:val="16"/>
          <w:szCs w:val="16"/>
        </w:rPr>
      </w:pPr>
      <w:r>
        <w:rPr>
          <w:spacing w:val="-6"/>
          <w:sz w:val="16"/>
          <w:szCs w:val="16"/>
        </w:rPr>
        <w:t>数据来源：公司官网，海通证券研究所</w:t>
      </w:r>
      <w:r>
        <w:rPr>
          <w:spacing w:val="-6"/>
          <w:sz w:val="16"/>
          <w:szCs w:val="16"/>
        </w:rPr>
        <w:t xml:space="preserve">     </w:t>
      </w:r>
      <w:r>
        <w:rPr>
          <w:spacing w:val="-7"/>
          <w:sz w:val="16"/>
          <w:szCs w:val="16"/>
        </w:rPr>
        <w:t xml:space="preserve">                               </w:t>
      </w:r>
      <w:r>
        <w:rPr>
          <w:spacing w:val="-7"/>
          <w:sz w:val="16"/>
          <w:szCs w:val="16"/>
        </w:rPr>
        <w:t>资料来源：公司官网，海通证券研究所</w:t>
      </w:r>
    </w:p>
    <w:p>
      <w:pPr>
        <w:spacing w:line="220" w:lineRule="auto"/>
        <w:rPr>
          <w:sz w:val="16"/>
          <w:szCs w:val="16"/>
        </w:rPr>
        <w:sectPr>
          <w:headerReference w:type="default" r:id="rId50"/>
          <w:footerReference w:type="default" r:id="rId51"/>
          <w:type w:val="nextPage"/>
          <w:pgSz w:w="11910" w:h="16840"/>
          <w:pgMar w:top="400" w:right="570" w:bottom="990" w:left="529" w:header="0" w:footer="668" w:gutter="0"/>
          <w:pgNumType w:start="16"/>
          <w:cols w:space="708"/>
          <w:titlePg w:val="0"/>
        </w:sectPr>
      </w:pPr>
    </w:p>
    <w:p>
      <w:pPr>
        <w:spacing w:before="244" w:line="220" w:lineRule="auto"/>
        <w:ind w:left="7201"/>
        <w:rPr>
          <w:rFonts w:ascii="Arial" w:eastAsia="Arial" w:hAnsi="Arial" w:cs="Arial"/>
          <w:sz w:val="21"/>
          <w:szCs w:val="21"/>
        </w:rPr>
      </w:pPr>
      <w:r>
        <w:pict>
          <v:shape id="_x0000_s1097" style="width:255.1pt;height:0.5pt;margin-top:243.5pt;margin-left:43.8pt;mso-position-horizontal-relative:page;mso-position-vertical-relative:page;position:absolute;z-index:251680768" coordorigin="0,0" coordsize="5102,10" o:allowincell="f" path="m,9l5101,9l5101,l,l,9xe" filled="t" fillcolor="black" stroked="f"/>
        </w:pict>
      </w:r>
      <w:r>
        <w:pict>
          <v:shape id="_x0000_s1098" style="width:255.1pt;height:0.5pt;margin-top:260.93pt;margin-left:43.8pt;mso-position-horizontal-relative:page;mso-position-vertical-relative:page;position:absolute;z-index:251681792" coordorigin="0,0" coordsize="5102,10" o:allowincell="f" path="m,9l5101,9l5101,l,l,9xe" filled="t" fillcolor="black" stroked="f"/>
        </w:pict>
      </w:r>
      <w:r>
        <w:pict>
          <v:shape id="_x0000_s1099" style="width:255.1pt;height:0.5pt;margin-top:403.25pt;margin-left:43.8pt;mso-position-horizontal-relative:page;mso-position-vertical-relative:page;position:absolute;z-index:251682816" coordorigin="0,0" coordsize="5102,10" o:allowincell="f" path="m,9l5101,9l5101,l,l,9xe" filled="t" fillcolor="black" stroked="f"/>
        </w:pict>
      </w:r>
      <w:r>
        <w:pict>
          <v:shape id="_x0000_s1100" style="width:255.05pt;height:0.5pt;margin-top:243.5pt;margin-left:307.49pt;mso-position-horizontal-relative:page;mso-position-vertical-relative:page;position:absolute;z-index:251684864" coordorigin="0,0" coordsize="5101,10" o:allowincell="f" path="m,9l5100,9l5100,l,l,9xe" filled="t" fillcolor="black" stroked="f"/>
        </w:pict>
      </w:r>
      <w:r>
        <w:pict>
          <v:shape id="_x0000_s1101" style="width:255.05pt;height:0.5pt;margin-top:260.93pt;margin-left:307.49pt;mso-position-horizontal-relative:page;mso-position-vertical-relative:page;position:absolute;z-index:251683840" coordorigin="0,0" coordsize="5101,10" o:allowincell="f" path="m,9l5100,9l5100,l,l,9xe" filled="t" fillcolor="black" stroked="f"/>
        </w:pict>
      </w:r>
      <w:r>
        <w:pict>
          <v:shape id="_x0000_s1102" style="width:255.05pt;height:0.5pt;margin-top:403.25pt;margin-left:307.49pt;mso-position-horizontal-relative:page;mso-position-vertical-relative:page;position:absolute;z-index:251685888" coordorigin="0,0" coordsize="5101,10" o:allowincell="f" path="m,9l5100,9l5100,l,l,9xe" filled="t" fillcolor="black" stroked="f"/>
        </w:pict>
      </w:r>
      <w:r>
        <w:drawing>
          <wp:anchor distT="0" distB="0" distL="0" distR="0" simplePos="0" relativeHeight="251679744" behindDoc="0" locked="0" layoutInCell="0" allowOverlap="1">
            <wp:simplePos x="0" y="0"/>
            <wp:positionH relativeFrom="page">
              <wp:posOffset>431165</wp:posOffset>
            </wp:positionH>
            <wp:positionV relativeFrom="page">
              <wp:posOffset>178434</wp:posOffset>
            </wp:positionV>
            <wp:extent cx="1237615" cy="346075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37615" cy="346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1" w:name="bookmark16"/>
      <w:bookmarkEnd w:id="11"/>
      <w:bookmarkStart w:id="12" w:name="bookmark17"/>
      <w:bookmarkEnd w:id="12"/>
      <w:r>
        <w:rPr>
          <w:rFonts w:ascii="NSimSun" w:eastAsia="NSimSun" w:hAnsi="NSimSun" w:cs="NSimSun"/>
          <w:sz w:val="21"/>
          <w:szCs w:val="21"/>
        </w:rPr>
        <w:t>公司研究〃康比特（</w:t>
      </w:r>
      <w:r>
        <w:rPr>
          <w:rFonts w:ascii="Arial" w:eastAsia="Arial" w:hAnsi="Arial" w:cs="Arial"/>
          <w:sz w:val="21"/>
          <w:szCs w:val="21"/>
        </w:rPr>
        <w:t>833429</w:t>
      </w:r>
      <w:r>
        <w:rPr>
          <w:rFonts w:ascii="NSimSun" w:eastAsia="NSimSun" w:hAnsi="NSimSun" w:cs="NSimSun"/>
          <w:sz w:val="21"/>
          <w:szCs w:val="21"/>
        </w:rPr>
        <w:t>）</w:t>
      </w:r>
      <w:r>
        <w:rPr>
          <w:rFonts w:ascii="Arial" w:eastAsia="Arial" w:hAnsi="Arial" w:cs="Arial"/>
          <w:b/>
          <w:bCs/>
          <w:sz w:val="21"/>
          <w:szCs w:val="21"/>
        </w:rPr>
        <w:t>9</w:t>
      </w:r>
    </w:p>
    <w:p>
      <w:pPr>
        <w:spacing w:before="39" w:line="32" w:lineRule="exact"/>
        <w:ind w:firstLine="37"/>
      </w:pPr>
      <w:r>
        <w:drawing>
          <wp:inline distT="0" distB="0" distL="0" distR="0">
            <wp:extent cx="6677825" cy="20320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77825" cy="2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62" w:line="250" w:lineRule="auto"/>
        <w:ind w:left="2940" w:right="74" w:firstLine="407"/>
        <w:jc w:val="both"/>
        <w:rPr>
          <w:rFonts w:ascii="NSimSun" w:eastAsia="NSimSun" w:hAnsi="NSimSun" w:cs="NSimSun"/>
          <w:sz w:val="19"/>
          <w:szCs w:val="19"/>
        </w:rPr>
      </w:pPr>
      <w:r>
        <w:rPr>
          <w:rFonts w:ascii="Arial" w:eastAsia="Arial" w:hAnsi="Arial" w:cs="Arial"/>
          <w:spacing w:val="4"/>
          <w:sz w:val="19"/>
          <w:szCs w:val="19"/>
        </w:rPr>
        <w:t xml:space="preserve">2013-2023 </w:t>
      </w:r>
      <w:r>
        <w:rPr>
          <w:rFonts w:ascii="NSimSun" w:eastAsia="NSimSun" w:hAnsi="NSimSun" w:cs="NSimSun"/>
          <w:spacing w:val="4"/>
          <w:sz w:val="19"/>
          <w:szCs w:val="19"/>
        </w:rPr>
        <w:t>年公司收入从</w:t>
      </w:r>
      <w:r>
        <w:rPr>
          <w:rFonts w:ascii="NSimSun" w:eastAsia="NSimSun" w:hAnsi="NSimSun" w:cs="NSimSun"/>
          <w:spacing w:val="-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4"/>
          <w:sz w:val="19"/>
          <w:szCs w:val="19"/>
        </w:rPr>
        <w:t>1.59</w:t>
      </w:r>
      <w:r>
        <w:rPr>
          <w:rFonts w:ascii="Arial" w:eastAsia="Arial" w:hAnsi="Arial" w:cs="Arial"/>
          <w:spacing w:val="3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亿元增长至</w:t>
      </w:r>
      <w:r>
        <w:rPr>
          <w:rFonts w:ascii="NSimSun" w:eastAsia="NSimSun" w:hAnsi="NSimSun" w:cs="NSimSun"/>
          <w:spacing w:val="-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 xml:space="preserve">8.43 </w:t>
      </w:r>
      <w:r>
        <w:rPr>
          <w:rFonts w:ascii="NSimSun" w:eastAsia="NSimSun" w:hAnsi="NSimSun" w:cs="NSimSun"/>
          <w:spacing w:val="3"/>
          <w:sz w:val="19"/>
          <w:szCs w:val="19"/>
        </w:rPr>
        <w:t>亿元，</w:t>
      </w:r>
      <w:r>
        <w:rPr>
          <w:rFonts w:ascii="NSimSun" w:eastAsia="NSimSun" w:hAnsi="NSimSun" w:cs="NSimSun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CAGR</w:t>
      </w:r>
      <w:r>
        <w:rPr>
          <w:rFonts w:ascii="Arial" w:eastAsia="Arial" w:hAnsi="Arial" w:cs="Arial"/>
          <w:spacing w:val="3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为</w:t>
      </w:r>
      <w:r>
        <w:rPr>
          <w:rFonts w:ascii="NSimSun" w:eastAsia="NSimSun" w:hAnsi="NSimSun" w:cs="NSimSun"/>
          <w:spacing w:val="-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18.14%</w:t>
      </w:r>
      <w:r>
        <w:rPr>
          <w:rFonts w:ascii="NSimSun" w:eastAsia="NSimSun" w:hAnsi="NSimSun" w:cs="NSimSun"/>
          <w:spacing w:val="3"/>
          <w:sz w:val="19"/>
          <w:szCs w:val="19"/>
        </w:rPr>
        <w:t>；归母净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4"/>
          <w:sz w:val="19"/>
          <w:szCs w:val="19"/>
        </w:rPr>
        <w:t>利润从</w:t>
      </w:r>
      <w:r>
        <w:rPr>
          <w:rFonts w:ascii="NSimSun" w:eastAsia="NSimSun" w:hAnsi="NSimSun" w:cs="NSimSun"/>
          <w:spacing w:val="-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4"/>
          <w:sz w:val="19"/>
          <w:szCs w:val="19"/>
        </w:rPr>
        <w:t xml:space="preserve">0.23 </w:t>
      </w:r>
      <w:r>
        <w:rPr>
          <w:rFonts w:ascii="NSimSun" w:eastAsia="NSimSun" w:hAnsi="NSimSun" w:cs="NSimSun"/>
          <w:spacing w:val="4"/>
          <w:sz w:val="19"/>
          <w:szCs w:val="19"/>
        </w:rPr>
        <w:t>亿元增长至</w:t>
      </w:r>
      <w:r>
        <w:rPr>
          <w:rFonts w:ascii="NSimSun" w:eastAsia="NSimSun" w:hAnsi="NSimSun" w:cs="NSimSun"/>
          <w:spacing w:val="-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4"/>
          <w:sz w:val="19"/>
          <w:szCs w:val="19"/>
        </w:rPr>
        <w:t xml:space="preserve">0.88 </w:t>
      </w:r>
      <w:r>
        <w:rPr>
          <w:rFonts w:ascii="NSimSun" w:eastAsia="NSimSun" w:hAnsi="NSimSun" w:cs="NSimSun"/>
          <w:spacing w:val="4"/>
          <w:sz w:val="19"/>
          <w:szCs w:val="19"/>
        </w:rPr>
        <w:t>亿元，</w:t>
      </w:r>
      <w:r>
        <w:rPr>
          <w:rFonts w:ascii="NSimSun" w:eastAsia="NSimSun" w:hAnsi="NSimSun" w:cs="NSimSun"/>
          <w:spacing w:val="-3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CAGR</w:t>
      </w:r>
      <w:r>
        <w:rPr>
          <w:rFonts w:ascii="Arial" w:eastAsia="Arial" w:hAnsi="Arial" w:cs="Arial"/>
          <w:spacing w:val="3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为</w:t>
      </w:r>
      <w:r>
        <w:rPr>
          <w:rFonts w:ascii="NSimSun" w:eastAsia="NSimSun" w:hAnsi="NSimSun" w:cs="NSimSun"/>
          <w:spacing w:val="-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14.22%</w:t>
      </w:r>
      <w:r>
        <w:rPr>
          <w:rFonts w:ascii="NSimSun" w:eastAsia="NSimSun" w:hAnsi="NSimSun" w:cs="NSimSun"/>
          <w:spacing w:val="3"/>
          <w:sz w:val="19"/>
          <w:szCs w:val="19"/>
        </w:rPr>
        <w:t>；扣非后归母净利润从</w:t>
      </w:r>
      <w:r>
        <w:rPr>
          <w:rFonts w:ascii="NSimSun" w:eastAsia="NSimSun" w:hAnsi="NSimSun" w:cs="NSimSun"/>
          <w:spacing w:val="-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 xml:space="preserve">0.05 </w:t>
      </w:r>
      <w:r>
        <w:rPr>
          <w:rFonts w:ascii="NSimSun" w:eastAsia="NSimSun" w:hAnsi="NSimSun" w:cs="NSimSun"/>
          <w:spacing w:val="3"/>
          <w:sz w:val="19"/>
          <w:szCs w:val="19"/>
        </w:rPr>
        <w:t>亿元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6"/>
          <w:sz w:val="19"/>
          <w:szCs w:val="19"/>
        </w:rPr>
        <w:t>增长至</w:t>
      </w:r>
      <w:r>
        <w:rPr>
          <w:rFonts w:ascii="NSimSun" w:eastAsia="NSimSun" w:hAnsi="NSimSun" w:cs="NSimSun"/>
          <w:spacing w:val="-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6"/>
          <w:sz w:val="19"/>
          <w:szCs w:val="19"/>
        </w:rPr>
        <w:t xml:space="preserve">0.76 </w:t>
      </w:r>
      <w:r>
        <w:rPr>
          <w:rFonts w:ascii="NSimSun" w:eastAsia="NSimSun" w:hAnsi="NSimSun" w:cs="NSimSun"/>
          <w:spacing w:val="6"/>
          <w:sz w:val="19"/>
          <w:szCs w:val="19"/>
        </w:rPr>
        <w:t>亿元，</w:t>
      </w:r>
      <w:r>
        <w:rPr>
          <w:rFonts w:ascii="NSimSun" w:eastAsia="NSimSun" w:hAnsi="NSimSun" w:cs="NSimSun"/>
          <w:spacing w:val="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CAGR</w:t>
      </w:r>
      <w:r>
        <w:rPr>
          <w:rFonts w:ascii="Arial" w:eastAsia="Arial" w:hAnsi="Arial" w:cs="Arial"/>
          <w:spacing w:val="6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6"/>
          <w:sz w:val="19"/>
          <w:szCs w:val="19"/>
        </w:rPr>
        <w:t>为</w:t>
      </w:r>
      <w:r>
        <w:rPr>
          <w:rFonts w:ascii="NSimSun" w:eastAsia="NSimSun" w:hAnsi="NSimSun" w:cs="NSimSun"/>
          <w:spacing w:val="-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6"/>
          <w:sz w:val="19"/>
          <w:szCs w:val="19"/>
        </w:rPr>
        <w:t>32.33%</w:t>
      </w:r>
      <w:r>
        <w:rPr>
          <w:rFonts w:ascii="NSimSun" w:eastAsia="NSimSun" w:hAnsi="NSimSun" w:cs="NSimSun"/>
          <w:spacing w:val="6"/>
          <w:sz w:val="19"/>
          <w:szCs w:val="19"/>
        </w:rPr>
        <w:t>。近几</w:t>
      </w:r>
      <w:r>
        <w:rPr>
          <w:rFonts w:ascii="NSimSun" w:eastAsia="NSimSun" w:hAnsi="NSimSun" w:cs="NSimSun"/>
          <w:spacing w:val="5"/>
          <w:sz w:val="19"/>
          <w:szCs w:val="19"/>
        </w:rPr>
        <w:t>年公司收入表现情况如下：</w:t>
      </w:r>
      <w:r>
        <w:rPr>
          <w:rFonts w:ascii="Arial" w:eastAsia="Arial" w:hAnsi="Arial" w:cs="Arial"/>
          <w:spacing w:val="5"/>
          <w:sz w:val="19"/>
          <w:szCs w:val="19"/>
          <w:u w:val="single" w:color="auto"/>
        </w:rPr>
        <w:t xml:space="preserve">21 </w:t>
      </w:r>
      <w:r>
        <w:rPr>
          <w:rFonts w:ascii="NSimSun" w:eastAsia="NSimSun" w:hAnsi="NSimSun" w:cs="NSimSun"/>
          <w:spacing w:val="5"/>
          <w:sz w:val="19"/>
          <w:szCs w:val="19"/>
          <w:u w:val="single" w:color="auto"/>
        </w:rPr>
        <w:t>年</w:t>
      </w:r>
      <w:r>
        <w:rPr>
          <w:rFonts w:ascii="NSimSun" w:eastAsia="NSimSun" w:hAnsi="NSimSun" w:cs="NSimSun"/>
          <w:spacing w:val="5"/>
          <w:sz w:val="19"/>
          <w:szCs w:val="19"/>
        </w:rPr>
        <w:t>收入增速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Arial" w:eastAsia="Arial" w:hAnsi="Arial" w:cs="Arial"/>
          <w:spacing w:val="8"/>
          <w:sz w:val="19"/>
          <w:szCs w:val="19"/>
        </w:rPr>
        <w:t>37.18%</w:t>
      </w:r>
      <w:r>
        <w:rPr>
          <w:rFonts w:ascii="NSimSun" w:eastAsia="NSimSun" w:hAnsi="NSimSun" w:cs="NSimSun"/>
          <w:spacing w:val="8"/>
          <w:sz w:val="19"/>
          <w:szCs w:val="19"/>
        </w:rPr>
        <w:t>，主要系：</w:t>
      </w:r>
      <w:r>
        <w:rPr>
          <w:rFonts w:ascii="NSimSun" w:eastAsia="NSimSun" w:hAnsi="NSimSun" w:cs="NSimSun"/>
          <w:spacing w:val="-44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8"/>
          <w:sz w:val="19"/>
          <w:szCs w:val="19"/>
        </w:rPr>
        <w:t>①加强在抖音平台、天猫平台、京东平台的运营推广，线上直营和</w:t>
      </w:r>
      <w:r>
        <w:rPr>
          <w:rFonts w:ascii="NSimSun" w:eastAsia="NSimSun" w:hAnsi="NSimSun" w:cs="NSimSun"/>
          <w:sz w:val="19"/>
          <w:szCs w:val="19"/>
        </w:rPr>
        <w:t xml:space="preserve">  </w:t>
      </w:r>
      <w:r>
        <w:rPr>
          <w:rFonts w:ascii="NSimSun" w:eastAsia="NSimSun" w:hAnsi="NSimSun" w:cs="NSimSun"/>
          <w:spacing w:val="7"/>
          <w:sz w:val="19"/>
          <w:szCs w:val="19"/>
        </w:rPr>
        <w:t>代销合计收入同比增长</w:t>
      </w:r>
      <w:r>
        <w:rPr>
          <w:rFonts w:ascii="NSimSun" w:eastAsia="NSimSun" w:hAnsi="NSimSun" w:cs="NSimSun"/>
          <w:spacing w:val="-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7"/>
          <w:sz w:val="19"/>
          <w:szCs w:val="19"/>
        </w:rPr>
        <w:t xml:space="preserve">3100.59 </w:t>
      </w:r>
      <w:r>
        <w:rPr>
          <w:rFonts w:ascii="NSimSun" w:eastAsia="NSimSun" w:hAnsi="NSimSun" w:cs="NSimSun"/>
          <w:spacing w:val="7"/>
          <w:sz w:val="19"/>
          <w:szCs w:val="19"/>
        </w:rPr>
        <w:t>万元；②不断加大经销网络拓展力度，培育中</w:t>
      </w:r>
      <w:r>
        <w:rPr>
          <w:rFonts w:ascii="NSimSun" w:eastAsia="NSimSun" w:hAnsi="NSimSun" w:cs="NSimSun"/>
          <w:spacing w:val="6"/>
          <w:sz w:val="19"/>
          <w:szCs w:val="19"/>
        </w:rPr>
        <w:t>坚阶层经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销商，</w:t>
      </w:r>
      <w:r>
        <w:rPr>
          <w:rFonts w:ascii="NSimSun" w:eastAsia="NSimSun" w:hAnsi="NSimSun" w:cs="NSimSun"/>
          <w:spacing w:val="-24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推动经销收入持续增长，</w:t>
      </w:r>
      <w:r>
        <w:rPr>
          <w:rFonts w:ascii="NSimSun" w:eastAsia="NSimSun" w:hAnsi="NSimSun" w:cs="NSimSun"/>
          <w:spacing w:val="3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经销收入同比增长</w:t>
      </w:r>
      <w:r>
        <w:rPr>
          <w:rFonts w:ascii="NSimSun" w:eastAsia="NSimSun" w:hAnsi="NSimSun" w:cs="NSimSun"/>
          <w:spacing w:val="-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 xml:space="preserve">6712.02 </w:t>
      </w:r>
      <w:r>
        <w:rPr>
          <w:rFonts w:ascii="NSimSun" w:eastAsia="NSimSun" w:hAnsi="NSimSun" w:cs="NSimSun"/>
          <w:spacing w:val="3"/>
          <w:sz w:val="19"/>
          <w:szCs w:val="19"/>
        </w:rPr>
        <w:t>万元；③军需客户、受托加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5"/>
          <w:sz w:val="19"/>
          <w:szCs w:val="19"/>
        </w:rPr>
        <w:t>工客户及数字化体育科技服务的客户需求增加，</w:t>
      </w:r>
      <w:r>
        <w:rPr>
          <w:rFonts w:ascii="NSimSun" w:eastAsia="NSimSun" w:hAnsi="NSimSun" w:cs="NSimSun"/>
          <w:spacing w:val="-24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5"/>
          <w:sz w:val="19"/>
          <w:szCs w:val="19"/>
        </w:rPr>
        <w:t>推动线下直营收入的增长，</w:t>
      </w:r>
      <w:r>
        <w:rPr>
          <w:rFonts w:ascii="NSimSun" w:eastAsia="NSimSun" w:hAnsi="NSimSun" w:cs="NSimSun"/>
          <w:spacing w:val="-27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5"/>
          <w:sz w:val="19"/>
          <w:szCs w:val="19"/>
        </w:rPr>
        <w:t>其收入同比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-1"/>
          <w:sz w:val="19"/>
          <w:szCs w:val="19"/>
        </w:rPr>
        <w:t>增长</w:t>
      </w:r>
      <w:r>
        <w:rPr>
          <w:rFonts w:ascii="NSimSun" w:eastAsia="NSimSun" w:hAnsi="NSimSun" w:cs="NSimSun"/>
          <w:spacing w:val="-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-1"/>
          <w:sz w:val="19"/>
          <w:szCs w:val="19"/>
        </w:rPr>
        <w:t xml:space="preserve">3435.34 </w:t>
      </w:r>
      <w:r>
        <w:rPr>
          <w:rFonts w:ascii="NSimSun" w:eastAsia="NSimSun" w:hAnsi="NSimSun" w:cs="NSimSun"/>
          <w:spacing w:val="-1"/>
          <w:sz w:val="19"/>
          <w:szCs w:val="19"/>
        </w:rPr>
        <w:t>万元。</w:t>
      </w:r>
      <w:r>
        <w:rPr>
          <w:rFonts w:ascii="NSimSun" w:eastAsia="NSimSun" w:hAnsi="NSimSun" w:cs="NSimSun"/>
          <w:spacing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-1"/>
          <w:sz w:val="19"/>
          <w:szCs w:val="19"/>
          <w:u w:val="single" w:color="auto"/>
        </w:rPr>
        <w:t xml:space="preserve">22 </w:t>
      </w:r>
      <w:r>
        <w:rPr>
          <w:rFonts w:ascii="NSimSun" w:eastAsia="NSimSun" w:hAnsi="NSimSun" w:cs="NSimSun"/>
          <w:spacing w:val="-1"/>
          <w:sz w:val="19"/>
          <w:szCs w:val="19"/>
          <w:u w:val="single" w:color="auto"/>
        </w:rPr>
        <w:t>年</w:t>
      </w:r>
      <w:r>
        <w:rPr>
          <w:rFonts w:ascii="NSimSun" w:eastAsia="NSimSun" w:hAnsi="NSimSun" w:cs="NSimSun"/>
          <w:spacing w:val="-1"/>
          <w:sz w:val="19"/>
          <w:szCs w:val="19"/>
        </w:rPr>
        <w:t>收入增速</w:t>
      </w:r>
      <w:r>
        <w:rPr>
          <w:rFonts w:ascii="NSimSun" w:eastAsia="NSimSun" w:hAnsi="NSimSun" w:cs="NSimSun"/>
          <w:spacing w:val="-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-1"/>
          <w:sz w:val="19"/>
          <w:szCs w:val="19"/>
        </w:rPr>
        <w:t>29.72%</w:t>
      </w:r>
      <w:r>
        <w:rPr>
          <w:rFonts w:ascii="Arial" w:eastAsia="Arial" w:hAnsi="Arial" w:cs="Arial"/>
          <w:spacing w:val="-25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-1"/>
          <w:sz w:val="19"/>
          <w:szCs w:val="19"/>
        </w:rPr>
        <w:t>，主要系：</w:t>
      </w:r>
      <w:r>
        <w:rPr>
          <w:rFonts w:ascii="NSimSun" w:eastAsia="NSimSun" w:hAnsi="NSimSun" w:cs="NSimSun"/>
          <w:spacing w:val="24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-2"/>
          <w:sz w:val="19"/>
          <w:szCs w:val="19"/>
        </w:rPr>
        <w:t>①线上表现亮眼，</w:t>
      </w:r>
      <w:r>
        <w:rPr>
          <w:rFonts w:ascii="NSimSun" w:eastAsia="NSimSun" w:hAnsi="NSimSun" w:cs="NSimSun"/>
          <w:spacing w:val="-2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-2"/>
          <w:sz w:val="19"/>
          <w:szCs w:val="19"/>
        </w:rPr>
        <w:t>尤其抖音、京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东平台的推广销售，</w:t>
      </w:r>
      <w:r>
        <w:rPr>
          <w:rFonts w:ascii="NSimSun" w:eastAsia="NSimSun" w:hAnsi="NSimSun" w:cs="NSimSun"/>
          <w:spacing w:val="-16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带动运动营养食品同比增长</w:t>
      </w:r>
      <w:r>
        <w:rPr>
          <w:rFonts w:ascii="NSimSun" w:eastAsia="NSimSun" w:hAnsi="NSimSun" w:cs="NSimSun"/>
          <w:spacing w:val="-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 xml:space="preserve">8891.53 </w:t>
      </w:r>
      <w:r>
        <w:rPr>
          <w:rFonts w:ascii="NSimSun" w:eastAsia="NSimSun" w:hAnsi="NSimSun" w:cs="NSimSun"/>
          <w:spacing w:val="2"/>
          <w:sz w:val="19"/>
          <w:szCs w:val="19"/>
        </w:rPr>
        <w:t>万元；</w:t>
      </w:r>
      <w:r>
        <w:rPr>
          <w:rFonts w:ascii="NSimSun" w:eastAsia="NSimSun" w:hAnsi="NSimSun" w:cs="NSimSun"/>
          <w:spacing w:val="2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2"/>
          <w:sz w:val="19"/>
          <w:szCs w:val="19"/>
        </w:rPr>
        <w:t>②军需业务增长，带动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4"/>
          <w:sz w:val="19"/>
          <w:szCs w:val="19"/>
        </w:rPr>
        <w:t>公司健康营养食品同比增长</w:t>
      </w:r>
      <w:r>
        <w:rPr>
          <w:rFonts w:ascii="NSimSun" w:eastAsia="NSimSun" w:hAnsi="NSimSun" w:cs="NSimSun"/>
          <w:spacing w:val="-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4"/>
          <w:sz w:val="19"/>
          <w:szCs w:val="19"/>
        </w:rPr>
        <w:t xml:space="preserve">3921.71 </w:t>
      </w:r>
      <w:r>
        <w:rPr>
          <w:rFonts w:ascii="NSimSun" w:eastAsia="NSimSun" w:hAnsi="NSimSun" w:cs="NSimSun"/>
          <w:spacing w:val="4"/>
          <w:sz w:val="19"/>
          <w:szCs w:val="19"/>
        </w:rPr>
        <w:t>万元。</w:t>
      </w:r>
      <w:r>
        <w:rPr>
          <w:rFonts w:ascii="NSimSun" w:eastAsia="NSimSun" w:hAnsi="NSimSun" w:cs="NSimSun"/>
          <w:spacing w:val="-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4"/>
          <w:sz w:val="19"/>
          <w:szCs w:val="19"/>
          <w:u w:val="single" w:color="auto"/>
        </w:rPr>
        <w:t xml:space="preserve">23 </w:t>
      </w:r>
      <w:r>
        <w:rPr>
          <w:rFonts w:ascii="NSimSun" w:eastAsia="NSimSun" w:hAnsi="NSimSun" w:cs="NSimSun"/>
          <w:spacing w:val="4"/>
          <w:sz w:val="19"/>
          <w:szCs w:val="19"/>
          <w:u w:val="single" w:color="auto"/>
        </w:rPr>
        <w:t>年</w:t>
      </w:r>
      <w:r>
        <w:rPr>
          <w:rFonts w:ascii="NSimSun" w:eastAsia="NSimSun" w:hAnsi="NSimSun" w:cs="NSimSun"/>
          <w:spacing w:val="4"/>
          <w:sz w:val="19"/>
          <w:szCs w:val="19"/>
        </w:rPr>
        <w:t>收入增速为</w:t>
      </w:r>
      <w:r>
        <w:rPr>
          <w:rFonts w:ascii="NSimSun" w:eastAsia="NSimSun" w:hAnsi="NSimSun" w:cs="NSimSun"/>
          <w:spacing w:val="-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4"/>
          <w:sz w:val="19"/>
          <w:szCs w:val="19"/>
        </w:rPr>
        <w:t>32.79%</w:t>
      </w:r>
      <w:r>
        <w:rPr>
          <w:rFonts w:ascii="NSimSun" w:eastAsia="NSimSun" w:hAnsi="NSimSun" w:cs="NSimSun"/>
          <w:spacing w:val="4"/>
          <w:sz w:val="19"/>
          <w:szCs w:val="19"/>
        </w:rPr>
        <w:t>，主要系公司持续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2"/>
          <w:sz w:val="19"/>
          <w:szCs w:val="19"/>
        </w:rPr>
        <w:t>进行研发投入、积极进行产品升级，</w:t>
      </w:r>
      <w:r>
        <w:rPr>
          <w:rFonts w:ascii="NSimSun" w:eastAsia="NSimSun" w:hAnsi="NSimSun" w:cs="NSimSun"/>
          <w:spacing w:val="2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2"/>
          <w:sz w:val="19"/>
          <w:szCs w:val="19"/>
        </w:rPr>
        <w:t>并且不断扩大销售渠道，</w:t>
      </w:r>
      <w:r>
        <w:rPr>
          <w:rFonts w:ascii="NSimSun" w:eastAsia="NSimSun" w:hAnsi="NSimSun" w:cs="NSimSun"/>
          <w:spacing w:val="-14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2"/>
          <w:sz w:val="19"/>
          <w:szCs w:val="19"/>
        </w:rPr>
        <w:t>增加市场推广力度，</w:t>
      </w:r>
      <w:r>
        <w:rPr>
          <w:rFonts w:ascii="NSimSun" w:eastAsia="NSimSun" w:hAnsi="NSimSun" w:cs="NSimSun"/>
          <w:spacing w:val="-20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2"/>
          <w:sz w:val="19"/>
          <w:szCs w:val="19"/>
        </w:rPr>
        <w:t>在保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2"/>
          <w:sz w:val="19"/>
          <w:szCs w:val="19"/>
        </w:rPr>
        <w:t>证原有市场占有率的情况下，</w:t>
      </w:r>
      <w:r>
        <w:rPr>
          <w:rFonts w:ascii="NSimSun" w:eastAsia="NSimSun" w:hAnsi="NSimSun" w:cs="NSimSun"/>
          <w:spacing w:val="2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2"/>
          <w:sz w:val="19"/>
          <w:szCs w:val="19"/>
        </w:rPr>
        <w:t>开发新的细分市场，</w:t>
      </w:r>
      <w:r>
        <w:rPr>
          <w:rFonts w:ascii="NSimSun" w:eastAsia="NSimSun" w:hAnsi="NSimSun" w:cs="NSimSun"/>
          <w:spacing w:val="59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2"/>
          <w:sz w:val="19"/>
          <w:szCs w:val="19"/>
        </w:rPr>
        <w:t>同时军需业务增长迅速。</w:t>
      </w:r>
    </w:p>
    <w:p>
      <w:pPr>
        <w:spacing w:line="193" w:lineRule="exact"/>
      </w:pPr>
    </w:p>
    <w:p>
      <w:pPr>
        <w:spacing w:line="193" w:lineRule="exact"/>
        <w:sectPr>
          <w:headerReference w:type="default" r:id="rId52"/>
          <w:footerReference w:type="default" r:id="rId53"/>
          <w:pgSz w:w="11907" w:h="16841"/>
          <w:pgMar w:top="400" w:right="655" w:bottom="997" w:left="679" w:header="0" w:footer="653" w:gutter="0"/>
          <w:pgNumType w:start="17"/>
          <w:cols w:num="1" w:space="708" w:equalWidth="0">
            <w:col w:w="10572" w:space="0"/>
          </w:cols>
        </w:sectPr>
      </w:pPr>
    </w:p>
    <w:p>
      <w:pPr>
        <w:spacing w:before="124" w:line="180" w:lineRule="auto"/>
        <w:ind w:left="330"/>
        <w:rPr>
          <w:rFonts w:ascii="Microsoft YaHei" w:eastAsia="Microsoft YaHei" w:hAnsi="Microsoft YaHei" w:cs="Microsoft YaHei"/>
          <w:sz w:val="18"/>
          <w:szCs w:val="18"/>
        </w:rPr>
      </w:pPr>
      <w:r>
        <w:rPr>
          <w:rFonts w:ascii="Microsoft YaHei" w:eastAsia="Microsoft YaHei" w:hAnsi="Microsoft YaHei" w:cs="Microsoft YaHei"/>
          <w:b/>
          <w:bCs/>
          <w:spacing w:val="-1"/>
          <w:sz w:val="18"/>
          <w:szCs w:val="18"/>
        </w:rPr>
        <w:t>图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9</w:t>
      </w:r>
      <w:r>
        <w:rPr>
          <w:rFonts w:ascii="Arial" w:eastAsia="Arial" w:hAnsi="Arial" w:cs="Arial"/>
          <w:b/>
          <w:bCs/>
          <w:spacing w:val="20"/>
          <w:sz w:val="18"/>
          <w:szCs w:val="18"/>
        </w:rPr>
        <w:t xml:space="preserve">  </w:t>
      </w:r>
      <w:r>
        <w:rPr>
          <w:rFonts w:ascii="Microsoft YaHei" w:eastAsia="Microsoft YaHei" w:hAnsi="Microsoft YaHei" w:cs="Microsoft YaHei"/>
          <w:b/>
          <w:bCs/>
          <w:spacing w:val="-1"/>
          <w:sz w:val="18"/>
          <w:szCs w:val="18"/>
        </w:rPr>
        <w:t>公司收入及增速（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2013-2023</w:t>
      </w:r>
      <w:r>
        <w:rPr>
          <w:rFonts w:ascii="Microsoft YaHei" w:eastAsia="Microsoft YaHei" w:hAnsi="Microsoft YaHei" w:cs="Microsoft YaHei"/>
          <w:b/>
          <w:bCs/>
          <w:spacing w:val="-1"/>
          <w:sz w:val="18"/>
          <w:szCs w:val="18"/>
        </w:rPr>
        <w:t>）</w:t>
      </w:r>
    </w:p>
    <w:p>
      <w:pPr>
        <w:spacing w:before="1"/>
      </w:pPr>
    </w:p>
    <w:tbl>
      <w:tblPr>
        <w:tblStyle w:val="TableNormal5"/>
        <w:tblW w:w="4631" w:type="dxa"/>
        <w:tblInd w:w="3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"/>
        <w:gridCol w:w="4079"/>
        <w:gridCol w:w="309"/>
      </w:tblGrid>
      <w:tr>
        <w:tblPrEx>
          <w:tblW w:w="4631" w:type="dxa"/>
          <w:tblInd w:w="391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411"/>
        </w:trPr>
        <w:tc>
          <w:tcPr>
            <w:tcW w:w="243" w:type="dxa"/>
            <w:vAlign w:val="top"/>
          </w:tcPr>
          <w:p>
            <w:pPr>
              <w:spacing w:before="1" w:line="199" w:lineRule="exact"/>
              <w:ind w:left="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position w:val="6"/>
                <w:sz w:val="13"/>
                <w:szCs w:val="13"/>
              </w:rPr>
              <w:t>9.0</w:t>
            </w:r>
          </w:p>
          <w:p>
            <w:pPr>
              <w:spacing w:line="199" w:lineRule="auto"/>
              <w:ind w:left="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8.0</w:t>
            </w:r>
          </w:p>
          <w:p>
            <w:pPr>
              <w:spacing w:before="75" w:line="199" w:lineRule="auto"/>
              <w:ind w:left="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7.0</w:t>
            </w:r>
          </w:p>
          <w:p>
            <w:pPr>
              <w:spacing w:before="74" w:line="200" w:lineRule="auto"/>
              <w:ind w:left="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6.0</w:t>
            </w:r>
          </w:p>
          <w:p>
            <w:pPr>
              <w:spacing w:before="74" w:line="199" w:lineRule="auto"/>
              <w:ind w:left="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5.0</w:t>
            </w:r>
          </w:p>
          <w:p>
            <w:pPr>
              <w:spacing w:before="75" w:line="199" w:lineRule="auto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4.0</w:t>
            </w:r>
          </w:p>
          <w:p>
            <w:pPr>
              <w:spacing w:before="75" w:line="200" w:lineRule="auto"/>
              <w:ind w:left="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3.0</w:t>
            </w:r>
          </w:p>
          <w:p>
            <w:pPr>
              <w:spacing w:before="75" w:line="199" w:lineRule="auto"/>
              <w:ind w:left="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>2.0</w:t>
            </w:r>
          </w:p>
          <w:p>
            <w:pPr>
              <w:spacing w:before="75" w:line="199" w:lineRule="auto"/>
              <w:ind w:left="1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3"/>
                <w:sz w:val="13"/>
                <w:szCs w:val="13"/>
              </w:rPr>
              <w:t>1.0</w:t>
            </w:r>
          </w:p>
          <w:p>
            <w:pPr>
              <w:spacing w:before="74" w:line="200" w:lineRule="auto"/>
              <w:ind w:left="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0.0</w:t>
            </w:r>
          </w:p>
        </w:tc>
        <w:tc>
          <w:tcPr>
            <w:tcW w:w="4079" w:type="dxa"/>
            <w:vAlign w:val="top"/>
          </w:tcPr>
          <w:p>
            <w:pPr>
              <w:spacing w:before="49" w:line="1836" w:lineRule="exact"/>
              <w:ind w:firstLine="56"/>
            </w:pPr>
            <w:r>
              <w:rPr>
                <w:position w:val="-36"/>
              </w:rPr>
              <w:pict>
                <v:group id="_x0000_i1103" style="width:199.15pt;height:91.85pt;mso-position-horizontal-relative:char;mso-position-vertical-relative:line" coordorigin="0,0" coordsize="3982,1836" filled="f" stroked="f">
                  <v:shape id="_x0000_s1104" style="width:143;height:317;left:146;position:absolute;top:1478" coordorigin="0,0" coordsize="143,317" path="m,317l143,317l143,l,l,317xe" filled="t" fillcolor="navy" stroked="f"/>
                  <v:shape id="_x0000_s1105" style="width:158;height:332;left:139;position:absolute;top:1471" coordorigin="0,0" coordsize="158,332" path="m6,324l150,324l150,6l6,6l6,324xe" filled="f" strokecolor="black" strokeweight="0.7pt"/>
                  <v:shape id="_x0000_s1106" style="width:141;height:395;left:501;position:absolute;top:1401" coordorigin="0,0" coordsize="141,395" path="m,394l141,394l141,l,l,394xe" filled="t" fillcolor="navy" stroked="f"/>
                  <v:shape id="_x0000_s1107" style="width:156;height:409;left:494;position:absolute;top:1395" coordorigin="0,0" coordsize="156,409" path="m6,401l148,401l148,6l6,6l6,401xe" filled="f" strokecolor="black" strokeweight="0.7pt"/>
                  <v:shape id="_x0000_s1108" style="width:141;height:487;left:856;position:absolute;top:1309" coordorigin="0,0" coordsize="141,487" path="m,487l141,487l141,l,l,487xe" filled="t" fillcolor="navy" stroked="f"/>
                  <v:shape id="_x0000_s1109" style="width:156;height:502;left:849;position:absolute;top:1302" coordorigin="0,0" coordsize="156,502" path="m6,494l148,494l148,6l6,6l6,494xe" filled="f" strokecolor="black" strokeweight="0.7pt"/>
                  <v:shape id="_x0000_s1110" style="width:141;height:575;left:1212;position:absolute;top:1220" coordorigin="0,0" coordsize="141,575" path="m,575l141,575l141,l,l,575xe" filled="t" fillcolor="navy" stroked="f"/>
                  <v:shape id="_x0000_s1111" style="width:156;height:590;left:1205;position:absolute;top:1213" coordorigin="0,0" coordsize="156,590" path="m6,582l148,582l148,6l6,6l6,582xe" filled="f" strokecolor="black" strokeweight="0.7pt"/>
                  <v:shape id="_x0000_s1112" style="width:141;height:640;left:1565;position:absolute;top:1155" coordorigin="0,0" coordsize="141,640" path="m,640l141,640l141,l,l,640xe" filled="t" fillcolor="navy" stroked="f"/>
                  <v:shape id="_x0000_s1113" style="width:156;height:655;left:1558;position:absolute;top:1148" coordorigin="0,0" coordsize="156,655" path="m6,647l148,647l148,6l6,6l6,647xe" filled="f" strokecolor="black" strokeweight="0.7pt"/>
                  <v:shape id="_x0000_s1114" style="width:141;height:629;left:1920;position:absolute;top:1167" coordorigin="0,0" coordsize="141,629" path="m,628l141,628l141,l,l,628xe" filled="t" fillcolor="navy" stroked="f"/>
                  <v:shape id="_x0000_s1115" style="width:156;height:643;left:1913;position:absolute;top:1160" coordorigin="0,0" coordsize="156,643" path="m6,635l148,635l148,6l6,6l6,635xe" filled="f" strokecolor="black" strokeweight="0.7pt"/>
                  <v:shape id="_x0000_s1116" style="width:141;height:718;left:2275;position:absolute;top:1079" coordorigin="0,0" coordsize="141,718" path="m,717l141,717l141,l,l,717xe" filled="t" fillcolor="navy" stroked="f"/>
                  <v:shape id="_x0000_s1117" style="width:156;height:731;left:2268;position:absolute;top:1072" coordorigin="0,0" coordsize="156,731" path="m6,724l148,724l148,6l6,6l6,724xe" filled="f" strokecolor="black" strokeweight="0.7pt"/>
                  <v:shape id="_x0000_s1118" style="width:141;height:710;left:2628;position:absolute;top:1086" coordorigin="0,0" coordsize="141,710" path="m,710l141,710l141,l,l,710xe" filled="t" fillcolor="navy" stroked="f"/>
                  <v:shape id="_x0000_s1119" style="width:156;height:725;left:2621;position:absolute;top:1079" coordorigin="0,0" coordsize="156,725" path="m6,717l148,717l148,6l6,6l6,717xe" filled="f" strokecolor="black" strokeweight="0.7pt"/>
                  <v:shape id="_x0000_s1120" style="width:141;height:975;left:2984;position:absolute;top:821" coordorigin="0,0" coordsize="141,975" path="m,974l141,974l141,l,l,974xe" filled="t" fillcolor="navy" stroked="f"/>
                  <v:shape id="_x0000_s1121" style="width:156;height:989;left:2977;position:absolute;top:814" coordorigin="0,0" coordsize="156,989" path="m6,981l148,981l148,6l6,6l6,981xe" filled="f" strokecolor="black" strokeweight="0.7pt"/>
                  <v:shape id="_x0000_s1122" style="width:141;height:1263;left:3339;position:absolute;top:533" coordorigin="0,0" coordsize="141,1263" path="m,1262l141,1262l141,l,l,1262xe" filled="t" fillcolor="navy" stroked="f"/>
                  <v:shape id="_x0000_s1123" style="width:156;height:1276;left:3332;position:absolute;top:526" coordorigin="0,0" coordsize="156,1276" path="m6,1269l148,1269l148,6l6,6l6,1269xe" filled="f" strokecolor="black" strokeweight="0.7pt"/>
                  <v:shape id="_x0000_s1124" style="width:143;height:1678;left:3692;position:absolute;top:118" coordorigin="0,0" coordsize="143,1678" path="m,1678l143,1678l143,l,l,1678xe" filled="t" fillcolor="navy" stroked="f"/>
                  <v:shape id="_x0000_s1125" style="width:158;height:1693;left:3685;position:absolute;top:111" coordorigin="0,0" coordsize="158,1693" path="m6,1685l150,1685l150,6l6,6l6,1685xe" filled="f" strokecolor="black" strokeweight="0.7pt"/>
                  <v:shape id="_x0000_s1126" style="width:3982;height:1836;position:absolute" coordorigin="0,0" coordsize="3982,1836" path="m3941,1796l3941,6m3941,1796l3982,1796m3941,1596l3982,1596m3941,1397l3982,1397m3941,1200l3982,1200m3941,1000l3982,1000m3941,800l3982,800m3941,603l3982,603m3941,403l3982,403m3941,204l3982,204m3941,6l3982,6m41,1796l41,6m,1796l41,1796m,1596l41,1596m,1397l41,1397m,1200l41,1200m,1000l41,1000m,800l41,800m,603l41,603m,403l41,403m,204l41,204m,6l41,6m41,1796l3941,1796m41,1796l41,1836m394,1796l394,1836m750,1796l750,1836m1105,1796l1105,1836m1458,1796l1458,1836m1813,1796l1813,1836m2169,1796l2169,1836m2524,1796l2524,1836m2877,1796l2877,1836m3232,1796l3232,1836m3588,1796l3588,1836m3941,1796l3941,1836e" filled="f" strokecolor="#868686" strokeweight="0.7pt"/>
                  <v:shape id="_x0000_s1127" style="width:3232;height:1586;left:552;position:absolute;top:97" coordorigin="0,0" coordsize="3232,1586" path="m20,526l373,557l729,786l1084,1053l1439,1564l1792,949l2148,1531l2503,20l2856,317l3211,194e" filled="f" strokecolor="blue" strokeweight="2.09pt">
                    <v:stroke endcap="round"/>
                  </v:shape>
                  <w10:wrap type="none"/>
                </v:group>
              </w:pict>
            </w:r>
          </w:p>
          <w:p>
            <w:pPr>
              <w:spacing w:before="68" w:line="200" w:lineRule="auto"/>
              <w:ind w:left="1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2013</w:t>
            </w:r>
            <w:r>
              <w:rPr>
                <w:rFonts w:ascii="Arial" w:eastAsia="Arial" w:hAnsi="Arial" w:cs="Arial"/>
                <w:spacing w:val="23"/>
                <w:w w:val="10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2014</w:t>
            </w:r>
            <w:r>
              <w:rPr>
                <w:rFonts w:ascii="Arial" w:eastAsia="Arial" w:hAnsi="Arial" w:cs="Arial"/>
                <w:spacing w:val="22"/>
                <w:w w:val="10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2015</w:t>
            </w:r>
            <w:r>
              <w:rPr>
                <w:rFonts w:ascii="Arial" w:eastAsia="Arial" w:hAnsi="Arial" w:cs="Arial"/>
                <w:spacing w:val="22"/>
                <w:w w:val="10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2016</w:t>
            </w:r>
            <w:r>
              <w:rPr>
                <w:rFonts w:ascii="Arial" w:eastAsia="Arial" w:hAnsi="Arial" w:cs="Arial"/>
                <w:spacing w:val="22"/>
                <w:w w:val="10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2017</w:t>
            </w:r>
            <w:r>
              <w:rPr>
                <w:rFonts w:ascii="Arial" w:eastAsia="Arial" w:hAnsi="Arial" w:cs="Arial"/>
                <w:spacing w:val="22"/>
                <w:w w:val="10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2018</w:t>
            </w:r>
            <w:r>
              <w:rPr>
                <w:rFonts w:ascii="Arial" w:eastAsia="Arial" w:hAnsi="Arial" w:cs="Arial"/>
                <w:spacing w:val="2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2019</w:t>
            </w:r>
            <w:r>
              <w:rPr>
                <w:rFonts w:ascii="Arial" w:eastAsia="Arial" w:hAnsi="Arial" w:cs="Arial"/>
                <w:spacing w:val="22"/>
                <w:w w:val="10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202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>0</w:t>
            </w:r>
            <w:r>
              <w:rPr>
                <w:rFonts w:ascii="Arial" w:eastAsia="Arial" w:hAnsi="Arial" w:cs="Arial"/>
                <w:spacing w:val="22"/>
                <w:w w:val="10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>2021</w:t>
            </w:r>
            <w:r>
              <w:rPr>
                <w:rFonts w:ascii="Arial" w:eastAsia="Arial" w:hAnsi="Arial" w:cs="Arial"/>
                <w:spacing w:val="22"/>
                <w:w w:val="10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>2022</w:t>
            </w:r>
            <w:r>
              <w:rPr>
                <w:rFonts w:ascii="Arial" w:eastAsia="Arial" w:hAnsi="Arial" w:cs="Arial"/>
                <w:spacing w:val="22"/>
                <w:w w:val="10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>2023</w:t>
            </w:r>
          </w:p>
          <w:p>
            <w:pPr>
              <w:spacing w:before="189" w:line="189" w:lineRule="auto"/>
              <w:ind w:left="576"/>
              <w:rPr>
                <w:rFonts w:ascii="NSimSun" w:eastAsia="NSimSun" w:hAnsi="NSimSun" w:cs="NSimSun"/>
                <w:sz w:val="13"/>
                <w:szCs w:val="13"/>
              </w:rPr>
            </w:pPr>
            <w:r>
              <w:rPr>
                <w:rFonts w:ascii="NSimSun" w:eastAsia="NSimSun" w:hAnsi="NSimSun" w:cs="NSimSun"/>
                <w:position w:val="1"/>
                <w:sz w:val="13"/>
                <w:szCs w:val="13"/>
              </w:rPr>
              <w:drawing>
                <wp:inline distT="0" distB="0" distL="0" distR="0">
                  <wp:extent cx="244800" cy="39622"/>
                  <wp:effectExtent l="0" t="0" r="0" b="0"/>
                  <wp:docPr id="70" name="IM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 70"/>
                          <pic:cNvPicPr/>
                        </pic:nvPicPr>
                        <pic:blipFill>
                          <a:blip xmlns:r="http://schemas.openxmlformats.org/officeDocument/2006/relationships"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" cy="39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SimSun" w:eastAsia="NSimSun" w:hAnsi="NSimSun" w:cs="NSimSun"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NSimSun" w:eastAsia="NSimSun" w:hAnsi="NSimSun" w:cs="NSimSun"/>
                <w:sz w:val="13"/>
                <w:szCs w:val="13"/>
              </w:rPr>
              <w:t>营收（亿元，左轴）</w:t>
            </w:r>
            <w:r>
              <w:rPr>
                <w:rFonts w:ascii="NSimSun" w:eastAsia="NSimSun" w:hAnsi="NSimSun" w:cs="NSimSun"/>
                <w:sz w:val="13"/>
                <w:szCs w:val="13"/>
              </w:rPr>
              <w:t xml:space="preserve">    </w:t>
            </w:r>
            <w:r>
              <w:rPr>
                <w:position w:val="2"/>
                <w:sz w:val="13"/>
                <w:szCs w:val="13"/>
              </w:rPr>
              <w:drawing>
                <wp:inline distT="0" distB="0" distL="0" distR="0">
                  <wp:extent cx="262497" cy="24593"/>
                  <wp:effectExtent l="0" t="0" r="0" b="0"/>
                  <wp:docPr id="72" name="IM 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 72"/>
                          <pic:cNvPicPr/>
                        </pic:nvPicPr>
                        <pic:blipFill>
                          <a:blip xmlns:r="http://schemas.openxmlformats.org/officeDocument/2006/relationships"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97" cy="24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SimSun" w:eastAsia="NSimSun" w:hAnsi="NSimSun" w:cs="NSimSun"/>
                <w:spacing w:val="-4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yoy</w:t>
            </w:r>
            <w:r>
              <w:rPr>
                <w:rFonts w:ascii="NSimSun" w:eastAsia="NSimSun" w:hAnsi="NSimSun" w:cs="NSimSun"/>
                <w:sz w:val="13"/>
                <w:szCs w:val="13"/>
              </w:rPr>
              <w:t>（右轴）</w:t>
            </w:r>
          </w:p>
        </w:tc>
        <w:tc>
          <w:tcPr>
            <w:tcW w:w="309" w:type="dxa"/>
            <w:vAlign w:val="top"/>
          </w:tcPr>
          <w:p>
            <w:pPr>
              <w:spacing w:before="5" w:line="307" w:lineRule="auto"/>
              <w:ind w:left="41" w:hanging="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40%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35%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30%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25%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20%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15%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10%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>5%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  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>0%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  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>-5%</w:t>
            </w:r>
          </w:p>
        </w:tc>
      </w:tr>
    </w:tbl>
    <w:p>
      <w:pPr>
        <w:spacing w:line="246" w:lineRule="auto"/>
        <w:rPr>
          <w:rFonts w:ascii="Arial"/>
          <w:sz w:val="21"/>
        </w:rPr>
      </w:pPr>
    </w:p>
    <w:p>
      <w:pPr>
        <w:spacing w:before="50" w:line="199" w:lineRule="auto"/>
        <w:ind w:left="308"/>
        <w:rPr>
          <w:rFonts w:ascii="NSimSun" w:eastAsia="NSimSun" w:hAnsi="NSimSun" w:cs="NSimSun"/>
          <w:sz w:val="15"/>
          <w:szCs w:val="15"/>
        </w:rPr>
      </w:pPr>
      <w:r>
        <w:rPr>
          <w:rFonts w:ascii="NSimSun" w:eastAsia="NSimSun" w:hAnsi="NSimSun" w:cs="NSimSun"/>
          <w:spacing w:val="-5"/>
          <w:sz w:val="15"/>
          <w:szCs w:val="15"/>
        </w:rPr>
        <w:t>数据来源：</w:t>
      </w:r>
      <w:r>
        <w:rPr>
          <w:rFonts w:ascii="NSimSun" w:eastAsia="NSimSun" w:hAnsi="NSimSun" w:cs="NSimSun"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spacing w:val="-5"/>
          <w:sz w:val="15"/>
          <w:szCs w:val="15"/>
        </w:rPr>
        <w:t>wind</w:t>
      </w:r>
      <w:r>
        <w:rPr>
          <w:rFonts w:ascii="NSimSun" w:eastAsia="NSimSun" w:hAnsi="NSimSun" w:cs="NSimSun"/>
          <w:spacing w:val="-5"/>
          <w:sz w:val="15"/>
          <w:szCs w:val="15"/>
        </w:rPr>
        <w:t>，海通证券研究所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23" w:line="180" w:lineRule="auto"/>
        <w:ind w:left="133"/>
        <w:rPr>
          <w:rFonts w:ascii="Microsoft YaHei" w:eastAsia="Microsoft YaHei" w:hAnsi="Microsoft YaHei" w:cs="Microsoft YaHei"/>
          <w:sz w:val="18"/>
          <w:szCs w:val="18"/>
        </w:rPr>
      </w:pPr>
      <w:r>
        <w:rPr>
          <w:rFonts w:ascii="Microsoft YaHei" w:eastAsia="Microsoft YaHei" w:hAnsi="Microsoft YaHei" w:cs="Microsoft YaHei"/>
          <w:b/>
          <w:bCs/>
          <w:spacing w:val="-1"/>
          <w:sz w:val="18"/>
          <w:szCs w:val="18"/>
        </w:rPr>
        <w:t>图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10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1"/>
          <w:sz w:val="18"/>
          <w:szCs w:val="18"/>
        </w:rPr>
        <w:t>公司归母净利润及增速（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2013-2023</w:t>
      </w:r>
      <w:r>
        <w:rPr>
          <w:rFonts w:ascii="Microsoft YaHei" w:eastAsia="Microsoft YaHei" w:hAnsi="Microsoft YaHei" w:cs="Microsoft YaHei"/>
          <w:b/>
          <w:bCs/>
          <w:spacing w:val="-1"/>
          <w:sz w:val="18"/>
          <w:szCs w:val="18"/>
        </w:rPr>
        <w:t>）</w:t>
      </w:r>
    </w:p>
    <w:p>
      <w:pPr>
        <w:spacing w:before="3"/>
      </w:pPr>
    </w:p>
    <w:tbl>
      <w:tblPr>
        <w:tblStyle w:val="TableNormal5"/>
        <w:tblW w:w="4626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0"/>
        <w:gridCol w:w="3958"/>
        <w:gridCol w:w="428"/>
      </w:tblGrid>
      <w:tr>
        <w:tblPrEx>
          <w:tblW w:w="4626" w:type="dxa"/>
          <w:tblInd w:w="13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410"/>
        </w:trPr>
        <w:tc>
          <w:tcPr>
            <w:tcW w:w="240" w:type="dxa"/>
            <w:vAlign w:val="top"/>
          </w:tcPr>
          <w:p>
            <w:pPr>
              <w:spacing w:before="1" w:line="178" w:lineRule="exact"/>
              <w:ind w:left="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3"/>
                <w:position w:val="5"/>
                <w:sz w:val="13"/>
                <w:szCs w:val="13"/>
              </w:rPr>
              <w:t>1.0</w:t>
            </w:r>
          </w:p>
          <w:p>
            <w:pPr>
              <w:spacing w:line="199" w:lineRule="auto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0.9</w:t>
            </w:r>
          </w:p>
          <w:p>
            <w:pPr>
              <w:spacing w:before="55" w:line="199" w:lineRule="auto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0.8</w:t>
            </w:r>
          </w:p>
          <w:p>
            <w:pPr>
              <w:spacing w:before="55" w:line="199" w:lineRule="auto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0.7</w:t>
            </w:r>
          </w:p>
          <w:p>
            <w:pPr>
              <w:spacing w:before="55" w:line="199" w:lineRule="auto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0.6</w:t>
            </w:r>
          </w:p>
          <w:p>
            <w:pPr>
              <w:spacing w:before="55" w:line="199" w:lineRule="auto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0.5</w:t>
            </w:r>
          </w:p>
          <w:p>
            <w:pPr>
              <w:spacing w:before="54" w:line="200" w:lineRule="auto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0.4</w:t>
            </w:r>
          </w:p>
          <w:p>
            <w:pPr>
              <w:spacing w:before="55" w:line="200" w:lineRule="auto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0.3</w:t>
            </w:r>
          </w:p>
          <w:p>
            <w:pPr>
              <w:spacing w:before="55" w:line="199" w:lineRule="auto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0.2</w:t>
            </w:r>
          </w:p>
          <w:p>
            <w:pPr>
              <w:spacing w:before="55" w:line="199" w:lineRule="auto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0.1</w:t>
            </w:r>
          </w:p>
          <w:p>
            <w:pPr>
              <w:spacing w:before="55" w:line="199" w:lineRule="auto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0.0</w:t>
            </w:r>
          </w:p>
        </w:tc>
        <w:tc>
          <w:tcPr>
            <w:tcW w:w="3958" w:type="dxa"/>
            <w:vAlign w:val="top"/>
          </w:tcPr>
          <w:p>
            <w:pPr>
              <w:spacing w:before="47" w:line="1836" w:lineRule="exact"/>
              <w:ind w:firstLine="57"/>
            </w:pPr>
            <w:r>
              <w:rPr>
                <w:position w:val="-36"/>
              </w:rPr>
              <w:pict>
                <v:group id="_x0000_i1128" style="width:193.1pt;height:91.8pt;mso-position-horizontal-relative:char;mso-position-vertical-relative:line" coordorigin="0,0" coordsize="3862,1836" filled="f" stroked="f">
                  <v:shape id="_x0000_s1129" style="width:136;height:420;left:143;position:absolute;top:1376" coordorigin="0,0" coordsize="136,420" path="m,420l136,420l136,l,l,420xe" filled="t" fillcolor="navy" stroked="f"/>
                  <v:shape id="_x0000_s1130" style="width:151;height:435;left:136;position:absolute;top:1369" coordorigin="0,0" coordsize="151,435" path="m6,427l143,427l143,6l6,6l6,427xe" filled="f" strokecolor="black" strokeweight="0.7pt"/>
                  <v:shape id="_x0000_s1131" style="width:136;height:417;left:487;position:absolute;top:1378" coordorigin="0,0" coordsize="136,417" path="m,417l136,417l136,l,l,417xe" filled="t" fillcolor="navy" stroked="f"/>
                  <v:shape id="_x0000_s1132" style="width:151;height:432;left:480;position:absolute;top:1371" coordorigin="0,0" coordsize="151,432" path="m6,424l143,424l143,6l6,6l6,424xe" filled="f" strokecolor="black" strokeweight="0.7pt"/>
                  <v:shape id="_x0000_s1133" style="width:136;height:943;left:831;position:absolute;top:854" coordorigin="0,0" coordsize="136,943" path="m,942l136,942l136,l,l,942xe" filled="t" fillcolor="navy" stroked="f"/>
                  <v:shape id="_x0000_s1134" style="width:151;height:956;left:824;position:absolute;top:847" coordorigin="0,0" coordsize="151,956" path="m6,949l143,949l143,6l6,6l6,949xe" filled="f" strokecolor="black" strokeweight="0.7pt"/>
                  <v:shape id="_x0000_s1135" style="width:136;height:1356;left:1174;position:absolute;top:440" coordorigin="0,0" coordsize="136,1356" path="m,1355l136,1355l136,l,l,1355xe" filled="t" fillcolor="navy" stroked="f"/>
                  <v:shape id="_x0000_s1136" style="width:151;height:1370;left:1167;position:absolute;top:434" coordorigin="0,0" coordsize="151,1370" path="m6,1362l143,1362l143,6l6,6l6,1362xe" filled="f" strokecolor="black" strokeweight="0.7pt"/>
                  <v:shape id="_x0000_s1137" style="width:136;height:670;left:1518;position:absolute;top:1125" coordorigin="0,0" coordsize="136,670" path="m,670l136,670l136,l,l,670xe" filled="t" fillcolor="navy" stroked="f"/>
                  <v:shape id="_x0000_s1138" style="width:151;height:685;left:1511;position:absolute;top:1118" coordorigin="0,0" coordsize="151,685" path="m6,677l143,677l143,6l6,6l6,677xe" filled="f" strokecolor="black" strokeweight="0.7pt"/>
                  <v:shape id="_x0000_s1139" style="width:136;height:1305;left:1862;position:absolute;top:492" coordorigin="0,0" coordsize="136,1305" path="m,1304l136,1304l136,l,l,1304xe" filled="t" fillcolor="navy" stroked="f"/>
                  <v:shape id="_x0000_s1140" style="width:151;height:1318;left:1855;position:absolute;top:485" coordorigin="0,0" coordsize="151,1318" path="m6,1311l143,1311l143,6l6,6l6,1311xe" filled="f" strokecolor="black" strokeweight="0.7pt"/>
                  <v:shape id="_x0000_s1141" style="width:136;height:826;left:2205;position:absolute;top:970" coordorigin="0,0" coordsize="136,826" path="m,826l136,826l136,l,l,826xe" filled="t" fillcolor="navy" stroked="f"/>
                  <v:shape id="_x0000_s1142" style="width:151;height:840;left:2198;position:absolute;top:963" coordorigin="0,0" coordsize="151,840" path="m6,833l143,833l143,6l6,6l6,833xe" filled="f" strokecolor="black" strokeweight="0.7pt"/>
                  <v:shape id="_x0000_s1143" style="width:136;height:300;left:2549;position:absolute;top:1496" coordorigin="0,0" coordsize="136,300" path="m,299l136,299l136,l,l,299xe" filled="t" fillcolor="navy" stroked="f"/>
                  <v:shape id="_x0000_s1144" style="width:151;height:313;left:2542;position:absolute;top:1490" coordorigin="0,0" coordsize="151,313" path="m6,306l143,306l143,6l6,6l6,306xe" filled="f" strokecolor="black" strokeweight="0.7pt"/>
                  <v:shape id="_x0000_s1145" style="width:136;height:813;left:2893;position:absolute;top:984" coordorigin="0,0" coordsize="136,813" path="m,812l136,812l136,l,l,812xe" filled="t" fillcolor="navy" stroked="f"/>
                  <v:shape id="_x0000_s1146" style="width:151;height:826;left:2886;position:absolute;top:977" coordorigin="0,0" coordsize="151,826" path="m6,819l143,819l143,6l6,6l6,819xe" filled="f" strokecolor="black" strokeweight="0.7pt"/>
                  <v:shape id="_x0000_s1147" style="width:136;height:1033;left:3236;position:absolute;top:763" coordorigin="0,0" coordsize="136,1033" path="m,1032l136,1032l136,l,l,1032xe" filled="t" fillcolor="navy" stroked="f"/>
                  <v:shape id="_x0000_s1148" style="width:151;height:1046;left:3229;position:absolute;top:756" coordorigin="0,0" coordsize="151,1046" path="m6,1039l143,1039l143,6l6,6l6,1039xe" filled="f" strokecolor="black" strokeweight="0.7pt"/>
                  <v:shape id="_x0000_s1149" style="width:136;height:1583;left:3580;position:absolute;top:213" coordorigin="0,0" coordsize="136,1583" path="m,1582l136,1582l136,l,l,1582xe" filled="t" fillcolor="navy" stroked="f"/>
                  <v:shape id="_x0000_s1150" style="width:151;height:1596;left:3573;position:absolute;top:206" coordorigin="0,0" coordsize="151,1596" path="m6,1589l143,1589l143,6l6,6l6,1589xe" filled="f" strokecolor="black" strokeweight="0.7pt"/>
                  <v:shape id="_x0000_s1151" style="width:3862;height:1836;position:absolute" coordorigin="0,0" coordsize="3862,1836" path="m3819,1796l3819,6m3819,1796l3861,1796m3819,1496l3861,1496m3819,1199l3861,1199m3819,900l3861,900m3819,603l3861,603m3819,304l3861,304m3819,6l3861,6m41,1796l41,6m,1796l41,1796m,1617l41,1617m,1436l41,1436m,1257l41,1257m,1079l41,1079m,900l41,900m,721l41,721m,543l41,543m,364l41,364m,185l41,185m,6l41,6m41,1796l3819,1796m41,1796l41,1835m385,1796l385,1835m729,1796l729,1835m1072,1796l1072,1835m1416,1796l1416,1835m1760,1796l1760,1835m2103,1796l2103,1835m2447,1796l2447,1835m2791,1796l2791,1835m3134,1796l3134,1835m3478,1796l3478,1835m3819,1796l3819,1835e" filled="f" strokecolor="#868686" strokeweight="0.7pt"/>
                  <v:shape id="_x0000_s1152" style="width:3132;height:1451;left:536;position:absolute;top:150" coordorigin="0,0" coordsize="3132,1451" path="m20,1049l364,299l708,786l1051,1348l1395,485l1739,1267l2082,1429l2426,20l2770,888l3111,728e" filled="f" strokecolor="blue" strokeweight="2.09pt">
                    <v:stroke endcap="round"/>
                  </v:shape>
                  <w10:wrap type="none"/>
                </v:group>
              </w:pict>
            </w:r>
          </w:p>
          <w:p>
            <w:pPr>
              <w:spacing w:before="70" w:line="306" w:lineRule="exact"/>
              <w:ind w:left="12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2"/>
                <w:position w:val="15"/>
                <w:sz w:val="13"/>
                <w:szCs w:val="13"/>
              </w:rPr>
              <w:t>2013</w:t>
            </w:r>
            <w:r>
              <w:rPr>
                <w:rFonts w:ascii="Arial" w:eastAsia="Arial" w:hAnsi="Arial" w:cs="Arial"/>
                <w:spacing w:val="12"/>
                <w:position w:val="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position w:val="15"/>
                <w:sz w:val="13"/>
                <w:szCs w:val="13"/>
              </w:rPr>
              <w:t>2014</w:t>
            </w:r>
            <w:r>
              <w:rPr>
                <w:rFonts w:ascii="Arial" w:eastAsia="Arial" w:hAnsi="Arial" w:cs="Arial"/>
                <w:spacing w:val="11"/>
                <w:w w:val="101"/>
                <w:position w:val="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position w:val="15"/>
                <w:sz w:val="13"/>
                <w:szCs w:val="13"/>
              </w:rPr>
              <w:t>2015</w:t>
            </w:r>
            <w:r>
              <w:rPr>
                <w:rFonts w:ascii="Arial" w:eastAsia="Arial" w:hAnsi="Arial" w:cs="Arial"/>
                <w:spacing w:val="11"/>
                <w:w w:val="102"/>
                <w:position w:val="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position w:val="15"/>
                <w:sz w:val="13"/>
                <w:szCs w:val="13"/>
              </w:rPr>
              <w:t>2016</w:t>
            </w:r>
            <w:r>
              <w:rPr>
                <w:rFonts w:ascii="Arial" w:eastAsia="Arial" w:hAnsi="Arial" w:cs="Arial"/>
                <w:spacing w:val="10"/>
                <w:w w:val="101"/>
                <w:position w:val="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position w:val="15"/>
                <w:sz w:val="13"/>
                <w:szCs w:val="13"/>
              </w:rPr>
              <w:t>2017</w:t>
            </w:r>
            <w:r>
              <w:rPr>
                <w:rFonts w:ascii="Arial" w:eastAsia="Arial" w:hAnsi="Arial" w:cs="Arial"/>
                <w:spacing w:val="11"/>
                <w:w w:val="101"/>
                <w:position w:val="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position w:val="15"/>
                <w:sz w:val="13"/>
                <w:szCs w:val="13"/>
              </w:rPr>
              <w:t>2018</w:t>
            </w:r>
            <w:r>
              <w:rPr>
                <w:rFonts w:ascii="Arial" w:eastAsia="Arial" w:hAnsi="Arial" w:cs="Arial"/>
                <w:spacing w:val="11"/>
                <w:w w:val="101"/>
                <w:position w:val="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position w:val="15"/>
                <w:sz w:val="13"/>
                <w:szCs w:val="13"/>
              </w:rPr>
              <w:t>2019</w:t>
            </w:r>
            <w:r>
              <w:rPr>
                <w:rFonts w:ascii="Arial" w:eastAsia="Arial" w:hAnsi="Arial" w:cs="Arial"/>
                <w:spacing w:val="11"/>
                <w:w w:val="101"/>
                <w:position w:val="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position w:val="15"/>
                <w:sz w:val="13"/>
                <w:szCs w:val="13"/>
              </w:rPr>
              <w:t>2020</w:t>
            </w:r>
            <w:r>
              <w:rPr>
                <w:rFonts w:ascii="Arial" w:eastAsia="Arial" w:hAnsi="Arial" w:cs="Arial"/>
                <w:spacing w:val="12"/>
                <w:position w:val="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15"/>
                <w:sz w:val="13"/>
                <w:szCs w:val="13"/>
              </w:rPr>
              <w:t>2021</w:t>
            </w:r>
            <w:r>
              <w:rPr>
                <w:rFonts w:ascii="Arial" w:eastAsia="Arial" w:hAnsi="Arial" w:cs="Arial"/>
                <w:spacing w:val="11"/>
                <w:w w:val="101"/>
                <w:position w:val="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15"/>
                <w:sz w:val="13"/>
                <w:szCs w:val="13"/>
              </w:rPr>
              <w:t>2022</w:t>
            </w:r>
            <w:r>
              <w:rPr>
                <w:rFonts w:ascii="Arial" w:eastAsia="Arial" w:hAnsi="Arial" w:cs="Arial"/>
                <w:spacing w:val="11"/>
                <w:w w:val="101"/>
                <w:position w:val="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15"/>
                <w:sz w:val="13"/>
                <w:szCs w:val="13"/>
              </w:rPr>
              <w:t>2023</w:t>
            </w:r>
          </w:p>
          <w:p>
            <w:pPr>
              <w:spacing w:line="199" w:lineRule="auto"/>
              <w:ind w:left="361"/>
              <w:rPr>
                <w:rFonts w:ascii="NSimSun" w:eastAsia="NSimSun" w:hAnsi="NSimSun" w:cs="NSimSun"/>
                <w:sz w:val="13"/>
                <w:szCs w:val="13"/>
              </w:rPr>
            </w:pPr>
            <w:r>
              <w:rPr>
                <w:rFonts w:ascii="NSimSun" w:eastAsia="NSimSun" w:hAnsi="NSimSun" w:cs="NSimSun"/>
                <w:position w:val="1"/>
                <w:sz w:val="13"/>
                <w:szCs w:val="13"/>
              </w:rPr>
              <w:drawing>
                <wp:inline distT="0" distB="0" distL="0" distR="0">
                  <wp:extent cx="244760" cy="41735"/>
                  <wp:effectExtent l="0" t="0" r="0" b="0"/>
                  <wp:docPr id="74" name="IM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 74"/>
                          <pic:cNvPicPr/>
                        </pic:nvPicPr>
                        <pic:blipFill>
                          <a:blip xmlns:r="http://schemas.openxmlformats.org/officeDocument/2006/relationships"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60" cy="4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SimSun" w:eastAsia="NSimSun" w:hAnsi="NSimSun" w:cs="NSimSun"/>
                <w:spacing w:val="-14"/>
                <w:sz w:val="13"/>
                <w:szCs w:val="13"/>
              </w:rPr>
              <w:t xml:space="preserve"> </w:t>
            </w:r>
            <w:r>
              <w:rPr>
                <w:rFonts w:ascii="NSimSun" w:eastAsia="NSimSun" w:hAnsi="NSimSun" w:cs="NSimSun"/>
                <w:spacing w:val="1"/>
                <w:sz w:val="13"/>
                <w:szCs w:val="13"/>
              </w:rPr>
              <w:t>归母净利润（亿元，左轴）</w:t>
            </w:r>
            <w:r>
              <w:rPr>
                <w:rFonts w:ascii="NSimSun" w:eastAsia="NSimSun" w:hAnsi="NSimSun" w:cs="NSimSun"/>
                <w:spacing w:val="9"/>
                <w:sz w:val="13"/>
                <w:szCs w:val="13"/>
              </w:rPr>
              <w:t xml:space="preserve">    </w:t>
            </w:r>
            <w:r>
              <w:rPr>
                <w:position w:val="2"/>
                <w:sz w:val="13"/>
                <w:szCs w:val="13"/>
              </w:rPr>
              <w:drawing>
                <wp:inline distT="0" distB="0" distL="0" distR="0">
                  <wp:extent cx="262453" cy="25904"/>
                  <wp:effectExtent l="0" t="0" r="0" b="0"/>
                  <wp:docPr id="76" name="IM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 76"/>
                          <pic:cNvPicPr/>
                        </pic:nvPicPr>
                        <pic:blipFill>
                          <a:blip xmlns:r="http://schemas.openxmlformats.org/officeDocument/2006/relationships"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53" cy="25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SimSun" w:eastAsia="NSimSun" w:hAnsi="NSimSun" w:cs="NSimSun"/>
                <w:spacing w:val="-4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yoy</w:t>
            </w:r>
            <w:r>
              <w:rPr>
                <w:rFonts w:ascii="NSimSun" w:eastAsia="NSimSun" w:hAnsi="NSimSun" w:cs="NSimSun"/>
                <w:spacing w:val="1"/>
                <w:sz w:val="13"/>
                <w:szCs w:val="13"/>
              </w:rPr>
              <w:t>（右轴）</w:t>
            </w:r>
          </w:p>
        </w:tc>
        <w:tc>
          <w:tcPr>
            <w:tcW w:w="428" w:type="dxa"/>
            <w:vAlign w:val="top"/>
          </w:tcPr>
          <w:p>
            <w:pPr>
              <w:spacing w:line="479" w:lineRule="auto"/>
              <w:ind w:left="51" w:right="45" w:hanging="1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200%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150%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100%</w:t>
            </w:r>
          </w:p>
          <w:p>
            <w:pPr>
              <w:spacing w:line="201" w:lineRule="auto"/>
              <w:ind w:left="4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>50%</w:t>
            </w:r>
          </w:p>
          <w:p>
            <w:pPr>
              <w:spacing w:before="173" w:line="201" w:lineRule="auto"/>
              <w:ind w:left="4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0%</w:t>
            </w:r>
          </w:p>
          <w:p>
            <w:pPr>
              <w:spacing w:before="172" w:line="299" w:lineRule="exact"/>
              <w:ind w:left="4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1"/>
                <w:position w:val="14"/>
                <w:sz w:val="13"/>
                <w:szCs w:val="13"/>
              </w:rPr>
              <w:t>-50%</w:t>
            </w:r>
          </w:p>
          <w:p>
            <w:pPr>
              <w:spacing w:line="201" w:lineRule="auto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-100%</w:t>
            </w:r>
          </w:p>
        </w:tc>
      </w:tr>
    </w:tbl>
    <w:p>
      <w:pPr>
        <w:spacing w:line="245" w:lineRule="auto"/>
        <w:rPr>
          <w:rFonts w:ascii="Arial"/>
          <w:sz w:val="21"/>
        </w:rPr>
      </w:pPr>
    </w:p>
    <w:p>
      <w:pPr>
        <w:spacing w:before="49" w:line="199" w:lineRule="auto"/>
        <w:ind w:left="121"/>
        <w:rPr>
          <w:rFonts w:ascii="NSimSun" w:eastAsia="NSimSun" w:hAnsi="NSimSun" w:cs="NSimSun"/>
          <w:sz w:val="15"/>
          <w:szCs w:val="15"/>
        </w:rPr>
      </w:pPr>
      <w:r>
        <w:rPr>
          <w:rFonts w:ascii="NSimSun" w:eastAsia="NSimSun" w:hAnsi="NSimSun" w:cs="NSimSun"/>
          <w:spacing w:val="-5"/>
          <w:sz w:val="15"/>
          <w:szCs w:val="15"/>
        </w:rPr>
        <w:t>资料来源：</w:t>
      </w:r>
      <w:r>
        <w:rPr>
          <w:rFonts w:ascii="NSimSun" w:eastAsia="NSimSun" w:hAnsi="NSimSun" w:cs="NSimSun"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spacing w:val="-5"/>
          <w:sz w:val="15"/>
          <w:szCs w:val="15"/>
        </w:rPr>
        <w:t>wind</w:t>
      </w:r>
      <w:r>
        <w:rPr>
          <w:rFonts w:ascii="NSimSun" w:eastAsia="NSimSun" w:hAnsi="NSimSun" w:cs="NSimSun"/>
          <w:spacing w:val="-5"/>
          <w:sz w:val="15"/>
          <w:szCs w:val="15"/>
        </w:rPr>
        <w:t>，海通证券研究所</w:t>
      </w:r>
    </w:p>
    <w:p>
      <w:pPr>
        <w:spacing w:line="199" w:lineRule="auto"/>
        <w:rPr>
          <w:rFonts w:ascii="NSimSun" w:eastAsia="NSimSun" w:hAnsi="NSimSun" w:cs="NSimSun"/>
          <w:sz w:val="15"/>
          <w:szCs w:val="15"/>
        </w:rPr>
        <w:sectPr>
          <w:headerReference w:type="default" r:id="rId58"/>
          <w:footerReference w:type="default" r:id="rId59"/>
          <w:type w:val="continuous"/>
          <w:pgSz w:w="11907" w:h="16841"/>
          <w:pgMar w:top="400" w:right="655" w:bottom="997" w:left="679" w:header="0" w:footer="653" w:gutter="0"/>
          <w:pgNumType w:start="18"/>
          <w:cols w:num="2" w:space="708" w:equalWidth="0">
            <w:col w:w="5371" w:space="100"/>
            <w:col w:w="5101" w:space="0"/>
          </w:cols>
        </w:sect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62" w:line="247" w:lineRule="auto"/>
        <w:ind w:left="2949" w:right="76" w:firstLine="392"/>
        <w:jc w:val="both"/>
        <w:rPr>
          <w:rFonts w:ascii="NSimSun" w:eastAsia="NSimSun" w:hAnsi="NSimSun" w:cs="NSimSun"/>
          <w:sz w:val="19"/>
          <w:szCs w:val="19"/>
        </w:rPr>
      </w:pPr>
      <w:r>
        <w:rPr>
          <w:rFonts w:ascii="NSimSun" w:eastAsia="NSimSun" w:hAnsi="NSimSun" w:cs="NSimSun"/>
          <w:spacing w:val="6"/>
          <w:sz w:val="19"/>
          <w:szCs w:val="19"/>
        </w:rPr>
        <w:t>公司股权相对分散，</w:t>
      </w:r>
      <w:r>
        <w:rPr>
          <w:rFonts w:ascii="NSimSun" w:eastAsia="NSimSun" w:hAnsi="NSimSun" w:cs="NSimSun"/>
          <w:spacing w:val="6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6"/>
          <w:sz w:val="19"/>
          <w:szCs w:val="19"/>
        </w:rPr>
        <w:t>截止</w:t>
      </w:r>
      <w:r>
        <w:rPr>
          <w:rFonts w:ascii="NSimSun" w:eastAsia="NSimSun" w:hAnsi="NSimSun" w:cs="NSimSun"/>
          <w:spacing w:val="-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6"/>
          <w:sz w:val="19"/>
          <w:szCs w:val="19"/>
        </w:rPr>
        <w:t xml:space="preserve">2023 </w:t>
      </w:r>
      <w:r>
        <w:rPr>
          <w:rFonts w:ascii="NSimSun" w:eastAsia="NSimSun" w:hAnsi="NSimSun" w:cs="NSimSun"/>
          <w:spacing w:val="6"/>
          <w:sz w:val="19"/>
          <w:szCs w:val="19"/>
        </w:rPr>
        <w:t>三季度末，实控人为董事长白厚增博士，其直接持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5"/>
          <w:sz w:val="19"/>
          <w:szCs w:val="19"/>
        </w:rPr>
        <w:t>股</w:t>
      </w:r>
      <w:r>
        <w:rPr>
          <w:rFonts w:ascii="NSimSun" w:eastAsia="NSimSun" w:hAnsi="NSimSun" w:cs="NSimSun"/>
          <w:spacing w:val="-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5"/>
          <w:sz w:val="19"/>
          <w:szCs w:val="19"/>
        </w:rPr>
        <w:t>5.72%</w:t>
      </w:r>
      <w:r>
        <w:rPr>
          <w:rFonts w:ascii="NSimSun" w:eastAsia="NSimSun" w:hAnsi="NSimSun" w:cs="NSimSun"/>
          <w:spacing w:val="5"/>
          <w:sz w:val="19"/>
          <w:szCs w:val="19"/>
        </w:rPr>
        <w:t>，合计持股</w:t>
      </w:r>
      <w:r>
        <w:rPr>
          <w:rFonts w:ascii="NSimSun" w:eastAsia="NSimSun" w:hAnsi="NSimSun" w:cs="NSimSun"/>
          <w:spacing w:val="-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5"/>
          <w:sz w:val="19"/>
          <w:szCs w:val="19"/>
        </w:rPr>
        <w:t>24.77%</w:t>
      </w:r>
      <w:r>
        <w:rPr>
          <w:rFonts w:ascii="NSimSun" w:eastAsia="NSimSun" w:hAnsi="NSimSun" w:cs="NSimSun"/>
          <w:spacing w:val="5"/>
          <w:sz w:val="19"/>
          <w:szCs w:val="19"/>
        </w:rPr>
        <w:t>。</w:t>
      </w:r>
      <w:r>
        <w:rPr>
          <w:rFonts w:ascii="NSimSun" w:eastAsia="NSimSun" w:hAnsi="NSimSun" w:cs="NSimSun"/>
          <w:spacing w:val="-48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5"/>
          <w:sz w:val="19"/>
          <w:szCs w:val="19"/>
        </w:rPr>
        <w:t>白博士具有丰富的管理经验</w:t>
      </w:r>
      <w:r>
        <w:rPr>
          <w:rFonts w:ascii="NSimSun" w:eastAsia="NSimSun" w:hAnsi="NSimSun" w:cs="NSimSun"/>
          <w:spacing w:val="4"/>
          <w:sz w:val="19"/>
          <w:szCs w:val="19"/>
        </w:rPr>
        <w:t>、销售经验和专业沉淀，</w:t>
      </w:r>
      <w:r>
        <w:rPr>
          <w:rFonts w:ascii="NSimSun" w:eastAsia="NSimSun" w:hAnsi="NSimSun" w:cs="NSimSun"/>
          <w:spacing w:val="4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4"/>
          <w:sz w:val="19"/>
          <w:szCs w:val="19"/>
        </w:rPr>
        <w:t>组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7"/>
          <w:sz w:val="19"/>
          <w:szCs w:val="19"/>
        </w:rPr>
        <w:t>织实施了公司一系列重大经营决策和战略转型，</w:t>
      </w:r>
      <w:r>
        <w:rPr>
          <w:rFonts w:ascii="NSimSun" w:eastAsia="NSimSun" w:hAnsi="NSimSun" w:cs="NSimSun"/>
          <w:spacing w:val="-37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7"/>
          <w:sz w:val="19"/>
          <w:szCs w:val="19"/>
        </w:rPr>
        <w:t>带领公司从竞技运动市场拓展到大众健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身健康市场。</w:t>
      </w:r>
    </w:p>
    <w:p>
      <w:pPr>
        <w:spacing w:before="261" w:line="249" w:lineRule="auto"/>
        <w:ind w:left="2948" w:right="77" w:firstLine="393"/>
        <w:jc w:val="both"/>
        <w:rPr>
          <w:rFonts w:ascii="NSimSun" w:eastAsia="NSimSun" w:hAnsi="NSimSun" w:cs="NSimSun"/>
          <w:sz w:val="19"/>
          <w:szCs w:val="19"/>
        </w:rPr>
      </w:pPr>
      <w:r>
        <w:rPr>
          <w:rFonts w:ascii="NSimSun" w:eastAsia="NSimSun" w:hAnsi="NSimSun" w:cs="NSimSun"/>
          <w:spacing w:val="9"/>
          <w:sz w:val="19"/>
          <w:szCs w:val="19"/>
        </w:rPr>
        <w:t>公司其他管理层行业经验丰富，公司董事、总经理李</w:t>
      </w:r>
      <w:r>
        <w:rPr>
          <w:rFonts w:ascii="NSimSun" w:eastAsia="NSimSun" w:hAnsi="NSimSun" w:cs="NSimSun"/>
          <w:spacing w:val="8"/>
          <w:sz w:val="19"/>
          <w:szCs w:val="19"/>
        </w:rPr>
        <w:t>奇庚是生物技术和工艺制备领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域专家，</w:t>
      </w:r>
      <w:r>
        <w:rPr>
          <w:rFonts w:ascii="NSimSun" w:eastAsia="NSimSun" w:hAnsi="NSimSun" w:cs="NSimSun"/>
          <w:spacing w:val="3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拥有优异的产业化组织管理能力和商业敏锐度，</w:t>
      </w:r>
      <w:r>
        <w:rPr>
          <w:rFonts w:ascii="NSimSun" w:eastAsia="NSimSun" w:hAnsi="NSimSun" w:cs="NSimSun"/>
          <w:spacing w:val="3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为公司快速发展做出了突出贡</w:t>
      </w:r>
      <w:r>
        <w:rPr>
          <w:rFonts w:ascii="NSimSun" w:eastAsia="NSimSun" w:hAnsi="NSimSun" w:cs="NSimSun"/>
          <w:spacing w:val="13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9"/>
          <w:sz w:val="19"/>
          <w:szCs w:val="19"/>
        </w:rPr>
        <w:t>献。公司董事、首席技术顾问杨则宜先生和董事、副总经理焦颖均拥有</w:t>
      </w:r>
      <w:r>
        <w:rPr>
          <w:rFonts w:ascii="NSimSun" w:eastAsia="NSimSun" w:hAnsi="NSimSun" w:cs="NSimSun"/>
          <w:spacing w:val="-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9"/>
          <w:sz w:val="19"/>
          <w:szCs w:val="19"/>
        </w:rPr>
        <w:t xml:space="preserve">40 </w:t>
      </w:r>
      <w:r>
        <w:rPr>
          <w:rFonts w:ascii="NSimSun" w:eastAsia="NSimSun" w:hAnsi="NSimSun" w:cs="NSimSun"/>
          <w:spacing w:val="9"/>
          <w:sz w:val="19"/>
          <w:szCs w:val="19"/>
        </w:rPr>
        <w:t>余年运动营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8"/>
          <w:sz w:val="19"/>
          <w:szCs w:val="19"/>
        </w:rPr>
        <w:t>养领域从业及研发经验，先后任职于北京医科大学运动医学研究所和国家体育总局运动</w:t>
      </w:r>
      <w:r>
        <w:rPr>
          <w:rFonts w:ascii="NSimSun" w:eastAsia="NSimSun" w:hAnsi="NSimSun" w:cs="NSimSun"/>
          <w:spacing w:val="17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7"/>
          <w:sz w:val="19"/>
          <w:szCs w:val="19"/>
        </w:rPr>
        <w:t>医学研究所，</w:t>
      </w:r>
      <w:r>
        <w:rPr>
          <w:rFonts w:ascii="NSimSun" w:eastAsia="NSimSun" w:hAnsi="NSimSun" w:cs="NSimSun"/>
          <w:spacing w:val="-32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7"/>
          <w:sz w:val="19"/>
          <w:szCs w:val="19"/>
        </w:rPr>
        <w:t>杨则宜先生作为我国反兴奋剂和运动营养理论的奠基人</w:t>
      </w:r>
      <w:r>
        <w:rPr>
          <w:rFonts w:ascii="NSimSun" w:eastAsia="NSimSun" w:hAnsi="NSimSun" w:cs="NSimSun"/>
          <w:spacing w:val="6"/>
          <w:sz w:val="19"/>
          <w:szCs w:val="19"/>
        </w:rPr>
        <w:t>之一，被国家体育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9"/>
          <w:sz w:val="19"/>
          <w:szCs w:val="19"/>
        </w:rPr>
        <w:t>总局聘为备战奥运会运动营养与恢复的首席科学家。</w:t>
      </w:r>
    </w:p>
    <w:p>
      <w:pPr>
        <w:spacing w:before="267" w:line="241" w:lineRule="auto"/>
        <w:ind w:left="2941" w:right="28" w:firstLine="406"/>
        <w:jc w:val="both"/>
        <w:rPr>
          <w:rFonts w:ascii="NSimSun" w:eastAsia="NSimSun" w:hAnsi="NSimSun" w:cs="NSimSun"/>
          <w:sz w:val="19"/>
          <w:szCs w:val="19"/>
        </w:rPr>
        <w:sectPr>
          <w:headerReference w:type="default" r:id="rId60"/>
          <w:footerReference w:type="default" r:id="rId61"/>
          <w:type w:val="continuous"/>
          <w:pgSz w:w="11907" w:h="16841"/>
          <w:pgMar w:top="400" w:right="655" w:bottom="997" w:left="679" w:header="0" w:footer="653" w:gutter="0"/>
          <w:pgNumType w:start="19"/>
          <w:cols w:num="1" w:space="708" w:equalWidth="0">
            <w:col w:w="10572" w:space="0"/>
          </w:cols>
        </w:sectPr>
      </w:pPr>
      <w:r>
        <w:rPr>
          <w:rFonts w:ascii="Arial" w:eastAsia="Arial" w:hAnsi="Arial" w:cs="Arial"/>
          <w:spacing w:val="6"/>
          <w:sz w:val="19"/>
          <w:szCs w:val="19"/>
        </w:rPr>
        <w:t xml:space="preserve">21 </w:t>
      </w:r>
      <w:r>
        <w:rPr>
          <w:rFonts w:ascii="NSimSun" w:eastAsia="NSimSun" w:hAnsi="NSimSun" w:cs="NSimSun"/>
          <w:spacing w:val="6"/>
          <w:sz w:val="19"/>
          <w:szCs w:val="19"/>
        </w:rPr>
        <w:t>年</w:t>
      </w:r>
      <w:r>
        <w:rPr>
          <w:rFonts w:ascii="NSimSun" w:eastAsia="NSimSun" w:hAnsi="NSimSun" w:cs="NSimSun"/>
          <w:spacing w:val="-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6"/>
          <w:sz w:val="19"/>
          <w:szCs w:val="19"/>
        </w:rPr>
        <w:t>8</w:t>
      </w:r>
      <w:r>
        <w:rPr>
          <w:rFonts w:ascii="Arial" w:eastAsia="Arial" w:hAnsi="Arial" w:cs="Arial"/>
          <w:spacing w:val="16"/>
          <w:w w:val="101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6"/>
          <w:sz w:val="19"/>
          <w:szCs w:val="19"/>
        </w:rPr>
        <w:t>月公告员工持股计划（草案</w:t>
      </w:r>
      <w:r>
        <w:rPr>
          <w:rFonts w:ascii="NSimSun" w:eastAsia="NSimSun" w:hAnsi="NSimSun" w:cs="NSimSun"/>
          <w:spacing w:val="-30"/>
          <w:sz w:val="19"/>
          <w:szCs w:val="19"/>
        </w:rPr>
        <w:t>），</w:t>
      </w:r>
      <w:r>
        <w:rPr>
          <w:rFonts w:ascii="NSimSun" w:eastAsia="NSimSun" w:hAnsi="NSimSun" w:cs="NSimSun"/>
          <w:spacing w:val="6"/>
          <w:sz w:val="19"/>
          <w:szCs w:val="19"/>
        </w:rPr>
        <w:t>合计参与对象</w:t>
      </w:r>
      <w:r>
        <w:rPr>
          <w:rFonts w:ascii="NSimSun" w:eastAsia="NSimSun" w:hAnsi="NSimSun" w:cs="NSimSun"/>
          <w:spacing w:val="-40"/>
          <w:sz w:val="19"/>
          <w:szCs w:val="19"/>
        </w:rPr>
        <w:t xml:space="preserve"> </w:t>
      </w:r>
      <w:r>
        <w:rPr>
          <w:rFonts w:ascii="Arial" w:eastAsia="Arial" w:hAnsi="Arial" w:cs="Arial"/>
          <w:spacing w:val="6"/>
          <w:sz w:val="19"/>
          <w:szCs w:val="19"/>
        </w:rPr>
        <w:t xml:space="preserve">40 </w:t>
      </w:r>
      <w:r>
        <w:rPr>
          <w:rFonts w:ascii="NSimSun" w:eastAsia="NSimSun" w:hAnsi="NSimSun" w:cs="NSimSun"/>
          <w:spacing w:val="6"/>
          <w:sz w:val="19"/>
          <w:szCs w:val="19"/>
        </w:rPr>
        <w:t>人，认购</w:t>
      </w:r>
      <w:r>
        <w:rPr>
          <w:rFonts w:ascii="NSimSun" w:eastAsia="NSimSun" w:hAnsi="NSimSun" w:cs="NSimSun"/>
          <w:spacing w:val="-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6"/>
          <w:sz w:val="19"/>
          <w:szCs w:val="19"/>
        </w:rPr>
        <w:t xml:space="preserve">240 </w:t>
      </w:r>
      <w:r>
        <w:rPr>
          <w:rFonts w:ascii="NSimSun" w:eastAsia="NSimSun" w:hAnsi="NSimSun" w:cs="NSimSun"/>
          <w:spacing w:val="5"/>
          <w:sz w:val="19"/>
          <w:szCs w:val="19"/>
        </w:rPr>
        <w:t>万股，北京</w:t>
      </w:r>
      <w:r>
        <w:rPr>
          <w:rFonts w:ascii="NSimSun" w:eastAsia="NSimSun" w:hAnsi="NSimSun" w:cs="NSimSun"/>
          <w:sz w:val="19"/>
          <w:szCs w:val="19"/>
        </w:rPr>
        <w:t xml:space="preserve">  </w:t>
      </w:r>
      <w:r>
        <w:rPr>
          <w:rFonts w:ascii="NSimSun" w:eastAsia="NSimSun" w:hAnsi="NSimSun" w:cs="NSimSun"/>
          <w:spacing w:val="4"/>
          <w:sz w:val="19"/>
          <w:szCs w:val="19"/>
        </w:rPr>
        <w:t>康誉惠为员工持股平台，持有公司</w:t>
      </w:r>
      <w:r>
        <w:rPr>
          <w:rFonts w:ascii="NSimSun" w:eastAsia="NSimSun" w:hAnsi="NSimSun" w:cs="NSimSun"/>
          <w:spacing w:val="-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4"/>
          <w:sz w:val="19"/>
          <w:szCs w:val="19"/>
        </w:rPr>
        <w:t>1.93%</w:t>
      </w:r>
      <w:r>
        <w:rPr>
          <w:rFonts w:ascii="NSimSun" w:eastAsia="NSimSun" w:hAnsi="NSimSun" w:cs="NSimSun"/>
          <w:spacing w:val="4"/>
          <w:sz w:val="19"/>
          <w:szCs w:val="19"/>
        </w:rPr>
        <w:t>股份。</w:t>
      </w:r>
      <w:r>
        <w:rPr>
          <w:rFonts w:ascii="Arial" w:eastAsia="Arial" w:hAnsi="Arial" w:cs="Arial"/>
          <w:spacing w:val="4"/>
          <w:sz w:val="19"/>
          <w:szCs w:val="19"/>
        </w:rPr>
        <w:t xml:space="preserve">23 </w:t>
      </w:r>
      <w:r>
        <w:rPr>
          <w:rFonts w:ascii="NSimSun" w:eastAsia="NSimSun" w:hAnsi="NSimSun" w:cs="NSimSun"/>
          <w:spacing w:val="4"/>
          <w:sz w:val="19"/>
          <w:szCs w:val="19"/>
        </w:rPr>
        <w:t>年</w:t>
      </w:r>
      <w:r>
        <w:rPr>
          <w:rFonts w:ascii="NSimSun" w:eastAsia="NSimSun" w:hAnsi="NSimSun" w:cs="NSimSun"/>
          <w:spacing w:val="-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4"/>
          <w:sz w:val="19"/>
          <w:szCs w:val="19"/>
        </w:rPr>
        <w:t>9</w:t>
      </w:r>
      <w:r>
        <w:rPr>
          <w:rFonts w:ascii="Arial" w:eastAsia="Arial" w:hAnsi="Arial" w:cs="Arial"/>
          <w:spacing w:val="3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3"/>
          <w:sz w:val="19"/>
          <w:szCs w:val="19"/>
        </w:rPr>
        <w:t>月公告限制性激励计划（草案</w:t>
      </w:r>
      <w:r>
        <w:rPr>
          <w:rFonts w:ascii="NSimSun" w:eastAsia="NSimSun" w:hAnsi="NSimSun" w:cs="NSimSun"/>
          <w:spacing w:val="-47"/>
          <w:w w:val="95"/>
          <w:sz w:val="19"/>
          <w:szCs w:val="19"/>
        </w:rPr>
        <w:t>），</w:t>
      </w:r>
      <w:r>
        <w:rPr>
          <w:rFonts w:ascii="NSimSun" w:eastAsia="NSimSun" w:hAnsi="NSimSun" w:cs="NSimSun"/>
          <w:sz w:val="19"/>
          <w:szCs w:val="19"/>
        </w:rPr>
        <w:t xml:space="preserve"> </w:t>
      </w:r>
    </w:p>
    <w:p>
      <w:pPr>
        <w:spacing w:before="267" w:line="241" w:lineRule="auto"/>
        <w:ind w:left="2941" w:right="28" w:firstLine="406"/>
        <w:jc w:val="both"/>
        <w:rPr>
          <w:rFonts w:ascii="NSimSun" w:eastAsia="NSimSun" w:hAnsi="NSimSun" w:cs="NSimSun"/>
          <w:sz w:val="19"/>
          <w:szCs w:val="19"/>
        </w:rPr>
      </w:pPr>
      <w:r>
        <w:rPr>
          <w:rFonts w:ascii="NSimSun" w:eastAsia="NSimSun" w:hAnsi="NSimSun" w:cs="NSimSun"/>
          <w:spacing w:val="2"/>
          <w:sz w:val="19"/>
          <w:szCs w:val="19"/>
        </w:rPr>
        <w:t>授予</w:t>
      </w:r>
      <w:r>
        <w:rPr>
          <w:rFonts w:ascii="NSimSun" w:eastAsia="NSimSun" w:hAnsi="NSimSun" w:cs="NSimSun"/>
          <w:spacing w:val="-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 xml:space="preserve">14 </w:t>
      </w:r>
      <w:r>
        <w:rPr>
          <w:rFonts w:ascii="NSimSun" w:eastAsia="NSimSun" w:hAnsi="NSimSun" w:cs="NSimSun"/>
          <w:spacing w:val="2"/>
          <w:sz w:val="19"/>
          <w:szCs w:val="19"/>
        </w:rPr>
        <w:t>人</w:t>
      </w:r>
      <w:r>
        <w:rPr>
          <w:rFonts w:ascii="NSimSun" w:eastAsia="NSimSun" w:hAnsi="NSimSun" w:cs="NSimSun"/>
          <w:spacing w:val="-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 xml:space="preserve">110 </w:t>
      </w:r>
      <w:r>
        <w:rPr>
          <w:rFonts w:ascii="NSimSun" w:eastAsia="NSimSun" w:hAnsi="NSimSun" w:cs="NSimSun"/>
          <w:spacing w:val="2"/>
          <w:sz w:val="19"/>
          <w:szCs w:val="19"/>
        </w:rPr>
        <w:t>万股，</w:t>
      </w:r>
      <w:r>
        <w:rPr>
          <w:rFonts w:ascii="NSimSun" w:eastAsia="NSimSun" w:hAnsi="NSimSun" w:cs="NSimSun"/>
          <w:spacing w:val="2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2"/>
          <w:sz w:val="19"/>
          <w:szCs w:val="19"/>
        </w:rPr>
        <w:t>授予价格为</w:t>
      </w:r>
      <w:r>
        <w:rPr>
          <w:rFonts w:ascii="NSimSun" w:eastAsia="NSimSun" w:hAnsi="NSimSun" w:cs="NSimSun"/>
          <w:spacing w:val="-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 xml:space="preserve">5 </w:t>
      </w:r>
      <w:r>
        <w:rPr>
          <w:rFonts w:ascii="NSimSun" w:eastAsia="NSimSun" w:hAnsi="NSimSun" w:cs="NSimSun"/>
          <w:spacing w:val="2"/>
          <w:sz w:val="19"/>
          <w:szCs w:val="19"/>
        </w:rPr>
        <w:t>元</w:t>
      </w:r>
      <w:r>
        <w:rPr>
          <w:rFonts w:ascii="Arial" w:eastAsia="Arial" w:hAnsi="Arial" w:cs="Arial"/>
          <w:spacing w:val="2"/>
          <w:sz w:val="19"/>
          <w:szCs w:val="19"/>
        </w:rPr>
        <w:t>/</w:t>
      </w:r>
      <w:r>
        <w:rPr>
          <w:rFonts w:ascii="NSimSun" w:eastAsia="NSimSun" w:hAnsi="NSimSun" w:cs="NSimSun"/>
          <w:spacing w:val="2"/>
          <w:sz w:val="19"/>
          <w:szCs w:val="19"/>
        </w:rPr>
        <w:t>股，</w:t>
      </w:r>
      <w:r>
        <w:rPr>
          <w:rFonts w:ascii="NSimSun" w:eastAsia="NSimSun" w:hAnsi="NSimSun" w:cs="NSimSun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23</w:t>
      </w:r>
      <w:r>
        <w:rPr>
          <w:rFonts w:ascii="NSimSun" w:eastAsia="NSimSun" w:hAnsi="NSimSun" w:cs="NSimSun"/>
          <w:spacing w:val="2"/>
          <w:sz w:val="19"/>
          <w:szCs w:val="19"/>
        </w:rPr>
        <w:t>、</w:t>
      </w:r>
      <w:r>
        <w:rPr>
          <w:rFonts w:ascii="Arial" w:eastAsia="Arial" w:hAnsi="Arial" w:cs="Arial"/>
          <w:spacing w:val="2"/>
          <w:sz w:val="19"/>
          <w:szCs w:val="19"/>
        </w:rPr>
        <w:t>24</w:t>
      </w:r>
      <w:r>
        <w:rPr>
          <w:rFonts w:ascii="NSimSun" w:eastAsia="NSimSun" w:hAnsi="NSimSun" w:cs="NSimSun"/>
          <w:spacing w:val="2"/>
          <w:sz w:val="19"/>
          <w:szCs w:val="19"/>
        </w:rPr>
        <w:t>、</w:t>
      </w:r>
      <w:r>
        <w:rPr>
          <w:rFonts w:ascii="Arial" w:eastAsia="Arial" w:hAnsi="Arial" w:cs="Arial"/>
          <w:spacing w:val="2"/>
          <w:sz w:val="19"/>
          <w:szCs w:val="19"/>
        </w:rPr>
        <w:t>2</w:t>
      </w:r>
      <w:r>
        <w:rPr>
          <w:rFonts w:ascii="Arial" w:eastAsia="Arial" w:hAnsi="Arial" w:cs="Arial"/>
          <w:spacing w:val="1"/>
          <w:sz w:val="19"/>
          <w:szCs w:val="19"/>
        </w:rPr>
        <w:t xml:space="preserve">5 </w:t>
      </w:r>
      <w:r>
        <w:rPr>
          <w:rFonts w:ascii="NSimSun" w:eastAsia="NSimSun" w:hAnsi="NSimSun" w:cs="NSimSun"/>
          <w:spacing w:val="1"/>
          <w:sz w:val="19"/>
          <w:szCs w:val="19"/>
        </w:rPr>
        <w:t>年收入</w:t>
      </w:r>
      <w:r>
        <w:rPr>
          <w:rFonts w:ascii="Arial" w:eastAsia="Arial" w:hAnsi="Arial" w:cs="Arial"/>
          <w:spacing w:val="1"/>
          <w:sz w:val="19"/>
          <w:szCs w:val="19"/>
        </w:rPr>
        <w:t>/</w:t>
      </w:r>
      <w:r>
        <w:rPr>
          <w:rFonts w:ascii="NSimSun" w:eastAsia="NSimSun" w:hAnsi="NSimSun" w:cs="NSimSun"/>
          <w:spacing w:val="1"/>
          <w:sz w:val="19"/>
          <w:szCs w:val="19"/>
        </w:rPr>
        <w:t>利润（满足其一即可）</w:t>
      </w:r>
      <w:r>
        <w:rPr>
          <w:rFonts w:ascii="NSimSun" w:eastAsia="NSimSun" w:hAnsi="NSimSun" w:cs="NSimSun"/>
          <w:sz w:val="19"/>
          <w:szCs w:val="19"/>
        </w:rPr>
        <w:t xml:space="preserve"> </w:t>
      </w:r>
      <w:r>
        <w:rPr>
          <w:rFonts w:ascii="NSimSun" w:eastAsia="NSimSun" w:hAnsi="NSimSun" w:cs="NSimSun"/>
          <w:spacing w:val="7"/>
          <w:sz w:val="19"/>
          <w:szCs w:val="19"/>
        </w:rPr>
        <w:t>考核目标分别为同比增长</w:t>
      </w:r>
      <w:r>
        <w:rPr>
          <w:rFonts w:ascii="NSimSun" w:eastAsia="NSimSun" w:hAnsi="NSimSun" w:cs="NSimSun"/>
          <w:spacing w:val="-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7"/>
          <w:sz w:val="19"/>
          <w:szCs w:val="19"/>
        </w:rPr>
        <w:t>26%/21%</w:t>
      </w:r>
      <w:r>
        <w:rPr>
          <w:rFonts w:ascii="NSimSun" w:eastAsia="NSimSun" w:hAnsi="NSimSun" w:cs="NSimSun"/>
          <w:spacing w:val="7"/>
          <w:sz w:val="19"/>
          <w:szCs w:val="19"/>
        </w:rPr>
        <w:t>、</w:t>
      </w:r>
      <w:r>
        <w:rPr>
          <w:rFonts w:ascii="Arial" w:eastAsia="Arial" w:hAnsi="Arial" w:cs="Arial"/>
          <w:spacing w:val="7"/>
          <w:sz w:val="19"/>
          <w:szCs w:val="19"/>
        </w:rPr>
        <w:t>15%/15%</w:t>
      </w:r>
      <w:r>
        <w:rPr>
          <w:rFonts w:ascii="NSimSun" w:eastAsia="NSimSun" w:hAnsi="NSimSun" w:cs="NSimSun"/>
          <w:spacing w:val="7"/>
          <w:sz w:val="19"/>
          <w:szCs w:val="19"/>
        </w:rPr>
        <w:t>、</w:t>
      </w:r>
      <w:r>
        <w:rPr>
          <w:rFonts w:ascii="Arial" w:eastAsia="Arial" w:hAnsi="Arial" w:cs="Arial"/>
          <w:spacing w:val="7"/>
          <w:sz w:val="19"/>
          <w:szCs w:val="19"/>
        </w:rPr>
        <w:t>15%/15%</w:t>
      </w:r>
      <w:r>
        <w:rPr>
          <w:rFonts w:ascii="NSimSun" w:eastAsia="NSimSun" w:hAnsi="NSimSun" w:cs="NSimSun"/>
          <w:spacing w:val="7"/>
          <w:sz w:val="19"/>
          <w:szCs w:val="19"/>
        </w:rPr>
        <w:t>。</w:t>
      </w:r>
    </w:p>
    <w:p>
      <w:pPr>
        <w:spacing w:line="241" w:lineRule="auto"/>
        <w:rPr>
          <w:rFonts w:ascii="NSimSun" w:eastAsia="NSimSun" w:hAnsi="NSimSun" w:cs="NSimSun"/>
          <w:sz w:val="19"/>
          <w:szCs w:val="19"/>
        </w:rPr>
      </w:pPr>
      <w:r>
        <w:rPr>
          <w:rFonts w:ascii="NSimSun" w:eastAsia="NSimSun" w:hAnsi="NSimSun" w:cs="NSimSun"/>
          <w:sz w:val="19"/>
          <w:szCs w:val="19"/>
        </w:rPr>
        <w:br/>
      </w:r>
      <w:r>
        <w:rPr>
          <w:rFonts w:ascii="NSimSun" w:eastAsia="NSimSun" w:hAnsi="NSimSun" w:cs="NSimSun"/>
          <w:sz w:val="19"/>
          <w:szCs w:val="19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https://d.book118.com/355240230242011120</w:t>
        </w:r>
      </w:hyperlink>
    </w:p>
    <w:p>
      <w:pPr>
        <w:spacing w:line="241" w:lineRule="auto"/>
        <w:rPr>
          <w:rFonts w:ascii="NSimSun" w:eastAsia="NSimSun" w:hAnsi="NSimSun" w:cs="NSimSun"/>
          <w:sz w:val="19"/>
          <w:szCs w:val="19"/>
        </w:rPr>
      </w:pPr>
    </w:p>
    <w:sectPr>
      <w:headerReference w:type="default" r:id="rId63"/>
      <w:footerReference w:type="default" r:id="rId64"/>
      <w:type w:val="nextPage"/>
      <w:pgSz w:w="11907" w:h="16841"/>
      <w:pgMar w:top="400" w:right="655" w:bottom="997" w:left="679" w:header="0" w:footer="653" w:gutter="0"/>
      <w:pgNumType w:start="20"/>
      <w:cols w:num="1" w:space="708" w:equalWidth="0">
        <w:col w:w="10572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21" w:line="20" w:lineRule="exact"/>
      <w:ind w:firstLine="289"/>
    </w:pPr>
    <w:r>
      <w:drawing>
        <wp:inline distT="0" distB="0" distL="0" distR="0">
          <wp:extent cx="6711954" cy="12725"/>
          <wp:effectExtent l="0" t="0" r="0" b="0"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11954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1" w:lineRule="auto"/>
      <w:ind w:left="7409"/>
    </w:pPr>
    <w:r>
      <w:rPr>
        <w:spacing w:val="-1"/>
      </w:rPr>
      <w:t>请务必阅读正文之后的信息披露和法律声明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21" w:line="20" w:lineRule="exact"/>
      <w:ind w:firstLine="289"/>
    </w:pPr>
    <w:r>
      <w:drawing>
        <wp:inline distT="0" distB="0" distL="0" distR="0">
          <wp:extent cx="6711954" cy="12725"/>
          <wp:effectExtent l="0" t="0" r="0" b="0"/>
          <wp:docPr id="899580909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580909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11954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1" w:lineRule="auto"/>
      <w:ind w:left="7409"/>
    </w:pPr>
    <w:r>
      <w:rPr>
        <w:spacing w:val="-1"/>
      </w:rPr>
      <w:t>请务必阅读正文之后的信息披露和法律声明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21" w:line="20" w:lineRule="exact"/>
      <w:ind w:firstLine="289"/>
    </w:pPr>
    <w:r>
      <w:drawing>
        <wp:inline distT="0" distB="0" distL="0" distR="0">
          <wp:extent cx="6711954" cy="12725"/>
          <wp:effectExtent l="0" t="0" r="0" b="0"/>
          <wp:docPr id="1190126184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0126184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11954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1" w:lineRule="auto"/>
      <w:ind w:left="7409"/>
    </w:pPr>
    <w:r>
      <w:rPr>
        <w:spacing w:val="-1"/>
      </w:rPr>
      <w:t>请务必阅读正文之后的信息披露和法律声明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98" w:line="32" w:lineRule="exact"/>
      <w:ind w:firstLine="37"/>
    </w:pPr>
    <w:r>
      <w:drawing>
        <wp:inline distT="0" distB="0" distL="0" distR="0">
          <wp:extent cx="6685362" cy="20320"/>
          <wp:effectExtent l="0" t="0" r="0" b="0"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5362" cy="20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209" w:lineRule="auto"/>
      <w:ind w:right="15"/>
      <w:jc w:val="right"/>
      <w:rPr>
        <w:rFonts w:ascii="NSimSun" w:eastAsia="NSimSun" w:hAnsi="NSimSun" w:cs="NSimSun"/>
        <w:sz w:val="18"/>
        <w:szCs w:val="18"/>
      </w:rPr>
    </w:pPr>
    <w:r>
      <w:rPr>
        <w:rFonts w:ascii="NSimSun" w:eastAsia="NSimSun" w:hAnsi="NSimSun" w:cs="NSimSun"/>
        <w:spacing w:val="-1"/>
        <w:sz w:val="18"/>
        <w:szCs w:val="18"/>
      </w:rPr>
      <w:t>请务必阅读正文之后的信息披露和法律声明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98" w:line="32" w:lineRule="exact"/>
      <w:ind w:firstLine="37"/>
    </w:pPr>
    <w:r>
      <w:drawing>
        <wp:inline distT="0" distB="0" distL="0" distR="0">
          <wp:extent cx="6685362" cy="20320"/>
          <wp:effectExtent l="0" t="0" r="0" b="0"/>
          <wp:docPr id="701832713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1832713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5362" cy="20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209" w:lineRule="auto"/>
      <w:ind w:right="15"/>
      <w:jc w:val="right"/>
      <w:rPr>
        <w:rFonts w:ascii="NSimSun" w:eastAsia="NSimSun" w:hAnsi="NSimSun" w:cs="NSimSun"/>
        <w:sz w:val="18"/>
        <w:szCs w:val="18"/>
      </w:rPr>
    </w:pPr>
    <w:r>
      <w:rPr>
        <w:rFonts w:ascii="NSimSun" w:eastAsia="NSimSun" w:hAnsi="NSimSun" w:cs="NSimSun"/>
        <w:spacing w:val="-1"/>
        <w:sz w:val="18"/>
        <w:szCs w:val="18"/>
      </w:rPr>
      <w:t>请务必阅读正文之后的信息披露和法律声明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98" w:line="32" w:lineRule="exact"/>
      <w:ind w:firstLine="37"/>
    </w:pPr>
    <w:r>
      <w:drawing>
        <wp:inline distT="0" distB="0" distL="0" distR="0">
          <wp:extent cx="6685362" cy="20320"/>
          <wp:effectExtent l="0" t="0" r="0" b="0"/>
          <wp:docPr id="1553750164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3750164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5362" cy="20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209" w:lineRule="auto"/>
      <w:ind w:right="15"/>
      <w:jc w:val="right"/>
      <w:rPr>
        <w:rFonts w:ascii="NSimSun" w:eastAsia="NSimSun" w:hAnsi="NSimSun" w:cs="NSimSun"/>
        <w:sz w:val="18"/>
        <w:szCs w:val="18"/>
      </w:rPr>
    </w:pPr>
    <w:r>
      <w:rPr>
        <w:rFonts w:ascii="NSimSun" w:eastAsia="NSimSun" w:hAnsi="NSimSun" w:cs="NSimSun"/>
        <w:spacing w:val="-1"/>
        <w:sz w:val="18"/>
        <w:szCs w:val="18"/>
      </w:rPr>
      <w:t>请务必阅读正文之后的信息披露和法律声明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98" w:line="32" w:lineRule="exact"/>
      <w:ind w:firstLine="37"/>
    </w:pPr>
    <w:r>
      <w:drawing>
        <wp:inline distT="0" distB="0" distL="0" distR="0">
          <wp:extent cx="6685362" cy="20320"/>
          <wp:effectExtent l="0" t="0" r="0" b="0"/>
          <wp:docPr id="1889828688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828688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5362" cy="20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209" w:lineRule="auto"/>
      <w:ind w:right="15"/>
      <w:jc w:val="right"/>
      <w:rPr>
        <w:rFonts w:ascii="NSimSun" w:eastAsia="NSimSun" w:hAnsi="NSimSun" w:cs="NSimSun"/>
        <w:sz w:val="18"/>
        <w:szCs w:val="18"/>
      </w:rPr>
    </w:pPr>
    <w:r>
      <w:rPr>
        <w:rFonts w:ascii="NSimSun" w:eastAsia="NSimSun" w:hAnsi="NSimSun" w:cs="NSimSun"/>
        <w:spacing w:val="-1"/>
        <w:sz w:val="18"/>
        <w:szCs w:val="18"/>
      </w:rPr>
      <w:t>请务必阅读正文之后的信息披露和法律声明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98" w:line="32" w:lineRule="exact"/>
      <w:ind w:firstLine="37"/>
    </w:pPr>
    <w:r>
      <w:drawing>
        <wp:inline distT="0" distB="0" distL="0" distR="0">
          <wp:extent cx="6685362" cy="20320"/>
          <wp:effectExtent l="0" t="0" r="0" b="0"/>
          <wp:docPr id="162880309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80309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5362" cy="20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209" w:lineRule="auto"/>
      <w:ind w:right="15"/>
      <w:jc w:val="right"/>
      <w:rPr>
        <w:rFonts w:ascii="NSimSun" w:eastAsia="NSimSun" w:hAnsi="NSimSun" w:cs="NSimSun"/>
        <w:sz w:val="18"/>
        <w:szCs w:val="18"/>
      </w:rPr>
    </w:pPr>
    <w:r>
      <w:rPr>
        <w:rFonts w:ascii="NSimSun" w:eastAsia="NSimSun" w:hAnsi="NSimSun" w:cs="NSimSun"/>
        <w:spacing w:val="-1"/>
        <w:sz w:val="18"/>
        <w:szCs w:val="18"/>
      </w:rPr>
      <w:t>请务必阅读正文之后的信息披露和法律声明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81" w:line="20" w:lineRule="exact"/>
      <w:ind w:firstLine="149"/>
    </w:pPr>
    <w:r>
      <w:drawing>
        <wp:inline distT="0" distB="0" distL="0" distR="0">
          <wp:extent cx="6718306" cy="12725"/>
          <wp:effectExtent l="0" t="0" r="0" b="0"/>
          <wp:docPr id="44" name="IM 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 4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18306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1" w:lineRule="auto"/>
      <w:ind w:left="7279"/>
    </w:pPr>
    <w:r>
      <w:rPr>
        <w:spacing w:val="-1"/>
      </w:rPr>
      <w:t>请务必阅读正文之后的信息披露和法律声明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81" w:line="20" w:lineRule="exact"/>
      <w:ind w:firstLine="149"/>
    </w:pPr>
    <w:r>
      <w:drawing>
        <wp:inline distT="0" distB="0" distL="0" distR="0">
          <wp:extent cx="6718306" cy="12725"/>
          <wp:effectExtent l="0" t="0" r="0" b="0"/>
          <wp:docPr id="315696311" name="IM 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5696311" name="IM 4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18306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1" w:lineRule="auto"/>
      <w:ind w:left="7279"/>
    </w:pPr>
    <w:r>
      <w:rPr>
        <w:spacing w:val="-1"/>
      </w:rPr>
      <w:t>请务必阅读正文之后的信息披露和法律声明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61" w:line="20" w:lineRule="exact"/>
      <w:ind w:firstLine="159"/>
    </w:pPr>
    <w:r>
      <w:drawing>
        <wp:inline distT="0" distB="0" distL="0" distR="0">
          <wp:extent cx="6718306" cy="12725"/>
          <wp:effectExtent l="0" t="0" r="0" b="0"/>
          <wp:docPr id="52" name="IM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IM 5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18306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2" w:lineRule="auto"/>
      <w:ind w:left="7289"/>
      <w:rPr>
        <w:sz w:val="20"/>
        <w:szCs w:val="20"/>
      </w:rPr>
    </w:pPr>
    <w:r>
      <w:rPr>
        <w:spacing w:val="-18"/>
        <w:w w:val="99"/>
        <w:sz w:val="20"/>
        <w:szCs w:val="20"/>
      </w:rPr>
      <w:t>请务必阅读正文之后的信息披露和法律声明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61" w:line="20" w:lineRule="exact"/>
      <w:ind w:firstLine="159"/>
    </w:pPr>
    <w:r>
      <w:drawing>
        <wp:inline distT="0" distB="0" distL="0" distR="0">
          <wp:extent cx="6718306" cy="12725"/>
          <wp:effectExtent l="0" t="0" r="0" b="0"/>
          <wp:docPr id="854340794" name="IM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4340794" name="IM 5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18306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12" w:lineRule="auto"/>
      <w:ind w:left="7289"/>
      <w:rPr>
        <w:sz w:val="20"/>
        <w:szCs w:val="20"/>
      </w:rPr>
    </w:pPr>
    <w:r>
      <w:rPr>
        <w:spacing w:val="-18"/>
        <w:w w:val="99"/>
        <w:sz w:val="20"/>
        <w:szCs w:val="20"/>
      </w:rPr>
      <w:t>请务必阅读正文之后的信息披露和法律声明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98" w:line="32" w:lineRule="exact"/>
      <w:ind w:firstLine="37"/>
    </w:pPr>
    <w:r>
      <w:drawing>
        <wp:inline distT="0" distB="0" distL="0" distR="0">
          <wp:extent cx="6685362" cy="20320"/>
          <wp:effectExtent l="0" t="0" r="0" b="0"/>
          <wp:docPr id="64" name="IM 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IM 6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5362" cy="20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209" w:lineRule="auto"/>
      <w:ind w:right="22"/>
      <w:jc w:val="right"/>
      <w:rPr>
        <w:rFonts w:ascii="NSimSun" w:eastAsia="NSimSun" w:hAnsi="NSimSun" w:cs="NSimSun"/>
        <w:sz w:val="18"/>
        <w:szCs w:val="18"/>
      </w:rPr>
    </w:pPr>
    <w:r>
      <w:rPr>
        <w:rFonts w:ascii="NSimSun" w:eastAsia="NSimSun" w:hAnsi="NSimSun" w:cs="NSimSun"/>
        <w:spacing w:val="-1"/>
        <w:sz w:val="18"/>
        <w:szCs w:val="18"/>
      </w:rPr>
      <w:t>请务必阅读正文之后的信息披露和法律声明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98" w:line="32" w:lineRule="exact"/>
      <w:ind w:firstLine="37"/>
    </w:pPr>
    <w:r>
      <w:drawing>
        <wp:inline distT="0" distB="0" distL="0" distR="0">
          <wp:extent cx="6685362" cy="20320"/>
          <wp:effectExtent l="0" t="0" r="0" b="0"/>
          <wp:docPr id="1833176758" name="IM 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176758" name="IM 6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5362" cy="20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209" w:lineRule="auto"/>
      <w:ind w:right="22"/>
      <w:jc w:val="right"/>
      <w:rPr>
        <w:rFonts w:ascii="NSimSun" w:eastAsia="NSimSun" w:hAnsi="NSimSun" w:cs="NSimSun"/>
        <w:sz w:val="18"/>
        <w:szCs w:val="18"/>
      </w:rPr>
    </w:pPr>
    <w:r>
      <w:rPr>
        <w:rFonts w:ascii="NSimSun" w:eastAsia="NSimSun" w:hAnsi="NSimSun" w:cs="NSimSun"/>
        <w:spacing w:val="-1"/>
        <w:sz w:val="18"/>
        <w:szCs w:val="18"/>
      </w:rPr>
      <w:t>请务必阅读正文之后的信息披露和法律声明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98" w:line="32" w:lineRule="exact"/>
      <w:ind w:firstLine="37"/>
    </w:pPr>
    <w:r>
      <w:drawing>
        <wp:inline distT="0" distB="0" distL="0" distR="0">
          <wp:extent cx="6685362" cy="20320"/>
          <wp:effectExtent l="0" t="0" r="0" b="0"/>
          <wp:docPr id="1222565606" name="IM 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565606" name="IM 6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5362" cy="20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209" w:lineRule="auto"/>
      <w:ind w:right="22"/>
      <w:jc w:val="right"/>
      <w:rPr>
        <w:rFonts w:ascii="NSimSun" w:eastAsia="NSimSun" w:hAnsi="NSimSun" w:cs="NSimSun"/>
        <w:sz w:val="18"/>
        <w:szCs w:val="18"/>
      </w:rPr>
    </w:pPr>
    <w:r>
      <w:rPr>
        <w:rFonts w:ascii="NSimSun" w:eastAsia="NSimSun" w:hAnsi="NSimSun" w:cs="NSimSun"/>
        <w:spacing w:val="-1"/>
        <w:sz w:val="18"/>
        <w:szCs w:val="18"/>
      </w:rPr>
      <w:t>请务必阅读正文之后的信息披露和法律声明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98" w:line="32" w:lineRule="exact"/>
      <w:ind w:firstLine="37"/>
    </w:pPr>
    <w:r>
      <w:drawing>
        <wp:inline distT="0" distB="0" distL="0" distR="0">
          <wp:extent cx="6685362" cy="20320"/>
          <wp:effectExtent l="0" t="0" r="0" b="0"/>
          <wp:docPr id="1522647265" name="IM 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2647265" name="IM 6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5362" cy="20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209" w:lineRule="auto"/>
      <w:ind w:right="22"/>
      <w:jc w:val="right"/>
      <w:rPr>
        <w:rFonts w:ascii="NSimSun" w:eastAsia="NSimSun" w:hAnsi="NSimSun" w:cs="NSimSun"/>
        <w:sz w:val="18"/>
        <w:szCs w:val="18"/>
      </w:rPr>
    </w:pPr>
    <w:r>
      <w:rPr>
        <w:rFonts w:ascii="NSimSun" w:eastAsia="NSimSun" w:hAnsi="NSimSun" w:cs="NSimSun"/>
        <w:spacing w:val="-1"/>
        <w:sz w:val="18"/>
        <w:szCs w:val="18"/>
      </w:rPr>
      <w:t>请务必阅读正文之后的信息披露和法律声明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92" w:lineRule="auto"/>
      <w:rPr>
        <w:rFonts w:ascii="Arial"/>
        <w:sz w:val="21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431165</wp:posOffset>
          </wp:positionH>
          <wp:positionV relativeFrom="page">
            <wp:posOffset>178434</wp:posOffset>
          </wp:positionV>
          <wp:extent cx="1237615" cy="346075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7615" cy="346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9" w:line="220" w:lineRule="auto"/>
      <w:ind w:left="7201"/>
      <w:rPr>
        <w:rFonts w:ascii="Arial" w:eastAsia="Arial" w:hAnsi="Arial" w:cs="Arial"/>
        <w:sz w:val="21"/>
        <w:szCs w:val="21"/>
      </w:rPr>
    </w:pPr>
    <w:r>
      <w:rPr>
        <w:rFonts w:ascii="NSimSun" w:eastAsia="NSimSun" w:hAnsi="NSimSun" w:cs="NSimSun"/>
        <w:sz w:val="21"/>
        <w:szCs w:val="21"/>
      </w:rPr>
      <w:t>公司研究〃康比特（</w:t>
    </w:r>
    <w:r>
      <w:rPr>
        <w:rFonts w:ascii="Arial" w:eastAsia="Arial" w:hAnsi="Arial" w:cs="Arial"/>
        <w:sz w:val="21"/>
        <w:szCs w:val="21"/>
      </w:rPr>
      <w:t>833429</w:t>
    </w:r>
    <w:r>
      <w:rPr>
        <w:rFonts w:ascii="NSimSun" w:eastAsia="NSimSun" w:hAnsi="NSimSun" w:cs="NSimSun"/>
        <w:sz w:val="21"/>
        <w:szCs w:val="21"/>
      </w:rPr>
      <w:t>）</w:t>
    </w:r>
    <w:r>
      <w:rPr>
        <w:rFonts w:ascii="Arial" w:eastAsia="Arial" w:hAnsi="Arial" w:cs="Arial"/>
        <w:b/>
        <w:bCs/>
        <w:sz w:val="21"/>
        <w:szCs w:val="21"/>
      </w:rPr>
      <w:t>2</w:t>
    </w:r>
  </w:p>
  <w:p>
    <w:pPr>
      <w:spacing w:before="39" w:line="22" w:lineRule="exact"/>
      <w:ind w:firstLine="37"/>
    </w:pPr>
    <w:r>
      <w:drawing>
        <wp:inline distT="0" distB="0" distL="0" distR="0">
          <wp:extent cx="6677825" cy="13970"/>
          <wp:effectExtent l="0" t="0" r="0" b="0"/>
          <wp:docPr id="10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 10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6677825" cy="13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92" w:lineRule="auto"/>
      <w:rPr>
        <w:rFonts w:ascii="Arial"/>
        <w:sz w:val="21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431165</wp:posOffset>
          </wp:positionH>
          <wp:positionV relativeFrom="page">
            <wp:posOffset>178434</wp:posOffset>
          </wp:positionV>
          <wp:extent cx="1237615" cy="346075"/>
          <wp:effectExtent l="0" t="0" r="0" b="0"/>
          <wp:wrapNone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7615" cy="346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9" w:line="220" w:lineRule="auto"/>
      <w:ind w:left="7201"/>
      <w:rPr>
        <w:rFonts w:ascii="Arial" w:eastAsia="Arial" w:hAnsi="Arial" w:cs="Arial"/>
        <w:sz w:val="21"/>
        <w:szCs w:val="21"/>
      </w:rPr>
    </w:pPr>
    <w:r>
      <w:rPr>
        <w:rFonts w:ascii="NSimSun" w:eastAsia="NSimSun" w:hAnsi="NSimSun" w:cs="NSimSun"/>
        <w:sz w:val="21"/>
        <w:szCs w:val="21"/>
      </w:rPr>
      <w:t>公司研究〃康比特（</w:t>
    </w:r>
    <w:r>
      <w:rPr>
        <w:rFonts w:ascii="Arial" w:eastAsia="Arial" w:hAnsi="Arial" w:cs="Arial"/>
        <w:sz w:val="21"/>
        <w:szCs w:val="21"/>
      </w:rPr>
      <w:t>833429</w:t>
    </w:r>
    <w:r>
      <w:rPr>
        <w:rFonts w:ascii="NSimSun" w:eastAsia="NSimSun" w:hAnsi="NSimSun" w:cs="NSimSun"/>
        <w:sz w:val="21"/>
        <w:szCs w:val="21"/>
      </w:rPr>
      <w:t>）</w:t>
    </w:r>
    <w:r>
      <w:rPr>
        <w:rFonts w:ascii="Arial" w:eastAsia="Arial" w:hAnsi="Arial" w:cs="Arial"/>
        <w:b/>
        <w:bCs/>
        <w:sz w:val="21"/>
        <w:szCs w:val="21"/>
      </w:rPr>
      <w:t>3</w:t>
    </w:r>
  </w:p>
  <w:p>
    <w:pPr>
      <w:spacing w:before="39" w:line="22" w:lineRule="exact"/>
      <w:ind w:firstLine="37"/>
    </w:pPr>
    <w:r>
      <w:drawing>
        <wp:inline distT="0" distB="0" distL="0" distR="0">
          <wp:extent cx="6677825" cy="13970"/>
          <wp:effectExtent l="0" t="0" r="0" b="0"/>
          <wp:docPr id="16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 16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6677825" cy="13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92" w:lineRule="auto"/>
      <w:rPr>
        <w:rFonts w:ascii="Arial"/>
        <w:sz w:val="21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431165</wp:posOffset>
          </wp:positionH>
          <wp:positionV relativeFrom="page">
            <wp:posOffset>178434</wp:posOffset>
          </wp:positionV>
          <wp:extent cx="1237615" cy="346075"/>
          <wp:effectExtent l="0" t="0" r="0" b="0"/>
          <wp:wrapNone/>
          <wp:docPr id="736790009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6790009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7615" cy="346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9" w:line="220" w:lineRule="auto"/>
      <w:ind w:left="7201"/>
      <w:rPr>
        <w:rFonts w:ascii="Arial" w:eastAsia="Arial" w:hAnsi="Arial" w:cs="Arial"/>
        <w:sz w:val="21"/>
        <w:szCs w:val="21"/>
      </w:rPr>
    </w:pPr>
    <w:r>
      <w:rPr>
        <w:rFonts w:ascii="NSimSun" w:eastAsia="NSimSun" w:hAnsi="NSimSun" w:cs="NSimSun"/>
        <w:sz w:val="21"/>
        <w:szCs w:val="21"/>
      </w:rPr>
      <w:t>公司研究〃康比特（</w:t>
    </w:r>
    <w:r>
      <w:rPr>
        <w:rFonts w:ascii="Arial" w:eastAsia="Arial" w:hAnsi="Arial" w:cs="Arial"/>
        <w:sz w:val="21"/>
        <w:szCs w:val="21"/>
      </w:rPr>
      <w:t>833429</w:t>
    </w:r>
    <w:r>
      <w:rPr>
        <w:rFonts w:ascii="NSimSun" w:eastAsia="NSimSun" w:hAnsi="NSimSun" w:cs="NSimSun"/>
        <w:sz w:val="21"/>
        <w:szCs w:val="21"/>
      </w:rPr>
      <w:t>）</w:t>
    </w:r>
    <w:r>
      <w:rPr>
        <w:rFonts w:ascii="Arial" w:eastAsia="Arial" w:hAnsi="Arial" w:cs="Arial"/>
        <w:b/>
        <w:bCs/>
        <w:sz w:val="21"/>
        <w:szCs w:val="21"/>
      </w:rPr>
      <w:t>3</w:t>
    </w:r>
  </w:p>
  <w:p>
    <w:pPr>
      <w:spacing w:before="39" w:line="22" w:lineRule="exact"/>
      <w:ind w:firstLine="37"/>
    </w:pPr>
    <w:r>
      <w:drawing>
        <wp:inline distT="0" distB="0" distL="0" distR="0">
          <wp:extent cx="6677825" cy="13970"/>
          <wp:effectExtent l="0" t="0" r="0" b="0"/>
          <wp:docPr id="246037497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037497" name="IM 16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6677825" cy="13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92" w:lineRule="auto"/>
      <w:rPr>
        <w:rFonts w:ascii="Arial"/>
        <w:sz w:val="21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431165</wp:posOffset>
          </wp:positionH>
          <wp:positionV relativeFrom="page">
            <wp:posOffset>178434</wp:posOffset>
          </wp:positionV>
          <wp:extent cx="1237615" cy="346075"/>
          <wp:effectExtent l="0" t="0" r="0" b="0"/>
          <wp:wrapNone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7615" cy="346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9" w:line="220" w:lineRule="auto"/>
      <w:ind w:left="7201"/>
      <w:rPr>
        <w:rFonts w:ascii="Arial" w:eastAsia="Arial" w:hAnsi="Arial" w:cs="Arial"/>
        <w:sz w:val="21"/>
        <w:szCs w:val="21"/>
      </w:rPr>
    </w:pPr>
    <w:r>
      <w:rPr>
        <w:rFonts w:ascii="NSimSun" w:eastAsia="NSimSun" w:hAnsi="NSimSun" w:cs="NSimSun"/>
        <w:sz w:val="21"/>
        <w:szCs w:val="21"/>
      </w:rPr>
      <w:t>公司研究〃康比特（</w:t>
    </w:r>
    <w:r>
      <w:rPr>
        <w:rFonts w:ascii="Arial" w:eastAsia="Arial" w:hAnsi="Arial" w:cs="Arial"/>
        <w:sz w:val="21"/>
        <w:szCs w:val="21"/>
      </w:rPr>
      <w:t>833429</w:t>
    </w:r>
    <w:r>
      <w:rPr>
        <w:rFonts w:ascii="NSimSun" w:eastAsia="NSimSun" w:hAnsi="NSimSun" w:cs="NSimSun"/>
        <w:sz w:val="21"/>
        <w:szCs w:val="21"/>
      </w:rPr>
      <w:t>）</w:t>
    </w:r>
    <w:r>
      <w:rPr>
        <w:rFonts w:ascii="Arial" w:eastAsia="Arial" w:hAnsi="Arial" w:cs="Arial"/>
        <w:b/>
        <w:bCs/>
        <w:sz w:val="21"/>
        <w:szCs w:val="21"/>
      </w:rPr>
      <w:t>4</w:t>
    </w:r>
  </w:p>
  <w:p>
    <w:pPr>
      <w:spacing w:before="39" w:line="22" w:lineRule="exact"/>
      <w:ind w:firstLine="37"/>
    </w:pPr>
    <w:r>
      <w:drawing>
        <wp:inline distT="0" distB="0" distL="0" distR="0">
          <wp:extent cx="6677825" cy="13970"/>
          <wp:effectExtent l="0" t="0" r="0" b="0"/>
          <wp:docPr id="22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6677825" cy="13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92" w:lineRule="auto"/>
      <w:rPr>
        <w:rFonts w:ascii="Arial"/>
        <w:sz w:val="21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431165</wp:posOffset>
          </wp:positionH>
          <wp:positionV relativeFrom="page">
            <wp:posOffset>178434</wp:posOffset>
          </wp:positionV>
          <wp:extent cx="1237615" cy="346075"/>
          <wp:effectExtent l="0" t="0" r="0" b="0"/>
          <wp:wrapNone/>
          <wp:docPr id="24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7615" cy="346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9" w:line="220" w:lineRule="auto"/>
      <w:ind w:left="7201"/>
      <w:rPr>
        <w:rFonts w:ascii="Arial" w:eastAsia="Arial" w:hAnsi="Arial" w:cs="Arial"/>
        <w:sz w:val="21"/>
        <w:szCs w:val="21"/>
      </w:rPr>
    </w:pPr>
    <w:r>
      <w:rPr>
        <w:rFonts w:ascii="NSimSun" w:eastAsia="NSimSun" w:hAnsi="NSimSun" w:cs="NSimSun"/>
        <w:sz w:val="21"/>
        <w:szCs w:val="21"/>
      </w:rPr>
      <w:t>公司研究〃康比特（</w:t>
    </w:r>
    <w:r>
      <w:rPr>
        <w:rFonts w:ascii="Arial" w:eastAsia="Arial" w:hAnsi="Arial" w:cs="Arial"/>
        <w:sz w:val="21"/>
        <w:szCs w:val="21"/>
      </w:rPr>
      <w:t>833429</w:t>
    </w:r>
    <w:r>
      <w:rPr>
        <w:rFonts w:ascii="NSimSun" w:eastAsia="NSimSun" w:hAnsi="NSimSun" w:cs="NSimSun"/>
        <w:sz w:val="21"/>
        <w:szCs w:val="21"/>
      </w:rPr>
      <w:t>）</w:t>
    </w:r>
    <w:r>
      <w:rPr>
        <w:rFonts w:ascii="Arial" w:eastAsia="Arial" w:hAnsi="Arial" w:cs="Arial"/>
        <w:b/>
        <w:bCs/>
        <w:sz w:val="21"/>
        <w:szCs w:val="21"/>
      </w:rPr>
      <w:t>5</w:t>
    </w:r>
  </w:p>
  <w:p>
    <w:pPr>
      <w:spacing w:before="39" w:line="22" w:lineRule="exact"/>
      <w:ind w:firstLine="37"/>
    </w:pPr>
    <w:r>
      <w:drawing>
        <wp:inline distT="0" distB="0" distL="0" distR="0">
          <wp:extent cx="6677825" cy="13970"/>
          <wp:effectExtent l="0" t="0" r="0" b="0"/>
          <wp:docPr id="26" name="IM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 26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6677825" cy="13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KaiTi" w:eastAsia="KaiTi" w:hAnsi="KaiTi" w:cs="KaiTi"/>
      <w:sz w:val="18"/>
      <w:szCs w:val="18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7"/>
      <w:szCs w:val="17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4.xml" /><Relationship Id="rId12" Type="http://schemas.openxmlformats.org/officeDocument/2006/relationships/image" Target="media/image8.png" /><Relationship Id="rId13" Type="http://schemas.openxmlformats.org/officeDocument/2006/relationships/header" Target="header2.xml" /><Relationship Id="rId14" Type="http://schemas.openxmlformats.org/officeDocument/2006/relationships/footer" Target="footer5.xml" /><Relationship Id="rId15" Type="http://schemas.openxmlformats.org/officeDocument/2006/relationships/header" Target="header3.xml" /><Relationship Id="rId16" Type="http://schemas.openxmlformats.org/officeDocument/2006/relationships/footer" Target="footer6.xml" /><Relationship Id="rId17" Type="http://schemas.openxmlformats.org/officeDocument/2006/relationships/header" Target="header4.xml" /><Relationship Id="rId18" Type="http://schemas.openxmlformats.org/officeDocument/2006/relationships/footer" Target="footer7.xml" /><Relationship Id="rId19" Type="http://schemas.openxmlformats.org/officeDocument/2006/relationships/header" Target="header5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image" Target="media/image5.jpeg" /><Relationship Id="rId22" Type="http://schemas.openxmlformats.org/officeDocument/2006/relationships/image" Target="media/image9.png" /><Relationship Id="rId23" Type="http://schemas.openxmlformats.org/officeDocument/2006/relationships/header" Target="header6.xml" /><Relationship Id="rId24" Type="http://schemas.openxmlformats.org/officeDocument/2006/relationships/footer" Target="footer9.xml" /><Relationship Id="rId25" Type="http://schemas.openxmlformats.org/officeDocument/2006/relationships/image" Target="media/image10.png" /><Relationship Id="rId26" Type="http://schemas.openxmlformats.org/officeDocument/2006/relationships/image" Target="media/image11.png" /><Relationship Id="rId27" Type="http://schemas.openxmlformats.org/officeDocument/2006/relationships/image" Target="media/image12.png" /><Relationship Id="rId28" Type="http://schemas.openxmlformats.org/officeDocument/2006/relationships/image" Target="media/image13.png" /><Relationship Id="rId29" Type="http://schemas.openxmlformats.org/officeDocument/2006/relationships/header" Target="header7.xml" /><Relationship Id="rId3" Type="http://schemas.openxmlformats.org/officeDocument/2006/relationships/fontTable" Target="fontTable.xml" /><Relationship Id="rId30" Type="http://schemas.openxmlformats.org/officeDocument/2006/relationships/footer" Target="footer10.xml" /><Relationship Id="rId31" Type="http://schemas.openxmlformats.org/officeDocument/2006/relationships/header" Target="header8.xml" /><Relationship Id="rId32" Type="http://schemas.openxmlformats.org/officeDocument/2006/relationships/footer" Target="footer11.xml" /><Relationship Id="rId33" Type="http://schemas.openxmlformats.org/officeDocument/2006/relationships/image" Target="media/image7.png" /><Relationship Id="rId34" Type="http://schemas.openxmlformats.org/officeDocument/2006/relationships/header" Target="header9.xml" /><Relationship Id="rId35" Type="http://schemas.openxmlformats.org/officeDocument/2006/relationships/footer" Target="footer12.xml" /><Relationship Id="rId36" Type="http://schemas.openxmlformats.org/officeDocument/2006/relationships/image" Target="media/image14.png" /><Relationship Id="rId37" Type="http://schemas.openxmlformats.org/officeDocument/2006/relationships/image" Target="media/image15.jpeg" /><Relationship Id="rId38" Type="http://schemas.openxmlformats.org/officeDocument/2006/relationships/image" Target="media/image16.jpeg" /><Relationship Id="rId39" Type="http://schemas.openxmlformats.org/officeDocument/2006/relationships/header" Target="header10.xml" /><Relationship Id="rId4" Type="http://schemas.openxmlformats.org/officeDocument/2006/relationships/image" Target="media/image1.jpeg" /><Relationship Id="rId40" Type="http://schemas.openxmlformats.org/officeDocument/2006/relationships/footer" Target="footer13.xml" /><Relationship Id="rId41" Type="http://schemas.openxmlformats.org/officeDocument/2006/relationships/image" Target="media/image18.png" /><Relationship Id="rId42" Type="http://schemas.openxmlformats.org/officeDocument/2006/relationships/header" Target="header11.xml" /><Relationship Id="rId43" Type="http://schemas.openxmlformats.org/officeDocument/2006/relationships/footer" Target="footer14.xml" /><Relationship Id="rId44" Type="http://schemas.openxmlformats.org/officeDocument/2006/relationships/image" Target="media/image19.png" /><Relationship Id="rId45" Type="http://schemas.openxmlformats.org/officeDocument/2006/relationships/image" Target="media/image20.jpeg" /><Relationship Id="rId46" Type="http://schemas.openxmlformats.org/officeDocument/2006/relationships/image" Target="media/image21.jpeg" /><Relationship Id="rId47" Type="http://schemas.openxmlformats.org/officeDocument/2006/relationships/header" Target="header12.xml" /><Relationship Id="rId48" Type="http://schemas.openxmlformats.org/officeDocument/2006/relationships/footer" Target="footer15.xml" /><Relationship Id="rId49" Type="http://schemas.openxmlformats.org/officeDocument/2006/relationships/image" Target="media/image22.jpeg" /><Relationship Id="rId5" Type="http://schemas.openxmlformats.org/officeDocument/2006/relationships/image" Target="media/image2.jpeg" /><Relationship Id="rId50" Type="http://schemas.openxmlformats.org/officeDocument/2006/relationships/header" Target="header13.xml" /><Relationship Id="rId51" Type="http://schemas.openxmlformats.org/officeDocument/2006/relationships/footer" Target="footer16.xml" /><Relationship Id="rId52" Type="http://schemas.openxmlformats.org/officeDocument/2006/relationships/header" Target="header14.xml" /><Relationship Id="rId53" Type="http://schemas.openxmlformats.org/officeDocument/2006/relationships/footer" Target="footer17.xml" /><Relationship Id="rId54" Type="http://schemas.openxmlformats.org/officeDocument/2006/relationships/image" Target="media/image23.jpeg" /><Relationship Id="rId55" Type="http://schemas.openxmlformats.org/officeDocument/2006/relationships/image" Target="media/image24.png" /><Relationship Id="rId56" Type="http://schemas.openxmlformats.org/officeDocument/2006/relationships/image" Target="media/image25.png" /><Relationship Id="rId57" Type="http://schemas.openxmlformats.org/officeDocument/2006/relationships/image" Target="media/image26.png" /><Relationship Id="rId58" Type="http://schemas.openxmlformats.org/officeDocument/2006/relationships/header" Target="header15.xml" /><Relationship Id="rId59" Type="http://schemas.openxmlformats.org/officeDocument/2006/relationships/footer" Target="footer18.xml" /><Relationship Id="rId6" Type="http://schemas.openxmlformats.org/officeDocument/2006/relationships/image" Target="media/image3.jpeg" /><Relationship Id="rId60" Type="http://schemas.openxmlformats.org/officeDocument/2006/relationships/header" Target="header16.xml" /><Relationship Id="rId61" Type="http://schemas.openxmlformats.org/officeDocument/2006/relationships/footer" Target="footer19.xml" /><Relationship Id="rId62" Type="http://schemas.openxmlformats.org/officeDocument/2006/relationships/hyperlink" Target="https://d.book118.com/355240230242011120" TargetMode="External" /><Relationship Id="rId63" Type="http://schemas.openxmlformats.org/officeDocument/2006/relationships/header" Target="header17.xml" /><Relationship Id="rId64" Type="http://schemas.openxmlformats.org/officeDocument/2006/relationships/footer" Target="footer20.xml" /><Relationship Id="rId65" Type="http://schemas.openxmlformats.org/officeDocument/2006/relationships/theme" Target="theme/theme1.xml" /><Relationship Id="rId66" Type="http://schemas.openxmlformats.org/officeDocument/2006/relationships/styles" Target="styles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13.xml.rels><?xml version="1.0" encoding="utf-8" standalone="yes"?><Relationships xmlns="http://schemas.openxmlformats.org/package/2006/relationships"><Relationship Id="rId1" Type="http://schemas.openxmlformats.org/officeDocument/2006/relationships/image" Target="media/image17.png" /></Relationships>
</file>

<file path=word/_rels/footer14.xml.rels><?xml version="1.0" encoding="utf-8" standalone="yes"?><Relationships xmlns="http://schemas.openxmlformats.org/package/2006/relationships"><Relationship Id="rId1" Type="http://schemas.openxmlformats.org/officeDocument/2006/relationships/image" Target="media/image17.png" /></Relationships>
</file>

<file path=word/_rels/footer15.xml.rels><?xml version="1.0" encoding="utf-8" standalone="yes"?><Relationships xmlns="http://schemas.openxmlformats.org/package/2006/relationships"><Relationship Id="rId1" Type="http://schemas.openxmlformats.org/officeDocument/2006/relationships/image" Target="media/image17.png" /></Relationships>
</file>

<file path=word/_rels/footer16.xml.rels><?xml version="1.0" encoding="utf-8" standalone="yes"?><Relationships xmlns="http://schemas.openxmlformats.org/package/2006/relationships"><Relationship Id="rId1" Type="http://schemas.openxmlformats.org/officeDocument/2006/relationships/image" Target="media/image17.png" /></Relationships>
</file>

<file path=word/_rels/footer17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18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19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20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Relationship Id="rId2" Type="http://schemas.openxmlformats.org/officeDocument/2006/relationships/image" Target="media/image6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Relationship Id="rId2" Type="http://schemas.openxmlformats.org/officeDocument/2006/relationships/image" Target="media/image6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Relationship Id="rId2" Type="http://schemas.openxmlformats.org/officeDocument/2006/relationships/image" Target="media/image6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Relationship Id="rId2" Type="http://schemas.openxmlformats.org/officeDocument/2006/relationships/image" Target="media/image6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Relationship Id="rId2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2024-03-08T22:57:53Z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2024-03-08T22:58:03Z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65eb276dec2aea001fd30711wl</vt:lpwstr>
  </property>
</Properties>
</file>