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6832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5" type="#_x0000_t202" style="width:105pt;height:46.75pt;mso-position-horizontal-relative:char;mso-position-vertical-relative:line" filled="f" stroked="t" strokecolor="black" strokeweight="0.5pt">
            <v:stroke dashstyle="solid"/>
            <v:textbox inset="0,0,0,0">
              <w:txbxContent>
                <w:p>
                  <w:pPr>
                    <w:pStyle w:val="BodyText"/>
                    <w:spacing w:before="10"/>
                    <w:rPr>
                      <w:rFonts w:ascii="Times New Roman"/>
                      <w:sz w:val="27"/>
                    </w:rPr>
                  </w:pPr>
                </w:p>
                <w:p>
                  <w:pPr>
                    <w:tabs>
                      <w:tab w:val="left" w:pos="1713"/>
                    </w:tabs>
                    <w:spacing w:before="1"/>
                    <w:ind w:left="103" w:right="0" w:firstLine="0"/>
                    <w:jc w:val="left"/>
                    <w:rPr>
                      <w:rFonts w:ascii="Microsoft JhengHei" w:eastAsia="Microsoft JhengHei" w:hAnsi="Microsoft JhengHei"/>
                      <w:b/>
                      <w:sz w:val="21"/>
                    </w:rPr>
                  </w:pPr>
                  <w:r>
                    <w:rPr>
                      <w:rFonts w:ascii="Microsoft JhengHei" w:eastAsia="Microsoft JhengHei" w:hAnsi="Microsoft JhengHei"/>
                      <w:b/>
                      <w:spacing w:val="-1"/>
                      <w:w w:val="64"/>
                      <w:sz w:val="24"/>
                    </w:rPr>
                    <w:t>H</w:t>
                  </w:r>
                  <w:r>
                    <w:rPr>
                      <w:rFonts w:ascii="Microsoft JhengHei" w:eastAsia="Microsoft JhengHei" w:hAnsi="Microsoft JhengHei"/>
                      <w:b/>
                      <w:w w:val="78"/>
                      <w:sz w:val="24"/>
                    </w:rPr>
                    <w:t>p</w:t>
                  </w:r>
                  <w:r>
                    <w:rPr>
                      <w:rFonts w:ascii="Microsoft JhengHei" w:eastAsia="Microsoft JhengHei" w:hAnsi="Microsoft JhengHei"/>
                      <w:b/>
                      <w:spacing w:val="-1"/>
                      <w:w w:val="186"/>
                      <w:sz w:val="21"/>
                    </w:rPr>
                    <w:t>–</w:t>
                  </w:r>
                  <w:r>
                    <w:rPr>
                      <w:rFonts w:ascii="Microsoft JhengHei" w:eastAsia="Microsoft JhengHei" w:hAnsi="Microsoft JhengHei"/>
                      <w:b/>
                      <w:spacing w:val="24"/>
                      <w:w w:val="110"/>
                      <w:sz w:val="21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/>
                      <w:b/>
                      <w:w w:val="110"/>
                      <w:sz w:val="21"/>
                    </w:rPr>
                    <w:t>鄞兴</w:t>
                  </w:r>
                  <w:r>
                    <w:rPr>
                      <w:rFonts w:ascii="Microsoft JhengHei" w:eastAsia="Microsoft JhengHei" w:hAnsi="Microsoft JhengHei"/>
                      <w:b/>
                      <w:spacing w:val="26"/>
                      <w:w w:val="110"/>
                      <w:sz w:val="21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/>
                      <w:b/>
                      <w:spacing w:val="-10"/>
                      <w:w w:val="110"/>
                      <w:sz w:val="21"/>
                    </w:rPr>
                    <w:t>-</w:t>
                  </w:r>
                  <w:r>
                    <w:rPr>
                      <w:rFonts w:ascii="Microsoft JhengHei" w:eastAsia="Microsoft JhengHei" w:hAnsi="Microsoft JhengHei"/>
                      <w:b/>
                      <w:sz w:val="21"/>
                    </w:rPr>
                    <w:tab/>
                  </w:r>
                  <w:r>
                    <w:rPr>
                      <w:rFonts w:ascii="Microsoft JhengHei" w:eastAsia="Microsoft JhengHei" w:hAnsi="Microsoft JhengHei"/>
                      <w:b/>
                      <w:spacing w:val="-10"/>
                      <w:w w:val="110"/>
                      <w:sz w:val="21"/>
                    </w:rPr>
                    <w:t>-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Title"/>
      </w:pPr>
      <w:r>
        <w:rPr>
          <w:spacing w:val="-1"/>
        </w:rPr>
        <w:t>建设项目环境影响报告表</w:t>
      </w:r>
    </w:p>
    <w:p>
      <w:pPr>
        <w:spacing w:before="363"/>
        <w:ind w:left="0" w:right="39" w:firstLine="0"/>
        <w:jc w:val="center"/>
        <w:rPr>
          <w:rFonts w:ascii="黑体" w:eastAsia="黑体"/>
          <w:sz w:val="30"/>
        </w:rPr>
      </w:pPr>
      <w:r>
        <w:rPr>
          <w:rFonts w:ascii="黑体" w:eastAsia="黑体"/>
          <w:sz w:val="30"/>
        </w:rPr>
        <w:t>（报批稿</w:t>
      </w:r>
      <w:r>
        <w:rPr>
          <w:rFonts w:ascii="黑体" w:eastAsia="黑体"/>
          <w:spacing w:val="-10"/>
          <w:sz w:val="30"/>
        </w:rPr>
        <w:t>）</w:t>
      </w:r>
    </w:p>
    <w:p>
      <w:pPr>
        <w:pStyle w:val="BodyText"/>
        <w:rPr>
          <w:rFonts w:ascii="黑体"/>
          <w:sz w:val="30"/>
        </w:rPr>
      </w:pPr>
    </w:p>
    <w:p>
      <w:pPr>
        <w:pStyle w:val="BodyText"/>
        <w:rPr>
          <w:rFonts w:ascii="黑体"/>
          <w:sz w:val="30"/>
        </w:rPr>
      </w:pPr>
    </w:p>
    <w:p>
      <w:pPr>
        <w:pStyle w:val="BodyText"/>
        <w:rPr>
          <w:rFonts w:ascii="黑体"/>
          <w:sz w:val="30"/>
        </w:rPr>
      </w:pPr>
    </w:p>
    <w:p>
      <w:pPr>
        <w:pStyle w:val="BodyText"/>
        <w:rPr>
          <w:rFonts w:ascii="黑体"/>
          <w:sz w:val="30"/>
        </w:rPr>
      </w:pPr>
    </w:p>
    <w:p>
      <w:pPr>
        <w:pStyle w:val="BodyText"/>
        <w:rPr>
          <w:rFonts w:ascii="黑体"/>
          <w:sz w:val="30"/>
        </w:rPr>
      </w:pPr>
    </w:p>
    <w:p>
      <w:pPr>
        <w:pStyle w:val="BodyText"/>
        <w:rPr>
          <w:rFonts w:ascii="黑体"/>
          <w:sz w:val="30"/>
        </w:rPr>
      </w:pPr>
    </w:p>
    <w:p>
      <w:pPr>
        <w:pStyle w:val="BodyText"/>
        <w:rPr>
          <w:rFonts w:ascii="黑体"/>
          <w:sz w:val="30"/>
        </w:rPr>
      </w:pPr>
    </w:p>
    <w:p>
      <w:pPr>
        <w:pStyle w:val="BodyText"/>
        <w:spacing w:before="12"/>
        <w:rPr>
          <w:rFonts w:ascii="黑体"/>
          <w:sz w:val="26"/>
        </w:rPr>
      </w:pPr>
    </w:p>
    <w:p>
      <w:pPr>
        <w:tabs>
          <w:tab w:val="left" w:pos="1799"/>
          <w:tab w:val="left" w:pos="8311"/>
        </w:tabs>
        <w:spacing w:before="0"/>
        <w:ind w:left="0" w:right="39" w:firstLine="0"/>
        <w:jc w:val="center"/>
        <w:rPr>
          <w:rFonts w:ascii="黑体" w:eastAsia="黑体"/>
          <w:sz w:val="30"/>
        </w:rPr>
      </w:pPr>
      <w:r>
        <w:rPr>
          <w:rFonts w:ascii="黑体" w:eastAsia="黑体"/>
          <w:sz w:val="30"/>
        </w:rPr>
        <w:t>项目名称</w:t>
      </w:r>
      <w:r>
        <w:rPr>
          <w:rFonts w:ascii="黑体" w:eastAsia="黑体"/>
          <w:spacing w:val="-10"/>
          <w:sz w:val="30"/>
        </w:rPr>
        <w:t>：</w:t>
      </w:r>
      <w:r>
        <w:rPr>
          <w:rFonts w:ascii="Times New Roman" w:eastAsia="Times New Roman"/>
          <w:sz w:val="30"/>
          <w:u w:val="single"/>
        </w:rPr>
        <w:tab/>
      </w:r>
      <w:r>
        <w:rPr>
          <w:rFonts w:ascii="黑体" w:eastAsia="黑体"/>
          <w:sz w:val="30"/>
          <w:u w:val="single"/>
        </w:rPr>
        <w:t>年产</w:t>
      </w:r>
      <w:r>
        <w:rPr>
          <w:rFonts w:ascii="黑体" w:eastAsia="黑体"/>
          <w:spacing w:val="-75"/>
          <w:sz w:val="30"/>
          <w:u w:val="single"/>
        </w:rPr>
        <w:t xml:space="preserve"> </w:t>
      </w:r>
      <w:r>
        <w:rPr>
          <w:rFonts w:ascii="黑体" w:eastAsia="黑体"/>
          <w:sz w:val="30"/>
          <w:u w:val="single"/>
        </w:rPr>
        <w:t>25</w:t>
      </w:r>
      <w:r>
        <w:rPr>
          <w:rFonts w:ascii="黑体" w:eastAsia="黑体"/>
          <w:spacing w:val="-75"/>
          <w:sz w:val="30"/>
          <w:u w:val="single"/>
        </w:rPr>
        <w:t xml:space="preserve"> </w:t>
      </w:r>
      <w:r>
        <w:rPr>
          <w:rFonts w:ascii="黑体" w:eastAsia="黑体"/>
          <w:sz w:val="30"/>
          <w:u w:val="single"/>
        </w:rPr>
        <w:t>套静止无功发生器</w:t>
      </w:r>
      <w:r>
        <w:rPr>
          <w:rFonts w:ascii="黑体" w:eastAsia="黑体"/>
          <w:spacing w:val="-75"/>
          <w:sz w:val="30"/>
          <w:u w:val="single"/>
        </w:rPr>
        <w:t xml:space="preserve"> </w:t>
      </w:r>
      <w:r>
        <w:rPr>
          <w:rFonts w:ascii="黑体" w:eastAsia="黑体"/>
          <w:sz w:val="30"/>
          <w:u w:val="single"/>
        </w:rPr>
        <w:t>SVG</w:t>
      </w:r>
      <w:r>
        <w:rPr>
          <w:rFonts w:ascii="黑体" w:eastAsia="黑体"/>
          <w:spacing w:val="-75"/>
          <w:sz w:val="30"/>
          <w:u w:val="single"/>
        </w:rPr>
        <w:t xml:space="preserve"> </w:t>
      </w:r>
      <w:r>
        <w:rPr>
          <w:rFonts w:ascii="黑体" w:eastAsia="黑体"/>
          <w:sz w:val="30"/>
          <w:u w:val="single"/>
        </w:rPr>
        <w:t>机械装置项</w:t>
      </w:r>
      <w:r>
        <w:rPr>
          <w:rFonts w:ascii="黑体" w:eastAsia="黑体"/>
          <w:spacing w:val="-10"/>
          <w:sz w:val="30"/>
          <w:u w:val="single"/>
        </w:rPr>
        <w:t>目</w:t>
      </w:r>
      <w:r>
        <w:rPr>
          <w:rFonts w:ascii="黑体" w:eastAsia="黑体"/>
          <w:sz w:val="30"/>
          <w:u w:val="single"/>
        </w:rPr>
        <w:tab/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"/>
        <w:rPr>
          <w:rFonts w:ascii="黑体"/>
          <w:sz w:val="22"/>
        </w:rPr>
      </w:pPr>
    </w:p>
    <w:p>
      <w:pPr>
        <w:tabs>
          <w:tab w:val="left" w:pos="3666"/>
          <w:tab w:val="left" w:pos="8828"/>
        </w:tabs>
        <w:spacing w:before="67"/>
        <w:ind w:left="516" w:right="0" w:firstLine="0"/>
        <w:jc w:val="left"/>
        <w:rPr>
          <w:rFonts w:ascii="黑体" w:eastAsia="黑体"/>
          <w:sz w:val="30"/>
        </w:rPr>
      </w:pPr>
      <w:r>
        <w:rPr>
          <w:rFonts w:ascii="黑体" w:eastAsia="黑体"/>
          <w:sz w:val="30"/>
        </w:rPr>
        <w:t>建设单位：（盖章</w:t>
      </w:r>
      <w:r>
        <w:rPr>
          <w:rFonts w:ascii="黑体" w:eastAsia="黑体"/>
          <w:spacing w:val="-10"/>
          <w:sz w:val="30"/>
        </w:rPr>
        <w:t>）</w:t>
      </w:r>
      <w:r>
        <w:rPr>
          <w:rFonts w:ascii="Times New Roman" w:eastAsia="Times New Roman"/>
          <w:sz w:val="30"/>
          <w:u w:val="single"/>
        </w:rPr>
        <w:tab/>
      </w:r>
      <w:r>
        <w:rPr>
          <w:rFonts w:ascii="黑体" w:eastAsia="黑体"/>
          <w:sz w:val="30"/>
          <w:u w:val="single"/>
        </w:rPr>
        <w:t>宁波特锐德电气有限公</w:t>
      </w:r>
      <w:r>
        <w:rPr>
          <w:rFonts w:ascii="黑体" w:eastAsia="黑体"/>
          <w:spacing w:val="-10"/>
          <w:sz w:val="30"/>
          <w:u w:val="single"/>
        </w:rPr>
        <w:t>司</w:t>
      </w:r>
      <w:r>
        <w:rPr>
          <w:rFonts w:ascii="黑体" w:eastAsia="黑体"/>
          <w:sz w:val="30"/>
          <w:u w:val="single"/>
        </w:rPr>
        <w:tab/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7"/>
        </w:rPr>
      </w:pPr>
    </w:p>
    <w:p>
      <w:pPr>
        <w:spacing w:before="58"/>
        <w:ind w:left="1400" w:right="1277" w:firstLine="0"/>
        <w:jc w:val="center"/>
        <w:rPr>
          <w:rFonts w:ascii="黑体" w:eastAsia="黑体"/>
          <w:sz w:val="30"/>
        </w:rPr>
      </w:pPr>
      <w:r>
        <w:rPr>
          <w:rFonts w:ascii="黑体" w:eastAsia="黑体"/>
          <w:sz w:val="30"/>
        </w:rPr>
        <w:t>编制日期：2015</w:t>
      </w:r>
      <w:r>
        <w:rPr>
          <w:rFonts w:ascii="黑体" w:eastAsia="黑体"/>
          <w:spacing w:val="-51"/>
          <w:sz w:val="30"/>
        </w:rPr>
        <w:t xml:space="preserve"> 年 </w:t>
      </w:r>
      <w:r>
        <w:rPr>
          <w:rFonts w:ascii="黑体" w:eastAsia="黑体"/>
          <w:sz w:val="30"/>
        </w:rPr>
        <w:t>03</w:t>
      </w:r>
      <w:r>
        <w:rPr>
          <w:rFonts w:ascii="黑体" w:eastAsia="黑体"/>
          <w:spacing w:val="-51"/>
          <w:sz w:val="30"/>
        </w:rPr>
        <w:t xml:space="preserve"> 月 </w:t>
      </w:r>
      <w:r>
        <w:rPr>
          <w:rFonts w:ascii="黑体" w:eastAsia="黑体"/>
          <w:sz w:val="30"/>
        </w:rPr>
        <w:t>10</w:t>
      </w:r>
      <w:r>
        <w:rPr>
          <w:rFonts w:ascii="黑体" w:eastAsia="黑体"/>
          <w:spacing w:val="-43"/>
          <w:sz w:val="30"/>
        </w:rPr>
        <w:t xml:space="preserve"> 日</w:t>
      </w:r>
    </w:p>
    <w:p>
      <w:pPr>
        <w:spacing w:after="0"/>
        <w:jc w:val="center"/>
        <w:rPr>
          <w:rFonts w:ascii="黑体" w:eastAsia="黑体"/>
          <w:sz w:val="30"/>
        </w:rPr>
        <w:sectPr>
          <w:footerReference w:type="default" r:id="rId4"/>
          <w:type w:val="continuous"/>
          <w:pgSz w:w="11910" w:h="16840"/>
          <w:pgMar w:top="1420" w:right="1240" w:bottom="1180" w:left="1280" w:header="0" w:footer="990"/>
          <w:pgNumType w:start="1"/>
          <w:cols w:space="708"/>
        </w:sectPr>
      </w:pPr>
    </w:p>
    <w:p>
      <w:pPr>
        <w:pStyle w:val="BodyText"/>
        <w:ind w:left="661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5028556" cy="338042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8556" cy="3380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黑体"/>
          <w:sz w:val="17"/>
        </w:rPr>
      </w:pPr>
    </w:p>
    <w:p>
      <w:pPr>
        <w:pStyle w:val="BodyText"/>
        <w:spacing w:before="74" w:line="364" w:lineRule="auto"/>
        <w:ind w:left="1836" w:right="1552" w:hanging="4"/>
      </w:pPr>
      <w:r>
        <w:t>项目名称：</w:t>
      </w:r>
      <w:r>
        <w:rPr>
          <w:spacing w:val="-20"/>
          <w:u w:val="single"/>
        </w:rPr>
        <w:t xml:space="preserve">年产 </w:t>
      </w:r>
      <w:r>
        <w:rPr>
          <w:rFonts w:ascii="Times New Roman" w:eastAsia="Times New Roman"/>
          <w:u w:val="single"/>
        </w:rPr>
        <w:t>25</w:t>
      </w:r>
      <w:r>
        <w:rPr>
          <w:rFonts w:ascii="Times New Roman" w:eastAsia="Times New Roman"/>
          <w:spacing w:val="-15"/>
          <w:u w:val="single"/>
        </w:rPr>
        <w:t xml:space="preserve"> </w:t>
      </w:r>
      <w:r>
        <w:rPr>
          <w:spacing w:val="-7"/>
          <w:u w:val="single"/>
        </w:rPr>
        <w:t xml:space="preserve">套静止无功发生器 </w:t>
      </w:r>
      <w:r>
        <w:rPr>
          <w:rFonts w:ascii="Times New Roman" w:eastAsia="Times New Roman"/>
          <w:u w:val="single"/>
        </w:rPr>
        <w:t>SVG</w:t>
      </w:r>
      <w:r>
        <w:rPr>
          <w:rFonts w:ascii="Times New Roman" w:eastAsia="Times New Roman"/>
          <w:spacing w:val="-15"/>
          <w:u w:val="single"/>
        </w:rPr>
        <w:t xml:space="preserve"> </w:t>
      </w:r>
      <w:r>
        <w:rPr>
          <w:u w:val="single"/>
        </w:rPr>
        <w:t>机械装置项目</w:t>
      </w:r>
      <w:r>
        <w:rPr>
          <w:spacing w:val="-2"/>
        </w:rPr>
        <w:t>报告类型：</w:t>
      </w:r>
      <w:r>
        <w:rPr>
          <w:spacing w:val="-2"/>
          <w:u w:val="single"/>
        </w:rPr>
        <w:t>环境影响报告表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ind w:left="1400" w:right="1471"/>
        <w:jc w:val="center"/>
      </w:pPr>
      <w:r>
        <w:t>评价单位：</w:t>
      </w:r>
      <w:r>
        <w:rPr>
          <w:u w:val="single"/>
        </w:rPr>
        <w:t>宁波市鄞州兴达环保工程有限公司</w:t>
      </w:r>
      <w:r>
        <w:rPr>
          <w:spacing w:val="-2"/>
        </w:rPr>
        <w:t xml:space="preserve"> (公章)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67"/>
        <w:ind w:left="1836"/>
      </w:pPr>
      <w:r>
        <w:rPr>
          <w:spacing w:val="-2"/>
        </w:rPr>
        <w:t>法人代表：</w:t>
      </w:r>
    </w:p>
    <w:p>
      <w:pPr>
        <w:pStyle w:val="BodyText"/>
        <w:spacing w:before="7"/>
      </w:pPr>
    </w:p>
    <w:p>
      <w:pPr>
        <w:pStyle w:val="BodyText"/>
        <w:ind w:left="1836"/>
      </w:pPr>
      <w:r>
        <w:t>建设单位：</w:t>
      </w:r>
      <w:r>
        <w:rPr>
          <w:spacing w:val="-1"/>
          <w:u w:val="single"/>
        </w:rPr>
        <w:t>宁波特锐德电气有限公司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tabs>
          <w:tab w:val="left" w:pos="3636"/>
          <w:tab w:val="left" w:pos="4476"/>
        </w:tabs>
        <w:spacing w:before="67"/>
        <w:ind w:left="1836"/>
      </w:pPr>
      <w:r>
        <w:t>项目负责人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袁</w:t>
      </w:r>
      <w:r>
        <w:rPr>
          <w:spacing w:val="-10"/>
          <w:u w:val="single"/>
        </w:rPr>
        <w:t>君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tbl>
      <w:tblPr>
        <w:tblStyle w:val="TableNormal0"/>
        <w:tblW w:w="0" w:type="auto"/>
        <w:jc w:val="left"/>
        <w:tblInd w:w="3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3"/>
        <w:gridCol w:w="1207"/>
        <w:gridCol w:w="1347"/>
        <w:gridCol w:w="2618"/>
        <w:gridCol w:w="1032"/>
        <w:gridCol w:w="1578"/>
      </w:tblGrid>
      <w:tr>
        <w:tblPrEx>
          <w:tblW w:w="0" w:type="auto"/>
          <w:jc w:val="left"/>
          <w:tblInd w:w="345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685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3608" w:right="35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评价人员情况</w:t>
            </w: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140" w:right="10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119" w:right="89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从事专业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443"/>
              <w:rPr>
                <w:sz w:val="24"/>
              </w:rPr>
            </w:pPr>
            <w:r>
              <w:rPr>
                <w:spacing w:val="-5"/>
                <w:sz w:val="24"/>
              </w:rPr>
              <w:t>职称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719"/>
              <w:rPr>
                <w:sz w:val="24"/>
              </w:rPr>
            </w:pPr>
            <w:r>
              <w:rPr>
                <w:spacing w:val="-2"/>
                <w:sz w:val="24"/>
              </w:rPr>
              <w:t>上岗证书号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32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职责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 w:line="288" w:lineRule="exact"/>
              <w:ind w:left="539" w:right="50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签名</w:t>
            </w: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9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140" w:right="10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邱蕾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119" w:right="89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环境评价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443"/>
              <w:rPr>
                <w:sz w:val="24"/>
              </w:rPr>
            </w:pPr>
            <w:r>
              <w:rPr>
                <w:spacing w:val="-5"/>
                <w:sz w:val="24"/>
              </w:rPr>
              <w:t>助工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right="67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环评岗证字第</w:t>
            </w:r>
          </w:p>
          <w:p>
            <w:pPr>
              <w:pStyle w:val="TableParagraph"/>
              <w:spacing w:before="66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B20340017</w:t>
            </w:r>
            <w:r>
              <w:rPr>
                <w:spacing w:val="-35"/>
                <w:sz w:val="24"/>
              </w:rPr>
              <w:t xml:space="preserve"> 号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32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编写人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9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9"/>
              <w:ind w:left="34" w:right="1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俞海东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9"/>
              <w:ind w:left="119" w:right="89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环境评价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9"/>
              <w:ind w:left="383"/>
              <w:rPr>
                <w:sz w:val="24"/>
              </w:rPr>
            </w:pPr>
            <w:r>
              <w:rPr>
                <w:spacing w:val="-4"/>
                <w:sz w:val="24"/>
              </w:rPr>
              <w:t>工程师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615"/>
              <w:rPr>
                <w:sz w:val="24"/>
              </w:rPr>
            </w:pPr>
            <w:r>
              <w:rPr>
                <w:spacing w:val="-2"/>
                <w:sz w:val="24"/>
              </w:rPr>
              <w:t>环评岗证字第</w:t>
            </w:r>
          </w:p>
          <w:p>
            <w:pPr>
              <w:pStyle w:val="TableParagraph"/>
              <w:spacing w:before="5" w:line="288" w:lineRule="exact"/>
              <w:ind w:left="629"/>
              <w:rPr>
                <w:sz w:val="24"/>
              </w:rPr>
            </w:pPr>
            <w:r>
              <w:rPr>
                <w:sz w:val="24"/>
              </w:rPr>
              <w:t>B20340007</w:t>
            </w:r>
            <w:r>
              <w:rPr>
                <w:spacing w:val="-35"/>
                <w:sz w:val="24"/>
              </w:rPr>
              <w:t xml:space="preserve"> 号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9"/>
              <w:ind w:left="3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校核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9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140" w:right="10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袁君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119" w:right="89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环境评价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0"/>
              <w:ind w:left="83"/>
              <w:rPr>
                <w:sz w:val="24"/>
              </w:rPr>
            </w:pPr>
            <w:r>
              <w:rPr>
                <w:spacing w:val="-2"/>
                <w:sz w:val="24"/>
              </w:rPr>
              <w:t>环评工程师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689"/>
              <w:rPr>
                <w:sz w:val="24"/>
              </w:rPr>
            </w:pPr>
            <w:r>
              <w:rPr>
                <w:spacing w:val="-2"/>
                <w:sz w:val="24"/>
              </w:rPr>
              <w:t>登记证编号</w:t>
            </w:r>
          </w:p>
          <w:p>
            <w:pPr>
              <w:pStyle w:val="TableParagraph"/>
              <w:spacing w:before="62"/>
              <w:ind w:left="57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B20340061000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32" w:right="2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项目负责</w:t>
            </w:r>
          </w:p>
          <w:p>
            <w:pPr>
              <w:pStyle w:val="TableParagraph"/>
              <w:spacing w:before="66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6"/>
          <w:pgSz w:w="11910" w:h="16840"/>
          <w:pgMar w:top="1920" w:right="1240" w:bottom="1532" w:left="1280" w:header="0" w:footer="990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3"/>
        <w:gridCol w:w="1207"/>
        <w:gridCol w:w="1347"/>
        <w:gridCol w:w="2618"/>
        <w:gridCol w:w="1032"/>
        <w:gridCol w:w="1578"/>
      </w:tblGrid>
      <w:tr>
        <w:tblPrEx>
          <w:tblW w:w="0" w:type="auto"/>
          <w:jc w:val="left"/>
          <w:tblInd w:w="3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2"/>
          <w:jc w:val="left"/>
        </w:trPr>
        <w:tc>
          <w:tcPr>
            <w:tcW w:w="903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spacing w:val="-4"/>
                <w:sz w:val="24"/>
              </w:rPr>
              <w:t>包文辉</w:t>
            </w:r>
          </w:p>
        </w:tc>
        <w:tc>
          <w:tcPr>
            <w:tcW w:w="120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3"/>
                <w:sz w:val="24"/>
              </w:rPr>
              <w:t>环境评价</w:t>
            </w:r>
          </w:p>
        </w:tc>
        <w:tc>
          <w:tcPr>
            <w:tcW w:w="134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83"/>
              <w:rPr>
                <w:sz w:val="24"/>
              </w:rPr>
            </w:pPr>
            <w:r>
              <w:rPr>
                <w:spacing w:val="-2"/>
                <w:sz w:val="24"/>
              </w:rPr>
              <w:t>环评工程师</w:t>
            </w:r>
          </w:p>
        </w:tc>
        <w:tc>
          <w:tcPr>
            <w:tcW w:w="261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7"/>
              <w:ind w:left="570" w:right="5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登记证编号</w:t>
            </w:r>
          </w:p>
          <w:p>
            <w:pPr>
              <w:pStyle w:val="TableParagraph"/>
              <w:spacing w:before="63"/>
              <w:ind w:left="570" w:right="54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B20340010100</w:t>
            </w:r>
          </w:p>
        </w:tc>
        <w:tc>
          <w:tcPr>
            <w:tcW w:w="103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286"/>
              <w:rPr>
                <w:sz w:val="24"/>
              </w:rPr>
            </w:pPr>
            <w:r>
              <w:rPr>
                <w:spacing w:val="-5"/>
                <w:sz w:val="24"/>
              </w:rPr>
              <w:t>审定</w:t>
            </w:r>
          </w:p>
        </w:tc>
        <w:tc>
          <w:tcPr>
            <w:tcW w:w="1578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ind w:left="3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72810" cy="477774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jpeg"/>
                          <pic:cNvPicPr/>
                        </pic:nvPicPr>
                        <pic:blipFill>
                          <a:blip xmlns:r="http://schemas.openxmlformats.org/officeDocument/2006/relationships"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810" cy="47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2"/>
        <w:rPr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1142949</wp:posOffset>
            </wp:positionH>
            <wp:positionV relativeFrom="paragraph">
              <wp:posOffset>104584</wp:posOffset>
            </wp:positionV>
            <wp:extent cx="5262777" cy="7529512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777" cy="7529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footerReference w:type="default" r:id="rId9"/>
          <w:type w:val="continuous"/>
          <w:pgSz w:w="11910" w:h="16840"/>
          <w:pgMar w:top="1400" w:right="1240" w:bottom="1180" w:left="1280" w:header="0" w:footer="990"/>
          <w:pgNumType w:start="3"/>
          <w:cols w:space="708"/>
        </w:sectPr>
      </w:pPr>
    </w:p>
    <w:p>
      <w:pPr>
        <w:pStyle w:val="BodyText"/>
        <w:spacing w:before="10"/>
        <w:rPr>
          <w:sz w:val="27"/>
        </w:rPr>
      </w:pPr>
    </w:p>
    <w:p>
      <w:pPr>
        <w:spacing w:before="0" w:line="483" w:lineRule="exact"/>
        <w:ind w:left="0" w:right="39" w:firstLine="0"/>
        <w:jc w:val="center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《建设项目环境影响报告表》编制说明</w:t>
      </w:r>
    </w:p>
    <w:p>
      <w:pPr>
        <w:pStyle w:val="BodyText"/>
        <w:spacing w:before="1"/>
        <w:rPr>
          <w:rFonts w:ascii="Microsoft JhengHei"/>
          <w:b/>
          <w:sz w:val="25"/>
        </w:rPr>
      </w:pPr>
    </w:p>
    <w:p>
      <w:pPr>
        <w:pStyle w:val="BodyText"/>
        <w:ind w:left="936"/>
      </w:pPr>
      <w:r>
        <w:rPr>
          <w:spacing w:val="-10"/>
        </w:rPr>
        <w:t>《建设项目环境影响报告表》由具有从事环境影响评价工作资质的单位编制。</w:t>
      </w:r>
    </w:p>
    <w:p>
      <w:pPr>
        <w:pStyle w:val="BodyText"/>
        <w:spacing w:before="160" w:line="364" w:lineRule="auto"/>
        <w:ind w:left="516" w:right="555" w:firstLine="420"/>
      </w:pPr>
      <w:r>
        <w:rPr>
          <w:spacing w:val="-2"/>
        </w:rPr>
        <w:t>1</w:t>
      </w:r>
      <w:r>
        <w:rPr>
          <w:spacing w:val="-5"/>
        </w:rPr>
        <w:t xml:space="preserve">、项目名称―指项目立项批复时的名称，应不超过 </w:t>
      </w:r>
      <w:r>
        <w:rPr>
          <w:spacing w:val="-2"/>
        </w:rPr>
        <w:t>30</w:t>
      </w:r>
      <w:r>
        <w:rPr>
          <w:spacing w:val="-21"/>
        </w:rPr>
        <w:t xml:space="preserve"> 个字</w:t>
      </w:r>
      <w:r>
        <w:rPr>
          <w:spacing w:val="-2"/>
        </w:rPr>
        <w:t>（两个英文字段</w:t>
      </w:r>
      <w:r>
        <w:rPr>
          <w:spacing w:val="-2"/>
        </w:rPr>
        <w:t>作一个汉字</w:t>
      </w:r>
      <w:r>
        <w:rPr>
          <w:spacing w:val="-120"/>
        </w:rPr>
        <w:t>）</w:t>
      </w:r>
      <w:r>
        <w:rPr>
          <w:spacing w:val="-2"/>
        </w:rPr>
        <w:t>。</w:t>
      </w:r>
    </w:p>
    <w:p>
      <w:pPr>
        <w:pStyle w:val="BodyText"/>
        <w:spacing w:before="2"/>
        <w:ind w:left="936"/>
      </w:pPr>
      <w:r>
        <w:t>2</w:t>
      </w:r>
      <w:r>
        <w:rPr>
          <w:spacing w:val="-1"/>
        </w:rPr>
        <w:t>、建设地点―指项目所在地详细地址，公路、铁路应填写起止地点。</w:t>
      </w:r>
    </w:p>
    <w:p>
      <w:pPr>
        <w:pStyle w:val="BodyText"/>
        <w:spacing w:before="160"/>
        <w:ind w:left="936"/>
      </w:pPr>
      <w:r>
        <w:t>3</w:t>
      </w:r>
      <w:r>
        <w:rPr>
          <w:spacing w:val="-1"/>
        </w:rPr>
        <w:t>、行业类别―按国标填写。</w:t>
      </w:r>
    </w:p>
    <w:p>
      <w:pPr>
        <w:pStyle w:val="BodyText"/>
        <w:spacing w:before="161"/>
        <w:ind w:left="936"/>
      </w:pPr>
      <w:r>
        <w:t>4</w:t>
      </w:r>
      <w:r>
        <w:rPr>
          <w:spacing w:val="-1"/>
        </w:rPr>
        <w:t>、总投资―指项目投资总额。</w:t>
      </w:r>
    </w:p>
    <w:p>
      <w:pPr>
        <w:pStyle w:val="BodyText"/>
        <w:spacing w:before="160" w:line="364" w:lineRule="auto"/>
        <w:ind w:left="516" w:right="468" w:firstLine="420"/>
      </w:pPr>
      <w:r>
        <w:t>5</w:t>
      </w:r>
      <w:r>
        <w:rPr>
          <w:spacing w:val="1"/>
        </w:rPr>
        <w:t>、主要环境保护目标―指项目区周围一定范围内集中居民住宅区、学校、</w:t>
      </w:r>
      <w:r>
        <w:t>医院、保护文物、风景名胜区、水源地和生态敏感点等，应可能给出保护目标、性质、规模和距厂界距离等。</w:t>
      </w:r>
    </w:p>
    <w:p>
      <w:pPr>
        <w:pStyle w:val="BodyText"/>
        <w:spacing w:before="2" w:line="364" w:lineRule="auto"/>
        <w:ind w:left="516" w:right="555" w:firstLine="420"/>
        <w:jc w:val="both"/>
      </w:pPr>
      <w:r>
        <w:rPr>
          <w:spacing w:val="-2"/>
        </w:rPr>
        <w:t>6、结论与建议―给出本项目清洁生产、达标排放和总量控制的分析结论，</w:t>
      </w:r>
      <w:r>
        <w:rPr>
          <w:spacing w:val="-4"/>
        </w:rPr>
        <w:t>确定污染防治措施的有效性，说明本项目对环境造成的影响，给出建设项目环境</w:t>
      </w:r>
      <w:r>
        <w:rPr>
          <w:spacing w:val="-2"/>
        </w:rPr>
        <w:t>可行性结论。同时提出减少环境影响的其他建议。</w:t>
      </w:r>
    </w:p>
    <w:p>
      <w:pPr>
        <w:pStyle w:val="BodyText"/>
        <w:spacing w:before="2"/>
        <w:ind w:left="936"/>
      </w:pPr>
      <w:r>
        <w:t>7</w:t>
      </w:r>
      <w:r>
        <w:rPr>
          <w:spacing w:val="-1"/>
        </w:rPr>
        <w:t>、预审意见―由行业主管部门填写答复意见，无主管部门项目，可不填。</w:t>
      </w:r>
    </w:p>
    <w:p>
      <w:pPr>
        <w:pStyle w:val="BodyText"/>
        <w:spacing w:before="160"/>
        <w:ind w:left="936"/>
      </w:pPr>
      <w:r>
        <w:t>8</w:t>
      </w:r>
      <w:r>
        <w:rPr>
          <w:spacing w:val="-1"/>
        </w:rPr>
        <w:t>、审批意见―由负责审批该项目的环境保护主管部门批复。</w:t>
      </w:r>
    </w:p>
    <w:p>
      <w:pPr>
        <w:spacing w:after="0"/>
        <w:sectPr>
          <w:footerReference w:type="default" r:id="rId10"/>
          <w:pgSz w:w="11910" w:h="16840"/>
          <w:pgMar w:top="1920" w:right="1240" w:bottom="1180" w:left="1280" w:header="0" w:footer="990"/>
          <w:pgNumType w:start="4"/>
          <w:cols w:space="708"/>
        </w:sectPr>
      </w:pPr>
    </w:p>
    <w:p>
      <w:pPr>
        <w:spacing w:before="0" w:line="569" w:lineRule="exact"/>
        <w:ind w:left="0" w:right="39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2"/>
          <w:sz w:val="36"/>
        </w:rPr>
        <w:t>环评文件审批申请表</w:t>
      </w:r>
    </w:p>
    <w:tbl>
      <w:tblPr>
        <w:tblStyle w:val="TableNormal2"/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0"/>
        <w:gridCol w:w="3420"/>
        <w:gridCol w:w="1260"/>
        <w:gridCol w:w="3112"/>
      </w:tblGrid>
      <w:tr>
        <w:tblPrEx>
          <w:tblW w:w="0" w:type="auto"/>
          <w:jc w:val="left"/>
          <w:tblInd w:w="14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280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1"/>
              <w:ind w:left="146" w:right="13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建设单位</w:t>
            </w:r>
          </w:p>
        </w:tc>
        <w:tc>
          <w:tcPr>
            <w:tcW w:w="3420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1"/>
              <w:ind w:left="136" w:right="1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宁波特锐德电气有限公司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1"/>
              <w:ind w:left="136" w:right="12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项目名称</w:t>
            </w:r>
          </w:p>
        </w:tc>
        <w:tc>
          <w:tcPr>
            <w:tcW w:w="3112" w:type="dxa"/>
          </w:tcPr>
          <w:p>
            <w:pPr>
              <w:pStyle w:val="TableParagraph"/>
              <w:spacing w:before="44"/>
              <w:ind w:left="134" w:right="183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年产 </w:t>
            </w:r>
            <w:r>
              <w:rPr>
                <w:rFonts w:ascii="Times New Roman" w:eastAsia="Times New Roman"/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套静止无功发生器</w:t>
            </w:r>
          </w:p>
          <w:p>
            <w:pPr>
              <w:pStyle w:val="TableParagraph"/>
              <w:spacing w:before="53" w:line="295" w:lineRule="exact"/>
              <w:ind w:left="134" w:right="12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SVG</w:t>
            </w:r>
            <w:r>
              <w:rPr>
                <w:rFonts w:ascii="Times New Roman" w:eastAsia="Times New Roman"/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机械装置项目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0"/>
          <w:jc w:val="left"/>
        </w:trPr>
        <w:tc>
          <w:tcPr>
            <w:tcW w:w="1280" w:type="dxa"/>
          </w:tcPr>
          <w:p>
            <w:pPr>
              <w:pStyle w:val="TableParagraph"/>
              <w:spacing w:before="110"/>
              <w:ind w:left="146" w:right="13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项目地址</w:t>
            </w:r>
          </w:p>
        </w:tc>
        <w:tc>
          <w:tcPr>
            <w:tcW w:w="3420" w:type="dxa"/>
          </w:tcPr>
          <w:p>
            <w:pPr>
              <w:pStyle w:val="TableParagraph"/>
              <w:spacing w:before="110"/>
              <w:ind w:left="136" w:right="1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宁波市鄞州区集士港镇丰成村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0"/>
              <w:ind w:left="136" w:right="12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法人代表</w:t>
            </w:r>
          </w:p>
        </w:tc>
        <w:tc>
          <w:tcPr>
            <w:tcW w:w="3112" w:type="dxa"/>
          </w:tcPr>
          <w:p>
            <w:pPr>
              <w:pStyle w:val="TableParagraph"/>
              <w:spacing w:before="110"/>
              <w:ind w:left="134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杨建江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280" w:type="dxa"/>
          </w:tcPr>
          <w:p>
            <w:pPr>
              <w:pStyle w:val="TableParagraph"/>
              <w:spacing w:before="87"/>
              <w:ind w:left="146" w:right="1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联系人</w:t>
            </w:r>
          </w:p>
        </w:tc>
        <w:tc>
          <w:tcPr>
            <w:tcW w:w="3420" w:type="dxa"/>
          </w:tcPr>
          <w:p>
            <w:pPr>
              <w:pStyle w:val="TableParagraph"/>
              <w:spacing w:before="87"/>
              <w:ind w:left="135" w:right="1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朱小艳</w:t>
            </w:r>
          </w:p>
        </w:tc>
        <w:tc>
          <w:tcPr>
            <w:tcW w:w="1260" w:type="dxa"/>
          </w:tcPr>
          <w:p>
            <w:pPr>
              <w:pStyle w:val="TableParagraph"/>
              <w:spacing w:before="87"/>
              <w:ind w:left="136" w:right="12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联系电话</w:t>
            </w:r>
          </w:p>
        </w:tc>
        <w:tc>
          <w:tcPr>
            <w:tcW w:w="3112" w:type="dxa"/>
          </w:tcPr>
          <w:p>
            <w:pPr>
              <w:pStyle w:val="TableParagraph"/>
              <w:spacing w:before="103"/>
              <w:ind w:left="134" w:right="12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15205743276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99"/>
          <w:jc w:val="left"/>
        </w:trPr>
        <w:tc>
          <w:tcPr>
            <w:tcW w:w="9072" w:type="dxa"/>
            <w:gridSpan w:val="4"/>
          </w:tcPr>
          <w:p>
            <w:pPr>
              <w:pStyle w:val="TableParagraph"/>
              <w:spacing w:before="124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宁波市鄞州区环保局：</w:t>
            </w:r>
          </w:p>
          <w:p>
            <w:pPr>
              <w:pStyle w:val="TableParagraph"/>
              <w:spacing w:before="153" w:line="360" w:lineRule="auto"/>
              <w:ind w:left="107" w:right="97" w:firstLine="48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经认真审查委托宁波市鄞州兴达环保工程有限公司编制的“年产 </w:t>
            </w:r>
            <w:r>
              <w:rPr>
                <w:rFonts w:ascii="Times New Roman" w:eastAsia="Times New Roman" w:hAnsi="Times New Roman"/>
                <w:sz w:val="24"/>
              </w:rPr>
              <w:t>25</w:t>
            </w:r>
            <w:r>
              <w:rPr>
                <w:rFonts w:ascii="Times New Roman" w:eastAsia="Times New Roman" w:hAnsi="Times New Roman"/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套静止无功</w:t>
            </w:r>
            <w:r>
              <w:rPr>
                <w:spacing w:val="-9"/>
                <w:sz w:val="24"/>
              </w:rPr>
              <w:t xml:space="preserve">发生器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SVG</w:t>
            </w:r>
            <w:r>
              <w:rPr>
                <w:rFonts w:ascii="Times New Roman" w:eastAsia="Times New Roman" w:hAnsi="Times New Roman"/>
                <w:spacing w:val="-1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机械装置项目环境影响报告表”，确认该环评文件所述内容属实，并承诺</w:t>
            </w:r>
            <w:r>
              <w:rPr>
                <w:spacing w:val="-2"/>
                <w:sz w:val="24"/>
              </w:rPr>
              <w:t>落实如下环保措施：</w:t>
            </w:r>
          </w:p>
          <w:p>
            <w:pPr>
              <w:pStyle w:val="TableParagraph"/>
              <w:spacing w:line="304" w:lineRule="exact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pacing w:val="-2"/>
                <w:sz w:val="24"/>
              </w:rPr>
              <w:t>、废气治理</w:t>
            </w:r>
          </w:p>
          <w:p>
            <w:pPr>
              <w:pStyle w:val="TableParagraph"/>
              <w:spacing w:before="152" w:line="360" w:lineRule="auto"/>
              <w:ind w:left="107" w:right="95" w:firstLine="480"/>
              <w:jc w:val="both"/>
              <w:rPr>
                <w:sz w:val="24"/>
              </w:rPr>
            </w:pPr>
            <w:r>
              <w:rPr>
                <w:sz w:val="24"/>
              </w:rPr>
              <w:t>各个点焊机上方安装捕集装置（</w:t>
            </w:r>
            <w:r>
              <w:rPr>
                <w:spacing w:val="-7"/>
                <w:sz w:val="24"/>
              </w:rPr>
              <w:t xml:space="preserve">捕集率 </w:t>
            </w:r>
            <w:r>
              <w:rPr>
                <w:rFonts w:ascii="Times New Roman" w:eastAsia="Times New Roman" w:hAnsi="Times New Roman"/>
                <w:sz w:val="24"/>
              </w:rPr>
              <w:t>80%</w:t>
            </w:r>
            <w:r>
              <w:rPr>
                <w:sz w:val="24"/>
              </w:rPr>
              <w:t>以上</w:t>
            </w:r>
            <w:r>
              <w:rPr>
                <w:spacing w:val="-118"/>
                <w:sz w:val="24"/>
              </w:rPr>
              <w:t>）</w:t>
            </w:r>
            <w:r>
              <w:rPr>
                <w:sz w:val="24"/>
              </w:rPr>
              <w:t>，焊接烟尘收集后经烟尘净化</w:t>
            </w:r>
            <w:r>
              <w:rPr>
                <w:spacing w:val="-4"/>
                <w:sz w:val="24"/>
              </w:rPr>
              <w:t>处理器（</w:t>
            </w:r>
            <w:r>
              <w:rPr>
                <w:spacing w:val="-7"/>
                <w:sz w:val="24"/>
              </w:rPr>
              <w:t xml:space="preserve">处理效率 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80%</w:t>
            </w:r>
            <w:r>
              <w:rPr>
                <w:spacing w:val="-4"/>
                <w:sz w:val="24"/>
              </w:rPr>
              <w:t>以上）处理，治理后焊接烟尘排放浓度约≤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2mg/m</w:t>
            </w:r>
            <w:r>
              <w:rPr>
                <w:rFonts w:ascii="Times New Roman" w:eastAsia="Times New Roman" w:hAnsi="Times New Roman"/>
                <w:spacing w:val="-4"/>
                <w:position w:val="7"/>
                <w:sz w:val="16"/>
              </w:rPr>
              <w:t>3</w:t>
            </w:r>
            <w:r>
              <w:rPr>
                <w:spacing w:val="-4"/>
                <w:sz w:val="24"/>
              </w:rPr>
              <w:t>，再经不低</w:t>
            </w:r>
            <w:r>
              <w:rPr>
                <w:spacing w:val="-11"/>
                <w:sz w:val="24"/>
              </w:rPr>
              <w:t xml:space="preserve">于 </w:t>
            </w:r>
            <w:r>
              <w:rPr>
                <w:rFonts w:ascii="Times New Roman" w:eastAsia="Times New Roman" w:hAnsi="Times New Roman"/>
                <w:sz w:val="24"/>
              </w:rPr>
              <w:t xml:space="preserve">15m </w:t>
            </w:r>
            <w:r>
              <w:rPr>
                <w:sz w:val="24"/>
              </w:rPr>
              <w:t>排气筒高空排放。</w:t>
            </w:r>
          </w:p>
          <w:p>
            <w:pPr>
              <w:pStyle w:val="TableParagraph"/>
              <w:spacing w:line="304" w:lineRule="exact"/>
              <w:ind w:left="58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>、废水治理</w:t>
            </w:r>
          </w:p>
          <w:p>
            <w:pPr>
              <w:pStyle w:val="TableParagraph"/>
              <w:spacing w:before="153" w:line="360" w:lineRule="auto"/>
              <w:ind w:left="107" w:right="93" w:firstLine="48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生活污水经化粪池预处理处理执行 </w:t>
            </w:r>
            <w:r>
              <w:rPr>
                <w:rFonts w:ascii="Times New Roman" w:eastAsia="Times New Roman"/>
                <w:spacing w:val="-2"/>
                <w:sz w:val="24"/>
              </w:rPr>
              <w:t>GB8978-1996</w:t>
            </w:r>
            <w:r>
              <w:rPr>
                <w:spacing w:val="-2"/>
                <w:sz w:val="24"/>
              </w:rPr>
              <w:t>《污水综合排放标准》的三级标</w:t>
            </w:r>
            <w:r>
              <w:rPr>
                <w:sz w:val="24"/>
              </w:rPr>
              <w:t xml:space="preserve">准后排入市政污水管网，经鄞西污水处理厂处理后达到 </w:t>
            </w:r>
            <w:r>
              <w:rPr>
                <w:rFonts w:ascii="Times New Roman" w:eastAsia="Times New Roman"/>
                <w:sz w:val="24"/>
              </w:rPr>
              <w:t>GB18918-2002</w:t>
            </w:r>
            <w:r>
              <w:rPr>
                <w:sz w:val="24"/>
              </w:rPr>
              <w:t>《城镇污水处</w:t>
            </w:r>
            <w:r>
              <w:rPr>
                <w:spacing w:val="-2"/>
                <w:sz w:val="24"/>
              </w:rPr>
              <w:t xml:space="preserve">理厂污染物排放标准》的一级 </w:t>
            </w:r>
            <w:r>
              <w:rPr>
                <w:rFonts w:ascii="Times New Roman" w:eastAsia="Times New Roman"/>
                <w:sz w:val="24"/>
              </w:rPr>
              <w:t xml:space="preserve">A </w:t>
            </w:r>
            <w:r>
              <w:rPr>
                <w:sz w:val="24"/>
              </w:rPr>
              <w:t>标准排放。</w:t>
            </w:r>
          </w:p>
          <w:p>
            <w:pPr>
              <w:pStyle w:val="TableParagraph"/>
              <w:spacing w:line="304" w:lineRule="exact"/>
              <w:ind w:left="58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>、固废治理</w:t>
            </w:r>
          </w:p>
          <w:p>
            <w:pPr>
              <w:pStyle w:val="TableParagraph"/>
              <w:spacing w:before="152" w:line="360" w:lineRule="auto"/>
              <w:ind w:left="107" w:right="96" w:firstLine="436"/>
              <w:rPr>
                <w:sz w:val="24"/>
              </w:rPr>
            </w:pPr>
            <w:r>
              <w:rPr>
                <w:spacing w:val="-2"/>
                <w:sz w:val="24"/>
              </w:rPr>
              <w:t>废弃金属边角料全部外卖，实现资源化利用；生活垃圾委托环卫部门定时清运，</w:t>
            </w:r>
            <w:r>
              <w:rPr>
                <w:spacing w:val="-2"/>
                <w:sz w:val="24"/>
              </w:rPr>
              <w:t>不造成二次污染。</w:t>
            </w:r>
          </w:p>
          <w:p>
            <w:pPr>
              <w:pStyle w:val="TableParagraph"/>
              <w:spacing w:line="305" w:lineRule="exact"/>
              <w:ind w:left="54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、噪声治理</w:t>
            </w:r>
          </w:p>
          <w:p>
            <w:pPr>
              <w:pStyle w:val="TableParagraph"/>
              <w:spacing w:before="153" w:line="360" w:lineRule="auto"/>
              <w:ind w:left="107" w:right="97" w:firstLine="43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合理规划设备布局，车间采用实心墙体，必要时安装隔声玻璃、吸声性能良好的</w:t>
            </w:r>
            <w:r>
              <w:rPr>
                <w:spacing w:val="-2"/>
                <w:sz w:val="24"/>
              </w:rPr>
              <w:t>吸声体；项目设备尽量选购低噪声设备，振动设备均应设防振基础或减震垫；在厂区</w:t>
            </w:r>
            <w:r>
              <w:rPr>
                <w:spacing w:val="-2"/>
                <w:sz w:val="24"/>
              </w:rPr>
              <w:t>内种植绿化，起到防震，减噪作用；合理作业，定期维修设备，避免设备运行不畅产</w:t>
            </w:r>
            <w:r>
              <w:rPr>
                <w:spacing w:val="-2"/>
                <w:sz w:val="24"/>
              </w:rPr>
              <w:t>生的噪声。</w:t>
            </w:r>
          </w:p>
          <w:p>
            <w:pPr>
              <w:pStyle w:val="TableParagraph"/>
              <w:spacing w:line="302" w:lineRule="exact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5</w:t>
            </w:r>
            <w:r>
              <w:rPr>
                <w:spacing w:val="-4"/>
                <w:sz w:val="24"/>
              </w:rPr>
              <w:t>、危废</w:t>
            </w:r>
          </w:p>
          <w:p>
            <w:pPr>
              <w:pStyle w:val="TableParagraph"/>
              <w:spacing w:before="152" w:line="360" w:lineRule="auto"/>
              <w:ind w:left="107" w:right="97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废皂化液、废液压油及废机油委托有资质单位处置，并严格执行危险废物转移联</w:t>
            </w:r>
            <w:r>
              <w:rPr>
                <w:spacing w:val="-2"/>
                <w:sz w:val="24"/>
              </w:rPr>
              <w:t>单制度，同时需控制危险废物在装运、存放过程中的跑、冒、滴、漏。</w:t>
            </w:r>
          </w:p>
          <w:p>
            <w:pPr>
              <w:pStyle w:val="TableParagraph"/>
              <w:spacing w:line="305" w:lineRule="exact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</w:t>
            </w:r>
            <w:r>
              <w:rPr>
                <w:spacing w:val="-4"/>
                <w:sz w:val="24"/>
              </w:rPr>
              <w:t>、其他</w:t>
            </w:r>
          </w:p>
          <w:p>
            <w:pPr>
              <w:pStyle w:val="TableParagraph"/>
              <w:spacing w:before="153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加强管理，文明操作、节约用水、电等资源，积极探索先进的生产工艺、改进设</w:t>
            </w:r>
          </w:p>
        </w:tc>
      </w:tr>
    </w:tbl>
    <w:p>
      <w:pPr>
        <w:spacing w:after="0"/>
        <w:rPr>
          <w:sz w:val="24"/>
        </w:rPr>
        <w:sectPr>
          <w:footerReference w:type="default" r:id="rId11"/>
          <w:pgSz w:w="11910" w:h="16840"/>
          <w:pgMar w:top="1480" w:right="1240" w:bottom="1180" w:left="1280" w:header="0" w:footer="990"/>
          <w:pgNumType w:start="5"/>
          <w:cols w:space="708"/>
        </w:sectPr>
      </w:pPr>
    </w:p>
    <w:p>
      <w:pPr>
        <w:pStyle w:val="BodyText"/>
        <w:spacing w:before="140" w:line="321" w:lineRule="auto"/>
        <w:ind w:left="724" w:right="740" w:hanging="480"/>
      </w:pPr>
      <w:r>
        <w:pict>
          <v:shape id="_x0000_s1026" style="width:454.1pt;height:687.55pt;margin-top:72.25pt;margin-left:70.6pt;mso-position-horizontal-relative:page;mso-position-vertical-relative:page;position:absolute;z-index:-251657216" coordorigin="1412,1445" coordsize="9082,13751" path="m1417,1450l1417,15191m10489,1450l10489,15191m1412,1445l10494,1445m2697,11231l2697,15191m1422,11226l10484,11226m1412,15196l10494,15196e" filled="f" stroked="t" strokecolor="black" strokeweight="0.5pt">
            <v:stroke dashstyle="solid"/>
            <v:path arrowok="t"/>
          </v:shape>
        </w:pict>
      </w:r>
      <w:r>
        <w:rPr>
          <w:spacing w:val="-2"/>
        </w:rPr>
        <w:t>备。本项目生产内容及规模如发生重大变更，将重新编制相应的环评报告报批。</w:t>
      </w:r>
      <w:r>
        <w:rPr>
          <w:spacing w:val="-2"/>
        </w:rPr>
        <w:t>现将本项目环评报告文件报呈贵局，请出具有关审批意见。</w:t>
      </w:r>
    </w:p>
    <w:p>
      <w:pPr>
        <w:pStyle w:val="BodyText"/>
        <w:spacing w:line="312" w:lineRule="auto"/>
        <w:ind w:left="5764" w:right="1460" w:hanging="144"/>
      </w:pPr>
      <w:r>
        <w:rPr>
          <w:spacing w:val="-2"/>
        </w:rPr>
        <w:t>建设单位（盖章）：</w:t>
      </w:r>
      <w:r>
        <w:rPr>
          <w:spacing w:val="-2"/>
        </w:rPr>
        <w:t>法人代表（签字</w:t>
      </w:r>
      <w:r>
        <w:rPr>
          <w:spacing w:val="-2"/>
        </w:rPr>
        <w:t>）：</w:t>
      </w:r>
    </w:p>
    <w:p>
      <w:pPr>
        <w:pStyle w:val="BodyText"/>
        <w:tabs>
          <w:tab w:val="left" w:pos="6604"/>
          <w:tab w:val="left" w:pos="7204"/>
        </w:tabs>
        <w:ind w:left="6004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536"/>
      </w:pPr>
      <w:r>
        <w:rPr>
          <w:spacing w:val="-5"/>
        </w:rPr>
        <w:t>备注</w:t>
      </w:r>
    </w:p>
    <w:p>
      <w:pPr>
        <w:spacing w:after="0"/>
        <w:sectPr>
          <w:footerReference w:type="default" r:id="rId12"/>
          <w:pgSz w:w="11910" w:h="16840"/>
          <w:pgMar w:top="1420" w:right="1240" w:bottom="1180" w:left="1280" w:header="0" w:footer="990"/>
          <w:pgNumType w:start="6"/>
          <w:cols w:space="708"/>
        </w:sectPr>
      </w:pPr>
    </w:p>
    <w:p>
      <w:pPr>
        <w:pStyle w:val="BodyText"/>
        <w:spacing w:before="52"/>
        <w:ind w:right="39"/>
        <w:jc w:val="center"/>
        <w:rPr>
          <w:rFonts w:ascii="黑体" w:eastAsia="黑体"/>
        </w:rPr>
      </w:pPr>
      <w:r>
        <w:rPr>
          <w:rFonts w:ascii="黑体" w:eastAsia="黑体"/>
          <w:spacing w:val="-1"/>
        </w:rPr>
        <w:t>《建设项目环境影响报告表》编制说明</w:t>
      </w: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  <w:sz w:val="25"/>
        </w:rPr>
      </w:pPr>
    </w:p>
    <w:p>
      <w:pPr>
        <w:pStyle w:val="BodyText"/>
        <w:spacing w:before="1"/>
        <w:ind w:left="936"/>
      </w:pPr>
      <w:r>
        <w:rPr>
          <w:spacing w:val="-10"/>
        </w:rPr>
        <w:t>《建设项目环境影响报告表》由具有从事环境影响评价工作资质的单位编制。</w:t>
      </w:r>
    </w:p>
    <w:p>
      <w:pPr>
        <w:pStyle w:val="BodyText"/>
        <w:spacing w:before="160" w:line="364" w:lineRule="auto"/>
        <w:ind w:left="516" w:right="555" w:firstLine="420"/>
      </w:pPr>
      <w:r>
        <w:rPr>
          <w:rFonts w:ascii="Times New Roman" w:eastAsia="Times New Roman" w:hAnsi="Times New Roman"/>
          <w:spacing w:val="-2"/>
        </w:rPr>
        <w:t>1</w:t>
      </w:r>
      <w:r>
        <w:rPr>
          <w:spacing w:val="-5"/>
        </w:rPr>
        <w:t xml:space="preserve">、项目名称―指项目立项批复时的名称，应不超过 </w:t>
      </w:r>
      <w:r>
        <w:rPr>
          <w:rFonts w:ascii="Times New Roman" w:eastAsia="Times New Roman" w:hAnsi="Times New Roman"/>
          <w:spacing w:val="-2"/>
        </w:rPr>
        <w:t xml:space="preserve">30 </w:t>
      </w:r>
      <w:r>
        <w:rPr>
          <w:spacing w:val="-2"/>
        </w:rPr>
        <w:t>个字（两个英文字段</w:t>
      </w:r>
      <w:r>
        <w:rPr>
          <w:spacing w:val="-2"/>
        </w:rPr>
        <w:t>作一个汉字</w:t>
      </w:r>
      <w:r>
        <w:rPr>
          <w:spacing w:val="-120"/>
        </w:rPr>
        <w:t>）</w:t>
      </w:r>
      <w:r>
        <w:rPr>
          <w:spacing w:val="-2"/>
        </w:rPr>
        <w:t>。</w:t>
      </w:r>
    </w:p>
    <w:p>
      <w:pPr>
        <w:pStyle w:val="BodyText"/>
        <w:spacing w:before="1"/>
        <w:ind w:left="936"/>
      </w:pPr>
      <w:r>
        <w:rPr>
          <w:rFonts w:ascii="Times New Roman" w:eastAsia="Times New Roman" w:hAnsi="Times New Roman"/>
        </w:rPr>
        <w:t>2</w:t>
      </w:r>
      <w:r>
        <w:rPr>
          <w:spacing w:val="-1"/>
        </w:rPr>
        <w:t>、建设地点―指项目所在地详细地址，公路、铁路应填写起止地点。</w:t>
      </w:r>
    </w:p>
    <w:p>
      <w:pPr>
        <w:pStyle w:val="BodyText"/>
        <w:spacing w:before="161"/>
        <w:ind w:left="936"/>
      </w:pPr>
      <w:r>
        <w:rPr>
          <w:rFonts w:ascii="Times New Roman" w:eastAsia="Times New Roman" w:hAnsi="Times New Roman"/>
        </w:rPr>
        <w:t>3</w:t>
      </w:r>
      <w:r>
        <w:rPr>
          <w:spacing w:val="-1"/>
        </w:rPr>
        <w:t>、行业类别―按国标填写。</w:t>
      </w:r>
    </w:p>
    <w:p>
      <w:pPr>
        <w:pStyle w:val="BodyText"/>
        <w:spacing w:before="160"/>
        <w:ind w:left="936"/>
      </w:pPr>
      <w:r>
        <w:rPr>
          <w:rFonts w:ascii="Times New Roman" w:eastAsia="Times New Roman" w:hAnsi="Times New Roman"/>
        </w:rPr>
        <w:t>4</w:t>
      </w:r>
      <w:r>
        <w:rPr>
          <w:spacing w:val="-1"/>
        </w:rPr>
        <w:t>、总投资―指项目投资总额。</w:t>
      </w:r>
    </w:p>
    <w:p>
      <w:pPr>
        <w:pStyle w:val="BodyText"/>
        <w:spacing w:before="161" w:line="364" w:lineRule="auto"/>
        <w:ind w:left="516" w:right="468" w:firstLine="420"/>
      </w:pPr>
      <w:r>
        <w:rPr>
          <w:rFonts w:ascii="Times New Roman" w:eastAsia="Times New Roman" w:hAnsi="Times New Roman"/>
        </w:rPr>
        <w:t>5</w:t>
      </w:r>
      <w:r>
        <w:rPr>
          <w:spacing w:val="1"/>
        </w:rPr>
        <w:t>、主要环境保护目标―指项目区周围一定范围内集中居民住宅区、学校、</w:t>
      </w:r>
      <w:r>
        <w:t>医院、保护文物、风景名胜区、水源地和生态敏感点等，应可能给出保护目标、性质、规模和距厂界距离等。</w:t>
      </w:r>
    </w:p>
    <w:p>
      <w:pPr>
        <w:pStyle w:val="BodyText"/>
        <w:spacing w:before="2" w:line="364" w:lineRule="auto"/>
        <w:ind w:left="516" w:right="555" w:firstLine="480"/>
        <w:jc w:val="both"/>
      </w:pPr>
      <w:r>
        <w:rPr>
          <w:rFonts w:ascii="Times New Roman" w:eastAsia="Times New Roman" w:hAnsi="Times New Roman"/>
          <w:spacing w:val="-2"/>
        </w:rPr>
        <w:t>6</w:t>
      </w:r>
      <w:r>
        <w:rPr>
          <w:spacing w:val="-2"/>
        </w:rPr>
        <w:t>、结论与建议―给出本项目清洁生产、达标排放和总量控制的分析结论，</w:t>
      </w:r>
      <w:r>
        <w:rPr>
          <w:spacing w:val="-4"/>
        </w:rPr>
        <w:t>确定污染防治措施的有效性，说明本项目对环境造成的影响，给出建设项目环境</w:t>
      </w:r>
      <w:r>
        <w:rPr>
          <w:spacing w:val="-2"/>
        </w:rPr>
        <w:t>可行性结论。同时提出减少环境影响的其他建议。</w:t>
      </w:r>
    </w:p>
    <w:p>
      <w:pPr>
        <w:pStyle w:val="BodyText"/>
        <w:spacing w:before="1"/>
        <w:ind w:left="996"/>
      </w:pPr>
      <w:r>
        <w:rPr>
          <w:rFonts w:ascii="Times New Roman" w:eastAsia="Times New Roman" w:hAnsi="Times New Roman"/>
        </w:rPr>
        <w:t>7</w:t>
      </w:r>
      <w:r>
        <w:rPr>
          <w:spacing w:val="-1"/>
        </w:rPr>
        <w:t>、预审意见―由行业主管部门填写答复意见，无主管部门项目，可不填。</w:t>
      </w:r>
    </w:p>
    <w:p>
      <w:pPr>
        <w:pStyle w:val="BodyText"/>
        <w:spacing w:before="161"/>
        <w:ind w:left="996"/>
      </w:pPr>
      <w:r>
        <w:t>8</w:t>
      </w:r>
      <w:r>
        <w:rPr>
          <w:spacing w:val="-1"/>
        </w:rPr>
        <w:t>、审批意见―由负责审批该项目的环境保护主管部门批复。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879"/>
        </w:tabs>
        <w:ind w:left="1400"/>
        <w:jc w:val="center"/>
      </w:pPr>
      <w:r>
        <w:rPr>
          <w:spacing w:val="-10"/>
        </w:rPr>
        <w:t>目</w:t>
      </w:r>
      <w:r>
        <w:tab/>
      </w:r>
      <w:r>
        <w:rPr>
          <w:spacing w:val="-10"/>
        </w:rPr>
        <w:t>录</w:t>
      </w:r>
    </w:p>
    <w:p>
      <w:pPr>
        <w:spacing w:after="0"/>
        <w:jc w:val="center"/>
        <w:sectPr>
          <w:footerReference w:type="default" r:id="rId13"/>
          <w:pgSz w:w="11910" w:h="16840"/>
          <w:pgMar w:top="1920" w:right="1240" w:bottom="1180" w:left="1280" w:header="0" w:footer="99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sdt>
      <w:sdtPr>
        <w:id w:val="8406656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818"/>
            </w:tabs>
            <w:spacing w:before="78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一、建设项目基本情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8" w:history="1">
            <w:r>
              <w:t>二、建设项目所在地自然环境社会环境简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818"/>
            </w:tabs>
            <w:spacing w:before="210"/>
            <w:rPr>
              <w:rFonts w:ascii="Times New Roman" w:eastAsia="Times New Roman"/>
            </w:rPr>
          </w:pPr>
          <w:hyperlink w:anchor="_TOC_250007" w:history="1">
            <w:r>
              <w:t>三、环境质量状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6" w:history="1">
            <w:r>
              <w:t>四、评价适用标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5" w:history="1">
            <w:r>
              <w:t>五、建设项目工程分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4" w:history="1">
            <w:r>
              <w:t>六、项目主要污染物及预计排放情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3" w:history="1">
            <w:r>
              <w:t>七、环境影响分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2" w:history="1">
            <w:r>
              <w:t>八、建设项目拟采取的防治措施及预期治理效</w:t>
            </w:r>
            <w:r>
              <w:rPr>
                <w:spacing w:val="-10"/>
              </w:rPr>
              <w:t>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31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1" w:history="1">
            <w:r>
              <w:t>九、产业政策符合性分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32</w:t>
            </w:r>
          </w:hyperlink>
        </w:p>
        <w:p>
          <w:pPr>
            <w:pStyle w:val="TOC1"/>
            <w:tabs>
              <w:tab w:val="right" w:leader="dot" w:pos="8818"/>
            </w:tabs>
            <w:rPr>
              <w:rFonts w:ascii="Times New Roman" w:eastAsia="Times New Roman"/>
            </w:rPr>
          </w:pPr>
          <w:hyperlink w:anchor="_TOC_250000" w:history="1">
            <w:r>
              <w:t>十、结论与建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33</w:t>
            </w:r>
          </w:hyperlink>
        </w:p>
        <w:p>
          <w:pPr>
            <w:spacing w:before="0" w:line="240" w:lineRule="auto"/>
            <w:rPr>
              <w:rFonts w:ascii="Times New Roman"/>
              <w:sz w:val="22"/>
            </w:rPr>
          </w:pPr>
          <w:r>
            <w:fldChar w:fldCharType="end"/>
          </w:r>
        </w:p>
      </w:sdtContent>
    </w:sdt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4"/>
        <w:rPr>
          <w:rFonts w:ascii="Times New Roman"/>
          <w:sz w:val="30"/>
        </w:rPr>
      </w:pPr>
    </w:p>
    <w:p>
      <w:pPr>
        <w:pStyle w:val="Heading2"/>
      </w:pPr>
      <w:r>
        <w:rPr>
          <w:spacing w:val="-4"/>
        </w:rPr>
        <w:t>附件：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ind w:left="516"/>
      </w:pPr>
      <w:r>
        <w:rPr>
          <w:rFonts w:ascii="Times New Roman" w:eastAsia="Times New Roman"/>
        </w:rPr>
        <w:t>1</w:t>
      </w:r>
      <w:r>
        <w:rPr>
          <w:spacing w:val="-2"/>
        </w:rPr>
        <w:t>、企业营业执照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516"/>
      </w:pPr>
      <w:r>
        <w:rPr>
          <w:rFonts w:ascii="Times New Roman" w:eastAsia="Times New Roman"/>
        </w:rPr>
        <w:t>2</w:t>
      </w:r>
      <w:r>
        <w:rPr>
          <w:spacing w:val="-3"/>
        </w:rPr>
        <w:t>、土地证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51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3</w:t>
      </w:r>
      <w:r>
        <w:rPr>
          <w:spacing w:val="-10"/>
        </w:rPr>
        <w:t>、鄞州区集士港镇Ⅲ</w:t>
      </w:r>
      <w:r>
        <w:rPr>
          <w:rFonts w:ascii="Times New Roman" w:eastAsia="Times New Roman" w:hAnsi="Times New Roman"/>
        </w:rPr>
        <w:t>-9-4</w:t>
      </w:r>
      <w:r>
        <w:rPr>
          <w:rFonts w:ascii="Times New Roman" w:eastAsia="Times New Roman" w:hAnsi="Times New Roman"/>
          <w:spacing w:val="-13"/>
        </w:rPr>
        <w:t xml:space="preserve"> </w:t>
      </w:r>
      <w:r>
        <w:rPr>
          <w:spacing w:val="-5"/>
        </w:rPr>
        <w:t xml:space="preserve">地块规划设计条件 编号 </w:t>
      </w:r>
      <w:r>
        <w:rPr>
          <w:rFonts w:ascii="Times New Roman" w:eastAsia="Times New Roman" w:hAnsi="Times New Roman"/>
        </w:rPr>
        <w:t>2013</w:t>
      </w:r>
      <w:r>
        <w:rPr>
          <w:rFonts w:ascii="Times New Roman" w:eastAsia="Times New Roman" w:hAnsi="Times New Roman"/>
          <w:spacing w:val="-12"/>
        </w:rPr>
        <w:t xml:space="preserve"> </w:t>
      </w:r>
      <w:r>
        <w:rPr>
          <w:spacing w:val="-35"/>
        </w:rPr>
        <w:t>浙规</w:t>
      </w:r>
      <w:r>
        <w:t>（条件）</w:t>
      </w:r>
      <w:r>
        <w:rPr>
          <w:rFonts w:ascii="Times New Roman" w:eastAsia="Times New Roman" w:hAnsi="Times New Roman"/>
        </w:rPr>
        <w:t>13-</w:t>
      </w:r>
      <w:r>
        <w:rPr>
          <w:rFonts w:ascii="Times New Roman" w:eastAsia="Times New Roman" w:hAnsi="Times New Roman"/>
          <w:spacing w:val="-2"/>
        </w:rPr>
        <w:t>0260412</w:t>
      </w:r>
    </w:p>
    <w:p>
      <w:pPr>
        <w:pStyle w:val="BodyText"/>
        <w:spacing w:before="2"/>
        <w:rPr>
          <w:rFonts w:ascii="Times New Roman"/>
          <w:sz w:val="31"/>
        </w:rPr>
      </w:pPr>
    </w:p>
    <w:p>
      <w:pPr>
        <w:pStyle w:val="BodyText"/>
        <w:ind w:left="516"/>
      </w:pPr>
      <w:r>
        <w:t>4、宁波市鄞州区外商投资项目备案表 鄞发改外备[2015]2</w:t>
      </w:r>
      <w:r>
        <w:rPr>
          <w:spacing w:val="-35"/>
        </w:rPr>
        <w:t xml:space="preserve"> 号</w:t>
      </w:r>
    </w:p>
    <w:p>
      <w:pPr>
        <w:spacing w:after="0"/>
        <w:sectPr>
          <w:footerReference w:type="default" r:id="rId14"/>
          <w:pgSz w:w="11910" w:h="16840"/>
          <w:pgMar w:top="1920" w:right="1240" w:bottom="1180" w:left="1280" w:header="0" w:footer="990"/>
          <w:pgNumType w:start="8"/>
          <w:cols w:space="708"/>
        </w:sectPr>
      </w:pPr>
    </w:p>
    <w:p>
      <w:pPr>
        <w:pStyle w:val="Heading1"/>
      </w:pPr>
      <w:r>
        <w:pict>
          <v:shape id="_x0000_s1027" type="#_x0000_t202" style="width:455.85pt;height:663.25pt;margin-top:95pt;margin-left:69.72pt;mso-position-horizontal-relative:page;mso-position-vertical-relative:page;position:absolute;z-index:2516602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97"/>
                    <w:gridCol w:w="350"/>
                    <w:gridCol w:w="945"/>
                    <w:gridCol w:w="928"/>
                    <w:gridCol w:w="597"/>
                    <w:gridCol w:w="612"/>
                    <w:gridCol w:w="509"/>
                    <w:gridCol w:w="262"/>
                    <w:gridCol w:w="247"/>
                    <w:gridCol w:w="95"/>
                    <w:gridCol w:w="1389"/>
                    <w:gridCol w:w="449"/>
                    <w:gridCol w:w="1295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项目名称</w:t>
                        </w:r>
                      </w:p>
                    </w:tc>
                    <w:tc>
                      <w:tcPr>
                        <w:tcW w:w="7678" w:type="dxa"/>
                        <w:gridSpan w:val="1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435" w:right="139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0"/>
                            <w:sz w:val="24"/>
                          </w:rPr>
                          <w:t xml:space="preserve">年产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25</w:t>
                        </w:r>
                        <w:r>
                          <w:rPr>
                            <w:rFonts w:ascii="Times New Roman" w:eastAsia="Times New Roman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套静止无功发生器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SVG</w:t>
                        </w:r>
                        <w:r>
                          <w:rPr>
                            <w:rFonts w:ascii="Times New Roman" w:eastAsia="Times New Roman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机械装置项目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建设单位</w:t>
                        </w:r>
                      </w:p>
                    </w:tc>
                    <w:tc>
                      <w:tcPr>
                        <w:tcW w:w="7678" w:type="dxa"/>
                        <w:gridSpan w:val="1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435" w:right="139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宁波特锐德电气有限公司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法人代表</w:t>
                        </w:r>
                      </w:p>
                    </w:tc>
                    <w:tc>
                      <w:tcPr>
                        <w:tcW w:w="2223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7"/>
                          <w:ind w:left="799" w:right="7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潘明靖</w:t>
                        </w:r>
                      </w:p>
                    </w:tc>
                    <w:tc>
                      <w:tcPr>
                        <w:tcW w:w="1209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联系人</w:t>
                        </w:r>
                      </w:p>
                    </w:tc>
                    <w:tc>
                      <w:tcPr>
                        <w:tcW w:w="4246" w:type="dxa"/>
                        <w:gridSpan w:val="7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756" w:right="171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朱小艳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通讯地址</w:t>
                        </w:r>
                      </w:p>
                    </w:tc>
                    <w:tc>
                      <w:tcPr>
                        <w:tcW w:w="7678" w:type="dxa"/>
                        <w:gridSpan w:val="1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917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浙江省宁波市鄞州区集士港镇丰成村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2223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468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2"/>
                            <w:sz w:val="24"/>
                          </w:rPr>
                          <w:t>15205743276</w:t>
                        </w:r>
                      </w:p>
                    </w:tc>
                    <w:tc>
                      <w:tcPr>
                        <w:tcW w:w="1209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传真</w:t>
                        </w:r>
                      </w:p>
                    </w:tc>
                    <w:tc>
                      <w:tcPr>
                        <w:tcW w:w="1113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3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邮政编码</w:t>
                        </w:r>
                      </w:p>
                    </w:tc>
                    <w:tc>
                      <w:tcPr>
                        <w:tcW w:w="1744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建设地点</w:t>
                        </w:r>
                      </w:p>
                    </w:tc>
                    <w:tc>
                      <w:tcPr>
                        <w:tcW w:w="7678" w:type="dxa"/>
                        <w:gridSpan w:val="1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917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浙江省宁波市鄞州区集士港镇丰成村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0"/>
                      <w:jc w:val="left"/>
                    </w:trPr>
                    <w:tc>
                      <w:tcPr>
                        <w:tcW w:w="1747" w:type="dxa"/>
                        <w:gridSpan w:val="2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立项审批部门</w:t>
                        </w:r>
                      </w:p>
                    </w:tc>
                    <w:tc>
                      <w:tcPr>
                        <w:tcW w:w="1873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440" w:lineRule="exact"/>
                          <w:ind w:left="125" w:right="78"/>
                          <w:rPr>
                            <w:sz w:val="24"/>
                          </w:rPr>
                        </w:pPr>
                        <w:r>
                          <w:rPr>
                            <w:spacing w:val="34"/>
                            <w:sz w:val="24"/>
                          </w:rPr>
                          <w:t>宁波市鄞州区</w:t>
                        </w:r>
                        <w:r>
                          <w:rPr>
                            <w:spacing w:val="-2"/>
                            <w:sz w:val="24"/>
                          </w:rPr>
                          <w:t>发展和改革局</w:t>
                        </w:r>
                      </w:p>
                    </w:tc>
                    <w:tc>
                      <w:tcPr>
                        <w:tcW w:w="198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批准文件号</w:t>
                        </w:r>
                      </w:p>
                    </w:tc>
                    <w:tc>
                      <w:tcPr>
                        <w:tcW w:w="3475" w:type="dxa"/>
                        <w:gridSpan w:val="5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鄞发改外备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[2015]2 </w:t>
                        </w:r>
                        <w:r>
                          <w:rPr>
                            <w:spacing w:val="-10"/>
                            <w:sz w:val="24"/>
                          </w:rPr>
                          <w:t>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建设性质</w:t>
                        </w:r>
                      </w:p>
                    </w:tc>
                    <w:tc>
                      <w:tcPr>
                        <w:tcW w:w="2223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799" w:right="75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新建</w:t>
                        </w:r>
                      </w:p>
                    </w:tc>
                    <w:tc>
                      <w:tcPr>
                        <w:tcW w:w="198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行业类别及代码</w:t>
                        </w:r>
                      </w:p>
                    </w:tc>
                    <w:tc>
                      <w:tcPr>
                        <w:tcW w:w="3475" w:type="dxa"/>
                        <w:gridSpan w:val="5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440" w:lineRule="exact"/>
                          <w:ind w:left="1496" w:right="141" w:hanging="1311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 w:eastAsia="Times New Roman"/>
                            <w:sz w:val="24"/>
                          </w:rPr>
                          <w:t>C3929</w:t>
                        </w:r>
                        <w:r>
                          <w:rPr>
                            <w:rFonts w:ascii="Times New Roman" w:eastAsia="Times New Roman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其他输配电及控制设备</w:t>
                        </w:r>
                        <w:r>
                          <w:rPr>
                            <w:spacing w:val="-6"/>
                            <w:sz w:val="24"/>
                          </w:rPr>
                          <w:t>制造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占地面积</w:t>
                        </w:r>
                      </w:p>
                    </w:tc>
                    <w:tc>
                      <w:tcPr>
                        <w:tcW w:w="2223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755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spacing w:val="-2"/>
                            <w:sz w:val="24"/>
                          </w:rPr>
                          <w:t>7794m</w:t>
                        </w:r>
                        <w:r>
                          <w:rPr>
                            <w:rFonts w:ascii="Times New Roman"/>
                            <w:spacing w:val="-2"/>
                            <w:position w:val="7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322" w:type="dxa"/>
                        <w:gridSpan w:val="6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绿化面积（平方米</w:t>
                        </w:r>
                        <w:r>
                          <w:rPr>
                            <w:spacing w:val="-10"/>
                            <w:sz w:val="24"/>
                          </w:rPr>
                          <w:t>）</w:t>
                        </w:r>
                      </w:p>
                    </w:tc>
                    <w:tc>
                      <w:tcPr>
                        <w:tcW w:w="3133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总投资</w:t>
                        </w:r>
                      </w:p>
                    </w:tc>
                    <w:tc>
                      <w:tcPr>
                        <w:tcW w:w="1295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440" w:lineRule="exact"/>
                          <w:ind w:left="544" w:right="109" w:hanging="390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 w:eastAsia="Times New Roman"/>
                            <w:sz w:val="24"/>
                          </w:rPr>
                          <w:t>3000</w:t>
                        </w:r>
                        <w:r>
                          <w:rPr>
                            <w:rFonts w:ascii="Times New Roman" w:eastAsia="Times New Roman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万港</w:t>
                        </w:r>
                        <w:r>
                          <w:rPr>
                            <w:spacing w:val="-10"/>
                            <w:sz w:val="24"/>
                          </w:rPr>
                          <w:t>元</w:t>
                        </w:r>
                      </w:p>
                    </w:tc>
                    <w:tc>
                      <w:tcPr>
                        <w:tcW w:w="1525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56"/>
                            <w:sz w:val="24"/>
                          </w:rPr>
                          <w:t>其中：环保投资</w:t>
                        </w:r>
                      </w:p>
                    </w:tc>
                    <w:tc>
                      <w:tcPr>
                        <w:tcW w:w="112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5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2442" w:type="dxa"/>
                        <w:gridSpan w:val="5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环保投资占总投资的比例</w:t>
                        </w:r>
                      </w:p>
                    </w:tc>
                    <w:tc>
                      <w:tcPr>
                        <w:tcW w:w="129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95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4"/>
                            <w:sz w:val="24"/>
                          </w:rPr>
                          <w:t>0.5%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397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评价经费</w:t>
                        </w:r>
                      </w:p>
                    </w:tc>
                    <w:tc>
                      <w:tcPr>
                        <w:tcW w:w="282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63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投产日期</w:t>
                        </w:r>
                      </w:p>
                    </w:tc>
                    <w:tc>
                      <w:tcPr>
                        <w:tcW w:w="3228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922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2015 </w:t>
                        </w:r>
                        <w:r>
                          <w:rPr>
                            <w:spacing w:val="-30"/>
                            <w:sz w:val="24"/>
                          </w:rPr>
                          <w:t xml:space="preserve">年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12 </w:t>
                        </w:r>
                        <w:r>
                          <w:rPr>
                            <w:spacing w:val="-10"/>
                            <w:sz w:val="24"/>
                          </w:rPr>
                          <w:t>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0"/>
                      <w:jc w:val="left"/>
                    </w:trPr>
                    <w:tc>
                      <w:tcPr>
                        <w:tcW w:w="9075" w:type="dxa"/>
                        <w:gridSpan w:val="13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0"/>
                          <w:ind w:left="108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24"/>
                          </w:rPr>
                          <w:t>一、项目由来：</w:t>
                        </w:r>
                      </w:p>
                      <w:p>
                        <w:pPr>
                          <w:pStyle w:val="TableParagraph"/>
                          <w:spacing w:before="106" w:line="360" w:lineRule="auto"/>
                          <w:ind w:left="107" w:right="65" w:firstLine="48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随着国家对节能环保的要求逐步提高，未来新增装机容量对应设备都会安装相对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应的无功补偿装置，预计到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2015 </w:t>
                        </w:r>
                        <w:r>
                          <w:rPr>
                            <w:sz w:val="24"/>
                          </w:rPr>
                          <w:t>年所有新增装机容量对应设备都会加装无功补偿装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置，原有设备改造比例也将会提高到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15%</w:t>
                        </w:r>
                        <w:r>
                          <w:rPr>
                            <w:sz w:val="24"/>
                          </w:rPr>
                          <w:t>。</w:t>
                        </w:r>
                      </w:p>
                      <w:p>
                        <w:pPr>
                          <w:pStyle w:val="TableParagraph"/>
                          <w:spacing w:line="360" w:lineRule="auto"/>
                          <w:ind w:left="107" w:right="-15" w:firstLine="480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静止无功发生器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SVG </w:t>
                        </w:r>
                        <w:r>
                          <w:rPr>
                            <w:sz w:val="24"/>
                          </w:rPr>
                          <w:t>装置应用范围非常广泛，目前主要应用于冶金、煤炭、电</w:t>
                        </w:r>
                        <w:r>
                          <w:rPr>
                            <w:spacing w:val="-2"/>
                            <w:sz w:val="24"/>
                          </w:rPr>
                          <w:t>力等行业，伴随我国动态无功补偿装置技术的不断成熟，应用领域也不断扩大，近几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年我国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SVG </w:t>
                        </w:r>
                        <w:r>
                          <w:rPr>
                            <w:sz w:val="24"/>
                          </w:rPr>
                          <w:t>产品的市场需求量迅速增长。国家电力部门的规定：凡是安装有低压变</w:t>
                        </w:r>
                        <w:r>
                          <w:rPr>
                            <w:spacing w:val="-5"/>
                            <w:sz w:val="24"/>
                          </w:rPr>
                          <w:t>压器地方及大型用电设备旁边都应该配备无功补偿装置，特别是那些</w:t>
                        </w:r>
                        <w:hyperlink r:id="rId15">
                          <w:r>
                            <w:rPr>
                              <w:spacing w:val="-2"/>
                              <w:sz w:val="24"/>
                            </w:rPr>
                            <w:t>功率因数较低的</w:t>
                          </w:r>
                        </w:hyperlink>
                        <w:r>
                          <w:rPr>
                            <w:spacing w:val="-2"/>
                            <w:sz w:val="24"/>
                          </w:rPr>
                          <w:t>工矿、企业、居民区必须安装。大型</w:t>
                        </w:r>
                        <w:hyperlink r:id="rId16">
                          <w:r>
                            <w:rPr>
                              <w:spacing w:val="-2"/>
                              <w:sz w:val="24"/>
                            </w:rPr>
                            <w:t>异步电机、</w:t>
                          </w:r>
                        </w:hyperlink>
                        <w:r>
                          <w:rPr>
                            <w:spacing w:val="-2"/>
                            <w:sz w:val="24"/>
                          </w:rPr>
                          <w:t>变压器、电焊机、冲床、车床群、空</w:t>
                        </w:r>
                        <w:r>
                          <w:rPr>
                            <w:spacing w:val="-2"/>
                            <w:sz w:val="24"/>
                          </w:rPr>
                          <w:t>压机、压力机、吊车、冶炼、轧钢、轧铝、大型交换机、电灌设备、电气机车等尤其</w:t>
                        </w:r>
                        <w:r>
                          <w:rPr>
                            <w:spacing w:val="-18"/>
                            <w:sz w:val="24"/>
                          </w:rPr>
                          <w:t>需要。居民区除白炽灯照明外，空调、冷冻机等也都是无功功率不可忽视的耗用对象。</w:t>
                        </w:r>
                        <w:r>
                          <w:rPr>
                            <w:spacing w:val="-2"/>
                            <w:sz w:val="24"/>
                          </w:rPr>
                          <w:t>农村用电状况比较恶劣，多数地区供电不足，电压波动很大，功率因数尤其低，加装</w:t>
                        </w:r>
                        <w:r>
                          <w:rPr>
                            <w:spacing w:val="-2"/>
                            <w:sz w:val="24"/>
                          </w:rPr>
                          <w:t>补偿设备是改善供电状况、提高电能利用率的有效措施。</w:t>
                        </w:r>
                      </w:p>
                      <w:p>
                        <w:pPr>
                          <w:pStyle w:val="TableParagraph"/>
                          <w:spacing w:line="296" w:lineRule="exact"/>
                          <w:ind w:right="11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 xml:space="preserve">宁波特锐德电气有限公司成立于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2013</w:t>
                        </w:r>
                        <w:r>
                          <w:rPr>
                            <w:rFonts w:ascii="Times New Roman" w:eastAsia="Times New Roman"/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6"/>
                            <w:sz w:val="24"/>
                          </w:rPr>
                          <w:t xml:space="preserve">年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5</w:t>
                        </w:r>
                        <w:r>
                          <w:rPr>
                            <w:rFonts w:ascii="Times New Roman" w:eastAsia="Times New Roman"/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月，厂址位于浙江省宁波市鄞州区集</w:t>
                        </w:r>
                      </w:p>
                      <w:p>
                        <w:pPr>
                          <w:pStyle w:val="TableParagraph"/>
                          <w:spacing w:before="149"/>
                          <w:ind w:right="11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 xml:space="preserve">士港镇丰成村。公司主营产品为静止无功发生器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SVG</w:t>
                        </w:r>
                        <w:r>
                          <w:rPr>
                            <w:rFonts w:ascii="Times New Roman" w:eastAsia="Times New Roman"/>
                            <w:spacing w:val="1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装置，是目前最先进的一种无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bookmarkStart w:id="0" w:name="_bookmark0"/>
      <w:bookmarkEnd w:id="0"/>
      <w:r>
        <w:rPr>
          <w:spacing w:val="-1"/>
        </w:rPr>
        <w:t>一、建设项目基本情况</w:t>
      </w:r>
    </w:p>
    <w:p>
      <w:pPr>
        <w:spacing w:after="0"/>
        <w:sectPr>
          <w:footerReference w:type="default" r:id="rId17"/>
          <w:pgSz w:w="11910" w:h="16840"/>
          <w:pgMar w:top="1460" w:right="1240" w:bottom="1180" w:left="1280" w:header="0" w:footer="988"/>
          <w:pgNumType w:start="9"/>
          <w:cols w:space="708"/>
        </w:sectPr>
      </w:pPr>
    </w:p>
    <w:p>
      <w:pPr>
        <w:pStyle w:val="BodyText"/>
        <w:spacing w:before="140" w:line="360" w:lineRule="auto"/>
        <w:ind w:left="244" w:right="332"/>
        <w:jc w:val="both"/>
      </w:pPr>
      <w:r>
        <w:pict>
          <v:group id="_x0000_s1028" style="width:455.85pt;height:691pt;margin-top:1in;margin-left:69.72pt;mso-position-horizontal-relative:page;mso-position-vertical-relative:page;position:absolute;z-index:-251655168" coordorigin="1394,1440" coordsize="9117,13820">
            <v:shape id="_x0000_s1029" style="width:9072;height:13800;left:1417;position:absolute;top:1450" coordorigin="1417,1450" coordsize="9072,13800" path="m1417,1450l1417,15250m10489,1450l10489,15250e" filled="f" stroked="t" strokecolor="black" strokeweight="2.25pt">
              <v:stroke dashstyle="solid"/>
              <v:path arrowok="t"/>
            </v:shape>
            <v:shape id="_x0000_s1030" style="width:9117;height:13810;left:1394;position:absolute;top:1445" coordorigin="1394,1445" coordsize="9117,13810" path="m1394,1445l10512,1445m1394,15255l10512,15255e" filled="f" stroked="t" strokecolor="black" strokeweight="0.5pt">
              <v:stroke dashstyle="solid"/>
              <v:path arrowok="t"/>
            </v:shape>
          </v:group>
        </w:pict>
      </w:r>
      <w:r>
        <w:rPr>
          <w:spacing w:val="-6"/>
        </w:rPr>
        <w:t xml:space="preserve">功补偿方式，公司总投资 </w:t>
      </w:r>
      <w:r>
        <w:rPr>
          <w:rFonts w:ascii="Times New Roman" w:eastAsia="Times New Roman"/>
          <w:spacing w:val="-4"/>
        </w:rPr>
        <w:t>3000</w:t>
      </w:r>
      <w:r>
        <w:rPr>
          <w:rFonts w:ascii="Times New Roman" w:eastAsia="Times New Roman"/>
          <w:spacing w:val="-5"/>
        </w:rPr>
        <w:t xml:space="preserve"> </w:t>
      </w:r>
      <w:r>
        <w:rPr>
          <w:spacing w:val="-7"/>
        </w:rPr>
        <w:t xml:space="preserve">万港元，总用地面积 </w:t>
      </w:r>
      <w:r>
        <w:rPr>
          <w:rFonts w:ascii="Times New Roman" w:eastAsia="Times New Roman"/>
          <w:spacing w:val="-4"/>
        </w:rPr>
        <w:t>7794</w:t>
      </w:r>
      <w:r>
        <w:rPr>
          <w:rFonts w:ascii="Times New Roman" w:eastAsia="Times New Roman"/>
          <w:spacing w:val="24"/>
        </w:rPr>
        <w:t xml:space="preserve"> </w:t>
      </w:r>
      <w:r>
        <w:rPr>
          <w:spacing w:val="-7"/>
        </w:rPr>
        <w:t xml:space="preserve">平方米，总建筑面积 </w:t>
      </w:r>
      <w:r>
        <w:rPr>
          <w:rFonts w:ascii="Times New Roman" w:eastAsia="Times New Roman"/>
          <w:spacing w:val="-4"/>
        </w:rPr>
        <w:t>16595</w:t>
      </w:r>
      <w:r>
        <w:rPr>
          <w:spacing w:val="-4"/>
        </w:rPr>
        <w:t xml:space="preserve">平方米，预计投产后年产静止无功发生器 </w:t>
      </w:r>
      <w:r>
        <w:rPr>
          <w:rFonts w:ascii="Times New Roman" w:eastAsia="Times New Roman"/>
          <w:spacing w:val="-2"/>
        </w:rPr>
        <w:t>SVG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11"/>
        </w:rPr>
        <w:t xml:space="preserve">装置 </w:t>
      </w:r>
      <w:r>
        <w:rPr>
          <w:rFonts w:ascii="Times New Roman" w:eastAsia="Times New Roman"/>
          <w:spacing w:val="-2"/>
        </w:rPr>
        <w:t>25</w:t>
      </w:r>
      <w:r>
        <w:rPr>
          <w:rFonts w:ascii="Times New Roman" w:eastAsia="Times New Roman"/>
          <w:spacing w:val="-7"/>
        </w:rPr>
        <w:t xml:space="preserve"> </w:t>
      </w:r>
      <w:r>
        <w:rPr>
          <w:spacing w:val="-5"/>
        </w:rPr>
        <w:t xml:space="preserve">套，可实现年产值 </w:t>
      </w:r>
      <w:r>
        <w:rPr>
          <w:rFonts w:ascii="Times New Roman" w:eastAsia="Times New Roman"/>
          <w:spacing w:val="-2"/>
        </w:rPr>
        <w:t>6875</w:t>
      </w:r>
      <w:r>
        <w:rPr>
          <w:rFonts w:ascii="Times New Roman" w:eastAsia="Times New Roman"/>
          <w:spacing w:val="15"/>
        </w:rPr>
        <w:t xml:space="preserve"> </w:t>
      </w:r>
      <w:r>
        <w:rPr>
          <w:spacing w:val="-2"/>
        </w:rPr>
        <w:t>万港</w:t>
      </w:r>
      <w:r>
        <w:rPr>
          <w:spacing w:val="-2"/>
        </w:rPr>
        <w:t>元。目前，企业厂房还未建成，还未进行生产。</w:t>
      </w:r>
    </w:p>
    <w:p>
      <w:pPr>
        <w:pStyle w:val="BodyText"/>
        <w:spacing w:line="360" w:lineRule="auto"/>
        <w:ind w:left="244" w:right="260" w:firstLine="480"/>
        <w:jc w:val="both"/>
      </w:pPr>
      <w:r>
        <w:rPr>
          <w:spacing w:val="-1"/>
        </w:rPr>
        <w:t xml:space="preserve">根据《中华人民共和国环境保护法》第十三条、中华人民共和国国务院令第 </w:t>
      </w:r>
      <w:r>
        <w:rPr>
          <w:rFonts w:ascii="Times New Roman" w:eastAsia="Times New Roman"/>
        </w:rPr>
        <w:t>253</w:t>
      </w:r>
      <w:r>
        <w:rPr>
          <w:spacing w:val="-9"/>
        </w:rPr>
        <w:t>号《建设项目环境保护管理条例》第六条、《中华人民共和国环境影响评价法》第十</w:t>
      </w:r>
      <w:r>
        <w:rPr>
          <w:spacing w:val="-2"/>
        </w:rPr>
        <w:t>六条的规定，受宁波特锐德电气有限公司委托，宁波市鄞州兴达环保工程有限公司公</w:t>
      </w:r>
      <w:r>
        <w:rPr>
          <w:spacing w:val="-2"/>
        </w:rPr>
        <w:t>司运营期进行环境影响评价工作。在现场勘察和资料收集的基础上，根据环评技术导</w:t>
      </w:r>
      <w:r>
        <w:rPr>
          <w:spacing w:val="-1"/>
        </w:rPr>
        <w:t>则及其它有关文件，在征求环保主管部门意见后，编制了该项目的环境影响报告表。</w:t>
      </w:r>
    </w:p>
    <w:p>
      <w:pPr>
        <w:pStyle w:val="Heading4"/>
        <w:spacing w:line="356" w:lineRule="exact"/>
      </w:pPr>
      <w:r>
        <w:rPr>
          <w:spacing w:val="-2"/>
        </w:rPr>
        <w:t>二、编制依据</w:t>
      </w:r>
    </w:p>
    <w:p>
      <w:pPr>
        <w:pStyle w:val="BodyText"/>
        <w:spacing w:before="94"/>
        <w:ind w:left="724"/>
      </w:pPr>
      <w:r>
        <w:rPr>
          <w:spacing w:val="-2"/>
        </w:rPr>
        <w:t>⑴有关法律法规</w:t>
      </w:r>
    </w:p>
    <w:p>
      <w:pPr>
        <w:pStyle w:val="BodyText"/>
        <w:spacing w:before="152"/>
        <w:ind w:left="724"/>
      </w:pPr>
      <w:r>
        <w:rPr>
          <w:spacing w:val="-8"/>
        </w:rPr>
        <w:t>①《中华人民共和国环境保护法》，</w:t>
      </w:r>
      <w:r>
        <w:rPr>
          <w:rFonts w:ascii="Times New Roman" w:eastAsia="Times New Roman" w:hAnsi="Times New Roman"/>
          <w:spacing w:val="-2"/>
        </w:rPr>
        <w:t>2015.1.1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rPr>
          <w:spacing w:val="-8"/>
        </w:rPr>
        <w:t>②《中华人民共和国环境影响评价法》，</w:t>
      </w:r>
      <w:r>
        <w:rPr>
          <w:rFonts w:ascii="Times New Roman" w:eastAsia="Times New Roman" w:hAnsi="Times New Roman"/>
          <w:spacing w:val="-2"/>
        </w:rPr>
        <w:t>2003.9.1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rPr>
          <w:spacing w:val="-8"/>
        </w:rPr>
        <w:t>③《中华人民共和国水污染防治法》，</w:t>
      </w:r>
      <w:r>
        <w:rPr>
          <w:rFonts w:ascii="Times New Roman" w:eastAsia="Times New Roman" w:hAnsi="Times New Roman"/>
          <w:spacing w:val="-2"/>
        </w:rPr>
        <w:t>2008.6.1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rPr>
          <w:spacing w:val="-8"/>
        </w:rPr>
        <w:t>④《中华人民共和国大气污染防治法》，</w:t>
      </w:r>
      <w:r>
        <w:rPr>
          <w:rFonts w:ascii="Times New Roman" w:eastAsia="Times New Roman" w:hAnsi="Times New Roman"/>
          <w:spacing w:val="-2"/>
        </w:rPr>
        <w:t>2000.4.29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rPr>
          <w:spacing w:val="-7"/>
        </w:rPr>
        <w:t>⑤《中华人民共和国环境噪声污染防治法》，</w:t>
      </w:r>
      <w:r>
        <w:rPr>
          <w:rFonts w:ascii="Times New Roman" w:eastAsia="Times New Roman" w:hAnsi="Times New Roman"/>
          <w:spacing w:val="-2"/>
        </w:rPr>
        <w:t>1997.3.1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rPr>
          <w:spacing w:val="-6"/>
        </w:rPr>
        <w:t>⑥《中华人民共和国固体废物污染环境防治法》，</w:t>
      </w:r>
      <w:r>
        <w:rPr>
          <w:rFonts w:ascii="Times New Roman" w:eastAsia="Times New Roman" w:hAnsi="Times New Roman"/>
          <w:spacing w:val="-2"/>
        </w:rPr>
        <w:t>2005.4.1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rPr>
          <w:spacing w:val="-8"/>
        </w:rPr>
        <w:t>⑦《中华人民共和国清洁生产促进法》，</w:t>
      </w:r>
      <w:r>
        <w:rPr>
          <w:rFonts w:ascii="Times New Roman" w:eastAsia="Times New Roman" w:hAnsi="Times New Roman"/>
          <w:spacing w:val="-2"/>
        </w:rPr>
        <w:t>2002.6.29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rPr>
          <w:spacing w:val="-8"/>
        </w:rPr>
        <w:t>⑧《建设项目环境保护管理条例》，</w:t>
      </w:r>
      <w:r>
        <w:rPr>
          <w:rFonts w:ascii="Times New Roman" w:eastAsia="Times New Roman" w:hAnsi="Times New Roman"/>
          <w:spacing w:val="-2"/>
        </w:rPr>
        <w:t>1998.11.29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rPr>
          <w:spacing w:val="-7"/>
        </w:rPr>
        <w:t>⑨《浙江省建设项目环境保护管理办法》，</w:t>
      </w:r>
      <w:r>
        <w:rPr>
          <w:rFonts w:ascii="Times New Roman" w:eastAsia="Times New Roman" w:hAnsi="Times New Roman"/>
          <w:spacing w:val="-2"/>
        </w:rPr>
        <w:t>2011.12.1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rPr>
          <w:spacing w:val="-2"/>
        </w:rPr>
        <w:t>⑵有关技术规范</w:t>
      </w:r>
    </w:p>
    <w:p>
      <w:pPr>
        <w:pStyle w:val="BodyText"/>
        <w:spacing w:before="152"/>
        <w:ind w:left="724"/>
      </w:pPr>
      <w:r>
        <w:t>①《环境影响评价技术导则</w:t>
      </w:r>
      <w:r>
        <w:rPr>
          <w:rFonts w:ascii="Times New Roman" w:eastAsia="Times New Roman" w:hAnsi="Times New Roman"/>
        </w:rPr>
        <w:t>——</w:t>
      </w:r>
      <w:r>
        <w:t>总纲》</w:t>
      </w:r>
      <w:r>
        <w:rPr>
          <w:rFonts w:ascii="Times New Roman" w:eastAsia="Times New Roman" w:hAnsi="Times New Roman"/>
        </w:rPr>
        <w:t>(HJ2.1-</w:t>
      </w:r>
      <w:r>
        <w:rPr>
          <w:rFonts w:ascii="Times New Roman" w:eastAsia="Times New Roman" w:hAnsi="Times New Roman"/>
          <w:spacing w:val="-2"/>
        </w:rPr>
        <w:t>2011)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t>②《环境影响评价技术导则</w:t>
      </w:r>
      <w:r>
        <w:rPr>
          <w:rFonts w:ascii="Times New Roman" w:eastAsia="Times New Roman" w:hAnsi="Times New Roman"/>
        </w:rPr>
        <w:t>——</w:t>
      </w:r>
      <w:r>
        <w:t>大气环境》</w:t>
      </w:r>
      <w:r>
        <w:rPr>
          <w:rFonts w:ascii="Times New Roman" w:eastAsia="Times New Roman" w:hAnsi="Times New Roman"/>
        </w:rPr>
        <w:t>(HJ2.2-</w:t>
      </w:r>
      <w:r>
        <w:rPr>
          <w:rFonts w:ascii="Times New Roman" w:eastAsia="Times New Roman" w:hAnsi="Times New Roman"/>
          <w:spacing w:val="-2"/>
        </w:rPr>
        <w:t>2008)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t>③《环境影响评价技术导则</w:t>
      </w:r>
      <w:r>
        <w:rPr>
          <w:rFonts w:ascii="Times New Roman" w:eastAsia="Times New Roman" w:hAnsi="Times New Roman"/>
        </w:rPr>
        <w:t>——</w:t>
      </w:r>
      <w:r>
        <w:t>地面水环境》</w:t>
      </w:r>
      <w:r>
        <w:rPr>
          <w:rFonts w:ascii="Times New Roman" w:eastAsia="Times New Roman" w:hAnsi="Times New Roman"/>
        </w:rPr>
        <w:t>(HJ/T2.3-</w:t>
      </w:r>
      <w:r>
        <w:rPr>
          <w:rFonts w:ascii="Times New Roman" w:eastAsia="Times New Roman" w:hAnsi="Times New Roman"/>
          <w:spacing w:val="-4"/>
        </w:rPr>
        <w:t>93)</w:t>
      </w:r>
      <w:r>
        <w:rPr>
          <w:spacing w:val="-4"/>
        </w:rPr>
        <w:t>；</w:t>
      </w:r>
    </w:p>
    <w:p>
      <w:pPr>
        <w:pStyle w:val="BodyText"/>
        <w:spacing w:before="153"/>
        <w:ind w:left="724"/>
      </w:pPr>
      <w:r>
        <w:t>④《环境影响评价技术导则</w:t>
      </w:r>
      <w:r>
        <w:rPr>
          <w:rFonts w:ascii="Times New Roman" w:eastAsia="Times New Roman" w:hAnsi="Times New Roman"/>
        </w:rPr>
        <w:t>——</w:t>
      </w:r>
      <w:r>
        <w:t>声环境》</w:t>
      </w:r>
      <w:r>
        <w:rPr>
          <w:rFonts w:ascii="Times New Roman" w:eastAsia="Times New Roman" w:hAnsi="Times New Roman"/>
        </w:rPr>
        <w:t>(HJ2.4-</w:t>
      </w:r>
      <w:r>
        <w:rPr>
          <w:rFonts w:ascii="Times New Roman" w:eastAsia="Times New Roman" w:hAnsi="Times New Roman"/>
          <w:spacing w:val="-2"/>
        </w:rPr>
        <w:t>2009)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t>⑤《环境影响评价技术导则</w:t>
      </w:r>
      <w:r>
        <w:rPr>
          <w:rFonts w:ascii="Times New Roman" w:eastAsia="Times New Roman" w:hAnsi="Times New Roman"/>
        </w:rPr>
        <w:t>——</w:t>
      </w:r>
      <w:r>
        <w:t>非污染生态影响》</w:t>
      </w:r>
      <w:r>
        <w:rPr>
          <w:rFonts w:ascii="Times New Roman" w:eastAsia="Times New Roman" w:hAnsi="Times New Roman"/>
        </w:rPr>
        <w:t>(HJ 19-</w:t>
      </w:r>
      <w:r>
        <w:rPr>
          <w:rFonts w:ascii="Times New Roman" w:eastAsia="Times New Roman" w:hAnsi="Times New Roman"/>
          <w:spacing w:val="-2"/>
        </w:rPr>
        <w:t>2011)</w:t>
      </w:r>
      <w:r>
        <w:rPr>
          <w:spacing w:val="-2"/>
        </w:rPr>
        <w:t>；</w:t>
      </w:r>
    </w:p>
    <w:p>
      <w:pPr>
        <w:pStyle w:val="BodyText"/>
        <w:spacing w:before="153"/>
        <w:ind w:left="724"/>
      </w:pPr>
      <w:r>
        <w:rPr>
          <w:spacing w:val="-6"/>
        </w:rPr>
        <w:t>⑥《浙江省建设项目环境影响评价技术要点》，</w:t>
      </w:r>
      <w:r>
        <w:rPr>
          <w:rFonts w:ascii="Times New Roman" w:eastAsia="Times New Roman" w:hAnsi="Times New Roman"/>
          <w:spacing w:val="-2"/>
        </w:rPr>
        <w:t>2005.4</w:t>
      </w:r>
      <w:r>
        <w:rPr>
          <w:spacing w:val="-2"/>
        </w:rPr>
        <w:t>；</w:t>
      </w:r>
    </w:p>
    <w:p>
      <w:pPr>
        <w:pStyle w:val="BodyText"/>
        <w:spacing w:before="152"/>
        <w:ind w:left="724"/>
      </w:pPr>
      <w:r>
        <w:rPr>
          <w:spacing w:val="-13"/>
        </w:rPr>
        <w:t>⑦《中华人民共和国国家职业卫生标准》</w:t>
      </w:r>
      <w:r>
        <w:rPr>
          <w:spacing w:val="-6"/>
        </w:rPr>
        <w:t>（</w:t>
      </w:r>
      <w:r>
        <w:rPr>
          <w:rFonts w:ascii="Times New Roman" w:eastAsia="Times New Roman" w:hAnsi="Times New Roman"/>
          <w:spacing w:val="-6"/>
        </w:rPr>
        <w:t>GBZ2-</w:t>
      </w:r>
      <w:r>
        <w:rPr>
          <w:rFonts w:ascii="Times New Roman" w:eastAsia="Times New Roman" w:hAnsi="Times New Roman"/>
          <w:spacing w:val="17"/>
        </w:rPr>
        <w:t>2007</w:t>
      </w:r>
      <w:r>
        <w:rPr>
          <w:spacing w:val="-102"/>
        </w:rPr>
        <w:t>）</w:t>
      </w:r>
      <w:r>
        <w:rPr>
          <w:spacing w:val="-10"/>
        </w:rPr>
        <w:t>。</w:t>
      </w:r>
    </w:p>
    <w:p>
      <w:pPr>
        <w:pStyle w:val="BodyText"/>
        <w:spacing w:before="153"/>
        <w:ind w:left="724"/>
      </w:pPr>
      <w:r>
        <w:rPr>
          <w:spacing w:val="-2"/>
        </w:rPr>
        <w:t>⑶其他资料</w:t>
      </w:r>
    </w:p>
    <w:p>
      <w:pPr>
        <w:pStyle w:val="BodyText"/>
        <w:spacing w:before="152"/>
        <w:ind w:left="724"/>
      </w:pPr>
      <w:r>
        <w:t>①宁波市鄞州企业投资项目备案表 鄞发改外备</w:t>
      </w:r>
      <w:r>
        <w:rPr>
          <w:rFonts w:ascii="Times New Roman" w:eastAsia="Times New Roman" w:hAnsi="Times New Roman"/>
        </w:rPr>
        <w:t xml:space="preserve">[2015]2 </w:t>
      </w:r>
      <w:r>
        <w:rPr>
          <w:spacing w:val="-10"/>
        </w:rPr>
        <w:t>号</w:t>
      </w:r>
    </w:p>
    <w:p>
      <w:pPr>
        <w:pStyle w:val="BodyText"/>
        <w:spacing w:before="153"/>
        <w:ind w:left="722"/>
        <w:rPr>
          <w:rFonts w:ascii="Times New Roman" w:eastAsia="Times New Roman" w:hAnsi="Times New Roman"/>
        </w:rPr>
      </w:pPr>
      <w:r>
        <w:t>②鄞州区集士港镇Ⅲ</w:t>
      </w:r>
      <w:r>
        <w:rPr>
          <w:rFonts w:ascii="Times New Roman" w:eastAsia="Times New Roman" w:hAnsi="Times New Roman"/>
        </w:rPr>
        <w:t>-9-4</w:t>
      </w:r>
      <w:r>
        <w:rPr>
          <w:rFonts w:ascii="Times New Roman" w:eastAsia="Times New Roman" w:hAnsi="Times New Roman"/>
          <w:spacing w:val="-6"/>
        </w:rPr>
        <w:t xml:space="preserve"> </w:t>
      </w:r>
      <w:r>
        <w:rPr>
          <w:spacing w:val="-2"/>
        </w:rPr>
        <w:t xml:space="preserve">地块规划设计条件 编号 </w:t>
      </w:r>
      <w:r>
        <w:rPr>
          <w:rFonts w:ascii="Times New Roman" w:eastAsia="Times New Roman" w:hAnsi="Times New Roman"/>
        </w:rPr>
        <w:t>2013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t>浙规（条件）</w:t>
      </w:r>
      <w:r>
        <w:rPr>
          <w:rFonts w:ascii="Times New Roman" w:eastAsia="Times New Roman" w:hAnsi="Times New Roman"/>
        </w:rPr>
        <w:t>13-</w:t>
      </w:r>
      <w:r>
        <w:rPr>
          <w:rFonts w:ascii="Times New Roman" w:eastAsia="Times New Roman" w:hAnsi="Times New Roman"/>
          <w:spacing w:val="-2"/>
        </w:rPr>
        <w:t>0260412</w:t>
      </w:r>
    </w:p>
    <w:p>
      <w:pPr>
        <w:spacing w:after="0"/>
        <w:rPr>
          <w:rFonts w:ascii="Times New Roman" w:eastAsia="Times New Roman" w:hAnsi="Times New Roman"/>
        </w:rPr>
        <w:sectPr>
          <w:footerReference w:type="default" r:id="rId18"/>
          <w:pgSz w:w="11910" w:h="16840"/>
          <w:pgMar w:top="1420" w:right="1240" w:bottom="1180" w:left="1280" w:header="0" w:footer="988"/>
          <w:pgNumType w:start="10"/>
          <w:cols w:space="708"/>
        </w:sectPr>
      </w:pPr>
    </w:p>
    <w:p>
      <w:pPr>
        <w:pStyle w:val="BodyText"/>
        <w:spacing w:before="140"/>
        <w:ind w:left="722"/>
      </w:pPr>
      <w:r>
        <w:pict>
          <v:group id="_x0000_s1031" style="width:455.85pt;height:692.85pt;margin-top:1in;margin-left:69.72pt;mso-position-horizontal-relative:page;mso-position-vertical-relative:page;position:absolute;z-index:-251654144" coordorigin="1394,1440" coordsize="9117,13857">
            <v:shape id="_x0000_s1032" style="width:9072;height:13837;left:1417;position:absolute;top:1450" coordorigin="1417,1450" coordsize="9072,13837" path="m1417,1450l1417,15287m10489,1450l10489,15287e" filled="f" stroked="t" strokecolor="black" strokeweight="2.25pt">
              <v:stroke dashstyle="solid"/>
              <v:path arrowok="t"/>
            </v:shape>
            <v:shape id="_x0000_s1033" style="width:9117;height:13847;left:1394;position:absolute;top:1445" coordorigin="1394,1445" coordsize="9117,13847" path="m1394,1445l10512,1445m1439,14762l10467,14762m1394,15292l10512,15292e" filled="f" stroked="t" strokecolor="black" strokeweight="0.5pt">
              <v:stroke dashstyle="solid"/>
              <v:path arrowok="t"/>
            </v:shape>
          </v:group>
        </w:pict>
      </w:r>
      <w:r>
        <w:rPr>
          <w:spacing w:val="-1"/>
        </w:rPr>
        <w:t>③宁波特锐德电气有限公司可研报告</w:t>
      </w:r>
    </w:p>
    <w:p>
      <w:pPr>
        <w:pStyle w:val="BodyText"/>
        <w:spacing w:before="152"/>
        <w:ind w:left="722"/>
      </w:pPr>
      <w:r>
        <w:rPr>
          <w:spacing w:val="-1"/>
        </w:rPr>
        <w:t>④宁波特锐德电气有限公司提供的基础资料。</w:t>
      </w:r>
    </w:p>
    <w:p>
      <w:pPr>
        <w:pStyle w:val="Heading4"/>
        <w:spacing w:before="73"/>
      </w:pPr>
      <w:r>
        <w:rPr>
          <w:spacing w:val="-1"/>
        </w:rPr>
        <w:t>三、主要原材料消耗：</w:t>
      </w:r>
    </w:p>
    <w:tbl>
      <w:tblPr>
        <w:tblStyle w:val="TableNormal4"/>
        <w:tblW w:w="0" w:type="auto"/>
        <w:jc w:val="left"/>
        <w:tblInd w:w="18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3"/>
        <w:gridCol w:w="1614"/>
        <w:gridCol w:w="1750"/>
        <w:gridCol w:w="1723"/>
      </w:tblGrid>
      <w:tr>
        <w:tblPrEx>
          <w:tblW w:w="0" w:type="auto"/>
          <w:jc w:val="left"/>
          <w:tblInd w:w="18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0"/>
          <w:jc w:val="left"/>
        </w:trPr>
        <w:tc>
          <w:tcPr>
            <w:tcW w:w="633" w:type="dxa"/>
          </w:tcPr>
          <w:p>
            <w:pPr>
              <w:pStyle w:val="TableParagraph"/>
              <w:spacing w:before="80"/>
              <w:ind w:left="211"/>
              <w:rPr>
                <w:sz w:val="21"/>
              </w:rPr>
            </w:pPr>
            <w:r>
              <w:rPr>
                <w:sz w:val="21"/>
              </w:rPr>
              <w:t>序</w:t>
            </w:r>
          </w:p>
          <w:p>
            <w:pPr>
              <w:pStyle w:val="TableParagraph"/>
              <w:spacing w:before="131"/>
              <w:ind w:left="211"/>
              <w:rPr>
                <w:sz w:val="21"/>
              </w:rPr>
            </w:pPr>
            <w:r>
              <w:rPr>
                <w:sz w:val="21"/>
              </w:rPr>
              <w:t>号</w:t>
            </w:r>
          </w:p>
        </w:tc>
        <w:tc>
          <w:tcPr>
            <w:tcW w:w="1614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tabs>
                <w:tab w:val="left" w:pos="429"/>
              </w:tabs>
              <w:spacing w:before="1"/>
              <w:ind w:left="1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名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称</w:t>
            </w:r>
          </w:p>
        </w:tc>
        <w:tc>
          <w:tcPr>
            <w:tcW w:w="1750" w:type="dxa"/>
          </w:tcPr>
          <w:p>
            <w:pPr>
              <w:pStyle w:val="TableParagraph"/>
              <w:spacing w:before="80"/>
              <w:ind w:left="410" w:right="400"/>
              <w:jc w:val="center"/>
              <w:rPr>
                <w:sz w:val="21"/>
              </w:rPr>
            </w:pPr>
            <w:r>
              <w:rPr>
                <w:sz w:val="21"/>
              </w:rPr>
              <w:t>消耗量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pacing w:val="-10"/>
                <w:sz w:val="21"/>
              </w:rPr>
              <w:t>年</w:t>
            </w:r>
          </w:p>
        </w:tc>
        <w:tc>
          <w:tcPr>
            <w:tcW w:w="1723" w:type="dxa"/>
          </w:tcPr>
          <w:p>
            <w:pPr>
              <w:pStyle w:val="TableParagraph"/>
              <w:spacing w:before="80"/>
              <w:ind w:left="427" w:right="41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供货商</w:t>
            </w:r>
          </w:p>
        </w:tc>
      </w:tr>
      <w:tr>
        <w:tblPrEx>
          <w:tblW w:w="0" w:type="auto"/>
          <w:jc w:val="left"/>
          <w:tblInd w:w="1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633" w:type="dxa"/>
          </w:tcPr>
          <w:p>
            <w:pPr>
              <w:pStyle w:val="TableParagraph"/>
              <w:spacing w:before="94"/>
              <w:ind w:left="26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614" w:type="dxa"/>
          </w:tcPr>
          <w:p>
            <w:pPr>
              <w:pStyle w:val="TableParagraph"/>
              <w:spacing w:before="80"/>
              <w:ind w:left="9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SVG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控制器</w:t>
            </w:r>
          </w:p>
        </w:tc>
        <w:tc>
          <w:tcPr>
            <w:tcW w:w="1750" w:type="dxa"/>
          </w:tcPr>
          <w:p>
            <w:pPr>
              <w:pStyle w:val="TableParagraph"/>
              <w:spacing w:before="80"/>
              <w:ind w:left="409" w:right="400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25 </w:t>
            </w:r>
            <w:r>
              <w:rPr>
                <w:spacing w:val="-10"/>
                <w:sz w:val="21"/>
              </w:rPr>
              <w:t>组</w:t>
            </w:r>
          </w:p>
        </w:tc>
        <w:tc>
          <w:tcPr>
            <w:tcW w:w="1723" w:type="dxa"/>
          </w:tcPr>
          <w:p>
            <w:pPr>
              <w:pStyle w:val="TableParagraph"/>
              <w:spacing w:before="80"/>
              <w:ind w:left="427" w:right="4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德国</w:t>
            </w:r>
          </w:p>
        </w:tc>
      </w:tr>
      <w:tr>
        <w:tblPrEx>
          <w:tblW w:w="0" w:type="auto"/>
          <w:jc w:val="left"/>
          <w:tblInd w:w="1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633" w:type="dxa"/>
          </w:tcPr>
          <w:p>
            <w:pPr>
              <w:pStyle w:val="TableParagraph"/>
              <w:spacing w:before="94"/>
              <w:ind w:left="26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1614" w:type="dxa"/>
          </w:tcPr>
          <w:p>
            <w:pPr>
              <w:pStyle w:val="TableParagraph"/>
              <w:spacing w:before="80"/>
              <w:ind w:left="1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共模电抗器</w:t>
            </w:r>
          </w:p>
        </w:tc>
        <w:tc>
          <w:tcPr>
            <w:tcW w:w="1750" w:type="dxa"/>
          </w:tcPr>
          <w:p>
            <w:pPr>
              <w:pStyle w:val="TableParagraph"/>
              <w:spacing w:before="80"/>
              <w:ind w:left="409" w:right="400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25 </w:t>
            </w:r>
            <w:r>
              <w:rPr>
                <w:spacing w:val="-10"/>
                <w:sz w:val="21"/>
              </w:rPr>
              <w:t>台</w:t>
            </w:r>
          </w:p>
        </w:tc>
        <w:tc>
          <w:tcPr>
            <w:tcW w:w="1723" w:type="dxa"/>
          </w:tcPr>
          <w:p>
            <w:pPr>
              <w:pStyle w:val="TableParagraph"/>
              <w:spacing w:before="80"/>
              <w:ind w:left="427" w:right="417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宁波甬嘉</w:t>
            </w:r>
          </w:p>
        </w:tc>
      </w:tr>
      <w:tr>
        <w:tblPrEx>
          <w:tblW w:w="0" w:type="auto"/>
          <w:jc w:val="left"/>
          <w:tblInd w:w="1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633" w:type="dxa"/>
          </w:tcPr>
          <w:p>
            <w:pPr>
              <w:pStyle w:val="TableParagraph"/>
              <w:spacing w:before="94"/>
              <w:ind w:left="26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1614" w:type="dxa"/>
          </w:tcPr>
          <w:p>
            <w:pPr>
              <w:pStyle w:val="TableParagraph"/>
              <w:spacing w:before="80"/>
              <w:ind w:left="1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钢板</w:t>
            </w:r>
          </w:p>
        </w:tc>
        <w:tc>
          <w:tcPr>
            <w:tcW w:w="1750" w:type="dxa"/>
          </w:tcPr>
          <w:p>
            <w:pPr>
              <w:pStyle w:val="TableParagraph"/>
              <w:spacing w:before="80"/>
              <w:ind w:left="409" w:right="40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若干</w:t>
            </w: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633" w:type="dxa"/>
          </w:tcPr>
          <w:p>
            <w:pPr>
              <w:pStyle w:val="TableParagraph"/>
              <w:spacing w:before="94"/>
              <w:ind w:left="26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1614" w:type="dxa"/>
          </w:tcPr>
          <w:p>
            <w:pPr>
              <w:pStyle w:val="TableParagraph"/>
              <w:spacing w:before="80"/>
              <w:ind w:left="1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螺丝、螺帽</w:t>
            </w:r>
          </w:p>
        </w:tc>
        <w:tc>
          <w:tcPr>
            <w:tcW w:w="1750" w:type="dxa"/>
          </w:tcPr>
          <w:p>
            <w:pPr>
              <w:pStyle w:val="TableParagraph"/>
              <w:spacing w:before="80"/>
              <w:ind w:left="409" w:right="40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若干</w:t>
            </w: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633" w:type="dxa"/>
          </w:tcPr>
          <w:p>
            <w:pPr>
              <w:pStyle w:val="TableParagraph"/>
              <w:spacing w:before="94"/>
              <w:ind w:left="26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1614" w:type="dxa"/>
          </w:tcPr>
          <w:p>
            <w:pPr>
              <w:pStyle w:val="TableParagraph"/>
              <w:spacing w:before="80"/>
              <w:ind w:left="1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皂化液</w:t>
            </w:r>
          </w:p>
        </w:tc>
        <w:tc>
          <w:tcPr>
            <w:tcW w:w="1750" w:type="dxa"/>
          </w:tcPr>
          <w:p>
            <w:pPr>
              <w:pStyle w:val="TableParagraph"/>
              <w:spacing w:before="93"/>
              <w:ind w:left="409" w:right="40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pacing w:val="-2"/>
                <w:sz w:val="21"/>
              </w:rPr>
              <w:t>200kg</w:t>
            </w: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633" w:type="dxa"/>
          </w:tcPr>
          <w:p>
            <w:pPr>
              <w:pStyle w:val="TableParagraph"/>
              <w:spacing w:before="94"/>
              <w:ind w:left="26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1614" w:type="dxa"/>
          </w:tcPr>
          <w:p>
            <w:pPr>
              <w:pStyle w:val="TableParagraph"/>
              <w:spacing w:before="80"/>
              <w:ind w:left="1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机油、液压油</w:t>
            </w:r>
          </w:p>
        </w:tc>
        <w:tc>
          <w:tcPr>
            <w:tcW w:w="1750" w:type="dxa"/>
          </w:tcPr>
          <w:p>
            <w:pPr>
              <w:pStyle w:val="TableParagraph"/>
              <w:spacing w:before="94"/>
              <w:ind w:left="409" w:right="40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500kg</w:t>
            </w: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Heading4"/>
        <w:spacing w:before="35"/>
      </w:pPr>
      <w:r>
        <w:rPr>
          <w:spacing w:val="-2"/>
        </w:rPr>
        <w:t>四、主要生产设备：</w:t>
      </w:r>
    </w:p>
    <w:tbl>
      <w:tblPr>
        <w:tblStyle w:val="TableNormal4"/>
        <w:tblW w:w="0" w:type="auto"/>
        <w:jc w:val="left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7"/>
        <w:gridCol w:w="540"/>
        <w:gridCol w:w="2697"/>
        <w:gridCol w:w="1439"/>
        <w:gridCol w:w="1260"/>
        <w:gridCol w:w="720"/>
        <w:gridCol w:w="1451"/>
      </w:tblGrid>
      <w:tr>
        <w:tblPrEx>
          <w:tblW w:w="0" w:type="auto"/>
          <w:jc w:val="left"/>
          <w:tblInd w:w="2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27" w:type="dxa"/>
          </w:tcPr>
          <w:p>
            <w:pPr>
              <w:pStyle w:val="TableParagraph"/>
              <w:spacing w:line="278" w:lineRule="auto"/>
              <w:ind w:left="208" w:right="196"/>
              <w:rPr>
                <w:sz w:val="21"/>
              </w:rPr>
            </w:pPr>
            <w:r>
              <w:rPr>
                <w:spacing w:val="-10"/>
                <w:sz w:val="21"/>
              </w:rPr>
              <w:t>序</w:t>
            </w:r>
            <w:r>
              <w:rPr>
                <w:spacing w:val="-10"/>
                <w:sz w:val="21"/>
              </w:rPr>
              <w:t>号</w:t>
            </w:r>
          </w:p>
        </w:tc>
        <w:tc>
          <w:tcPr>
            <w:tcW w:w="3237" w:type="dxa"/>
            <w:gridSpan w:val="2"/>
          </w:tcPr>
          <w:p>
            <w:pPr>
              <w:pStyle w:val="TableParagraph"/>
              <w:spacing w:before="153"/>
              <w:ind w:left="1184" w:right="1174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设备名称</w:t>
            </w:r>
          </w:p>
        </w:tc>
        <w:tc>
          <w:tcPr>
            <w:tcW w:w="1439" w:type="dxa"/>
          </w:tcPr>
          <w:p>
            <w:pPr>
              <w:pStyle w:val="TableParagraph"/>
              <w:spacing w:before="153"/>
              <w:ind w:left="153" w:right="144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规格型号</w:t>
            </w:r>
          </w:p>
        </w:tc>
        <w:tc>
          <w:tcPr>
            <w:tcW w:w="1260" w:type="dxa"/>
          </w:tcPr>
          <w:p>
            <w:pPr>
              <w:pStyle w:val="TableParagraph"/>
              <w:spacing w:line="267" w:lineRule="exact"/>
              <w:ind w:left="135" w:right="12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单机功率</w:t>
            </w:r>
          </w:p>
          <w:p>
            <w:pPr>
              <w:pStyle w:val="TableParagraph"/>
              <w:spacing w:before="5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(kW)</w:t>
            </w:r>
          </w:p>
        </w:tc>
        <w:tc>
          <w:tcPr>
            <w:tcW w:w="720" w:type="dxa"/>
          </w:tcPr>
          <w:p>
            <w:pPr>
              <w:pStyle w:val="TableParagraph"/>
              <w:spacing w:before="153"/>
              <w:ind w:left="88" w:right="7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数量</w:t>
            </w:r>
          </w:p>
        </w:tc>
        <w:tc>
          <w:tcPr>
            <w:tcW w:w="1451" w:type="dxa"/>
          </w:tcPr>
          <w:p>
            <w:pPr>
              <w:pStyle w:val="TableParagraph"/>
              <w:spacing w:before="153"/>
              <w:ind w:left="305"/>
              <w:rPr>
                <w:sz w:val="21"/>
              </w:rPr>
            </w:pPr>
            <w:r>
              <w:rPr>
                <w:spacing w:val="-3"/>
                <w:sz w:val="21"/>
              </w:rPr>
              <w:t>生产厂家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540" w:type="dxa"/>
            <w:vMerge w:val="restart"/>
          </w:tcPr>
          <w:p>
            <w:pPr>
              <w:pStyle w:val="TableParagraph"/>
              <w:spacing w:before="17" w:line="278" w:lineRule="auto"/>
              <w:ind w:left="165" w:right="154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壳</w:t>
            </w:r>
            <w:r>
              <w:rPr>
                <w:spacing w:val="-10"/>
                <w:sz w:val="21"/>
              </w:rPr>
              <w:t>体</w:t>
            </w:r>
            <w:r>
              <w:rPr>
                <w:spacing w:val="-10"/>
                <w:sz w:val="21"/>
              </w:rPr>
              <w:t>加</w:t>
            </w:r>
            <w:r>
              <w:rPr>
                <w:spacing w:val="-10"/>
                <w:sz w:val="21"/>
              </w:rPr>
              <w:t>工</w:t>
            </w:r>
          </w:p>
        </w:tc>
        <w:tc>
          <w:tcPr>
            <w:tcW w:w="2697" w:type="dxa"/>
          </w:tcPr>
          <w:p>
            <w:pPr>
              <w:pStyle w:val="TableParagraph"/>
              <w:spacing w:before="52"/>
              <w:ind w:left="149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数控步进冲床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D-P25A-</w:t>
            </w:r>
            <w:r>
              <w:rPr>
                <w:rFonts w:ascii="Times New Roman"/>
                <w:spacing w:val="-5"/>
                <w:sz w:val="21"/>
              </w:rPr>
              <w:t>S6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7.5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1451" w:type="dxa"/>
          </w:tcPr>
          <w:p>
            <w:pPr>
              <w:pStyle w:val="TableParagraph"/>
              <w:spacing w:before="52"/>
              <w:ind w:left="305"/>
              <w:rPr>
                <w:sz w:val="21"/>
              </w:rPr>
            </w:pPr>
            <w:r>
              <w:rPr>
                <w:spacing w:val="-3"/>
                <w:sz w:val="21"/>
              </w:rPr>
              <w:t>大东科技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冲床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SP-</w:t>
            </w:r>
            <w:r>
              <w:rPr>
                <w:rFonts w:ascii="Times New Roman"/>
                <w:spacing w:val="-5"/>
                <w:sz w:val="21"/>
              </w:rPr>
              <w:t>3B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7.5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8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305"/>
              <w:rPr>
                <w:sz w:val="21"/>
              </w:rPr>
            </w:pPr>
            <w:r>
              <w:rPr>
                <w:spacing w:val="-3"/>
                <w:sz w:val="21"/>
              </w:rPr>
              <w:t>台湾富裕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点焊机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SMD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25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1451" w:type="dxa"/>
          </w:tcPr>
          <w:p>
            <w:pPr>
              <w:pStyle w:val="TableParagraph"/>
              <w:spacing w:before="65"/>
              <w:ind w:left="155"/>
              <w:rPr>
                <w:sz w:val="19"/>
              </w:rPr>
            </w:pPr>
            <w:r>
              <w:rPr>
                <w:spacing w:val="-2"/>
                <w:sz w:val="19"/>
              </w:rPr>
              <w:t>北京亚科晨旭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278" w:lineRule="auto"/>
              <w:ind w:left="165" w:right="154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检</w:t>
            </w:r>
            <w:r>
              <w:rPr>
                <w:spacing w:val="-10"/>
                <w:sz w:val="21"/>
              </w:rPr>
              <w:t>验</w:t>
            </w:r>
            <w:r>
              <w:rPr>
                <w:spacing w:val="-10"/>
                <w:sz w:val="21"/>
              </w:rPr>
              <w:t>设</w:t>
            </w:r>
            <w:r>
              <w:rPr>
                <w:spacing w:val="-10"/>
                <w:sz w:val="21"/>
              </w:rPr>
              <w:t>备</w:t>
            </w: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性能试验台</w:t>
            </w:r>
          </w:p>
        </w:tc>
        <w:tc>
          <w:tcPr>
            <w:tcW w:w="14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8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410"/>
              <w:rPr>
                <w:sz w:val="21"/>
              </w:rPr>
            </w:pPr>
            <w:r>
              <w:rPr>
                <w:spacing w:val="-4"/>
                <w:sz w:val="21"/>
              </w:rPr>
              <w:t>电科院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电源特性综合测试台</w:t>
            </w:r>
          </w:p>
        </w:tc>
        <w:tc>
          <w:tcPr>
            <w:tcW w:w="14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410"/>
              <w:rPr>
                <w:sz w:val="21"/>
              </w:rPr>
            </w:pPr>
            <w:r>
              <w:rPr>
                <w:spacing w:val="-4"/>
                <w:sz w:val="21"/>
              </w:rPr>
              <w:t>电科院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EMS </w:t>
            </w:r>
            <w:r>
              <w:rPr>
                <w:spacing w:val="-2"/>
                <w:sz w:val="21"/>
              </w:rPr>
              <w:t>电磁抗扰度试验设备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ESS-</w:t>
            </w:r>
            <w:r>
              <w:rPr>
                <w:rFonts w:ascii="Times New Roman"/>
                <w:spacing w:val="-4"/>
                <w:sz w:val="21"/>
              </w:rPr>
              <w:t>6008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305"/>
              <w:rPr>
                <w:sz w:val="21"/>
              </w:rPr>
            </w:pPr>
            <w:r>
              <w:rPr>
                <w:spacing w:val="-3"/>
                <w:sz w:val="21"/>
              </w:rPr>
              <w:t>深圳昊谷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49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谐波测试分析仪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3169-</w:t>
            </w:r>
            <w:r>
              <w:rPr>
                <w:rFonts w:ascii="Times New Roman"/>
                <w:spacing w:val="-5"/>
                <w:sz w:val="21"/>
              </w:rPr>
              <w:t>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305"/>
              <w:rPr>
                <w:sz w:val="21"/>
              </w:rPr>
            </w:pPr>
            <w:r>
              <w:rPr>
                <w:spacing w:val="-3"/>
                <w:sz w:val="21"/>
              </w:rPr>
              <w:t>日本日置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温度冲击试验设备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SC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200"/>
              <w:rPr>
                <w:sz w:val="21"/>
              </w:rPr>
            </w:pPr>
            <w:r>
              <w:rPr>
                <w:spacing w:val="-2"/>
                <w:sz w:val="21"/>
              </w:rPr>
              <w:t>武汉尚测试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49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耐压试验设备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10kV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135" w:right="12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20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317"/>
              <w:rPr>
                <w:sz w:val="21"/>
              </w:rPr>
            </w:pPr>
            <w:r>
              <w:rPr>
                <w:spacing w:val="-4"/>
                <w:sz w:val="21"/>
              </w:rPr>
              <w:t>锐拓普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93" w:right="1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50" w:right="14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示波器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ADS1302CE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1451" w:type="dxa"/>
          </w:tcPr>
          <w:p>
            <w:pPr>
              <w:pStyle w:val="TableParagraph"/>
              <w:spacing w:before="65"/>
              <w:ind w:left="31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ATTEN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627" w:type="dxa"/>
          </w:tcPr>
          <w:p>
            <w:pPr>
              <w:pStyle w:val="TableParagraph"/>
              <w:spacing w:before="65"/>
              <w:ind w:left="193" w:right="1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>
            <w:pPr>
              <w:pStyle w:val="TableParagraph"/>
              <w:spacing w:before="53"/>
              <w:ind w:left="149" w:right="14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网络阻抗分析仪</w:t>
            </w:r>
          </w:p>
        </w:tc>
        <w:tc>
          <w:tcPr>
            <w:tcW w:w="1439" w:type="dxa"/>
          </w:tcPr>
          <w:p>
            <w:pPr>
              <w:pStyle w:val="TableParagraph"/>
              <w:spacing w:before="65"/>
              <w:ind w:left="153" w:right="14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4396A</w:t>
            </w:r>
          </w:p>
        </w:tc>
        <w:tc>
          <w:tcPr>
            <w:tcW w:w="126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720" w:type="dxa"/>
          </w:tcPr>
          <w:p>
            <w:pPr>
              <w:pStyle w:val="TableParagraph"/>
              <w:spacing w:before="6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451" w:type="dxa"/>
          </w:tcPr>
          <w:p>
            <w:pPr>
              <w:pStyle w:val="TableParagraph"/>
              <w:spacing w:before="53"/>
              <w:ind w:left="317"/>
              <w:rPr>
                <w:sz w:val="21"/>
              </w:rPr>
            </w:pPr>
            <w:r>
              <w:rPr>
                <w:spacing w:val="-4"/>
                <w:sz w:val="21"/>
              </w:rPr>
              <w:t>安捷伦</w:t>
            </w:r>
          </w:p>
        </w:tc>
      </w:tr>
    </w:tbl>
    <w:p>
      <w:pPr>
        <w:pStyle w:val="Heading4"/>
        <w:spacing w:before="30"/>
      </w:pPr>
      <w:r>
        <w:rPr>
          <w:spacing w:val="-2"/>
        </w:rPr>
        <w:t>五、能源消耗</w:t>
      </w:r>
    </w:p>
    <w:p>
      <w:pPr>
        <w:pStyle w:val="BodyText"/>
        <w:spacing w:before="98" w:line="360" w:lineRule="auto"/>
        <w:ind w:left="815" w:right="5622"/>
      </w:pPr>
      <w:r>
        <w:rPr>
          <w:spacing w:val="-8"/>
        </w:rPr>
        <w:t xml:space="preserve">水：生活用水为 </w:t>
      </w:r>
      <w:r>
        <w:rPr>
          <w:rFonts w:ascii="Times New Roman" w:eastAsia="Times New Roman"/>
        </w:rPr>
        <w:t>750</w:t>
      </w:r>
      <w:r>
        <w:rPr>
          <w:rFonts w:ascii="Times New Roman" w:eastAsia="Times New Roman"/>
          <w:spacing w:val="-15"/>
        </w:rPr>
        <w:t xml:space="preserve"> </w:t>
      </w:r>
      <w:r>
        <w:t>吨</w:t>
      </w:r>
      <w:r>
        <w:rPr>
          <w:rFonts w:ascii="Times New Roman" w:eastAsia="Times New Roman"/>
        </w:rPr>
        <w:t>/</w:t>
      </w:r>
      <w:r>
        <w:t>年。</w:t>
      </w:r>
      <w:r>
        <w:t>电：</w:t>
      </w:r>
      <w:r>
        <w:rPr>
          <w:rFonts w:ascii="Times New Roman" w:eastAsia="Times New Roman"/>
        </w:rPr>
        <w:t xml:space="preserve">80 </w:t>
      </w:r>
      <w:r>
        <w:t>万度</w:t>
      </w:r>
      <w:r>
        <w:rPr>
          <w:rFonts w:ascii="Times New Roman" w:eastAsia="Times New Roman"/>
        </w:rPr>
        <w:t>/</w:t>
      </w:r>
      <w:r>
        <w:t>年。</w:t>
      </w:r>
    </w:p>
    <w:p>
      <w:pPr>
        <w:pStyle w:val="Heading4"/>
        <w:spacing w:line="360" w:lineRule="exact"/>
      </w:pPr>
      <w:r>
        <w:rPr>
          <w:spacing w:val="-1"/>
        </w:rPr>
        <w:t>六、生产定员及工作制度</w:t>
      </w:r>
    </w:p>
    <w:p>
      <w:pPr>
        <w:pStyle w:val="BodyText"/>
        <w:spacing w:before="98" w:line="360" w:lineRule="auto"/>
        <w:ind w:left="244" w:right="284" w:firstLine="480"/>
      </w:pPr>
      <w:r>
        <w:rPr>
          <w:spacing w:val="-10"/>
        </w:rPr>
        <w:t xml:space="preserve">项目内设员工 </w:t>
      </w:r>
      <w:r>
        <w:rPr>
          <w:rFonts w:ascii="Times New Roman" w:eastAsia="Times New Roman"/>
          <w:spacing w:val="-2"/>
        </w:rPr>
        <w:t xml:space="preserve">50 </w:t>
      </w:r>
      <w:r>
        <w:rPr>
          <w:spacing w:val="-10"/>
        </w:rPr>
        <w:t xml:space="preserve">人，白天工作 </w:t>
      </w:r>
      <w:r>
        <w:rPr>
          <w:rFonts w:ascii="Times New Roman" w:eastAsia="Times New Roman"/>
          <w:spacing w:val="-2"/>
        </w:rPr>
        <w:t>8h</w:t>
      </w:r>
      <w:r>
        <w:rPr>
          <w:spacing w:val="-11"/>
        </w:rPr>
        <w:t xml:space="preserve">，年工作日 </w:t>
      </w:r>
      <w:r>
        <w:rPr>
          <w:rFonts w:ascii="Times New Roman" w:eastAsia="Times New Roman"/>
          <w:spacing w:val="-2"/>
        </w:rPr>
        <w:t>300d</w:t>
      </w:r>
      <w:r>
        <w:rPr>
          <w:spacing w:val="-2"/>
        </w:rPr>
        <w:t>，厂区内不设食堂及住宿，员</w:t>
      </w:r>
      <w:r>
        <w:rPr>
          <w:spacing w:val="-2"/>
        </w:rPr>
        <w:t>工用餐实行外卖制度。</w:t>
      </w:r>
    </w:p>
    <w:p>
      <w:pPr>
        <w:pStyle w:val="Heading4"/>
        <w:spacing w:line="418" w:lineRule="exact"/>
      </w:pPr>
      <w:r>
        <w:rPr>
          <w:spacing w:val="-1"/>
        </w:rPr>
        <w:t>与本项目有关的原有污染源情况及主要环境问题</w:t>
      </w:r>
    </w:p>
    <w:p>
      <w:pPr>
        <w:spacing w:after="0" w:line="418" w:lineRule="exact"/>
        <w:sectPr>
          <w:footerReference w:type="default" r:id="rId19"/>
          <w:pgSz w:w="11910" w:h="16840"/>
          <w:pgMar w:top="1420" w:right="1240" w:bottom="1180" w:left="1280" w:header="0" w:footer="988"/>
          <w:pgNumType w:start="11"/>
          <w:cols w:space="708"/>
        </w:sectPr>
      </w:pPr>
    </w:p>
    <w:p>
      <w:pPr>
        <w:pStyle w:val="BodyText"/>
        <w:ind w:left="109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034" style="width:455.85pt;height:24pt;mso-position-horizontal-relative:char;mso-position-vertical-relative:line" coordorigin="0,0" coordsize="9117,480">
            <v:shape id="_x0000_s1035" style="width:9072;height:460;left:22;position:absolute;top:10" coordorigin="23,10" coordsize="9072,460" path="m23,10l23,470m9095,10l9095,470e" filled="f" stroked="t" strokecolor="black" strokeweight="2.25pt">
              <v:stroke dashstyle="solid"/>
              <v:path arrowok="t"/>
            </v:shape>
            <v:shape id="_x0000_s1036" style="width:9117;height:470;position:absolute;top:5" coordorigin="0,5" coordsize="9117,470" path="m,5l9117,5m,475l9117,475e" filled="f" stroked="t" strokecolor="black" strokeweight="0.5pt">
              <v:stroke dashstyle="solid"/>
              <v:path arrowok="t"/>
            </v:shape>
            <v:shape id="_x0000_s1037" type="#_x0000_t202" style="width:9027;height:460;left:45;position:absolute;top:10" filled="f" stroked="f">
              <v:textbox inset="0,0,0,0">
                <w:txbxContent>
                  <w:p>
                    <w:pPr>
                      <w:spacing w:before="128"/>
                      <w:ind w:left="56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本项目为新建项目，无原有污染源及污染问题。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Microsoft JhengHei"/>
          <w:sz w:val="20"/>
        </w:rPr>
        <w:sectPr>
          <w:footerReference w:type="default" r:id="rId20"/>
          <w:pgSz w:w="11910" w:h="16840"/>
          <w:pgMar w:top="1420" w:right="1240" w:bottom="1180" w:left="1280" w:header="0" w:footer="988"/>
          <w:pgNumType w:start="12"/>
          <w:cols w:space="708"/>
        </w:sectPr>
      </w:pPr>
    </w:p>
    <w:p>
      <w:pPr>
        <w:pStyle w:val="Heading1"/>
      </w:pPr>
      <w:r>
        <w:pict>
          <v:group id="_x0000_s1038" style="width:455.85pt;height:672.1pt;margin-top:95pt;margin-left:69.72pt;mso-position-horizontal-relative:page;mso-position-vertical-relative:page;position:absolute;z-index:-251653120" coordorigin="1394,1900" coordsize="9117,1344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width:8906;height:8366;left:1525;position:absolute;top:4934" stroked="f">
              <v:imagedata r:id="rId21" o:title=""/>
            </v:shape>
            <v:shape id="_x0000_s1040" style="width:9117;height:13397;left:1394;position:absolute;top:1922" coordorigin="1394,1923" coordsize="9117,13397" path="m10489,1945l10489,15297m1417,1945l1417,15297m1394,1923l10512,1923m1394,15319l10512,15319e" filled="f" stroked="t" strokecolor="black" strokeweight="2.25pt">
              <v:stroke dashstyle="solid"/>
              <v:path arrowok="t"/>
            </v:shape>
            <v:shape id="_x0000_s1041" style="width:2312;height:1650;left:4497;position:absolute;top:7396" coordorigin="4497,7396" coordsize="2312,1650" path="m6809,9046l5127,7864,4497,7864,4497,7396,5577,7396,5577,7864,5397,7864,6809,9046xe" filled="t" fillcolor="white" stroked="f">
              <v:fill type="solid"/>
              <v:path arrowok="t"/>
            </v:shape>
            <v:shape id="_x0000_s1042" style="width:2312;height:1650;left:4497;position:absolute;top:7396" coordorigin="4497,7396" coordsize="2312,1650" path="m4497,7396l4497,7669,4497,7786,4497,7864,5127,7864,6809,9046,5397,7864,5577,7864,5577,7786,5577,7669,5577,7396,5397,7396,5127,7396,4497,7396xe" filled="f" stroked="t" strokecolor="black" strokeweight="0.75pt">
              <v:stroke dashstyle="solid"/>
              <v:path arrowok="t"/>
            </v:shape>
          </v:group>
        </w:pict>
      </w:r>
      <w:bookmarkStart w:id="1" w:name="_TOC_250008"/>
      <w:bookmarkEnd w:id="1"/>
      <w:r>
        <w:rPr>
          <w:spacing w:val="-1"/>
        </w:rPr>
        <w:t>二、建设项目所在地自然环境社会环境简况</w:t>
      </w:r>
    </w:p>
    <w:p>
      <w:pPr>
        <w:pStyle w:val="Heading4"/>
        <w:spacing w:before="59"/>
      </w:pPr>
      <w:r>
        <w:t>自然环境简况（地形、地貌、气候、气象、水文、植被、生物多样性等</w:t>
      </w:r>
      <w:r>
        <w:rPr>
          <w:spacing w:val="-5"/>
        </w:rPr>
        <w:t>）：</w:t>
      </w:r>
    </w:p>
    <w:p>
      <w:pPr>
        <w:pStyle w:val="BodyText"/>
        <w:spacing w:before="118"/>
        <w:ind w:left="244"/>
      </w:pPr>
      <w:r>
        <w:rPr>
          <w:spacing w:val="-2"/>
        </w:rPr>
        <w:t>一、地理位置</w:t>
      </w:r>
    </w:p>
    <w:p>
      <w:pPr>
        <w:pStyle w:val="BodyText"/>
        <w:spacing w:before="188" w:line="391" w:lineRule="auto"/>
        <w:ind w:left="244" w:right="284" w:firstLine="480"/>
        <w:jc w:val="both"/>
      </w:pPr>
      <w:r>
        <w:rPr>
          <w:spacing w:val="-2"/>
        </w:rPr>
        <w:t>宁波特锐德电气有限公司位于鄞州区集士港镇丰成村。项目东面、西面北面均为</w:t>
      </w:r>
      <w:r>
        <w:rPr>
          <w:spacing w:val="-2"/>
        </w:rPr>
        <w:t>企业，南面现状为农田，是本项目的保护目标，远期该地块规划为工业用地。项目具</w:t>
      </w:r>
      <w:r>
        <w:rPr>
          <w:spacing w:val="-3"/>
        </w:rPr>
        <w:t xml:space="preserve">体地理位置图见附图 </w:t>
      </w:r>
      <w:r>
        <w:rPr>
          <w:rFonts w:ascii="Arial" w:eastAsia="Arial"/>
        </w:rPr>
        <w:t>1</w:t>
      </w:r>
      <w:r>
        <w:rPr>
          <w:spacing w:val="-2"/>
        </w:rPr>
        <w:t xml:space="preserve">，项目卫星定位图见附图 </w:t>
      </w:r>
      <w:r>
        <w:rPr>
          <w:rFonts w:ascii="Arial" w:eastAsia="Arial"/>
        </w:rPr>
        <w:t>2</w:t>
      </w:r>
      <w:r>
        <w:t>。</w:t>
      </w:r>
    </w:p>
    <w:p>
      <w:pPr>
        <w:pStyle w:val="BodyText"/>
        <w:spacing w:line="304" w:lineRule="exact"/>
        <w:ind w:left="3316"/>
        <w:jc w:val="both"/>
      </w:pPr>
      <w:r>
        <w:rPr>
          <w:spacing w:val="-21"/>
        </w:rPr>
        <w:t xml:space="preserve">附图 </w:t>
      </w:r>
      <w:r>
        <w:rPr>
          <w:rFonts w:ascii="Arial" w:eastAsia="Arial"/>
        </w:rPr>
        <w:t>1</w:t>
      </w:r>
      <w:r>
        <w:rPr>
          <w:rFonts w:ascii="Arial" w:eastAsia="Arial"/>
          <w:spacing w:val="292"/>
        </w:rPr>
        <w:t xml:space="preserve"> </w:t>
      </w:r>
      <w:r>
        <w:rPr>
          <w:spacing w:val="-2"/>
        </w:rPr>
        <w:t>项目地理位置图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71"/>
        <w:ind w:left="1400" w:right="3418" w:firstLine="0"/>
        <w:jc w:val="center"/>
        <w:rPr>
          <w:sz w:val="21"/>
        </w:rPr>
      </w:pPr>
      <w:r>
        <w:rPr>
          <w:spacing w:val="-4"/>
          <w:sz w:val="21"/>
        </w:rPr>
        <w:t>本项目</w:t>
      </w:r>
    </w:p>
    <w:p>
      <w:pPr>
        <w:spacing w:after="0"/>
        <w:jc w:val="center"/>
        <w:rPr>
          <w:sz w:val="21"/>
        </w:rPr>
        <w:sectPr>
          <w:footerReference w:type="default" r:id="rId22"/>
          <w:pgSz w:w="11910" w:h="16840"/>
          <w:pgMar w:top="1460" w:right="1240" w:bottom="1180" w:left="1280" w:header="0" w:footer="988"/>
          <w:pgNumType w:start="13"/>
          <w:cols w:space="708"/>
        </w:sectPr>
      </w:pPr>
    </w:p>
    <w:p>
      <w:pPr>
        <w:pStyle w:val="BodyText"/>
        <w:tabs>
          <w:tab w:val="left" w:pos="1033"/>
        </w:tabs>
        <w:spacing w:before="129"/>
        <w:ind w:right="38"/>
        <w:jc w:val="center"/>
      </w:pPr>
      <w:r>
        <w:pict>
          <v:shape id="_x0000_s1043" style="width:455.85pt;height:694.35pt;margin-top:73.12pt;margin-left:69.72pt;mso-position-horizontal-relative:page;mso-position-vertical-relative:page;position:absolute;z-index:-251652096" coordorigin="1394,1463" coordsize="9117,13887" path="m1417,1485l1417,15327m10489,1485l10489,15327m1394,1463l10512,1463m1394,15349l10512,15349e" filled="f" stroked="t" strokecolor="black" strokeweight="2.25pt">
            <v:stroke dashstyle="solid"/>
            <v:path arrowok="t"/>
          </v:shape>
        </w:pict>
      </w:r>
      <w:r>
        <w:t>附图</w:t>
      </w:r>
      <w:r>
        <w:rPr>
          <w:spacing w:val="-60"/>
        </w:rPr>
        <w:t xml:space="preserve"> </w:t>
      </w:r>
      <w:r>
        <w:rPr>
          <w:rFonts w:ascii="Arial" w:eastAsia="Arial"/>
          <w:spacing w:val="-10"/>
        </w:rPr>
        <w:t>2</w:t>
      </w:r>
      <w:r>
        <w:rPr>
          <w:rFonts w:ascii="Arial" w:eastAsia="Arial"/>
        </w:rPr>
        <w:tab/>
      </w:r>
      <w:r>
        <w:t>项目卫星定位</w:t>
      </w:r>
      <w:r>
        <w:rPr>
          <w:spacing w:val="-10"/>
        </w:rPr>
        <w:t>图</w:t>
      </w:r>
    </w:p>
    <w:p>
      <w:pPr>
        <w:pStyle w:val="BodyText"/>
        <w:spacing w:before="4"/>
        <w:rPr>
          <w:sz w:val="7"/>
        </w:rPr>
      </w:pPr>
      <w:r>
        <w:pict>
          <v:group id="_x0000_s1044" style="width:442.65pt;height:417.3pt;margin-top:5.89pt;margin-left:76.25pt;mso-position-horizontal-relative:page;mso-wrap-distance-left:0;mso-wrap-distance-right:0;position:absolute;z-index:-251651072" coordorigin="1525,118" coordsize="8853,8346">
            <v:shape id="_x0000_s1045" type="#_x0000_t75" style="width:8853;height:8346;left:1525;position:absolute;top:117" stroked="f">
              <v:imagedata r:id="rId23" o:title=""/>
            </v:shape>
            <v:shape id="_x0000_s1046" type="#_x0000_t202" style="width:546;height:210;left:4101;position:absolute;top:234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FF00"/>
                        <w:spacing w:val="14"/>
                        <w:sz w:val="21"/>
                      </w:rPr>
                      <w:t>企 业</w:t>
                    </w:r>
                  </w:p>
                </w:txbxContent>
              </v:textbox>
            </v:shape>
            <v:shape id="_x0000_s1047" type="#_x0000_t202" style="width:546;height:210;left:5363;position:absolute;top:217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FF00"/>
                        <w:spacing w:val="14"/>
                        <w:sz w:val="21"/>
                      </w:rPr>
                      <w:t>企 业</w:t>
                    </w:r>
                  </w:p>
                </w:txbxContent>
              </v:textbox>
            </v:shape>
            <v:shape id="_x0000_s1048" type="#_x0000_t202" style="width:546;height:210;left:4101;position:absolute;top:437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FF00"/>
                        <w:spacing w:val="14"/>
                        <w:sz w:val="21"/>
                      </w:rPr>
                      <w:t>企 业</w:t>
                    </w:r>
                  </w:p>
                </w:txbxContent>
              </v:textbox>
            </v:shape>
            <v:shape id="_x0000_s1049" type="#_x0000_t202" style="width:652;height:210;left:5361;position:absolute;top:437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0000"/>
                        <w:spacing w:val="-4"/>
                        <w:sz w:val="21"/>
                      </w:rPr>
                      <w:t>本项目</w:t>
                    </w:r>
                  </w:p>
                </w:txbxContent>
              </v:textbox>
            </v:shape>
            <v:shape id="_x0000_s1050" type="#_x0000_t202" style="width:546;height:210;left:6801;position:absolute;top:421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FF00"/>
                        <w:spacing w:val="14"/>
                        <w:sz w:val="21"/>
                      </w:rPr>
                      <w:t>企 业</w:t>
                    </w:r>
                  </w:p>
                </w:txbxContent>
              </v:textbox>
            </v:shape>
            <v:shape id="_x0000_s1051" type="#_x0000_t202" style="width:1917;height:522;left:5001;position:absolute;top:6086" filled="f" stroked="f">
              <v:textbox inset="0,0,0,0">
                <w:txbxContent>
                  <w:p>
                    <w:pPr>
                      <w:spacing w:before="0" w:line="250" w:lineRule="exact"/>
                      <w:ind w:left="399" w:right="437" w:firstLine="0"/>
                      <w:jc w:val="center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FF00"/>
                        <w:spacing w:val="-2"/>
                        <w:sz w:val="21"/>
                      </w:rPr>
                      <w:t>现状为农田</w:t>
                    </w:r>
                  </w:p>
                  <w:p>
                    <w:pPr>
                      <w:spacing w:before="0" w:line="272" w:lineRule="exact"/>
                      <w:ind w:left="-1" w:right="18" w:firstLine="0"/>
                      <w:jc w:val="center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FF00"/>
                        <w:sz w:val="21"/>
                      </w:rPr>
                      <w:t>（规划为工业用地</w:t>
                    </w:r>
                    <w:r>
                      <w:rPr>
                        <w:rFonts w:ascii="Microsoft JhengHei" w:eastAsia="Microsoft JhengHei"/>
                        <w:b/>
                        <w:color w:val="FFFF00"/>
                        <w:spacing w:val="-10"/>
                        <w:sz w:val="2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tabs>
          <w:tab w:val="left" w:pos="1084"/>
        </w:tabs>
        <w:spacing w:before="66"/>
        <w:ind w:left="244"/>
      </w:pPr>
      <w:r>
        <w:t>二</w:t>
      </w:r>
      <w:r>
        <w:rPr>
          <w:spacing w:val="-10"/>
        </w:rPr>
        <w:t>、</w:t>
      </w:r>
      <w:r>
        <w:tab/>
        <w:t>地形地</w:t>
      </w:r>
      <w:r>
        <w:rPr>
          <w:spacing w:val="-10"/>
        </w:rPr>
        <w:t>貌</w:t>
      </w:r>
    </w:p>
    <w:p>
      <w:pPr>
        <w:pStyle w:val="BodyText"/>
        <w:spacing w:before="143" w:line="350" w:lineRule="auto"/>
        <w:ind w:left="244" w:right="179" w:firstLine="480"/>
      </w:pPr>
      <w:r>
        <w:rPr>
          <w:spacing w:val="-3"/>
        </w:rPr>
        <w:t xml:space="preserve">建设项目位于鄞州区，区域内地势平坦，高程值在 </w:t>
      </w:r>
      <w:r>
        <w:rPr>
          <w:rFonts w:ascii="Times New Roman" w:eastAsia="Times New Roman"/>
        </w:rPr>
        <w:t>1.6-3.8</w:t>
      </w:r>
      <w:r>
        <w:rPr>
          <w:rFonts w:ascii="Times New Roman" w:eastAsia="Times New Roman"/>
          <w:spacing w:val="-15"/>
        </w:rPr>
        <w:t xml:space="preserve"> </w:t>
      </w:r>
      <w:r>
        <w:t>米（黄海高程）之间，</w:t>
      </w:r>
      <w:r>
        <w:rPr>
          <w:spacing w:val="-2"/>
        </w:rPr>
        <w:t>水系纵横，为典型的江南水网平原地区。区内主要为水稻田等农业用地。</w:t>
      </w:r>
    </w:p>
    <w:p>
      <w:pPr>
        <w:pStyle w:val="BodyText"/>
        <w:spacing w:before="2" w:line="350" w:lineRule="auto"/>
        <w:ind w:left="244" w:right="148" w:firstLine="480"/>
      </w:pPr>
      <w:r>
        <w:rPr>
          <w:spacing w:val="-4"/>
        </w:rPr>
        <w:t>鄞州区地处宁波沉积盆地的西北侧，横跨奉化江。鄞州内的地层大致如下：</w:t>
      </w:r>
      <w:r>
        <w:rPr>
          <w:rFonts w:ascii="Times New Roman" w:eastAsia="Times New Roman" w:hAnsi="Times New Roman"/>
          <w:spacing w:val="-2"/>
        </w:rPr>
        <w:t>0-0.3</w:t>
      </w:r>
      <w:r>
        <w:t>米为耕植土；</w:t>
      </w:r>
      <w:r>
        <w:rPr>
          <w:rFonts w:ascii="Times New Roman" w:eastAsia="Times New Roman" w:hAnsi="Times New Roman"/>
        </w:rPr>
        <w:t xml:space="preserve">1 </w:t>
      </w:r>
      <w:r>
        <w:t>层灰黄色粘土（俗称硬壳层</w:t>
      </w:r>
      <w:r>
        <w:rPr>
          <w:spacing w:val="-120"/>
        </w:rPr>
        <w:t>）</w:t>
      </w:r>
      <w:r>
        <w:rPr>
          <w:spacing w:val="-10"/>
        </w:rPr>
        <w:t xml:space="preserve">，埋深 </w:t>
      </w:r>
      <w:r>
        <w:rPr>
          <w:rFonts w:ascii="Times New Roman" w:eastAsia="Times New Roman" w:hAnsi="Times New Roman"/>
        </w:rPr>
        <w:t xml:space="preserve">0.3-1.0 </w:t>
      </w:r>
      <w:r>
        <w:rPr>
          <w:spacing w:val="-8"/>
        </w:rPr>
        <w:t xml:space="preserve">米、厚度 </w:t>
      </w:r>
      <w:r>
        <w:rPr>
          <w:rFonts w:ascii="Times New Roman" w:eastAsia="Times New Roman" w:hAnsi="Times New Roman"/>
        </w:rPr>
        <w:t xml:space="preserve">0.70 </w:t>
      </w:r>
      <w:r>
        <w:t>米左右、软</w:t>
      </w:r>
      <w:r>
        <w:rPr>
          <w:spacing w:val="-19"/>
        </w:rPr>
        <w:t>可塑状态、高压缩性、地基土承载力标准值</w:t>
      </w:r>
      <w:r>
        <w:rPr>
          <w:rFonts w:ascii="Times New Roman" w:eastAsia="Times New Roman" w:hAnsi="Times New Roman"/>
          <w:spacing w:val="-2"/>
        </w:rPr>
        <w:t>fk=70-80Kpa</w:t>
      </w:r>
      <w:r>
        <w:rPr>
          <w:spacing w:val="-16"/>
        </w:rPr>
        <w:t>、侧土磨擦阻力标准值</w:t>
      </w:r>
      <w:r>
        <w:rPr>
          <w:rFonts w:ascii="Times New Roman" w:eastAsia="Times New Roman" w:hAnsi="Times New Roman"/>
          <w:spacing w:val="-2"/>
        </w:rPr>
        <w:t>q=10kPa</w:t>
      </w:r>
      <w:r>
        <w:rPr>
          <w:spacing w:val="-2"/>
        </w:rPr>
        <w:t xml:space="preserve">； </w:t>
      </w:r>
      <w:r>
        <w:rPr>
          <w:rFonts w:ascii="Times New Roman" w:eastAsia="Times New Roman" w:hAnsi="Times New Roman"/>
        </w:rPr>
        <w:t xml:space="preserve">2 </w:t>
      </w:r>
      <w:r>
        <w:t>层海相沉积的灰色淤泥——淤质粘土，流塑状态、高压缩性、具层理构造、偶见贝壳，厚度自西（</w:t>
      </w:r>
      <w:r>
        <w:rPr>
          <w:spacing w:val="-2"/>
        </w:rPr>
        <w:t xml:space="preserve">段塘、石碶 </w:t>
      </w:r>
      <w:r>
        <w:rPr>
          <w:rFonts w:ascii="Times New Roman" w:eastAsia="Times New Roman" w:hAnsi="Times New Roman"/>
        </w:rPr>
        <w:t xml:space="preserve">8 </w:t>
      </w:r>
      <w:r>
        <w:t>米）向东（</w:t>
      </w:r>
      <w:r>
        <w:rPr>
          <w:spacing w:val="-3"/>
        </w:rPr>
        <w:t xml:space="preserve">钟公庙 </w:t>
      </w:r>
      <w:r>
        <w:rPr>
          <w:rFonts w:ascii="Times New Roman" w:eastAsia="Times New Roman" w:hAnsi="Times New Roman"/>
        </w:rPr>
        <w:t xml:space="preserve">22 </w:t>
      </w:r>
      <w:r>
        <w:t>米）逐渐变厚、地基土承载力标</w:t>
      </w:r>
      <w:r>
        <w:rPr>
          <w:spacing w:val="-19"/>
        </w:rPr>
        <w:t xml:space="preserve">准值 </w:t>
      </w:r>
      <w:r>
        <w:rPr>
          <w:rFonts w:ascii="Times New Roman" w:eastAsia="Times New Roman" w:hAnsi="Times New Roman"/>
          <w:spacing w:val="-2"/>
        </w:rPr>
        <w:t>fk=50-65Kpa</w:t>
      </w:r>
      <w:r>
        <w:rPr>
          <w:spacing w:val="-15"/>
        </w:rPr>
        <w:t xml:space="preserve">、桩侧土磨擦阴力标准值 </w:t>
      </w:r>
      <w:r>
        <w:rPr>
          <w:rFonts w:ascii="Times New Roman" w:eastAsia="Times New Roman" w:hAnsi="Times New Roman"/>
          <w:spacing w:val="-2"/>
        </w:rPr>
        <w:t>Qs=10Kpa</w:t>
      </w:r>
      <w:r>
        <w:rPr>
          <w:spacing w:val="-2"/>
        </w:rPr>
        <w:t>；</w:t>
      </w:r>
      <w:r>
        <w:rPr>
          <w:rFonts w:ascii="Times New Roman" w:eastAsia="Times New Roman" w:hAnsi="Times New Roman"/>
          <w:spacing w:val="-2"/>
        </w:rPr>
        <w:t xml:space="preserve">3 </w:t>
      </w:r>
      <w:r>
        <w:rPr>
          <w:spacing w:val="-15"/>
        </w:rPr>
        <w:t>层褐黄色粘土</w:t>
      </w:r>
      <w:r>
        <w:rPr>
          <w:spacing w:val="-2"/>
        </w:rPr>
        <w:t>（桩端持力层</w:t>
      </w:r>
      <w:r>
        <w:rPr>
          <w:spacing w:val="-180"/>
        </w:rPr>
        <w:t>）</w:t>
      </w:r>
      <w:r>
        <w:t>，</w:t>
      </w:r>
      <w:r>
        <w:rPr>
          <w:spacing w:val="-2"/>
        </w:rPr>
        <w:t xml:space="preserve">可塑——硬可塑状态、中低压缩性、可作为一般建筑物的桩端持力层、埋深 </w:t>
      </w:r>
      <w:r>
        <w:rPr>
          <w:rFonts w:ascii="Times New Roman" w:eastAsia="Times New Roman" w:hAnsi="Times New Roman"/>
        </w:rPr>
        <w:t>8-25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t>米、</w:t>
      </w:r>
      <w:r>
        <w:rPr>
          <w:spacing w:val="-9"/>
        </w:rPr>
        <w:t>自西向东倾斜加深。西区埋深浅、厚度大、力学指标高；东区埋深加大、厚度渐变薄、</w:t>
      </w:r>
    </w:p>
    <w:p>
      <w:pPr>
        <w:spacing w:after="0" w:line="350" w:lineRule="auto"/>
        <w:sectPr>
          <w:footerReference w:type="default" r:id="rId24"/>
          <w:pgSz w:w="11910" w:h="16840"/>
          <w:pgMar w:top="1420" w:right="1240" w:bottom="1180" w:left="1280" w:header="0" w:footer="988"/>
          <w:pgNumType w:start="14"/>
          <w:cols w:space="708"/>
        </w:sectPr>
      </w:pPr>
    </w:p>
    <w:p>
      <w:pPr>
        <w:pStyle w:val="BodyText"/>
        <w:spacing w:before="167" w:line="350" w:lineRule="auto"/>
        <w:ind w:left="244" w:right="300"/>
        <w:jc w:val="both"/>
      </w:pPr>
      <w:r>
        <w:pict>
          <v:shape id="_x0000_s1052" style="width:455.85pt;height:691.25pt;margin-top:73.12pt;margin-left:69.72pt;mso-position-horizontal-relative:page;mso-position-vertical-relative:page;position:absolute;z-index:-251650048" coordorigin="1394,1463" coordsize="9117,13825" path="m1417,1485l1417,15265m10489,1485l10489,15265m1394,1463l10512,1463m1394,15288l10512,15288e" filled="f" stroked="t" strokecolor="black" strokeweight="2.25pt">
            <v:stroke dashstyle="solid"/>
            <v:path arrowok="t"/>
          </v:shape>
        </w:pict>
      </w:r>
      <w:r>
        <w:rPr>
          <w:spacing w:val="-2"/>
        </w:rPr>
        <w:t xml:space="preserve">地基土承载力标准值 </w:t>
      </w:r>
      <w:r>
        <w:rPr>
          <w:rFonts w:ascii="Times New Roman" w:eastAsia="Times New Roman"/>
          <w:spacing w:val="-2"/>
        </w:rPr>
        <w:t>fk=190-240Kpa</w:t>
      </w:r>
      <w:r>
        <w:rPr>
          <w:spacing w:val="-2"/>
        </w:rPr>
        <w:t xml:space="preserve">、桩侧土磨擦阻力标准值 </w:t>
      </w:r>
      <w:r>
        <w:rPr>
          <w:rFonts w:ascii="Times New Roman" w:eastAsia="Times New Roman"/>
          <w:spacing w:val="-2"/>
        </w:rPr>
        <w:t>Qs=25-30Kpa</w:t>
      </w:r>
      <w:r>
        <w:rPr>
          <w:spacing w:val="-2"/>
        </w:rPr>
        <w:t>、桩端承</w:t>
      </w:r>
      <w:r>
        <w:rPr>
          <w:spacing w:val="-8"/>
        </w:rPr>
        <w:t xml:space="preserve">载力标准值 </w:t>
      </w:r>
      <w:r>
        <w:rPr>
          <w:rFonts w:ascii="Times New Roman" w:eastAsia="Times New Roman"/>
          <w:spacing w:val="-4"/>
        </w:rPr>
        <w:t>Qp=800-1200Kpa</w:t>
      </w:r>
      <w:r>
        <w:rPr>
          <w:spacing w:val="-4"/>
        </w:rPr>
        <w:t>；</w:t>
      </w:r>
      <w:r>
        <w:rPr>
          <w:rFonts w:ascii="Times New Roman" w:eastAsia="Times New Roman"/>
          <w:spacing w:val="-4"/>
        </w:rPr>
        <w:t>4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-4"/>
        </w:rPr>
        <w:t>层海相沉积的粘质粘土、粉土层，软可塑状态、中压</w:t>
      </w:r>
      <w:r>
        <w:rPr>
          <w:spacing w:val="-4"/>
        </w:rPr>
        <w:t xml:space="preserve">缩性、埋深在 </w:t>
      </w:r>
      <w:r>
        <w:rPr>
          <w:rFonts w:ascii="Times New Roman" w:eastAsia="Times New Roman"/>
        </w:rPr>
        <w:t>30-50</w:t>
      </w:r>
      <w:r>
        <w:rPr>
          <w:rFonts w:ascii="Times New Roman" w:eastAsia="Times New Roman"/>
          <w:spacing w:val="29"/>
        </w:rPr>
        <w:t xml:space="preserve"> </w:t>
      </w:r>
      <w:r>
        <w:t>米、无确切勘察资料；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29"/>
        </w:rPr>
        <w:t xml:space="preserve"> </w:t>
      </w:r>
      <w:r>
        <w:rPr>
          <w:spacing w:val="-2"/>
        </w:rPr>
        <w:t xml:space="preserve">层陆相沉积的砂砾层，埋深约在 </w:t>
      </w:r>
      <w:r>
        <w:rPr>
          <w:rFonts w:ascii="Times New Roman" w:eastAsia="Times New Roman"/>
        </w:rPr>
        <w:t>50-60</w:t>
      </w:r>
      <w:r>
        <w:rPr>
          <w:spacing w:val="-2"/>
        </w:rPr>
        <w:t>米、无确切勘察资料；</w:t>
      </w:r>
      <w:r>
        <w:rPr>
          <w:rFonts w:ascii="Times New Roman" w:eastAsia="Times New Roman"/>
          <w:spacing w:val="-2"/>
        </w:rPr>
        <w:t>6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7"/>
        </w:rPr>
        <w:t xml:space="preserve">层推测埋深 </w:t>
      </w:r>
      <w:r>
        <w:rPr>
          <w:rFonts w:ascii="Times New Roman" w:eastAsia="Times New Roman"/>
          <w:spacing w:val="-2"/>
        </w:rPr>
        <w:t>60-80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米（</w:t>
      </w:r>
      <w:r>
        <w:rPr>
          <w:spacing w:val="-5"/>
        </w:rPr>
        <w:t xml:space="preserve">宁波市区基岩埋深 </w:t>
      </w:r>
      <w:r>
        <w:rPr>
          <w:rFonts w:ascii="Times New Roman" w:eastAsia="Times New Roman"/>
          <w:spacing w:val="-2"/>
        </w:rPr>
        <w:t>90-95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2"/>
        </w:rPr>
        <w:t>米</w:t>
      </w:r>
      <w:r>
        <w:rPr>
          <w:spacing w:val="-120"/>
        </w:rPr>
        <w:t>）</w:t>
      </w:r>
      <w:r>
        <w:rPr>
          <w:spacing w:val="-2"/>
        </w:rPr>
        <w:t>。从中心</w:t>
      </w:r>
      <w:r>
        <w:rPr>
          <w:spacing w:val="-2"/>
        </w:rPr>
        <w:t>区的工程地质条件来看，西侧好，东侧较差些。</w:t>
      </w:r>
    </w:p>
    <w:p>
      <w:pPr>
        <w:pStyle w:val="BodyText"/>
        <w:spacing w:before="5"/>
        <w:ind w:left="244"/>
        <w:jc w:val="both"/>
      </w:pPr>
      <w:r>
        <w:rPr>
          <w:spacing w:val="8"/>
        </w:rPr>
        <w:t>三、  气候、气象特征</w:t>
      </w:r>
    </w:p>
    <w:p>
      <w:pPr>
        <w:pStyle w:val="BodyText"/>
        <w:spacing w:before="142" w:line="350" w:lineRule="auto"/>
        <w:ind w:left="244" w:right="255" w:firstLine="480"/>
        <w:jc w:val="both"/>
      </w:pPr>
      <w:r>
        <w:rPr>
          <w:spacing w:val="-6"/>
        </w:rPr>
        <w:t xml:space="preserve">区域属亚热带季风气候，气候温和湿润，平均气温 </w:t>
      </w:r>
      <w:r>
        <w:rPr>
          <w:rFonts w:ascii="Times New Roman" w:eastAsia="Times New Roman" w:hAnsi="Times New Roman"/>
          <w:spacing w:val="-6"/>
        </w:rPr>
        <w:t>16.20</w:t>
      </w:r>
      <w:r>
        <w:rPr>
          <w:spacing w:val="-6"/>
        </w:rPr>
        <w:t>℃，夏季多阵雨，空气湿</w:t>
      </w:r>
      <w:r>
        <w:rPr>
          <w:spacing w:val="-2"/>
        </w:rPr>
        <w:t>度大，温度较高；冬季少雨，气候干燥且寒冷；春秋季雨量均衡，冷热适中，其中春</w:t>
      </w:r>
      <w:r>
        <w:rPr>
          <w:spacing w:val="9"/>
        </w:rPr>
        <w:t>季雨日多，雨量分散，秋季多阵雨和台风，雨量集中，且强度大，年平均降雨量</w:t>
      </w:r>
      <w:r>
        <w:t xml:space="preserve"> </w:t>
      </w:r>
      <w:r>
        <w:rPr>
          <w:rFonts w:ascii="Times New Roman" w:eastAsia="Times New Roman" w:hAnsi="Times New Roman"/>
        </w:rPr>
        <w:t>1450</w:t>
      </w:r>
      <w:r>
        <w:t>～</w:t>
      </w:r>
      <w:r>
        <w:rPr>
          <w:rFonts w:ascii="Times New Roman" w:eastAsia="Times New Roman" w:hAnsi="Times New Roman"/>
        </w:rPr>
        <w:t xml:space="preserve">1800 </w:t>
      </w:r>
      <w:r>
        <w:t>毫米。</w:t>
      </w:r>
    </w:p>
    <w:p>
      <w:pPr>
        <w:pStyle w:val="BodyText"/>
        <w:spacing w:before="5" w:line="350" w:lineRule="auto"/>
        <w:ind w:left="244" w:right="284" w:firstLine="480"/>
        <w:jc w:val="both"/>
      </w:pPr>
      <w:r>
        <w:rPr>
          <w:spacing w:val="-10"/>
        </w:rPr>
        <w:t xml:space="preserve">全年地面主导风向为西北风，其中夏季为东南风（频率 </w:t>
      </w:r>
      <w:r>
        <w:rPr>
          <w:rFonts w:ascii="Times New Roman" w:eastAsia="Times New Roman"/>
          <w:spacing w:val="22"/>
        </w:rPr>
        <w:t>10%</w:t>
      </w:r>
      <w:r>
        <w:rPr>
          <w:spacing w:val="-98"/>
        </w:rPr>
        <w:t>）</w:t>
      </w:r>
      <w:r>
        <w:rPr>
          <w:spacing w:val="-13"/>
        </w:rPr>
        <w:t>，冬季为西北风</w:t>
      </w:r>
      <w:r>
        <w:rPr>
          <w:spacing w:val="-10"/>
        </w:rPr>
        <w:t>（</w:t>
      </w:r>
      <w:r>
        <w:rPr>
          <w:spacing w:val="-10"/>
        </w:rPr>
        <w:t>频</w:t>
      </w:r>
      <w:r>
        <w:rPr>
          <w:spacing w:val="-21"/>
        </w:rPr>
        <w:t xml:space="preserve">率 </w:t>
      </w:r>
      <w:r>
        <w:rPr>
          <w:rFonts w:ascii="Times New Roman" w:eastAsia="Times New Roman"/>
          <w:spacing w:val="30"/>
        </w:rPr>
        <w:t>10%</w:t>
      </w:r>
      <w:r>
        <w:rPr>
          <w:spacing w:val="-90"/>
        </w:rPr>
        <w:t>）</w:t>
      </w:r>
      <w:r>
        <w:t>。区域内主要灾害性天气为台风、暴雨、干旱、寒潮、霜冻等。</w:t>
      </w:r>
    </w:p>
    <w:p>
      <w:pPr>
        <w:pStyle w:val="BodyText"/>
        <w:spacing w:before="2" w:after="23"/>
        <w:ind w:left="1400" w:right="1655"/>
        <w:jc w:val="center"/>
      </w:pPr>
      <w:r>
        <w:rPr>
          <w:spacing w:val="-2"/>
        </w:rPr>
        <w:t>鄞州气象概况</w:t>
      </w:r>
    </w:p>
    <w:tbl>
      <w:tblPr>
        <w:tblStyle w:val="TableNormal5"/>
        <w:tblW w:w="0" w:type="auto"/>
        <w:jc w:val="left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14"/>
        <w:gridCol w:w="1194"/>
        <w:gridCol w:w="2927"/>
        <w:gridCol w:w="1400"/>
      </w:tblGrid>
      <w:tr>
        <w:tblPrEx>
          <w:tblW w:w="0" w:type="auto"/>
          <w:jc w:val="left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433"/>
              <w:rPr>
                <w:sz w:val="21"/>
              </w:rPr>
            </w:pPr>
            <w:r>
              <w:rPr>
                <w:sz w:val="21"/>
              </w:rPr>
              <w:t>历年最高气温</w:t>
            </w:r>
            <w:r>
              <w:rPr>
                <w:spacing w:val="-5"/>
                <w:sz w:val="21"/>
              </w:rPr>
              <w:t>（℃）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36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39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4" w:right="460"/>
              <w:jc w:val="center"/>
              <w:rPr>
                <w:sz w:val="21"/>
              </w:rPr>
            </w:pPr>
            <w:r>
              <w:rPr>
                <w:sz w:val="21"/>
              </w:rPr>
              <w:t>年日照时数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h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28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2009.8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433"/>
              <w:rPr>
                <w:sz w:val="21"/>
              </w:rPr>
            </w:pPr>
            <w:r>
              <w:rPr>
                <w:sz w:val="21"/>
              </w:rPr>
              <w:t>历年最低气温</w:t>
            </w:r>
            <w:r>
              <w:rPr>
                <w:spacing w:val="-5"/>
                <w:sz w:val="21"/>
              </w:rPr>
              <w:t>（℃）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26"/>
              <w:ind w:left="231"/>
              <w:rPr>
                <w:rFonts w:ascii="Times New Roman" w:eastAsia="Times New Roman"/>
                <w:sz w:val="21"/>
              </w:rPr>
            </w:pPr>
            <w:r>
              <w:rPr>
                <w:spacing w:val="-4"/>
                <w:sz w:val="21"/>
              </w:rPr>
              <w:t>－</w:t>
            </w:r>
            <w:r>
              <w:rPr>
                <w:rFonts w:ascii="Times New Roman" w:eastAsia="Times New Roman"/>
                <w:spacing w:val="-4"/>
                <w:sz w:val="21"/>
              </w:rPr>
              <w:t>8.6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4" w:right="460"/>
              <w:jc w:val="center"/>
              <w:rPr>
                <w:sz w:val="21"/>
              </w:rPr>
            </w:pPr>
            <w:r>
              <w:rPr>
                <w:sz w:val="21"/>
              </w:rPr>
              <w:t>年日照百分率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%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452" w:right="6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44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538"/>
              <w:rPr>
                <w:sz w:val="21"/>
              </w:rPr>
            </w:pPr>
            <w:r>
              <w:rPr>
                <w:sz w:val="21"/>
              </w:rPr>
              <w:t>年平均气温</w:t>
            </w:r>
            <w:r>
              <w:rPr>
                <w:spacing w:val="-5"/>
                <w:sz w:val="21"/>
              </w:rPr>
              <w:t>（℃）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28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16.2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5" w:right="460"/>
              <w:jc w:val="center"/>
              <w:rPr>
                <w:sz w:val="21"/>
              </w:rPr>
            </w:pPr>
            <w:r>
              <w:rPr>
                <w:sz w:val="21"/>
              </w:rPr>
              <w:t>多年平均降水量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mm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411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1414.1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538"/>
              <w:rPr>
                <w:sz w:val="21"/>
              </w:rPr>
            </w:pPr>
            <w:r>
              <w:rPr>
                <w:sz w:val="21"/>
              </w:rPr>
              <w:t>年平均地温</w:t>
            </w:r>
            <w:r>
              <w:rPr>
                <w:spacing w:val="-5"/>
                <w:sz w:val="21"/>
              </w:rPr>
              <w:t>（℃）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28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18.2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5" w:right="460"/>
              <w:jc w:val="center"/>
              <w:rPr>
                <w:sz w:val="21"/>
              </w:rPr>
            </w:pPr>
            <w:r>
              <w:rPr>
                <w:sz w:val="21"/>
              </w:rPr>
              <w:t>年平均蒸发量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mm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229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1196.55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345"/>
              <w:rPr>
                <w:sz w:val="21"/>
              </w:rPr>
            </w:pPr>
            <w:r>
              <w:rPr>
                <w:sz w:val="21"/>
              </w:rPr>
              <w:t>年平均相对湿度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%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36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81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4" w:right="460"/>
              <w:jc w:val="center"/>
              <w:rPr>
                <w:sz w:val="21"/>
              </w:rPr>
            </w:pPr>
            <w:r>
              <w:rPr>
                <w:sz w:val="21"/>
              </w:rPr>
              <w:t>年平均气压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hPa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28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1016.5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345"/>
              <w:rPr>
                <w:sz w:val="21"/>
              </w:rPr>
            </w:pPr>
            <w:r>
              <w:rPr>
                <w:sz w:val="21"/>
              </w:rPr>
              <w:t>年最小相对湿度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%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41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4" w:right="460"/>
              <w:jc w:val="center"/>
              <w:rPr>
                <w:sz w:val="21"/>
              </w:rPr>
            </w:pPr>
            <w:r>
              <w:rPr>
                <w:sz w:val="21"/>
              </w:rPr>
              <w:t>最高气压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hPa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229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1043.96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596"/>
              <w:rPr>
                <w:sz w:val="21"/>
              </w:rPr>
            </w:pPr>
            <w:r>
              <w:rPr>
                <w:sz w:val="21"/>
              </w:rPr>
              <w:t>最大风速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m/s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28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19.7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4" w:right="460"/>
              <w:jc w:val="center"/>
              <w:rPr>
                <w:sz w:val="21"/>
              </w:rPr>
            </w:pPr>
            <w:r>
              <w:rPr>
                <w:sz w:val="21"/>
              </w:rPr>
              <w:t>最低气压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hPa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28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957.34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491"/>
              <w:rPr>
                <w:sz w:val="21"/>
              </w:rPr>
            </w:pPr>
            <w:r>
              <w:rPr>
                <w:sz w:val="21"/>
              </w:rPr>
              <w:t>年平均风速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m/s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33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2.5</w:t>
            </w:r>
          </w:p>
        </w:tc>
        <w:tc>
          <w:tcPr>
            <w:tcW w:w="2927" w:type="dxa"/>
          </w:tcPr>
          <w:p>
            <w:pPr>
              <w:pStyle w:val="TableParagraph"/>
              <w:spacing w:before="126"/>
              <w:ind w:left="214" w:right="460"/>
              <w:jc w:val="center"/>
              <w:rPr>
                <w:sz w:val="21"/>
              </w:rPr>
            </w:pPr>
            <w:r>
              <w:rPr>
                <w:sz w:val="21"/>
              </w:rPr>
              <w:t>年平均雨日（天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1400" w:type="dxa"/>
          </w:tcPr>
          <w:p>
            <w:pPr>
              <w:pStyle w:val="TableParagraph"/>
              <w:spacing w:before="140"/>
              <w:ind w:left="41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174</w:t>
            </w:r>
          </w:p>
        </w:tc>
      </w:tr>
      <w:tr>
        <w:tblPrEx>
          <w:tblW w:w="0" w:type="auto"/>
          <w:jc w:val="left"/>
          <w:tblInd w:w="4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3014" w:type="dxa"/>
          </w:tcPr>
          <w:p>
            <w:pPr>
              <w:pStyle w:val="TableParagraph"/>
              <w:spacing w:before="126"/>
              <w:ind w:left="538"/>
              <w:rPr>
                <w:sz w:val="21"/>
              </w:rPr>
            </w:pPr>
            <w:r>
              <w:rPr>
                <w:sz w:val="21"/>
              </w:rPr>
              <w:t>年平均雾日（天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1194" w:type="dxa"/>
          </w:tcPr>
          <w:p>
            <w:pPr>
              <w:pStyle w:val="TableParagraph"/>
              <w:spacing w:before="140"/>
              <w:ind w:left="36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31</w:t>
            </w:r>
          </w:p>
        </w:tc>
        <w:tc>
          <w:tcPr>
            <w:tcW w:w="2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20"/>
        <w:ind w:left="244"/>
      </w:pPr>
      <w:r>
        <w:rPr>
          <w:spacing w:val="-2"/>
        </w:rPr>
        <w:t>四、生态环境</w:t>
      </w:r>
    </w:p>
    <w:p>
      <w:pPr>
        <w:pStyle w:val="BodyText"/>
        <w:spacing w:before="142" w:line="350" w:lineRule="auto"/>
        <w:ind w:left="244" w:right="164" w:firstLine="480"/>
      </w:pPr>
      <w:r>
        <w:rPr>
          <w:spacing w:val="-16"/>
        </w:rPr>
        <w:t>宁波地处宁绍平原东端，土地肥沃，是发展农业的天然基地，农业发达，素有“鱼</w:t>
      </w:r>
      <w:r>
        <w:rPr>
          <w:spacing w:val="-4"/>
        </w:rPr>
        <w:t>米之乡”之美称，也是浙江省粮、棉、油、水产品的重要基地，也有桃、柑桔、杨梅、</w:t>
      </w:r>
      <w:r>
        <w:rPr>
          <w:spacing w:val="-2"/>
        </w:rPr>
        <w:t>蔺草等一大批宁波特产。</w:t>
      </w:r>
    </w:p>
    <w:p>
      <w:pPr>
        <w:pStyle w:val="BodyText"/>
        <w:spacing w:before="3" w:line="350" w:lineRule="auto"/>
        <w:ind w:left="244" w:right="164" w:firstLine="480"/>
      </w:pPr>
      <w:r>
        <w:rPr>
          <w:spacing w:val="-3"/>
        </w:rPr>
        <w:t xml:space="preserve">全市植被丰富，森林覆盖率达 </w:t>
      </w:r>
      <w:r>
        <w:rPr>
          <w:rFonts w:ascii="Times New Roman" w:eastAsia="Times New Roman"/>
        </w:rPr>
        <w:t>36.8</w:t>
      </w:r>
      <w:r>
        <w:rPr>
          <w:spacing w:val="-5"/>
        </w:rPr>
        <w:t xml:space="preserve">％，森林蓄积量为 </w:t>
      </w:r>
      <w:r>
        <w:rPr>
          <w:rFonts w:ascii="Times New Roman" w:eastAsia="Times New Roman"/>
        </w:rPr>
        <w:t xml:space="preserve">735 </w:t>
      </w:r>
      <w:r>
        <w:t>万立方米，森林植物属</w:t>
      </w:r>
      <w:r>
        <w:rPr>
          <w:spacing w:val="-4"/>
        </w:rPr>
        <w:t>典型的常绿阔叶材类型，大面积茂盛的竹林构成了宁波山林的一大特色．山、海、林、</w:t>
      </w:r>
      <w:r>
        <w:rPr>
          <w:spacing w:val="-2"/>
        </w:rPr>
        <w:t>田构成了宁波良好的生态环境，为宁波的开放、社会经济的发展提供了优越的环境背</w:t>
      </w:r>
      <w:r>
        <w:rPr>
          <w:spacing w:val="-2"/>
        </w:rPr>
        <w:t>景。鄞州中心区位于甬江流域平原，地势平坦，河流纵横，海域广阔，海岸线漫长，</w:t>
      </w:r>
      <w:r>
        <w:rPr>
          <w:spacing w:val="-4"/>
        </w:rPr>
        <w:t xml:space="preserve">且趋于稳定，市区平均海拔 </w:t>
      </w:r>
      <w:r>
        <w:rPr>
          <w:rFonts w:ascii="Times New Roman" w:eastAsia="Times New Roman"/>
        </w:rPr>
        <w:t>3.0m</w:t>
      </w:r>
      <w:r>
        <w:t>（黄河高</w:t>
      </w:r>
      <w:r>
        <w:rPr>
          <w:spacing w:val="-120"/>
        </w:rPr>
        <w:t>）</w:t>
      </w:r>
      <w:r>
        <w:t>。</w:t>
      </w:r>
    </w:p>
    <w:p>
      <w:pPr>
        <w:spacing w:after="0" w:line="350" w:lineRule="auto"/>
        <w:sectPr>
          <w:footerReference w:type="default" r:id="rId25"/>
          <w:pgSz w:w="11910" w:h="16840"/>
          <w:pgMar w:top="1420" w:right="1240" w:bottom="1180" w:left="1280" w:header="0" w:footer="988"/>
          <w:pgNumType w:start="15"/>
          <w:cols w:space="708"/>
        </w:sectPr>
      </w:pPr>
    </w:p>
    <w:p>
      <w:pPr>
        <w:pStyle w:val="BodyText"/>
        <w:spacing w:before="6"/>
        <w:rPr>
          <w:sz w:val="8"/>
        </w:rPr>
      </w:pPr>
      <w:r>
        <w:pict>
          <v:group id="_x0000_s1053" style="width:455.85pt;height:684.5pt;margin-top:1in;margin-left:69.72pt;mso-position-horizontal-relative:page;mso-position-vertical-relative:page;position:absolute;z-index:-251649024" coordorigin="1394,1440" coordsize="9117,13690">
            <v:shape id="_x0000_s1054" type="#_x0000_t75" style="width:8736;height:6040;left:1525;position:absolute;top:3462" stroked="f">
              <v:imagedata r:id="rId26" o:title=""/>
            </v:shape>
            <v:shape id="_x0000_s1055" style="width:9117;height:13645;left:1394;position:absolute;top:1462" coordorigin="1394,1463" coordsize="9117,13645" path="m1417,1485l1417,15085m10489,1485l10489,15085m1394,1463l10512,1463m1394,15108l10512,15108e" filled="f" stroked="t" strokecolor="black" strokeweight="2.25pt">
              <v:stroke dashstyle="solid"/>
              <v:path arrowok="t"/>
            </v:shape>
            <v:shape id="_x0000_s1056" style="width:1785;height:1354;left:3417;position:absolute;top:5608" coordorigin="3417,5608" coordsize="1785,1354" path="m4497,6962l3417,6962,3417,6494,4047,6494,5202,5608,4317,6494,4497,6494,4497,6962xe" filled="t" fillcolor="white" stroked="f">
              <v:fill type="solid"/>
              <v:path arrowok="t"/>
            </v:shape>
            <v:shape id="_x0000_s1057" style="width:1785;height:1354;left:3417;position:absolute;top:5608" coordorigin="3417,5608" coordsize="1785,1354" path="m3417,6494l3417,6572,3417,6689,3417,6962,4047,6962,4317,6962,4497,6962,4497,6689,4497,6572,4497,6494,4317,6494,5202,5608,4047,6494,3417,6494xe" filled="f" stroked="t" strokecolor="black" strokeweight="0.75pt">
              <v:stroke dashstyle="solid"/>
              <v:path arrowok="t"/>
            </v:shape>
          </v:group>
        </w:pict>
      </w:r>
    </w:p>
    <w:p>
      <w:pPr>
        <w:pStyle w:val="Heading4"/>
        <w:spacing w:line="432" w:lineRule="exact"/>
        <w:rPr>
          <w:rFonts w:ascii="微软雅黑" w:eastAsia="微软雅黑"/>
        </w:rPr>
      </w:pPr>
      <w:r>
        <w:rPr>
          <w:rFonts w:ascii="微软雅黑" w:eastAsia="微软雅黑"/>
          <w:spacing w:val="-2"/>
        </w:rPr>
        <w:t>生态环境功能区规划</w:t>
      </w:r>
    </w:p>
    <w:p>
      <w:pPr>
        <w:pStyle w:val="BodyText"/>
        <w:spacing w:before="94" w:line="360" w:lineRule="auto"/>
        <w:ind w:left="244" w:right="110" w:firstLine="480"/>
      </w:pPr>
      <w:r>
        <w:rPr>
          <w:spacing w:val="-6"/>
        </w:rPr>
        <w:t>根据《宁波市区生态环境功能区规划》</w:t>
      </w:r>
      <w:r>
        <w:rPr>
          <w:spacing w:val="2"/>
        </w:rPr>
        <w:t>（</w:t>
      </w:r>
      <w:r>
        <w:rPr>
          <w:spacing w:val="1"/>
        </w:rPr>
        <w:t>其中鄞州区生态环境功能分区规划如附图</w:t>
      </w:r>
      <w:r>
        <w:rPr>
          <w:spacing w:val="-120"/>
        </w:rPr>
        <w:t>），</w:t>
      </w:r>
      <w:r>
        <w:rPr>
          <w:spacing w:val="-8"/>
        </w:rPr>
        <w:t>项目所在地规划为鄞州新城-鄞州投资创业中心生态环境功能小区</w:t>
      </w:r>
      <w:r>
        <w:rPr>
          <w:spacing w:val="-2"/>
        </w:rPr>
        <w:t>（I3-10212C01</w:t>
      </w:r>
      <w:r>
        <w:rPr>
          <w:spacing w:val="-182"/>
        </w:rPr>
        <w:t>）</w:t>
      </w:r>
      <w:r>
        <w:rPr>
          <w:spacing w:val="-2"/>
        </w:rPr>
        <w:t>，</w:t>
      </w:r>
      <w:r>
        <w:t>该片区属于重点准入区。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spacing w:before="71"/>
        <w:ind w:left="2288" w:right="0" w:firstLine="0"/>
        <w:jc w:val="left"/>
        <w:rPr>
          <w:sz w:val="21"/>
        </w:rPr>
      </w:pPr>
      <w:r>
        <w:rPr>
          <w:spacing w:val="-4"/>
          <w:sz w:val="21"/>
        </w:rPr>
        <w:t>本项目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66"/>
        <w:ind w:left="844"/>
      </w:pPr>
      <w:r>
        <w:rPr>
          <w:spacing w:val="-2"/>
        </w:rPr>
        <w:t>⑴小区基本特征</w:t>
      </w:r>
    </w:p>
    <w:p>
      <w:pPr>
        <w:pStyle w:val="BodyText"/>
        <w:spacing w:before="153" w:line="360" w:lineRule="auto"/>
        <w:ind w:left="244" w:right="232" w:firstLine="480"/>
      </w:pPr>
      <w:r>
        <w:rPr>
          <w:spacing w:val="-2"/>
        </w:rPr>
        <w:t>宁波望春工业园区是宁波市区十大重点工业园区之一，紧临宁波市区，东起机场</w:t>
      </w:r>
      <w:r>
        <w:rPr>
          <w:spacing w:val="-2"/>
        </w:rPr>
        <w:t>路，西至规划的绕城高速公路，南到栎社机场控制区北部边界，包括集士港镇区，其</w:t>
      </w:r>
      <w:r>
        <w:rPr>
          <w:spacing w:val="-8"/>
        </w:rPr>
        <w:t xml:space="preserve">小区总面积为 </w:t>
      </w:r>
      <w:r>
        <w:rPr>
          <w:rFonts w:ascii="Times New Roman" w:eastAsia="Times New Roman"/>
          <w:spacing w:val="-2"/>
        </w:rPr>
        <w:t>20.47km</w:t>
      </w:r>
      <w:r>
        <w:rPr>
          <w:rFonts w:ascii="Times New Roman" w:eastAsia="Times New Roman"/>
          <w:spacing w:val="-2"/>
          <w:position w:val="7"/>
          <w:sz w:val="16"/>
        </w:rPr>
        <w:t>2</w:t>
      </w:r>
      <w:r>
        <w:rPr>
          <w:spacing w:val="-2"/>
        </w:rPr>
        <w:t>。本区域目前尚未建污水处理厂，工业和生活污水直排内河，</w:t>
      </w:r>
      <w:r>
        <w:rPr>
          <w:spacing w:val="-3"/>
        </w:rPr>
        <w:t xml:space="preserve">导致内河水质污染严重。根据 </w:t>
      </w:r>
      <w:r>
        <w:rPr>
          <w:rFonts w:ascii="Times New Roman" w:eastAsia="Times New Roman"/>
        </w:rPr>
        <w:t xml:space="preserve">2005 </w:t>
      </w:r>
      <w:r>
        <w:rPr>
          <w:spacing w:val="-2"/>
        </w:rPr>
        <w:t xml:space="preserve">年环境统计数据，本小区有重点企业 </w:t>
      </w:r>
      <w:r>
        <w:rPr>
          <w:rFonts w:ascii="Times New Roman" w:eastAsia="Times New Roman"/>
        </w:rPr>
        <w:t xml:space="preserve">2 </w:t>
      </w:r>
      <w:r>
        <w:t>家，</w:t>
      </w:r>
      <w:r>
        <w:rPr>
          <w:rFonts w:ascii="Times New Roman" w:eastAsia="Times New Roman"/>
        </w:rPr>
        <w:t>2005</w:t>
      </w:r>
      <w:r>
        <w:rPr>
          <w:spacing w:val="-11"/>
        </w:rPr>
        <w:t xml:space="preserve">年 </w:t>
      </w:r>
      <w:r>
        <w:rPr>
          <w:rFonts w:ascii="Times New Roman" w:eastAsia="Times New Roman"/>
        </w:rPr>
        <w:t xml:space="preserve">CODcr </w:t>
      </w:r>
      <w:r>
        <w:rPr>
          <w:spacing w:val="-6"/>
        </w:rPr>
        <w:t xml:space="preserve">排量为 </w:t>
      </w:r>
      <w:r>
        <w:rPr>
          <w:rFonts w:ascii="Times New Roman" w:eastAsia="Times New Roman"/>
        </w:rPr>
        <w:t>263910kg</w:t>
      </w:r>
      <w:r>
        <w:rPr>
          <w:spacing w:val="-3"/>
        </w:rPr>
        <w:t xml:space="preserve">，氨氮排量为 </w:t>
      </w:r>
      <w:r>
        <w:rPr>
          <w:rFonts w:ascii="Times New Roman" w:eastAsia="Times New Roman"/>
        </w:rPr>
        <w:t>8722kg</w:t>
      </w:r>
      <w:r>
        <w:t>。</w:t>
      </w:r>
    </w:p>
    <w:p>
      <w:pPr>
        <w:pStyle w:val="BodyText"/>
        <w:spacing w:line="301" w:lineRule="exact"/>
        <w:ind w:left="724"/>
      </w:pPr>
      <w:r>
        <w:rPr>
          <w:spacing w:val="-2"/>
        </w:rPr>
        <w:t>⑵生态环境功能定位</w:t>
      </w:r>
    </w:p>
    <w:p>
      <w:pPr>
        <w:pStyle w:val="BodyText"/>
        <w:spacing w:before="152" w:line="360" w:lineRule="auto"/>
        <w:ind w:left="244" w:right="284" w:firstLine="480"/>
        <w:jc w:val="both"/>
      </w:pPr>
      <w:r>
        <w:rPr>
          <w:spacing w:val="-2"/>
        </w:rPr>
        <w:t>本小区的生态环境功能定位为生态型城区和宁波现代工业新区，对外开放的新窗</w:t>
      </w:r>
      <w:r>
        <w:rPr>
          <w:spacing w:val="-1"/>
        </w:rPr>
        <w:t xml:space="preserve">口、产业升级的新高地、城市发展的新组团。地表水水质控制目标为 </w:t>
      </w:r>
      <w:r>
        <w:rPr>
          <w:rFonts w:ascii="Times New Roman" w:eastAsia="Times New Roman"/>
        </w:rPr>
        <w:t>III</w:t>
      </w:r>
      <w:r>
        <w:rPr>
          <w:rFonts w:ascii="Times New Roman" w:eastAsia="Times New Roman"/>
          <w:spacing w:val="28"/>
        </w:rPr>
        <w:t xml:space="preserve"> </w:t>
      </w:r>
      <w:r>
        <w:t>类，大气环</w:t>
      </w:r>
      <w:r>
        <w:rPr>
          <w:spacing w:val="11"/>
        </w:rPr>
        <w:t>境质量控制目标为二级。</w:t>
      </w:r>
      <w:r>
        <w:rPr>
          <w:rFonts w:ascii="Times New Roman" w:eastAsia="Times New Roman"/>
        </w:rPr>
        <w:t>CODcr</w:t>
      </w:r>
      <w:r>
        <w:rPr>
          <w:rFonts w:ascii="Times New Roman" w:eastAsia="Times New Roman"/>
          <w:spacing w:val="18"/>
        </w:rPr>
        <w:t xml:space="preserve"> </w:t>
      </w:r>
      <w:r>
        <w:rPr>
          <w:spacing w:val="4"/>
        </w:rPr>
        <w:t xml:space="preserve">总量控制目标为 </w:t>
      </w:r>
      <w:r>
        <w:rPr>
          <w:rFonts w:ascii="Times New Roman" w:eastAsia="Times New Roman"/>
        </w:rPr>
        <w:t>950123kg</w:t>
      </w:r>
      <w:r>
        <w:rPr>
          <w:spacing w:val="7"/>
        </w:rPr>
        <w:t>，氨氮总量控制目标为</w:t>
      </w:r>
      <w:r>
        <w:t xml:space="preserve"> </w:t>
      </w:r>
      <w:r>
        <w:rPr>
          <w:rFonts w:ascii="Times New Roman" w:eastAsia="Times New Roman"/>
          <w:spacing w:val="-2"/>
        </w:rPr>
        <w:t>8722kg</w:t>
      </w:r>
      <w:r>
        <w:rPr>
          <w:spacing w:val="-2"/>
        </w:rPr>
        <w:t>。</w:t>
      </w:r>
    </w:p>
    <w:p>
      <w:pPr>
        <w:pStyle w:val="BodyText"/>
        <w:spacing w:line="303" w:lineRule="exact"/>
        <w:ind w:left="724"/>
      </w:pPr>
      <w:r>
        <w:rPr>
          <w:spacing w:val="-2"/>
        </w:rPr>
        <w:t>⑶生态环境保护要求</w:t>
      </w:r>
    </w:p>
    <w:p>
      <w:pPr>
        <w:spacing w:after="0" w:line="303" w:lineRule="exact"/>
        <w:sectPr>
          <w:footerReference w:type="default" r:id="rId27"/>
          <w:pgSz w:w="11910" w:h="16840"/>
          <w:pgMar w:top="1420" w:right="1240" w:bottom="1180" w:left="1280" w:header="0" w:footer="988"/>
          <w:pgNumType w:start="16"/>
          <w:cols w:space="708"/>
        </w:sectPr>
      </w:pPr>
    </w:p>
    <w:p>
      <w:pPr>
        <w:pStyle w:val="BodyText"/>
        <w:spacing w:before="11"/>
        <w:rPr>
          <w:sz w:val="7"/>
        </w:rPr>
      </w:pPr>
      <w:r>
        <w:pict>
          <v:shape id="_x0000_s1058" style="width:455.85pt;height:692.25pt;margin-top:73.12pt;margin-left:69.72pt;mso-position-horizontal-relative:page;mso-position-vertical-relative:page;position:absolute;z-index:-251648000" coordorigin="1394,1463" coordsize="9117,13845" path="m1417,1485l1417,15285m10489,1485l10489,15285m1394,1463l10512,1463m1394,15308l10512,15308e" filled="f" stroked="t" strokecolor="black" strokeweight="2.25pt">
            <v:stroke dashstyle="solid"/>
            <v:path arrowok="t"/>
          </v:shape>
        </w:pict>
      </w:r>
    </w:p>
    <w:p>
      <w:pPr>
        <w:pStyle w:val="BodyText"/>
        <w:spacing w:before="74" w:line="360" w:lineRule="auto"/>
        <w:ind w:left="244" w:right="164" w:firstLine="480"/>
      </w:pPr>
      <w:r>
        <w:rPr>
          <w:spacing w:val="-5"/>
        </w:rPr>
        <w:t>按照功能定位，禁止审批列入国家《产业结构调整指导目录》</w:t>
      </w:r>
      <w:r>
        <w:rPr>
          <w:spacing w:val="1"/>
        </w:rPr>
        <w:t>（</w:t>
      </w:r>
      <w:r>
        <w:rPr>
          <w:rFonts w:ascii="Times New Roman" w:eastAsia="Times New Roman"/>
        </w:rPr>
        <w:t xml:space="preserve">2005 </w:t>
      </w:r>
      <w:r>
        <w:t>本</w:t>
      </w:r>
      <w:r>
        <w:rPr>
          <w:spacing w:val="1"/>
        </w:rPr>
        <w:t>）</w:t>
      </w:r>
      <w:r>
        <w:t>中规定</w:t>
      </w:r>
      <w:r>
        <w:rPr>
          <w:spacing w:val="2"/>
        </w:rPr>
        <w:t>的限制类和《浙江省工业污染项目（产品、工艺）禁止和发展目录（第一批</w:t>
      </w:r>
      <w:r>
        <w:rPr>
          <w:spacing w:val="-118"/>
        </w:rPr>
        <w:t>）</w:t>
      </w:r>
      <w:r>
        <w:rPr>
          <w:spacing w:val="1"/>
        </w:rPr>
        <w:t>》中规</w:t>
      </w:r>
      <w:r>
        <w:rPr>
          <w:spacing w:val="-4"/>
        </w:rPr>
        <w:t>定的禁止类和限制类建设项目，取缔列入《产业结构调整指导目录》</w:t>
      </w:r>
      <w:r>
        <w:t>（</w:t>
      </w:r>
      <w:r>
        <w:rPr>
          <w:rFonts w:ascii="Times New Roman" w:eastAsia="Times New Roman"/>
        </w:rPr>
        <w:t xml:space="preserve">2005 </w:t>
      </w:r>
      <w:r>
        <w:rPr>
          <w:spacing w:val="1"/>
        </w:rPr>
        <w:t>本</w:t>
      </w:r>
      <w:r>
        <w:t>）中要</w:t>
      </w:r>
      <w:r>
        <w:rPr>
          <w:spacing w:val="-13"/>
        </w:rPr>
        <w:t>求淘汰的项目，鼓励发展对区域经济带动力大、对环境污染小的轻工业和都市型产业，</w:t>
      </w:r>
      <w:r>
        <w:t>也称楼宇产业。</w:t>
      </w:r>
    </w:p>
    <w:p>
      <w:pPr>
        <w:pStyle w:val="BodyText"/>
        <w:spacing w:line="301" w:lineRule="exact"/>
        <w:ind w:left="724"/>
      </w:pPr>
      <w:r>
        <w:rPr>
          <w:spacing w:val="-2"/>
        </w:rPr>
        <w:t>⑷生态环境保护措施</w:t>
      </w:r>
    </w:p>
    <w:p>
      <w:pPr>
        <w:pStyle w:val="BodyText"/>
        <w:spacing w:before="153" w:line="360" w:lineRule="auto"/>
        <w:ind w:left="244" w:right="260" w:firstLine="480"/>
        <w:jc w:val="both"/>
      </w:pPr>
      <w:r>
        <w:rPr>
          <w:spacing w:val="-2"/>
        </w:rPr>
        <w:t>完善促进产业结构调整的政策措施。提高建设项目在土地、环保、节能、技术、</w:t>
      </w:r>
      <w:r>
        <w:rPr>
          <w:spacing w:val="-2"/>
        </w:rPr>
        <w:t>安全等方面的准入标准。充分运用收费、价格、地价、财政税收等各种经济杠杆，减</w:t>
      </w:r>
      <w:r>
        <w:rPr>
          <w:spacing w:val="-2"/>
        </w:rPr>
        <w:t>少高污染的产业和和企业的效益，形成节能减排的激励和约束机制。园区的规划建设</w:t>
      </w:r>
      <w:r>
        <w:rPr>
          <w:spacing w:val="-2"/>
        </w:rPr>
        <w:t>不可突破环境容量总体规模。</w:t>
      </w:r>
    </w:p>
    <w:p>
      <w:pPr>
        <w:pStyle w:val="BodyText"/>
        <w:spacing w:line="360" w:lineRule="auto"/>
        <w:ind w:left="244" w:right="140" w:firstLine="480"/>
      </w:pPr>
      <w:r>
        <w:rPr>
          <w:spacing w:val="-11"/>
        </w:rPr>
        <w:t>完善建设工业区集中供热设施，加快鄞西污水处理厂一期工程及其配套管网建设。</w:t>
      </w:r>
      <w:r>
        <w:rPr>
          <w:spacing w:val="-2"/>
        </w:rPr>
        <w:t>区内各企业的废水必须经自行处理达到《污水综合排放标准》中的三级标准（一类污</w:t>
      </w:r>
      <w:r>
        <w:rPr>
          <w:spacing w:val="-2"/>
        </w:rPr>
        <w:t>染物执行一级排放标准）后排入城市污水管网，严禁企业污水和生活污水直排内河。</w:t>
      </w:r>
    </w:p>
    <w:p>
      <w:pPr>
        <w:pStyle w:val="BodyText"/>
        <w:spacing w:line="360" w:lineRule="auto"/>
        <w:ind w:left="244" w:right="284" w:firstLine="435"/>
        <w:jc w:val="both"/>
      </w:pPr>
      <w:r>
        <w:rPr>
          <w:spacing w:val="-2"/>
        </w:rPr>
        <w:t>加强用水管理，提高水资源的综合利用。严格实施清洁生产审核制度，加强环境</w:t>
      </w:r>
      <w:r>
        <w:rPr>
          <w:spacing w:val="-2"/>
        </w:rPr>
        <w:t>执法力度。加强推广清洁生产工艺，减排污废、提高资源和能源利用效率。对各类固</w:t>
      </w:r>
      <w:r>
        <w:rPr>
          <w:spacing w:val="-2"/>
        </w:rPr>
        <w:t>体废弃物进行分类处理，最大限度回收利用。远期规划在镇域西北部山区设垃圾处理</w:t>
      </w:r>
      <w:r>
        <w:rPr>
          <w:spacing w:val="-2"/>
        </w:rPr>
        <w:t>场，垃圾经综合利用后再进行卫生填埋或焚烧。</w:t>
      </w:r>
    </w:p>
    <w:p>
      <w:pPr>
        <w:pStyle w:val="BodyText"/>
        <w:spacing w:line="360" w:lineRule="auto"/>
        <w:ind w:left="244" w:right="260"/>
        <w:jc w:val="both"/>
      </w:pPr>
      <w:r>
        <w:rPr>
          <w:spacing w:val="-2"/>
        </w:rPr>
        <w:t>禁止和限制高能耗建筑物的建设，鼓励和推广使用节能建筑材料。完善绿地生态和道</w:t>
      </w:r>
      <w:r>
        <w:rPr>
          <w:spacing w:val="-2"/>
        </w:rPr>
        <w:t>路绿化建设，提高工业区植被覆盖率。运用土壤生物工程方法进行河流河岸的修复，</w:t>
      </w:r>
      <w:r>
        <w:rPr>
          <w:spacing w:val="-2"/>
        </w:rPr>
        <w:t>推广使用渗透性强的砖体铺设道路，孔砖铺设河岸，促进河网生态系统与陆地生态系</w:t>
      </w:r>
      <w:r>
        <w:rPr>
          <w:spacing w:val="-2"/>
        </w:rPr>
        <w:t>统的物质循环和能量流动，改善内河水质。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4"/>
        <w:spacing w:before="202"/>
        <w:rPr>
          <w:rFonts w:ascii="微软雅黑" w:eastAsia="微软雅黑"/>
        </w:rPr>
      </w:pPr>
      <w:r>
        <w:rPr>
          <w:rFonts w:ascii="微软雅黑" w:eastAsia="微软雅黑"/>
        </w:rPr>
        <w:t>社会环境简况（社会经济结构、教育、文化、文物保护等</w:t>
      </w:r>
      <w:r>
        <w:rPr>
          <w:rFonts w:ascii="微软雅黑" w:eastAsia="微软雅黑"/>
          <w:spacing w:val="-5"/>
        </w:rPr>
        <w:t>）：</w:t>
      </w:r>
    </w:p>
    <w:p>
      <w:pPr>
        <w:spacing w:after="0"/>
        <w:rPr>
          <w:rFonts w:ascii="微软雅黑" w:eastAsia="微软雅黑"/>
        </w:rPr>
        <w:sectPr>
          <w:footerReference w:type="default" r:id="rId28"/>
          <w:pgSz w:w="11910" w:h="16840"/>
          <w:pgMar w:top="1420" w:right="1240" w:bottom="1180" w:left="1280" w:header="0" w:footer="988"/>
          <w:pgNumType w:start="17"/>
          <w:cols w:space="708"/>
        </w:sectPr>
      </w:pPr>
    </w:p>
    <w:p>
      <w:pPr>
        <w:pStyle w:val="BodyText"/>
        <w:spacing w:before="16"/>
        <w:rPr>
          <w:rFonts w:ascii="微软雅黑"/>
          <w:b/>
          <w:sz w:val="5"/>
        </w:rPr>
      </w:pPr>
      <w:r>
        <w:pict>
          <v:shape id="_x0000_s1059" style="width:455.85pt;height:671.25pt;margin-top:73.12pt;margin-left:69.72pt;mso-position-horizontal-relative:page;mso-position-vertical-relative:page;position:absolute;z-index:-251646976" coordorigin="1394,1463" coordsize="9117,13425" path="m1417,1485l1417,14865m10489,1485l10489,14865m1394,1463l10512,1463m1394,14888l10512,14888e" filled="f" stroked="t" strokecolor="black" strokeweight="2.25pt">
            <v:stroke dashstyle="solid"/>
            <v:path arrowok="t"/>
          </v:shape>
        </w:pict>
      </w:r>
    </w:p>
    <w:p>
      <w:pPr>
        <w:pStyle w:val="BodyText"/>
        <w:spacing w:before="67"/>
        <w:ind w:left="244"/>
      </w:pPr>
      <w:r>
        <w:rPr>
          <w:spacing w:val="-3"/>
        </w:rPr>
        <w:t>区域概况</w:t>
      </w:r>
    </w:p>
    <w:p>
      <w:pPr>
        <w:pStyle w:val="BodyText"/>
        <w:spacing w:before="152" w:line="360" w:lineRule="auto"/>
        <w:ind w:left="244" w:right="284" w:firstLine="480"/>
        <w:jc w:val="both"/>
      </w:pPr>
      <w:r>
        <w:rPr>
          <w:spacing w:val="-2"/>
        </w:rPr>
        <w:t>大凡发展之地，皆处于通衢要津。作为鄞州西部城市化核心区块的集士港镇，处</w:t>
      </w:r>
      <w:r>
        <w:rPr>
          <w:spacing w:val="-4"/>
        </w:rPr>
        <w:t xml:space="preserve">于宁波绕城高速区内，到宁波中心城区 </w:t>
      </w:r>
      <w:r>
        <w:rPr>
          <w:rFonts w:ascii="Times New Roman" w:eastAsia="Times New Roman"/>
          <w:spacing w:val="-2"/>
        </w:rPr>
        <w:t>4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5"/>
        </w:rPr>
        <w:t xml:space="preserve">公里，离栎社国际机场 </w:t>
      </w:r>
      <w:r>
        <w:rPr>
          <w:rFonts w:ascii="Times New Roman" w:eastAsia="Times New Roman"/>
          <w:spacing w:val="-2"/>
        </w:rPr>
        <w:t>8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公里，使得集士港</w:t>
      </w:r>
      <w:r>
        <w:rPr>
          <w:spacing w:val="-2"/>
        </w:rPr>
        <w:t>具备了绝佳的立体交通优势。千百年前，古代学子云集于此，携手同舟赶考、南来北</w:t>
      </w:r>
      <w:r>
        <w:rPr>
          <w:spacing w:val="-2"/>
        </w:rPr>
        <w:t>往的文人雅士滋润了这一方土地的文脉。当改革开放的浪潮席卷而来，这方灵秀的土</w:t>
      </w:r>
      <w:r>
        <w:rPr>
          <w:spacing w:val="-2"/>
        </w:rPr>
        <w:t>地顺势而起，蒸腾而起的改革热情使得集士港镇的面貌焕然一新。近几年来，集士港</w:t>
      </w:r>
      <w:r>
        <w:rPr>
          <w:spacing w:val="-2"/>
        </w:rPr>
        <w:t>镇在高效生态农业的基础上，形成了以轻加工制造业为支柱，以外向型经济为先导的</w:t>
      </w:r>
      <w:r>
        <w:rPr>
          <w:spacing w:val="-4"/>
        </w:rPr>
        <w:t>新型经济格局。</w:t>
      </w:r>
      <w:r>
        <w:rPr>
          <w:rFonts w:ascii="Times New Roman" w:eastAsia="Times New Roman"/>
          <w:spacing w:val="-4"/>
        </w:rPr>
        <w:t>2014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6"/>
        </w:rPr>
        <w:t xml:space="preserve">年，全镇实现地区生产总值 </w:t>
      </w:r>
      <w:r>
        <w:rPr>
          <w:rFonts w:ascii="Times New Roman" w:eastAsia="Times New Roman"/>
          <w:spacing w:val="-4"/>
        </w:rPr>
        <w:t>54.3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6"/>
        </w:rPr>
        <w:t xml:space="preserve">亿元，规上工业总产值 </w:t>
      </w:r>
      <w:r>
        <w:rPr>
          <w:rFonts w:ascii="Times New Roman" w:eastAsia="Times New Roman"/>
          <w:spacing w:val="-4"/>
        </w:rPr>
        <w:t>124.7</w:t>
      </w:r>
      <w:r>
        <w:rPr>
          <w:rFonts w:ascii="Times New Roman" w:eastAsia="Times New Roman"/>
          <w:spacing w:val="7"/>
        </w:rPr>
        <w:t xml:space="preserve"> </w:t>
      </w:r>
      <w:r>
        <w:rPr>
          <w:spacing w:val="-4"/>
        </w:rPr>
        <w:t>亿</w:t>
      </w:r>
      <w:r>
        <w:rPr>
          <w:spacing w:val="-6"/>
        </w:rPr>
        <w:t xml:space="preserve">元，财政总收入 </w:t>
      </w:r>
      <w:r>
        <w:rPr>
          <w:rFonts w:ascii="Times New Roman" w:eastAsia="Times New Roman"/>
          <w:spacing w:val="-2"/>
        </w:rPr>
        <w:t>3.9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5"/>
        </w:rPr>
        <w:t xml:space="preserve">亿元，外贸出口总额 </w:t>
      </w:r>
      <w:r>
        <w:rPr>
          <w:rFonts w:ascii="Times New Roman" w:eastAsia="Times New Roman"/>
          <w:spacing w:val="-2"/>
        </w:rPr>
        <w:t>6.1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4"/>
        </w:rPr>
        <w:t xml:space="preserve">亿美元，社会消费品零售额 </w:t>
      </w:r>
      <w:r>
        <w:rPr>
          <w:rFonts w:ascii="Times New Roman" w:eastAsia="Times New Roman"/>
          <w:spacing w:val="-2"/>
        </w:rPr>
        <w:t>20.7</w:t>
      </w:r>
      <w:r>
        <w:rPr>
          <w:rFonts w:ascii="Times New Roman" w:eastAsia="Times New Roman"/>
          <w:spacing w:val="13"/>
        </w:rPr>
        <w:t xml:space="preserve"> </w:t>
      </w:r>
      <w:r>
        <w:rPr>
          <w:spacing w:val="-2"/>
        </w:rPr>
        <w:t>亿元，</w:t>
      </w:r>
      <w:r>
        <w:rPr>
          <w:spacing w:val="-9"/>
        </w:rPr>
        <w:t xml:space="preserve">同比增长 </w:t>
      </w:r>
      <w:r>
        <w:rPr>
          <w:rFonts w:ascii="Times New Roman" w:eastAsia="Times New Roman"/>
        </w:rPr>
        <w:t>53.4%</w:t>
      </w:r>
      <w:r>
        <w:t>。</w:t>
      </w:r>
    </w:p>
    <w:p>
      <w:pPr>
        <w:pStyle w:val="BodyText"/>
        <w:spacing w:line="360" w:lineRule="auto"/>
        <w:ind w:left="244" w:right="284" w:firstLine="480"/>
        <w:jc w:val="both"/>
      </w:pPr>
      <w:r>
        <w:rPr>
          <w:spacing w:val="-2"/>
        </w:rPr>
        <w:t>集士港人不分昼夜的挥汗与晓夜兼程的奔忙，让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时尚卫星城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展示出日新月异的</w:t>
      </w:r>
      <w:r>
        <w:rPr>
          <w:spacing w:val="-4"/>
        </w:rPr>
        <w:t>万千气象。在国家推进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城乡一体化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>和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转变发展方式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>的大战略格局中，浙江省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加快</w:t>
      </w:r>
      <w:r>
        <w:rPr>
          <w:spacing w:val="-2"/>
        </w:rPr>
        <w:t>中心镇培育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10"/>
        </w:rPr>
        <w:t>的形势和宁波市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卫星城建设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6"/>
        </w:rPr>
        <w:t>的宏图所带来的率先发展机遇，构成了集士</w:t>
      </w:r>
      <w:r>
        <w:rPr>
          <w:spacing w:val="-2"/>
        </w:rPr>
        <w:t>港镇加速新型城市化的发展大背景。而鄞州区构筑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一心两组团四板块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的城乡空间结</w:t>
      </w:r>
      <w:r>
        <w:rPr>
          <w:spacing w:val="-2"/>
        </w:rPr>
        <w:t>构和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鄞西新城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战略构想的提出，为集士港镇实现跨越发展提供了现实的平台。</w:t>
      </w:r>
    </w:p>
    <w:p>
      <w:pPr>
        <w:pStyle w:val="BodyText"/>
        <w:spacing w:line="360" w:lineRule="auto"/>
        <w:ind w:left="244" w:right="260" w:firstLine="480"/>
        <w:jc w:val="both"/>
      </w:pPr>
      <w:r>
        <w:rPr>
          <w:spacing w:val="-2"/>
        </w:rPr>
        <w:t>近年来，集士港镇投入巨资把卫星城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精装修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成宁波中心城区的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西客厅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，以奥</w:t>
      </w:r>
      <w:r>
        <w:rPr>
          <w:spacing w:val="-2"/>
        </w:rPr>
        <w:t>特莱斯广场、永达国际汽车城、伯豪华府酒店等为核心的现代商圈建设进一步加快，</w:t>
      </w:r>
      <w:r>
        <w:rPr>
          <w:spacing w:val="-2"/>
        </w:rPr>
        <w:t>以文体中心、市民广场、广泽小学等为重点基础设施建设投入进一步加大，桃源湾休</w:t>
      </w:r>
      <w:r>
        <w:rPr>
          <w:spacing w:val="-2"/>
        </w:rPr>
        <w:t>闲旅游度假区的开工建设将为卫星城增添了更多时尚元素。不久的将来，集士港卫星</w:t>
      </w:r>
      <w:r>
        <w:rPr>
          <w:spacing w:val="-2"/>
        </w:rPr>
        <w:t>城将成为一个宜居、宜商、宜文、宜游的现代化小城市。</w:t>
      </w:r>
    </w:p>
    <w:p>
      <w:pPr>
        <w:spacing w:after="0" w:line="360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https://d.book118.com/355343020320011120</w:t>
        </w:r>
      </w:hyperlink>
    </w:p>
    <w:p>
      <w:pPr>
        <w:spacing w:after="0" w:line="360" w:lineRule="auto"/>
        <w:jc w:val="both"/>
      </w:pPr>
    </w:p>
    <w:sectPr>
      <w:footerReference w:type="default" r:id="rId30"/>
      <w:pgSz w:w="11910" w:h="16840"/>
      <w:pgMar w:top="1420" w:right="1240" w:bottom="1180" w:left="1280" w:header="0" w:footer="988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.5pt;height:12pt;margin-top:781.38pt;margin-left:292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.5pt;height:12pt;margin-top:781.38pt;margin-left:292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.5pt;height:12pt;margin-top:781.38pt;margin-left:292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.5pt;height:12pt;margin-top:781.38pt;margin-left:292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.5pt;height:12pt;margin-top:781.38pt;margin-left:292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.5pt;height:12pt;margin-top:781.38pt;margin-left:292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.5pt;height:12pt;margin-top:781.38pt;margin-left:292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.5pt;height:12pt;margin-top:781.38pt;margin-left:292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pt;height:15.3pt;margin-top:781.51pt;margin-left:288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9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pt;height:15.3pt;margin-top:781.51pt;margin-left:288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10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pt;height:15.3pt;margin-top:781.51pt;margin-left:288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11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pt;height:15.3pt;margin-top:781.51pt;margin-left:288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12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pt;height:15.3pt;margin-top:781.51pt;margin-left:288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13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pt;height:15.3pt;margin-top:781.51pt;margin-left:288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14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pt;height:15.3pt;margin-top:781.51pt;margin-left:288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15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pt;height:15.3pt;margin-top:781.51pt;margin-left:288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16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pt;height:15.3pt;margin-top:781.51pt;margin-left:288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17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pt;height:15.3pt;margin-top:781.51pt;margin-left:288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b/>
                    <w:i/>
                    <w:sz w:val="24"/>
                  </w:rPr>
                </w:pP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begin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separate"/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t>18</w:t>
                </w:r>
                <w:r>
                  <w:rPr>
                    <w:rFonts w:ascii="Times New Roman"/>
                    <w:b/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5116C59"/>
    <w:multiLevelType w:val="hybridMultilevel"/>
    <w:tmpl w:val="00000000"/>
    <w:lvl w:ilvl="0">
      <w:start w:val="0"/>
      <w:numFmt w:val="bullet"/>
      <w:lvlText w:val="■"/>
      <w:lvlJc w:val="left"/>
      <w:pPr>
        <w:ind w:left="424" w:hanging="1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41" w:hanging="1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63" w:hanging="1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85" w:hanging="1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07" w:hanging="1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29" w:hanging="1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51" w:hanging="1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73" w:hanging="1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395" w:hanging="11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472" w:lineRule="exact"/>
      <w:ind w:left="516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516"/>
      <w:outlineLvl w:val="1"/>
    </w:pPr>
    <w:rPr>
      <w:rFonts w:ascii="黑体" w:eastAsia="黑体" w:hAnsi="黑体" w:cs="黑体"/>
      <w:sz w:val="28"/>
      <w:szCs w:val="28"/>
      <w:lang w:val="en-US" w:eastAsia="zh-CN" w:bidi="ar-SA"/>
    </w:rPr>
  </w:style>
  <w:style w:type="paragraph" w:styleId="Heading3">
    <w:name w:val="heading 3"/>
    <w:basedOn w:val="Normal"/>
    <w:uiPriority w:val="1"/>
    <w:qFormat/>
    <w:pPr>
      <w:spacing w:before="49"/>
      <w:ind w:left="53"/>
      <w:outlineLvl w:val="2"/>
    </w:pPr>
    <w:rPr>
      <w:rFonts w:ascii="宋体" w:eastAsia="宋体" w:hAnsi="宋体" w:cs="宋体"/>
      <w:sz w:val="25"/>
      <w:szCs w:val="25"/>
      <w:lang w:val="en-US" w:eastAsia="zh-CN" w:bidi="ar-SA"/>
    </w:rPr>
  </w:style>
  <w:style w:type="paragraph" w:styleId="Heading4">
    <w:name w:val="heading 4"/>
    <w:basedOn w:val="Normal"/>
    <w:uiPriority w:val="1"/>
    <w:qFormat/>
    <w:pPr>
      <w:ind w:left="244"/>
      <w:outlineLvl w:val="3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11"/>
      <w:ind w:left="936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922" w:lineRule="exact"/>
      <w:ind w:right="39"/>
      <w:jc w:val="center"/>
    </w:pPr>
    <w:rPr>
      <w:rFonts w:ascii="黑体" w:eastAsia="黑体" w:hAnsi="黑体" w:cs="黑体"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hyperlink" Target="http://baike.so.com/doc/625330.html" TargetMode="External" /><Relationship Id="rId16" Type="http://schemas.openxmlformats.org/officeDocument/2006/relationships/hyperlink" Target="http://baike.so.com/doc/6476894.html" TargetMode="Externa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image" Target="media/image4.jpeg" /><Relationship Id="rId22" Type="http://schemas.openxmlformats.org/officeDocument/2006/relationships/footer" Target="footer13.xml" /><Relationship Id="rId23" Type="http://schemas.openxmlformats.org/officeDocument/2006/relationships/image" Target="media/image5.jpeg" /><Relationship Id="rId24" Type="http://schemas.openxmlformats.org/officeDocument/2006/relationships/footer" Target="footer14.xml" /><Relationship Id="rId25" Type="http://schemas.openxmlformats.org/officeDocument/2006/relationships/footer" Target="footer15.xml" /><Relationship Id="rId26" Type="http://schemas.openxmlformats.org/officeDocument/2006/relationships/image" Target="media/image6.jpeg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hyperlink" Target="https://d.book118.com/355343020320011120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18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image" Target="media/image1.jpeg" /><Relationship Id="rId6" Type="http://schemas.openxmlformats.org/officeDocument/2006/relationships/footer" Target="footer2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2024-03-05T06:27:13Z</dcterms:created>
  <dcterms:modified xsi:type="dcterms:W3CDTF">2024-03-05T06:27:13Z</dcterms:modified>
</cp:coreProperties>
</file>