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26" w:line="221" w:lineRule="auto"/>
        <w:rPr>
          <w:rFonts w:ascii="黑体" w:eastAsia="黑体" w:hAnsi="黑体" w:cs="黑体"/>
          <w:sz w:val="26"/>
          <w:szCs w:val="26"/>
        </w:rPr>
      </w:pPr>
      <w:r>
        <w:rPr>
          <w:rFonts w:ascii="黑体" w:eastAsia="黑体" w:hAnsi="黑体" w:cs="黑体"/>
          <w:spacing w:val="7"/>
          <w:sz w:val="26"/>
          <w:szCs w:val="26"/>
        </w:rPr>
        <w:t>本报告依据中国资产评估准则编制</w:t>
      </w:r>
    </w:p>
    <w:p>
      <w:pPr>
        <w:pStyle w:val="BodyText"/>
        <w:spacing w:line="294" w:lineRule="auto"/>
      </w:pPr>
    </w:p>
    <w:p>
      <w:pPr>
        <w:pStyle w:val="BodyText"/>
        <w:spacing w:line="295" w:lineRule="auto"/>
      </w:pPr>
    </w:p>
    <w:p>
      <w:pPr>
        <w:pStyle w:val="BodyText"/>
        <w:spacing w:line="295" w:lineRule="auto"/>
      </w:pPr>
    </w:p>
    <w:p>
      <w:pPr>
        <w:pStyle w:val="BodyText"/>
        <w:spacing w:line="295" w:lineRule="auto"/>
      </w:pPr>
    </w:p>
    <w:p>
      <w:pPr>
        <w:spacing w:before="84" w:line="222" w:lineRule="auto"/>
        <w:ind w:left="1900"/>
        <w:rPr>
          <w:rFonts w:ascii="黑体" w:eastAsia="黑体" w:hAnsi="黑体" w:cs="黑体"/>
          <w:sz w:val="26"/>
          <w:szCs w:val="26"/>
        </w:rPr>
      </w:pPr>
      <w:r>
        <w:rPr>
          <w:rFonts w:ascii="黑体" w:eastAsia="黑体" w:hAnsi="黑体" w:cs="黑体"/>
          <w:spacing w:val="33"/>
          <w:sz w:val="26"/>
          <w:szCs w:val="26"/>
        </w:rPr>
        <w:t>北京中企慧云科技有限公司拟了解</w:t>
      </w:r>
    </w:p>
    <w:p>
      <w:pPr>
        <w:spacing w:before="167" w:line="222" w:lineRule="auto"/>
        <w:ind w:left="2350"/>
        <w:rPr>
          <w:rFonts w:ascii="黑体" w:eastAsia="黑体" w:hAnsi="黑体" w:cs="黑体"/>
          <w:sz w:val="26"/>
          <w:szCs w:val="26"/>
        </w:rPr>
      </w:pPr>
      <w:r>
        <w:rPr>
          <w:rFonts w:ascii="黑体" w:eastAsia="黑体" w:hAnsi="黑体" w:cs="黑体"/>
          <w:spacing w:val="33"/>
          <w:sz w:val="26"/>
          <w:szCs w:val="26"/>
        </w:rPr>
        <w:t>北京中企慧云科技有限公司</w:t>
      </w:r>
    </w:p>
    <w:p>
      <w:pPr>
        <w:spacing w:before="165" w:line="221" w:lineRule="auto"/>
        <w:ind w:left="2930"/>
        <w:rPr>
          <w:rFonts w:ascii="黑体" w:eastAsia="黑体" w:hAnsi="黑体" w:cs="黑体"/>
          <w:sz w:val="26"/>
          <w:szCs w:val="26"/>
        </w:rPr>
      </w:pPr>
      <w:r>
        <w:rPr>
          <w:rFonts w:ascii="黑体" w:eastAsia="黑体" w:hAnsi="黑体" w:cs="黑体"/>
          <w:spacing w:val="34"/>
          <w:sz w:val="26"/>
          <w:szCs w:val="26"/>
        </w:rPr>
        <w:t>股东全部权益价值</w:t>
      </w:r>
    </w:p>
    <w:p>
      <w:pPr>
        <w:spacing w:before="169" w:line="222" w:lineRule="auto"/>
        <w:ind w:left="3240"/>
        <w:rPr>
          <w:rFonts w:ascii="黑体" w:eastAsia="黑体" w:hAnsi="黑体" w:cs="黑体"/>
          <w:sz w:val="26"/>
          <w:szCs w:val="26"/>
        </w:rPr>
      </w:pPr>
      <w:r>
        <w:rPr>
          <w:rFonts w:ascii="黑体" w:eastAsia="黑体" w:hAnsi="黑体" w:cs="黑体"/>
          <w:spacing w:val="29"/>
          <w:sz w:val="26"/>
          <w:szCs w:val="26"/>
        </w:rPr>
        <w:t>资产评估报告</w:t>
      </w:r>
    </w:p>
    <w:p>
      <w:pPr>
        <w:spacing w:before="207" w:line="222" w:lineRule="auto"/>
        <w:ind w:left="2270"/>
        <w:rPr>
          <w:rFonts w:ascii="黑体" w:eastAsia="黑体" w:hAnsi="黑体" w:cs="黑体"/>
          <w:sz w:val="26"/>
          <w:szCs w:val="26"/>
        </w:rPr>
      </w:pPr>
      <w:r>
        <w:rPr>
          <w:rFonts w:ascii="黑体" w:eastAsia="黑体" w:hAnsi="黑体" w:cs="黑体"/>
          <w:spacing w:val="2"/>
          <w:sz w:val="26"/>
          <w:szCs w:val="26"/>
        </w:rPr>
        <w:t>京百汇评报字(2024)第A-1002号</w:t>
      </w: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1" w:lineRule="auto"/>
      </w:pPr>
    </w:p>
    <w:p>
      <w:pPr>
        <w:pStyle w:val="BodyText"/>
        <w:spacing w:line="251" w:lineRule="auto"/>
      </w:pPr>
    </w:p>
    <w:p>
      <w:pPr>
        <w:spacing w:before="1" w:line="1771" w:lineRule="exact"/>
        <w:ind w:firstLine="9609"/>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spacing w:before="85" w:line="363" w:lineRule="exact"/>
        <w:ind w:left="2530"/>
        <w:rPr>
          <w:rFonts w:ascii="黑体" w:eastAsia="黑体" w:hAnsi="黑体" w:cs="黑体"/>
          <w:sz w:val="26"/>
          <w:szCs w:val="26"/>
        </w:rPr>
      </w:pPr>
      <w:r>
        <w:rPr>
          <w:rFonts w:ascii="黑体" w:eastAsia="黑体" w:hAnsi="黑体" w:cs="黑体"/>
          <w:spacing w:val="14"/>
          <w:position w:val="7"/>
          <w:sz w:val="26"/>
          <w:szCs w:val="26"/>
        </w:rPr>
        <w:t>北京百汇方兴资产评估有限公司</w:t>
      </w:r>
    </w:p>
    <w:p>
      <w:pPr>
        <w:spacing w:line="223" w:lineRule="auto"/>
        <w:ind w:left="3210"/>
        <w:rPr>
          <w:rFonts w:ascii="黑体" w:eastAsia="黑体" w:hAnsi="黑体" w:cs="黑体"/>
          <w:sz w:val="26"/>
          <w:szCs w:val="26"/>
        </w:rPr>
      </w:pPr>
      <w:r>
        <w:rPr>
          <w:rFonts w:ascii="黑体" w:eastAsia="黑体" w:hAnsi="黑体" w:cs="黑体"/>
          <w:spacing w:val="15"/>
          <w:sz w:val="26"/>
          <w:szCs w:val="26"/>
        </w:rPr>
        <w:t>二〇二四年一月九日</w:t>
      </w:r>
    </w:p>
    <w:p>
      <w:pPr>
        <w:spacing w:line="223" w:lineRule="auto"/>
        <w:rPr>
          <w:rFonts w:ascii="黑体" w:eastAsia="黑体" w:hAnsi="黑体" w:cs="黑体"/>
          <w:sz w:val="26"/>
          <w:szCs w:val="26"/>
        </w:rPr>
        <w:sectPr>
          <w:pgSz w:w="11910" w:h="16840"/>
          <w:pgMar w:top="1431" w:right="148" w:bottom="0" w:left="1759" w:header="0" w:footer="0" w:gutter="0"/>
          <w:cols w:num="1" w:space="720"/>
        </w:sectPr>
      </w:pPr>
    </w:p>
    <w:p>
      <w:pPr>
        <w:pStyle w:val="BodyText"/>
        <w:spacing w:line="256" w:lineRule="auto"/>
      </w:pPr>
    </w:p>
    <w:p>
      <w:pPr>
        <w:pStyle w:val="BodyText"/>
        <w:spacing w:line="256" w:lineRule="auto"/>
      </w:pPr>
    </w:p>
    <w:p>
      <w:pPr>
        <w:pStyle w:val="BodyText"/>
        <w:spacing w:line="256" w:lineRule="auto"/>
      </w:pPr>
    </w:p>
    <w:sdt>
      <w:sdtPr>
        <w:rPr>
          <w:rFonts w:ascii="宋体" w:eastAsia="宋体" w:hAnsi="宋体" w:cs="宋体"/>
          <w:sz w:val="28"/>
          <w:szCs w:val="28"/>
        </w:rPr>
        <w:id w:val="1"/>
        <w:docPartObj>
          <w:docPartGallery w:val="Table of Contents"/>
          <w:docPartUnique/>
        </w:docPartObj>
      </w:sdtPr>
      <w:sdtEndPr>
        <w:rPr>
          <w:rFonts w:ascii="Times New Roman" w:eastAsia="Times New Roman" w:hAnsi="Times New Roman" w:cs="Times New Roman"/>
          <w:sz w:val="21"/>
          <w:szCs w:val="21"/>
        </w:rPr>
      </w:sdtEndPr>
      <w:sdtContent>
        <w:p>
          <w:pPr>
            <w:spacing w:before="91" w:line="221" w:lineRule="auto"/>
            <w:ind w:left="3885"/>
            <w:rPr>
              <w:rFonts w:ascii="宋体" w:eastAsia="宋体" w:hAnsi="宋体" w:cs="宋体"/>
              <w:sz w:val="28"/>
              <w:szCs w:val="28"/>
            </w:rPr>
          </w:pPr>
          <w:bookmarkStart w:id="0" w:name="bookmark1"/>
          <w:bookmarkEnd w:id="0"/>
          <w:r>
            <w:rPr>
              <w:rFonts w:ascii="宋体" w:eastAsia="宋体" w:hAnsi="宋体" w:cs="宋体"/>
              <w:b/>
              <w:bCs/>
              <w:spacing w:val="-36"/>
              <w:sz w:val="28"/>
              <w:szCs w:val="28"/>
            </w:rPr>
            <w:t>目</w:t>
          </w:r>
          <w:r>
            <w:rPr>
              <w:rFonts w:ascii="宋体" w:eastAsia="宋体" w:hAnsi="宋体" w:cs="宋体"/>
              <w:spacing w:val="-38"/>
              <w:sz w:val="28"/>
              <w:szCs w:val="28"/>
            </w:rPr>
            <w:t xml:space="preserve"> </w:t>
          </w:r>
          <w:r>
            <w:rPr>
              <w:rFonts w:ascii="宋体" w:eastAsia="宋体" w:hAnsi="宋体" w:cs="宋体"/>
              <w:b/>
              <w:bCs/>
              <w:spacing w:val="-36"/>
              <w:sz w:val="28"/>
              <w:szCs w:val="28"/>
            </w:rPr>
            <w:t>录</w:t>
          </w:r>
        </w:p>
        <w:p>
          <w:pPr>
            <w:pStyle w:val="BodyText"/>
            <w:spacing w:line="299" w:lineRule="auto"/>
          </w:pPr>
        </w:p>
        <w:p>
          <w:pPr>
            <w:tabs>
              <w:tab w:val="right" w:leader="dot" w:pos="8240"/>
            </w:tabs>
            <w:spacing w:before="68" w:line="219" w:lineRule="auto"/>
            <w:ind w:left="33"/>
            <w:rPr>
              <w:rFonts w:ascii="Times New Roman" w:eastAsia="Times New Roman" w:hAnsi="Times New Roman" w:cs="Times New Roman"/>
            </w:rPr>
          </w:pPr>
          <w:r>
            <w:rPr>
              <w:rFonts w:ascii="宋体" w:eastAsia="宋体" w:hAnsi="宋体" w:cs="宋体"/>
              <w:b/>
              <w:bCs/>
              <w:spacing w:val="-23"/>
              <w:sz w:val="21"/>
              <w:szCs w:val="21"/>
            </w:rPr>
            <w:t>声</w:t>
          </w:r>
          <w:r>
            <w:rPr>
              <w:rFonts w:ascii="宋体" w:eastAsia="宋体" w:hAnsi="宋体" w:cs="宋体"/>
              <w:spacing w:val="62"/>
              <w:sz w:val="21"/>
              <w:szCs w:val="21"/>
            </w:rPr>
            <w:t xml:space="preserve"> </w:t>
          </w:r>
          <w:r>
            <w:rPr>
              <w:rFonts w:ascii="宋体" w:eastAsia="宋体" w:hAnsi="宋体" w:cs="宋体"/>
              <w:b/>
              <w:bCs/>
              <w:spacing w:val="-23"/>
              <w:sz w:val="21"/>
              <w:szCs w:val="21"/>
            </w:rPr>
            <w:t>明</w:t>
          </w:r>
          <w:r>
            <w:rPr>
              <w:rFonts w:ascii="宋体" w:eastAsia="宋体" w:hAnsi="宋体" w:cs="宋体"/>
              <w:spacing w:val="-95"/>
              <w:sz w:val="21"/>
              <w:szCs w:val="21"/>
            </w:rPr>
            <w:t xml:space="preserve"> </w:t>
          </w:r>
          <w:r>
            <w:rPr>
              <w:rFonts w:ascii="宋体" w:eastAsia="宋体" w:hAnsi="宋体" w:cs="宋体"/>
              <w:sz w:val="21"/>
              <w:szCs w:val="21"/>
            </w:rPr>
            <w:tab/>
          </w:r>
          <w:r>
            <w:rPr>
              <w:rFonts w:ascii="宋体" w:eastAsia="宋体" w:hAnsi="宋体" w:cs="宋体"/>
              <w:spacing w:val="-71"/>
              <w:sz w:val="21"/>
              <w:szCs w:val="21"/>
            </w:rPr>
            <w:t xml:space="preserve"> </w:t>
          </w:r>
          <w:hyperlink w:anchor="bookmark2" w:history="1">
            <w:r>
              <w:rPr>
                <w:rFonts w:ascii="Times New Roman" w:eastAsia="Times New Roman" w:hAnsi="Times New Roman" w:cs="Times New Roman"/>
                <w:sz w:val="21"/>
                <w:szCs w:val="21"/>
              </w:rPr>
              <w:t>1</w:t>
            </w:r>
          </w:hyperlink>
        </w:p>
        <w:p>
          <w:pPr>
            <w:tabs>
              <w:tab w:val="right" w:leader="dot" w:pos="8220"/>
            </w:tabs>
            <w:spacing w:before="278" w:line="218" w:lineRule="auto"/>
            <w:ind w:left="33"/>
            <w:rPr>
              <w:rFonts w:ascii="Times New Roman" w:eastAsia="Times New Roman" w:hAnsi="Times New Roman" w:cs="Times New Roman"/>
            </w:rPr>
          </w:pPr>
          <w:r>
            <w:rPr>
              <w:rFonts w:ascii="宋体" w:eastAsia="宋体" w:hAnsi="宋体" w:cs="宋体"/>
              <w:b/>
              <w:bCs/>
              <w:spacing w:val="-2"/>
              <w:sz w:val="21"/>
              <w:szCs w:val="21"/>
            </w:rPr>
            <w:t>资产评估报告摘要</w:t>
          </w:r>
          <w:r>
            <w:rPr>
              <w:rFonts w:ascii="宋体" w:eastAsia="宋体" w:hAnsi="宋体" w:cs="宋体"/>
              <w:spacing w:val="-81"/>
              <w:sz w:val="21"/>
              <w:szCs w:val="21"/>
            </w:rPr>
            <w:t xml:space="preserve"> </w:t>
          </w:r>
          <w:r>
            <w:rPr>
              <w:rFonts w:ascii="宋体" w:eastAsia="宋体" w:hAnsi="宋体" w:cs="宋体"/>
              <w:sz w:val="21"/>
              <w:szCs w:val="21"/>
            </w:rPr>
            <w:tab/>
          </w:r>
          <w:hyperlink w:anchor="bookmark1" w:history="1">
            <w:r>
              <w:rPr>
                <w:rFonts w:ascii="Times New Roman" w:eastAsia="Times New Roman" w:hAnsi="Times New Roman" w:cs="Times New Roman"/>
                <w:spacing w:val="2"/>
                <w:sz w:val="21"/>
                <w:szCs w:val="21"/>
              </w:rPr>
              <w:t>2</w:t>
            </w:r>
          </w:hyperlink>
        </w:p>
        <w:p>
          <w:pPr>
            <w:tabs>
              <w:tab w:val="right" w:leader="dot" w:pos="8225"/>
            </w:tabs>
            <w:spacing w:before="297" w:line="220" w:lineRule="auto"/>
            <w:ind w:left="30"/>
            <w:rPr>
              <w:rFonts w:ascii="Times New Roman" w:eastAsia="Times New Roman" w:hAnsi="Times New Roman" w:cs="Times New Roman"/>
            </w:rPr>
          </w:pPr>
          <w:r>
            <w:rPr>
              <w:rFonts w:ascii="宋体" w:eastAsia="宋体" w:hAnsi="宋体" w:cs="宋体"/>
              <w:spacing w:val="-22"/>
              <w:sz w:val="21"/>
              <w:szCs w:val="21"/>
            </w:rPr>
            <w:t>一</w:t>
          </w:r>
          <w:r>
            <w:rPr>
              <w:rFonts w:ascii="宋体" w:eastAsia="宋体" w:hAnsi="宋体" w:cs="宋体"/>
              <w:spacing w:val="-56"/>
              <w:sz w:val="21"/>
              <w:szCs w:val="21"/>
            </w:rPr>
            <w:t xml:space="preserve"> </w:t>
          </w:r>
          <w:r>
            <w:rPr>
              <w:rFonts w:ascii="宋体" w:eastAsia="宋体" w:hAnsi="宋体" w:cs="宋体"/>
              <w:spacing w:val="-22"/>
              <w:sz w:val="21"/>
              <w:szCs w:val="21"/>
            </w:rPr>
            <w:t>、绪</w:t>
          </w:r>
          <w:r>
            <w:rPr>
              <w:rFonts w:ascii="宋体" w:eastAsia="宋体" w:hAnsi="宋体" w:cs="宋体"/>
              <w:spacing w:val="-32"/>
              <w:sz w:val="21"/>
              <w:szCs w:val="21"/>
            </w:rPr>
            <w:t xml:space="preserve"> </w:t>
          </w:r>
          <w:r>
            <w:rPr>
              <w:rFonts w:ascii="宋体" w:eastAsia="宋体" w:hAnsi="宋体" w:cs="宋体"/>
              <w:spacing w:val="-22"/>
              <w:sz w:val="21"/>
              <w:szCs w:val="21"/>
            </w:rPr>
            <w:t>言</w:t>
          </w:r>
          <w:r>
            <w:rPr>
              <w:rFonts w:ascii="宋体" w:eastAsia="宋体" w:hAnsi="宋体" w:cs="宋体"/>
              <w:spacing w:val="-90"/>
              <w:sz w:val="21"/>
              <w:szCs w:val="21"/>
            </w:rPr>
            <w:t xml:space="preserve"> </w:t>
          </w:r>
          <w:r>
            <w:rPr>
              <w:rFonts w:ascii="宋体" w:eastAsia="宋体" w:hAnsi="宋体" w:cs="宋体"/>
              <w:sz w:val="21"/>
              <w:szCs w:val="21"/>
            </w:rPr>
            <w:tab/>
          </w:r>
          <w:r>
            <w:rPr>
              <w:rFonts w:ascii="宋体" w:eastAsia="宋体" w:hAnsi="宋体" w:cs="宋体"/>
              <w:spacing w:val="-12"/>
              <w:sz w:val="21"/>
              <w:szCs w:val="21"/>
            </w:rPr>
            <w:t xml:space="preserve"> </w:t>
          </w:r>
          <w:hyperlink w:anchor="bookmark3" w:history="1">
            <w:r>
              <w:rPr>
                <w:rFonts w:ascii="Times New Roman" w:eastAsia="Times New Roman" w:hAnsi="Times New Roman" w:cs="Times New Roman"/>
                <w:sz w:val="21"/>
                <w:szCs w:val="21"/>
              </w:rPr>
              <w:t>5</w:t>
            </w:r>
          </w:hyperlink>
        </w:p>
        <w:p>
          <w:pPr>
            <w:tabs>
              <w:tab w:val="right" w:leader="dot" w:pos="8225"/>
            </w:tabs>
            <w:spacing w:before="287" w:line="218" w:lineRule="auto"/>
            <w:ind w:left="30"/>
            <w:rPr>
              <w:rFonts w:ascii="Times New Roman" w:eastAsia="Times New Roman" w:hAnsi="Times New Roman" w:cs="Times New Roman"/>
            </w:rPr>
          </w:pPr>
          <w:r>
            <w:rPr>
              <w:rFonts w:ascii="宋体" w:eastAsia="宋体" w:hAnsi="宋体" w:cs="宋体"/>
              <w:spacing w:val="-4"/>
              <w:sz w:val="21"/>
              <w:szCs w:val="21"/>
            </w:rPr>
            <w:t>二 、委托人、被评估单位和资产评估委托合同约定的其他评估报告使用人概况</w:t>
          </w:r>
          <w:r>
            <w:rPr>
              <w:rFonts w:ascii="宋体" w:eastAsia="宋体" w:hAnsi="宋体" w:cs="宋体"/>
              <w:spacing w:val="-82"/>
              <w:sz w:val="21"/>
              <w:szCs w:val="21"/>
            </w:rPr>
            <w:t xml:space="preserve"> </w:t>
          </w:r>
          <w:r>
            <w:rPr>
              <w:rFonts w:ascii="宋体" w:eastAsia="宋体" w:hAnsi="宋体" w:cs="宋体"/>
              <w:sz w:val="21"/>
              <w:szCs w:val="21"/>
            </w:rPr>
            <w:tab/>
          </w:r>
          <w:hyperlink w:anchor="bookmark4" w:history="1">
            <w:r>
              <w:rPr>
                <w:rFonts w:ascii="Times New Roman" w:eastAsia="Times New Roman" w:hAnsi="Times New Roman" w:cs="Times New Roman"/>
                <w:sz w:val="21"/>
                <w:szCs w:val="21"/>
              </w:rPr>
              <w:t>5</w:t>
            </w:r>
          </w:hyperlink>
        </w:p>
        <w:p>
          <w:pPr>
            <w:tabs>
              <w:tab w:val="right" w:leader="dot" w:pos="8215"/>
            </w:tabs>
            <w:spacing w:before="252" w:line="218" w:lineRule="auto"/>
            <w:ind w:left="30"/>
            <w:rPr>
              <w:rFonts w:ascii="Times New Roman" w:eastAsia="Times New Roman" w:hAnsi="Times New Roman" w:cs="Times New Roman"/>
            </w:rPr>
          </w:pPr>
          <w:r>
            <w:rPr>
              <w:rFonts w:ascii="宋体" w:eastAsia="宋体" w:hAnsi="宋体" w:cs="宋体"/>
              <w:spacing w:val="2"/>
              <w:sz w:val="21"/>
              <w:szCs w:val="21"/>
            </w:rPr>
            <w:t>三、评估目的</w:t>
          </w:r>
          <w:r>
            <w:rPr>
              <w:rFonts w:ascii="宋体" w:eastAsia="宋体" w:hAnsi="宋体" w:cs="宋体"/>
              <w:spacing w:val="-88"/>
              <w:sz w:val="21"/>
              <w:szCs w:val="21"/>
            </w:rPr>
            <w:t xml:space="preserve"> </w:t>
          </w:r>
          <w:r>
            <w:rPr>
              <w:rFonts w:ascii="宋体" w:eastAsia="宋体" w:hAnsi="宋体" w:cs="宋体"/>
              <w:sz w:val="21"/>
              <w:szCs w:val="21"/>
            </w:rPr>
            <w:tab/>
          </w:r>
          <w:hyperlink w:anchor="bookmark5" w:history="1">
            <w:r>
              <w:rPr>
                <w:rFonts w:ascii="Times New Roman" w:eastAsia="Times New Roman" w:hAnsi="Times New Roman" w:cs="Times New Roman"/>
                <w:sz w:val="21"/>
                <w:szCs w:val="21"/>
              </w:rPr>
              <w:t>6</w:t>
            </w:r>
          </w:hyperlink>
        </w:p>
        <w:p>
          <w:pPr>
            <w:tabs>
              <w:tab w:val="right" w:leader="dot" w:pos="8225"/>
            </w:tabs>
            <w:spacing w:before="302" w:line="218" w:lineRule="auto"/>
            <w:ind w:left="30"/>
            <w:rPr>
              <w:rFonts w:ascii="Times New Roman" w:eastAsia="Times New Roman" w:hAnsi="Times New Roman" w:cs="Times New Roman"/>
            </w:rPr>
          </w:pPr>
          <w:r>
            <w:rPr>
              <w:rFonts w:ascii="宋体" w:eastAsia="宋体" w:hAnsi="宋体" w:cs="宋体"/>
              <w:spacing w:val="-1"/>
              <w:sz w:val="21"/>
              <w:szCs w:val="21"/>
            </w:rPr>
            <w:t>四、评估对象与评估范围</w:t>
          </w:r>
          <w:r>
            <w:rPr>
              <w:rFonts w:ascii="宋体" w:eastAsia="宋体" w:hAnsi="宋体" w:cs="宋体"/>
              <w:spacing w:val="-95"/>
              <w:sz w:val="21"/>
              <w:szCs w:val="21"/>
            </w:rPr>
            <w:t xml:space="preserve"> </w:t>
          </w:r>
          <w:r>
            <w:rPr>
              <w:rFonts w:ascii="宋体" w:eastAsia="宋体" w:hAnsi="宋体" w:cs="宋体"/>
              <w:sz w:val="21"/>
              <w:szCs w:val="21"/>
            </w:rPr>
            <w:tab/>
          </w:r>
          <w:hyperlink w:anchor="bookmark6" w:history="1">
            <w:r>
              <w:rPr>
                <w:rFonts w:ascii="Times New Roman" w:eastAsia="Times New Roman" w:hAnsi="Times New Roman" w:cs="Times New Roman"/>
                <w:sz w:val="21"/>
                <w:szCs w:val="21"/>
              </w:rPr>
              <w:t>6</w:t>
            </w:r>
          </w:hyperlink>
        </w:p>
        <w:p>
          <w:pPr>
            <w:tabs>
              <w:tab w:val="right" w:leader="dot" w:pos="8207"/>
            </w:tabs>
            <w:spacing w:before="262" w:line="218" w:lineRule="auto"/>
            <w:ind w:left="30"/>
            <w:rPr>
              <w:rFonts w:ascii="Times New Roman" w:eastAsia="Times New Roman" w:hAnsi="Times New Roman" w:cs="Times New Roman"/>
            </w:rPr>
          </w:pPr>
          <w:r>
            <w:rPr>
              <w:rFonts w:ascii="宋体" w:eastAsia="宋体" w:hAnsi="宋体" w:cs="宋体"/>
              <w:spacing w:val="2"/>
              <w:sz w:val="21"/>
              <w:szCs w:val="21"/>
            </w:rPr>
            <w:t>五、价值类型</w:t>
          </w:r>
          <w:r>
            <w:rPr>
              <w:rFonts w:ascii="宋体" w:eastAsia="宋体" w:hAnsi="宋体" w:cs="宋体"/>
              <w:spacing w:val="-88"/>
              <w:sz w:val="21"/>
              <w:szCs w:val="21"/>
            </w:rPr>
            <w:t xml:space="preserve"> </w:t>
          </w:r>
          <w:r>
            <w:rPr>
              <w:rFonts w:ascii="宋体" w:eastAsia="宋体" w:hAnsi="宋体" w:cs="宋体"/>
              <w:sz w:val="21"/>
              <w:szCs w:val="21"/>
            </w:rPr>
            <w:tab/>
          </w:r>
          <w:r>
            <w:rPr>
              <w:rFonts w:ascii="宋体" w:eastAsia="宋体" w:hAnsi="宋体" w:cs="宋体"/>
              <w:spacing w:val="-12"/>
              <w:sz w:val="21"/>
              <w:szCs w:val="21"/>
            </w:rPr>
            <w:t xml:space="preserve"> </w:t>
          </w:r>
          <w:hyperlink w:anchor="bookmark7" w:history="1">
            <w:r>
              <w:rPr>
                <w:rFonts w:ascii="Times New Roman" w:eastAsia="Times New Roman" w:hAnsi="Times New Roman" w:cs="Times New Roman"/>
                <w:sz w:val="21"/>
                <w:szCs w:val="21"/>
              </w:rPr>
              <w:t>7</w:t>
            </w:r>
          </w:hyperlink>
        </w:p>
        <w:p>
          <w:pPr>
            <w:tabs>
              <w:tab w:val="right" w:leader="dot" w:pos="8227"/>
            </w:tabs>
            <w:spacing w:before="303" w:line="218" w:lineRule="auto"/>
            <w:ind w:left="30"/>
            <w:rPr>
              <w:rFonts w:ascii="Times New Roman" w:eastAsia="Times New Roman" w:hAnsi="Times New Roman" w:cs="Times New Roman"/>
            </w:rPr>
          </w:pPr>
          <w:r>
            <w:rPr>
              <w:rFonts w:ascii="宋体" w:eastAsia="宋体" w:hAnsi="宋体" w:cs="宋体"/>
              <w:spacing w:val="-9"/>
              <w:sz w:val="21"/>
              <w:szCs w:val="21"/>
            </w:rPr>
            <w:t>六</w:t>
          </w:r>
          <w:r>
            <w:rPr>
              <w:rFonts w:ascii="宋体" w:eastAsia="宋体" w:hAnsi="宋体" w:cs="宋体"/>
              <w:spacing w:val="34"/>
              <w:sz w:val="21"/>
              <w:szCs w:val="21"/>
            </w:rPr>
            <w:t xml:space="preserve"> </w:t>
          </w:r>
          <w:r>
            <w:rPr>
              <w:rFonts w:ascii="宋体" w:eastAsia="宋体" w:hAnsi="宋体" w:cs="宋体"/>
              <w:spacing w:val="-9"/>
              <w:sz w:val="21"/>
              <w:szCs w:val="21"/>
            </w:rPr>
            <w:t>、评估基准日</w:t>
          </w:r>
          <w:r>
            <w:rPr>
              <w:rFonts w:ascii="宋体" w:eastAsia="宋体" w:hAnsi="宋体" w:cs="宋体"/>
              <w:sz w:val="21"/>
              <w:szCs w:val="21"/>
            </w:rPr>
            <w:tab/>
          </w:r>
          <w:r>
            <w:rPr>
              <w:rFonts w:ascii="宋体" w:eastAsia="宋体" w:hAnsi="宋体" w:cs="宋体"/>
              <w:spacing w:val="-32"/>
              <w:sz w:val="21"/>
              <w:szCs w:val="21"/>
            </w:rPr>
            <w:t xml:space="preserve"> </w:t>
          </w:r>
          <w:hyperlink w:anchor="bookmark8" w:history="1">
            <w:r>
              <w:rPr>
                <w:rFonts w:ascii="Times New Roman" w:eastAsia="Times New Roman" w:hAnsi="Times New Roman" w:cs="Times New Roman"/>
                <w:sz w:val="21"/>
                <w:szCs w:val="21"/>
              </w:rPr>
              <w:t>7</w:t>
            </w:r>
          </w:hyperlink>
        </w:p>
        <w:p>
          <w:pPr>
            <w:tabs>
              <w:tab w:val="right" w:leader="dot" w:pos="8222"/>
            </w:tabs>
            <w:spacing w:before="252" w:line="218" w:lineRule="auto"/>
            <w:ind w:left="30"/>
            <w:rPr>
              <w:rFonts w:ascii="Times New Roman" w:eastAsia="Times New Roman" w:hAnsi="Times New Roman" w:cs="Times New Roman"/>
            </w:rPr>
          </w:pPr>
          <w:r>
            <w:rPr>
              <w:rFonts w:ascii="宋体" w:eastAsia="宋体" w:hAnsi="宋体" w:cs="宋体"/>
              <w:spacing w:val="-8"/>
              <w:sz w:val="21"/>
              <w:szCs w:val="21"/>
            </w:rPr>
            <w:t>七、评</w:t>
          </w:r>
          <w:r>
            <w:rPr>
              <w:rFonts w:ascii="宋体" w:eastAsia="宋体" w:hAnsi="宋体" w:cs="宋体"/>
              <w:spacing w:val="-43"/>
              <w:sz w:val="21"/>
              <w:szCs w:val="21"/>
            </w:rPr>
            <w:t xml:space="preserve"> </w:t>
          </w:r>
          <w:r>
            <w:rPr>
              <w:rFonts w:ascii="宋体" w:eastAsia="宋体" w:hAnsi="宋体" w:cs="宋体"/>
              <w:spacing w:val="-8"/>
              <w:sz w:val="21"/>
              <w:szCs w:val="21"/>
            </w:rPr>
            <w:t>估</w:t>
          </w:r>
          <w:r>
            <w:rPr>
              <w:rFonts w:ascii="宋体" w:eastAsia="宋体" w:hAnsi="宋体" w:cs="宋体"/>
              <w:spacing w:val="-45"/>
              <w:sz w:val="21"/>
              <w:szCs w:val="21"/>
            </w:rPr>
            <w:t xml:space="preserve"> </w:t>
          </w:r>
          <w:r>
            <w:rPr>
              <w:rFonts w:ascii="宋体" w:eastAsia="宋体" w:hAnsi="宋体" w:cs="宋体"/>
              <w:spacing w:val="-8"/>
              <w:sz w:val="21"/>
              <w:szCs w:val="21"/>
            </w:rPr>
            <w:t>依</w:t>
          </w:r>
          <w:r>
            <w:rPr>
              <w:rFonts w:ascii="宋体" w:eastAsia="宋体" w:hAnsi="宋体" w:cs="宋体"/>
              <w:spacing w:val="-48"/>
              <w:sz w:val="21"/>
              <w:szCs w:val="21"/>
            </w:rPr>
            <w:t xml:space="preserve"> </w:t>
          </w:r>
          <w:r>
            <w:rPr>
              <w:rFonts w:ascii="宋体" w:eastAsia="宋体" w:hAnsi="宋体" w:cs="宋体"/>
              <w:spacing w:val="-8"/>
              <w:sz w:val="21"/>
              <w:szCs w:val="21"/>
            </w:rPr>
            <w:t>据</w:t>
          </w:r>
          <w:r>
            <w:rPr>
              <w:rFonts w:ascii="宋体" w:eastAsia="宋体" w:hAnsi="宋体" w:cs="宋体"/>
              <w:spacing w:val="-87"/>
              <w:sz w:val="21"/>
              <w:szCs w:val="21"/>
            </w:rPr>
            <w:t xml:space="preserve"> </w:t>
          </w:r>
          <w:r>
            <w:rPr>
              <w:rFonts w:ascii="宋体" w:eastAsia="宋体" w:hAnsi="宋体" w:cs="宋体"/>
              <w:sz w:val="21"/>
              <w:szCs w:val="21"/>
            </w:rPr>
            <w:tab/>
          </w:r>
          <w:hyperlink w:anchor="bookmark9" w:history="1">
            <w:r>
              <w:rPr>
                <w:rFonts w:ascii="Times New Roman" w:eastAsia="Times New Roman" w:hAnsi="Times New Roman" w:cs="Times New Roman"/>
                <w:sz w:val="21"/>
                <w:szCs w:val="21"/>
              </w:rPr>
              <w:t>8</w:t>
            </w:r>
          </w:hyperlink>
        </w:p>
        <w:p>
          <w:pPr>
            <w:tabs>
              <w:tab w:val="right" w:leader="dot" w:pos="8217"/>
            </w:tabs>
            <w:spacing w:before="292" w:line="218" w:lineRule="auto"/>
            <w:ind w:left="30"/>
            <w:rPr>
              <w:rFonts w:ascii="Times New Roman" w:eastAsia="Times New Roman" w:hAnsi="Times New Roman" w:cs="Times New Roman"/>
            </w:rPr>
          </w:pPr>
          <w:r>
            <w:rPr>
              <w:rFonts w:ascii="宋体" w:eastAsia="宋体" w:hAnsi="宋体" w:cs="宋体"/>
              <w:spacing w:val="-15"/>
              <w:sz w:val="21"/>
              <w:szCs w:val="21"/>
            </w:rPr>
            <w:t>八</w:t>
          </w:r>
          <w:r>
            <w:rPr>
              <w:rFonts w:ascii="宋体" w:eastAsia="宋体" w:hAnsi="宋体" w:cs="宋体"/>
              <w:spacing w:val="11"/>
              <w:sz w:val="21"/>
              <w:szCs w:val="21"/>
            </w:rPr>
            <w:t xml:space="preserve"> </w:t>
          </w:r>
          <w:r>
            <w:rPr>
              <w:rFonts w:ascii="宋体" w:eastAsia="宋体" w:hAnsi="宋体" w:cs="宋体"/>
              <w:spacing w:val="-15"/>
              <w:sz w:val="21"/>
              <w:szCs w:val="21"/>
            </w:rPr>
            <w:t>、评估方法</w:t>
          </w:r>
          <w:r>
            <w:rPr>
              <w:rFonts w:ascii="宋体" w:eastAsia="宋体" w:hAnsi="宋体" w:cs="宋体"/>
              <w:spacing w:val="-83"/>
              <w:sz w:val="21"/>
              <w:szCs w:val="21"/>
            </w:rPr>
            <w:t xml:space="preserve"> </w:t>
          </w:r>
          <w:r>
            <w:rPr>
              <w:rFonts w:ascii="宋体" w:eastAsia="宋体" w:hAnsi="宋体" w:cs="宋体"/>
              <w:sz w:val="21"/>
              <w:szCs w:val="21"/>
            </w:rPr>
            <w:tab/>
          </w:r>
          <w:r>
            <w:rPr>
              <w:rFonts w:ascii="宋体" w:eastAsia="宋体" w:hAnsi="宋体" w:cs="宋体"/>
              <w:spacing w:val="-22"/>
              <w:sz w:val="21"/>
              <w:szCs w:val="21"/>
            </w:rPr>
            <w:t xml:space="preserve"> </w:t>
          </w:r>
          <w:hyperlink w:anchor="bookmark10" w:history="1">
            <w:r>
              <w:rPr>
                <w:rFonts w:ascii="Times New Roman" w:eastAsia="Times New Roman" w:hAnsi="Times New Roman" w:cs="Times New Roman"/>
                <w:sz w:val="21"/>
                <w:szCs w:val="21"/>
              </w:rPr>
              <w:t>9</w:t>
            </w:r>
          </w:hyperlink>
        </w:p>
        <w:p>
          <w:pPr>
            <w:tabs>
              <w:tab w:val="right" w:leader="dot" w:pos="8225"/>
            </w:tabs>
            <w:spacing w:before="282" w:line="218" w:lineRule="auto"/>
            <w:ind w:left="30"/>
            <w:rPr>
              <w:rFonts w:ascii="Times New Roman" w:eastAsia="Times New Roman" w:hAnsi="Times New Roman" w:cs="Times New Roman"/>
            </w:rPr>
          </w:pPr>
          <w:r>
            <w:rPr>
              <w:rFonts w:ascii="宋体" w:eastAsia="宋体" w:hAnsi="宋体" w:cs="宋体"/>
              <w:sz w:val="21"/>
              <w:szCs w:val="21"/>
            </w:rPr>
            <w:t>九、评估程序实施过程和情况</w:t>
          </w:r>
          <w:r>
            <w:rPr>
              <w:rFonts w:ascii="宋体" w:eastAsia="宋体" w:hAnsi="宋体" w:cs="宋体"/>
              <w:spacing w:val="-76"/>
              <w:sz w:val="21"/>
              <w:szCs w:val="21"/>
            </w:rPr>
            <w:t xml:space="preserve"> </w:t>
          </w:r>
          <w:r>
            <w:rPr>
              <w:rFonts w:ascii="宋体" w:eastAsia="宋体" w:hAnsi="宋体" w:cs="宋体"/>
              <w:sz w:val="21"/>
              <w:szCs w:val="21"/>
            </w:rPr>
            <w:tab/>
          </w:r>
          <w:hyperlink w:anchor="bookmark11" w:history="1">
            <w:r>
              <w:rPr>
                <w:rFonts w:ascii="Times New Roman" w:eastAsia="Times New Roman" w:hAnsi="Times New Roman" w:cs="Times New Roman"/>
                <w:spacing w:val="-1"/>
                <w:sz w:val="21"/>
                <w:szCs w:val="21"/>
              </w:rPr>
              <w:t>12</w:t>
            </w:r>
          </w:hyperlink>
        </w:p>
        <w:p>
          <w:pPr>
            <w:tabs>
              <w:tab w:val="right" w:leader="dot" w:pos="8215"/>
            </w:tabs>
            <w:spacing w:before="292" w:line="218" w:lineRule="auto"/>
            <w:ind w:left="30"/>
            <w:rPr>
              <w:rFonts w:ascii="Times New Roman" w:eastAsia="Times New Roman" w:hAnsi="Times New Roman" w:cs="Times New Roman"/>
            </w:rPr>
          </w:pPr>
          <w:r>
            <w:rPr>
              <w:rFonts w:ascii="宋体" w:eastAsia="宋体" w:hAnsi="宋体" w:cs="宋体"/>
              <w:spacing w:val="-8"/>
              <w:sz w:val="21"/>
              <w:szCs w:val="21"/>
            </w:rPr>
            <w:t>十、评</w:t>
          </w:r>
          <w:r>
            <w:rPr>
              <w:rFonts w:ascii="宋体" w:eastAsia="宋体" w:hAnsi="宋体" w:cs="宋体"/>
              <w:spacing w:val="-46"/>
              <w:sz w:val="21"/>
              <w:szCs w:val="21"/>
            </w:rPr>
            <w:t xml:space="preserve"> </w:t>
          </w:r>
          <w:r>
            <w:rPr>
              <w:rFonts w:ascii="宋体" w:eastAsia="宋体" w:hAnsi="宋体" w:cs="宋体"/>
              <w:spacing w:val="-8"/>
              <w:sz w:val="21"/>
              <w:szCs w:val="21"/>
            </w:rPr>
            <w:t>估</w:t>
          </w:r>
          <w:r>
            <w:rPr>
              <w:rFonts w:ascii="宋体" w:eastAsia="宋体" w:hAnsi="宋体" w:cs="宋体"/>
              <w:spacing w:val="-48"/>
              <w:sz w:val="21"/>
              <w:szCs w:val="21"/>
            </w:rPr>
            <w:t xml:space="preserve"> </w:t>
          </w:r>
          <w:r>
            <w:rPr>
              <w:rFonts w:ascii="宋体" w:eastAsia="宋体" w:hAnsi="宋体" w:cs="宋体"/>
              <w:spacing w:val="-8"/>
              <w:sz w:val="21"/>
              <w:szCs w:val="21"/>
            </w:rPr>
            <w:t>假</w:t>
          </w:r>
          <w:r>
            <w:rPr>
              <w:rFonts w:ascii="宋体" w:eastAsia="宋体" w:hAnsi="宋体" w:cs="宋体"/>
              <w:spacing w:val="-45"/>
              <w:sz w:val="21"/>
              <w:szCs w:val="21"/>
            </w:rPr>
            <w:t xml:space="preserve"> </w:t>
          </w:r>
          <w:r>
            <w:rPr>
              <w:rFonts w:ascii="宋体" w:eastAsia="宋体" w:hAnsi="宋体" w:cs="宋体"/>
              <w:spacing w:val="-8"/>
              <w:sz w:val="21"/>
              <w:szCs w:val="21"/>
            </w:rPr>
            <w:t>设</w:t>
          </w:r>
          <w:r>
            <w:rPr>
              <w:rFonts w:ascii="宋体" w:eastAsia="宋体" w:hAnsi="宋体" w:cs="宋体"/>
              <w:spacing w:val="-84"/>
              <w:sz w:val="21"/>
              <w:szCs w:val="21"/>
            </w:rPr>
            <w:t xml:space="preserve"> </w:t>
          </w:r>
          <w:r>
            <w:rPr>
              <w:rFonts w:ascii="宋体" w:eastAsia="宋体" w:hAnsi="宋体" w:cs="宋体"/>
              <w:sz w:val="21"/>
              <w:szCs w:val="21"/>
            </w:rPr>
            <w:tab/>
          </w:r>
          <w:hyperlink w:anchor="bookmark12" w:history="1">
            <w:r>
              <w:rPr>
                <w:rFonts w:ascii="Times New Roman" w:eastAsia="Times New Roman" w:hAnsi="Times New Roman" w:cs="Times New Roman"/>
                <w:spacing w:val="-5"/>
                <w:sz w:val="21"/>
                <w:szCs w:val="21"/>
              </w:rPr>
              <w:t>13</w:t>
            </w:r>
          </w:hyperlink>
        </w:p>
        <w:p>
          <w:pPr>
            <w:tabs>
              <w:tab w:val="right" w:leader="dot" w:pos="8205"/>
            </w:tabs>
            <w:spacing w:before="262" w:line="218" w:lineRule="auto"/>
            <w:ind w:left="30"/>
            <w:rPr>
              <w:rFonts w:ascii="Times New Roman" w:eastAsia="Times New Roman" w:hAnsi="Times New Roman" w:cs="Times New Roman"/>
            </w:rPr>
          </w:pPr>
          <w:r>
            <w:rPr>
              <w:rFonts w:ascii="宋体" w:eastAsia="宋体" w:hAnsi="宋体" w:cs="宋体"/>
              <w:spacing w:val="8"/>
              <w:sz w:val="21"/>
              <w:szCs w:val="21"/>
            </w:rPr>
            <w:t>十一、评估结论</w:t>
          </w:r>
          <w:r>
            <w:rPr>
              <w:rFonts w:ascii="宋体" w:eastAsia="宋体" w:hAnsi="宋体" w:cs="宋体"/>
              <w:spacing w:val="-73"/>
              <w:sz w:val="21"/>
              <w:szCs w:val="21"/>
            </w:rPr>
            <w:t xml:space="preserve"> </w:t>
          </w:r>
          <w:r>
            <w:rPr>
              <w:rFonts w:ascii="宋体" w:eastAsia="宋体" w:hAnsi="宋体" w:cs="宋体"/>
              <w:sz w:val="21"/>
              <w:szCs w:val="21"/>
            </w:rPr>
            <w:tab/>
          </w:r>
          <w:hyperlink w:anchor="bookmark13" w:history="1">
            <w:r>
              <w:rPr>
                <w:rFonts w:ascii="Times New Roman" w:eastAsia="Times New Roman" w:hAnsi="Times New Roman" w:cs="Times New Roman"/>
                <w:spacing w:val="-5"/>
                <w:sz w:val="21"/>
                <w:szCs w:val="21"/>
              </w:rPr>
              <w:t>13</w:t>
            </w:r>
          </w:hyperlink>
        </w:p>
        <w:p>
          <w:pPr>
            <w:tabs>
              <w:tab w:val="right" w:leader="dot" w:pos="8225"/>
            </w:tabs>
            <w:spacing w:before="284" w:line="219" w:lineRule="auto"/>
            <w:ind w:left="30"/>
            <w:rPr>
              <w:rFonts w:ascii="Times New Roman" w:eastAsia="Times New Roman" w:hAnsi="Times New Roman" w:cs="Times New Roman"/>
            </w:rPr>
          </w:pPr>
          <w:r>
            <w:rPr>
              <w:rFonts w:ascii="宋体" w:eastAsia="宋体" w:hAnsi="宋体" w:cs="宋体"/>
              <w:spacing w:val="2"/>
              <w:sz w:val="21"/>
              <w:szCs w:val="21"/>
            </w:rPr>
            <w:t>十二、特别事项说明</w:t>
          </w:r>
          <w:r>
            <w:rPr>
              <w:rFonts w:ascii="宋体" w:eastAsia="宋体" w:hAnsi="宋体" w:cs="宋体"/>
              <w:spacing w:val="-95"/>
              <w:sz w:val="21"/>
              <w:szCs w:val="21"/>
            </w:rPr>
            <w:t xml:space="preserve"> </w:t>
          </w:r>
          <w:r>
            <w:rPr>
              <w:rFonts w:ascii="宋体" w:eastAsia="宋体" w:hAnsi="宋体" w:cs="宋体"/>
              <w:sz w:val="21"/>
              <w:szCs w:val="21"/>
            </w:rPr>
            <w:tab/>
          </w:r>
          <w:hyperlink w:anchor="bookmark14" w:history="1">
            <w:r>
              <w:rPr>
                <w:rFonts w:ascii="Times New Roman" w:eastAsia="Times New Roman" w:hAnsi="Times New Roman" w:cs="Times New Roman"/>
                <w:spacing w:val="-1"/>
                <w:sz w:val="21"/>
                <w:szCs w:val="21"/>
              </w:rPr>
              <w:t>14</w:t>
            </w:r>
          </w:hyperlink>
        </w:p>
        <w:p>
          <w:pPr>
            <w:tabs>
              <w:tab w:val="right" w:leader="dot" w:pos="8225"/>
            </w:tabs>
            <w:spacing w:before="269" w:line="218" w:lineRule="auto"/>
            <w:ind w:left="30"/>
            <w:rPr>
              <w:rFonts w:ascii="Times New Roman" w:eastAsia="Times New Roman" w:hAnsi="Times New Roman" w:cs="Times New Roman"/>
            </w:rPr>
          </w:pPr>
          <w:r>
            <w:rPr>
              <w:rFonts w:ascii="宋体" w:eastAsia="宋体" w:hAnsi="宋体" w:cs="宋体"/>
              <w:spacing w:val="-1"/>
              <w:sz w:val="21"/>
              <w:szCs w:val="21"/>
            </w:rPr>
            <w:t>十三、资产评估报告使用限制说明</w:t>
          </w:r>
          <w:r>
            <w:rPr>
              <w:rFonts w:ascii="宋体" w:eastAsia="宋体" w:hAnsi="宋体" w:cs="宋体"/>
              <w:spacing w:val="-82"/>
              <w:sz w:val="21"/>
              <w:szCs w:val="21"/>
            </w:rPr>
            <w:t xml:space="preserve"> </w:t>
          </w:r>
          <w:r>
            <w:rPr>
              <w:rFonts w:ascii="宋体" w:eastAsia="宋体" w:hAnsi="宋体" w:cs="宋体"/>
              <w:sz w:val="21"/>
              <w:szCs w:val="21"/>
            </w:rPr>
            <w:tab/>
          </w:r>
          <w:r>
            <w:rPr>
              <w:rFonts w:ascii="宋体" w:eastAsia="宋体" w:hAnsi="宋体" w:cs="宋体"/>
              <w:spacing w:val="-61"/>
              <w:sz w:val="21"/>
              <w:szCs w:val="21"/>
            </w:rPr>
            <w:t xml:space="preserve"> </w:t>
          </w:r>
          <w:hyperlink w:anchor="bookmark15" w:history="1">
            <w:r>
              <w:rPr>
                <w:rFonts w:ascii="Times New Roman" w:eastAsia="Times New Roman" w:hAnsi="Times New Roman" w:cs="Times New Roman"/>
                <w:spacing w:val="-7"/>
                <w:sz w:val="21"/>
                <w:szCs w:val="21"/>
              </w:rPr>
              <w:t>15</w:t>
            </w:r>
          </w:hyperlink>
        </w:p>
        <w:p>
          <w:pPr>
            <w:tabs>
              <w:tab w:val="right" w:leader="dot" w:pos="8205"/>
            </w:tabs>
            <w:spacing w:before="302" w:line="218" w:lineRule="auto"/>
            <w:ind w:left="30"/>
            <w:rPr>
              <w:rFonts w:ascii="Times New Roman" w:eastAsia="Times New Roman" w:hAnsi="Times New Roman" w:cs="Times New Roman"/>
            </w:rPr>
          </w:pPr>
          <w:r>
            <w:rPr>
              <w:rFonts w:ascii="宋体" w:eastAsia="宋体" w:hAnsi="宋体" w:cs="宋体"/>
              <w:spacing w:val="6"/>
              <w:sz w:val="21"/>
              <w:szCs w:val="21"/>
            </w:rPr>
            <w:t>十四、资产评估报告日</w:t>
          </w:r>
          <w:r>
            <w:rPr>
              <w:rFonts w:ascii="宋体" w:eastAsia="宋体" w:hAnsi="宋体" w:cs="宋体"/>
              <w:sz w:val="21"/>
              <w:szCs w:val="21"/>
            </w:rPr>
            <w:tab/>
          </w:r>
          <w:hyperlink w:anchor="bookmark16" w:history="1">
            <w:r>
              <w:rPr>
                <w:rFonts w:ascii="Times New Roman" w:eastAsia="Times New Roman" w:hAnsi="Times New Roman" w:cs="Times New Roman"/>
                <w:spacing w:val="-5"/>
                <w:sz w:val="21"/>
                <w:szCs w:val="21"/>
              </w:rPr>
              <w:t>16</w:t>
            </w:r>
          </w:hyperlink>
        </w:p>
        <w:p>
          <w:pPr>
            <w:tabs>
              <w:tab w:val="right" w:leader="dot" w:pos="8240"/>
            </w:tabs>
            <w:spacing w:before="249" w:line="218" w:lineRule="auto"/>
            <w:ind w:left="33"/>
            <w:rPr>
              <w:rFonts w:ascii="Times New Roman" w:eastAsia="Times New Roman" w:hAnsi="Times New Roman" w:cs="Times New Roman"/>
            </w:rPr>
          </w:pPr>
          <w:r>
            <w:rPr>
              <w:rFonts w:ascii="宋体" w:eastAsia="宋体" w:hAnsi="宋体" w:cs="宋体"/>
              <w:b/>
              <w:bCs/>
              <w:spacing w:val="13"/>
              <w:sz w:val="21"/>
              <w:szCs w:val="21"/>
            </w:rPr>
            <w:t>资产评估报告附件</w:t>
          </w:r>
          <w:r>
            <w:rPr>
              <w:rFonts w:ascii="宋体" w:eastAsia="宋体" w:hAnsi="宋体" w:cs="宋体"/>
              <w:spacing w:val="-81"/>
              <w:sz w:val="21"/>
              <w:szCs w:val="21"/>
            </w:rPr>
            <w:t xml:space="preserve"> </w:t>
          </w:r>
          <w:r>
            <w:rPr>
              <w:rFonts w:ascii="宋体" w:eastAsia="宋体" w:hAnsi="宋体" w:cs="宋体"/>
              <w:sz w:val="21"/>
              <w:szCs w:val="21"/>
            </w:rPr>
            <w:tab/>
          </w:r>
          <w:hyperlink w:anchor="bookmark17" w:history="1">
            <w:r>
              <w:rPr>
                <w:rFonts w:ascii="Times New Roman" w:eastAsia="Times New Roman" w:hAnsi="Times New Roman" w:cs="Times New Roman"/>
                <w:sz w:val="21"/>
                <w:szCs w:val="21"/>
              </w:rPr>
              <w:t>1</w:t>
            </w:r>
          </w:hyperlink>
        </w:p>
      </w:sdtContent>
    </w:sdt>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spacing w:before="69" w:line="218" w:lineRule="auto"/>
        <w:ind w:left="30"/>
        <w:rPr>
          <w:rFonts w:ascii="宋体" w:eastAsia="宋体" w:hAnsi="宋体" w:cs="宋体"/>
        </w:rPr>
      </w:pPr>
      <w:r>
        <w:rPr>
          <w:rFonts w:ascii="宋体" w:eastAsia="宋体" w:hAnsi="宋体" w:cs="宋体"/>
          <w:spacing w:val="-19"/>
          <w:w w:val="95"/>
          <w:sz w:val="21"/>
          <w:szCs w:val="21"/>
        </w:rPr>
        <w:t>北京百汇方兴资产评估有限公司</w:t>
      </w:r>
    </w:p>
    <w:p>
      <w:pPr>
        <w:spacing w:line="218" w:lineRule="auto"/>
        <w:rPr>
          <w:rFonts w:ascii="宋体" w:eastAsia="宋体" w:hAnsi="宋体" w:cs="宋体"/>
        </w:rPr>
        <w:sectPr>
          <w:headerReference w:type="default" r:id="rId5"/>
          <w:pgSz w:w="12060" w:h="16950"/>
          <w:pgMar w:top="1336" w:right="1809" w:bottom="0" w:left="1809" w:header="1126" w:footer="0" w:gutter="0"/>
          <w:pgNumType w:start="2"/>
          <w:cols w:num="1" w:space="720"/>
        </w:sectPr>
      </w:pPr>
    </w:p>
    <w:p>
      <w:pPr>
        <w:pStyle w:val="BodyText"/>
        <w:spacing w:line="406" w:lineRule="auto"/>
      </w:pPr>
    </w:p>
    <w:p>
      <w:pPr>
        <w:spacing w:before="101" w:line="221" w:lineRule="auto"/>
        <w:ind w:left="3824"/>
        <w:rPr>
          <w:rFonts w:ascii="黑体" w:eastAsia="黑体" w:hAnsi="黑体" w:cs="黑体"/>
          <w:sz w:val="31"/>
          <w:szCs w:val="31"/>
        </w:rPr>
      </w:pPr>
      <w:r>
        <w:rPr>
          <w:rFonts w:ascii="黑体" w:eastAsia="黑体" w:hAnsi="黑体" w:cs="黑体"/>
          <w:b/>
          <w:bCs/>
          <w:spacing w:val="2"/>
          <w:sz w:val="31"/>
          <w:szCs w:val="31"/>
        </w:rPr>
        <w:t>声明</w:t>
      </w:r>
    </w:p>
    <w:p>
      <w:pPr>
        <w:pStyle w:val="BodyText"/>
        <w:spacing w:line="421" w:lineRule="auto"/>
      </w:pPr>
    </w:p>
    <w:p>
      <w:pPr>
        <w:spacing w:before="78" w:line="247" w:lineRule="auto"/>
        <w:ind w:right="120" w:firstLine="500"/>
        <w:rPr>
          <w:rFonts w:ascii="宋体" w:eastAsia="宋体" w:hAnsi="宋体" w:cs="宋体"/>
          <w:sz w:val="24"/>
          <w:szCs w:val="24"/>
        </w:rPr>
      </w:pPr>
      <w:r>
        <w:rPr>
          <w:rFonts w:ascii="宋体" w:eastAsia="宋体" w:hAnsi="宋体" w:cs="宋体"/>
          <w:spacing w:val="-5"/>
          <w:sz w:val="24"/>
          <w:szCs w:val="24"/>
        </w:rPr>
        <w:t>一、本资产评估报告依据财政部发布的资产评</w:t>
      </w:r>
      <w:r>
        <w:rPr>
          <w:rFonts w:ascii="宋体" w:eastAsia="宋体" w:hAnsi="宋体" w:cs="宋体"/>
          <w:spacing w:val="-6"/>
          <w:sz w:val="24"/>
          <w:szCs w:val="24"/>
        </w:rPr>
        <w:t>估基本准则和中国资产评估协</w:t>
      </w:r>
      <w:r>
        <w:rPr>
          <w:rFonts w:ascii="宋体" w:eastAsia="宋体" w:hAnsi="宋体" w:cs="宋体"/>
          <w:sz w:val="24"/>
          <w:szCs w:val="24"/>
        </w:rPr>
        <w:t xml:space="preserve"> </w:t>
      </w:r>
      <w:r>
        <w:rPr>
          <w:rFonts w:ascii="宋体" w:eastAsia="宋体" w:hAnsi="宋体" w:cs="宋体"/>
          <w:spacing w:val="-5"/>
          <w:sz w:val="24"/>
          <w:szCs w:val="24"/>
        </w:rPr>
        <w:t>会发布的资产评估执业准则和职业道德准则编制。</w:t>
      </w:r>
    </w:p>
    <w:p>
      <w:pPr>
        <w:spacing w:before="185" w:line="265" w:lineRule="auto"/>
        <w:ind w:right="142" w:firstLine="500"/>
        <w:jc w:val="both"/>
        <w:rPr>
          <w:rFonts w:ascii="宋体" w:eastAsia="宋体" w:hAnsi="宋体" w:cs="宋体"/>
          <w:sz w:val="24"/>
          <w:szCs w:val="24"/>
        </w:rPr>
      </w:pPr>
      <w:r>
        <w:rPr>
          <w:rFonts w:ascii="宋体" w:eastAsia="宋体" w:hAnsi="宋体" w:cs="宋体"/>
          <w:spacing w:val="-6"/>
          <w:sz w:val="24"/>
          <w:szCs w:val="24"/>
        </w:rPr>
        <w:t>二、委托人或者其他资产评估报告使用人应当按照法律、行政法规规定</w:t>
      </w:r>
      <w:r>
        <w:rPr>
          <w:rFonts w:ascii="宋体" w:eastAsia="宋体" w:hAnsi="宋体" w:cs="宋体"/>
          <w:spacing w:val="-7"/>
          <w:sz w:val="24"/>
          <w:szCs w:val="24"/>
        </w:rPr>
        <w:t>及本</w:t>
      </w:r>
      <w:r>
        <w:rPr>
          <w:rFonts w:ascii="宋体" w:eastAsia="宋体" w:hAnsi="宋体" w:cs="宋体"/>
          <w:sz w:val="24"/>
          <w:szCs w:val="24"/>
        </w:rPr>
        <w:t xml:space="preserve"> </w:t>
      </w:r>
      <w:r>
        <w:rPr>
          <w:rFonts w:ascii="宋体" w:eastAsia="宋体" w:hAnsi="宋体" w:cs="宋体"/>
          <w:spacing w:val="-6"/>
          <w:sz w:val="24"/>
          <w:szCs w:val="24"/>
        </w:rPr>
        <w:t>资产评估报告载明的使用范围使用本资产评估报告；委托人或者其他资产评估报</w:t>
      </w:r>
      <w:r>
        <w:rPr>
          <w:rFonts w:ascii="宋体" w:eastAsia="宋体" w:hAnsi="宋体" w:cs="宋体"/>
          <w:sz w:val="24"/>
          <w:szCs w:val="24"/>
        </w:rPr>
        <w:t xml:space="preserve"> </w:t>
      </w:r>
      <w:r>
        <w:rPr>
          <w:rFonts w:ascii="宋体" w:eastAsia="宋体" w:hAnsi="宋体" w:cs="宋体"/>
          <w:spacing w:val="-6"/>
          <w:sz w:val="24"/>
          <w:szCs w:val="24"/>
        </w:rPr>
        <w:t>告使用人违反前述规定使用本资产评估报告的，本资产评估机构及资产评</w:t>
      </w:r>
      <w:r>
        <w:rPr>
          <w:rFonts w:ascii="宋体" w:eastAsia="宋体" w:hAnsi="宋体" w:cs="宋体"/>
          <w:spacing w:val="-7"/>
          <w:sz w:val="24"/>
          <w:szCs w:val="24"/>
        </w:rPr>
        <w:t>估专业</w:t>
      </w:r>
      <w:r>
        <w:rPr>
          <w:rFonts w:ascii="宋体" w:eastAsia="宋体" w:hAnsi="宋体" w:cs="宋体"/>
          <w:sz w:val="24"/>
          <w:szCs w:val="24"/>
        </w:rPr>
        <w:t xml:space="preserve"> </w:t>
      </w:r>
      <w:r>
        <w:rPr>
          <w:rFonts w:ascii="宋体" w:eastAsia="宋体" w:hAnsi="宋体" w:cs="宋体"/>
          <w:spacing w:val="-9"/>
          <w:sz w:val="24"/>
          <w:szCs w:val="24"/>
        </w:rPr>
        <w:t>人员不承担责任。</w:t>
      </w:r>
    </w:p>
    <w:p>
      <w:pPr>
        <w:spacing w:before="194" w:line="257" w:lineRule="auto"/>
        <w:ind w:right="142" w:firstLine="500"/>
        <w:jc w:val="both"/>
        <w:rPr>
          <w:rFonts w:ascii="宋体" w:eastAsia="宋体" w:hAnsi="宋体" w:cs="宋体"/>
          <w:sz w:val="24"/>
          <w:szCs w:val="24"/>
        </w:rPr>
      </w:pPr>
      <w:r>
        <w:rPr>
          <w:rFonts w:ascii="宋体" w:eastAsia="宋体" w:hAnsi="宋体" w:cs="宋体"/>
          <w:spacing w:val="-6"/>
          <w:sz w:val="24"/>
          <w:szCs w:val="24"/>
        </w:rPr>
        <w:t>三、本资产评估报告仅供委托人、资产评估委托合同中约定的其他资产</w:t>
      </w:r>
      <w:r>
        <w:rPr>
          <w:rFonts w:ascii="宋体" w:eastAsia="宋体" w:hAnsi="宋体" w:cs="宋体"/>
          <w:spacing w:val="-7"/>
          <w:sz w:val="24"/>
          <w:szCs w:val="24"/>
        </w:rPr>
        <w:t>评估</w:t>
      </w:r>
      <w:r>
        <w:rPr>
          <w:rFonts w:ascii="宋体" w:eastAsia="宋体" w:hAnsi="宋体" w:cs="宋体"/>
          <w:sz w:val="24"/>
          <w:szCs w:val="24"/>
        </w:rPr>
        <w:t xml:space="preserve"> </w:t>
      </w:r>
      <w:r>
        <w:rPr>
          <w:rFonts w:ascii="宋体" w:eastAsia="宋体" w:hAnsi="宋体" w:cs="宋体"/>
          <w:spacing w:val="-5"/>
          <w:sz w:val="24"/>
          <w:szCs w:val="24"/>
        </w:rPr>
        <w:t>报告使用人和法律、行政法规规定的资产评估报告使用人使用；</w:t>
      </w:r>
      <w:r>
        <w:rPr>
          <w:rFonts w:ascii="宋体" w:eastAsia="宋体" w:hAnsi="宋体" w:cs="宋体"/>
          <w:spacing w:val="-6"/>
          <w:sz w:val="24"/>
          <w:szCs w:val="24"/>
        </w:rPr>
        <w:t>除此之外，其他</w:t>
      </w:r>
      <w:r>
        <w:rPr>
          <w:rFonts w:ascii="宋体" w:eastAsia="宋体" w:hAnsi="宋体" w:cs="宋体"/>
          <w:sz w:val="24"/>
          <w:szCs w:val="24"/>
        </w:rPr>
        <w:t xml:space="preserve"> </w:t>
      </w:r>
      <w:r>
        <w:rPr>
          <w:rFonts w:ascii="宋体" w:eastAsia="宋体" w:hAnsi="宋体" w:cs="宋体"/>
          <w:spacing w:val="-5"/>
          <w:sz w:val="24"/>
          <w:szCs w:val="24"/>
        </w:rPr>
        <w:t>任何机构和个人不能成为资产评估报告的使用人。</w:t>
      </w:r>
    </w:p>
    <w:p>
      <w:pPr>
        <w:spacing w:before="195" w:line="255" w:lineRule="auto"/>
        <w:ind w:right="134" w:firstLine="500"/>
        <w:jc w:val="both"/>
        <w:rPr>
          <w:rFonts w:ascii="宋体" w:eastAsia="宋体" w:hAnsi="宋体" w:cs="宋体"/>
          <w:sz w:val="24"/>
          <w:szCs w:val="24"/>
        </w:rPr>
      </w:pPr>
      <w:r>
        <w:rPr>
          <w:rFonts w:ascii="宋体" w:eastAsia="宋体" w:hAnsi="宋体" w:cs="宋体"/>
          <w:spacing w:val="-6"/>
          <w:sz w:val="24"/>
          <w:szCs w:val="24"/>
        </w:rPr>
        <w:t>四、本资产评估机构及资产评估专业人员提示资产评估报告使用人应当正确</w:t>
      </w:r>
      <w:r>
        <w:rPr>
          <w:rFonts w:ascii="宋体" w:eastAsia="宋体" w:hAnsi="宋体" w:cs="宋体"/>
          <w:spacing w:val="5"/>
          <w:sz w:val="24"/>
          <w:szCs w:val="24"/>
        </w:rPr>
        <w:t xml:space="preserve"> </w:t>
      </w:r>
      <w:r>
        <w:rPr>
          <w:rFonts w:ascii="宋体" w:eastAsia="宋体" w:hAnsi="宋体" w:cs="宋体"/>
          <w:spacing w:val="-6"/>
          <w:sz w:val="24"/>
          <w:szCs w:val="24"/>
        </w:rPr>
        <w:t>理解和使用评估结论，评估结论不等同于评估对象可实现价格，评估结论不应当</w:t>
      </w:r>
      <w:r>
        <w:rPr>
          <w:rFonts w:ascii="宋体" w:eastAsia="宋体" w:hAnsi="宋体" w:cs="宋体"/>
          <w:spacing w:val="11"/>
          <w:sz w:val="24"/>
          <w:szCs w:val="24"/>
        </w:rPr>
        <w:t xml:space="preserve"> </w:t>
      </w:r>
      <w:r>
        <w:rPr>
          <w:rFonts w:ascii="宋体" w:eastAsia="宋体" w:hAnsi="宋体" w:cs="宋体"/>
          <w:spacing w:val="-5"/>
          <w:sz w:val="24"/>
          <w:szCs w:val="24"/>
        </w:rPr>
        <w:t>被认为是对评估对象可实现价格的保证。</w:t>
      </w:r>
    </w:p>
    <w:p>
      <w:pPr>
        <w:spacing w:before="207" w:line="257" w:lineRule="auto"/>
        <w:ind w:right="142" w:firstLine="500"/>
        <w:jc w:val="both"/>
        <w:rPr>
          <w:rFonts w:ascii="宋体" w:eastAsia="宋体" w:hAnsi="宋体" w:cs="宋体"/>
          <w:sz w:val="24"/>
          <w:szCs w:val="24"/>
        </w:rPr>
      </w:pPr>
      <w:r>
        <w:rPr>
          <w:rFonts w:ascii="宋体" w:eastAsia="宋体" w:hAnsi="宋体" w:cs="宋体"/>
          <w:spacing w:val="-6"/>
          <w:sz w:val="24"/>
          <w:szCs w:val="24"/>
        </w:rPr>
        <w:t>五、本资产评估机构出具的资产评估报告中的分析、判断和结果受资产</w:t>
      </w:r>
      <w:r>
        <w:rPr>
          <w:rFonts w:ascii="宋体" w:eastAsia="宋体" w:hAnsi="宋体" w:cs="宋体"/>
          <w:spacing w:val="-7"/>
          <w:sz w:val="24"/>
          <w:szCs w:val="24"/>
        </w:rPr>
        <w:t>评估</w:t>
      </w:r>
      <w:r>
        <w:rPr>
          <w:rFonts w:ascii="宋体" w:eastAsia="宋体" w:hAnsi="宋体" w:cs="宋体"/>
          <w:sz w:val="24"/>
          <w:szCs w:val="24"/>
        </w:rPr>
        <w:t xml:space="preserve"> </w:t>
      </w:r>
      <w:r>
        <w:rPr>
          <w:rFonts w:ascii="宋体" w:eastAsia="宋体" w:hAnsi="宋体" w:cs="宋体"/>
          <w:spacing w:val="-5"/>
          <w:sz w:val="24"/>
          <w:szCs w:val="24"/>
        </w:rPr>
        <w:t>报告中假设和限制条件的限制，资产评估报告使用人应当关注评</w:t>
      </w:r>
      <w:r>
        <w:rPr>
          <w:rFonts w:ascii="宋体" w:eastAsia="宋体" w:hAnsi="宋体" w:cs="宋体"/>
          <w:spacing w:val="-6"/>
          <w:sz w:val="24"/>
          <w:szCs w:val="24"/>
        </w:rPr>
        <w:t>估结论成立的假</w:t>
      </w:r>
      <w:r>
        <w:rPr>
          <w:rFonts w:ascii="宋体" w:eastAsia="宋体" w:hAnsi="宋体" w:cs="宋体"/>
          <w:sz w:val="24"/>
          <w:szCs w:val="24"/>
        </w:rPr>
        <w:t xml:space="preserve"> </w:t>
      </w:r>
      <w:r>
        <w:rPr>
          <w:rFonts w:ascii="宋体" w:eastAsia="宋体" w:hAnsi="宋体" w:cs="宋体"/>
          <w:spacing w:val="-6"/>
          <w:sz w:val="24"/>
          <w:szCs w:val="24"/>
        </w:rPr>
        <w:t>设前提、资产评估报告特别事项说明和使用限制。</w:t>
      </w:r>
    </w:p>
    <w:p>
      <w:pPr>
        <w:spacing w:before="188" w:line="251" w:lineRule="auto"/>
        <w:ind w:right="103" w:firstLine="500"/>
        <w:rPr>
          <w:rFonts w:ascii="宋体" w:eastAsia="宋体" w:hAnsi="宋体" w:cs="宋体"/>
          <w:sz w:val="24"/>
          <w:szCs w:val="24"/>
        </w:rPr>
      </w:pPr>
      <w:r>
        <w:rPr>
          <w:rFonts w:ascii="宋体" w:eastAsia="宋体" w:hAnsi="宋体" w:cs="宋体"/>
          <w:spacing w:val="-6"/>
          <w:sz w:val="24"/>
          <w:szCs w:val="24"/>
        </w:rPr>
        <w:t>六、本资产评估机构及资产评估专业人员遵守法律、行政法规和资产评</w:t>
      </w:r>
      <w:r>
        <w:rPr>
          <w:rFonts w:ascii="宋体" w:eastAsia="宋体" w:hAnsi="宋体" w:cs="宋体"/>
          <w:spacing w:val="-7"/>
          <w:sz w:val="24"/>
          <w:szCs w:val="24"/>
        </w:rPr>
        <w:t>估准</w:t>
      </w:r>
      <w:r>
        <w:rPr>
          <w:rFonts w:ascii="宋体" w:eastAsia="宋体" w:hAnsi="宋体" w:cs="宋体"/>
          <w:sz w:val="24"/>
          <w:szCs w:val="24"/>
        </w:rPr>
        <w:t xml:space="preserve"> </w:t>
      </w:r>
      <w:r>
        <w:rPr>
          <w:rFonts w:ascii="宋体" w:eastAsia="宋体" w:hAnsi="宋体" w:cs="宋体"/>
          <w:spacing w:val="-4"/>
          <w:sz w:val="24"/>
          <w:szCs w:val="24"/>
        </w:rPr>
        <w:t>则，坚持独立、客观、公正的原则，并对所出具的资产评估报告依法承担责任。</w:t>
      </w:r>
    </w:p>
    <w:p>
      <w:pPr>
        <w:spacing w:before="117" w:line="308" w:lineRule="auto"/>
        <w:ind w:right="125" w:firstLine="500"/>
        <w:rPr>
          <w:rFonts w:ascii="宋体" w:eastAsia="宋体" w:hAnsi="宋体" w:cs="宋体"/>
          <w:sz w:val="24"/>
          <w:szCs w:val="24"/>
        </w:rPr>
      </w:pPr>
      <w:r>
        <w:rPr>
          <w:rFonts w:ascii="宋体" w:eastAsia="宋体" w:hAnsi="宋体" w:cs="宋体"/>
          <w:spacing w:val="-6"/>
          <w:sz w:val="24"/>
          <w:szCs w:val="24"/>
        </w:rPr>
        <w:t>七、评估对象涉及的资产、负债清单由委托人、被评估单位申报并经其采用</w:t>
      </w:r>
      <w:r>
        <w:rPr>
          <w:rFonts w:ascii="宋体" w:eastAsia="宋体" w:hAnsi="宋体" w:cs="宋体"/>
          <w:spacing w:val="15"/>
          <w:sz w:val="24"/>
          <w:szCs w:val="24"/>
        </w:rPr>
        <w:t xml:space="preserve"> </w:t>
      </w:r>
      <w:r>
        <w:rPr>
          <w:rFonts w:ascii="宋体" w:eastAsia="宋体" w:hAnsi="宋体" w:cs="宋体"/>
          <w:spacing w:val="-6"/>
          <w:sz w:val="24"/>
          <w:szCs w:val="24"/>
        </w:rPr>
        <w:t>签名、盖章或法律允许的其他方式确认；委托人和其他相关当事人依法对其提供</w:t>
      </w:r>
    </w:p>
    <w:p>
      <w:pPr>
        <w:spacing w:before="1" w:line="219" w:lineRule="auto"/>
        <w:rPr>
          <w:rFonts w:ascii="宋体" w:eastAsia="宋体" w:hAnsi="宋体" w:cs="宋体"/>
          <w:sz w:val="24"/>
          <w:szCs w:val="24"/>
        </w:rPr>
      </w:pPr>
      <w:r>
        <w:rPr>
          <w:rFonts w:ascii="宋体" w:eastAsia="宋体" w:hAnsi="宋体" w:cs="宋体"/>
          <w:spacing w:val="-7"/>
          <w:sz w:val="24"/>
          <w:szCs w:val="24"/>
        </w:rPr>
        <w:t>资料的真实性、完整性、合法性负责。</w:t>
      </w:r>
    </w:p>
    <w:p>
      <w:pPr>
        <w:spacing w:before="194" w:line="258" w:lineRule="auto"/>
        <w:ind w:right="141" w:firstLine="500"/>
        <w:jc w:val="both"/>
        <w:rPr>
          <w:rFonts w:ascii="宋体" w:eastAsia="宋体" w:hAnsi="宋体" w:cs="宋体"/>
          <w:sz w:val="24"/>
          <w:szCs w:val="24"/>
        </w:rPr>
      </w:pPr>
      <w:r>
        <w:rPr>
          <w:rFonts w:ascii="宋体" w:eastAsia="宋体" w:hAnsi="宋体" w:cs="宋体"/>
          <w:spacing w:val="-6"/>
          <w:sz w:val="24"/>
          <w:szCs w:val="24"/>
        </w:rPr>
        <w:t>八、本资产评估机构及资产评估专业人员与资产评估报告中的评估对象没有</w:t>
      </w:r>
      <w:r>
        <w:rPr>
          <w:rFonts w:ascii="宋体" w:eastAsia="宋体" w:hAnsi="宋体" w:cs="宋体"/>
          <w:sz w:val="24"/>
          <w:szCs w:val="24"/>
        </w:rPr>
        <w:t xml:space="preserve"> </w:t>
      </w:r>
      <w:r>
        <w:rPr>
          <w:rFonts w:ascii="宋体" w:eastAsia="宋体" w:hAnsi="宋体" w:cs="宋体"/>
          <w:spacing w:val="-5"/>
          <w:sz w:val="24"/>
          <w:szCs w:val="24"/>
        </w:rPr>
        <w:t>现存或者预期的利益关系；与相关当事人没有现存或者预期的利益关</w:t>
      </w:r>
      <w:r>
        <w:rPr>
          <w:rFonts w:ascii="宋体" w:eastAsia="宋体" w:hAnsi="宋体" w:cs="宋体"/>
          <w:spacing w:val="-6"/>
          <w:sz w:val="24"/>
          <w:szCs w:val="24"/>
        </w:rPr>
        <w:t>系，对相关</w:t>
      </w:r>
      <w:r>
        <w:rPr>
          <w:rFonts w:ascii="宋体" w:eastAsia="宋体" w:hAnsi="宋体" w:cs="宋体"/>
          <w:sz w:val="24"/>
          <w:szCs w:val="24"/>
        </w:rPr>
        <w:t xml:space="preserve"> </w:t>
      </w:r>
      <w:r>
        <w:rPr>
          <w:rFonts w:ascii="宋体" w:eastAsia="宋体" w:hAnsi="宋体" w:cs="宋体"/>
          <w:spacing w:val="-10"/>
          <w:sz w:val="24"/>
          <w:szCs w:val="24"/>
        </w:rPr>
        <w:t>当事人不存在偏见。</w:t>
      </w:r>
    </w:p>
    <w:p>
      <w:pPr>
        <w:spacing w:before="184" w:line="265" w:lineRule="auto"/>
        <w:ind w:right="103" w:firstLine="500"/>
        <w:jc w:val="both"/>
        <w:rPr>
          <w:rFonts w:ascii="宋体" w:eastAsia="宋体" w:hAnsi="宋体" w:cs="宋体"/>
          <w:sz w:val="24"/>
          <w:szCs w:val="24"/>
        </w:rPr>
      </w:pPr>
      <w:r>
        <w:rPr>
          <w:rFonts w:ascii="宋体" w:eastAsia="宋体" w:hAnsi="宋体" w:cs="宋体"/>
          <w:spacing w:val="-6"/>
          <w:sz w:val="24"/>
          <w:szCs w:val="24"/>
        </w:rPr>
        <w:t>九、资产评估专业人员已经对资产评估报告中的评估对象及其所涉</w:t>
      </w:r>
      <w:r>
        <w:rPr>
          <w:rFonts w:ascii="宋体" w:eastAsia="宋体" w:hAnsi="宋体" w:cs="宋体"/>
          <w:spacing w:val="-7"/>
          <w:sz w:val="24"/>
          <w:szCs w:val="24"/>
        </w:rPr>
        <w:t>及资产进</w:t>
      </w:r>
      <w:r>
        <w:rPr>
          <w:rFonts w:ascii="宋体" w:eastAsia="宋体" w:hAnsi="宋体" w:cs="宋体"/>
          <w:sz w:val="24"/>
          <w:szCs w:val="24"/>
        </w:rPr>
        <w:t xml:space="preserve"> </w:t>
      </w:r>
      <w:r>
        <w:rPr>
          <w:rFonts w:ascii="宋体" w:eastAsia="宋体" w:hAnsi="宋体" w:cs="宋体"/>
          <w:spacing w:val="-4"/>
          <w:sz w:val="24"/>
          <w:szCs w:val="24"/>
        </w:rPr>
        <w:t>行现场调查；已经对评估对象及其所涉及资产的法律权属状况给予必要的关注，</w:t>
      </w:r>
      <w:r>
        <w:rPr>
          <w:rFonts w:ascii="宋体" w:eastAsia="宋体" w:hAnsi="宋体" w:cs="宋体"/>
          <w:sz w:val="24"/>
          <w:szCs w:val="24"/>
        </w:rPr>
        <w:t xml:space="preserve"> </w:t>
      </w:r>
      <w:r>
        <w:rPr>
          <w:rFonts w:ascii="宋体" w:eastAsia="宋体" w:hAnsi="宋体" w:cs="宋体"/>
          <w:spacing w:val="-6"/>
          <w:sz w:val="24"/>
          <w:szCs w:val="24"/>
        </w:rPr>
        <w:t>对评估对象及其所涉及资产的法律权属资料进行了查验，对已经发现的问题进行</w:t>
      </w:r>
      <w:r>
        <w:rPr>
          <w:rFonts w:ascii="宋体" w:eastAsia="宋体" w:hAnsi="宋体" w:cs="宋体"/>
          <w:sz w:val="24"/>
          <w:szCs w:val="24"/>
        </w:rPr>
        <w:t xml:space="preserve"> </w:t>
      </w:r>
      <w:r>
        <w:rPr>
          <w:rFonts w:ascii="宋体" w:eastAsia="宋体" w:hAnsi="宋体" w:cs="宋体"/>
          <w:spacing w:val="-6"/>
          <w:sz w:val="24"/>
          <w:szCs w:val="24"/>
        </w:rPr>
        <w:t>了如实披露，并且已提请委托人及其他相关当事人完善产权以满足出具资产评估</w:t>
      </w:r>
      <w:r>
        <w:rPr>
          <w:rFonts w:ascii="宋体" w:eastAsia="宋体" w:hAnsi="宋体" w:cs="宋体"/>
          <w:sz w:val="24"/>
          <w:szCs w:val="24"/>
        </w:rPr>
        <w:t xml:space="preserve"> </w:t>
      </w:r>
      <w:r>
        <w:rPr>
          <w:rFonts w:ascii="宋体" w:eastAsia="宋体" w:hAnsi="宋体" w:cs="宋体"/>
          <w:spacing w:val="-12"/>
          <w:sz w:val="24"/>
          <w:szCs w:val="24"/>
        </w:rPr>
        <w:t>报告的要求。</w:t>
      </w:r>
    </w:p>
    <w:p>
      <w:pPr>
        <w:spacing w:line="265" w:lineRule="auto"/>
        <w:rPr>
          <w:rFonts w:ascii="宋体" w:eastAsia="宋体" w:hAnsi="宋体" w:cs="宋体"/>
          <w:sz w:val="24"/>
          <w:szCs w:val="24"/>
        </w:rPr>
        <w:sectPr>
          <w:headerReference w:type="default" r:id="rId6"/>
          <w:footerReference w:type="default" r:id="rId7"/>
          <w:pgSz w:w="11910" w:h="16840"/>
          <w:pgMar w:top="1245" w:right="1786" w:bottom="1090" w:left="1759" w:header="1065" w:footer="821" w:gutter="0"/>
          <w:pgNumType w:start="3"/>
          <w:cols w:num="1" w:space="720"/>
        </w:sectPr>
      </w:pPr>
    </w:p>
    <w:p>
      <w:pPr>
        <w:pStyle w:val="BodyText"/>
        <w:spacing w:line="349" w:lineRule="auto"/>
      </w:pPr>
    </w:p>
    <w:p>
      <w:pPr>
        <w:pStyle w:val="BodyText"/>
        <w:spacing w:line="350" w:lineRule="auto"/>
      </w:pPr>
    </w:p>
    <w:p>
      <w:pPr>
        <w:spacing w:before="94" w:line="222" w:lineRule="auto"/>
        <w:ind w:left="1950"/>
        <w:rPr>
          <w:rFonts w:ascii="黑体" w:eastAsia="黑体" w:hAnsi="黑体" w:cs="黑体"/>
          <w:sz w:val="29"/>
          <w:szCs w:val="29"/>
        </w:rPr>
      </w:pPr>
      <w:r>
        <w:rPr>
          <w:rFonts w:ascii="黑体" w:eastAsia="黑体" w:hAnsi="黑体" w:cs="黑体"/>
          <w:b/>
          <w:bCs/>
          <w:spacing w:val="3"/>
          <w:sz w:val="29"/>
          <w:szCs w:val="29"/>
        </w:rPr>
        <w:t>北京中企慧云科技有限公司拟了解</w:t>
      </w:r>
    </w:p>
    <w:p>
      <w:pPr>
        <w:spacing w:before="141" w:line="222" w:lineRule="auto"/>
        <w:ind w:left="2400"/>
        <w:rPr>
          <w:rFonts w:ascii="黑体" w:eastAsia="黑体" w:hAnsi="黑体" w:cs="黑体"/>
          <w:sz w:val="29"/>
          <w:szCs w:val="29"/>
        </w:rPr>
      </w:pPr>
      <w:r>
        <w:rPr>
          <w:rFonts w:ascii="黑体" w:eastAsia="黑体" w:hAnsi="黑体" w:cs="黑体"/>
          <w:b/>
          <w:bCs/>
          <w:spacing w:val="2"/>
          <w:sz w:val="29"/>
          <w:szCs w:val="29"/>
        </w:rPr>
        <w:t>北京中企慧云科技有限公司</w:t>
      </w:r>
    </w:p>
    <w:p>
      <w:pPr>
        <w:spacing w:before="138" w:line="221" w:lineRule="auto"/>
        <w:ind w:left="2980"/>
        <w:rPr>
          <w:rFonts w:ascii="黑体" w:eastAsia="黑体" w:hAnsi="黑体" w:cs="黑体"/>
          <w:sz w:val="29"/>
          <w:szCs w:val="29"/>
        </w:rPr>
      </w:pPr>
      <w:r>
        <w:rPr>
          <w:rFonts w:ascii="黑体" w:eastAsia="黑体" w:hAnsi="黑体" w:cs="黑体"/>
          <w:b/>
          <w:bCs/>
          <w:sz w:val="29"/>
          <w:szCs w:val="29"/>
        </w:rPr>
        <w:t>股东全部权益价值</w:t>
      </w:r>
    </w:p>
    <w:p>
      <w:pPr>
        <w:spacing w:before="143" w:line="222" w:lineRule="auto"/>
        <w:ind w:left="3290"/>
        <w:rPr>
          <w:rFonts w:ascii="黑体" w:eastAsia="黑体" w:hAnsi="黑体" w:cs="黑体"/>
          <w:sz w:val="29"/>
          <w:szCs w:val="29"/>
        </w:rPr>
      </w:pPr>
      <w:r>
        <w:rPr>
          <w:rFonts w:ascii="黑体" w:eastAsia="黑体" w:hAnsi="黑体" w:cs="黑体"/>
          <w:b/>
          <w:bCs/>
          <w:spacing w:val="-7"/>
          <w:sz w:val="29"/>
          <w:szCs w:val="29"/>
        </w:rPr>
        <w:t>资产评估报告</w:t>
      </w:r>
    </w:p>
    <w:p>
      <w:pPr>
        <w:spacing w:before="141" w:line="222" w:lineRule="auto"/>
        <w:ind w:left="2910"/>
        <w:rPr>
          <w:rFonts w:ascii="黑体" w:eastAsia="黑体" w:hAnsi="黑体" w:cs="黑体"/>
          <w:sz w:val="29"/>
          <w:szCs w:val="29"/>
        </w:rPr>
      </w:pPr>
      <w:r>
        <w:rPr>
          <w:rFonts w:ascii="黑体" w:eastAsia="黑体" w:hAnsi="黑体" w:cs="黑体"/>
          <w:b/>
          <w:bCs/>
          <w:spacing w:val="19"/>
          <w:sz w:val="29"/>
          <w:szCs w:val="29"/>
        </w:rPr>
        <w:t>资产评估报告摘要</w:t>
      </w:r>
    </w:p>
    <w:p>
      <w:pPr>
        <w:spacing w:before="85" w:line="219" w:lineRule="auto"/>
        <w:ind w:left="2536"/>
        <w:rPr>
          <w:rFonts w:ascii="宋体" w:eastAsia="宋体" w:hAnsi="宋体" w:cs="宋体"/>
          <w:sz w:val="24"/>
          <w:szCs w:val="24"/>
        </w:rPr>
      </w:pPr>
      <w:r>
        <w:rPr>
          <w:rFonts w:ascii="宋体" w:eastAsia="宋体" w:hAnsi="宋体" w:cs="宋体"/>
          <w:spacing w:val="-6"/>
          <w:sz w:val="24"/>
          <w:szCs w:val="24"/>
        </w:rPr>
        <w:t>京百汇评报字(2024)第A-1002号</w:t>
      </w:r>
    </w:p>
    <w:p>
      <w:pPr>
        <w:spacing w:before="145" w:line="20" w:lineRule="exact"/>
        <w:ind w:firstLine="16"/>
      </w:pPr>
    </w:p>
    <w:p>
      <w:pPr>
        <w:spacing w:before="46" w:line="222" w:lineRule="auto"/>
        <w:ind w:left="3600"/>
        <w:rPr>
          <w:rFonts w:ascii="黑体" w:eastAsia="黑体" w:hAnsi="黑体" w:cs="黑体"/>
          <w:sz w:val="29"/>
          <w:szCs w:val="29"/>
        </w:rPr>
      </w:pPr>
      <w:r>
        <w:rPr>
          <w:rFonts w:ascii="黑体" w:eastAsia="黑体" w:hAnsi="黑体" w:cs="黑体"/>
          <w:b/>
          <w:bCs/>
          <w:spacing w:val="-19"/>
          <w:sz w:val="29"/>
          <w:szCs w:val="29"/>
        </w:rPr>
        <w:t>重要提示</w:t>
      </w:r>
    </w:p>
    <w:p>
      <w:pPr>
        <w:spacing w:before="144" w:line="255" w:lineRule="auto"/>
        <w:ind w:left="26" w:right="228" w:firstLine="470"/>
        <w:rPr>
          <w:rFonts w:ascii="宋体" w:eastAsia="宋体" w:hAnsi="宋体" w:cs="宋体"/>
          <w:sz w:val="24"/>
          <w:szCs w:val="24"/>
        </w:rPr>
      </w:pPr>
      <w:r>
        <w:rPr>
          <w:rFonts w:ascii="宋体" w:eastAsia="宋体" w:hAnsi="宋体" w:cs="宋体"/>
          <w:spacing w:val="-6"/>
          <w:sz w:val="24"/>
          <w:szCs w:val="24"/>
        </w:rPr>
        <w:t>以下内容摘自资产评估报告正文，欲了解本评估业务的详细情况和正确理解</w:t>
      </w:r>
      <w:r>
        <w:rPr>
          <w:rFonts w:ascii="宋体" w:eastAsia="宋体" w:hAnsi="宋体" w:cs="宋体"/>
          <w:spacing w:val="15"/>
          <w:sz w:val="24"/>
          <w:szCs w:val="24"/>
        </w:rPr>
        <w:t xml:space="preserve"> </w:t>
      </w:r>
      <w:r>
        <w:rPr>
          <w:rFonts w:ascii="宋体" w:eastAsia="宋体" w:hAnsi="宋体" w:cs="宋体"/>
          <w:spacing w:val="-4"/>
          <w:sz w:val="24"/>
          <w:szCs w:val="24"/>
        </w:rPr>
        <w:t>评估结论，应当阅读资产评估报告正文。</w:t>
      </w:r>
    </w:p>
    <w:p>
      <w:pPr>
        <w:spacing w:before="19" w:line="20" w:lineRule="exact"/>
        <w:ind w:firstLine="26"/>
      </w:pPr>
    </w:p>
    <w:p>
      <w:pPr>
        <w:spacing w:before="240" w:line="284" w:lineRule="auto"/>
        <w:ind w:left="26" w:right="208" w:firstLine="470"/>
        <w:jc w:val="both"/>
        <w:rPr>
          <w:rFonts w:ascii="宋体" w:eastAsia="宋体" w:hAnsi="宋体" w:cs="宋体"/>
          <w:sz w:val="24"/>
          <w:szCs w:val="24"/>
        </w:rPr>
      </w:pPr>
      <w:r>
        <w:rPr>
          <w:rFonts w:ascii="宋体" w:eastAsia="宋体" w:hAnsi="宋体" w:cs="宋体"/>
          <w:spacing w:val="-6"/>
          <w:sz w:val="24"/>
          <w:szCs w:val="24"/>
        </w:rPr>
        <w:t>北京百汇方兴资产评估有限公司接受北京中企慧云科技有限公司的</w:t>
      </w:r>
      <w:r>
        <w:rPr>
          <w:rFonts w:ascii="宋体" w:eastAsia="宋体" w:hAnsi="宋体" w:cs="宋体"/>
          <w:spacing w:val="-7"/>
          <w:sz w:val="24"/>
          <w:szCs w:val="24"/>
        </w:rPr>
        <w:t>委托，根</w:t>
      </w:r>
      <w:r>
        <w:rPr>
          <w:rFonts w:ascii="宋体" w:eastAsia="宋体" w:hAnsi="宋体" w:cs="宋体"/>
          <w:sz w:val="24"/>
          <w:szCs w:val="24"/>
        </w:rPr>
        <w:t xml:space="preserve"> </w:t>
      </w:r>
      <w:r>
        <w:rPr>
          <w:rFonts w:ascii="宋体" w:eastAsia="宋体" w:hAnsi="宋体" w:cs="宋体"/>
          <w:spacing w:val="-5"/>
          <w:sz w:val="24"/>
          <w:szCs w:val="24"/>
        </w:rPr>
        <w:t>据有关法律、行政法规和资产评估准则，遵循独立、客观、</w:t>
      </w:r>
      <w:r>
        <w:rPr>
          <w:rFonts w:ascii="宋体" w:eastAsia="宋体" w:hAnsi="宋体" w:cs="宋体"/>
          <w:spacing w:val="-6"/>
          <w:sz w:val="24"/>
          <w:szCs w:val="24"/>
        </w:rPr>
        <w:t>公正的原则，运用资</w:t>
      </w:r>
      <w:r>
        <w:rPr>
          <w:rFonts w:ascii="宋体" w:eastAsia="宋体" w:hAnsi="宋体" w:cs="宋体"/>
          <w:sz w:val="24"/>
          <w:szCs w:val="24"/>
        </w:rPr>
        <w:t xml:space="preserve"> </w:t>
      </w:r>
      <w:r>
        <w:rPr>
          <w:rFonts w:ascii="宋体" w:eastAsia="宋体" w:hAnsi="宋体" w:cs="宋体"/>
          <w:spacing w:val="-5"/>
          <w:sz w:val="24"/>
          <w:szCs w:val="24"/>
        </w:rPr>
        <w:t>产评估法定或公允的方法和程序及我们认为必要的其他程序，对北京中企慧云科</w:t>
      </w:r>
      <w:r>
        <w:rPr>
          <w:rFonts w:ascii="宋体" w:eastAsia="宋体" w:hAnsi="宋体" w:cs="宋体"/>
          <w:spacing w:val="2"/>
          <w:sz w:val="24"/>
          <w:szCs w:val="24"/>
        </w:rPr>
        <w:t xml:space="preserve"> </w:t>
      </w:r>
      <w:r>
        <w:rPr>
          <w:rFonts w:ascii="宋体" w:eastAsia="宋体" w:hAnsi="宋体" w:cs="宋体"/>
          <w:spacing w:val="-5"/>
          <w:sz w:val="24"/>
          <w:szCs w:val="24"/>
        </w:rPr>
        <w:t>技有限公司的股东全部权益在评估基准日的市场价值进行</w:t>
      </w:r>
      <w:r>
        <w:rPr>
          <w:rFonts w:ascii="宋体" w:eastAsia="宋体" w:hAnsi="宋体" w:cs="宋体"/>
          <w:spacing w:val="-6"/>
          <w:sz w:val="24"/>
          <w:szCs w:val="24"/>
        </w:rPr>
        <w:t>了评估。现将评估报告</w:t>
      </w:r>
      <w:r>
        <w:rPr>
          <w:rFonts w:ascii="宋体" w:eastAsia="宋体" w:hAnsi="宋体" w:cs="宋体"/>
          <w:sz w:val="24"/>
          <w:szCs w:val="24"/>
        </w:rPr>
        <w:t xml:space="preserve"> </w:t>
      </w:r>
      <w:r>
        <w:rPr>
          <w:rFonts w:ascii="宋体" w:eastAsia="宋体" w:hAnsi="宋体" w:cs="宋体"/>
          <w:spacing w:val="-15"/>
          <w:sz w:val="24"/>
          <w:szCs w:val="24"/>
        </w:rPr>
        <w:t>摘要如下：</w:t>
      </w:r>
    </w:p>
    <w:p>
      <w:pPr>
        <w:spacing w:before="251" w:line="308" w:lineRule="auto"/>
        <w:ind w:left="26" w:right="224" w:firstLine="470"/>
        <w:jc w:val="both"/>
        <w:rPr>
          <w:rFonts w:ascii="宋体" w:eastAsia="宋体" w:hAnsi="宋体" w:cs="宋体"/>
          <w:sz w:val="24"/>
          <w:szCs w:val="24"/>
        </w:rPr>
      </w:pPr>
      <w:r>
        <w:rPr>
          <w:rFonts w:ascii="宋体" w:eastAsia="宋体" w:hAnsi="宋体" w:cs="宋体"/>
          <w:spacing w:val="-6"/>
          <w:sz w:val="24"/>
          <w:szCs w:val="24"/>
        </w:rPr>
        <w:t>评估目的：北京中企慧云科技有限公司拟了解北京中企慧云科技有限公司股</w:t>
      </w:r>
      <w:r>
        <w:rPr>
          <w:rFonts w:ascii="宋体" w:eastAsia="宋体" w:hAnsi="宋体" w:cs="宋体"/>
          <w:spacing w:val="18"/>
          <w:sz w:val="24"/>
          <w:szCs w:val="24"/>
        </w:rPr>
        <w:t xml:space="preserve"> </w:t>
      </w:r>
      <w:r>
        <w:rPr>
          <w:rFonts w:ascii="宋体" w:eastAsia="宋体" w:hAnsi="宋体" w:cs="宋体"/>
          <w:spacing w:val="-5"/>
          <w:sz w:val="24"/>
          <w:szCs w:val="24"/>
        </w:rPr>
        <w:t>东全部权益价值。为此，需对所涉及的北京中</w:t>
      </w:r>
      <w:r>
        <w:rPr>
          <w:rFonts w:ascii="宋体" w:eastAsia="宋体" w:hAnsi="宋体" w:cs="宋体"/>
          <w:spacing w:val="-6"/>
          <w:sz w:val="24"/>
          <w:szCs w:val="24"/>
        </w:rPr>
        <w:t>企慧云科技有限公司股东全部权益</w:t>
      </w:r>
    </w:p>
    <w:p>
      <w:pPr>
        <w:spacing w:before="1" w:line="217" w:lineRule="auto"/>
        <w:ind w:left="26"/>
        <w:rPr>
          <w:rFonts w:ascii="宋体" w:eastAsia="宋体" w:hAnsi="宋体" w:cs="宋体"/>
          <w:sz w:val="24"/>
          <w:szCs w:val="24"/>
        </w:rPr>
      </w:pPr>
      <w:r>
        <w:rPr>
          <w:rFonts w:ascii="宋体" w:eastAsia="宋体" w:hAnsi="宋体" w:cs="宋体"/>
          <w:spacing w:val="-4"/>
          <w:sz w:val="24"/>
          <w:szCs w:val="24"/>
        </w:rPr>
        <w:t>的市场价值进行评估，为本次经济行为提供价值参考依据。</w:t>
      </w:r>
    </w:p>
    <w:p>
      <w:pPr>
        <w:spacing w:before="216" w:line="218" w:lineRule="auto"/>
        <w:ind w:left="496"/>
        <w:rPr>
          <w:rFonts w:ascii="宋体" w:eastAsia="宋体" w:hAnsi="宋体" w:cs="宋体"/>
          <w:sz w:val="24"/>
          <w:szCs w:val="24"/>
        </w:rPr>
      </w:pPr>
      <w:r>
        <w:rPr>
          <w:rFonts w:ascii="宋体" w:eastAsia="宋体" w:hAnsi="宋体" w:cs="宋体"/>
          <w:spacing w:val="-9"/>
          <w:sz w:val="24"/>
          <w:szCs w:val="24"/>
        </w:rPr>
        <w:t>评估基准日：2023年11月30日。</w:t>
      </w:r>
    </w:p>
    <w:p>
      <w:pPr>
        <w:spacing w:before="247" w:line="218" w:lineRule="auto"/>
        <w:ind w:left="496"/>
        <w:rPr>
          <w:rFonts w:ascii="宋体" w:eastAsia="宋体" w:hAnsi="宋体" w:cs="宋体"/>
          <w:sz w:val="24"/>
          <w:szCs w:val="24"/>
        </w:rPr>
      </w:pPr>
      <w:r>
        <w:rPr>
          <w:rFonts w:ascii="宋体" w:eastAsia="宋体" w:hAnsi="宋体" w:cs="宋体"/>
          <w:spacing w:val="-3"/>
          <w:sz w:val="24"/>
          <w:szCs w:val="24"/>
        </w:rPr>
        <w:t>评估对象：评估对象是北京中企慧云科技有限</w:t>
      </w:r>
      <w:r>
        <w:rPr>
          <w:rFonts w:ascii="宋体" w:eastAsia="宋体" w:hAnsi="宋体" w:cs="宋体"/>
          <w:spacing w:val="-4"/>
          <w:sz w:val="24"/>
          <w:szCs w:val="24"/>
        </w:rPr>
        <w:t>公司的股东全部权益价值。</w:t>
      </w:r>
    </w:p>
    <w:p>
      <w:pPr>
        <w:spacing w:before="238" w:line="260" w:lineRule="auto"/>
        <w:ind w:left="26" w:right="226" w:firstLine="470"/>
        <w:rPr>
          <w:rFonts w:ascii="宋体" w:eastAsia="宋体" w:hAnsi="宋体" w:cs="宋体"/>
          <w:sz w:val="24"/>
          <w:szCs w:val="24"/>
        </w:rPr>
      </w:pPr>
      <w:r>
        <w:rPr>
          <w:rFonts w:ascii="宋体" w:eastAsia="宋体" w:hAnsi="宋体" w:cs="宋体"/>
          <w:spacing w:val="-6"/>
          <w:sz w:val="24"/>
          <w:szCs w:val="24"/>
        </w:rPr>
        <w:t>评估范围：评估范围是被评估单位的全部资产及负债。包括流动资产、非流</w:t>
      </w:r>
      <w:r>
        <w:rPr>
          <w:rFonts w:ascii="宋体" w:eastAsia="宋体" w:hAnsi="宋体" w:cs="宋体"/>
          <w:spacing w:val="17"/>
          <w:sz w:val="24"/>
          <w:szCs w:val="24"/>
        </w:rPr>
        <w:t xml:space="preserve"> </w:t>
      </w:r>
      <w:r>
        <w:rPr>
          <w:rFonts w:ascii="宋体" w:eastAsia="宋体" w:hAnsi="宋体" w:cs="宋体"/>
          <w:spacing w:val="-5"/>
          <w:sz w:val="24"/>
          <w:szCs w:val="24"/>
        </w:rPr>
        <w:t>动资产、流动负债。</w:t>
      </w:r>
    </w:p>
    <w:p>
      <w:pPr>
        <w:spacing w:before="233" w:line="218" w:lineRule="auto"/>
        <w:ind w:left="496"/>
        <w:rPr>
          <w:rFonts w:ascii="宋体" w:eastAsia="宋体" w:hAnsi="宋体" w:cs="宋体"/>
          <w:sz w:val="24"/>
          <w:szCs w:val="24"/>
        </w:rPr>
      </w:pPr>
      <w:r>
        <w:rPr>
          <w:rFonts w:ascii="宋体" w:eastAsia="宋体" w:hAnsi="宋体" w:cs="宋体"/>
          <w:spacing w:val="-5"/>
          <w:sz w:val="24"/>
          <w:szCs w:val="24"/>
        </w:rPr>
        <w:t>价值类型：市场价值。</w:t>
      </w:r>
    </w:p>
    <w:p>
      <w:pPr>
        <w:spacing w:before="236" w:line="218" w:lineRule="auto"/>
        <w:ind w:left="496"/>
        <w:rPr>
          <w:rFonts w:ascii="宋体" w:eastAsia="宋体" w:hAnsi="宋体" w:cs="宋体"/>
          <w:sz w:val="24"/>
          <w:szCs w:val="24"/>
        </w:rPr>
      </w:pPr>
      <w:r>
        <w:rPr>
          <w:rFonts w:ascii="宋体" w:eastAsia="宋体" w:hAnsi="宋体" w:cs="宋体"/>
          <w:spacing w:val="-5"/>
          <w:sz w:val="24"/>
          <w:szCs w:val="24"/>
        </w:rPr>
        <w:t>评估方法：本次评估采用资产基础法进行评估。</w:t>
      </w:r>
    </w:p>
    <w:p>
      <w:pPr>
        <w:spacing w:before="247" w:line="255" w:lineRule="auto"/>
        <w:ind w:left="26" w:right="227" w:firstLine="470"/>
        <w:rPr>
          <w:rFonts w:ascii="宋体" w:eastAsia="宋体" w:hAnsi="宋体" w:cs="宋体"/>
          <w:sz w:val="24"/>
          <w:szCs w:val="24"/>
        </w:rPr>
      </w:pPr>
      <w:r>
        <w:rPr>
          <w:rFonts w:ascii="宋体" w:eastAsia="宋体" w:hAnsi="宋体" w:cs="宋体"/>
          <w:spacing w:val="-6"/>
          <w:sz w:val="24"/>
          <w:szCs w:val="24"/>
        </w:rPr>
        <w:t>评估结论：本资产评估报告选用资产基础法评估结果作为评估结论，具体评</w:t>
      </w:r>
      <w:r>
        <w:rPr>
          <w:rFonts w:ascii="宋体" w:eastAsia="宋体" w:hAnsi="宋体" w:cs="宋体"/>
          <w:spacing w:val="16"/>
          <w:sz w:val="24"/>
          <w:szCs w:val="24"/>
        </w:rPr>
        <w:t xml:space="preserve"> </w:t>
      </w:r>
      <w:r>
        <w:rPr>
          <w:rFonts w:ascii="宋体" w:eastAsia="宋体" w:hAnsi="宋体" w:cs="宋体"/>
          <w:spacing w:val="-9"/>
          <w:sz w:val="24"/>
          <w:szCs w:val="24"/>
        </w:rPr>
        <w:t>估结论如下：</w:t>
      </w:r>
    </w:p>
    <w:p>
      <w:pPr>
        <w:spacing w:before="248" w:line="307" w:lineRule="auto"/>
        <w:ind w:left="26" w:right="207" w:firstLine="470"/>
        <w:jc w:val="both"/>
        <w:rPr>
          <w:rFonts w:ascii="宋体" w:eastAsia="宋体" w:hAnsi="宋体" w:cs="宋体"/>
          <w:sz w:val="24"/>
          <w:szCs w:val="24"/>
        </w:rPr>
      </w:pPr>
      <w:r>
        <w:rPr>
          <w:rFonts w:ascii="宋体" w:eastAsia="宋体" w:hAnsi="宋体" w:cs="宋体"/>
          <w:spacing w:val="2"/>
          <w:sz w:val="24"/>
          <w:szCs w:val="24"/>
        </w:rPr>
        <w:t>北京中企慧云科技有限公司于评估基准日2023年11月30日总资产账面价值</w:t>
      </w:r>
      <w:r>
        <w:rPr>
          <w:rFonts w:ascii="宋体" w:eastAsia="宋体" w:hAnsi="宋体" w:cs="宋体"/>
          <w:spacing w:val="6"/>
          <w:sz w:val="24"/>
          <w:szCs w:val="24"/>
        </w:rPr>
        <w:t xml:space="preserve"> </w:t>
      </w:r>
      <w:r>
        <w:rPr>
          <w:rFonts w:ascii="宋体" w:eastAsia="宋体" w:hAnsi="宋体" w:cs="宋体"/>
          <w:spacing w:val="-10"/>
          <w:sz w:val="24"/>
          <w:szCs w:val="24"/>
        </w:rPr>
        <w:t>为1,219.51 万元，总负债账面价值为13.50 万元，净资产账面价值为1,206.01</w:t>
      </w:r>
      <w:r>
        <w:rPr>
          <w:rFonts w:ascii="宋体" w:eastAsia="宋体" w:hAnsi="宋体" w:cs="宋体"/>
          <w:spacing w:val="43"/>
          <w:sz w:val="24"/>
          <w:szCs w:val="24"/>
        </w:rPr>
        <w:t xml:space="preserve"> </w:t>
      </w:r>
      <w:r>
        <w:rPr>
          <w:rFonts w:ascii="宋体" w:eastAsia="宋体" w:hAnsi="宋体" w:cs="宋体"/>
          <w:spacing w:val="-10"/>
          <w:sz w:val="24"/>
          <w:szCs w:val="24"/>
        </w:rPr>
        <w:t>万</w:t>
      </w:r>
      <w:r>
        <w:rPr>
          <w:rFonts w:ascii="宋体" w:eastAsia="宋体" w:hAnsi="宋体" w:cs="宋体"/>
          <w:sz w:val="24"/>
          <w:szCs w:val="24"/>
        </w:rPr>
        <w:t xml:space="preserve"> </w:t>
      </w:r>
      <w:r>
        <w:rPr>
          <w:rFonts w:ascii="宋体" w:eastAsia="宋体" w:hAnsi="宋体" w:cs="宋体"/>
          <w:spacing w:val="-7"/>
          <w:sz w:val="24"/>
          <w:szCs w:val="24"/>
        </w:rPr>
        <w:t>元；总资产评估价值为31,114.78万元，总负债评估价值为13.50 万元，</w:t>
      </w:r>
      <w:r>
        <w:rPr>
          <w:rFonts w:ascii="宋体" w:eastAsia="宋体" w:hAnsi="宋体" w:cs="宋体"/>
          <w:spacing w:val="-8"/>
          <w:sz w:val="24"/>
          <w:szCs w:val="24"/>
        </w:rPr>
        <w:t>净资产评</w:t>
      </w:r>
    </w:p>
    <w:p>
      <w:pPr>
        <w:spacing w:line="216" w:lineRule="auto"/>
        <w:ind w:left="26"/>
        <w:rPr>
          <w:rFonts w:ascii="宋体" w:eastAsia="宋体" w:hAnsi="宋体" w:cs="宋体"/>
          <w:sz w:val="24"/>
          <w:szCs w:val="24"/>
        </w:rPr>
      </w:pPr>
      <w:r>
        <w:rPr>
          <w:rFonts w:ascii="宋体" w:eastAsia="宋体" w:hAnsi="宋体" w:cs="宋体"/>
          <w:spacing w:val="-9"/>
          <w:sz w:val="24"/>
          <w:szCs w:val="24"/>
        </w:rPr>
        <w:t>估价值为31,101.28万元，净资产评估价值较账面价值增值29,895.27万元，增值率</w:t>
      </w:r>
    </w:p>
    <w:p>
      <w:pPr>
        <w:spacing w:line="216" w:lineRule="auto"/>
        <w:rPr>
          <w:rFonts w:ascii="宋体" w:eastAsia="宋体" w:hAnsi="宋体" w:cs="宋体"/>
          <w:sz w:val="24"/>
          <w:szCs w:val="24"/>
        </w:rPr>
        <w:sectPr>
          <w:headerReference w:type="default" r:id="rId8"/>
          <w:footerReference w:type="default" r:id="rId9"/>
          <w:pgSz w:w="12090" w:h="16970"/>
          <w:pgMar w:top="1430" w:right="1813" w:bottom="1189" w:left="1813" w:header="1175" w:footer="831" w:gutter="0"/>
          <w:pgNumType w:start="4"/>
          <w:cols w:num="1" w:space="720"/>
        </w:sectPr>
      </w:pPr>
    </w:p>
    <w:p>
      <w:pPr>
        <w:spacing w:before="180"/>
      </w:pPr>
    </w:p>
    <w:p>
      <w:pPr>
        <w:sectPr>
          <w:headerReference w:type="default" r:id="rId10"/>
          <w:footerReference w:type="default" r:id="rId11"/>
          <w:pgSz w:w="11910" w:h="16840"/>
          <w:pgMar w:top="1256" w:right="1504" w:bottom="1049" w:left="1425" w:header="1066" w:footer="801" w:gutter="0"/>
          <w:pgNumType w:start="5"/>
          <w:cols w:num="1" w:space="708" w:equalWidth="0">
            <w:col w:w="8981" w:space="0"/>
          </w:cols>
        </w:sectPr>
      </w:pPr>
    </w:p>
    <w:p>
      <w:pPr>
        <w:spacing w:before="48" w:line="216" w:lineRule="auto"/>
        <w:ind w:left="354"/>
        <w:rPr>
          <w:rFonts w:ascii="宋体" w:eastAsia="宋体" w:hAnsi="宋体" w:cs="宋体"/>
          <w:sz w:val="24"/>
          <w:szCs w:val="24"/>
        </w:rPr>
      </w:pPr>
      <w:r>
        <w:rPr>
          <w:rFonts w:ascii="宋体" w:eastAsia="宋体" w:hAnsi="宋体" w:cs="宋体"/>
          <w:spacing w:val="-8"/>
          <w:sz w:val="24"/>
          <w:szCs w:val="24"/>
        </w:rPr>
        <w:t>为2,478.86%。详见下列资产评估结果汇总表：</w:t>
      </w:r>
    </w:p>
    <w:p>
      <w:pPr>
        <w:spacing w:before="68" w:line="222" w:lineRule="auto"/>
        <w:ind w:left="3169"/>
        <w:rPr>
          <w:rFonts w:ascii="黑体" w:eastAsia="黑体" w:hAnsi="黑体" w:cs="黑体"/>
          <w:sz w:val="29"/>
          <w:szCs w:val="29"/>
        </w:rPr>
      </w:pPr>
      <w:bookmarkStart w:id="1" w:name="bookmark3"/>
      <w:bookmarkEnd w:id="1"/>
      <w:bookmarkStart w:id="2" w:name="bookmark4"/>
      <w:bookmarkEnd w:id="2"/>
      <w:r>
        <w:rPr>
          <w:rFonts w:ascii="黑体" w:eastAsia="黑体" w:hAnsi="黑体" w:cs="黑体"/>
          <w:b/>
          <w:bCs/>
          <w:spacing w:val="-6"/>
          <w:sz w:val="29"/>
          <w:szCs w:val="29"/>
        </w:rPr>
        <w:t>资产评估结果汇总表</w:t>
      </w:r>
    </w:p>
    <w:p>
      <w:pPr>
        <w:spacing w:before="50" w:line="239" w:lineRule="auto"/>
        <w:ind w:left="325" w:right="697" w:firstLine="2789"/>
        <w:rPr>
          <w:rFonts w:ascii="宋体" w:eastAsia="宋体" w:hAnsi="宋体" w:cs="宋体"/>
          <w:sz w:val="20"/>
          <w:szCs w:val="20"/>
        </w:rPr>
      </w:pPr>
      <w:r>
        <w:rPr>
          <w:rFonts w:ascii="宋体" w:eastAsia="宋体" w:hAnsi="宋体" w:cs="宋体"/>
          <w:spacing w:val="23"/>
          <w:sz w:val="18"/>
          <w:szCs w:val="18"/>
        </w:rPr>
        <w:t>评估基准日：2023年11月30日</w:t>
      </w:r>
      <w:r>
        <w:rPr>
          <w:rFonts w:ascii="宋体" w:eastAsia="宋体" w:hAnsi="宋体" w:cs="宋体"/>
          <w:sz w:val="18"/>
          <w:szCs w:val="18"/>
        </w:rPr>
        <w:t xml:space="preserve"> </w:t>
      </w:r>
      <w:r>
        <w:rPr>
          <w:rFonts w:ascii="宋体" w:eastAsia="宋体" w:hAnsi="宋体" w:cs="宋体"/>
          <w:spacing w:val="1"/>
          <w:sz w:val="20"/>
          <w:szCs w:val="20"/>
        </w:rPr>
        <w:t>被评估单位：北京中企慧云科技有限公司</w:t>
      </w:r>
    </w:p>
    <w:p>
      <w:pPr>
        <w:pStyle w:val="BodyText"/>
        <w:spacing w:line="14" w:lineRule="auto"/>
        <w:rPr>
          <w:sz w:val="2"/>
        </w:rPr>
      </w:pPr>
      <w:r>
        <w:rPr>
          <w:sz w:val="2"/>
          <w:szCs w:val="2"/>
        </w:rPr>
        <w:br w:type="column"/>
      </w:r>
    </w:p>
    <w:p>
      <w:pPr>
        <w:pStyle w:val="BodyText"/>
        <w:spacing w:line="254" w:lineRule="auto"/>
      </w:pPr>
    </w:p>
    <w:p>
      <w:pPr>
        <w:pStyle w:val="BodyText"/>
        <w:spacing w:line="254" w:lineRule="auto"/>
      </w:pPr>
    </w:p>
    <w:p>
      <w:pPr>
        <w:pStyle w:val="BodyText"/>
        <w:spacing w:line="254" w:lineRule="auto"/>
      </w:pPr>
    </w:p>
    <w:p>
      <w:pPr>
        <w:pStyle w:val="BodyText"/>
        <w:spacing w:line="255" w:lineRule="auto"/>
      </w:pPr>
    </w:p>
    <w:p>
      <w:pPr>
        <w:spacing w:before="65" w:line="184" w:lineRule="auto"/>
        <w:rPr>
          <w:rFonts w:ascii="宋体" w:eastAsia="宋体" w:hAnsi="宋体" w:cs="宋体"/>
          <w:sz w:val="20"/>
          <w:szCs w:val="20"/>
        </w:rPr>
      </w:pPr>
      <w:r>
        <w:rPr>
          <w:rFonts w:ascii="宋体" w:eastAsia="宋体" w:hAnsi="宋体" w:cs="宋体"/>
          <w:spacing w:val="-1"/>
          <w:sz w:val="20"/>
          <w:szCs w:val="20"/>
        </w:rPr>
        <w:t>金额单位：人民币万元</w:t>
      </w:r>
    </w:p>
    <w:p>
      <w:pPr>
        <w:spacing w:line="184" w:lineRule="auto"/>
        <w:rPr>
          <w:rFonts w:ascii="宋体" w:eastAsia="宋体" w:hAnsi="宋体" w:cs="宋体"/>
          <w:sz w:val="20"/>
          <w:szCs w:val="20"/>
        </w:rPr>
        <w:sectPr>
          <w:headerReference w:type="default" r:id="rId12"/>
          <w:footerReference w:type="default" r:id="rId13"/>
          <w:type w:val="continuous"/>
          <w:pgSz w:w="11910" w:h="16840"/>
          <w:pgMar w:top="1256" w:right="1504" w:bottom="1049" w:left="1425" w:header="1066" w:footer="801" w:gutter="0"/>
          <w:pgNumType w:start="6"/>
          <w:cols w:num="2" w:space="708" w:equalWidth="0">
            <w:col w:w="6545" w:space="100"/>
            <w:col w:w="2336" w:space="0"/>
          </w:cols>
        </w:sectPr>
      </w:pPr>
    </w:p>
    <w:p>
      <w:pPr>
        <w:spacing w:line="27" w:lineRule="exact"/>
      </w:pPr>
    </w:p>
    <w:tbl>
      <w:tblPr>
        <w:tblStyle w:val="TableNormal00"/>
        <w:tblW w:w="8539" w:type="dxa"/>
        <w:tblInd w:w="2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834"/>
        <w:gridCol w:w="2507"/>
        <w:gridCol w:w="1179"/>
        <w:gridCol w:w="1458"/>
        <w:gridCol w:w="1258"/>
        <w:gridCol w:w="1303"/>
      </w:tblGrid>
      <w:tr>
        <w:tblPrEx>
          <w:tblW w:w="8539" w:type="dxa"/>
          <w:tblInd w:w="2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44"/>
        </w:trPr>
        <w:tc>
          <w:tcPr>
            <w:tcW w:w="3341" w:type="dxa"/>
            <w:gridSpan w:val="2"/>
            <w:vMerge w:val="restart"/>
            <w:tcBorders>
              <w:bottom w:val="nil"/>
            </w:tcBorders>
            <w:vAlign w:val="top"/>
          </w:tcPr>
          <w:p>
            <w:pPr>
              <w:pStyle w:val="TableText"/>
              <w:spacing w:before="250" w:line="220" w:lineRule="auto"/>
              <w:ind w:left="117"/>
            </w:pPr>
            <w:r>
              <w:rPr>
                <w:b/>
                <w:bCs/>
                <w:spacing w:val="12"/>
              </w:rPr>
              <w:t>项目</w:t>
            </w:r>
          </w:p>
        </w:tc>
        <w:tc>
          <w:tcPr>
            <w:tcW w:w="1179" w:type="dxa"/>
            <w:vAlign w:val="top"/>
          </w:tcPr>
          <w:p>
            <w:pPr>
              <w:pStyle w:val="TableText"/>
              <w:spacing w:before="80" w:line="218" w:lineRule="auto"/>
              <w:ind w:left="224"/>
            </w:pPr>
            <w:r>
              <w:rPr>
                <w:spacing w:val="-2"/>
              </w:rPr>
              <w:t>账面价值</w:t>
            </w:r>
          </w:p>
        </w:tc>
        <w:tc>
          <w:tcPr>
            <w:tcW w:w="1458" w:type="dxa"/>
            <w:vAlign w:val="top"/>
          </w:tcPr>
          <w:p>
            <w:pPr>
              <w:pStyle w:val="TableText"/>
              <w:spacing w:before="80" w:line="218" w:lineRule="auto"/>
              <w:ind w:left="385"/>
            </w:pPr>
            <w:r>
              <w:rPr>
                <w:spacing w:val="-2"/>
              </w:rPr>
              <w:t>评估价值</w:t>
            </w:r>
          </w:p>
        </w:tc>
        <w:tc>
          <w:tcPr>
            <w:tcW w:w="1258" w:type="dxa"/>
            <w:vAlign w:val="top"/>
          </w:tcPr>
          <w:p>
            <w:pPr>
              <w:pStyle w:val="TableText"/>
              <w:spacing w:before="82" w:line="219" w:lineRule="auto"/>
              <w:ind w:left="357"/>
            </w:pPr>
            <w:r>
              <w:rPr>
                <w:spacing w:val="-2"/>
              </w:rPr>
              <w:t>增减值</w:t>
            </w:r>
          </w:p>
        </w:tc>
        <w:tc>
          <w:tcPr>
            <w:tcW w:w="1303" w:type="dxa"/>
            <w:vAlign w:val="top"/>
          </w:tcPr>
          <w:p>
            <w:pPr>
              <w:pStyle w:val="TableText"/>
              <w:spacing w:before="82" w:line="219" w:lineRule="auto"/>
              <w:ind w:left="298"/>
            </w:pPr>
            <w:r>
              <w:rPr>
                <w:spacing w:val="-2"/>
              </w:rPr>
              <w:t>增值率%</w:t>
            </w:r>
          </w:p>
        </w:tc>
      </w:tr>
      <w:tr>
        <w:tblPrEx>
          <w:tblW w:w="8539" w:type="dxa"/>
          <w:tblInd w:w="204" w:type="dxa"/>
          <w:tblLayout w:type="fixed"/>
          <w:tblCellMar>
            <w:top w:w="0" w:type="dxa"/>
            <w:left w:w="0" w:type="dxa"/>
            <w:bottom w:w="0" w:type="dxa"/>
            <w:right w:w="0" w:type="dxa"/>
          </w:tblCellMar>
        </w:tblPrEx>
        <w:trPr>
          <w:trHeight w:val="329"/>
        </w:trPr>
        <w:tc>
          <w:tcPr>
            <w:tcW w:w="3341" w:type="dxa"/>
            <w:gridSpan w:val="2"/>
            <w:vMerge/>
            <w:tcBorders>
              <w:top w:val="nil"/>
            </w:tcBorders>
            <w:vAlign w:val="top"/>
          </w:tcPr>
          <w:p/>
        </w:tc>
        <w:tc>
          <w:tcPr>
            <w:tcW w:w="1179" w:type="dxa"/>
            <w:vAlign w:val="top"/>
          </w:tcPr>
          <w:p>
            <w:pPr>
              <w:pStyle w:val="TableText"/>
              <w:spacing w:before="123" w:line="184" w:lineRule="auto"/>
              <w:ind w:left="983"/>
            </w:pPr>
            <w:r>
              <w:t>A</w:t>
            </w:r>
          </w:p>
        </w:tc>
        <w:tc>
          <w:tcPr>
            <w:tcW w:w="1458" w:type="dxa"/>
            <w:vAlign w:val="top"/>
          </w:tcPr>
          <w:p>
            <w:pPr>
              <w:pStyle w:val="TableText"/>
              <w:spacing w:before="125" w:line="182" w:lineRule="auto"/>
              <w:ind w:left="1275"/>
            </w:pPr>
            <w:r>
              <w:t>B</w:t>
            </w:r>
          </w:p>
        </w:tc>
        <w:tc>
          <w:tcPr>
            <w:tcW w:w="1258" w:type="dxa"/>
            <w:vAlign w:val="top"/>
          </w:tcPr>
          <w:p>
            <w:pPr>
              <w:pStyle w:val="TableText"/>
              <w:spacing w:before="122" w:line="185" w:lineRule="auto"/>
              <w:ind w:left="726"/>
            </w:pPr>
            <w:r>
              <w:rPr>
                <w:spacing w:val="-2"/>
              </w:rPr>
              <w:t>C=B-A</w:t>
            </w:r>
          </w:p>
        </w:tc>
        <w:tc>
          <w:tcPr>
            <w:tcW w:w="1303" w:type="dxa"/>
            <w:vAlign w:val="top"/>
          </w:tcPr>
          <w:p>
            <w:pPr>
              <w:pStyle w:val="TableText"/>
              <w:spacing w:before="83" w:line="224" w:lineRule="auto"/>
              <w:ind w:left="109"/>
            </w:pPr>
            <w:r>
              <w:rPr>
                <w:spacing w:val="-1"/>
              </w:rPr>
              <w:t>D=C/A×100%</w:t>
            </w:r>
          </w:p>
        </w:tc>
      </w:tr>
      <w:tr>
        <w:tblPrEx>
          <w:tblW w:w="8539" w:type="dxa"/>
          <w:tblInd w:w="204" w:type="dxa"/>
          <w:tblLayout w:type="fixed"/>
          <w:tblCellMar>
            <w:top w:w="0" w:type="dxa"/>
            <w:left w:w="0" w:type="dxa"/>
            <w:bottom w:w="0" w:type="dxa"/>
            <w:right w:w="0" w:type="dxa"/>
          </w:tblCellMar>
        </w:tblPrEx>
        <w:trPr>
          <w:trHeight w:val="350"/>
        </w:trPr>
        <w:tc>
          <w:tcPr>
            <w:tcW w:w="834" w:type="dxa"/>
            <w:vAlign w:val="top"/>
          </w:tcPr>
          <w:p>
            <w:pPr>
              <w:pStyle w:val="TableText"/>
              <w:spacing w:before="134" w:line="184" w:lineRule="auto"/>
              <w:ind w:left="365"/>
            </w:pPr>
            <w:r>
              <w:t>1</w:t>
            </w:r>
          </w:p>
        </w:tc>
        <w:tc>
          <w:tcPr>
            <w:tcW w:w="2507" w:type="dxa"/>
            <w:vAlign w:val="top"/>
          </w:tcPr>
          <w:p>
            <w:pPr>
              <w:pStyle w:val="TableText"/>
              <w:spacing w:before="86" w:line="219" w:lineRule="auto"/>
              <w:ind w:left="113"/>
            </w:pPr>
            <w:r>
              <w:rPr>
                <w:b/>
                <w:bCs/>
                <w:spacing w:val="-4"/>
              </w:rPr>
              <w:t>流动资产</w:t>
            </w:r>
          </w:p>
        </w:tc>
        <w:tc>
          <w:tcPr>
            <w:tcW w:w="1179" w:type="dxa"/>
            <w:vAlign w:val="top"/>
          </w:tcPr>
          <w:p>
            <w:pPr>
              <w:pStyle w:val="TableText"/>
              <w:spacing w:before="113" w:line="184" w:lineRule="auto"/>
              <w:ind w:left="353"/>
            </w:pPr>
            <w:r>
              <w:rPr>
                <w:spacing w:val="-3"/>
              </w:rPr>
              <w:t>1,184.24</w:t>
            </w:r>
          </w:p>
        </w:tc>
        <w:tc>
          <w:tcPr>
            <w:tcW w:w="1458" w:type="dxa"/>
            <w:vAlign w:val="top"/>
          </w:tcPr>
          <w:p>
            <w:pPr>
              <w:pStyle w:val="TableText"/>
              <w:spacing w:before="113" w:line="184" w:lineRule="auto"/>
              <w:ind w:left="645"/>
            </w:pPr>
            <w:r>
              <w:rPr>
                <w:spacing w:val="-3"/>
              </w:rPr>
              <w:t>1,184.24</w:t>
            </w:r>
          </w:p>
        </w:tc>
        <w:tc>
          <w:tcPr>
            <w:tcW w:w="1258" w:type="dxa"/>
            <w:vAlign w:val="top"/>
          </w:tcPr>
          <w:p/>
        </w:tc>
        <w:tc>
          <w:tcPr>
            <w:tcW w:w="1303" w:type="dxa"/>
            <w:vAlign w:val="top"/>
          </w:tcPr>
          <w:p/>
        </w:tc>
      </w:tr>
      <w:tr>
        <w:tblPrEx>
          <w:tblW w:w="8539" w:type="dxa"/>
          <w:tblInd w:w="204" w:type="dxa"/>
          <w:tblLayout w:type="fixed"/>
          <w:tblCellMar>
            <w:top w:w="0" w:type="dxa"/>
            <w:left w:w="0" w:type="dxa"/>
            <w:bottom w:w="0" w:type="dxa"/>
            <w:right w:w="0" w:type="dxa"/>
          </w:tblCellMar>
        </w:tblPrEx>
        <w:trPr>
          <w:trHeight w:val="329"/>
        </w:trPr>
        <w:tc>
          <w:tcPr>
            <w:tcW w:w="834" w:type="dxa"/>
            <w:vAlign w:val="top"/>
          </w:tcPr>
          <w:p>
            <w:pPr>
              <w:pStyle w:val="TableText"/>
              <w:spacing w:before="125" w:line="183" w:lineRule="auto"/>
              <w:ind w:left="365"/>
            </w:pPr>
            <w:r>
              <w:t>2</w:t>
            </w:r>
          </w:p>
        </w:tc>
        <w:tc>
          <w:tcPr>
            <w:tcW w:w="2507" w:type="dxa"/>
            <w:vAlign w:val="top"/>
          </w:tcPr>
          <w:p>
            <w:pPr>
              <w:pStyle w:val="TableText"/>
              <w:spacing w:before="76" w:line="219" w:lineRule="auto"/>
              <w:ind w:left="113"/>
            </w:pPr>
            <w:r>
              <w:rPr>
                <w:b/>
                <w:bCs/>
                <w:spacing w:val="-4"/>
              </w:rPr>
              <w:t>非流动资产</w:t>
            </w:r>
          </w:p>
        </w:tc>
        <w:tc>
          <w:tcPr>
            <w:tcW w:w="1179" w:type="dxa"/>
            <w:vAlign w:val="top"/>
          </w:tcPr>
          <w:p>
            <w:pPr>
              <w:pStyle w:val="TableText"/>
              <w:spacing w:before="125" w:line="183" w:lineRule="auto"/>
              <w:ind w:left="623"/>
            </w:pPr>
            <w:r>
              <w:rPr>
                <w:spacing w:val="-2"/>
              </w:rPr>
              <w:t>35.27</w:t>
            </w:r>
          </w:p>
        </w:tc>
        <w:tc>
          <w:tcPr>
            <w:tcW w:w="1458" w:type="dxa"/>
            <w:vAlign w:val="top"/>
          </w:tcPr>
          <w:p>
            <w:pPr>
              <w:pStyle w:val="TableText"/>
              <w:spacing w:before="104" w:line="183" w:lineRule="auto"/>
              <w:ind w:left="554"/>
            </w:pPr>
            <w:r>
              <w:rPr>
                <w:spacing w:val="-2"/>
              </w:rPr>
              <w:t>29,930.54</w:t>
            </w:r>
          </w:p>
        </w:tc>
        <w:tc>
          <w:tcPr>
            <w:tcW w:w="1258" w:type="dxa"/>
            <w:vAlign w:val="top"/>
          </w:tcPr>
          <w:p>
            <w:pPr>
              <w:pStyle w:val="TableText"/>
              <w:spacing w:before="104" w:line="183" w:lineRule="auto"/>
              <w:ind w:left="367"/>
            </w:pPr>
            <w:r>
              <w:rPr>
                <w:spacing w:val="-2"/>
              </w:rPr>
              <w:t>29,895.27</w:t>
            </w:r>
          </w:p>
        </w:tc>
        <w:tc>
          <w:tcPr>
            <w:tcW w:w="1303" w:type="dxa"/>
            <w:vAlign w:val="top"/>
          </w:tcPr>
          <w:p>
            <w:pPr>
              <w:pStyle w:val="TableText"/>
              <w:spacing w:before="103" w:line="184" w:lineRule="auto"/>
              <w:ind w:left="419"/>
            </w:pPr>
            <w:r>
              <w:rPr>
                <w:spacing w:val="-1"/>
              </w:rPr>
              <w:t>84,761.19</w:t>
            </w:r>
          </w:p>
        </w:tc>
      </w:tr>
      <w:tr>
        <w:tblPrEx>
          <w:tblW w:w="8539" w:type="dxa"/>
          <w:tblInd w:w="204" w:type="dxa"/>
          <w:tblLayout w:type="fixed"/>
          <w:tblCellMar>
            <w:top w:w="0" w:type="dxa"/>
            <w:left w:w="0" w:type="dxa"/>
            <w:bottom w:w="0" w:type="dxa"/>
            <w:right w:w="0" w:type="dxa"/>
          </w:tblCellMar>
        </w:tblPrEx>
        <w:trPr>
          <w:trHeight w:val="339"/>
        </w:trPr>
        <w:tc>
          <w:tcPr>
            <w:tcW w:w="834" w:type="dxa"/>
            <w:vAlign w:val="top"/>
          </w:tcPr>
          <w:p>
            <w:pPr>
              <w:pStyle w:val="TableText"/>
              <w:spacing w:before="126" w:line="183" w:lineRule="auto"/>
              <w:ind w:left="365"/>
            </w:pPr>
            <w:r>
              <w:t>3</w:t>
            </w:r>
          </w:p>
        </w:tc>
        <w:tc>
          <w:tcPr>
            <w:tcW w:w="2507" w:type="dxa"/>
            <w:vAlign w:val="top"/>
          </w:tcPr>
          <w:p>
            <w:pPr>
              <w:pStyle w:val="TableText"/>
              <w:spacing w:before="79" w:line="219" w:lineRule="auto"/>
              <w:ind w:left="110"/>
            </w:pPr>
            <w:r>
              <w:rPr>
                <w:spacing w:val="-1"/>
              </w:rPr>
              <w:t>其中：可供出售金融资产</w:t>
            </w:r>
          </w:p>
        </w:tc>
        <w:tc>
          <w:tcPr>
            <w:tcW w:w="1179" w:type="dxa"/>
            <w:vAlign w:val="top"/>
          </w:tcPr>
          <w:p/>
        </w:tc>
        <w:tc>
          <w:tcPr>
            <w:tcW w:w="1458" w:type="dxa"/>
            <w:vAlign w:val="top"/>
          </w:tcPr>
          <w:p/>
        </w:tc>
        <w:tc>
          <w:tcPr>
            <w:tcW w:w="1258" w:type="dxa"/>
            <w:vAlign w:val="top"/>
          </w:tcPr>
          <w:p/>
        </w:tc>
        <w:tc>
          <w:tcPr>
            <w:tcW w:w="1303" w:type="dxa"/>
            <w:vAlign w:val="top"/>
          </w:tcPr>
          <w:p/>
        </w:tc>
      </w:tr>
      <w:tr>
        <w:tblPrEx>
          <w:tblW w:w="8539" w:type="dxa"/>
          <w:tblInd w:w="204" w:type="dxa"/>
          <w:tblLayout w:type="fixed"/>
          <w:tblCellMar>
            <w:top w:w="0" w:type="dxa"/>
            <w:left w:w="0" w:type="dxa"/>
            <w:bottom w:w="0" w:type="dxa"/>
            <w:right w:w="0" w:type="dxa"/>
          </w:tblCellMar>
        </w:tblPrEx>
        <w:trPr>
          <w:trHeight w:val="350"/>
        </w:trPr>
        <w:tc>
          <w:tcPr>
            <w:tcW w:w="834" w:type="dxa"/>
            <w:vAlign w:val="top"/>
          </w:tcPr>
          <w:p>
            <w:pPr>
              <w:pStyle w:val="TableText"/>
              <w:spacing w:before="137" w:line="183" w:lineRule="auto"/>
              <w:ind w:left="365"/>
            </w:pPr>
            <w:r>
              <w:t>4</w:t>
            </w:r>
          </w:p>
        </w:tc>
        <w:tc>
          <w:tcPr>
            <w:tcW w:w="2507" w:type="dxa"/>
            <w:vAlign w:val="top"/>
          </w:tcPr>
          <w:p>
            <w:pPr>
              <w:pStyle w:val="TableText"/>
              <w:spacing w:before="91" w:line="219" w:lineRule="auto"/>
              <w:ind w:left="110"/>
            </w:pPr>
            <w:r>
              <w:rPr>
                <w:spacing w:val="2"/>
              </w:rPr>
              <w:t>长期股权投资</w:t>
            </w:r>
          </w:p>
        </w:tc>
        <w:tc>
          <w:tcPr>
            <w:tcW w:w="1179" w:type="dxa"/>
            <w:vAlign w:val="top"/>
          </w:tcPr>
          <w:p/>
        </w:tc>
        <w:tc>
          <w:tcPr>
            <w:tcW w:w="1458" w:type="dxa"/>
            <w:vAlign w:val="top"/>
          </w:tcPr>
          <w:p/>
        </w:tc>
        <w:tc>
          <w:tcPr>
            <w:tcW w:w="1258" w:type="dxa"/>
            <w:vAlign w:val="top"/>
          </w:tcPr>
          <w:p/>
        </w:tc>
        <w:tc>
          <w:tcPr>
            <w:tcW w:w="1303" w:type="dxa"/>
            <w:vAlign w:val="top"/>
          </w:tcPr>
          <w:p/>
        </w:tc>
      </w:tr>
      <w:tr>
        <w:tblPrEx>
          <w:tblW w:w="8539" w:type="dxa"/>
          <w:tblInd w:w="204" w:type="dxa"/>
          <w:tblLayout w:type="fixed"/>
          <w:tblCellMar>
            <w:top w:w="0" w:type="dxa"/>
            <w:left w:w="0" w:type="dxa"/>
            <w:bottom w:w="0" w:type="dxa"/>
            <w:right w:w="0" w:type="dxa"/>
          </w:tblCellMar>
        </w:tblPrEx>
        <w:trPr>
          <w:trHeight w:val="339"/>
        </w:trPr>
        <w:tc>
          <w:tcPr>
            <w:tcW w:w="834" w:type="dxa"/>
            <w:vAlign w:val="top"/>
          </w:tcPr>
          <w:p>
            <w:pPr>
              <w:pStyle w:val="TableText"/>
              <w:spacing w:before="128" w:line="182" w:lineRule="auto"/>
              <w:ind w:left="365"/>
            </w:pPr>
            <w:r>
              <w:t>5</w:t>
            </w:r>
          </w:p>
        </w:tc>
        <w:tc>
          <w:tcPr>
            <w:tcW w:w="2507" w:type="dxa"/>
            <w:vAlign w:val="top"/>
          </w:tcPr>
          <w:p>
            <w:pPr>
              <w:pStyle w:val="TableText"/>
              <w:spacing w:before="81" w:line="219" w:lineRule="auto"/>
              <w:ind w:left="110"/>
            </w:pPr>
            <w:r>
              <w:rPr>
                <w:spacing w:val="2"/>
              </w:rPr>
              <w:t>固定资产</w:t>
            </w:r>
          </w:p>
        </w:tc>
        <w:tc>
          <w:tcPr>
            <w:tcW w:w="1179" w:type="dxa"/>
            <w:vAlign w:val="top"/>
          </w:tcPr>
          <w:p>
            <w:pPr>
              <w:pStyle w:val="TableText"/>
              <w:spacing w:before="126" w:line="184" w:lineRule="auto"/>
              <w:ind w:left="623"/>
            </w:pPr>
            <w:r>
              <w:rPr>
                <w:spacing w:val="-4"/>
              </w:rPr>
              <w:t>15.86</w:t>
            </w:r>
          </w:p>
        </w:tc>
        <w:tc>
          <w:tcPr>
            <w:tcW w:w="1458" w:type="dxa"/>
            <w:vAlign w:val="top"/>
          </w:tcPr>
          <w:p>
            <w:pPr>
              <w:pStyle w:val="TableText"/>
              <w:spacing w:before="127" w:line="183" w:lineRule="auto"/>
              <w:ind w:left="915"/>
            </w:pPr>
            <w:r>
              <w:rPr>
                <w:spacing w:val="-2"/>
              </w:rPr>
              <w:t>20.93</w:t>
            </w:r>
          </w:p>
        </w:tc>
        <w:tc>
          <w:tcPr>
            <w:tcW w:w="1258" w:type="dxa"/>
            <w:vAlign w:val="top"/>
          </w:tcPr>
          <w:p>
            <w:pPr>
              <w:pStyle w:val="TableText"/>
              <w:spacing w:before="127" w:line="183" w:lineRule="auto"/>
              <w:ind w:left="817"/>
            </w:pPr>
            <w:r>
              <w:rPr>
                <w:spacing w:val="-2"/>
              </w:rPr>
              <w:t>5.07</w:t>
            </w:r>
          </w:p>
        </w:tc>
        <w:tc>
          <w:tcPr>
            <w:tcW w:w="1303" w:type="dxa"/>
            <w:vAlign w:val="top"/>
          </w:tcPr>
          <w:p>
            <w:pPr>
              <w:pStyle w:val="TableText"/>
              <w:spacing w:before="126" w:line="184" w:lineRule="auto"/>
              <w:ind w:left="778"/>
            </w:pPr>
            <w:r>
              <w:rPr>
                <w:spacing w:val="-2"/>
              </w:rPr>
              <w:t>31.97</w:t>
            </w:r>
          </w:p>
        </w:tc>
      </w:tr>
      <w:tr>
        <w:tblPrEx>
          <w:tblW w:w="8539" w:type="dxa"/>
          <w:tblInd w:w="204" w:type="dxa"/>
          <w:tblLayout w:type="fixed"/>
          <w:tblCellMar>
            <w:top w:w="0" w:type="dxa"/>
            <w:left w:w="0" w:type="dxa"/>
            <w:bottom w:w="0" w:type="dxa"/>
            <w:right w:w="0" w:type="dxa"/>
          </w:tblCellMar>
        </w:tblPrEx>
        <w:trPr>
          <w:trHeight w:val="340"/>
        </w:trPr>
        <w:tc>
          <w:tcPr>
            <w:tcW w:w="834" w:type="dxa"/>
            <w:vAlign w:val="top"/>
          </w:tcPr>
          <w:p>
            <w:pPr>
              <w:pStyle w:val="TableText"/>
              <w:spacing w:before="128" w:line="183" w:lineRule="auto"/>
              <w:ind w:left="365"/>
            </w:pPr>
            <w:r>
              <w:t>6</w:t>
            </w:r>
          </w:p>
        </w:tc>
        <w:tc>
          <w:tcPr>
            <w:tcW w:w="2507" w:type="dxa"/>
            <w:vAlign w:val="top"/>
          </w:tcPr>
          <w:p>
            <w:pPr>
              <w:pStyle w:val="TableText"/>
              <w:spacing w:before="82" w:line="220" w:lineRule="auto"/>
              <w:ind w:left="110"/>
            </w:pPr>
            <w:r>
              <w:rPr>
                <w:spacing w:val="-2"/>
              </w:rPr>
              <w:t>在建工程</w:t>
            </w:r>
          </w:p>
        </w:tc>
        <w:tc>
          <w:tcPr>
            <w:tcW w:w="1179" w:type="dxa"/>
            <w:vAlign w:val="top"/>
          </w:tcPr>
          <w:p/>
        </w:tc>
        <w:tc>
          <w:tcPr>
            <w:tcW w:w="1458" w:type="dxa"/>
            <w:vAlign w:val="top"/>
          </w:tcPr>
          <w:p/>
        </w:tc>
        <w:tc>
          <w:tcPr>
            <w:tcW w:w="1258" w:type="dxa"/>
            <w:vAlign w:val="top"/>
          </w:tcPr>
          <w:p/>
        </w:tc>
        <w:tc>
          <w:tcPr>
            <w:tcW w:w="1303" w:type="dxa"/>
            <w:vAlign w:val="top"/>
          </w:tcPr>
          <w:p/>
        </w:tc>
      </w:tr>
      <w:tr>
        <w:tblPrEx>
          <w:tblW w:w="8539" w:type="dxa"/>
          <w:tblInd w:w="204" w:type="dxa"/>
          <w:tblLayout w:type="fixed"/>
          <w:tblCellMar>
            <w:top w:w="0" w:type="dxa"/>
            <w:left w:w="0" w:type="dxa"/>
            <w:bottom w:w="0" w:type="dxa"/>
            <w:right w:w="0" w:type="dxa"/>
          </w:tblCellMar>
        </w:tblPrEx>
        <w:trPr>
          <w:trHeight w:val="329"/>
        </w:trPr>
        <w:tc>
          <w:tcPr>
            <w:tcW w:w="834" w:type="dxa"/>
            <w:vAlign w:val="top"/>
          </w:tcPr>
          <w:p>
            <w:pPr>
              <w:pStyle w:val="TableText"/>
              <w:spacing w:before="129" w:line="182" w:lineRule="auto"/>
              <w:ind w:left="365"/>
            </w:pPr>
            <w:r>
              <w:t>7</w:t>
            </w:r>
          </w:p>
        </w:tc>
        <w:tc>
          <w:tcPr>
            <w:tcW w:w="2507" w:type="dxa"/>
            <w:vAlign w:val="top"/>
          </w:tcPr>
          <w:p>
            <w:pPr>
              <w:pStyle w:val="TableText"/>
              <w:spacing w:before="82" w:line="219" w:lineRule="auto"/>
              <w:ind w:left="110"/>
            </w:pPr>
            <w:r>
              <w:rPr>
                <w:spacing w:val="-2"/>
              </w:rPr>
              <w:t>无形资产</w:t>
            </w:r>
          </w:p>
        </w:tc>
        <w:tc>
          <w:tcPr>
            <w:tcW w:w="1179" w:type="dxa"/>
            <w:vAlign w:val="top"/>
          </w:tcPr>
          <w:p/>
        </w:tc>
        <w:tc>
          <w:tcPr>
            <w:tcW w:w="1458" w:type="dxa"/>
            <w:vAlign w:val="top"/>
          </w:tcPr>
          <w:p>
            <w:pPr>
              <w:pStyle w:val="TableText"/>
              <w:spacing w:before="107" w:line="183" w:lineRule="auto"/>
              <w:ind w:left="554"/>
            </w:pPr>
            <w:r>
              <w:rPr>
                <w:spacing w:val="-2"/>
              </w:rPr>
              <w:t>29,890.20</w:t>
            </w:r>
          </w:p>
        </w:tc>
        <w:tc>
          <w:tcPr>
            <w:tcW w:w="1258" w:type="dxa"/>
            <w:vAlign w:val="top"/>
          </w:tcPr>
          <w:p>
            <w:pPr>
              <w:pStyle w:val="TableText"/>
              <w:spacing w:before="107" w:line="183" w:lineRule="auto"/>
              <w:ind w:left="367"/>
            </w:pPr>
            <w:r>
              <w:rPr>
                <w:spacing w:val="-2"/>
              </w:rPr>
              <w:t>29,890.20</w:t>
            </w:r>
          </w:p>
        </w:tc>
        <w:tc>
          <w:tcPr>
            <w:tcW w:w="1303" w:type="dxa"/>
            <w:vAlign w:val="top"/>
          </w:tcPr>
          <w:p/>
        </w:tc>
      </w:tr>
      <w:tr>
        <w:tblPrEx>
          <w:tblW w:w="8539" w:type="dxa"/>
          <w:tblInd w:w="204" w:type="dxa"/>
          <w:tblLayout w:type="fixed"/>
          <w:tblCellMar>
            <w:top w:w="0" w:type="dxa"/>
            <w:left w:w="0" w:type="dxa"/>
            <w:bottom w:w="0" w:type="dxa"/>
            <w:right w:w="0" w:type="dxa"/>
          </w:tblCellMar>
        </w:tblPrEx>
        <w:trPr>
          <w:trHeight w:val="339"/>
        </w:trPr>
        <w:tc>
          <w:tcPr>
            <w:tcW w:w="834" w:type="dxa"/>
            <w:vAlign w:val="top"/>
          </w:tcPr>
          <w:p>
            <w:pPr>
              <w:pStyle w:val="TableText"/>
              <w:spacing w:before="129" w:line="183" w:lineRule="auto"/>
              <w:ind w:left="365"/>
            </w:pPr>
            <w:r>
              <w:t>8</w:t>
            </w:r>
          </w:p>
        </w:tc>
        <w:tc>
          <w:tcPr>
            <w:tcW w:w="2507" w:type="dxa"/>
            <w:vAlign w:val="top"/>
          </w:tcPr>
          <w:p>
            <w:pPr>
              <w:pStyle w:val="TableText"/>
              <w:spacing w:before="83" w:line="219" w:lineRule="auto"/>
              <w:ind w:left="110"/>
            </w:pPr>
            <w:r>
              <w:rPr>
                <w:spacing w:val="3"/>
              </w:rPr>
              <w:t>长期待摊费用</w:t>
            </w:r>
          </w:p>
        </w:tc>
        <w:tc>
          <w:tcPr>
            <w:tcW w:w="1179" w:type="dxa"/>
            <w:vAlign w:val="top"/>
          </w:tcPr>
          <w:p>
            <w:pPr>
              <w:pStyle w:val="TableText"/>
              <w:spacing w:before="128" w:line="184" w:lineRule="auto"/>
              <w:ind w:left="623"/>
            </w:pPr>
            <w:r>
              <w:rPr>
                <w:spacing w:val="-4"/>
              </w:rPr>
              <w:t>19.41</w:t>
            </w:r>
          </w:p>
        </w:tc>
        <w:tc>
          <w:tcPr>
            <w:tcW w:w="1458" w:type="dxa"/>
            <w:vAlign w:val="top"/>
          </w:tcPr>
          <w:p>
            <w:pPr>
              <w:pStyle w:val="TableText"/>
              <w:spacing w:before="128" w:line="184" w:lineRule="auto"/>
              <w:ind w:left="915"/>
            </w:pPr>
            <w:r>
              <w:rPr>
                <w:spacing w:val="-4"/>
              </w:rPr>
              <w:t>19.41</w:t>
            </w:r>
          </w:p>
        </w:tc>
        <w:tc>
          <w:tcPr>
            <w:tcW w:w="1258" w:type="dxa"/>
            <w:vAlign w:val="top"/>
          </w:tcPr>
          <w:p/>
        </w:tc>
        <w:tc>
          <w:tcPr>
            <w:tcW w:w="1303" w:type="dxa"/>
            <w:vAlign w:val="top"/>
          </w:tcPr>
          <w:p/>
        </w:tc>
      </w:tr>
      <w:tr>
        <w:tblPrEx>
          <w:tblW w:w="8539" w:type="dxa"/>
          <w:tblInd w:w="204" w:type="dxa"/>
          <w:tblLayout w:type="fixed"/>
          <w:tblCellMar>
            <w:top w:w="0" w:type="dxa"/>
            <w:left w:w="0" w:type="dxa"/>
            <w:bottom w:w="0" w:type="dxa"/>
            <w:right w:w="0" w:type="dxa"/>
          </w:tblCellMar>
        </w:tblPrEx>
        <w:trPr>
          <w:trHeight w:val="340"/>
        </w:trPr>
        <w:tc>
          <w:tcPr>
            <w:tcW w:w="834" w:type="dxa"/>
            <w:vAlign w:val="top"/>
          </w:tcPr>
          <w:p>
            <w:pPr>
              <w:pStyle w:val="TableText"/>
              <w:spacing w:before="130" w:line="183" w:lineRule="auto"/>
              <w:ind w:left="365"/>
            </w:pPr>
            <w:r>
              <w:t>9</w:t>
            </w:r>
          </w:p>
        </w:tc>
        <w:tc>
          <w:tcPr>
            <w:tcW w:w="2507" w:type="dxa"/>
            <w:vAlign w:val="top"/>
          </w:tcPr>
          <w:p>
            <w:pPr>
              <w:pStyle w:val="TableText"/>
              <w:spacing w:before="84" w:line="219" w:lineRule="auto"/>
              <w:ind w:left="110"/>
            </w:pPr>
            <w:r>
              <w:rPr>
                <w:spacing w:val="-1"/>
              </w:rPr>
              <w:t>递延所得税资产</w:t>
            </w:r>
          </w:p>
        </w:tc>
        <w:tc>
          <w:tcPr>
            <w:tcW w:w="1179" w:type="dxa"/>
            <w:vAlign w:val="top"/>
          </w:tcPr>
          <w:p/>
        </w:tc>
        <w:tc>
          <w:tcPr>
            <w:tcW w:w="1458" w:type="dxa"/>
            <w:vAlign w:val="top"/>
          </w:tcPr>
          <w:p/>
        </w:tc>
        <w:tc>
          <w:tcPr>
            <w:tcW w:w="1258" w:type="dxa"/>
            <w:vAlign w:val="top"/>
          </w:tcPr>
          <w:p/>
        </w:tc>
        <w:tc>
          <w:tcPr>
            <w:tcW w:w="1303" w:type="dxa"/>
            <w:vAlign w:val="top"/>
          </w:tcPr>
          <w:p/>
        </w:tc>
      </w:tr>
      <w:tr>
        <w:tblPrEx>
          <w:tblW w:w="8539" w:type="dxa"/>
          <w:tblInd w:w="204" w:type="dxa"/>
          <w:tblLayout w:type="fixed"/>
          <w:tblCellMar>
            <w:top w:w="0" w:type="dxa"/>
            <w:left w:w="0" w:type="dxa"/>
            <w:bottom w:w="0" w:type="dxa"/>
            <w:right w:w="0" w:type="dxa"/>
          </w:tblCellMar>
        </w:tblPrEx>
        <w:trPr>
          <w:trHeight w:val="339"/>
        </w:trPr>
        <w:tc>
          <w:tcPr>
            <w:tcW w:w="834" w:type="dxa"/>
            <w:vAlign w:val="top"/>
          </w:tcPr>
          <w:p>
            <w:pPr>
              <w:pStyle w:val="TableText"/>
              <w:spacing w:before="129" w:line="184" w:lineRule="auto"/>
              <w:ind w:left="315"/>
            </w:pPr>
            <w:r>
              <w:rPr>
                <w:spacing w:val="-6"/>
              </w:rPr>
              <w:t>10</w:t>
            </w:r>
          </w:p>
        </w:tc>
        <w:tc>
          <w:tcPr>
            <w:tcW w:w="2507" w:type="dxa"/>
            <w:vAlign w:val="top"/>
          </w:tcPr>
          <w:p>
            <w:pPr>
              <w:pStyle w:val="TableText"/>
              <w:spacing w:before="84" w:line="219" w:lineRule="auto"/>
              <w:ind w:left="110"/>
            </w:pPr>
            <w:r>
              <w:rPr>
                <w:spacing w:val="-1"/>
              </w:rPr>
              <w:t>其他非流动资产</w:t>
            </w:r>
          </w:p>
        </w:tc>
        <w:tc>
          <w:tcPr>
            <w:tcW w:w="1179" w:type="dxa"/>
            <w:vAlign w:val="top"/>
          </w:tcPr>
          <w:p/>
        </w:tc>
        <w:tc>
          <w:tcPr>
            <w:tcW w:w="1458" w:type="dxa"/>
            <w:vAlign w:val="top"/>
          </w:tcPr>
          <w:p/>
        </w:tc>
        <w:tc>
          <w:tcPr>
            <w:tcW w:w="1258" w:type="dxa"/>
            <w:vAlign w:val="top"/>
          </w:tcPr>
          <w:p/>
        </w:tc>
        <w:tc>
          <w:tcPr>
            <w:tcW w:w="1303" w:type="dxa"/>
            <w:vAlign w:val="top"/>
          </w:tcPr>
          <w:p/>
        </w:tc>
      </w:tr>
      <w:tr>
        <w:tblPrEx>
          <w:tblW w:w="8539" w:type="dxa"/>
          <w:tblInd w:w="204" w:type="dxa"/>
          <w:tblLayout w:type="fixed"/>
          <w:tblCellMar>
            <w:top w:w="0" w:type="dxa"/>
            <w:left w:w="0" w:type="dxa"/>
            <w:bottom w:w="0" w:type="dxa"/>
            <w:right w:w="0" w:type="dxa"/>
          </w:tblCellMar>
        </w:tblPrEx>
        <w:trPr>
          <w:trHeight w:val="339"/>
        </w:trPr>
        <w:tc>
          <w:tcPr>
            <w:tcW w:w="834" w:type="dxa"/>
            <w:vAlign w:val="top"/>
          </w:tcPr>
          <w:p>
            <w:pPr>
              <w:pStyle w:val="TableText"/>
              <w:spacing w:before="130" w:line="184" w:lineRule="auto"/>
              <w:ind w:left="315"/>
            </w:pPr>
            <w:r>
              <w:rPr>
                <w:spacing w:val="-6"/>
              </w:rPr>
              <w:t>11</w:t>
            </w:r>
          </w:p>
        </w:tc>
        <w:tc>
          <w:tcPr>
            <w:tcW w:w="2507" w:type="dxa"/>
            <w:vAlign w:val="top"/>
          </w:tcPr>
          <w:p>
            <w:pPr>
              <w:pStyle w:val="TableText"/>
              <w:spacing w:before="82" w:line="219" w:lineRule="auto"/>
              <w:ind w:left="113"/>
            </w:pPr>
            <w:r>
              <w:rPr>
                <w:b/>
                <w:bCs/>
                <w:spacing w:val="-5"/>
              </w:rPr>
              <w:t>资产总计</w:t>
            </w:r>
          </w:p>
        </w:tc>
        <w:tc>
          <w:tcPr>
            <w:tcW w:w="1179" w:type="dxa"/>
            <w:vAlign w:val="top"/>
          </w:tcPr>
          <w:p>
            <w:pPr>
              <w:pStyle w:val="TableText"/>
              <w:spacing w:before="107" w:line="184" w:lineRule="auto"/>
              <w:ind w:left="356"/>
            </w:pPr>
            <w:r>
              <w:rPr>
                <w:b/>
                <w:bCs/>
                <w:spacing w:val="-5"/>
              </w:rPr>
              <w:t>1,219.51</w:t>
            </w:r>
          </w:p>
        </w:tc>
        <w:tc>
          <w:tcPr>
            <w:tcW w:w="1458" w:type="dxa"/>
            <w:vAlign w:val="top"/>
          </w:tcPr>
          <w:p>
            <w:pPr>
              <w:pStyle w:val="TableText"/>
              <w:spacing w:before="107" w:line="184" w:lineRule="auto"/>
              <w:ind w:left="557"/>
            </w:pPr>
            <w:r>
              <w:rPr>
                <w:b/>
                <w:bCs/>
                <w:spacing w:val="-4"/>
              </w:rPr>
              <w:t>31,114.78</w:t>
            </w:r>
          </w:p>
        </w:tc>
        <w:tc>
          <w:tcPr>
            <w:tcW w:w="1258" w:type="dxa"/>
            <w:vAlign w:val="top"/>
          </w:tcPr>
          <w:p>
            <w:pPr>
              <w:pStyle w:val="TableText"/>
              <w:spacing w:before="108" w:line="183" w:lineRule="auto"/>
              <w:ind w:left="369"/>
            </w:pPr>
            <w:r>
              <w:rPr>
                <w:b/>
                <w:bCs/>
                <w:spacing w:val="-3"/>
              </w:rPr>
              <w:t>29,895.27</w:t>
            </w:r>
          </w:p>
        </w:tc>
        <w:tc>
          <w:tcPr>
            <w:tcW w:w="1303" w:type="dxa"/>
            <w:vAlign w:val="top"/>
          </w:tcPr>
          <w:p>
            <w:pPr>
              <w:pStyle w:val="TableText"/>
              <w:spacing w:before="107" w:line="184" w:lineRule="auto"/>
              <w:ind w:left="511"/>
            </w:pPr>
            <w:r>
              <w:rPr>
                <w:b/>
                <w:bCs/>
                <w:spacing w:val="-4"/>
              </w:rPr>
              <w:t>2,451.42</w:t>
            </w:r>
          </w:p>
        </w:tc>
      </w:tr>
      <w:tr>
        <w:tblPrEx>
          <w:tblW w:w="8539" w:type="dxa"/>
          <w:tblInd w:w="204" w:type="dxa"/>
          <w:tblLayout w:type="fixed"/>
          <w:tblCellMar>
            <w:top w:w="0" w:type="dxa"/>
            <w:left w:w="0" w:type="dxa"/>
            <w:bottom w:w="0" w:type="dxa"/>
            <w:right w:w="0" w:type="dxa"/>
          </w:tblCellMar>
        </w:tblPrEx>
        <w:trPr>
          <w:trHeight w:val="340"/>
        </w:trPr>
        <w:tc>
          <w:tcPr>
            <w:tcW w:w="834" w:type="dxa"/>
            <w:vAlign w:val="top"/>
          </w:tcPr>
          <w:p>
            <w:pPr>
              <w:pStyle w:val="TableText"/>
              <w:spacing w:before="131" w:line="184" w:lineRule="auto"/>
              <w:ind w:left="315"/>
            </w:pPr>
            <w:r>
              <w:rPr>
                <w:spacing w:val="-6"/>
              </w:rPr>
              <w:t>12</w:t>
            </w:r>
          </w:p>
        </w:tc>
        <w:tc>
          <w:tcPr>
            <w:tcW w:w="2507" w:type="dxa"/>
            <w:vAlign w:val="top"/>
          </w:tcPr>
          <w:p>
            <w:pPr>
              <w:pStyle w:val="TableText"/>
              <w:spacing w:before="86" w:line="219" w:lineRule="auto"/>
              <w:ind w:left="110"/>
            </w:pPr>
            <w:r>
              <w:rPr>
                <w:spacing w:val="-2"/>
              </w:rPr>
              <w:t>流动负债</w:t>
            </w:r>
          </w:p>
        </w:tc>
        <w:tc>
          <w:tcPr>
            <w:tcW w:w="1179" w:type="dxa"/>
            <w:vAlign w:val="top"/>
          </w:tcPr>
          <w:p>
            <w:pPr>
              <w:pStyle w:val="TableText"/>
              <w:spacing w:before="131" w:line="184" w:lineRule="auto"/>
              <w:ind w:left="623"/>
            </w:pPr>
            <w:r>
              <w:rPr>
                <w:spacing w:val="-4"/>
              </w:rPr>
              <w:t>13.50</w:t>
            </w:r>
          </w:p>
        </w:tc>
        <w:tc>
          <w:tcPr>
            <w:tcW w:w="1458" w:type="dxa"/>
            <w:vAlign w:val="top"/>
          </w:tcPr>
          <w:p>
            <w:pPr>
              <w:pStyle w:val="TableText"/>
              <w:spacing w:before="131" w:line="184" w:lineRule="auto"/>
              <w:ind w:left="915"/>
            </w:pPr>
            <w:r>
              <w:rPr>
                <w:spacing w:val="-4"/>
              </w:rPr>
              <w:t>13.50</w:t>
            </w:r>
          </w:p>
        </w:tc>
        <w:tc>
          <w:tcPr>
            <w:tcW w:w="1258" w:type="dxa"/>
            <w:vAlign w:val="top"/>
          </w:tcPr>
          <w:p/>
        </w:tc>
        <w:tc>
          <w:tcPr>
            <w:tcW w:w="1303" w:type="dxa"/>
            <w:vAlign w:val="top"/>
          </w:tcPr>
          <w:p/>
        </w:tc>
      </w:tr>
      <w:tr>
        <w:tblPrEx>
          <w:tblW w:w="8539" w:type="dxa"/>
          <w:tblInd w:w="204" w:type="dxa"/>
          <w:tblLayout w:type="fixed"/>
          <w:tblCellMar>
            <w:top w:w="0" w:type="dxa"/>
            <w:left w:w="0" w:type="dxa"/>
            <w:bottom w:w="0" w:type="dxa"/>
            <w:right w:w="0" w:type="dxa"/>
          </w:tblCellMar>
        </w:tblPrEx>
        <w:trPr>
          <w:trHeight w:val="349"/>
        </w:trPr>
        <w:tc>
          <w:tcPr>
            <w:tcW w:w="834" w:type="dxa"/>
            <w:vAlign w:val="top"/>
          </w:tcPr>
          <w:p>
            <w:pPr>
              <w:pStyle w:val="TableText"/>
              <w:spacing w:before="141" w:line="184" w:lineRule="auto"/>
              <w:ind w:left="315"/>
            </w:pPr>
            <w:r>
              <w:rPr>
                <w:spacing w:val="-6"/>
              </w:rPr>
              <w:t>13</w:t>
            </w:r>
          </w:p>
        </w:tc>
        <w:tc>
          <w:tcPr>
            <w:tcW w:w="2507" w:type="dxa"/>
            <w:vAlign w:val="top"/>
          </w:tcPr>
          <w:p>
            <w:pPr>
              <w:pStyle w:val="TableText"/>
              <w:spacing w:before="96" w:line="219" w:lineRule="auto"/>
              <w:ind w:left="110"/>
            </w:pPr>
            <w:r>
              <w:rPr>
                <w:spacing w:val="-2"/>
              </w:rPr>
              <w:t>非流动负债</w:t>
            </w:r>
          </w:p>
        </w:tc>
        <w:tc>
          <w:tcPr>
            <w:tcW w:w="1179" w:type="dxa"/>
            <w:vAlign w:val="top"/>
          </w:tcPr>
          <w:p/>
        </w:tc>
        <w:tc>
          <w:tcPr>
            <w:tcW w:w="1458" w:type="dxa"/>
            <w:vAlign w:val="top"/>
          </w:tcPr>
          <w:p/>
        </w:tc>
        <w:tc>
          <w:tcPr>
            <w:tcW w:w="1258" w:type="dxa"/>
            <w:vAlign w:val="top"/>
          </w:tcPr>
          <w:p/>
        </w:tc>
        <w:tc>
          <w:tcPr>
            <w:tcW w:w="1303" w:type="dxa"/>
            <w:vAlign w:val="top"/>
          </w:tcPr>
          <w:p/>
        </w:tc>
      </w:tr>
      <w:tr>
        <w:tblPrEx>
          <w:tblW w:w="8539" w:type="dxa"/>
          <w:tblInd w:w="204" w:type="dxa"/>
          <w:tblLayout w:type="fixed"/>
          <w:tblCellMar>
            <w:top w:w="0" w:type="dxa"/>
            <w:left w:w="0" w:type="dxa"/>
            <w:bottom w:w="0" w:type="dxa"/>
            <w:right w:w="0" w:type="dxa"/>
          </w:tblCellMar>
        </w:tblPrEx>
        <w:trPr>
          <w:trHeight w:val="330"/>
        </w:trPr>
        <w:tc>
          <w:tcPr>
            <w:tcW w:w="834" w:type="dxa"/>
            <w:vAlign w:val="top"/>
          </w:tcPr>
          <w:p>
            <w:pPr>
              <w:pStyle w:val="TableText"/>
              <w:spacing w:before="132" w:line="184" w:lineRule="auto"/>
              <w:ind w:left="315"/>
            </w:pPr>
            <w:r>
              <w:rPr>
                <w:spacing w:val="-6"/>
              </w:rPr>
              <w:t>14</w:t>
            </w:r>
          </w:p>
        </w:tc>
        <w:tc>
          <w:tcPr>
            <w:tcW w:w="2507" w:type="dxa"/>
            <w:vAlign w:val="top"/>
          </w:tcPr>
          <w:p>
            <w:pPr>
              <w:pStyle w:val="TableText"/>
              <w:spacing w:before="84" w:line="219" w:lineRule="auto"/>
              <w:ind w:left="113"/>
            </w:pPr>
            <w:r>
              <w:rPr>
                <w:b/>
                <w:bCs/>
                <w:spacing w:val="-5"/>
              </w:rPr>
              <w:t>负债合计</w:t>
            </w:r>
          </w:p>
        </w:tc>
        <w:tc>
          <w:tcPr>
            <w:tcW w:w="1179" w:type="dxa"/>
            <w:vAlign w:val="top"/>
          </w:tcPr>
          <w:p>
            <w:pPr>
              <w:pStyle w:val="TableText"/>
              <w:spacing w:before="130" w:line="184" w:lineRule="auto"/>
              <w:ind w:left="626"/>
            </w:pPr>
            <w:r>
              <w:rPr>
                <w:b/>
                <w:bCs/>
                <w:spacing w:val="-6"/>
              </w:rPr>
              <w:t>13.50</w:t>
            </w:r>
          </w:p>
        </w:tc>
        <w:tc>
          <w:tcPr>
            <w:tcW w:w="1458" w:type="dxa"/>
            <w:vAlign w:val="top"/>
          </w:tcPr>
          <w:p>
            <w:pPr>
              <w:pStyle w:val="TableText"/>
              <w:spacing w:before="132" w:line="184" w:lineRule="auto"/>
              <w:ind w:left="915"/>
            </w:pPr>
            <w:r>
              <w:rPr>
                <w:spacing w:val="-4"/>
              </w:rPr>
              <w:t>13.50</w:t>
            </w:r>
          </w:p>
        </w:tc>
        <w:tc>
          <w:tcPr>
            <w:tcW w:w="1258" w:type="dxa"/>
            <w:vAlign w:val="top"/>
          </w:tcPr>
          <w:p/>
        </w:tc>
        <w:tc>
          <w:tcPr>
            <w:tcW w:w="1303" w:type="dxa"/>
            <w:vAlign w:val="top"/>
          </w:tcPr>
          <w:p/>
        </w:tc>
      </w:tr>
      <w:tr>
        <w:tblPrEx>
          <w:tblW w:w="8539" w:type="dxa"/>
          <w:tblInd w:w="204" w:type="dxa"/>
          <w:tblLayout w:type="fixed"/>
          <w:tblCellMar>
            <w:top w:w="0" w:type="dxa"/>
            <w:left w:w="0" w:type="dxa"/>
            <w:bottom w:w="0" w:type="dxa"/>
            <w:right w:w="0" w:type="dxa"/>
          </w:tblCellMar>
        </w:tblPrEx>
        <w:trPr>
          <w:trHeight w:val="344"/>
        </w:trPr>
        <w:tc>
          <w:tcPr>
            <w:tcW w:w="834" w:type="dxa"/>
            <w:vAlign w:val="top"/>
          </w:tcPr>
          <w:p>
            <w:pPr>
              <w:pStyle w:val="TableText"/>
              <w:spacing w:before="132" w:line="184" w:lineRule="auto"/>
              <w:ind w:left="315"/>
            </w:pPr>
            <w:r>
              <w:rPr>
                <w:spacing w:val="-6"/>
              </w:rPr>
              <w:t>15</w:t>
            </w:r>
          </w:p>
        </w:tc>
        <w:tc>
          <w:tcPr>
            <w:tcW w:w="2507" w:type="dxa"/>
            <w:vAlign w:val="top"/>
          </w:tcPr>
          <w:p>
            <w:pPr>
              <w:pStyle w:val="TableText"/>
              <w:spacing w:before="84" w:line="219" w:lineRule="auto"/>
              <w:ind w:left="113"/>
            </w:pPr>
            <w:r>
              <w:rPr>
                <w:b/>
                <w:bCs/>
                <w:spacing w:val="1"/>
              </w:rPr>
              <w:t>净资产(所有者权益)</w:t>
            </w:r>
          </w:p>
        </w:tc>
        <w:tc>
          <w:tcPr>
            <w:tcW w:w="1179" w:type="dxa"/>
            <w:vAlign w:val="top"/>
          </w:tcPr>
          <w:p>
            <w:pPr>
              <w:pStyle w:val="TableText"/>
              <w:spacing w:before="109" w:line="184" w:lineRule="auto"/>
              <w:ind w:left="356"/>
            </w:pPr>
            <w:r>
              <w:rPr>
                <w:b/>
                <w:bCs/>
                <w:spacing w:val="-5"/>
              </w:rPr>
              <w:t>1,206.01</w:t>
            </w:r>
          </w:p>
        </w:tc>
        <w:tc>
          <w:tcPr>
            <w:tcW w:w="1458" w:type="dxa"/>
            <w:vAlign w:val="top"/>
          </w:tcPr>
          <w:p>
            <w:pPr>
              <w:pStyle w:val="TableText"/>
              <w:spacing w:before="109" w:line="184" w:lineRule="auto"/>
              <w:ind w:left="557"/>
            </w:pPr>
            <w:r>
              <w:rPr>
                <w:b/>
                <w:bCs/>
                <w:spacing w:val="-4"/>
              </w:rPr>
              <w:t>31,101.28</w:t>
            </w:r>
          </w:p>
        </w:tc>
        <w:tc>
          <w:tcPr>
            <w:tcW w:w="1258" w:type="dxa"/>
            <w:vAlign w:val="top"/>
          </w:tcPr>
          <w:p>
            <w:pPr>
              <w:pStyle w:val="TableText"/>
              <w:spacing w:before="110" w:line="183" w:lineRule="auto"/>
              <w:ind w:left="369"/>
            </w:pPr>
            <w:r>
              <w:rPr>
                <w:b/>
                <w:bCs/>
                <w:spacing w:val="-3"/>
              </w:rPr>
              <w:t>29,895.27</w:t>
            </w:r>
          </w:p>
        </w:tc>
        <w:tc>
          <w:tcPr>
            <w:tcW w:w="1303" w:type="dxa"/>
            <w:vAlign w:val="top"/>
          </w:tcPr>
          <w:p>
            <w:pPr>
              <w:pStyle w:val="TableText"/>
              <w:spacing w:before="110" w:line="183" w:lineRule="auto"/>
              <w:ind w:left="511"/>
            </w:pPr>
            <w:r>
              <w:rPr>
                <w:b/>
                <w:bCs/>
                <w:spacing w:val="-4"/>
              </w:rPr>
              <w:t>2,478.86</w:t>
            </w:r>
          </w:p>
        </w:tc>
      </w:tr>
    </w:tbl>
    <w:p>
      <w:pPr>
        <w:spacing w:before="163" w:line="251" w:lineRule="auto"/>
        <w:ind w:left="354" w:right="397" w:firstLine="510"/>
        <w:rPr>
          <w:rFonts w:ascii="宋体" w:eastAsia="宋体" w:hAnsi="宋体" w:cs="宋体"/>
          <w:sz w:val="24"/>
          <w:szCs w:val="24"/>
        </w:rPr>
      </w:pPr>
      <w:r>
        <w:rPr>
          <w:rFonts w:ascii="宋体" w:eastAsia="宋体" w:hAnsi="宋体" w:cs="宋体"/>
          <w:spacing w:val="-6"/>
          <w:sz w:val="24"/>
          <w:szCs w:val="24"/>
        </w:rPr>
        <w:t>本资产评估报告的评估结论使用有效期自评估基准日起一年，即2023年11月</w:t>
      </w:r>
      <w:r>
        <w:rPr>
          <w:rFonts w:ascii="宋体" w:eastAsia="宋体" w:hAnsi="宋体" w:cs="宋体"/>
          <w:spacing w:val="12"/>
          <w:sz w:val="24"/>
          <w:szCs w:val="24"/>
        </w:rPr>
        <w:t xml:space="preserve"> </w:t>
      </w:r>
      <w:r>
        <w:rPr>
          <w:rFonts w:ascii="宋体" w:eastAsia="宋体" w:hAnsi="宋体" w:cs="宋体"/>
          <w:spacing w:val="-7"/>
          <w:sz w:val="24"/>
          <w:szCs w:val="24"/>
        </w:rPr>
        <w:t>30日至2024年11月29日使用本评估结论有效。</w:t>
      </w:r>
    </w:p>
    <w:p>
      <w:pPr>
        <w:spacing w:before="188" w:line="256" w:lineRule="auto"/>
        <w:ind w:left="354" w:right="404" w:firstLine="510"/>
        <w:rPr>
          <w:rFonts w:ascii="宋体" w:eastAsia="宋体" w:hAnsi="宋体" w:cs="宋体"/>
          <w:sz w:val="24"/>
          <w:szCs w:val="24"/>
        </w:rPr>
      </w:pPr>
      <w:r>
        <w:rPr>
          <w:rFonts w:ascii="宋体" w:eastAsia="宋体" w:hAnsi="宋体" w:cs="宋体"/>
          <w:spacing w:val="-6"/>
          <w:sz w:val="24"/>
          <w:szCs w:val="24"/>
        </w:rPr>
        <w:t>在使用本评估结论时，提请评估报告的使用者</w:t>
      </w:r>
      <w:r>
        <w:rPr>
          <w:rFonts w:ascii="宋体" w:eastAsia="宋体" w:hAnsi="宋体" w:cs="宋体"/>
          <w:spacing w:val="-7"/>
          <w:sz w:val="24"/>
          <w:szCs w:val="24"/>
        </w:rPr>
        <w:t>注意如下可能对评估结论产生</w:t>
      </w:r>
      <w:r>
        <w:rPr>
          <w:rFonts w:ascii="宋体" w:eastAsia="宋体" w:hAnsi="宋体" w:cs="宋体"/>
          <w:sz w:val="24"/>
          <w:szCs w:val="24"/>
        </w:rPr>
        <w:t xml:space="preserve"> </w:t>
      </w:r>
      <w:r>
        <w:rPr>
          <w:rFonts w:ascii="宋体" w:eastAsia="宋体" w:hAnsi="宋体" w:cs="宋体"/>
          <w:spacing w:val="-10"/>
          <w:sz w:val="24"/>
          <w:szCs w:val="24"/>
        </w:rPr>
        <w:t>影响的重点特别事项：</w:t>
      </w:r>
    </w:p>
    <w:p>
      <w:pPr>
        <w:spacing w:before="214" w:line="259" w:lineRule="auto"/>
        <w:ind w:left="354" w:right="400" w:firstLine="510"/>
        <w:jc w:val="both"/>
        <w:rPr>
          <w:rFonts w:ascii="宋体" w:eastAsia="宋体" w:hAnsi="宋体" w:cs="宋体"/>
          <w:sz w:val="23"/>
          <w:szCs w:val="23"/>
        </w:rPr>
      </w:pPr>
      <w:r>
        <w:rPr>
          <w:rFonts w:ascii="宋体" w:eastAsia="宋体" w:hAnsi="宋体" w:cs="宋体"/>
          <w:spacing w:val="-6"/>
          <w:sz w:val="24"/>
          <w:szCs w:val="24"/>
        </w:rPr>
        <w:t>1、企业申报的账面未记录的无形资产-发明专利、著作权共计7项，包括1项</w:t>
      </w:r>
      <w:r>
        <w:rPr>
          <w:rFonts w:ascii="宋体" w:eastAsia="宋体" w:hAnsi="宋体" w:cs="宋体"/>
          <w:spacing w:val="3"/>
          <w:sz w:val="24"/>
          <w:szCs w:val="24"/>
        </w:rPr>
        <w:t xml:space="preserve"> </w:t>
      </w:r>
      <w:r>
        <w:rPr>
          <w:rFonts w:ascii="宋体" w:eastAsia="宋体" w:hAnsi="宋体" w:cs="宋体"/>
          <w:spacing w:val="-2"/>
          <w:sz w:val="24"/>
          <w:szCs w:val="24"/>
        </w:rPr>
        <w:t>发明专利和6项软件著作权，均获于2023年，</w:t>
      </w:r>
      <w:r>
        <w:rPr>
          <w:rFonts w:ascii="宋体" w:eastAsia="宋体" w:hAnsi="宋体" w:cs="宋体"/>
          <w:spacing w:val="-3"/>
          <w:sz w:val="24"/>
          <w:szCs w:val="24"/>
        </w:rPr>
        <w:t>证载权利人为北京中企慧云科技有</w:t>
      </w:r>
      <w:r>
        <w:rPr>
          <w:rFonts w:ascii="宋体" w:eastAsia="宋体" w:hAnsi="宋体" w:cs="宋体"/>
          <w:sz w:val="24"/>
          <w:szCs w:val="24"/>
        </w:rPr>
        <w:t xml:space="preserve"> </w:t>
      </w:r>
      <w:r>
        <w:rPr>
          <w:rFonts w:ascii="宋体" w:eastAsia="宋体" w:hAnsi="宋体" w:cs="宋体"/>
          <w:spacing w:val="1"/>
          <w:sz w:val="23"/>
          <w:szCs w:val="23"/>
        </w:rPr>
        <w:t>限公司，本次评估按照表外资产纳入评估范围。具体情况如下表所示：</w:t>
      </w:r>
    </w:p>
    <w:tbl>
      <w:tblPr>
        <w:tblStyle w:val="TableNormal00"/>
        <w:tblW w:w="89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414"/>
        <w:gridCol w:w="3186"/>
        <w:gridCol w:w="1309"/>
        <w:gridCol w:w="979"/>
        <w:gridCol w:w="2238"/>
        <w:gridCol w:w="844"/>
      </w:tblGrid>
      <w:tr>
        <w:tblPrEx>
          <w:tblW w:w="89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13"/>
        </w:trPr>
        <w:tc>
          <w:tcPr>
            <w:tcW w:w="414" w:type="dxa"/>
            <w:textDirection w:val="tbRlV"/>
            <w:vAlign w:val="top"/>
          </w:tcPr>
          <w:p>
            <w:pPr>
              <w:pStyle w:val="TableText"/>
              <w:spacing w:before="109" w:line="217" w:lineRule="auto"/>
              <w:ind w:left="5"/>
              <w:rPr>
                <w:sz w:val="19"/>
                <w:szCs w:val="19"/>
              </w:rPr>
            </w:pPr>
            <w:r>
              <w:rPr>
                <w:sz w:val="19"/>
                <w:szCs w:val="19"/>
              </w:rPr>
              <w:t>序</w:t>
            </w:r>
            <w:r>
              <w:rPr>
                <w:spacing w:val="20"/>
                <w:sz w:val="19"/>
                <w:szCs w:val="19"/>
              </w:rPr>
              <w:t xml:space="preserve"> </w:t>
            </w:r>
            <w:r>
              <w:rPr>
                <w:sz w:val="19"/>
                <w:szCs w:val="19"/>
              </w:rPr>
              <w:t>号</w:t>
            </w:r>
          </w:p>
        </w:tc>
        <w:tc>
          <w:tcPr>
            <w:tcW w:w="3186" w:type="dxa"/>
            <w:vAlign w:val="top"/>
          </w:tcPr>
          <w:p>
            <w:pPr>
              <w:pStyle w:val="TableText"/>
              <w:spacing w:before="163" w:line="219" w:lineRule="auto"/>
              <w:ind w:left="711"/>
              <w:rPr>
                <w:sz w:val="19"/>
                <w:szCs w:val="19"/>
              </w:rPr>
            </w:pPr>
            <w:r>
              <w:rPr>
                <w:spacing w:val="-1"/>
                <w:sz w:val="19"/>
                <w:szCs w:val="19"/>
              </w:rPr>
              <w:t>无形资产名称和内容</w:t>
            </w:r>
          </w:p>
        </w:tc>
        <w:tc>
          <w:tcPr>
            <w:tcW w:w="1309" w:type="dxa"/>
            <w:vAlign w:val="top"/>
          </w:tcPr>
          <w:p>
            <w:pPr>
              <w:pStyle w:val="TableText"/>
              <w:spacing w:before="163" w:line="219" w:lineRule="auto"/>
              <w:ind w:left="264"/>
              <w:rPr>
                <w:sz w:val="19"/>
                <w:szCs w:val="19"/>
              </w:rPr>
            </w:pPr>
            <w:r>
              <w:rPr>
                <w:spacing w:val="3"/>
                <w:sz w:val="19"/>
                <w:szCs w:val="19"/>
              </w:rPr>
              <w:t>申请日期</w:t>
            </w:r>
          </w:p>
        </w:tc>
        <w:tc>
          <w:tcPr>
            <w:tcW w:w="979" w:type="dxa"/>
            <w:vAlign w:val="top"/>
          </w:tcPr>
          <w:p>
            <w:pPr>
              <w:pStyle w:val="TableText"/>
              <w:spacing w:before="163" w:line="219" w:lineRule="auto"/>
              <w:ind w:left="295"/>
              <w:rPr>
                <w:sz w:val="19"/>
                <w:szCs w:val="19"/>
              </w:rPr>
            </w:pPr>
            <w:r>
              <w:rPr>
                <w:spacing w:val="-2"/>
                <w:sz w:val="19"/>
                <w:szCs w:val="19"/>
              </w:rPr>
              <w:t>类型</w:t>
            </w:r>
          </w:p>
        </w:tc>
        <w:tc>
          <w:tcPr>
            <w:tcW w:w="2238" w:type="dxa"/>
            <w:vAlign w:val="top"/>
          </w:tcPr>
          <w:p>
            <w:pPr>
              <w:pStyle w:val="TableText"/>
              <w:spacing w:before="161" w:line="219" w:lineRule="auto"/>
              <w:ind w:left="736"/>
              <w:rPr>
                <w:sz w:val="19"/>
                <w:szCs w:val="19"/>
              </w:rPr>
            </w:pPr>
            <w:r>
              <w:rPr>
                <w:spacing w:val="-2"/>
                <w:sz w:val="19"/>
                <w:szCs w:val="19"/>
              </w:rPr>
              <w:t>证书编号</w:t>
            </w:r>
          </w:p>
        </w:tc>
        <w:tc>
          <w:tcPr>
            <w:tcW w:w="844" w:type="dxa"/>
            <w:vAlign w:val="top"/>
          </w:tcPr>
          <w:p>
            <w:pPr>
              <w:pStyle w:val="TableText"/>
              <w:spacing w:before="53" w:line="217" w:lineRule="auto"/>
              <w:ind w:left="317" w:right="143" w:hanging="189"/>
              <w:rPr>
                <w:sz w:val="19"/>
                <w:szCs w:val="19"/>
              </w:rPr>
            </w:pPr>
            <w:r>
              <w:rPr>
                <w:spacing w:val="-3"/>
                <w:sz w:val="19"/>
                <w:szCs w:val="19"/>
              </w:rPr>
              <w:t>法定年</w:t>
            </w:r>
            <w:r>
              <w:rPr>
                <w:sz w:val="19"/>
                <w:szCs w:val="19"/>
              </w:rPr>
              <w:t xml:space="preserve"> 限</w:t>
            </w:r>
          </w:p>
        </w:tc>
      </w:tr>
      <w:tr>
        <w:tblPrEx>
          <w:tblW w:w="8970" w:type="dxa"/>
          <w:tblInd w:w="5" w:type="dxa"/>
          <w:tblLayout w:type="fixed"/>
          <w:tblCellMar>
            <w:top w:w="0" w:type="dxa"/>
            <w:left w:w="0" w:type="dxa"/>
            <w:bottom w:w="0" w:type="dxa"/>
            <w:right w:w="0" w:type="dxa"/>
          </w:tblCellMar>
        </w:tblPrEx>
        <w:trPr>
          <w:trHeight w:val="528"/>
        </w:trPr>
        <w:tc>
          <w:tcPr>
            <w:tcW w:w="414" w:type="dxa"/>
            <w:vAlign w:val="top"/>
          </w:tcPr>
          <w:p>
            <w:pPr>
              <w:pStyle w:val="TableText"/>
              <w:spacing w:before="217" w:line="184" w:lineRule="auto"/>
              <w:ind w:left="144"/>
              <w:rPr>
                <w:sz w:val="19"/>
                <w:szCs w:val="19"/>
              </w:rPr>
            </w:pPr>
            <w:r>
              <w:rPr>
                <w:sz w:val="19"/>
                <w:szCs w:val="19"/>
              </w:rPr>
              <w:t>1</w:t>
            </w:r>
          </w:p>
        </w:tc>
        <w:tc>
          <w:tcPr>
            <w:tcW w:w="3186" w:type="dxa"/>
            <w:vAlign w:val="top"/>
          </w:tcPr>
          <w:p>
            <w:pPr>
              <w:pStyle w:val="TableText"/>
              <w:spacing w:before="38" w:line="233" w:lineRule="auto"/>
              <w:ind w:left="130" w:right="222" w:hanging="20"/>
              <w:rPr>
                <w:sz w:val="19"/>
                <w:szCs w:val="19"/>
              </w:rPr>
            </w:pPr>
            <w:r>
              <w:rPr>
                <w:spacing w:val="-1"/>
                <w:sz w:val="19"/>
                <w:szCs w:val="19"/>
              </w:rPr>
              <w:t>基于科技知识图谱的产业链分析应</w:t>
            </w:r>
            <w:r>
              <w:rPr>
                <w:spacing w:val="6"/>
                <w:sz w:val="19"/>
                <w:szCs w:val="19"/>
              </w:rPr>
              <w:t xml:space="preserve"> </w:t>
            </w:r>
            <w:r>
              <w:rPr>
                <w:spacing w:val="-2"/>
                <w:sz w:val="19"/>
                <w:szCs w:val="19"/>
              </w:rPr>
              <w:t>用方法和装置</w:t>
            </w:r>
          </w:p>
        </w:tc>
        <w:tc>
          <w:tcPr>
            <w:tcW w:w="1309" w:type="dxa"/>
            <w:vAlign w:val="top"/>
          </w:tcPr>
          <w:p>
            <w:pPr>
              <w:pStyle w:val="TableText"/>
              <w:spacing w:before="175" w:line="224" w:lineRule="auto"/>
              <w:ind w:left="215"/>
              <w:rPr>
                <w:sz w:val="19"/>
                <w:szCs w:val="19"/>
              </w:rPr>
            </w:pPr>
            <w:r>
              <w:rPr>
                <w:spacing w:val="-1"/>
                <w:sz w:val="19"/>
                <w:szCs w:val="19"/>
              </w:rPr>
              <w:t>2023/6/27</w:t>
            </w:r>
          </w:p>
        </w:tc>
        <w:tc>
          <w:tcPr>
            <w:tcW w:w="979" w:type="dxa"/>
            <w:vAlign w:val="top"/>
          </w:tcPr>
          <w:p>
            <w:pPr>
              <w:pStyle w:val="TableText"/>
              <w:spacing w:before="170" w:line="219" w:lineRule="auto"/>
              <w:ind w:left="295"/>
              <w:rPr>
                <w:sz w:val="19"/>
                <w:szCs w:val="19"/>
              </w:rPr>
            </w:pPr>
            <w:r>
              <w:rPr>
                <w:spacing w:val="10"/>
                <w:sz w:val="19"/>
                <w:szCs w:val="19"/>
              </w:rPr>
              <w:t>发明</w:t>
            </w:r>
          </w:p>
        </w:tc>
        <w:tc>
          <w:tcPr>
            <w:tcW w:w="2238" w:type="dxa"/>
            <w:vAlign w:val="top"/>
          </w:tcPr>
          <w:p>
            <w:pPr>
              <w:pStyle w:val="TableText"/>
              <w:spacing w:before="218" w:line="183" w:lineRule="auto"/>
              <w:ind w:left="306"/>
              <w:rPr>
                <w:sz w:val="19"/>
                <w:szCs w:val="19"/>
              </w:rPr>
            </w:pPr>
            <w:r>
              <w:rPr>
                <w:spacing w:val="-1"/>
                <w:sz w:val="19"/>
                <w:szCs w:val="19"/>
              </w:rPr>
              <w:t>ZL 202310762716.4</w:t>
            </w:r>
          </w:p>
        </w:tc>
        <w:tc>
          <w:tcPr>
            <w:tcW w:w="844" w:type="dxa"/>
            <w:vAlign w:val="top"/>
          </w:tcPr>
          <w:p>
            <w:pPr>
              <w:pStyle w:val="TableText"/>
              <w:spacing w:before="218" w:line="183" w:lineRule="auto"/>
              <w:ind w:left="318"/>
              <w:rPr>
                <w:sz w:val="19"/>
                <w:szCs w:val="19"/>
              </w:rPr>
            </w:pPr>
            <w:r>
              <w:rPr>
                <w:spacing w:val="-3"/>
                <w:sz w:val="19"/>
                <w:szCs w:val="19"/>
              </w:rPr>
              <w:t>20</w:t>
            </w:r>
          </w:p>
        </w:tc>
      </w:tr>
      <w:tr>
        <w:tblPrEx>
          <w:tblW w:w="8970" w:type="dxa"/>
          <w:tblInd w:w="5" w:type="dxa"/>
          <w:tblLayout w:type="fixed"/>
          <w:tblCellMar>
            <w:top w:w="0" w:type="dxa"/>
            <w:left w:w="0" w:type="dxa"/>
            <w:bottom w:w="0" w:type="dxa"/>
            <w:right w:w="0" w:type="dxa"/>
          </w:tblCellMar>
        </w:tblPrEx>
        <w:trPr>
          <w:trHeight w:val="308"/>
        </w:trPr>
        <w:tc>
          <w:tcPr>
            <w:tcW w:w="414" w:type="dxa"/>
            <w:vAlign w:val="top"/>
          </w:tcPr>
          <w:p>
            <w:pPr>
              <w:pStyle w:val="TableText"/>
              <w:spacing w:before="110" w:line="182" w:lineRule="auto"/>
              <w:ind w:left="144"/>
              <w:rPr>
                <w:sz w:val="19"/>
                <w:szCs w:val="19"/>
              </w:rPr>
            </w:pPr>
            <w:r>
              <w:rPr>
                <w:sz w:val="19"/>
                <w:szCs w:val="19"/>
              </w:rPr>
              <w:t>2</w:t>
            </w:r>
          </w:p>
        </w:tc>
        <w:tc>
          <w:tcPr>
            <w:tcW w:w="3186" w:type="dxa"/>
            <w:vAlign w:val="top"/>
          </w:tcPr>
          <w:p>
            <w:pPr>
              <w:pStyle w:val="TableText"/>
              <w:spacing w:before="60" w:line="219" w:lineRule="auto"/>
              <w:ind w:left="131"/>
              <w:rPr>
                <w:sz w:val="19"/>
                <w:szCs w:val="19"/>
              </w:rPr>
            </w:pPr>
            <w:r>
              <w:rPr>
                <w:spacing w:val="-1"/>
                <w:sz w:val="19"/>
                <w:szCs w:val="19"/>
              </w:rPr>
              <w:t>产业链人才图谱系统V1.0</w:t>
            </w:r>
          </w:p>
        </w:tc>
        <w:tc>
          <w:tcPr>
            <w:tcW w:w="1309" w:type="dxa"/>
            <w:vAlign w:val="top"/>
          </w:tcPr>
          <w:p>
            <w:pPr>
              <w:pStyle w:val="TableText"/>
              <w:spacing w:before="67" w:line="224" w:lineRule="auto"/>
              <w:ind w:left="264"/>
              <w:rPr>
                <w:sz w:val="19"/>
                <w:szCs w:val="19"/>
              </w:rPr>
            </w:pPr>
            <w:r>
              <w:rPr>
                <w:spacing w:val="-2"/>
                <w:sz w:val="19"/>
                <w:szCs w:val="19"/>
              </w:rPr>
              <w:t>2023/1/1</w:t>
            </w:r>
          </w:p>
        </w:tc>
        <w:tc>
          <w:tcPr>
            <w:tcW w:w="979" w:type="dxa"/>
            <w:vAlign w:val="top"/>
          </w:tcPr>
          <w:p>
            <w:pPr>
              <w:pStyle w:val="TableText"/>
              <w:spacing w:before="62" w:line="219" w:lineRule="auto"/>
              <w:ind w:left="295"/>
              <w:rPr>
                <w:sz w:val="19"/>
                <w:szCs w:val="19"/>
              </w:rPr>
            </w:pPr>
            <w:r>
              <w:rPr>
                <w:spacing w:val="6"/>
                <w:sz w:val="19"/>
                <w:szCs w:val="19"/>
              </w:rPr>
              <w:t>软著</w:t>
            </w:r>
          </w:p>
        </w:tc>
        <w:tc>
          <w:tcPr>
            <w:tcW w:w="2238" w:type="dxa"/>
            <w:vAlign w:val="top"/>
          </w:tcPr>
          <w:p>
            <w:pPr>
              <w:pStyle w:val="TableText"/>
              <w:spacing w:before="62" w:line="219" w:lineRule="auto"/>
              <w:ind w:left="166"/>
              <w:rPr>
                <w:sz w:val="19"/>
                <w:szCs w:val="19"/>
              </w:rPr>
            </w:pPr>
            <w:r>
              <w:rPr>
                <w:sz w:val="19"/>
                <w:szCs w:val="19"/>
              </w:rPr>
              <w:t>软著登字第11135845号</w:t>
            </w:r>
          </w:p>
        </w:tc>
        <w:tc>
          <w:tcPr>
            <w:tcW w:w="844" w:type="dxa"/>
            <w:vAlign w:val="top"/>
          </w:tcPr>
          <w:p>
            <w:pPr>
              <w:pStyle w:val="TableText"/>
              <w:spacing w:before="110" w:line="182" w:lineRule="auto"/>
              <w:ind w:left="318"/>
              <w:rPr>
                <w:sz w:val="19"/>
                <w:szCs w:val="19"/>
              </w:rPr>
            </w:pPr>
            <w:r>
              <w:rPr>
                <w:spacing w:val="-3"/>
                <w:sz w:val="19"/>
                <w:szCs w:val="19"/>
              </w:rPr>
              <w:t>50</w:t>
            </w:r>
          </w:p>
        </w:tc>
      </w:tr>
      <w:tr>
        <w:tblPrEx>
          <w:tblW w:w="8970" w:type="dxa"/>
          <w:tblInd w:w="5" w:type="dxa"/>
          <w:tblLayout w:type="fixed"/>
          <w:tblCellMar>
            <w:top w:w="0" w:type="dxa"/>
            <w:left w:w="0" w:type="dxa"/>
            <w:bottom w:w="0" w:type="dxa"/>
            <w:right w:w="0" w:type="dxa"/>
          </w:tblCellMar>
        </w:tblPrEx>
        <w:trPr>
          <w:trHeight w:val="309"/>
        </w:trPr>
        <w:tc>
          <w:tcPr>
            <w:tcW w:w="414" w:type="dxa"/>
            <w:vAlign w:val="top"/>
          </w:tcPr>
          <w:p>
            <w:pPr>
              <w:pStyle w:val="TableText"/>
              <w:spacing w:before="112" w:line="181" w:lineRule="auto"/>
              <w:ind w:left="144"/>
              <w:rPr>
                <w:sz w:val="19"/>
                <w:szCs w:val="19"/>
              </w:rPr>
            </w:pPr>
            <w:r>
              <w:rPr>
                <w:sz w:val="19"/>
                <w:szCs w:val="19"/>
              </w:rPr>
              <w:t>3</w:t>
            </w:r>
          </w:p>
        </w:tc>
        <w:tc>
          <w:tcPr>
            <w:tcW w:w="3186" w:type="dxa"/>
            <w:vAlign w:val="top"/>
          </w:tcPr>
          <w:p>
            <w:pPr>
              <w:pStyle w:val="TableText"/>
              <w:spacing w:before="64" w:line="220" w:lineRule="auto"/>
              <w:ind w:left="131"/>
              <w:rPr>
                <w:sz w:val="19"/>
                <w:szCs w:val="19"/>
              </w:rPr>
            </w:pPr>
            <w:r>
              <w:rPr>
                <w:sz w:val="19"/>
                <w:szCs w:val="19"/>
              </w:rPr>
              <w:t>营商环境监测系统V1.0</w:t>
            </w:r>
          </w:p>
        </w:tc>
        <w:tc>
          <w:tcPr>
            <w:tcW w:w="1309" w:type="dxa"/>
            <w:vAlign w:val="top"/>
          </w:tcPr>
          <w:p>
            <w:pPr>
              <w:pStyle w:val="TableText"/>
              <w:spacing w:before="69" w:line="223" w:lineRule="auto"/>
              <w:ind w:left="264"/>
              <w:rPr>
                <w:sz w:val="19"/>
                <w:szCs w:val="19"/>
              </w:rPr>
            </w:pPr>
            <w:r>
              <w:rPr>
                <w:spacing w:val="-2"/>
                <w:sz w:val="19"/>
                <w:szCs w:val="19"/>
              </w:rPr>
              <w:t>2023/1/1</w:t>
            </w:r>
          </w:p>
        </w:tc>
        <w:tc>
          <w:tcPr>
            <w:tcW w:w="979" w:type="dxa"/>
            <w:vAlign w:val="top"/>
          </w:tcPr>
          <w:p>
            <w:pPr>
              <w:pStyle w:val="TableText"/>
              <w:spacing w:before="64" w:line="219" w:lineRule="auto"/>
              <w:ind w:left="295"/>
              <w:rPr>
                <w:sz w:val="19"/>
                <w:szCs w:val="19"/>
              </w:rPr>
            </w:pPr>
            <w:r>
              <w:rPr>
                <w:spacing w:val="6"/>
                <w:sz w:val="19"/>
                <w:szCs w:val="19"/>
              </w:rPr>
              <w:t>软著</w:t>
            </w:r>
          </w:p>
        </w:tc>
        <w:tc>
          <w:tcPr>
            <w:tcW w:w="2238" w:type="dxa"/>
            <w:vAlign w:val="top"/>
          </w:tcPr>
          <w:p>
            <w:pPr>
              <w:pStyle w:val="TableText"/>
              <w:spacing w:before="64" w:line="219" w:lineRule="auto"/>
              <w:ind w:left="166"/>
              <w:rPr>
                <w:sz w:val="19"/>
                <w:szCs w:val="19"/>
              </w:rPr>
            </w:pPr>
            <w:r>
              <w:rPr>
                <w:sz w:val="19"/>
                <w:szCs w:val="19"/>
              </w:rPr>
              <w:t>软著登字第11136361号</w:t>
            </w:r>
          </w:p>
        </w:tc>
        <w:tc>
          <w:tcPr>
            <w:tcW w:w="844" w:type="dxa"/>
            <w:vAlign w:val="top"/>
          </w:tcPr>
          <w:p>
            <w:pPr>
              <w:pStyle w:val="TableText"/>
              <w:spacing w:before="112" w:line="181" w:lineRule="auto"/>
              <w:ind w:left="318"/>
              <w:rPr>
                <w:sz w:val="19"/>
                <w:szCs w:val="19"/>
              </w:rPr>
            </w:pPr>
            <w:r>
              <w:rPr>
                <w:spacing w:val="-3"/>
                <w:sz w:val="19"/>
                <w:szCs w:val="19"/>
              </w:rPr>
              <w:t>50</w:t>
            </w:r>
          </w:p>
        </w:tc>
      </w:tr>
      <w:tr>
        <w:tblPrEx>
          <w:tblW w:w="8970" w:type="dxa"/>
          <w:tblInd w:w="5" w:type="dxa"/>
          <w:tblLayout w:type="fixed"/>
          <w:tblCellMar>
            <w:top w:w="0" w:type="dxa"/>
            <w:left w:w="0" w:type="dxa"/>
            <w:bottom w:w="0" w:type="dxa"/>
            <w:right w:w="0" w:type="dxa"/>
          </w:tblCellMar>
        </w:tblPrEx>
        <w:trPr>
          <w:trHeight w:val="309"/>
        </w:trPr>
        <w:tc>
          <w:tcPr>
            <w:tcW w:w="414" w:type="dxa"/>
            <w:vAlign w:val="top"/>
          </w:tcPr>
          <w:p>
            <w:pPr>
              <w:pStyle w:val="TableText"/>
              <w:spacing w:before="113" w:line="180" w:lineRule="auto"/>
              <w:ind w:left="144"/>
              <w:rPr>
                <w:sz w:val="19"/>
                <w:szCs w:val="19"/>
              </w:rPr>
            </w:pPr>
            <w:r>
              <w:rPr>
                <w:sz w:val="19"/>
                <w:szCs w:val="19"/>
              </w:rPr>
              <w:t>4</w:t>
            </w:r>
          </w:p>
        </w:tc>
        <w:tc>
          <w:tcPr>
            <w:tcW w:w="3186" w:type="dxa"/>
            <w:vAlign w:val="top"/>
          </w:tcPr>
          <w:p>
            <w:pPr>
              <w:pStyle w:val="TableText"/>
              <w:spacing w:before="63" w:line="219" w:lineRule="auto"/>
              <w:ind w:left="131"/>
              <w:rPr>
                <w:sz w:val="19"/>
                <w:szCs w:val="19"/>
              </w:rPr>
            </w:pPr>
            <w:r>
              <w:rPr>
                <w:sz w:val="19"/>
                <w:szCs w:val="19"/>
              </w:rPr>
              <w:t>区域科技发展监测与培育系统V1.0</w:t>
            </w:r>
          </w:p>
        </w:tc>
        <w:tc>
          <w:tcPr>
            <w:tcW w:w="1309" w:type="dxa"/>
            <w:vAlign w:val="top"/>
          </w:tcPr>
          <w:p>
            <w:pPr>
              <w:pStyle w:val="TableText"/>
              <w:spacing w:before="69" w:line="223" w:lineRule="auto"/>
              <w:ind w:left="264"/>
              <w:rPr>
                <w:sz w:val="19"/>
                <w:szCs w:val="19"/>
              </w:rPr>
            </w:pPr>
            <w:r>
              <w:rPr>
                <w:spacing w:val="-2"/>
                <w:sz w:val="19"/>
                <w:szCs w:val="19"/>
              </w:rPr>
              <w:t>2023/1/1</w:t>
            </w:r>
          </w:p>
        </w:tc>
        <w:tc>
          <w:tcPr>
            <w:tcW w:w="979" w:type="dxa"/>
            <w:vAlign w:val="top"/>
          </w:tcPr>
          <w:p>
            <w:pPr>
              <w:pStyle w:val="TableText"/>
              <w:spacing w:before="65" w:line="219" w:lineRule="auto"/>
              <w:ind w:left="295"/>
              <w:rPr>
                <w:sz w:val="19"/>
                <w:szCs w:val="19"/>
              </w:rPr>
            </w:pPr>
            <w:r>
              <w:rPr>
                <w:spacing w:val="6"/>
                <w:sz w:val="19"/>
                <w:szCs w:val="19"/>
              </w:rPr>
              <w:t>软著</w:t>
            </w:r>
          </w:p>
        </w:tc>
        <w:tc>
          <w:tcPr>
            <w:tcW w:w="2238" w:type="dxa"/>
            <w:vAlign w:val="top"/>
          </w:tcPr>
          <w:p>
            <w:pPr>
              <w:pStyle w:val="TableText"/>
              <w:spacing w:before="65" w:line="219" w:lineRule="auto"/>
              <w:ind w:left="166"/>
              <w:rPr>
                <w:sz w:val="19"/>
                <w:szCs w:val="19"/>
              </w:rPr>
            </w:pPr>
            <w:r>
              <w:rPr>
                <w:sz w:val="19"/>
                <w:szCs w:val="19"/>
              </w:rPr>
              <w:t>软著登字第11032379号</w:t>
            </w:r>
          </w:p>
        </w:tc>
        <w:tc>
          <w:tcPr>
            <w:tcW w:w="844" w:type="dxa"/>
            <w:vAlign w:val="top"/>
          </w:tcPr>
          <w:p>
            <w:pPr>
              <w:pStyle w:val="TableText"/>
              <w:spacing w:before="113" w:line="180" w:lineRule="auto"/>
              <w:ind w:left="318"/>
              <w:rPr>
                <w:sz w:val="19"/>
                <w:szCs w:val="19"/>
              </w:rPr>
            </w:pPr>
            <w:r>
              <w:rPr>
                <w:spacing w:val="-3"/>
                <w:sz w:val="19"/>
                <w:szCs w:val="19"/>
              </w:rPr>
              <w:t>50</w:t>
            </w:r>
          </w:p>
        </w:tc>
      </w:tr>
      <w:tr>
        <w:tblPrEx>
          <w:tblW w:w="8970" w:type="dxa"/>
          <w:tblInd w:w="5" w:type="dxa"/>
          <w:tblLayout w:type="fixed"/>
          <w:tblCellMar>
            <w:top w:w="0" w:type="dxa"/>
            <w:left w:w="0" w:type="dxa"/>
            <w:bottom w:w="0" w:type="dxa"/>
            <w:right w:w="0" w:type="dxa"/>
          </w:tblCellMar>
        </w:tblPrEx>
        <w:trPr>
          <w:trHeight w:val="309"/>
        </w:trPr>
        <w:tc>
          <w:tcPr>
            <w:tcW w:w="414" w:type="dxa"/>
            <w:vAlign w:val="top"/>
          </w:tcPr>
          <w:p>
            <w:pPr>
              <w:pStyle w:val="TableText"/>
              <w:spacing w:before="115" w:line="178" w:lineRule="auto"/>
              <w:ind w:left="144"/>
              <w:rPr>
                <w:sz w:val="19"/>
                <w:szCs w:val="19"/>
              </w:rPr>
            </w:pPr>
            <w:r>
              <w:rPr>
                <w:sz w:val="19"/>
                <w:szCs w:val="19"/>
              </w:rPr>
              <w:t>5</w:t>
            </w:r>
          </w:p>
        </w:tc>
        <w:tc>
          <w:tcPr>
            <w:tcW w:w="3186" w:type="dxa"/>
            <w:vAlign w:val="top"/>
          </w:tcPr>
          <w:p>
            <w:pPr>
              <w:pStyle w:val="TableText"/>
              <w:spacing w:before="65" w:line="219" w:lineRule="auto"/>
              <w:ind w:left="131"/>
              <w:rPr>
                <w:sz w:val="19"/>
                <w:szCs w:val="19"/>
              </w:rPr>
            </w:pPr>
            <w:r>
              <w:rPr>
                <w:spacing w:val="-1"/>
                <w:sz w:val="19"/>
                <w:szCs w:val="19"/>
              </w:rPr>
              <w:t>上市公司监测与培育系统V1.0</w:t>
            </w:r>
          </w:p>
        </w:tc>
        <w:tc>
          <w:tcPr>
            <w:tcW w:w="1309" w:type="dxa"/>
            <w:vAlign w:val="top"/>
          </w:tcPr>
          <w:p>
            <w:pPr>
              <w:pStyle w:val="TableText"/>
              <w:spacing w:before="70" w:line="222" w:lineRule="auto"/>
              <w:ind w:left="264"/>
              <w:rPr>
                <w:sz w:val="19"/>
                <w:szCs w:val="19"/>
              </w:rPr>
            </w:pPr>
            <w:r>
              <w:rPr>
                <w:spacing w:val="-2"/>
                <w:sz w:val="19"/>
                <w:szCs w:val="19"/>
              </w:rPr>
              <w:t>2023/1/1</w:t>
            </w:r>
          </w:p>
        </w:tc>
        <w:tc>
          <w:tcPr>
            <w:tcW w:w="979" w:type="dxa"/>
            <w:vAlign w:val="top"/>
          </w:tcPr>
          <w:p>
            <w:pPr>
              <w:pStyle w:val="TableText"/>
              <w:spacing w:before="65" w:line="219" w:lineRule="auto"/>
              <w:ind w:left="295"/>
              <w:rPr>
                <w:sz w:val="19"/>
                <w:szCs w:val="19"/>
              </w:rPr>
            </w:pPr>
            <w:r>
              <w:rPr>
                <w:spacing w:val="6"/>
                <w:sz w:val="19"/>
                <w:szCs w:val="19"/>
              </w:rPr>
              <w:t>软著</w:t>
            </w:r>
          </w:p>
        </w:tc>
        <w:tc>
          <w:tcPr>
            <w:tcW w:w="2238" w:type="dxa"/>
            <w:vAlign w:val="top"/>
          </w:tcPr>
          <w:p>
            <w:pPr>
              <w:pStyle w:val="TableText"/>
              <w:spacing w:before="65" w:line="219" w:lineRule="auto"/>
              <w:ind w:left="166"/>
              <w:rPr>
                <w:sz w:val="19"/>
                <w:szCs w:val="19"/>
              </w:rPr>
            </w:pPr>
            <w:r>
              <w:rPr>
                <w:sz w:val="19"/>
                <w:szCs w:val="19"/>
              </w:rPr>
              <w:t>软著登字第11030825号</w:t>
            </w:r>
          </w:p>
        </w:tc>
        <w:tc>
          <w:tcPr>
            <w:tcW w:w="844" w:type="dxa"/>
            <w:vAlign w:val="top"/>
          </w:tcPr>
          <w:p>
            <w:pPr>
              <w:pStyle w:val="TableText"/>
              <w:spacing w:before="114" w:line="179" w:lineRule="auto"/>
              <w:ind w:left="318"/>
              <w:rPr>
                <w:sz w:val="19"/>
                <w:szCs w:val="19"/>
              </w:rPr>
            </w:pPr>
            <w:r>
              <w:rPr>
                <w:spacing w:val="-3"/>
                <w:sz w:val="19"/>
                <w:szCs w:val="19"/>
              </w:rPr>
              <w:t>50</w:t>
            </w:r>
          </w:p>
        </w:tc>
      </w:tr>
      <w:tr>
        <w:tblPrEx>
          <w:tblW w:w="8970" w:type="dxa"/>
          <w:tblInd w:w="5" w:type="dxa"/>
          <w:tblLayout w:type="fixed"/>
          <w:tblCellMar>
            <w:top w:w="0" w:type="dxa"/>
            <w:left w:w="0" w:type="dxa"/>
            <w:bottom w:w="0" w:type="dxa"/>
            <w:right w:w="0" w:type="dxa"/>
          </w:tblCellMar>
        </w:tblPrEx>
        <w:trPr>
          <w:trHeight w:val="299"/>
        </w:trPr>
        <w:tc>
          <w:tcPr>
            <w:tcW w:w="414" w:type="dxa"/>
            <w:vAlign w:val="top"/>
          </w:tcPr>
          <w:p>
            <w:pPr>
              <w:pStyle w:val="TableText"/>
              <w:spacing w:before="116" w:line="168" w:lineRule="auto"/>
              <w:ind w:left="144"/>
              <w:rPr>
                <w:sz w:val="19"/>
                <w:szCs w:val="19"/>
              </w:rPr>
            </w:pPr>
            <w:r>
              <w:rPr>
                <w:sz w:val="19"/>
                <w:szCs w:val="19"/>
              </w:rPr>
              <w:t>6</w:t>
            </w:r>
          </w:p>
        </w:tc>
        <w:tc>
          <w:tcPr>
            <w:tcW w:w="3186" w:type="dxa"/>
            <w:vAlign w:val="top"/>
          </w:tcPr>
          <w:p>
            <w:pPr>
              <w:pStyle w:val="TableText"/>
              <w:spacing w:before="66" w:line="216" w:lineRule="auto"/>
              <w:ind w:left="131"/>
              <w:rPr>
                <w:sz w:val="19"/>
                <w:szCs w:val="19"/>
              </w:rPr>
            </w:pPr>
            <w:r>
              <w:rPr>
                <w:spacing w:val="-1"/>
                <w:sz w:val="19"/>
                <w:szCs w:val="19"/>
              </w:rPr>
              <w:t>优质企业梯次培育与监测系统V1.0</w:t>
            </w:r>
          </w:p>
        </w:tc>
        <w:tc>
          <w:tcPr>
            <w:tcW w:w="1309" w:type="dxa"/>
            <w:vAlign w:val="top"/>
          </w:tcPr>
          <w:p>
            <w:pPr>
              <w:pStyle w:val="TableText"/>
              <w:spacing w:before="71" w:line="211" w:lineRule="auto"/>
              <w:ind w:left="264"/>
              <w:rPr>
                <w:sz w:val="19"/>
                <w:szCs w:val="19"/>
              </w:rPr>
            </w:pPr>
            <w:r>
              <w:rPr>
                <w:spacing w:val="-2"/>
                <w:sz w:val="19"/>
                <w:szCs w:val="19"/>
              </w:rPr>
              <w:t>2023/1/1</w:t>
            </w:r>
          </w:p>
        </w:tc>
        <w:tc>
          <w:tcPr>
            <w:tcW w:w="979" w:type="dxa"/>
            <w:vAlign w:val="top"/>
          </w:tcPr>
          <w:p>
            <w:pPr>
              <w:pStyle w:val="TableText"/>
              <w:spacing w:before="66" w:line="216" w:lineRule="auto"/>
              <w:ind w:left="295"/>
              <w:rPr>
                <w:sz w:val="19"/>
                <w:szCs w:val="19"/>
              </w:rPr>
            </w:pPr>
            <w:r>
              <w:rPr>
                <w:spacing w:val="6"/>
                <w:sz w:val="19"/>
                <w:szCs w:val="19"/>
              </w:rPr>
              <w:t>软著</w:t>
            </w:r>
          </w:p>
        </w:tc>
        <w:tc>
          <w:tcPr>
            <w:tcW w:w="2238" w:type="dxa"/>
            <w:vAlign w:val="top"/>
          </w:tcPr>
          <w:p>
            <w:pPr>
              <w:pStyle w:val="TableText"/>
              <w:spacing w:before="66" w:line="216" w:lineRule="auto"/>
              <w:ind w:left="166"/>
              <w:rPr>
                <w:sz w:val="19"/>
                <w:szCs w:val="19"/>
              </w:rPr>
            </w:pPr>
            <w:r>
              <w:rPr>
                <w:sz w:val="19"/>
                <w:szCs w:val="19"/>
              </w:rPr>
              <w:t>软著登字第11042825号</w:t>
            </w:r>
          </w:p>
        </w:tc>
        <w:tc>
          <w:tcPr>
            <w:tcW w:w="844" w:type="dxa"/>
            <w:vAlign w:val="top"/>
          </w:tcPr>
          <w:p>
            <w:pPr>
              <w:pStyle w:val="TableText"/>
              <w:spacing w:before="116" w:line="168" w:lineRule="auto"/>
              <w:ind w:left="318"/>
              <w:rPr>
                <w:sz w:val="19"/>
                <w:szCs w:val="19"/>
              </w:rPr>
            </w:pPr>
            <w:r>
              <w:rPr>
                <w:spacing w:val="-3"/>
                <w:sz w:val="19"/>
                <w:szCs w:val="19"/>
              </w:rPr>
              <w:t>50</w:t>
            </w:r>
          </w:p>
        </w:tc>
      </w:tr>
      <w:tr>
        <w:tblPrEx>
          <w:tblW w:w="8970" w:type="dxa"/>
          <w:tblInd w:w="5" w:type="dxa"/>
          <w:tblLayout w:type="fixed"/>
          <w:tblCellMar>
            <w:top w:w="0" w:type="dxa"/>
            <w:left w:w="0" w:type="dxa"/>
            <w:bottom w:w="0" w:type="dxa"/>
            <w:right w:w="0" w:type="dxa"/>
          </w:tblCellMar>
        </w:tblPrEx>
        <w:trPr>
          <w:trHeight w:val="313"/>
        </w:trPr>
        <w:tc>
          <w:tcPr>
            <w:tcW w:w="414" w:type="dxa"/>
            <w:vAlign w:val="top"/>
          </w:tcPr>
          <w:p>
            <w:pPr>
              <w:pStyle w:val="TableText"/>
              <w:spacing w:before="117" w:line="180" w:lineRule="auto"/>
              <w:ind w:left="144"/>
              <w:rPr>
                <w:sz w:val="19"/>
                <w:szCs w:val="19"/>
              </w:rPr>
            </w:pPr>
            <w:r>
              <w:rPr>
                <w:sz w:val="19"/>
                <w:szCs w:val="19"/>
              </w:rPr>
              <w:t>7</w:t>
            </w:r>
          </w:p>
        </w:tc>
        <w:tc>
          <w:tcPr>
            <w:tcW w:w="3186" w:type="dxa"/>
            <w:vAlign w:val="top"/>
          </w:tcPr>
          <w:p>
            <w:pPr>
              <w:pStyle w:val="TableText"/>
              <w:spacing w:before="66" w:line="219" w:lineRule="auto"/>
              <w:ind w:left="131"/>
              <w:rPr>
                <w:sz w:val="19"/>
                <w:szCs w:val="19"/>
              </w:rPr>
            </w:pPr>
            <w:r>
              <w:rPr>
                <w:spacing w:val="-1"/>
                <w:sz w:val="19"/>
                <w:szCs w:val="19"/>
              </w:rPr>
              <w:t>产业链供应链监测系统V1.0</w:t>
            </w:r>
          </w:p>
        </w:tc>
        <w:tc>
          <w:tcPr>
            <w:tcW w:w="1309" w:type="dxa"/>
            <w:vAlign w:val="top"/>
          </w:tcPr>
          <w:p>
            <w:pPr>
              <w:pStyle w:val="TableText"/>
              <w:spacing w:before="72" w:line="224" w:lineRule="auto"/>
              <w:ind w:left="264"/>
              <w:rPr>
                <w:sz w:val="19"/>
                <w:szCs w:val="19"/>
              </w:rPr>
            </w:pPr>
            <w:r>
              <w:rPr>
                <w:spacing w:val="-2"/>
                <w:sz w:val="19"/>
                <w:szCs w:val="19"/>
              </w:rPr>
              <w:t>2023/1/1</w:t>
            </w:r>
          </w:p>
        </w:tc>
        <w:tc>
          <w:tcPr>
            <w:tcW w:w="979" w:type="dxa"/>
            <w:vAlign w:val="top"/>
          </w:tcPr>
          <w:p>
            <w:pPr>
              <w:pStyle w:val="TableText"/>
              <w:spacing w:before="67" w:line="219" w:lineRule="auto"/>
              <w:ind w:left="295"/>
              <w:rPr>
                <w:sz w:val="19"/>
                <w:szCs w:val="19"/>
              </w:rPr>
            </w:pPr>
            <w:r>
              <w:rPr>
                <w:spacing w:val="6"/>
                <w:sz w:val="19"/>
                <w:szCs w:val="19"/>
              </w:rPr>
              <w:t>软著</w:t>
            </w:r>
          </w:p>
        </w:tc>
        <w:tc>
          <w:tcPr>
            <w:tcW w:w="2238" w:type="dxa"/>
            <w:vAlign w:val="top"/>
          </w:tcPr>
          <w:p>
            <w:pPr>
              <w:pStyle w:val="TableText"/>
              <w:spacing w:before="67" w:line="219" w:lineRule="auto"/>
              <w:ind w:left="166"/>
              <w:rPr>
                <w:sz w:val="19"/>
                <w:szCs w:val="19"/>
              </w:rPr>
            </w:pPr>
            <w:r>
              <w:rPr>
                <w:sz w:val="19"/>
                <w:szCs w:val="19"/>
              </w:rPr>
              <w:t>软著登字第11252780号</w:t>
            </w:r>
          </w:p>
        </w:tc>
        <w:tc>
          <w:tcPr>
            <w:tcW w:w="844" w:type="dxa"/>
            <w:vAlign w:val="top"/>
          </w:tcPr>
          <w:p>
            <w:pPr>
              <w:pStyle w:val="TableText"/>
              <w:spacing w:before="116" w:line="181" w:lineRule="auto"/>
              <w:ind w:left="318"/>
              <w:rPr>
                <w:sz w:val="19"/>
                <w:szCs w:val="19"/>
              </w:rPr>
            </w:pPr>
            <w:r>
              <w:rPr>
                <w:spacing w:val="-3"/>
                <w:sz w:val="19"/>
                <w:szCs w:val="19"/>
              </w:rPr>
              <w:t>50</w:t>
            </w:r>
          </w:p>
        </w:tc>
      </w:tr>
    </w:tbl>
    <w:p>
      <w:pPr>
        <w:pStyle w:val="BodyText"/>
        <w:spacing w:line="14" w:lineRule="auto"/>
        <w:rPr>
          <w:sz w:val="2"/>
        </w:rPr>
      </w:pPr>
    </w:p>
    <w:p>
      <w:pPr>
        <w:spacing w:line="14" w:lineRule="auto"/>
        <w:rPr>
          <w:sz w:val="2"/>
          <w:szCs w:val="2"/>
        </w:rPr>
        <w:sectPr>
          <w:headerReference w:type="default" r:id="rId14"/>
          <w:footerReference w:type="default" r:id="rId15"/>
          <w:type w:val="continuous"/>
          <w:pgSz w:w="11910" w:h="16840"/>
          <w:pgMar w:top="1256" w:right="1504" w:bottom="1049" w:left="1425" w:header="1066" w:footer="801" w:gutter="0"/>
          <w:pgNumType w:start="7"/>
          <w:cols w:num="1" w:space="708" w:equalWidth="0">
            <w:col w:w="8981" w:space="0"/>
          </w:cols>
        </w:sectPr>
      </w:pPr>
    </w:p>
    <w:p>
      <w:pPr>
        <w:pStyle w:val="BodyText"/>
        <w:spacing w:line="381" w:lineRule="auto"/>
      </w:pPr>
    </w:p>
    <w:p>
      <w:pPr>
        <w:spacing w:before="78" w:line="245" w:lineRule="auto"/>
        <w:ind w:left="3" w:right="193" w:firstLine="480"/>
        <w:rPr>
          <w:rFonts w:ascii="宋体" w:eastAsia="宋体" w:hAnsi="宋体" w:cs="宋体"/>
          <w:sz w:val="24"/>
          <w:szCs w:val="24"/>
        </w:rPr>
      </w:pPr>
      <w:r>
        <w:rPr>
          <w:rFonts w:ascii="宋体" w:eastAsia="宋体" w:hAnsi="宋体" w:cs="宋体"/>
          <w:spacing w:val="-4"/>
          <w:sz w:val="24"/>
          <w:szCs w:val="24"/>
        </w:rPr>
        <w:t>2、在评估基准日以后的有效期内，如果资产数量及</w:t>
      </w:r>
      <w:r>
        <w:rPr>
          <w:rFonts w:ascii="宋体" w:eastAsia="宋体" w:hAnsi="宋体" w:cs="宋体"/>
          <w:spacing w:val="-5"/>
          <w:sz w:val="24"/>
          <w:szCs w:val="24"/>
        </w:rPr>
        <w:t>作价标准发生变化时，</w:t>
      </w:r>
      <w:r>
        <w:rPr>
          <w:rFonts w:ascii="宋体" w:eastAsia="宋体" w:hAnsi="宋体" w:cs="宋体"/>
          <w:sz w:val="24"/>
          <w:szCs w:val="24"/>
        </w:rPr>
        <w:t xml:space="preserve"> </w:t>
      </w:r>
      <w:bookmarkStart w:id="3" w:name="bookmark6"/>
      <w:bookmarkEnd w:id="3"/>
      <w:bookmarkStart w:id="4" w:name="bookmark5"/>
      <w:bookmarkEnd w:id="4"/>
      <w:r>
        <w:rPr>
          <w:rFonts w:ascii="宋体" w:eastAsia="宋体" w:hAnsi="宋体" w:cs="宋体"/>
          <w:spacing w:val="-10"/>
          <w:sz w:val="24"/>
          <w:szCs w:val="24"/>
        </w:rPr>
        <w:t>应按以下原则处理：</w:t>
      </w:r>
    </w:p>
    <w:p>
      <w:pPr>
        <w:spacing w:before="202" w:line="218" w:lineRule="auto"/>
        <w:ind w:left="483"/>
        <w:rPr>
          <w:rFonts w:ascii="宋体" w:eastAsia="宋体" w:hAnsi="宋体" w:cs="宋体"/>
          <w:sz w:val="24"/>
          <w:szCs w:val="24"/>
        </w:rPr>
      </w:pPr>
      <w:r>
        <w:rPr>
          <w:rFonts w:ascii="宋体" w:eastAsia="宋体" w:hAnsi="宋体" w:cs="宋体"/>
          <w:spacing w:val="-8"/>
          <w:sz w:val="24"/>
          <w:szCs w:val="24"/>
        </w:rPr>
        <w:t>(1)当资产数量发生变化时，应根据原评估方法对资产数额进行相应调整；</w:t>
      </w:r>
    </w:p>
    <w:p>
      <w:pPr>
        <w:spacing w:before="177" w:line="251" w:lineRule="auto"/>
        <w:ind w:left="3" w:right="123" w:firstLine="480"/>
        <w:rPr>
          <w:rFonts w:ascii="宋体" w:eastAsia="宋体" w:hAnsi="宋体" w:cs="宋体"/>
          <w:sz w:val="24"/>
          <w:szCs w:val="24"/>
        </w:rPr>
      </w:pPr>
      <w:r>
        <w:rPr>
          <w:rFonts w:ascii="宋体" w:eastAsia="宋体" w:hAnsi="宋体" w:cs="宋体"/>
          <w:spacing w:val="-9"/>
          <w:sz w:val="24"/>
          <w:szCs w:val="24"/>
        </w:rPr>
        <w:t>(2)当资产价格标准发生变化、且对资产评估结果产生明显影响时，委托人应</w:t>
      </w:r>
      <w:r>
        <w:rPr>
          <w:rFonts w:ascii="宋体" w:eastAsia="宋体" w:hAnsi="宋体" w:cs="宋体"/>
          <w:spacing w:val="3"/>
          <w:sz w:val="24"/>
          <w:szCs w:val="24"/>
        </w:rPr>
        <w:t xml:space="preserve"> </w:t>
      </w:r>
      <w:r>
        <w:rPr>
          <w:rFonts w:ascii="宋体" w:eastAsia="宋体" w:hAnsi="宋体" w:cs="宋体"/>
          <w:spacing w:val="-6"/>
          <w:sz w:val="24"/>
          <w:szCs w:val="24"/>
        </w:rPr>
        <w:t>及时聘请有资格的资产评估机构重新确定评估价值；</w:t>
      </w:r>
    </w:p>
    <w:p>
      <w:pPr>
        <w:spacing w:before="176" w:line="256" w:lineRule="auto"/>
        <w:ind w:left="3" w:right="99" w:firstLine="480"/>
        <w:rPr>
          <w:rFonts w:ascii="宋体" w:eastAsia="宋体" w:hAnsi="宋体" w:cs="宋体"/>
          <w:sz w:val="24"/>
          <w:szCs w:val="24"/>
        </w:rPr>
      </w:pPr>
      <w:r>
        <w:rPr>
          <w:rFonts w:ascii="宋体" w:eastAsia="宋体" w:hAnsi="宋体" w:cs="宋体"/>
          <w:spacing w:val="-8"/>
          <w:sz w:val="24"/>
          <w:szCs w:val="24"/>
        </w:rPr>
        <w:t>(3)对评估基准日后，资产数量、价格标准的变化，委托人</w:t>
      </w:r>
      <w:r>
        <w:rPr>
          <w:rFonts w:ascii="宋体" w:eastAsia="宋体" w:hAnsi="宋体" w:cs="宋体"/>
          <w:spacing w:val="-9"/>
          <w:sz w:val="24"/>
          <w:szCs w:val="24"/>
        </w:rPr>
        <w:t>在资产实际作价时</w:t>
      </w:r>
      <w:r>
        <w:rPr>
          <w:rFonts w:ascii="宋体" w:eastAsia="宋体" w:hAnsi="宋体" w:cs="宋体"/>
          <w:sz w:val="24"/>
          <w:szCs w:val="24"/>
        </w:rPr>
        <w:t xml:space="preserve"> </w:t>
      </w:r>
      <w:r>
        <w:rPr>
          <w:rFonts w:ascii="宋体" w:eastAsia="宋体" w:hAnsi="宋体" w:cs="宋体"/>
          <w:spacing w:val="-3"/>
          <w:sz w:val="24"/>
          <w:szCs w:val="24"/>
        </w:rPr>
        <w:t>应给予充分考虑，进行相应调整。</w:t>
      </w:r>
    </w:p>
    <w:p>
      <w:pPr>
        <w:spacing w:before="184" w:line="263" w:lineRule="auto"/>
        <w:ind w:left="3" w:right="95" w:firstLine="480"/>
        <w:jc w:val="both"/>
        <w:rPr>
          <w:rFonts w:ascii="宋体" w:eastAsia="宋体" w:hAnsi="宋体" w:cs="宋体"/>
          <w:sz w:val="24"/>
          <w:szCs w:val="24"/>
        </w:rPr>
      </w:pPr>
      <w:r>
        <w:rPr>
          <w:rFonts w:ascii="宋体" w:eastAsia="宋体" w:hAnsi="宋体" w:cs="宋体"/>
          <w:spacing w:val="-5"/>
          <w:sz w:val="24"/>
          <w:szCs w:val="24"/>
        </w:rPr>
        <w:t>评估报告使用者应注意以上特别事项对评估结论产生的影响。对企业存在的</w:t>
      </w:r>
      <w:r>
        <w:rPr>
          <w:rFonts w:ascii="宋体" w:eastAsia="宋体" w:hAnsi="宋体" w:cs="宋体"/>
          <w:spacing w:val="2"/>
          <w:sz w:val="24"/>
          <w:szCs w:val="24"/>
        </w:rPr>
        <w:t xml:space="preserve"> </w:t>
      </w:r>
      <w:r>
        <w:rPr>
          <w:rFonts w:ascii="宋体" w:eastAsia="宋体" w:hAnsi="宋体" w:cs="宋体"/>
          <w:spacing w:val="-6"/>
          <w:sz w:val="24"/>
          <w:szCs w:val="24"/>
        </w:rPr>
        <w:t>可能影响资产评估值的特别事项，在企业委托时、出具期</w:t>
      </w:r>
      <w:r>
        <w:rPr>
          <w:rFonts w:ascii="宋体" w:eastAsia="宋体" w:hAnsi="宋体" w:cs="宋体"/>
          <w:spacing w:val="-7"/>
          <w:sz w:val="24"/>
          <w:szCs w:val="24"/>
        </w:rPr>
        <w:t>后事项和或有事项时未</w:t>
      </w:r>
      <w:r>
        <w:rPr>
          <w:rFonts w:ascii="宋体" w:eastAsia="宋体" w:hAnsi="宋体" w:cs="宋体"/>
          <w:sz w:val="24"/>
          <w:szCs w:val="24"/>
        </w:rPr>
        <w:t xml:space="preserve"> </w:t>
      </w:r>
      <w:r>
        <w:rPr>
          <w:rFonts w:ascii="宋体" w:eastAsia="宋体" w:hAnsi="宋体" w:cs="宋体"/>
          <w:spacing w:val="-6"/>
          <w:sz w:val="24"/>
          <w:szCs w:val="24"/>
        </w:rPr>
        <w:t>作特殊说明而评估人员已履行评估程序仍无法获知的情</w:t>
      </w:r>
      <w:r>
        <w:rPr>
          <w:rFonts w:ascii="宋体" w:eastAsia="宋体" w:hAnsi="宋体" w:cs="宋体"/>
          <w:spacing w:val="-7"/>
          <w:sz w:val="24"/>
          <w:szCs w:val="24"/>
        </w:rPr>
        <w:t>况下，评估机构及评估人</w:t>
      </w:r>
      <w:r>
        <w:rPr>
          <w:rFonts w:ascii="宋体" w:eastAsia="宋体" w:hAnsi="宋体" w:cs="宋体"/>
          <w:sz w:val="24"/>
          <w:szCs w:val="24"/>
        </w:rPr>
        <w:t xml:space="preserve"> </w:t>
      </w:r>
      <w:r>
        <w:rPr>
          <w:rFonts w:ascii="宋体" w:eastAsia="宋体" w:hAnsi="宋体" w:cs="宋体"/>
          <w:spacing w:val="-10"/>
          <w:sz w:val="24"/>
          <w:szCs w:val="24"/>
        </w:rPr>
        <w:t>员不承担相关责任。</w:t>
      </w:r>
    </w:p>
    <w:p>
      <w:pPr>
        <w:spacing w:line="263" w:lineRule="auto"/>
        <w:rPr>
          <w:rFonts w:ascii="宋体" w:eastAsia="宋体" w:hAnsi="宋体" w:cs="宋体"/>
          <w:sz w:val="24"/>
          <w:szCs w:val="24"/>
        </w:rPr>
        <w:sectPr>
          <w:headerReference w:type="default" r:id="rId16"/>
          <w:footerReference w:type="default" r:id="rId17"/>
          <w:pgSz w:w="11910" w:h="16840"/>
          <w:pgMar w:top="1276" w:right="1786" w:bottom="1040" w:left="1786" w:header="1086" w:footer="791" w:gutter="0"/>
          <w:pgNumType w:start="8"/>
          <w:cols w:num="1" w:space="720"/>
        </w:sectPr>
      </w:pPr>
    </w:p>
    <w:p>
      <w:pPr>
        <w:pStyle w:val="BodyText"/>
        <w:spacing w:line="254" w:lineRule="auto"/>
      </w:pPr>
    </w:p>
    <w:p>
      <w:pPr>
        <w:pStyle w:val="BodyText"/>
        <w:spacing w:line="254" w:lineRule="auto"/>
      </w:pPr>
    </w:p>
    <w:p>
      <w:pPr>
        <w:pStyle w:val="BodyText"/>
        <w:spacing w:line="254" w:lineRule="auto"/>
      </w:pPr>
    </w:p>
    <w:p>
      <w:pPr>
        <w:spacing w:before="94" w:line="471" w:lineRule="exact"/>
        <w:ind w:left="1927"/>
        <w:rPr>
          <w:rFonts w:ascii="黑体" w:eastAsia="黑体" w:hAnsi="黑体" w:cs="黑体"/>
          <w:sz w:val="29"/>
          <w:szCs w:val="29"/>
        </w:rPr>
      </w:pPr>
      <w:bookmarkStart w:id="5" w:name="bookmark7"/>
      <w:bookmarkEnd w:id="5"/>
      <w:bookmarkStart w:id="6" w:name="bookmark8"/>
      <w:bookmarkEnd w:id="6"/>
      <w:r>
        <w:rPr>
          <w:rFonts w:ascii="黑体" w:eastAsia="黑体" w:hAnsi="黑体" w:cs="黑体"/>
          <w:b/>
          <w:bCs/>
          <w:spacing w:val="1"/>
          <w:position w:val="12"/>
          <w:sz w:val="29"/>
          <w:szCs w:val="29"/>
        </w:rPr>
        <w:t>北京中企慧云科技有限公司拟了解</w:t>
      </w:r>
    </w:p>
    <w:p>
      <w:pPr>
        <w:spacing w:line="222" w:lineRule="auto"/>
        <w:ind w:left="2367"/>
        <w:rPr>
          <w:rFonts w:ascii="黑体" w:eastAsia="黑体" w:hAnsi="黑体" w:cs="黑体"/>
          <w:sz w:val="29"/>
          <w:szCs w:val="29"/>
        </w:rPr>
      </w:pPr>
      <w:r>
        <w:rPr>
          <w:rFonts w:ascii="黑体" w:eastAsia="黑体" w:hAnsi="黑体" w:cs="黑体"/>
          <w:b/>
          <w:bCs/>
          <w:sz w:val="29"/>
          <w:szCs w:val="29"/>
        </w:rPr>
        <w:t>北京中企慧云科技有限公司</w:t>
      </w:r>
    </w:p>
    <w:p>
      <w:pPr>
        <w:spacing w:before="118" w:line="471" w:lineRule="exact"/>
        <w:ind w:left="2957"/>
        <w:rPr>
          <w:rFonts w:ascii="黑体" w:eastAsia="黑体" w:hAnsi="黑体" w:cs="黑体"/>
          <w:sz w:val="29"/>
          <w:szCs w:val="29"/>
        </w:rPr>
      </w:pPr>
      <w:r>
        <w:rPr>
          <w:rFonts w:ascii="黑体" w:eastAsia="黑体" w:hAnsi="黑体" w:cs="黑体"/>
          <w:b/>
          <w:bCs/>
          <w:position w:val="13"/>
          <w:sz w:val="29"/>
          <w:szCs w:val="29"/>
        </w:rPr>
        <w:t>股东全部权益价值</w:t>
      </w:r>
    </w:p>
    <w:p>
      <w:pPr>
        <w:spacing w:line="221" w:lineRule="auto"/>
        <w:ind w:left="3267"/>
        <w:rPr>
          <w:rFonts w:ascii="黑体" w:eastAsia="黑体" w:hAnsi="黑体" w:cs="黑体"/>
          <w:sz w:val="29"/>
          <w:szCs w:val="29"/>
        </w:rPr>
      </w:pPr>
      <w:r>
        <w:rPr>
          <w:rFonts w:ascii="黑体" w:eastAsia="黑体" w:hAnsi="黑体" w:cs="黑体"/>
          <w:b/>
          <w:bCs/>
          <w:spacing w:val="-7"/>
          <w:sz w:val="29"/>
          <w:szCs w:val="29"/>
        </w:rPr>
        <w:t>资产评估报告</w:t>
      </w:r>
    </w:p>
    <w:p>
      <w:pPr>
        <w:spacing w:before="170" w:line="222" w:lineRule="auto"/>
        <w:ind w:left="2346"/>
        <w:rPr>
          <w:rFonts w:ascii="黑体" w:eastAsia="黑体" w:hAnsi="黑体" w:cs="黑体"/>
          <w:sz w:val="24"/>
          <w:szCs w:val="24"/>
        </w:rPr>
      </w:pPr>
      <w:r>
        <w:rPr>
          <w:rFonts w:ascii="黑体" w:eastAsia="黑体" w:hAnsi="黑体" w:cs="黑体"/>
          <w:b/>
          <w:bCs/>
          <w:spacing w:val="5"/>
          <w:sz w:val="24"/>
          <w:szCs w:val="24"/>
        </w:rPr>
        <w:t>京百汇评报字(2024)第A-1002号</w:t>
      </w:r>
    </w:p>
    <w:p>
      <w:pPr>
        <w:pStyle w:val="BodyText"/>
        <w:spacing w:line="273" w:lineRule="auto"/>
      </w:pPr>
    </w:p>
    <w:p>
      <w:pPr>
        <w:spacing w:before="79" w:line="220" w:lineRule="auto"/>
        <w:ind w:left="466"/>
        <w:outlineLvl w:val="0"/>
        <w:rPr>
          <w:rFonts w:ascii="宋体" w:eastAsia="宋体" w:hAnsi="宋体" w:cs="宋体"/>
          <w:sz w:val="24"/>
          <w:szCs w:val="24"/>
        </w:rPr>
      </w:pPr>
      <w:r>
        <w:rPr>
          <w:rFonts w:ascii="宋体" w:eastAsia="宋体" w:hAnsi="宋体" w:cs="宋体"/>
          <w:b/>
          <w:bCs/>
          <w:spacing w:val="-10"/>
          <w:sz w:val="24"/>
          <w:szCs w:val="24"/>
        </w:rPr>
        <w:t>一、绪言</w:t>
      </w:r>
    </w:p>
    <w:p>
      <w:pPr>
        <w:spacing w:before="195" w:line="219" w:lineRule="auto"/>
        <w:ind w:left="3"/>
        <w:rPr>
          <w:rFonts w:ascii="宋体" w:eastAsia="宋体" w:hAnsi="宋体" w:cs="宋体"/>
          <w:sz w:val="24"/>
          <w:szCs w:val="24"/>
        </w:rPr>
      </w:pPr>
      <w:r>
        <w:rPr>
          <w:rFonts w:ascii="宋体" w:eastAsia="宋体" w:hAnsi="宋体" w:cs="宋体"/>
          <w:spacing w:val="-9"/>
          <w:sz w:val="24"/>
          <w:szCs w:val="24"/>
        </w:rPr>
        <w:t>北京中企慧云科技有限公司：</w:t>
      </w:r>
    </w:p>
    <w:p>
      <w:pPr>
        <w:spacing w:before="205" w:line="259" w:lineRule="auto"/>
        <w:ind w:left="3" w:right="121" w:firstLine="460"/>
        <w:jc w:val="both"/>
        <w:rPr>
          <w:rFonts w:ascii="宋体" w:eastAsia="宋体" w:hAnsi="宋体" w:cs="宋体"/>
          <w:sz w:val="24"/>
          <w:szCs w:val="24"/>
        </w:rPr>
      </w:pPr>
      <w:r>
        <w:rPr>
          <w:rFonts w:ascii="宋体" w:eastAsia="宋体" w:hAnsi="宋体" w:cs="宋体"/>
          <w:spacing w:val="-6"/>
          <w:sz w:val="24"/>
          <w:szCs w:val="24"/>
        </w:rPr>
        <w:t>北京百汇方兴资产评估有限公司接受贵公司的委托，按照法律、行政法规和</w:t>
      </w:r>
      <w:r>
        <w:rPr>
          <w:rFonts w:ascii="宋体" w:eastAsia="宋体" w:hAnsi="宋体" w:cs="宋体"/>
          <w:spacing w:val="16"/>
          <w:sz w:val="24"/>
          <w:szCs w:val="24"/>
        </w:rPr>
        <w:t xml:space="preserve"> </w:t>
      </w:r>
      <w:r>
        <w:rPr>
          <w:rFonts w:ascii="宋体" w:eastAsia="宋体" w:hAnsi="宋体" w:cs="宋体"/>
          <w:spacing w:val="-6"/>
          <w:sz w:val="24"/>
          <w:szCs w:val="24"/>
        </w:rPr>
        <w:t>资产评估准则的规定，坚持独立、客观和公正的原则，采用资产基础法，按照必</w:t>
      </w:r>
      <w:r>
        <w:rPr>
          <w:rFonts w:ascii="宋体" w:eastAsia="宋体" w:hAnsi="宋体" w:cs="宋体"/>
          <w:spacing w:val="8"/>
          <w:sz w:val="24"/>
          <w:szCs w:val="24"/>
        </w:rPr>
        <w:t xml:space="preserve"> </w:t>
      </w:r>
      <w:r>
        <w:rPr>
          <w:rFonts w:ascii="宋体" w:eastAsia="宋体" w:hAnsi="宋体" w:cs="宋体"/>
          <w:spacing w:val="-5"/>
          <w:sz w:val="24"/>
          <w:szCs w:val="24"/>
        </w:rPr>
        <w:t>要的评估程序，对北京中企慧云科技有限公司拟</w:t>
      </w:r>
      <w:r>
        <w:rPr>
          <w:rFonts w:ascii="宋体" w:eastAsia="宋体" w:hAnsi="宋体" w:cs="宋体"/>
          <w:spacing w:val="-6"/>
          <w:sz w:val="24"/>
          <w:szCs w:val="24"/>
        </w:rPr>
        <w:t>了解北京中企慧云科技有限公司</w:t>
      </w:r>
      <w:r>
        <w:rPr>
          <w:rFonts w:ascii="宋体" w:eastAsia="宋体" w:hAnsi="宋体" w:cs="宋体"/>
          <w:sz w:val="24"/>
          <w:szCs w:val="24"/>
        </w:rPr>
        <w:t xml:space="preserve"> </w:t>
      </w:r>
      <w:r>
        <w:rPr>
          <w:rFonts w:ascii="宋体" w:eastAsia="宋体" w:hAnsi="宋体" w:cs="宋体"/>
          <w:spacing w:val="7"/>
          <w:sz w:val="24"/>
          <w:szCs w:val="24"/>
        </w:rPr>
        <w:t>股东全部权益价值在2023年11月30日的市场价值进行了评估。现将资产评估</w:t>
      </w:r>
      <w:r>
        <w:rPr>
          <w:rFonts w:ascii="宋体" w:eastAsia="宋体" w:hAnsi="宋体" w:cs="宋体"/>
          <w:spacing w:val="11"/>
          <w:sz w:val="24"/>
          <w:szCs w:val="24"/>
        </w:rPr>
        <w:t xml:space="preserve"> </w:t>
      </w:r>
      <w:r>
        <w:rPr>
          <w:rFonts w:ascii="宋体" w:eastAsia="宋体" w:hAnsi="宋体" w:cs="宋体"/>
          <w:spacing w:val="-13"/>
          <w:sz w:val="24"/>
          <w:szCs w:val="24"/>
        </w:rPr>
        <w:t>情况报告如下：</w:t>
      </w:r>
    </w:p>
    <w:p>
      <w:pPr>
        <w:spacing w:before="213" w:line="249" w:lineRule="auto"/>
        <w:ind w:left="6" w:right="138" w:firstLine="560"/>
        <w:rPr>
          <w:rFonts w:ascii="宋体" w:eastAsia="宋体" w:hAnsi="宋体" w:cs="宋体"/>
          <w:sz w:val="24"/>
          <w:szCs w:val="24"/>
        </w:rPr>
      </w:pPr>
      <w:r>
        <w:rPr>
          <w:rFonts w:ascii="宋体" w:eastAsia="宋体" w:hAnsi="宋体" w:cs="宋体"/>
          <w:b/>
          <w:bCs/>
          <w:spacing w:val="-4"/>
          <w:sz w:val="24"/>
          <w:szCs w:val="24"/>
        </w:rPr>
        <w:t>二、委托人、被评估单位和资产评估委托合同约定的其他评估报告使</w:t>
      </w:r>
      <w:r>
        <w:rPr>
          <w:rFonts w:ascii="宋体" w:eastAsia="宋体" w:hAnsi="宋体" w:cs="宋体"/>
          <w:b/>
          <w:bCs/>
          <w:spacing w:val="-5"/>
          <w:sz w:val="24"/>
          <w:szCs w:val="24"/>
        </w:rPr>
        <w:t>用人</w:t>
      </w:r>
      <w:r>
        <w:rPr>
          <w:rFonts w:ascii="宋体" w:eastAsia="宋体" w:hAnsi="宋体" w:cs="宋体"/>
          <w:sz w:val="24"/>
          <w:szCs w:val="24"/>
        </w:rPr>
        <w:t xml:space="preserve"> </w:t>
      </w:r>
      <w:r>
        <w:rPr>
          <w:rFonts w:ascii="宋体" w:eastAsia="宋体" w:hAnsi="宋体" w:cs="宋体"/>
          <w:b/>
          <w:bCs/>
          <w:spacing w:val="-5"/>
          <w:sz w:val="24"/>
          <w:szCs w:val="24"/>
        </w:rPr>
        <w:t>概况</w:t>
      </w:r>
    </w:p>
    <w:p>
      <w:pPr>
        <w:spacing w:before="197" w:line="258" w:lineRule="auto"/>
        <w:ind w:left="3" w:right="140" w:firstLine="460"/>
        <w:jc w:val="both"/>
        <w:rPr>
          <w:rFonts w:ascii="宋体" w:eastAsia="宋体" w:hAnsi="宋体" w:cs="宋体"/>
          <w:sz w:val="24"/>
          <w:szCs w:val="24"/>
        </w:rPr>
      </w:pPr>
      <w:r>
        <w:rPr>
          <w:rFonts w:ascii="宋体" w:eastAsia="宋体" w:hAnsi="宋体" w:cs="宋体"/>
          <w:spacing w:val="-6"/>
          <w:sz w:val="24"/>
          <w:szCs w:val="24"/>
        </w:rPr>
        <w:t>本次评估的委托人和被评估单位同为北京中企慧云科技有限公司，资产评估</w:t>
      </w:r>
      <w:r>
        <w:rPr>
          <w:rFonts w:ascii="宋体" w:eastAsia="宋体" w:hAnsi="宋体" w:cs="宋体"/>
          <w:spacing w:val="7"/>
          <w:sz w:val="24"/>
          <w:szCs w:val="24"/>
        </w:rPr>
        <w:t xml:space="preserve"> </w:t>
      </w:r>
      <w:r>
        <w:rPr>
          <w:rFonts w:ascii="宋体" w:eastAsia="宋体" w:hAnsi="宋体" w:cs="宋体"/>
          <w:spacing w:val="-6"/>
          <w:sz w:val="24"/>
          <w:szCs w:val="24"/>
        </w:rPr>
        <w:t>委托合同约定的其他评估报告使用者包括经济行为所涉及的相关当事方、政府主</w:t>
      </w:r>
      <w:r>
        <w:rPr>
          <w:rFonts w:ascii="宋体" w:eastAsia="宋体" w:hAnsi="宋体" w:cs="宋体"/>
          <w:spacing w:val="1"/>
          <w:sz w:val="24"/>
          <w:szCs w:val="24"/>
        </w:rPr>
        <w:t xml:space="preserve"> </w:t>
      </w:r>
      <w:r>
        <w:rPr>
          <w:rFonts w:ascii="宋体" w:eastAsia="宋体" w:hAnsi="宋体" w:cs="宋体"/>
          <w:spacing w:val="-5"/>
          <w:sz w:val="24"/>
          <w:szCs w:val="24"/>
        </w:rPr>
        <w:t>管部门和法律、行政法规规定的使用人。</w:t>
      </w:r>
    </w:p>
    <w:p>
      <w:pPr>
        <w:spacing w:before="194" w:line="487" w:lineRule="exact"/>
        <w:ind w:left="463"/>
        <w:rPr>
          <w:rFonts w:ascii="宋体" w:eastAsia="宋体" w:hAnsi="宋体" w:cs="宋体"/>
          <w:sz w:val="24"/>
          <w:szCs w:val="24"/>
        </w:rPr>
      </w:pPr>
      <w:r>
        <w:rPr>
          <w:rFonts w:ascii="宋体" w:eastAsia="宋体" w:hAnsi="宋体" w:cs="宋体"/>
          <w:spacing w:val="-4"/>
          <w:position w:val="18"/>
          <w:sz w:val="24"/>
          <w:szCs w:val="24"/>
        </w:rPr>
        <w:t>1、企业名称：北京中企慧云科技有限公司</w:t>
      </w:r>
    </w:p>
    <w:p>
      <w:pPr>
        <w:spacing w:before="1" w:line="216" w:lineRule="auto"/>
        <w:ind w:left="463"/>
        <w:rPr>
          <w:rFonts w:ascii="宋体" w:eastAsia="宋体" w:hAnsi="宋体" w:cs="宋体"/>
          <w:sz w:val="24"/>
          <w:szCs w:val="24"/>
        </w:rPr>
      </w:pPr>
      <w:r>
        <w:rPr>
          <w:rFonts w:ascii="宋体" w:eastAsia="宋体" w:hAnsi="宋体" w:cs="宋体"/>
          <w:spacing w:val="-10"/>
          <w:sz w:val="24"/>
          <w:szCs w:val="24"/>
        </w:rPr>
        <w:t>注册资本：3,353万(元)</w:t>
      </w:r>
    </w:p>
    <w:p>
      <w:pPr>
        <w:spacing w:before="192" w:line="219" w:lineRule="auto"/>
        <w:ind w:left="463"/>
        <w:rPr>
          <w:rFonts w:ascii="宋体" w:eastAsia="宋体" w:hAnsi="宋体" w:cs="宋体"/>
          <w:sz w:val="24"/>
          <w:szCs w:val="24"/>
        </w:rPr>
      </w:pPr>
      <w:r>
        <w:rPr>
          <w:rFonts w:ascii="宋体" w:eastAsia="宋体" w:hAnsi="宋体" w:cs="宋体"/>
          <w:spacing w:val="-7"/>
          <w:sz w:val="24"/>
          <w:szCs w:val="24"/>
        </w:rPr>
        <w:t>法人代表：张怀财</w:t>
      </w:r>
    </w:p>
    <w:p>
      <w:pPr>
        <w:spacing w:before="196" w:line="219" w:lineRule="auto"/>
        <w:ind w:left="463"/>
        <w:rPr>
          <w:rFonts w:ascii="宋体" w:eastAsia="宋体" w:hAnsi="宋体" w:cs="宋体"/>
          <w:sz w:val="24"/>
          <w:szCs w:val="24"/>
        </w:rPr>
      </w:pPr>
      <w:r>
        <w:rPr>
          <w:rFonts w:ascii="宋体" w:eastAsia="宋体" w:hAnsi="宋体" w:cs="宋体"/>
          <w:spacing w:val="-5"/>
          <w:sz w:val="24"/>
          <w:szCs w:val="24"/>
        </w:rPr>
        <w:t>公司类型：有限责任公司</w:t>
      </w:r>
    </w:p>
    <w:p>
      <w:pPr>
        <w:spacing w:before="195" w:line="219" w:lineRule="auto"/>
        <w:ind w:left="463"/>
        <w:rPr>
          <w:rFonts w:ascii="宋体" w:eastAsia="宋体" w:hAnsi="宋体" w:cs="宋体"/>
          <w:sz w:val="24"/>
          <w:szCs w:val="24"/>
        </w:rPr>
      </w:pPr>
      <w:r>
        <w:rPr>
          <w:rFonts w:ascii="宋体" w:eastAsia="宋体" w:hAnsi="宋体" w:cs="宋体"/>
          <w:spacing w:val="10"/>
          <w:sz w:val="24"/>
          <w:szCs w:val="24"/>
        </w:rPr>
        <w:t>成立时间：2022年10月28日</w:t>
      </w:r>
    </w:p>
    <w:p>
      <w:pPr>
        <w:spacing w:before="205" w:line="219" w:lineRule="auto"/>
        <w:ind w:left="463"/>
        <w:rPr>
          <w:rFonts w:ascii="宋体" w:eastAsia="宋体" w:hAnsi="宋体" w:cs="宋体"/>
          <w:sz w:val="24"/>
          <w:szCs w:val="24"/>
        </w:rPr>
      </w:pPr>
      <w:r>
        <w:rPr>
          <w:rFonts w:ascii="宋体" w:eastAsia="宋体" w:hAnsi="宋体" w:cs="宋体"/>
          <w:spacing w:val="12"/>
          <w:sz w:val="24"/>
          <w:szCs w:val="24"/>
        </w:rPr>
        <w:t>注册地址：北京市海淀区紫竹院南路17号3号楼3层308室</w:t>
      </w:r>
    </w:p>
    <w:p>
      <w:pPr>
        <w:spacing w:before="171" w:line="270" w:lineRule="auto"/>
        <w:ind w:left="3" w:right="83" w:firstLine="460"/>
        <w:jc w:val="both"/>
        <w:rPr>
          <w:rFonts w:ascii="宋体" w:eastAsia="宋体" w:hAnsi="宋体" w:cs="宋体"/>
          <w:sz w:val="24"/>
          <w:szCs w:val="24"/>
        </w:rPr>
      </w:pPr>
      <w:r>
        <w:rPr>
          <w:rFonts w:ascii="宋体" w:eastAsia="宋体" w:hAnsi="宋体" w:cs="宋体"/>
          <w:spacing w:val="-9"/>
          <w:sz w:val="24"/>
          <w:szCs w:val="24"/>
        </w:rPr>
        <w:t>经营范围： 一般项目：技术服务、技术开发、技术咨询、技术交</w:t>
      </w:r>
      <w:r>
        <w:rPr>
          <w:rFonts w:ascii="宋体" w:eastAsia="宋体" w:hAnsi="宋体" w:cs="宋体"/>
          <w:spacing w:val="-10"/>
          <w:sz w:val="24"/>
          <w:szCs w:val="24"/>
        </w:rPr>
        <w:t>流、技术转</w:t>
      </w:r>
      <w:r>
        <w:rPr>
          <w:rFonts w:ascii="宋体" w:eastAsia="宋体" w:hAnsi="宋体" w:cs="宋体"/>
          <w:sz w:val="24"/>
          <w:szCs w:val="24"/>
        </w:rPr>
        <w:t xml:space="preserve"> </w:t>
      </w:r>
      <w:r>
        <w:rPr>
          <w:rFonts w:ascii="宋体" w:eastAsia="宋体" w:hAnsi="宋体" w:cs="宋体"/>
          <w:spacing w:val="-3"/>
          <w:sz w:val="24"/>
          <w:szCs w:val="24"/>
        </w:rPr>
        <w:t>让、技术推广；信息技术咨询服务；软件开发；数字内容制作服务(不含出版发</w:t>
      </w:r>
      <w:r>
        <w:rPr>
          <w:rFonts w:ascii="宋体" w:eastAsia="宋体" w:hAnsi="宋体" w:cs="宋体"/>
          <w:spacing w:val="14"/>
          <w:sz w:val="24"/>
          <w:szCs w:val="24"/>
        </w:rPr>
        <w:t xml:space="preserve"> </w:t>
      </w:r>
      <w:r>
        <w:rPr>
          <w:rFonts w:ascii="宋体" w:eastAsia="宋体" w:hAnsi="宋体" w:cs="宋体"/>
          <w:spacing w:val="1"/>
          <w:sz w:val="24"/>
          <w:szCs w:val="24"/>
        </w:rPr>
        <w:t>行);信息系统集成服务；物联网技术服务；信息系统运行维护服务；数据处理</w:t>
      </w:r>
      <w:r>
        <w:rPr>
          <w:rFonts w:ascii="宋体" w:eastAsia="宋体" w:hAnsi="宋体" w:cs="宋体"/>
          <w:spacing w:val="12"/>
          <w:sz w:val="24"/>
          <w:szCs w:val="24"/>
        </w:rPr>
        <w:t xml:space="preserve"> </w:t>
      </w:r>
      <w:r>
        <w:rPr>
          <w:rFonts w:ascii="宋体" w:eastAsia="宋体" w:hAnsi="宋体" w:cs="宋体"/>
          <w:spacing w:val="-4"/>
          <w:sz w:val="24"/>
          <w:szCs w:val="24"/>
        </w:rPr>
        <w:t>和存储支持服务；集成电路设计；工业设计服务；科</w:t>
      </w:r>
      <w:r>
        <w:rPr>
          <w:rFonts w:ascii="宋体" w:eastAsia="宋体" w:hAnsi="宋体" w:cs="宋体"/>
          <w:spacing w:val="-5"/>
          <w:sz w:val="24"/>
          <w:szCs w:val="24"/>
        </w:rPr>
        <w:t>技中介服务；标准化服务；</w:t>
      </w:r>
      <w:r>
        <w:rPr>
          <w:rFonts w:ascii="宋体" w:eastAsia="宋体" w:hAnsi="宋体" w:cs="宋体"/>
          <w:sz w:val="24"/>
          <w:szCs w:val="24"/>
        </w:rPr>
        <w:t xml:space="preserve"> </w:t>
      </w:r>
      <w:r>
        <w:rPr>
          <w:rFonts w:ascii="宋体" w:eastAsia="宋体" w:hAnsi="宋体" w:cs="宋体"/>
          <w:spacing w:val="-6"/>
          <w:sz w:val="24"/>
          <w:szCs w:val="24"/>
        </w:rPr>
        <w:t>工程和技术研究和试验发展；创业空间服务；会议及展览服务；商业综合</w:t>
      </w:r>
      <w:r>
        <w:rPr>
          <w:rFonts w:ascii="宋体" w:eastAsia="宋体" w:hAnsi="宋体" w:cs="宋体"/>
          <w:spacing w:val="-7"/>
          <w:sz w:val="24"/>
          <w:szCs w:val="24"/>
        </w:rPr>
        <w:t>体管理</w:t>
      </w:r>
      <w:r>
        <w:rPr>
          <w:rFonts w:ascii="宋体" w:eastAsia="宋体" w:hAnsi="宋体" w:cs="宋体"/>
          <w:sz w:val="24"/>
          <w:szCs w:val="24"/>
        </w:rPr>
        <w:t xml:space="preserve"> </w:t>
      </w:r>
      <w:r>
        <w:rPr>
          <w:rFonts w:ascii="宋体" w:eastAsia="宋体" w:hAnsi="宋体" w:cs="宋体"/>
          <w:spacing w:val="-8"/>
          <w:sz w:val="24"/>
          <w:szCs w:val="24"/>
        </w:rPr>
        <w:t>服务；文化场馆管理服务；供应链管理服务；园区管理服</w:t>
      </w:r>
      <w:r>
        <w:rPr>
          <w:rFonts w:ascii="宋体" w:eastAsia="宋体" w:hAnsi="宋体" w:cs="宋体"/>
          <w:spacing w:val="-9"/>
          <w:sz w:val="24"/>
          <w:szCs w:val="24"/>
        </w:rPr>
        <w:t>务。</w:t>
      </w:r>
      <w:r>
        <w:rPr>
          <w:rFonts w:ascii="宋体" w:eastAsia="宋体" w:hAnsi="宋体" w:cs="宋体"/>
          <w:spacing w:val="100"/>
          <w:sz w:val="24"/>
          <w:szCs w:val="24"/>
        </w:rPr>
        <w:t xml:space="preserve"> </w:t>
      </w:r>
      <w:r>
        <w:rPr>
          <w:rFonts w:ascii="宋体" w:eastAsia="宋体" w:hAnsi="宋体" w:cs="宋体"/>
          <w:spacing w:val="-9"/>
          <w:sz w:val="24"/>
          <w:szCs w:val="24"/>
        </w:rPr>
        <w:t>(除依法须经批准</w:t>
      </w:r>
      <w:r>
        <w:rPr>
          <w:rFonts w:ascii="宋体" w:eastAsia="宋体" w:hAnsi="宋体" w:cs="宋体"/>
          <w:sz w:val="24"/>
          <w:szCs w:val="24"/>
        </w:rPr>
        <w:t xml:space="preserve"> </w:t>
      </w:r>
      <w:r>
        <w:rPr>
          <w:rFonts w:ascii="宋体" w:eastAsia="宋体" w:hAnsi="宋体" w:cs="宋体"/>
          <w:spacing w:val="-3"/>
          <w:sz w:val="24"/>
          <w:szCs w:val="24"/>
        </w:rPr>
        <w:t>的项目外，凭营业执照依法自主开展经营活动)许可项目：认证服务；电子认证</w:t>
      </w:r>
      <w:r>
        <w:rPr>
          <w:rFonts w:ascii="宋体" w:eastAsia="宋体" w:hAnsi="宋体" w:cs="宋体"/>
          <w:spacing w:val="14"/>
          <w:sz w:val="24"/>
          <w:szCs w:val="24"/>
        </w:rPr>
        <w:t xml:space="preserve"> </w:t>
      </w:r>
      <w:r>
        <w:rPr>
          <w:rFonts w:ascii="宋体" w:eastAsia="宋体" w:hAnsi="宋体" w:cs="宋体"/>
          <w:spacing w:val="-2"/>
          <w:sz w:val="24"/>
          <w:szCs w:val="24"/>
        </w:rPr>
        <w:t>服务。(依法须经批准的项目，经相关部门批准后方可开展经营活动，具体经营</w:t>
      </w:r>
    </w:p>
    <w:p>
      <w:pPr>
        <w:spacing w:line="270" w:lineRule="auto"/>
        <w:rPr>
          <w:rFonts w:ascii="宋体" w:eastAsia="宋体" w:hAnsi="宋体" w:cs="宋体"/>
          <w:sz w:val="24"/>
          <w:szCs w:val="24"/>
        </w:rPr>
        <w:sectPr>
          <w:headerReference w:type="default" r:id="rId18"/>
          <w:footerReference w:type="default" r:id="rId19"/>
          <w:pgSz w:w="11910" w:h="16840"/>
          <w:pgMar w:top="1235" w:right="1786" w:bottom="1090" w:left="1786" w:header="1055" w:footer="831" w:gutter="0"/>
          <w:pgNumType w:start="9"/>
          <w:cols w:num="1" w:space="720"/>
        </w:sectPr>
      </w:pPr>
    </w:p>
    <w:p>
      <w:pPr>
        <w:pStyle w:val="BodyText"/>
        <w:spacing w:line="383" w:lineRule="auto"/>
      </w:pPr>
    </w:p>
    <w:p>
      <w:pPr>
        <w:spacing w:before="78" w:line="248" w:lineRule="auto"/>
        <w:ind w:left="234" w:right="273"/>
        <w:rPr>
          <w:rFonts w:ascii="宋体" w:eastAsia="宋体" w:hAnsi="宋体" w:cs="宋体"/>
          <w:sz w:val="24"/>
          <w:szCs w:val="24"/>
        </w:rPr>
      </w:pPr>
      <w:bookmarkStart w:id="7" w:name="bookmark9"/>
      <w:bookmarkEnd w:id="7"/>
      <w:r>
        <w:rPr>
          <w:rFonts w:ascii="宋体" w:eastAsia="宋体" w:hAnsi="宋体" w:cs="宋体"/>
          <w:spacing w:val="1"/>
          <w:sz w:val="24"/>
          <w:szCs w:val="24"/>
        </w:rPr>
        <w:t>项目以相关部门批准文件或许可证件为准)(不得从事国家和本市产业政策禁止</w:t>
      </w:r>
      <w:r>
        <w:rPr>
          <w:rFonts w:ascii="宋体" w:eastAsia="宋体" w:hAnsi="宋体" w:cs="宋体"/>
          <w:spacing w:val="5"/>
          <w:sz w:val="24"/>
          <w:szCs w:val="24"/>
        </w:rPr>
        <w:t xml:space="preserve"> </w:t>
      </w:r>
      <w:r>
        <w:rPr>
          <w:rFonts w:ascii="宋体" w:eastAsia="宋体" w:hAnsi="宋体" w:cs="宋体"/>
          <w:spacing w:val="-1"/>
          <w:sz w:val="24"/>
          <w:szCs w:val="24"/>
        </w:rPr>
        <w:t>和限制类项目的经营活动。)</w:t>
      </w:r>
    </w:p>
    <w:p>
      <w:pPr>
        <w:spacing w:before="175" w:line="219" w:lineRule="auto"/>
        <w:ind w:left="705"/>
        <w:rPr>
          <w:rFonts w:ascii="宋体" w:eastAsia="宋体" w:hAnsi="宋体" w:cs="宋体"/>
          <w:sz w:val="24"/>
          <w:szCs w:val="24"/>
        </w:rPr>
      </w:pPr>
      <w:r>
        <w:rPr>
          <w:rFonts w:ascii="宋体" w:eastAsia="宋体" w:hAnsi="宋体" w:cs="宋体"/>
          <w:spacing w:val="-8"/>
          <w:sz w:val="24"/>
          <w:szCs w:val="24"/>
        </w:rPr>
        <w:t>2、历史沿革</w:t>
      </w:r>
    </w:p>
    <w:p>
      <w:pPr>
        <w:spacing w:before="204" w:line="256" w:lineRule="auto"/>
        <w:ind w:left="234" w:right="272" w:firstLine="470"/>
        <w:jc w:val="both"/>
        <w:rPr>
          <w:rFonts w:ascii="宋体" w:eastAsia="宋体" w:hAnsi="宋体" w:cs="宋体"/>
          <w:sz w:val="24"/>
          <w:szCs w:val="24"/>
        </w:rPr>
      </w:pPr>
      <w:r>
        <w:rPr>
          <w:rFonts w:ascii="宋体" w:eastAsia="宋体" w:hAnsi="宋体" w:cs="宋体"/>
          <w:spacing w:val="-7"/>
          <w:sz w:val="24"/>
          <w:szCs w:val="24"/>
        </w:rPr>
        <w:t>北京中企慧云科技有限公司是北京中慧紫竹科技发展中心(有限合伙)、北京</w:t>
      </w:r>
      <w:r>
        <w:rPr>
          <w:rFonts w:ascii="宋体" w:eastAsia="宋体" w:hAnsi="宋体" w:cs="宋体"/>
          <w:spacing w:val="18"/>
          <w:sz w:val="24"/>
          <w:szCs w:val="24"/>
        </w:rPr>
        <w:t xml:space="preserve"> </w:t>
      </w:r>
      <w:r>
        <w:rPr>
          <w:rFonts w:ascii="宋体" w:eastAsia="宋体" w:hAnsi="宋体" w:cs="宋体"/>
          <w:spacing w:val="1"/>
          <w:sz w:val="24"/>
          <w:szCs w:val="24"/>
        </w:rPr>
        <w:t>新知禾科技发展中心(有限合伙)、北京紫薇辰科技有限公司和陈玉涛2022年10</w:t>
      </w:r>
      <w:r>
        <w:rPr>
          <w:rFonts w:ascii="宋体" w:eastAsia="宋体" w:hAnsi="宋体" w:cs="宋体"/>
          <w:spacing w:val="3"/>
          <w:sz w:val="24"/>
          <w:szCs w:val="24"/>
        </w:rPr>
        <w:t xml:space="preserve"> </w:t>
      </w:r>
      <w:r>
        <w:rPr>
          <w:rFonts w:ascii="宋体" w:eastAsia="宋体" w:hAnsi="宋体" w:cs="宋体"/>
          <w:spacing w:val="-10"/>
          <w:sz w:val="24"/>
          <w:szCs w:val="24"/>
        </w:rPr>
        <w:t>月共同出资成立，注册资本3,353.00</w:t>
      </w:r>
      <w:r>
        <w:rPr>
          <w:rFonts w:ascii="宋体" w:eastAsia="宋体" w:hAnsi="宋体" w:cs="宋体"/>
          <w:spacing w:val="-52"/>
          <w:sz w:val="24"/>
          <w:szCs w:val="24"/>
        </w:rPr>
        <w:t xml:space="preserve"> </w:t>
      </w:r>
      <w:r>
        <w:rPr>
          <w:rFonts w:ascii="宋体" w:eastAsia="宋体" w:hAnsi="宋体" w:cs="宋体"/>
          <w:spacing w:val="-11"/>
          <w:sz w:val="24"/>
          <w:szCs w:val="24"/>
        </w:rPr>
        <w:t>万元。</w:t>
      </w:r>
    </w:p>
    <w:p>
      <w:pPr>
        <w:spacing w:before="229" w:line="199" w:lineRule="auto"/>
        <w:ind w:left="744"/>
        <w:rPr>
          <w:rFonts w:ascii="宋体" w:eastAsia="宋体" w:hAnsi="宋体" w:cs="宋体"/>
          <w:sz w:val="23"/>
          <w:szCs w:val="23"/>
        </w:rPr>
      </w:pPr>
      <w:r>
        <w:rPr>
          <w:rFonts w:ascii="宋体" w:eastAsia="宋体" w:hAnsi="宋体" w:cs="宋体"/>
          <w:spacing w:val="-1"/>
          <w:sz w:val="23"/>
          <w:szCs w:val="23"/>
        </w:rPr>
        <w:t>截止至本次评估基准日，股权结构如下：</w:t>
      </w:r>
    </w:p>
    <w:tbl>
      <w:tblPr>
        <w:tblStyle w:val="TableNormal01"/>
        <w:tblW w:w="87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3361"/>
        <w:gridCol w:w="2737"/>
        <w:gridCol w:w="2602"/>
      </w:tblGrid>
      <w:tr>
        <w:tblPrEx>
          <w:tblW w:w="87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33"/>
        </w:trPr>
        <w:tc>
          <w:tcPr>
            <w:tcW w:w="3361" w:type="dxa"/>
            <w:vAlign w:val="top"/>
          </w:tcPr>
          <w:p>
            <w:pPr>
              <w:pStyle w:val="TableText"/>
              <w:spacing w:before="82" w:line="219" w:lineRule="auto"/>
              <w:ind w:left="1324"/>
            </w:pPr>
            <w:r>
              <w:rPr>
                <w:spacing w:val="-2"/>
              </w:rPr>
              <w:t>股东名称</w:t>
            </w:r>
          </w:p>
        </w:tc>
        <w:tc>
          <w:tcPr>
            <w:tcW w:w="2737" w:type="dxa"/>
            <w:vAlign w:val="top"/>
          </w:tcPr>
          <w:p>
            <w:pPr>
              <w:pStyle w:val="TableText"/>
              <w:spacing w:before="81" w:line="219" w:lineRule="auto"/>
              <w:ind w:left="653"/>
            </w:pPr>
            <w:r>
              <w:rPr>
                <w:spacing w:val="4"/>
              </w:rPr>
              <w:t>注册资本(万元)</w:t>
            </w:r>
          </w:p>
        </w:tc>
        <w:tc>
          <w:tcPr>
            <w:tcW w:w="2602" w:type="dxa"/>
            <w:vAlign w:val="top"/>
          </w:tcPr>
          <w:p>
            <w:pPr>
              <w:pStyle w:val="TableText"/>
              <w:spacing w:before="83" w:line="221" w:lineRule="auto"/>
              <w:ind w:left="727"/>
            </w:pPr>
            <w:r>
              <w:rPr>
                <w:spacing w:val="5"/>
              </w:rPr>
              <w:t>出资比例(%)</w:t>
            </w:r>
          </w:p>
        </w:tc>
      </w:tr>
      <w:tr>
        <w:tblPrEx>
          <w:tblW w:w="8700" w:type="dxa"/>
          <w:tblInd w:w="5" w:type="dxa"/>
          <w:tblLayout w:type="fixed"/>
          <w:tblCellMar>
            <w:top w:w="0" w:type="dxa"/>
            <w:left w:w="0" w:type="dxa"/>
            <w:bottom w:w="0" w:type="dxa"/>
            <w:right w:w="0" w:type="dxa"/>
          </w:tblCellMar>
        </w:tblPrEx>
        <w:trPr>
          <w:trHeight w:val="338"/>
        </w:trPr>
        <w:tc>
          <w:tcPr>
            <w:tcW w:w="3361" w:type="dxa"/>
            <w:vAlign w:val="top"/>
          </w:tcPr>
          <w:p>
            <w:pPr>
              <w:pStyle w:val="TableText"/>
              <w:spacing w:before="78" w:line="219" w:lineRule="auto"/>
              <w:ind w:left="95"/>
            </w:pPr>
            <w:r>
              <w:rPr>
                <w:spacing w:val="2"/>
              </w:rPr>
              <w:t>北京中慧紫竹科技发展中心(有限合伙)</w:t>
            </w:r>
          </w:p>
        </w:tc>
        <w:tc>
          <w:tcPr>
            <w:tcW w:w="2737" w:type="dxa"/>
            <w:vAlign w:val="top"/>
          </w:tcPr>
          <w:p>
            <w:pPr>
              <w:pStyle w:val="TableText"/>
              <w:spacing w:before="103" w:line="184" w:lineRule="auto"/>
              <w:ind w:left="1934"/>
            </w:pPr>
            <w:r>
              <w:rPr>
                <w:spacing w:val="-3"/>
              </w:rPr>
              <w:t>1,353.30</w:t>
            </w:r>
          </w:p>
        </w:tc>
        <w:tc>
          <w:tcPr>
            <w:tcW w:w="2602" w:type="dxa"/>
            <w:vAlign w:val="top"/>
          </w:tcPr>
          <w:p>
            <w:pPr>
              <w:pStyle w:val="TableText"/>
              <w:spacing w:before="125" w:line="183" w:lineRule="auto"/>
              <w:ind w:left="1956"/>
            </w:pPr>
            <w:r>
              <w:rPr>
                <w:spacing w:val="-2"/>
              </w:rPr>
              <w:t>40.36%</w:t>
            </w:r>
          </w:p>
        </w:tc>
      </w:tr>
      <w:tr>
        <w:tblPrEx>
          <w:tblW w:w="8700" w:type="dxa"/>
          <w:tblInd w:w="5" w:type="dxa"/>
          <w:tblLayout w:type="fixed"/>
          <w:tblCellMar>
            <w:top w:w="0" w:type="dxa"/>
            <w:left w:w="0" w:type="dxa"/>
            <w:bottom w:w="0" w:type="dxa"/>
            <w:right w:w="0" w:type="dxa"/>
          </w:tblCellMar>
        </w:tblPrEx>
        <w:trPr>
          <w:trHeight w:val="338"/>
        </w:trPr>
        <w:tc>
          <w:tcPr>
            <w:tcW w:w="3361" w:type="dxa"/>
            <w:vAlign w:val="top"/>
          </w:tcPr>
          <w:p>
            <w:pPr>
              <w:pStyle w:val="TableText"/>
              <w:spacing w:before="80" w:line="219" w:lineRule="auto"/>
              <w:ind w:left="95"/>
            </w:pPr>
            <w:r>
              <w:rPr>
                <w:spacing w:val="2"/>
              </w:rPr>
              <w:t>北京新知禾科技发展中心(有限合伙)</w:t>
            </w:r>
          </w:p>
        </w:tc>
        <w:tc>
          <w:tcPr>
            <w:tcW w:w="2737" w:type="dxa"/>
            <w:vAlign w:val="top"/>
          </w:tcPr>
          <w:p>
            <w:pPr>
              <w:pStyle w:val="TableText"/>
              <w:spacing w:before="126" w:line="184" w:lineRule="auto"/>
              <w:ind w:left="2114"/>
            </w:pPr>
            <w:r>
              <w:rPr>
                <w:spacing w:val="-2"/>
              </w:rPr>
              <w:t>891.20</w:t>
            </w:r>
          </w:p>
        </w:tc>
        <w:tc>
          <w:tcPr>
            <w:tcW w:w="2602" w:type="dxa"/>
            <w:vAlign w:val="top"/>
          </w:tcPr>
          <w:p>
            <w:pPr>
              <w:pStyle w:val="TableText"/>
              <w:spacing w:before="127" w:line="183" w:lineRule="auto"/>
              <w:ind w:left="1956"/>
            </w:pPr>
            <w:r>
              <w:rPr>
                <w:spacing w:val="-2"/>
              </w:rPr>
              <w:t>26.58%</w:t>
            </w:r>
          </w:p>
        </w:tc>
      </w:tr>
      <w:tr>
        <w:tblPrEx>
          <w:tblW w:w="8700" w:type="dxa"/>
          <w:tblInd w:w="5" w:type="dxa"/>
          <w:tblLayout w:type="fixed"/>
          <w:tblCellMar>
            <w:top w:w="0" w:type="dxa"/>
            <w:left w:w="0" w:type="dxa"/>
            <w:bottom w:w="0" w:type="dxa"/>
            <w:right w:w="0" w:type="dxa"/>
          </w:tblCellMar>
        </w:tblPrEx>
        <w:trPr>
          <w:trHeight w:val="348"/>
        </w:trPr>
        <w:tc>
          <w:tcPr>
            <w:tcW w:w="3361" w:type="dxa"/>
            <w:vAlign w:val="top"/>
          </w:tcPr>
          <w:p>
            <w:pPr>
              <w:pStyle w:val="TableText"/>
              <w:spacing w:before="92" w:line="219" w:lineRule="auto"/>
              <w:ind w:left="95"/>
            </w:pPr>
            <w:r>
              <w:rPr>
                <w:spacing w:val="2"/>
              </w:rPr>
              <w:t>北京紫薇辰科技有限公司</w:t>
            </w:r>
          </w:p>
        </w:tc>
        <w:tc>
          <w:tcPr>
            <w:tcW w:w="2737" w:type="dxa"/>
            <w:vAlign w:val="top"/>
          </w:tcPr>
          <w:p>
            <w:pPr>
              <w:pStyle w:val="TableText"/>
              <w:spacing w:before="138" w:line="184" w:lineRule="auto"/>
              <w:ind w:left="2114"/>
            </w:pPr>
            <w:r>
              <w:rPr>
                <w:spacing w:val="-2"/>
              </w:rPr>
              <w:t>661.50</w:t>
            </w:r>
          </w:p>
        </w:tc>
        <w:tc>
          <w:tcPr>
            <w:tcW w:w="2602" w:type="dxa"/>
            <w:vAlign w:val="top"/>
          </w:tcPr>
          <w:p>
            <w:pPr>
              <w:pStyle w:val="TableText"/>
              <w:spacing w:before="138" w:line="184" w:lineRule="auto"/>
              <w:ind w:left="1956"/>
            </w:pPr>
            <w:r>
              <w:rPr>
                <w:spacing w:val="-4"/>
              </w:rPr>
              <w:t>19.73%</w:t>
            </w:r>
          </w:p>
        </w:tc>
      </w:tr>
      <w:tr>
        <w:tblPrEx>
          <w:tblW w:w="8700" w:type="dxa"/>
          <w:tblInd w:w="5" w:type="dxa"/>
          <w:tblLayout w:type="fixed"/>
          <w:tblCellMar>
            <w:top w:w="0" w:type="dxa"/>
            <w:left w:w="0" w:type="dxa"/>
            <w:bottom w:w="0" w:type="dxa"/>
            <w:right w:w="0" w:type="dxa"/>
          </w:tblCellMar>
        </w:tblPrEx>
        <w:trPr>
          <w:trHeight w:val="339"/>
        </w:trPr>
        <w:tc>
          <w:tcPr>
            <w:tcW w:w="3361" w:type="dxa"/>
            <w:vAlign w:val="top"/>
          </w:tcPr>
          <w:p>
            <w:pPr>
              <w:pStyle w:val="TableText"/>
              <w:spacing w:before="84" w:line="219" w:lineRule="auto"/>
              <w:ind w:left="95"/>
            </w:pPr>
            <w:r>
              <w:rPr>
                <w:spacing w:val="2"/>
              </w:rPr>
              <w:t>陈玉涛</w:t>
            </w:r>
          </w:p>
        </w:tc>
        <w:tc>
          <w:tcPr>
            <w:tcW w:w="2737" w:type="dxa"/>
            <w:vAlign w:val="top"/>
          </w:tcPr>
          <w:p>
            <w:pPr>
              <w:pStyle w:val="TableText"/>
              <w:spacing w:before="131" w:line="183" w:lineRule="auto"/>
              <w:ind w:left="2114"/>
            </w:pPr>
            <w:r>
              <w:rPr>
                <w:spacing w:val="-1"/>
              </w:rPr>
              <w:t>447.00</w:t>
            </w:r>
          </w:p>
        </w:tc>
        <w:tc>
          <w:tcPr>
            <w:tcW w:w="2602" w:type="dxa"/>
            <w:vAlign w:val="top"/>
          </w:tcPr>
          <w:p>
            <w:pPr>
              <w:pStyle w:val="TableText"/>
              <w:spacing w:before="130" w:line="184" w:lineRule="auto"/>
              <w:ind w:left="1956"/>
            </w:pPr>
            <w:r>
              <w:rPr>
                <w:spacing w:val="-4"/>
              </w:rPr>
              <w:t>13.33%</w:t>
            </w:r>
          </w:p>
        </w:tc>
      </w:tr>
      <w:tr>
        <w:tblPrEx>
          <w:tblW w:w="8700" w:type="dxa"/>
          <w:tblInd w:w="5" w:type="dxa"/>
          <w:tblLayout w:type="fixed"/>
          <w:tblCellMar>
            <w:top w:w="0" w:type="dxa"/>
            <w:left w:w="0" w:type="dxa"/>
            <w:bottom w:w="0" w:type="dxa"/>
            <w:right w:w="0" w:type="dxa"/>
          </w:tblCellMar>
        </w:tblPrEx>
        <w:trPr>
          <w:trHeight w:val="334"/>
        </w:trPr>
        <w:tc>
          <w:tcPr>
            <w:tcW w:w="3361" w:type="dxa"/>
            <w:vAlign w:val="top"/>
          </w:tcPr>
          <w:p>
            <w:pPr>
              <w:pStyle w:val="TableText"/>
              <w:spacing w:before="87" w:line="221" w:lineRule="auto"/>
              <w:ind w:left="1475"/>
            </w:pPr>
            <w:r>
              <w:rPr>
                <w:spacing w:val="-2"/>
              </w:rPr>
              <w:t>合计</w:t>
            </w:r>
          </w:p>
        </w:tc>
        <w:tc>
          <w:tcPr>
            <w:tcW w:w="2737" w:type="dxa"/>
            <w:vAlign w:val="top"/>
          </w:tcPr>
          <w:p>
            <w:pPr>
              <w:pStyle w:val="TableText"/>
              <w:spacing w:before="111" w:line="183" w:lineRule="auto"/>
              <w:ind w:left="1934"/>
            </w:pPr>
            <w:r>
              <w:rPr>
                <w:spacing w:val="-2"/>
              </w:rPr>
              <w:t>3,353.00</w:t>
            </w:r>
          </w:p>
        </w:tc>
        <w:tc>
          <w:tcPr>
            <w:tcW w:w="2602" w:type="dxa"/>
            <w:vAlign w:val="top"/>
          </w:tcPr>
          <w:p>
            <w:pPr>
              <w:pStyle w:val="TableText"/>
              <w:spacing w:before="131" w:line="184" w:lineRule="auto"/>
              <w:ind w:left="1867"/>
            </w:pPr>
            <w:r>
              <w:rPr>
                <w:spacing w:val="-3"/>
              </w:rPr>
              <w:t>100.00%</w:t>
            </w:r>
          </w:p>
        </w:tc>
      </w:tr>
    </w:tbl>
    <w:p>
      <w:pPr>
        <w:spacing w:before="209" w:line="218" w:lineRule="auto"/>
        <w:ind w:left="708"/>
        <w:outlineLvl w:val="0"/>
        <w:rPr>
          <w:rFonts w:ascii="宋体" w:eastAsia="宋体" w:hAnsi="宋体" w:cs="宋体"/>
          <w:sz w:val="24"/>
          <w:szCs w:val="24"/>
        </w:rPr>
      </w:pPr>
      <w:r>
        <w:rPr>
          <w:rFonts w:ascii="宋体" w:eastAsia="宋体" w:hAnsi="宋体" w:cs="宋体"/>
          <w:b/>
          <w:bCs/>
          <w:spacing w:val="-8"/>
          <w:sz w:val="24"/>
          <w:szCs w:val="24"/>
        </w:rPr>
        <w:t>三、评估目的</w:t>
      </w:r>
    </w:p>
    <w:p>
      <w:pPr>
        <w:spacing w:before="201" w:line="252" w:lineRule="auto"/>
        <w:ind w:left="234" w:right="274" w:firstLine="470"/>
        <w:jc w:val="both"/>
        <w:rPr>
          <w:rFonts w:ascii="宋体" w:eastAsia="宋体" w:hAnsi="宋体" w:cs="宋体"/>
          <w:sz w:val="24"/>
          <w:szCs w:val="24"/>
        </w:rPr>
      </w:pPr>
      <w:r>
        <w:rPr>
          <w:rFonts w:ascii="宋体" w:eastAsia="宋体" w:hAnsi="宋体" w:cs="宋体"/>
          <w:spacing w:val="1"/>
          <w:sz w:val="24"/>
          <w:szCs w:val="24"/>
        </w:rPr>
        <w:t>北京中企慧云科技有限公司拟了解北京中企慧云科技有限公司股东全部权</w:t>
      </w:r>
      <w:r>
        <w:rPr>
          <w:rFonts w:ascii="宋体" w:eastAsia="宋体" w:hAnsi="宋体" w:cs="宋体"/>
          <w:spacing w:val="16"/>
          <w:sz w:val="24"/>
          <w:szCs w:val="24"/>
        </w:rPr>
        <w:t xml:space="preserve"> </w:t>
      </w:r>
      <w:r>
        <w:rPr>
          <w:rFonts w:ascii="宋体" w:eastAsia="宋体" w:hAnsi="宋体" w:cs="宋体"/>
          <w:spacing w:val="-6"/>
          <w:sz w:val="24"/>
          <w:szCs w:val="24"/>
        </w:rPr>
        <w:t>益价值。为此，需对所涉及的北京中企慧云科技有限公司股东全部权益的市场价</w:t>
      </w:r>
      <w:r>
        <w:rPr>
          <w:rFonts w:ascii="宋体" w:eastAsia="宋体" w:hAnsi="宋体" w:cs="宋体"/>
          <w:spacing w:val="9"/>
          <w:sz w:val="24"/>
          <w:szCs w:val="24"/>
        </w:rPr>
        <w:t xml:space="preserve"> </w:t>
      </w:r>
      <w:r>
        <w:rPr>
          <w:rFonts w:ascii="宋体" w:eastAsia="宋体" w:hAnsi="宋体" w:cs="宋体"/>
          <w:spacing w:val="-5"/>
          <w:sz w:val="24"/>
          <w:szCs w:val="24"/>
        </w:rPr>
        <w:t>值进行评估，为本次经济行为提供价值参考依据。</w:t>
      </w:r>
    </w:p>
    <w:p>
      <w:pPr>
        <w:spacing w:before="213" w:line="218" w:lineRule="auto"/>
        <w:ind w:left="708"/>
        <w:outlineLvl w:val="0"/>
        <w:rPr>
          <w:rFonts w:ascii="宋体" w:eastAsia="宋体" w:hAnsi="宋体" w:cs="宋体"/>
          <w:sz w:val="24"/>
          <w:szCs w:val="24"/>
        </w:rPr>
      </w:pPr>
      <w:r>
        <w:rPr>
          <w:rFonts w:ascii="宋体" w:eastAsia="宋体" w:hAnsi="宋体" w:cs="宋体"/>
          <w:b/>
          <w:bCs/>
          <w:spacing w:val="-7"/>
          <w:sz w:val="24"/>
          <w:szCs w:val="24"/>
        </w:rPr>
        <w:t>四、评估对象与评估范围</w:t>
      </w:r>
    </w:p>
    <w:p>
      <w:pPr>
        <w:spacing w:before="200" w:line="218" w:lineRule="auto"/>
        <w:ind w:left="705"/>
        <w:rPr>
          <w:rFonts w:ascii="宋体" w:eastAsia="宋体" w:hAnsi="宋体" w:cs="宋体"/>
          <w:sz w:val="24"/>
          <w:szCs w:val="24"/>
        </w:rPr>
      </w:pPr>
      <w:r>
        <w:rPr>
          <w:rFonts w:ascii="宋体" w:eastAsia="宋体" w:hAnsi="宋体" w:cs="宋体"/>
          <w:spacing w:val="-14"/>
          <w:sz w:val="24"/>
          <w:szCs w:val="24"/>
        </w:rPr>
        <w:t>(一)评估对象与评估范围</w:t>
      </w:r>
    </w:p>
    <w:p>
      <w:pPr>
        <w:spacing w:before="186" w:line="253" w:lineRule="auto"/>
        <w:ind w:left="234" w:right="274" w:firstLine="470"/>
        <w:rPr>
          <w:rFonts w:ascii="宋体" w:eastAsia="宋体" w:hAnsi="宋体" w:cs="宋体"/>
          <w:sz w:val="24"/>
          <w:szCs w:val="24"/>
        </w:rPr>
      </w:pPr>
      <w:r>
        <w:rPr>
          <w:rFonts w:ascii="宋体" w:eastAsia="宋体" w:hAnsi="宋体" w:cs="宋体"/>
          <w:spacing w:val="1"/>
          <w:sz w:val="24"/>
          <w:szCs w:val="24"/>
        </w:rPr>
        <w:t>根据评估目的，评估对象是北京中企慧云科技有限公司的股东全部权益价</w:t>
      </w:r>
      <w:r>
        <w:rPr>
          <w:rFonts w:ascii="宋体" w:eastAsia="宋体" w:hAnsi="宋体" w:cs="宋体"/>
          <w:spacing w:val="17"/>
          <w:sz w:val="24"/>
          <w:szCs w:val="24"/>
        </w:rPr>
        <w:t xml:space="preserve"> </w:t>
      </w:r>
      <w:r>
        <w:rPr>
          <w:rFonts w:ascii="宋体" w:eastAsia="宋体" w:hAnsi="宋体" w:cs="宋体"/>
          <w:spacing w:val="-3"/>
          <w:sz w:val="24"/>
          <w:szCs w:val="24"/>
        </w:rPr>
        <w:t>值。</w:t>
      </w:r>
    </w:p>
    <w:p>
      <w:pPr>
        <w:spacing w:before="194" w:line="256" w:lineRule="auto"/>
        <w:ind w:left="234" w:right="214" w:firstLine="470"/>
        <w:jc w:val="both"/>
        <w:rPr>
          <w:rFonts w:ascii="宋体" w:eastAsia="宋体" w:hAnsi="宋体" w:cs="宋体"/>
          <w:sz w:val="24"/>
          <w:szCs w:val="24"/>
        </w:rPr>
      </w:pPr>
      <w:r>
        <w:rPr>
          <w:rFonts w:ascii="宋体" w:eastAsia="宋体" w:hAnsi="宋体" w:cs="宋体"/>
          <w:spacing w:val="-6"/>
          <w:sz w:val="24"/>
          <w:szCs w:val="24"/>
        </w:rPr>
        <w:t>纳入本次评估范围的资产包括流动资产、固定资产、长期待摊费用等，总资</w:t>
      </w:r>
      <w:r>
        <w:rPr>
          <w:rFonts w:ascii="宋体" w:eastAsia="宋体" w:hAnsi="宋体" w:cs="宋体"/>
          <w:spacing w:val="14"/>
          <w:sz w:val="24"/>
          <w:szCs w:val="24"/>
        </w:rPr>
        <w:t xml:space="preserve"> </w:t>
      </w:r>
      <w:r>
        <w:rPr>
          <w:rFonts w:ascii="宋体" w:eastAsia="宋体" w:hAnsi="宋体" w:cs="宋体"/>
          <w:spacing w:val="-6"/>
          <w:sz w:val="24"/>
          <w:szCs w:val="24"/>
        </w:rPr>
        <w:t>产账面价值为1,219.51万元；负债包括流动负债，总负债账面价值</w:t>
      </w:r>
      <w:r>
        <w:rPr>
          <w:rFonts w:ascii="宋体" w:eastAsia="宋体" w:hAnsi="宋体" w:cs="宋体"/>
          <w:spacing w:val="-7"/>
          <w:sz w:val="24"/>
          <w:szCs w:val="24"/>
        </w:rPr>
        <w:t>为13.50万元；</w:t>
      </w:r>
      <w:r>
        <w:rPr>
          <w:rFonts w:ascii="宋体" w:eastAsia="宋体" w:hAnsi="宋体" w:cs="宋体"/>
          <w:sz w:val="24"/>
          <w:szCs w:val="24"/>
        </w:rPr>
        <w:t xml:space="preserve"> </w:t>
      </w:r>
      <w:r>
        <w:rPr>
          <w:rFonts w:ascii="宋体" w:eastAsia="宋体" w:hAnsi="宋体" w:cs="宋体"/>
          <w:spacing w:val="-9"/>
          <w:sz w:val="24"/>
          <w:szCs w:val="24"/>
        </w:rPr>
        <w:t>净资产账面价值1,206.01万元。</w:t>
      </w:r>
    </w:p>
    <w:p>
      <w:pPr>
        <w:spacing w:before="239" w:line="219" w:lineRule="auto"/>
        <w:ind w:left="6875"/>
        <w:rPr>
          <w:rFonts w:ascii="宋体" w:eastAsia="宋体" w:hAnsi="宋体" w:cs="宋体"/>
          <w:sz w:val="18"/>
          <w:szCs w:val="18"/>
        </w:rPr>
      </w:pPr>
      <w:r>
        <w:rPr>
          <w:rFonts w:ascii="宋体" w:eastAsia="宋体" w:hAnsi="宋体" w:cs="宋体"/>
          <w:spacing w:val="-1"/>
          <w:sz w:val="18"/>
          <w:szCs w:val="18"/>
        </w:rPr>
        <w:t>金额单位：人民币元</w:t>
      </w:r>
    </w:p>
    <w:p>
      <w:pPr>
        <w:spacing w:line="55" w:lineRule="auto"/>
        <w:rPr>
          <w:sz w:val="2"/>
        </w:rPr>
      </w:pPr>
    </w:p>
    <w:tbl>
      <w:tblPr>
        <w:tblStyle w:val="TableNormal01"/>
        <w:tblW w:w="8410" w:type="dxa"/>
        <w:tblInd w:w="2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064"/>
        <w:gridCol w:w="2687"/>
        <w:gridCol w:w="4659"/>
      </w:tblGrid>
      <w:tr>
        <w:tblPrEx>
          <w:tblW w:w="8410" w:type="dxa"/>
          <w:tblInd w:w="2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4"/>
        </w:trPr>
        <w:tc>
          <w:tcPr>
            <w:tcW w:w="1064" w:type="dxa"/>
            <w:vAlign w:val="top"/>
          </w:tcPr>
          <w:p>
            <w:pPr>
              <w:pStyle w:val="TableText"/>
              <w:spacing w:before="71" w:line="221" w:lineRule="auto"/>
              <w:ind w:left="337"/>
              <w:rPr>
                <w:sz w:val="19"/>
                <w:szCs w:val="19"/>
              </w:rPr>
            </w:pPr>
            <w:r>
              <w:rPr>
                <w:b/>
                <w:bCs/>
                <w:spacing w:val="-4"/>
                <w:sz w:val="19"/>
                <w:szCs w:val="19"/>
              </w:rPr>
              <w:t>序号</w:t>
            </w:r>
          </w:p>
        </w:tc>
        <w:tc>
          <w:tcPr>
            <w:tcW w:w="2687" w:type="dxa"/>
            <w:vAlign w:val="top"/>
          </w:tcPr>
          <w:p>
            <w:pPr>
              <w:pStyle w:val="TableText"/>
              <w:spacing w:before="68" w:line="219" w:lineRule="auto"/>
              <w:ind w:left="923"/>
              <w:rPr>
                <w:sz w:val="19"/>
                <w:szCs w:val="19"/>
              </w:rPr>
            </w:pPr>
            <w:r>
              <w:rPr>
                <w:b/>
                <w:bCs/>
                <w:spacing w:val="-4"/>
                <w:sz w:val="19"/>
                <w:szCs w:val="19"/>
              </w:rPr>
              <w:t>科目名称</w:t>
            </w:r>
          </w:p>
        </w:tc>
        <w:tc>
          <w:tcPr>
            <w:tcW w:w="4659" w:type="dxa"/>
            <w:vAlign w:val="top"/>
          </w:tcPr>
          <w:p>
            <w:pPr>
              <w:pStyle w:val="TableText"/>
              <w:spacing w:before="68" w:line="218" w:lineRule="auto"/>
              <w:ind w:left="1936"/>
              <w:rPr>
                <w:sz w:val="19"/>
                <w:szCs w:val="19"/>
              </w:rPr>
            </w:pPr>
            <w:r>
              <w:rPr>
                <w:b/>
                <w:bCs/>
                <w:spacing w:val="-4"/>
                <w:sz w:val="19"/>
                <w:szCs w:val="19"/>
              </w:rPr>
              <w:t>账面价值</w:t>
            </w:r>
          </w:p>
        </w:tc>
      </w:tr>
      <w:tr>
        <w:tblPrEx>
          <w:tblW w:w="8410" w:type="dxa"/>
          <w:tblInd w:w="254" w:type="dxa"/>
          <w:tblLayout w:type="fixed"/>
          <w:tblCellMar>
            <w:top w:w="0" w:type="dxa"/>
            <w:left w:w="0" w:type="dxa"/>
            <w:bottom w:w="0" w:type="dxa"/>
            <w:right w:w="0" w:type="dxa"/>
          </w:tblCellMar>
        </w:tblPrEx>
        <w:trPr>
          <w:trHeight w:val="309"/>
        </w:trPr>
        <w:tc>
          <w:tcPr>
            <w:tcW w:w="1064" w:type="dxa"/>
            <w:vAlign w:val="top"/>
          </w:tcPr>
          <w:p>
            <w:pPr>
              <w:pStyle w:val="TableText"/>
              <w:spacing w:before="106" w:line="184" w:lineRule="auto"/>
              <w:ind w:left="474"/>
              <w:rPr>
                <w:sz w:val="19"/>
                <w:szCs w:val="19"/>
              </w:rPr>
            </w:pPr>
            <w:r>
              <w:rPr>
                <w:sz w:val="19"/>
                <w:szCs w:val="19"/>
              </w:rPr>
              <w:t>1</w:t>
            </w:r>
          </w:p>
        </w:tc>
        <w:tc>
          <w:tcPr>
            <w:tcW w:w="2687" w:type="dxa"/>
            <w:vAlign w:val="top"/>
          </w:tcPr>
          <w:p>
            <w:pPr>
              <w:pStyle w:val="TableText"/>
              <w:spacing w:before="56" w:line="219" w:lineRule="auto"/>
              <w:ind w:left="323"/>
              <w:rPr>
                <w:sz w:val="19"/>
                <w:szCs w:val="19"/>
              </w:rPr>
            </w:pPr>
            <w:r>
              <w:rPr>
                <w:b/>
                <w:bCs/>
                <w:spacing w:val="-5"/>
                <w:sz w:val="19"/>
                <w:szCs w:val="19"/>
              </w:rPr>
              <w:t>一、流动资产合计</w:t>
            </w:r>
          </w:p>
        </w:tc>
        <w:tc>
          <w:tcPr>
            <w:tcW w:w="4659" w:type="dxa"/>
            <w:vAlign w:val="top"/>
          </w:tcPr>
          <w:p>
            <w:pPr>
              <w:pStyle w:val="TableText"/>
              <w:spacing w:before="81" w:line="184" w:lineRule="auto"/>
              <w:ind w:left="3336"/>
              <w:rPr>
                <w:sz w:val="19"/>
                <w:szCs w:val="19"/>
              </w:rPr>
            </w:pPr>
            <w:r>
              <w:rPr>
                <w:b/>
                <w:bCs/>
                <w:spacing w:val="-4"/>
                <w:sz w:val="19"/>
                <w:szCs w:val="19"/>
              </w:rPr>
              <w:t>11,842,373.96</w:t>
            </w:r>
          </w:p>
        </w:tc>
      </w:tr>
      <w:tr>
        <w:tblPrEx>
          <w:tblW w:w="8410" w:type="dxa"/>
          <w:tblInd w:w="254" w:type="dxa"/>
          <w:tblLayout w:type="fixed"/>
          <w:tblCellMar>
            <w:top w:w="0" w:type="dxa"/>
            <w:left w:w="0" w:type="dxa"/>
            <w:bottom w:w="0" w:type="dxa"/>
            <w:right w:w="0" w:type="dxa"/>
          </w:tblCellMar>
        </w:tblPrEx>
        <w:trPr>
          <w:trHeight w:val="319"/>
        </w:trPr>
        <w:tc>
          <w:tcPr>
            <w:tcW w:w="1064" w:type="dxa"/>
            <w:vAlign w:val="top"/>
          </w:tcPr>
          <w:p>
            <w:pPr>
              <w:pStyle w:val="TableText"/>
              <w:spacing w:before="118" w:line="183" w:lineRule="auto"/>
              <w:ind w:left="474"/>
              <w:rPr>
                <w:sz w:val="19"/>
                <w:szCs w:val="19"/>
              </w:rPr>
            </w:pPr>
            <w:r>
              <w:rPr>
                <w:sz w:val="19"/>
                <w:szCs w:val="19"/>
              </w:rPr>
              <w:t>2</w:t>
            </w:r>
          </w:p>
        </w:tc>
        <w:tc>
          <w:tcPr>
            <w:tcW w:w="2687" w:type="dxa"/>
            <w:vAlign w:val="top"/>
          </w:tcPr>
          <w:p>
            <w:pPr>
              <w:pStyle w:val="TableText"/>
              <w:spacing w:before="65" w:line="219" w:lineRule="auto"/>
              <w:ind w:left="323"/>
              <w:rPr>
                <w:sz w:val="19"/>
                <w:szCs w:val="19"/>
              </w:rPr>
            </w:pPr>
            <w:r>
              <w:rPr>
                <w:b/>
                <w:bCs/>
                <w:spacing w:val="-5"/>
                <w:sz w:val="19"/>
                <w:szCs w:val="19"/>
              </w:rPr>
              <w:t>货币资金</w:t>
            </w:r>
          </w:p>
        </w:tc>
        <w:tc>
          <w:tcPr>
            <w:tcW w:w="4659" w:type="dxa"/>
            <w:vAlign w:val="top"/>
          </w:tcPr>
          <w:p>
            <w:pPr>
              <w:pStyle w:val="TableText"/>
              <w:spacing w:before="95" w:line="184" w:lineRule="auto"/>
              <w:ind w:left="3334"/>
              <w:rPr>
                <w:sz w:val="19"/>
                <w:szCs w:val="19"/>
              </w:rPr>
            </w:pPr>
            <w:r>
              <w:rPr>
                <w:spacing w:val="-2"/>
                <w:sz w:val="19"/>
                <w:szCs w:val="19"/>
              </w:rPr>
              <w:t>11,559,472.62</w:t>
            </w:r>
          </w:p>
        </w:tc>
      </w:tr>
      <w:tr>
        <w:tblPrEx>
          <w:tblW w:w="8410" w:type="dxa"/>
          <w:tblInd w:w="254" w:type="dxa"/>
          <w:tblLayout w:type="fixed"/>
          <w:tblCellMar>
            <w:top w:w="0" w:type="dxa"/>
            <w:left w:w="0" w:type="dxa"/>
            <w:bottom w:w="0" w:type="dxa"/>
            <w:right w:w="0" w:type="dxa"/>
          </w:tblCellMar>
        </w:tblPrEx>
        <w:trPr>
          <w:trHeight w:val="319"/>
        </w:trPr>
        <w:tc>
          <w:tcPr>
            <w:tcW w:w="1064" w:type="dxa"/>
            <w:vAlign w:val="top"/>
          </w:tcPr>
          <w:p>
            <w:pPr>
              <w:pStyle w:val="TableText"/>
              <w:spacing w:before="119" w:line="183" w:lineRule="auto"/>
              <w:ind w:left="474"/>
              <w:rPr>
                <w:sz w:val="19"/>
                <w:szCs w:val="19"/>
              </w:rPr>
            </w:pPr>
            <w:r>
              <w:rPr>
                <w:sz w:val="19"/>
                <w:szCs w:val="19"/>
              </w:rPr>
              <w:t>3</w:t>
            </w:r>
          </w:p>
        </w:tc>
        <w:tc>
          <w:tcPr>
            <w:tcW w:w="2687" w:type="dxa"/>
            <w:vAlign w:val="top"/>
          </w:tcPr>
          <w:p>
            <w:pPr>
              <w:pStyle w:val="TableText"/>
              <w:spacing w:before="68" w:line="219" w:lineRule="auto"/>
              <w:ind w:left="323"/>
              <w:rPr>
                <w:sz w:val="19"/>
                <w:szCs w:val="19"/>
              </w:rPr>
            </w:pPr>
            <w:r>
              <w:rPr>
                <w:b/>
                <w:bCs/>
                <w:spacing w:val="-4"/>
                <w:sz w:val="19"/>
                <w:szCs w:val="19"/>
              </w:rPr>
              <w:t>预付账款</w:t>
            </w:r>
          </w:p>
        </w:tc>
        <w:tc>
          <w:tcPr>
            <w:tcW w:w="4659" w:type="dxa"/>
            <w:vAlign w:val="top"/>
          </w:tcPr>
          <w:p>
            <w:pPr>
              <w:pStyle w:val="TableText"/>
              <w:spacing w:before="97" w:line="183" w:lineRule="auto"/>
              <w:ind w:left="3624"/>
              <w:rPr>
                <w:sz w:val="19"/>
                <w:szCs w:val="19"/>
              </w:rPr>
            </w:pPr>
            <w:r>
              <w:rPr>
                <w:spacing w:val="-1"/>
                <w:sz w:val="19"/>
                <w:szCs w:val="19"/>
              </w:rPr>
              <w:t>200,000.00</w:t>
            </w:r>
          </w:p>
        </w:tc>
      </w:tr>
      <w:tr>
        <w:tblPrEx>
          <w:tblW w:w="8410" w:type="dxa"/>
          <w:tblInd w:w="254" w:type="dxa"/>
          <w:tblLayout w:type="fixed"/>
          <w:tblCellMar>
            <w:top w:w="0" w:type="dxa"/>
            <w:left w:w="0" w:type="dxa"/>
            <w:bottom w:w="0" w:type="dxa"/>
            <w:right w:w="0" w:type="dxa"/>
          </w:tblCellMar>
        </w:tblPrEx>
        <w:trPr>
          <w:trHeight w:val="309"/>
        </w:trPr>
        <w:tc>
          <w:tcPr>
            <w:tcW w:w="1064" w:type="dxa"/>
            <w:vAlign w:val="top"/>
          </w:tcPr>
          <w:p>
            <w:pPr>
              <w:pStyle w:val="TableText"/>
              <w:spacing w:before="110" w:line="183" w:lineRule="auto"/>
              <w:ind w:left="474"/>
              <w:rPr>
                <w:sz w:val="19"/>
                <w:szCs w:val="19"/>
              </w:rPr>
            </w:pPr>
            <w:r>
              <w:rPr>
                <w:sz w:val="19"/>
                <w:szCs w:val="19"/>
              </w:rPr>
              <w:t>4</w:t>
            </w:r>
          </w:p>
        </w:tc>
        <w:tc>
          <w:tcPr>
            <w:tcW w:w="2687" w:type="dxa"/>
            <w:vAlign w:val="top"/>
          </w:tcPr>
          <w:p>
            <w:pPr>
              <w:pStyle w:val="TableText"/>
              <w:spacing w:before="59" w:line="219" w:lineRule="auto"/>
              <w:ind w:left="323"/>
              <w:rPr>
                <w:sz w:val="19"/>
                <w:szCs w:val="19"/>
              </w:rPr>
            </w:pPr>
            <w:r>
              <w:rPr>
                <w:b/>
                <w:bCs/>
                <w:spacing w:val="-4"/>
                <w:sz w:val="19"/>
                <w:szCs w:val="19"/>
              </w:rPr>
              <w:t>其他流动资产</w:t>
            </w:r>
          </w:p>
        </w:tc>
        <w:tc>
          <w:tcPr>
            <w:tcW w:w="4659" w:type="dxa"/>
            <w:vAlign w:val="top"/>
          </w:tcPr>
          <w:p>
            <w:pPr>
              <w:pStyle w:val="TableText"/>
              <w:spacing w:before="87" w:line="184" w:lineRule="auto"/>
              <w:ind w:left="3714"/>
              <w:rPr>
                <w:sz w:val="19"/>
                <w:szCs w:val="19"/>
              </w:rPr>
            </w:pPr>
            <w:r>
              <w:rPr>
                <w:spacing w:val="-1"/>
                <w:sz w:val="19"/>
                <w:szCs w:val="19"/>
              </w:rPr>
              <w:t>82,901.34</w:t>
            </w:r>
          </w:p>
        </w:tc>
      </w:tr>
      <w:tr>
        <w:tblPrEx>
          <w:tblW w:w="8410" w:type="dxa"/>
          <w:tblInd w:w="254" w:type="dxa"/>
          <w:tblLayout w:type="fixed"/>
          <w:tblCellMar>
            <w:top w:w="0" w:type="dxa"/>
            <w:left w:w="0" w:type="dxa"/>
            <w:bottom w:w="0" w:type="dxa"/>
            <w:right w:w="0" w:type="dxa"/>
          </w:tblCellMar>
        </w:tblPrEx>
        <w:trPr>
          <w:trHeight w:val="319"/>
        </w:trPr>
        <w:tc>
          <w:tcPr>
            <w:tcW w:w="1064" w:type="dxa"/>
            <w:vAlign w:val="top"/>
          </w:tcPr>
          <w:p>
            <w:pPr>
              <w:pStyle w:val="TableText"/>
              <w:spacing w:before="122" w:line="181" w:lineRule="auto"/>
              <w:ind w:left="474"/>
              <w:rPr>
                <w:sz w:val="19"/>
                <w:szCs w:val="19"/>
              </w:rPr>
            </w:pPr>
            <w:r>
              <w:rPr>
                <w:sz w:val="19"/>
                <w:szCs w:val="19"/>
              </w:rPr>
              <w:t>5</w:t>
            </w:r>
          </w:p>
        </w:tc>
        <w:tc>
          <w:tcPr>
            <w:tcW w:w="2687" w:type="dxa"/>
            <w:vAlign w:val="top"/>
          </w:tcPr>
          <w:p>
            <w:pPr>
              <w:pStyle w:val="TableText"/>
              <w:spacing w:before="70" w:line="219" w:lineRule="auto"/>
              <w:ind w:left="323"/>
              <w:rPr>
                <w:sz w:val="19"/>
                <w:szCs w:val="19"/>
              </w:rPr>
            </w:pPr>
            <w:r>
              <w:rPr>
                <w:b/>
                <w:bCs/>
                <w:spacing w:val="-4"/>
                <w:sz w:val="19"/>
                <w:szCs w:val="19"/>
              </w:rPr>
              <w:t>二、非流动资产合计</w:t>
            </w:r>
          </w:p>
        </w:tc>
        <w:tc>
          <w:tcPr>
            <w:tcW w:w="4659" w:type="dxa"/>
            <w:vAlign w:val="top"/>
          </w:tcPr>
          <w:p>
            <w:pPr>
              <w:pStyle w:val="TableText"/>
              <w:spacing w:before="96" w:line="183" w:lineRule="auto"/>
              <w:ind w:left="3626"/>
              <w:rPr>
                <w:sz w:val="19"/>
                <w:szCs w:val="19"/>
              </w:rPr>
            </w:pPr>
            <w:r>
              <w:rPr>
                <w:b/>
                <w:bCs/>
                <w:spacing w:val="-4"/>
                <w:sz w:val="19"/>
                <w:szCs w:val="19"/>
              </w:rPr>
              <w:t>352,700.55</w:t>
            </w:r>
          </w:p>
        </w:tc>
      </w:tr>
      <w:tr>
        <w:tblPrEx>
          <w:tblW w:w="8410" w:type="dxa"/>
          <w:tblInd w:w="254" w:type="dxa"/>
          <w:tblLayout w:type="fixed"/>
          <w:tblCellMar>
            <w:top w:w="0" w:type="dxa"/>
            <w:left w:w="0" w:type="dxa"/>
            <w:bottom w:w="0" w:type="dxa"/>
            <w:right w:w="0" w:type="dxa"/>
          </w:tblCellMar>
        </w:tblPrEx>
        <w:trPr>
          <w:trHeight w:val="309"/>
        </w:trPr>
        <w:tc>
          <w:tcPr>
            <w:tcW w:w="1064" w:type="dxa"/>
            <w:vAlign w:val="top"/>
          </w:tcPr>
          <w:p>
            <w:pPr>
              <w:pStyle w:val="TableText"/>
              <w:spacing w:before="112" w:line="181" w:lineRule="auto"/>
              <w:ind w:left="474"/>
              <w:rPr>
                <w:sz w:val="19"/>
                <w:szCs w:val="19"/>
              </w:rPr>
            </w:pPr>
            <w:r>
              <w:rPr>
                <w:sz w:val="19"/>
                <w:szCs w:val="19"/>
              </w:rPr>
              <w:t>6</w:t>
            </w:r>
          </w:p>
        </w:tc>
        <w:tc>
          <w:tcPr>
            <w:tcW w:w="2687" w:type="dxa"/>
            <w:vAlign w:val="top"/>
          </w:tcPr>
          <w:p>
            <w:pPr>
              <w:pStyle w:val="TableText"/>
              <w:spacing w:before="61" w:line="219" w:lineRule="auto"/>
              <w:ind w:left="323"/>
              <w:rPr>
                <w:sz w:val="19"/>
                <w:szCs w:val="19"/>
              </w:rPr>
            </w:pPr>
            <w:r>
              <w:rPr>
                <w:b/>
                <w:bCs/>
                <w:spacing w:val="-1"/>
                <w:sz w:val="19"/>
                <w:szCs w:val="19"/>
              </w:rPr>
              <w:t>固定资产</w:t>
            </w:r>
          </w:p>
        </w:tc>
        <w:tc>
          <w:tcPr>
            <w:tcW w:w="4659" w:type="dxa"/>
            <w:vAlign w:val="top"/>
          </w:tcPr>
          <w:p>
            <w:pPr>
              <w:pStyle w:val="TableText"/>
              <w:spacing w:before="89" w:line="184" w:lineRule="auto"/>
              <w:ind w:left="3624"/>
              <w:rPr>
                <w:sz w:val="19"/>
                <w:szCs w:val="19"/>
              </w:rPr>
            </w:pPr>
            <w:r>
              <w:rPr>
                <w:spacing w:val="-3"/>
                <w:sz w:val="19"/>
                <w:szCs w:val="19"/>
              </w:rPr>
              <w:t>158,555.75</w:t>
            </w:r>
          </w:p>
        </w:tc>
      </w:tr>
      <w:tr>
        <w:tblPrEx>
          <w:tblW w:w="8410" w:type="dxa"/>
          <w:tblInd w:w="254" w:type="dxa"/>
          <w:tblLayout w:type="fixed"/>
          <w:tblCellMar>
            <w:top w:w="0" w:type="dxa"/>
            <w:left w:w="0" w:type="dxa"/>
            <w:bottom w:w="0" w:type="dxa"/>
            <w:right w:w="0" w:type="dxa"/>
          </w:tblCellMar>
        </w:tblPrEx>
        <w:trPr>
          <w:trHeight w:val="309"/>
        </w:trPr>
        <w:tc>
          <w:tcPr>
            <w:tcW w:w="1064" w:type="dxa"/>
            <w:vAlign w:val="top"/>
          </w:tcPr>
          <w:p>
            <w:pPr>
              <w:pStyle w:val="TableText"/>
              <w:spacing w:before="114" w:line="179" w:lineRule="auto"/>
              <w:ind w:left="474"/>
              <w:rPr>
                <w:sz w:val="19"/>
                <w:szCs w:val="19"/>
              </w:rPr>
            </w:pPr>
            <w:r>
              <w:rPr>
                <w:sz w:val="19"/>
                <w:szCs w:val="19"/>
              </w:rPr>
              <w:t>7</w:t>
            </w:r>
          </w:p>
        </w:tc>
        <w:tc>
          <w:tcPr>
            <w:tcW w:w="2687" w:type="dxa"/>
            <w:vAlign w:val="top"/>
          </w:tcPr>
          <w:p>
            <w:pPr>
              <w:pStyle w:val="TableText"/>
              <w:spacing w:before="62" w:line="219" w:lineRule="auto"/>
              <w:ind w:left="323"/>
              <w:rPr>
                <w:sz w:val="19"/>
                <w:szCs w:val="19"/>
              </w:rPr>
            </w:pPr>
            <w:r>
              <w:rPr>
                <w:b/>
                <w:bCs/>
                <w:spacing w:val="-4"/>
                <w:sz w:val="19"/>
                <w:szCs w:val="19"/>
              </w:rPr>
              <w:t>无形资产</w:t>
            </w:r>
          </w:p>
        </w:tc>
        <w:tc>
          <w:tcPr>
            <w:tcW w:w="4659" w:type="dxa"/>
            <w:vAlign w:val="top"/>
          </w:tcPr>
          <w:p/>
        </w:tc>
      </w:tr>
      <w:tr>
        <w:tblPrEx>
          <w:tblW w:w="8410" w:type="dxa"/>
          <w:tblInd w:w="254" w:type="dxa"/>
          <w:tblLayout w:type="fixed"/>
          <w:tblCellMar>
            <w:top w:w="0" w:type="dxa"/>
            <w:left w:w="0" w:type="dxa"/>
            <w:bottom w:w="0" w:type="dxa"/>
            <w:right w:w="0" w:type="dxa"/>
          </w:tblCellMar>
        </w:tblPrEx>
        <w:trPr>
          <w:trHeight w:val="309"/>
        </w:trPr>
        <w:tc>
          <w:tcPr>
            <w:tcW w:w="1064" w:type="dxa"/>
            <w:vAlign w:val="top"/>
          </w:tcPr>
          <w:p>
            <w:pPr>
              <w:pStyle w:val="TableText"/>
              <w:spacing w:before="114" w:line="179" w:lineRule="auto"/>
              <w:ind w:left="474"/>
              <w:rPr>
                <w:sz w:val="19"/>
                <w:szCs w:val="19"/>
              </w:rPr>
            </w:pPr>
            <w:r>
              <w:rPr>
                <w:sz w:val="19"/>
                <w:szCs w:val="19"/>
              </w:rPr>
              <w:t>8</w:t>
            </w:r>
          </w:p>
        </w:tc>
        <w:tc>
          <w:tcPr>
            <w:tcW w:w="2687" w:type="dxa"/>
            <w:vAlign w:val="top"/>
          </w:tcPr>
          <w:p>
            <w:pPr>
              <w:pStyle w:val="TableText"/>
              <w:spacing w:before="63" w:line="219" w:lineRule="auto"/>
              <w:ind w:left="323"/>
              <w:rPr>
                <w:sz w:val="19"/>
                <w:szCs w:val="19"/>
              </w:rPr>
            </w:pPr>
            <w:r>
              <w:rPr>
                <w:b/>
                <w:bCs/>
                <w:sz w:val="19"/>
                <w:szCs w:val="19"/>
              </w:rPr>
              <w:t>长期待摊费用</w:t>
            </w:r>
          </w:p>
        </w:tc>
        <w:tc>
          <w:tcPr>
            <w:tcW w:w="4659" w:type="dxa"/>
            <w:vAlign w:val="top"/>
          </w:tcPr>
          <w:p>
            <w:pPr>
              <w:pStyle w:val="TableText"/>
              <w:spacing w:before="91" w:line="184" w:lineRule="auto"/>
              <w:ind w:left="3624"/>
              <w:rPr>
                <w:sz w:val="19"/>
                <w:szCs w:val="19"/>
              </w:rPr>
            </w:pPr>
            <w:r>
              <w:rPr>
                <w:spacing w:val="-3"/>
                <w:sz w:val="19"/>
                <w:szCs w:val="19"/>
              </w:rPr>
              <w:t>194,144.80</w:t>
            </w:r>
          </w:p>
        </w:tc>
      </w:tr>
      <w:tr>
        <w:tblPrEx>
          <w:tblW w:w="8410" w:type="dxa"/>
          <w:tblInd w:w="254" w:type="dxa"/>
          <w:tblLayout w:type="fixed"/>
          <w:tblCellMar>
            <w:top w:w="0" w:type="dxa"/>
            <w:left w:w="0" w:type="dxa"/>
            <w:bottom w:w="0" w:type="dxa"/>
            <w:right w:w="0" w:type="dxa"/>
          </w:tblCellMar>
        </w:tblPrEx>
        <w:trPr>
          <w:trHeight w:val="319"/>
        </w:trPr>
        <w:tc>
          <w:tcPr>
            <w:tcW w:w="1064" w:type="dxa"/>
            <w:vAlign w:val="top"/>
          </w:tcPr>
          <w:p>
            <w:pPr>
              <w:pStyle w:val="TableText"/>
              <w:spacing w:before="125" w:line="178" w:lineRule="auto"/>
              <w:ind w:left="474"/>
              <w:rPr>
                <w:sz w:val="19"/>
                <w:szCs w:val="19"/>
              </w:rPr>
            </w:pPr>
            <w:r>
              <w:rPr>
                <w:sz w:val="19"/>
                <w:szCs w:val="19"/>
              </w:rPr>
              <w:t>9</w:t>
            </w:r>
          </w:p>
        </w:tc>
        <w:tc>
          <w:tcPr>
            <w:tcW w:w="2687" w:type="dxa"/>
            <w:vAlign w:val="top"/>
          </w:tcPr>
          <w:p>
            <w:pPr>
              <w:pStyle w:val="TableText"/>
              <w:spacing w:before="74" w:line="219" w:lineRule="auto"/>
              <w:ind w:left="323"/>
              <w:rPr>
                <w:sz w:val="19"/>
                <w:szCs w:val="19"/>
              </w:rPr>
            </w:pPr>
            <w:r>
              <w:rPr>
                <w:b/>
                <w:bCs/>
                <w:spacing w:val="-4"/>
                <w:sz w:val="19"/>
                <w:szCs w:val="19"/>
              </w:rPr>
              <w:t>三、资产总计</w:t>
            </w:r>
          </w:p>
        </w:tc>
        <w:tc>
          <w:tcPr>
            <w:tcW w:w="4659" w:type="dxa"/>
            <w:vAlign w:val="top"/>
          </w:tcPr>
          <w:p>
            <w:pPr>
              <w:pStyle w:val="TableText"/>
              <w:spacing w:before="99" w:line="184" w:lineRule="auto"/>
              <w:ind w:left="3336"/>
              <w:rPr>
                <w:sz w:val="19"/>
                <w:szCs w:val="19"/>
              </w:rPr>
            </w:pPr>
            <w:r>
              <w:rPr>
                <w:b/>
                <w:bCs/>
                <w:spacing w:val="-4"/>
                <w:sz w:val="19"/>
                <w:szCs w:val="19"/>
              </w:rPr>
              <w:t>12,195,074.51</w:t>
            </w:r>
          </w:p>
        </w:tc>
      </w:tr>
      <w:tr>
        <w:tblPrEx>
          <w:tblW w:w="8410" w:type="dxa"/>
          <w:tblInd w:w="254" w:type="dxa"/>
          <w:tblLayout w:type="fixed"/>
          <w:tblCellMar>
            <w:top w:w="0" w:type="dxa"/>
            <w:left w:w="0" w:type="dxa"/>
            <w:bottom w:w="0" w:type="dxa"/>
            <w:right w:w="0" w:type="dxa"/>
          </w:tblCellMar>
        </w:tblPrEx>
        <w:trPr>
          <w:trHeight w:val="314"/>
        </w:trPr>
        <w:tc>
          <w:tcPr>
            <w:tcW w:w="1064" w:type="dxa"/>
            <w:vAlign w:val="top"/>
          </w:tcPr>
          <w:p>
            <w:pPr>
              <w:pStyle w:val="TableText"/>
              <w:spacing w:before="115" w:line="183" w:lineRule="auto"/>
              <w:ind w:left="425"/>
              <w:rPr>
                <w:sz w:val="19"/>
                <w:szCs w:val="19"/>
              </w:rPr>
            </w:pPr>
            <w:r>
              <w:rPr>
                <w:spacing w:val="-6"/>
                <w:sz w:val="19"/>
                <w:szCs w:val="19"/>
              </w:rPr>
              <w:t>10</w:t>
            </w:r>
          </w:p>
        </w:tc>
        <w:tc>
          <w:tcPr>
            <w:tcW w:w="2687" w:type="dxa"/>
            <w:vAlign w:val="top"/>
          </w:tcPr>
          <w:p>
            <w:pPr>
              <w:pStyle w:val="TableText"/>
              <w:spacing w:before="65" w:line="219" w:lineRule="auto"/>
              <w:ind w:left="323"/>
              <w:rPr>
                <w:sz w:val="19"/>
                <w:szCs w:val="19"/>
              </w:rPr>
            </w:pPr>
            <w:r>
              <w:rPr>
                <w:b/>
                <w:bCs/>
                <w:spacing w:val="-2"/>
                <w:sz w:val="19"/>
                <w:szCs w:val="19"/>
              </w:rPr>
              <w:t>四、流动负债合计</w:t>
            </w:r>
          </w:p>
        </w:tc>
        <w:tc>
          <w:tcPr>
            <w:tcW w:w="4659" w:type="dxa"/>
            <w:vAlign w:val="top"/>
          </w:tcPr>
          <w:p>
            <w:pPr>
              <w:pStyle w:val="TableText"/>
              <w:spacing w:before="93" w:line="184" w:lineRule="auto"/>
              <w:ind w:left="3624"/>
              <w:rPr>
                <w:sz w:val="19"/>
                <w:szCs w:val="19"/>
              </w:rPr>
            </w:pPr>
            <w:r>
              <w:rPr>
                <w:spacing w:val="-3"/>
                <w:sz w:val="19"/>
                <w:szCs w:val="19"/>
              </w:rPr>
              <w:t>135,025.88</w:t>
            </w:r>
          </w:p>
        </w:tc>
      </w:tr>
    </w:tbl>
    <w:p>
      <w:pPr>
        <w:pStyle w:val="BodyText"/>
      </w:pPr>
    </w:p>
    <w:p>
      <w:pPr>
        <w:sectPr>
          <w:headerReference w:type="default" r:id="rId20"/>
          <w:footerReference w:type="default" r:id="rId21"/>
          <w:pgSz w:w="11910" w:h="16840"/>
          <w:pgMar w:top="1235" w:right="1625" w:bottom="1099" w:left="1574" w:header="1055" w:footer="831" w:gutter="0"/>
          <w:pgNumType w:start="10"/>
          <w:cols w:num="1" w:space="720"/>
        </w:sectPr>
      </w:pPr>
    </w:p>
    <w:p>
      <w:pPr>
        <w:spacing w:before="147"/>
      </w:pPr>
    </w:p>
    <w:tbl>
      <w:tblPr>
        <w:tblStyle w:val="TableNormal02"/>
        <w:tblW w:w="8400" w:type="dxa"/>
        <w:tblInd w:w="3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074"/>
        <w:gridCol w:w="2677"/>
        <w:gridCol w:w="4649"/>
      </w:tblGrid>
      <w:tr>
        <w:tblPrEx>
          <w:tblW w:w="8400" w:type="dxa"/>
          <w:tblInd w:w="3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13"/>
        </w:trPr>
        <w:tc>
          <w:tcPr>
            <w:tcW w:w="1074" w:type="dxa"/>
            <w:vAlign w:val="top"/>
          </w:tcPr>
          <w:p>
            <w:pPr>
              <w:pStyle w:val="TableText"/>
              <w:spacing w:before="61" w:line="221" w:lineRule="auto"/>
              <w:ind w:left="337"/>
              <w:rPr>
                <w:sz w:val="19"/>
                <w:szCs w:val="19"/>
              </w:rPr>
            </w:pPr>
            <w:bookmarkStart w:id="8" w:name="bookmark10"/>
            <w:bookmarkEnd w:id="8"/>
            <w:r>
              <w:rPr>
                <w:b/>
                <w:bCs/>
                <w:spacing w:val="-4"/>
                <w:sz w:val="19"/>
                <w:szCs w:val="19"/>
              </w:rPr>
              <w:t>序号</w:t>
            </w:r>
          </w:p>
        </w:tc>
        <w:tc>
          <w:tcPr>
            <w:tcW w:w="2677" w:type="dxa"/>
            <w:vAlign w:val="top"/>
          </w:tcPr>
          <w:p>
            <w:pPr>
              <w:pStyle w:val="TableText"/>
              <w:spacing w:before="58" w:line="219" w:lineRule="auto"/>
              <w:ind w:left="953"/>
              <w:rPr>
                <w:sz w:val="19"/>
                <w:szCs w:val="19"/>
              </w:rPr>
            </w:pPr>
            <w:r>
              <w:rPr>
                <w:b/>
                <w:bCs/>
                <w:spacing w:val="-4"/>
                <w:sz w:val="19"/>
                <w:szCs w:val="19"/>
              </w:rPr>
              <w:t>科目名称</w:t>
            </w:r>
          </w:p>
        </w:tc>
        <w:tc>
          <w:tcPr>
            <w:tcW w:w="4649" w:type="dxa"/>
            <w:vAlign w:val="top"/>
          </w:tcPr>
          <w:p>
            <w:pPr>
              <w:pStyle w:val="TableText"/>
              <w:spacing w:before="58" w:line="218" w:lineRule="auto"/>
              <w:ind w:left="1946"/>
              <w:rPr>
                <w:sz w:val="19"/>
                <w:szCs w:val="19"/>
              </w:rPr>
            </w:pPr>
            <w:r>
              <w:rPr>
                <w:b/>
                <w:bCs/>
                <w:spacing w:val="-4"/>
                <w:sz w:val="19"/>
                <w:szCs w:val="19"/>
              </w:rPr>
              <w:t>账面价值</w:t>
            </w:r>
          </w:p>
        </w:tc>
      </w:tr>
      <w:tr>
        <w:tblPrEx>
          <w:tblW w:w="8400" w:type="dxa"/>
          <w:tblInd w:w="374" w:type="dxa"/>
          <w:tblLayout w:type="fixed"/>
          <w:tblCellMar>
            <w:top w:w="0" w:type="dxa"/>
            <w:left w:w="0" w:type="dxa"/>
            <w:bottom w:w="0" w:type="dxa"/>
            <w:right w:w="0" w:type="dxa"/>
          </w:tblCellMar>
        </w:tblPrEx>
        <w:trPr>
          <w:trHeight w:val="308"/>
        </w:trPr>
        <w:tc>
          <w:tcPr>
            <w:tcW w:w="1074" w:type="dxa"/>
            <w:vAlign w:val="top"/>
          </w:tcPr>
          <w:p>
            <w:pPr>
              <w:pStyle w:val="TableText"/>
              <w:spacing w:before="107" w:line="184" w:lineRule="auto"/>
              <w:ind w:left="435"/>
              <w:rPr>
                <w:sz w:val="19"/>
                <w:szCs w:val="19"/>
              </w:rPr>
            </w:pPr>
            <w:r>
              <w:rPr>
                <w:spacing w:val="-6"/>
                <w:sz w:val="19"/>
                <w:szCs w:val="19"/>
              </w:rPr>
              <w:t>11</w:t>
            </w:r>
          </w:p>
        </w:tc>
        <w:tc>
          <w:tcPr>
            <w:tcW w:w="2677" w:type="dxa"/>
            <w:vAlign w:val="top"/>
          </w:tcPr>
          <w:p>
            <w:pPr>
              <w:pStyle w:val="TableText"/>
              <w:spacing w:before="57" w:line="219" w:lineRule="auto"/>
              <w:ind w:left="103"/>
              <w:rPr>
                <w:sz w:val="19"/>
                <w:szCs w:val="19"/>
              </w:rPr>
            </w:pPr>
            <w:r>
              <w:rPr>
                <w:b/>
                <w:bCs/>
                <w:spacing w:val="-4"/>
                <w:sz w:val="19"/>
                <w:szCs w:val="19"/>
              </w:rPr>
              <w:t>应付职工薪酬</w:t>
            </w:r>
          </w:p>
        </w:tc>
        <w:tc>
          <w:tcPr>
            <w:tcW w:w="4649" w:type="dxa"/>
            <w:vAlign w:val="top"/>
          </w:tcPr>
          <w:p>
            <w:pPr>
              <w:pStyle w:val="TableText"/>
              <w:spacing w:before="82" w:line="184" w:lineRule="auto"/>
              <w:ind w:left="3626"/>
              <w:rPr>
                <w:sz w:val="19"/>
                <w:szCs w:val="19"/>
              </w:rPr>
            </w:pPr>
            <w:r>
              <w:rPr>
                <w:b/>
                <w:bCs/>
                <w:spacing w:val="-5"/>
                <w:sz w:val="19"/>
                <w:szCs w:val="19"/>
              </w:rPr>
              <w:t>135,025.88</w:t>
            </w:r>
          </w:p>
        </w:tc>
      </w:tr>
      <w:tr>
        <w:tblPrEx>
          <w:tblW w:w="8400" w:type="dxa"/>
          <w:tblInd w:w="374" w:type="dxa"/>
          <w:tblLayout w:type="fixed"/>
          <w:tblCellMar>
            <w:top w:w="0" w:type="dxa"/>
            <w:left w:w="0" w:type="dxa"/>
            <w:bottom w:w="0" w:type="dxa"/>
            <w:right w:w="0" w:type="dxa"/>
          </w:tblCellMar>
        </w:tblPrEx>
        <w:trPr>
          <w:trHeight w:val="318"/>
        </w:trPr>
        <w:tc>
          <w:tcPr>
            <w:tcW w:w="1074" w:type="dxa"/>
            <w:vAlign w:val="top"/>
          </w:tcPr>
          <w:p>
            <w:pPr>
              <w:pStyle w:val="TableText"/>
              <w:spacing w:before="119" w:line="183" w:lineRule="auto"/>
              <w:ind w:left="435"/>
              <w:rPr>
                <w:sz w:val="19"/>
                <w:szCs w:val="19"/>
              </w:rPr>
            </w:pPr>
            <w:r>
              <w:rPr>
                <w:spacing w:val="-6"/>
                <w:sz w:val="19"/>
                <w:szCs w:val="19"/>
              </w:rPr>
              <w:t>12</w:t>
            </w:r>
          </w:p>
        </w:tc>
        <w:tc>
          <w:tcPr>
            <w:tcW w:w="2677" w:type="dxa"/>
            <w:vAlign w:val="top"/>
          </w:tcPr>
          <w:p>
            <w:pPr>
              <w:pStyle w:val="TableText"/>
              <w:spacing w:before="69" w:line="219" w:lineRule="auto"/>
              <w:ind w:left="103"/>
              <w:rPr>
                <w:sz w:val="19"/>
                <w:szCs w:val="19"/>
              </w:rPr>
            </w:pPr>
            <w:r>
              <w:rPr>
                <w:b/>
                <w:bCs/>
                <w:spacing w:val="-4"/>
                <w:sz w:val="19"/>
                <w:szCs w:val="19"/>
              </w:rPr>
              <w:t>五、非流动负债合计</w:t>
            </w:r>
          </w:p>
        </w:tc>
        <w:tc>
          <w:tcPr>
            <w:tcW w:w="4649" w:type="dxa"/>
            <w:vAlign w:val="top"/>
          </w:tcPr>
          <w:p>
            <w:pPr>
              <w:pStyle w:val="TableText"/>
              <w:spacing w:before="119" w:line="183" w:lineRule="auto"/>
              <w:ind w:left="4196"/>
              <w:rPr>
                <w:sz w:val="19"/>
                <w:szCs w:val="19"/>
              </w:rPr>
            </w:pPr>
            <w:r>
              <w:rPr>
                <w:b/>
                <w:bCs/>
                <w:spacing w:val="-4"/>
                <w:sz w:val="19"/>
                <w:szCs w:val="19"/>
              </w:rPr>
              <w:t>0.00</w:t>
            </w:r>
          </w:p>
        </w:tc>
      </w:tr>
      <w:tr>
        <w:tblPrEx>
          <w:tblW w:w="8400" w:type="dxa"/>
          <w:tblInd w:w="374" w:type="dxa"/>
          <w:tblLayout w:type="fixed"/>
          <w:tblCellMar>
            <w:top w:w="0" w:type="dxa"/>
            <w:left w:w="0" w:type="dxa"/>
            <w:bottom w:w="0" w:type="dxa"/>
            <w:right w:w="0" w:type="dxa"/>
          </w:tblCellMar>
        </w:tblPrEx>
        <w:trPr>
          <w:trHeight w:val="308"/>
        </w:trPr>
        <w:tc>
          <w:tcPr>
            <w:tcW w:w="1074" w:type="dxa"/>
            <w:vAlign w:val="top"/>
          </w:tcPr>
          <w:p>
            <w:pPr>
              <w:pStyle w:val="TableText"/>
              <w:spacing w:before="111" w:line="181" w:lineRule="auto"/>
              <w:ind w:left="435"/>
              <w:rPr>
                <w:sz w:val="19"/>
                <w:szCs w:val="19"/>
              </w:rPr>
            </w:pPr>
            <w:r>
              <w:rPr>
                <w:spacing w:val="-6"/>
                <w:sz w:val="19"/>
                <w:szCs w:val="19"/>
              </w:rPr>
              <w:t>13</w:t>
            </w:r>
          </w:p>
        </w:tc>
        <w:tc>
          <w:tcPr>
            <w:tcW w:w="2677" w:type="dxa"/>
            <w:vAlign w:val="top"/>
          </w:tcPr>
          <w:p>
            <w:pPr>
              <w:pStyle w:val="TableText"/>
              <w:spacing w:before="61" w:line="219" w:lineRule="auto"/>
              <w:ind w:left="103"/>
              <w:rPr>
                <w:sz w:val="19"/>
                <w:szCs w:val="19"/>
              </w:rPr>
            </w:pPr>
            <w:r>
              <w:rPr>
                <w:b/>
                <w:bCs/>
                <w:spacing w:val="-4"/>
                <w:sz w:val="19"/>
                <w:szCs w:val="19"/>
              </w:rPr>
              <w:t>六、负债总计</w:t>
            </w:r>
          </w:p>
        </w:tc>
        <w:tc>
          <w:tcPr>
            <w:tcW w:w="4649" w:type="dxa"/>
            <w:vAlign w:val="top"/>
          </w:tcPr>
          <w:p>
            <w:pPr>
              <w:pStyle w:val="TableText"/>
              <w:spacing w:before="86" w:line="184" w:lineRule="auto"/>
              <w:ind w:left="3626"/>
              <w:rPr>
                <w:sz w:val="19"/>
                <w:szCs w:val="19"/>
              </w:rPr>
            </w:pPr>
            <w:r>
              <w:rPr>
                <w:b/>
                <w:bCs/>
                <w:spacing w:val="-5"/>
                <w:sz w:val="19"/>
                <w:szCs w:val="19"/>
              </w:rPr>
              <w:t>135,025.88</w:t>
            </w:r>
          </w:p>
        </w:tc>
      </w:tr>
      <w:tr>
        <w:tblPrEx>
          <w:tblW w:w="8400" w:type="dxa"/>
          <w:tblInd w:w="374" w:type="dxa"/>
          <w:tblLayout w:type="fixed"/>
          <w:tblCellMar>
            <w:top w:w="0" w:type="dxa"/>
            <w:left w:w="0" w:type="dxa"/>
            <w:bottom w:w="0" w:type="dxa"/>
            <w:right w:w="0" w:type="dxa"/>
          </w:tblCellMar>
        </w:tblPrEx>
        <w:trPr>
          <w:trHeight w:val="323"/>
        </w:trPr>
        <w:tc>
          <w:tcPr>
            <w:tcW w:w="1074" w:type="dxa"/>
            <w:vAlign w:val="top"/>
          </w:tcPr>
          <w:p>
            <w:pPr>
              <w:pStyle w:val="TableText"/>
              <w:spacing w:before="124" w:line="183" w:lineRule="auto"/>
              <w:ind w:left="435"/>
              <w:rPr>
                <w:sz w:val="19"/>
                <w:szCs w:val="19"/>
              </w:rPr>
            </w:pPr>
            <w:r>
              <w:rPr>
                <w:spacing w:val="-6"/>
                <w:sz w:val="19"/>
                <w:szCs w:val="19"/>
              </w:rPr>
              <w:t>14</w:t>
            </w:r>
          </w:p>
        </w:tc>
        <w:tc>
          <w:tcPr>
            <w:tcW w:w="2677" w:type="dxa"/>
            <w:vAlign w:val="top"/>
          </w:tcPr>
          <w:p>
            <w:pPr>
              <w:pStyle w:val="TableText"/>
              <w:spacing w:before="73" w:line="219" w:lineRule="auto"/>
              <w:ind w:left="103"/>
              <w:rPr>
                <w:sz w:val="19"/>
                <w:szCs w:val="19"/>
              </w:rPr>
            </w:pPr>
            <w:r>
              <w:rPr>
                <w:b/>
                <w:bCs/>
                <w:spacing w:val="1"/>
                <w:sz w:val="19"/>
                <w:szCs w:val="19"/>
              </w:rPr>
              <w:t>七、净资产(所有者权益)</w:t>
            </w:r>
          </w:p>
        </w:tc>
        <w:tc>
          <w:tcPr>
            <w:tcW w:w="4649" w:type="dxa"/>
            <w:vAlign w:val="top"/>
          </w:tcPr>
          <w:p>
            <w:pPr>
              <w:pStyle w:val="TableText"/>
              <w:spacing w:before="98" w:line="184" w:lineRule="auto"/>
              <w:ind w:left="3336"/>
              <w:rPr>
                <w:sz w:val="19"/>
                <w:szCs w:val="19"/>
              </w:rPr>
            </w:pPr>
            <w:r>
              <w:rPr>
                <w:b/>
                <w:bCs/>
                <w:spacing w:val="-4"/>
                <w:sz w:val="19"/>
                <w:szCs w:val="19"/>
              </w:rPr>
              <w:t>12,060,048.63</w:t>
            </w:r>
          </w:p>
        </w:tc>
      </w:tr>
    </w:tbl>
    <w:p>
      <w:pPr>
        <w:spacing w:before="181" w:line="271" w:lineRule="auto"/>
        <w:ind w:left="354" w:right="379" w:firstLine="460"/>
        <w:jc w:val="both"/>
        <w:rPr>
          <w:rFonts w:ascii="宋体" w:eastAsia="宋体" w:hAnsi="宋体" w:cs="宋体"/>
          <w:sz w:val="23"/>
          <w:szCs w:val="23"/>
        </w:rPr>
      </w:pPr>
      <w:r>
        <w:rPr>
          <w:rFonts w:ascii="宋体" w:eastAsia="宋体" w:hAnsi="宋体" w:cs="宋体"/>
          <w:spacing w:val="-1"/>
          <w:sz w:val="23"/>
          <w:szCs w:val="23"/>
        </w:rPr>
        <w:t>评估基准日，纳入评估范围内的资产、负债账面价值为企业</w:t>
      </w:r>
      <w:r>
        <w:rPr>
          <w:rFonts w:ascii="宋体" w:eastAsia="宋体" w:hAnsi="宋体" w:cs="宋体"/>
          <w:spacing w:val="-2"/>
          <w:sz w:val="23"/>
          <w:szCs w:val="23"/>
        </w:rPr>
        <w:t>提供的财务报表数</w:t>
      </w:r>
      <w:r>
        <w:rPr>
          <w:rFonts w:ascii="宋体" w:eastAsia="宋体" w:hAnsi="宋体" w:cs="宋体"/>
          <w:sz w:val="23"/>
          <w:szCs w:val="23"/>
        </w:rPr>
        <w:t xml:space="preserve"> </w:t>
      </w:r>
      <w:r>
        <w:rPr>
          <w:rFonts w:ascii="宋体" w:eastAsia="宋体" w:hAnsi="宋体" w:cs="宋体"/>
          <w:spacing w:val="5"/>
          <w:sz w:val="23"/>
          <w:szCs w:val="23"/>
        </w:rPr>
        <w:t>据，已经北京顺永会计师事务所有限公司审计，并出具了京顺永专审字(2023)第</w:t>
      </w:r>
      <w:r>
        <w:rPr>
          <w:rFonts w:ascii="宋体" w:eastAsia="宋体" w:hAnsi="宋体" w:cs="宋体"/>
          <w:spacing w:val="4"/>
          <w:sz w:val="23"/>
          <w:szCs w:val="23"/>
        </w:rPr>
        <w:t xml:space="preserve"> </w:t>
      </w:r>
      <w:r>
        <w:rPr>
          <w:rFonts w:ascii="宋体" w:eastAsia="宋体" w:hAnsi="宋体" w:cs="宋体"/>
          <w:spacing w:val="-6"/>
          <w:sz w:val="23"/>
          <w:szCs w:val="23"/>
        </w:rPr>
        <w:t>A-053</w:t>
      </w:r>
      <w:r>
        <w:rPr>
          <w:rFonts w:ascii="宋体" w:eastAsia="宋体" w:hAnsi="宋体" w:cs="宋体"/>
          <w:spacing w:val="-68"/>
          <w:sz w:val="23"/>
          <w:szCs w:val="23"/>
        </w:rPr>
        <w:t xml:space="preserve"> </w:t>
      </w:r>
      <w:r>
        <w:rPr>
          <w:rFonts w:ascii="宋体" w:eastAsia="宋体" w:hAnsi="宋体" w:cs="宋体"/>
          <w:spacing w:val="-6"/>
          <w:sz w:val="23"/>
          <w:szCs w:val="23"/>
        </w:rPr>
        <w:t>号标准无保留意见审计报告。</w:t>
      </w:r>
    </w:p>
    <w:p>
      <w:pPr>
        <w:spacing w:before="210" w:line="219" w:lineRule="auto"/>
        <w:ind w:left="814"/>
        <w:rPr>
          <w:rFonts w:ascii="宋体" w:eastAsia="宋体" w:hAnsi="宋体" w:cs="宋体"/>
          <w:sz w:val="23"/>
          <w:szCs w:val="23"/>
        </w:rPr>
      </w:pPr>
      <w:r>
        <w:rPr>
          <w:rFonts w:ascii="宋体" w:eastAsia="宋体" w:hAnsi="宋体" w:cs="宋体"/>
          <w:spacing w:val="1"/>
          <w:sz w:val="23"/>
          <w:szCs w:val="23"/>
        </w:rPr>
        <w:t>(二)企业申报的表外资产的类型、数量</w:t>
      </w:r>
    </w:p>
    <w:p>
      <w:pPr>
        <w:spacing w:before="176" w:line="273" w:lineRule="auto"/>
        <w:ind w:left="354" w:right="411" w:firstLine="460"/>
        <w:jc w:val="both"/>
        <w:rPr>
          <w:rFonts w:ascii="宋体" w:eastAsia="宋体" w:hAnsi="宋体" w:cs="宋体"/>
          <w:sz w:val="22"/>
          <w:szCs w:val="22"/>
        </w:rPr>
      </w:pPr>
      <w:r>
        <w:rPr>
          <w:rFonts w:ascii="宋体" w:eastAsia="宋体" w:hAnsi="宋体" w:cs="宋体"/>
          <w:spacing w:val="7"/>
          <w:sz w:val="23"/>
          <w:szCs w:val="23"/>
        </w:rPr>
        <w:t>企业申报的表外资产为无形资产-发明专利、著作权共计7项，包括1项发明</w:t>
      </w:r>
      <w:r>
        <w:rPr>
          <w:rFonts w:ascii="宋体" w:eastAsia="宋体" w:hAnsi="宋体" w:cs="宋体"/>
          <w:spacing w:val="11"/>
          <w:sz w:val="23"/>
          <w:szCs w:val="23"/>
        </w:rPr>
        <w:t xml:space="preserve"> </w:t>
      </w:r>
      <w:r>
        <w:rPr>
          <w:rFonts w:ascii="宋体" w:eastAsia="宋体" w:hAnsi="宋体" w:cs="宋体"/>
          <w:spacing w:val="7"/>
          <w:sz w:val="23"/>
          <w:szCs w:val="23"/>
        </w:rPr>
        <w:t>专利和6项软件著作权，均获于2023年，证载权利人为北京中企慧云科技有限公</w:t>
      </w:r>
      <w:r>
        <w:rPr>
          <w:rFonts w:ascii="宋体" w:eastAsia="宋体" w:hAnsi="宋体" w:cs="宋体"/>
          <w:spacing w:val="18"/>
          <w:sz w:val="23"/>
          <w:szCs w:val="23"/>
        </w:rPr>
        <w:t xml:space="preserve"> </w:t>
      </w:r>
      <w:r>
        <w:rPr>
          <w:rFonts w:ascii="宋体" w:eastAsia="宋体" w:hAnsi="宋体" w:cs="宋体"/>
          <w:spacing w:val="5"/>
          <w:sz w:val="22"/>
          <w:szCs w:val="22"/>
        </w:rPr>
        <w:t>司。具体情况如下表所示：</w:t>
      </w:r>
    </w:p>
    <w:tbl>
      <w:tblPr>
        <w:tblStyle w:val="TableNormal02"/>
        <w:tblW w:w="89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414"/>
        <w:gridCol w:w="3186"/>
        <w:gridCol w:w="1299"/>
        <w:gridCol w:w="989"/>
        <w:gridCol w:w="2238"/>
        <w:gridCol w:w="844"/>
      </w:tblGrid>
      <w:tr>
        <w:tblPrEx>
          <w:tblW w:w="89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23"/>
        </w:trPr>
        <w:tc>
          <w:tcPr>
            <w:tcW w:w="414" w:type="dxa"/>
            <w:textDirection w:val="tbRlV"/>
            <w:vAlign w:val="top"/>
          </w:tcPr>
          <w:p>
            <w:pPr>
              <w:pStyle w:val="TableText"/>
              <w:spacing w:before="119" w:line="217" w:lineRule="auto"/>
              <w:ind w:left="5"/>
            </w:pPr>
            <w:r>
              <w:t>序</w:t>
            </w:r>
            <w:r>
              <w:rPr>
                <w:spacing w:val="44"/>
              </w:rPr>
              <w:t xml:space="preserve"> </w:t>
            </w:r>
            <w:r>
              <w:t>号</w:t>
            </w:r>
          </w:p>
        </w:tc>
        <w:tc>
          <w:tcPr>
            <w:tcW w:w="3186" w:type="dxa"/>
            <w:vAlign w:val="top"/>
          </w:tcPr>
          <w:p>
            <w:pPr>
              <w:pStyle w:val="TableText"/>
              <w:spacing w:before="172" w:line="219" w:lineRule="auto"/>
              <w:ind w:left="701"/>
            </w:pPr>
            <w:r>
              <w:rPr>
                <w:spacing w:val="-1"/>
              </w:rPr>
              <w:t>无形资产名称和内容</w:t>
            </w:r>
          </w:p>
        </w:tc>
        <w:tc>
          <w:tcPr>
            <w:tcW w:w="1299" w:type="dxa"/>
            <w:vAlign w:val="top"/>
          </w:tcPr>
          <w:p>
            <w:pPr>
              <w:pStyle w:val="TableText"/>
              <w:spacing w:before="172" w:line="219" w:lineRule="auto"/>
              <w:ind w:left="284"/>
            </w:pPr>
            <w:r>
              <w:rPr>
                <w:spacing w:val="2"/>
              </w:rPr>
              <w:t>申请日期</w:t>
            </w:r>
          </w:p>
        </w:tc>
        <w:tc>
          <w:tcPr>
            <w:tcW w:w="989" w:type="dxa"/>
            <w:vAlign w:val="top"/>
          </w:tcPr>
          <w:p>
            <w:pPr>
              <w:pStyle w:val="TableText"/>
              <w:spacing w:before="172" w:line="219" w:lineRule="auto"/>
              <w:ind w:left="305"/>
            </w:pPr>
            <w:r>
              <w:rPr>
                <w:spacing w:val="-2"/>
              </w:rPr>
              <w:t>类型</w:t>
            </w:r>
          </w:p>
        </w:tc>
        <w:tc>
          <w:tcPr>
            <w:tcW w:w="2238" w:type="dxa"/>
            <w:vAlign w:val="top"/>
          </w:tcPr>
          <w:p>
            <w:pPr>
              <w:pStyle w:val="TableText"/>
              <w:spacing w:before="171" w:line="219" w:lineRule="auto"/>
              <w:ind w:left="756"/>
            </w:pPr>
            <w:r>
              <w:rPr>
                <w:spacing w:val="-2"/>
              </w:rPr>
              <w:t>证书编号</w:t>
            </w:r>
          </w:p>
        </w:tc>
        <w:tc>
          <w:tcPr>
            <w:tcW w:w="844" w:type="dxa"/>
            <w:vAlign w:val="top"/>
          </w:tcPr>
          <w:p>
            <w:pPr>
              <w:pStyle w:val="TableText"/>
              <w:spacing w:before="21" w:line="239" w:lineRule="auto"/>
              <w:ind w:left="327" w:right="152" w:hanging="179"/>
            </w:pPr>
            <w:r>
              <w:rPr>
                <w:spacing w:val="-3"/>
              </w:rPr>
              <w:t>法定年</w:t>
            </w:r>
            <w:r>
              <w:t xml:space="preserve"> 限</w:t>
            </w:r>
          </w:p>
        </w:tc>
      </w:tr>
      <w:tr>
        <w:tblPrEx>
          <w:tblW w:w="8970" w:type="dxa"/>
          <w:tblInd w:w="5" w:type="dxa"/>
          <w:tblLayout w:type="fixed"/>
          <w:tblCellMar>
            <w:top w:w="0" w:type="dxa"/>
            <w:left w:w="0" w:type="dxa"/>
            <w:bottom w:w="0" w:type="dxa"/>
            <w:right w:w="0" w:type="dxa"/>
          </w:tblCellMar>
        </w:tblPrEx>
        <w:trPr>
          <w:trHeight w:val="508"/>
        </w:trPr>
        <w:tc>
          <w:tcPr>
            <w:tcW w:w="414" w:type="dxa"/>
            <w:vAlign w:val="top"/>
          </w:tcPr>
          <w:p>
            <w:pPr>
              <w:pStyle w:val="TableText"/>
              <w:spacing w:before="214" w:line="184" w:lineRule="auto"/>
              <w:ind w:left="154"/>
            </w:pPr>
            <w:r>
              <w:t>1</w:t>
            </w:r>
          </w:p>
        </w:tc>
        <w:tc>
          <w:tcPr>
            <w:tcW w:w="3186" w:type="dxa"/>
            <w:vAlign w:val="top"/>
          </w:tcPr>
          <w:p>
            <w:pPr>
              <w:pStyle w:val="TableText"/>
              <w:spacing w:before="49" w:line="230" w:lineRule="auto"/>
              <w:ind w:left="130" w:right="372" w:hanging="20"/>
            </w:pPr>
            <w:r>
              <w:rPr>
                <w:spacing w:val="-1"/>
              </w:rPr>
              <w:t>基于科技知识图谱的产业链分析应</w:t>
            </w:r>
            <w:r>
              <w:rPr>
                <w:spacing w:val="6"/>
              </w:rPr>
              <w:t xml:space="preserve"> </w:t>
            </w:r>
            <w:r>
              <w:rPr>
                <w:spacing w:val="-2"/>
              </w:rPr>
              <w:t>用方法和装置</w:t>
            </w:r>
          </w:p>
        </w:tc>
        <w:tc>
          <w:tcPr>
            <w:tcW w:w="1299" w:type="dxa"/>
            <w:vAlign w:val="top"/>
          </w:tcPr>
          <w:p>
            <w:pPr>
              <w:pStyle w:val="TableText"/>
              <w:spacing w:before="174" w:line="224" w:lineRule="auto"/>
              <w:ind w:left="235"/>
            </w:pPr>
            <w:r>
              <w:rPr>
                <w:spacing w:val="-1"/>
              </w:rPr>
              <w:t>2023/6/27</w:t>
            </w:r>
          </w:p>
        </w:tc>
        <w:tc>
          <w:tcPr>
            <w:tcW w:w="989" w:type="dxa"/>
            <w:vAlign w:val="top"/>
          </w:tcPr>
          <w:p>
            <w:pPr>
              <w:pStyle w:val="TableText"/>
              <w:spacing w:before="169" w:line="219" w:lineRule="auto"/>
              <w:ind w:left="305"/>
            </w:pPr>
            <w:r>
              <w:rPr>
                <w:spacing w:val="9"/>
              </w:rPr>
              <w:t>发明</w:t>
            </w:r>
          </w:p>
        </w:tc>
        <w:tc>
          <w:tcPr>
            <w:tcW w:w="2238" w:type="dxa"/>
            <w:vAlign w:val="top"/>
          </w:tcPr>
          <w:p>
            <w:pPr>
              <w:pStyle w:val="TableText"/>
              <w:spacing w:before="215" w:line="183" w:lineRule="auto"/>
              <w:ind w:left="347"/>
            </w:pPr>
            <w:r>
              <w:rPr>
                <w:spacing w:val="-1"/>
              </w:rPr>
              <w:t>ZL 202310762716.4</w:t>
            </w:r>
          </w:p>
        </w:tc>
        <w:tc>
          <w:tcPr>
            <w:tcW w:w="844" w:type="dxa"/>
            <w:vAlign w:val="top"/>
          </w:tcPr>
          <w:p>
            <w:pPr>
              <w:pStyle w:val="TableText"/>
              <w:spacing w:before="215" w:line="183" w:lineRule="auto"/>
              <w:ind w:left="328"/>
            </w:pPr>
            <w:r>
              <w:rPr>
                <w:spacing w:val="-3"/>
              </w:rPr>
              <w:t>20</w:t>
            </w:r>
          </w:p>
        </w:tc>
      </w:tr>
      <w:tr>
        <w:tblPrEx>
          <w:tblW w:w="8970" w:type="dxa"/>
          <w:tblInd w:w="5" w:type="dxa"/>
          <w:tblLayout w:type="fixed"/>
          <w:tblCellMar>
            <w:top w:w="0" w:type="dxa"/>
            <w:left w:w="0" w:type="dxa"/>
            <w:bottom w:w="0" w:type="dxa"/>
            <w:right w:w="0" w:type="dxa"/>
          </w:tblCellMar>
        </w:tblPrEx>
        <w:trPr>
          <w:trHeight w:val="309"/>
        </w:trPr>
        <w:tc>
          <w:tcPr>
            <w:tcW w:w="414" w:type="dxa"/>
            <w:vAlign w:val="top"/>
          </w:tcPr>
          <w:p>
            <w:pPr>
              <w:pStyle w:val="TableText"/>
              <w:spacing w:before="117" w:line="183" w:lineRule="auto"/>
              <w:ind w:left="154"/>
            </w:pPr>
            <w:r>
              <w:t>2</w:t>
            </w:r>
          </w:p>
        </w:tc>
        <w:tc>
          <w:tcPr>
            <w:tcW w:w="3186" w:type="dxa"/>
            <w:vAlign w:val="top"/>
          </w:tcPr>
          <w:p>
            <w:pPr>
              <w:pStyle w:val="TableText"/>
              <w:spacing w:before="70" w:line="219" w:lineRule="auto"/>
              <w:ind w:left="131"/>
            </w:pPr>
            <w:r>
              <w:rPr>
                <w:spacing w:val="-1"/>
              </w:rPr>
              <w:t>产业链人才图谱系统V1.0</w:t>
            </w:r>
          </w:p>
        </w:tc>
        <w:tc>
          <w:tcPr>
            <w:tcW w:w="1299" w:type="dxa"/>
            <w:vAlign w:val="top"/>
          </w:tcPr>
          <w:p>
            <w:pPr>
              <w:pStyle w:val="TableText"/>
              <w:spacing w:before="76" w:line="224" w:lineRule="auto"/>
              <w:ind w:left="284"/>
            </w:pPr>
            <w:r>
              <w:rPr>
                <w:spacing w:val="-2"/>
              </w:rPr>
              <w:t>2023/1/1</w:t>
            </w:r>
          </w:p>
        </w:tc>
        <w:tc>
          <w:tcPr>
            <w:tcW w:w="989" w:type="dxa"/>
            <w:vAlign w:val="top"/>
          </w:tcPr>
          <w:p>
            <w:pPr>
              <w:pStyle w:val="TableText"/>
              <w:spacing w:before="71" w:line="219" w:lineRule="auto"/>
              <w:ind w:left="305"/>
            </w:pPr>
            <w:r>
              <w:rPr>
                <w:spacing w:val="5"/>
              </w:rPr>
              <w:t>软著</w:t>
            </w:r>
          </w:p>
        </w:tc>
        <w:tc>
          <w:tcPr>
            <w:tcW w:w="2238" w:type="dxa"/>
            <w:vAlign w:val="top"/>
          </w:tcPr>
          <w:p>
            <w:pPr>
              <w:pStyle w:val="TableText"/>
              <w:spacing w:before="71" w:line="219" w:lineRule="auto"/>
              <w:ind w:left="216"/>
            </w:pPr>
            <w:r>
              <w:t>软著登字第11135845号</w:t>
            </w:r>
          </w:p>
        </w:tc>
        <w:tc>
          <w:tcPr>
            <w:tcW w:w="844" w:type="dxa"/>
            <w:vAlign w:val="top"/>
          </w:tcPr>
          <w:p>
            <w:pPr>
              <w:pStyle w:val="TableText"/>
              <w:spacing w:before="117" w:line="183" w:lineRule="auto"/>
              <w:ind w:left="328"/>
            </w:pPr>
            <w:r>
              <w:rPr>
                <w:spacing w:val="-3"/>
              </w:rPr>
              <w:t>50</w:t>
            </w:r>
          </w:p>
        </w:tc>
      </w:tr>
      <w:tr>
        <w:tblPrEx>
          <w:tblW w:w="8970" w:type="dxa"/>
          <w:tblInd w:w="5" w:type="dxa"/>
          <w:tblLayout w:type="fixed"/>
          <w:tblCellMar>
            <w:top w:w="0" w:type="dxa"/>
            <w:left w:w="0" w:type="dxa"/>
            <w:bottom w:w="0" w:type="dxa"/>
            <w:right w:w="0" w:type="dxa"/>
          </w:tblCellMar>
        </w:tblPrEx>
        <w:trPr>
          <w:trHeight w:val="309"/>
        </w:trPr>
        <w:tc>
          <w:tcPr>
            <w:tcW w:w="414" w:type="dxa"/>
            <w:vAlign w:val="top"/>
          </w:tcPr>
          <w:p>
            <w:pPr>
              <w:pStyle w:val="TableText"/>
              <w:spacing w:before="118" w:line="183" w:lineRule="auto"/>
              <w:ind w:left="154"/>
            </w:pPr>
            <w:r>
              <w:t>3</w:t>
            </w:r>
          </w:p>
        </w:tc>
        <w:tc>
          <w:tcPr>
            <w:tcW w:w="3186" w:type="dxa"/>
            <w:vAlign w:val="top"/>
          </w:tcPr>
          <w:p>
            <w:pPr>
              <w:pStyle w:val="TableText"/>
              <w:spacing w:before="72" w:line="220" w:lineRule="auto"/>
              <w:ind w:left="131"/>
            </w:pPr>
            <w:r>
              <w:t>营商环境监测系统V1.0</w:t>
            </w:r>
          </w:p>
        </w:tc>
        <w:tc>
          <w:tcPr>
            <w:tcW w:w="1299" w:type="dxa"/>
            <w:vAlign w:val="top"/>
          </w:tcPr>
          <w:p>
            <w:pPr>
              <w:pStyle w:val="TableText"/>
              <w:spacing w:before="77" w:line="224" w:lineRule="auto"/>
              <w:ind w:left="284"/>
            </w:pPr>
            <w:r>
              <w:rPr>
                <w:spacing w:val="-2"/>
              </w:rPr>
              <w:t>2023/1/1</w:t>
            </w:r>
          </w:p>
        </w:tc>
        <w:tc>
          <w:tcPr>
            <w:tcW w:w="989" w:type="dxa"/>
            <w:vAlign w:val="top"/>
          </w:tcPr>
          <w:p>
            <w:pPr>
              <w:pStyle w:val="TableText"/>
              <w:spacing w:before="72" w:line="219" w:lineRule="auto"/>
              <w:ind w:left="305"/>
            </w:pPr>
            <w:r>
              <w:rPr>
                <w:spacing w:val="5"/>
              </w:rPr>
              <w:t>软著</w:t>
            </w:r>
          </w:p>
        </w:tc>
        <w:tc>
          <w:tcPr>
            <w:tcW w:w="2238" w:type="dxa"/>
            <w:vAlign w:val="top"/>
          </w:tcPr>
          <w:p>
            <w:pPr>
              <w:pStyle w:val="TableText"/>
              <w:spacing w:before="72" w:line="219" w:lineRule="auto"/>
              <w:ind w:left="216"/>
            </w:pPr>
            <w:r>
              <w:t>软著登字第11136361号</w:t>
            </w:r>
          </w:p>
        </w:tc>
        <w:tc>
          <w:tcPr>
            <w:tcW w:w="844" w:type="dxa"/>
            <w:vAlign w:val="top"/>
          </w:tcPr>
          <w:p>
            <w:pPr>
              <w:pStyle w:val="TableText"/>
              <w:spacing w:before="118" w:line="183" w:lineRule="auto"/>
              <w:ind w:left="328"/>
            </w:pPr>
            <w:r>
              <w:rPr>
                <w:spacing w:val="-3"/>
              </w:rPr>
              <w:t>50</w:t>
            </w:r>
          </w:p>
        </w:tc>
      </w:tr>
      <w:tr>
        <w:tblPrEx>
          <w:tblW w:w="8970" w:type="dxa"/>
          <w:tblInd w:w="5" w:type="dxa"/>
          <w:tblLayout w:type="fixed"/>
          <w:tblCellMar>
            <w:top w:w="0" w:type="dxa"/>
            <w:left w:w="0" w:type="dxa"/>
            <w:bottom w:w="0" w:type="dxa"/>
            <w:right w:w="0" w:type="dxa"/>
          </w:tblCellMar>
        </w:tblPrEx>
        <w:trPr>
          <w:trHeight w:val="309"/>
        </w:trPr>
        <w:tc>
          <w:tcPr>
            <w:tcW w:w="414" w:type="dxa"/>
            <w:vAlign w:val="top"/>
          </w:tcPr>
          <w:p>
            <w:pPr>
              <w:pStyle w:val="TableText"/>
              <w:spacing w:before="119" w:line="183" w:lineRule="auto"/>
              <w:ind w:left="154"/>
            </w:pPr>
            <w:r>
              <w:t>4</w:t>
            </w:r>
          </w:p>
        </w:tc>
        <w:tc>
          <w:tcPr>
            <w:tcW w:w="3186" w:type="dxa"/>
            <w:vAlign w:val="top"/>
          </w:tcPr>
          <w:p>
            <w:pPr>
              <w:pStyle w:val="TableText"/>
              <w:spacing w:before="72" w:line="219" w:lineRule="auto"/>
              <w:ind w:left="131"/>
            </w:pPr>
            <w:r>
              <w:t>区域科技发展监测与培育系统V1.0</w:t>
            </w:r>
          </w:p>
        </w:tc>
        <w:tc>
          <w:tcPr>
            <w:tcW w:w="1299" w:type="dxa"/>
            <w:vAlign w:val="top"/>
          </w:tcPr>
          <w:p>
            <w:pPr>
              <w:pStyle w:val="TableText"/>
              <w:spacing w:before="78" w:line="224" w:lineRule="auto"/>
              <w:ind w:left="284"/>
            </w:pPr>
            <w:r>
              <w:rPr>
                <w:spacing w:val="-2"/>
              </w:rPr>
              <w:t>2023/1/1</w:t>
            </w:r>
          </w:p>
        </w:tc>
        <w:tc>
          <w:tcPr>
            <w:tcW w:w="989" w:type="dxa"/>
            <w:vAlign w:val="top"/>
          </w:tcPr>
          <w:p>
            <w:pPr>
              <w:pStyle w:val="TableText"/>
              <w:spacing w:before="73" w:line="219" w:lineRule="auto"/>
              <w:ind w:left="305"/>
            </w:pPr>
            <w:r>
              <w:rPr>
                <w:spacing w:val="5"/>
              </w:rPr>
              <w:t>软著</w:t>
            </w:r>
          </w:p>
        </w:tc>
        <w:tc>
          <w:tcPr>
            <w:tcW w:w="2238" w:type="dxa"/>
            <w:vAlign w:val="top"/>
          </w:tcPr>
          <w:p>
            <w:pPr>
              <w:pStyle w:val="TableText"/>
              <w:spacing w:before="73" w:line="219" w:lineRule="auto"/>
              <w:ind w:left="216"/>
            </w:pPr>
            <w:r>
              <w:t>软著登字第11032379号</w:t>
            </w:r>
          </w:p>
        </w:tc>
        <w:tc>
          <w:tcPr>
            <w:tcW w:w="844" w:type="dxa"/>
            <w:vAlign w:val="top"/>
          </w:tcPr>
          <w:p>
            <w:pPr>
              <w:pStyle w:val="TableText"/>
              <w:spacing w:before="119" w:line="183" w:lineRule="auto"/>
              <w:ind w:left="328"/>
            </w:pPr>
            <w:r>
              <w:rPr>
                <w:spacing w:val="-3"/>
              </w:rPr>
              <w:t>50</w:t>
            </w:r>
          </w:p>
        </w:tc>
      </w:tr>
      <w:tr>
        <w:tblPrEx>
          <w:tblW w:w="8970" w:type="dxa"/>
          <w:tblInd w:w="5" w:type="dxa"/>
          <w:tblLayout w:type="fixed"/>
          <w:tblCellMar>
            <w:top w:w="0" w:type="dxa"/>
            <w:left w:w="0" w:type="dxa"/>
            <w:bottom w:w="0" w:type="dxa"/>
            <w:right w:w="0" w:type="dxa"/>
          </w:tblCellMar>
        </w:tblPrEx>
        <w:trPr>
          <w:trHeight w:val="309"/>
        </w:trPr>
        <w:tc>
          <w:tcPr>
            <w:tcW w:w="414" w:type="dxa"/>
            <w:vAlign w:val="top"/>
          </w:tcPr>
          <w:p>
            <w:pPr>
              <w:pStyle w:val="TableText"/>
              <w:spacing w:before="121" w:line="182" w:lineRule="auto"/>
              <w:ind w:left="154"/>
            </w:pPr>
            <w:r>
              <w:t>5</w:t>
            </w:r>
          </w:p>
        </w:tc>
        <w:tc>
          <w:tcPr>
            <w:tcW w:w="3186" w:type="dxa"/>
            <w:vAlign w:val="top"/>
          </w:tcPr>
          <w:p>
            <w:pPr>
              <w:pStyle w:val="TableText"/>
              <w:spacing w:before="74" w:line="219" w:lineRule="auto"/>
              <w:ind w:left="131"/>
            </w:pPr>
            <w:r>
              <w:rPr>
                <w:spacing w:val="-1"/>
              </w:rPr>
              <w:t>上市公司监测与培育系统V1.0</w:t>
            </w:r>
          </w:p>
        </w:tc>
        <w:tc>
          <w:tcPr>
            <w:tcW w:w="1299" w:type="dxa"/>
            <w:vAlign w:val="top"/>
          </w:tcPr>
          <w:p>
            <w:pPr>
              <w:pStyle w:val="TableText"/>
              <w:spacing w:before="79" w:line="224" w:lineRule="auto"/>
              <w:ind w:left="284"/>
            </w:pPr>
            <w:r>
              <w:rPr>
                <w:spacing w:val="-2"/>
              </w:rPr>
              <w:t>2023/1/1</w:t>
            </w:r>
          </w:p>
        </w:tc>
        <w:tc>
          <w:tcPr>
            <w:tcW w:w="989" w:type="dxa"/>
            <w:vAlign w:val="top"/>
          </w:tcPr>
          <w:p>
            <w:pPr>
              <w:pStyle w:val="TableText"/>
              <w:spacing w:before="74" w:line="219" w:lineRule="auto"/>
              <w:ind w:left="305"/>
            </w:pPr>
            <w:r>
              <w:rPr>
                <w:spacing w:val="5"/>
              </w:rPr>
              <w:t>软著</w:t>
            </w:r>
          </w:p>
        </w:tc>
        <w:tc>
          <w:tcPr>
            <w:tcW w:w="2238" w:type="dxa"/>
            <w:vAlign w:val="top"/>
          </w:tcPr>
          <w:p>
            <w:pPr>
              <w:pStyle w:val="TableText"/>
              <w:spacing w:before="74" w:line="219" w:lineRule="auto"/>
              <w:ind w:left="216"/>
            </w:pPr>
            <w:r>
              <w:t>软著登字第11030825号</w:t>
            </w:r>
          </w:p>
        </w:tc>
        <w:tc>
          <w:tcPr>
            <w:tcW w:w="844" w:type="dxa"/>
            <w:vAlign w:val="top"/>
          </w:tcPr>
          <w:p>
            <w:pPr>
              <w:pStyle w:val="TableText"/>
              <w:spacing w:before="120" w:line="183" w:lineRule="auto"/>
              <w:ind w:left="328"/>
            </w:pPr>
            <w:r>
              <w:rPr>
                <w:spacing w:val="-3"/>
              </w:rPr>
              <w:t>50</w:t>
            </w:r>
          </w:p>
        </w:tc>
      </w:tr>
      <w:tr>
        <w:tblPrEx>
          <w:tblW w:w="8970" w:type="dxa"/>
          <w:tblInd w:w="5" w:type="dxa"/>
          <w:tblLayout w:type="fixed"/>
          <w:tblCellMar>
            <w:top w:w="0" w:type="dxa"/>
            <w:left w:w="0" w:type="dxa"/>
            <w:bottom w:w="0" w:type="dxa"/>
            <w:right w:w="0" w:type="dxa"/>
          </w:tblCellMar>
        </w:tblPrEx>
        <w:trPr>
          <w:trHeight w:val="309"/>
        </w:trPr>
        <w:tc>
          <w:tcPr>
            <w:tcW w:w="414" w:type="dxa"/>
            <w:vAlign w:val="top"/>
          </w:tcPr>
          <w:p>
            <w:pPr>
              <w:pStyle w:val="TableText"/>
              <w:spacing w:before="121" w:line="182" w:lineRule="auto"/>
              <w:ind w:left="154"/>
            </w:pPr>
            <w:r>
              <w:t>6</w:t>
            </w:r>
          </w:p>
        </w:tc>
        <w:tc>
          <w:tcPr>
            <w:tcW w:w="3186" w:type="dxa"/>
            <w:vAlign w:val="top"/>
          </w:tcPr>
          <w:p>
            <w:pPr>
              <w:pStyle w:val="TableText"/>
              <w:spacing w:before="75" w:line="219" w:lineRule="auto"/>
              <w:ind w:left="131"/>
            </w:pPr>
            <w:r>
              <w:rPr>
                <w:spacing w:val="-1"/>
              </w:rPr>
              <w:t>优质企业梯次培育与监测系统V1.0</w:t>
            </w:r>
          </w:p>
        </w:tc>
        <w:tc>
          <w:tcPr>
            <w:tcW w:w="1299" w:type="dxa"/>
            <w:vAlign w:val="top"/>
          </w:tcPr>
          <w:p>
            <w:pPr>
              <w:pStyle w:val="TableText"/>
              <w:spacing w:before="80" w:line="224" w:lineRule="auto"/>
              <w:ind w:left="284"/>
            </w:pPr>
            <w:r>
              <w:rPr>
                <w:spacing w:val="-2"/>
              </w:rPr>
              <w:t>2023/1/1</w:t>
            </w:r>
          </w:p>
        </w:tc>
        <w:tc>
          <w:tcPr>
            <w:tcW w:w="989" w:type="dxa"/>
            <w:vAlign w:val="top"/>
          </w:tcPr>
          <w:p>
            <w:pPr>
              <w:pStyle w:val="TableText"/>
              <w:spacing w:before="75" w:line="219" w:lineRule="auto"/>
              <w:ind w:left="305"/>
            </w:pPr>
            <w:r>
              <w:rPr>
                <w:spacing w:val="5"/>
              </w:rPr>
              <w:t>软著</w:t>
            </w:r>
          </w:p>
        </w:tc>
        <w:tc>
          <w:tcPr>
            <w:tcW w:w="2238" w:type="dxa"/>
            <w:vAlign w:val="top"/>
          </w:tcPr>
          <w:p>
            <w:pPr>
              <w:pStyle w:val="TableText"/>
              <w:spacing w:before="75" w:line="219" w:lineRule="auto"/>
              <w:ind w:left="216"/>
            </w:pPr>
            <w:r>
              <w:t>软著登字第11042825号</w:t>
            </w:r>
          </w:p>
        </w:tc>
        <w:tc>
          <w:tcPr>
            <w:tcW w:w="844" w:type="dxa"/>
            <w:vAlign w:val="top"/>
          </w:tcPr>
          <w:p>
            <w:pPr>
              <w:pStyle w:val="TableText"/>
              <w:spacing w:before="121" w:line="182" w:lineRule="auto"/>
              <w:ind w:left="328"/>
            </w:pPr>
            <w:r>
              <w:rPr>
                <w:spacing w:val="-3"/>
              </w:rPr>
              <w:t>50</w:t>
            </w:r>
          </w:p>
        </w:tc>
      </w:tr>
      <w:tr>
        <w:tblPrEx>
          <w:tblW w:w="8970" w:type="dxa"/>
          <w:tblInd w:w="5" w:type="dxa"/>
          <w:tblLayout w:type="fixed"/>
          <w:tblCellMar>
            <w:top w:w="0" w:type="dxa"/>
            <w:left w:w="0" w:type="dxa"/>
            <w:bottom w:w="0" w:type="dxa"/>
            <w:right w:w="0" w:type="dxa"/>
          </w:tblCellMar>
        </w:tblPrEx>
        <w:trPr>
          <w:trHeight w:val="314"/>
        </w:trPr>
        <w:tc>
          <w:tcPr>
            <w:tcW w:w="414" w:type="dxa"/>
            <w:vAlign w:val="top"/>
          </w:tcPr>
          <w:p>
            <w:pPr>
              <w:pStyle w:val="TableText"/>
              <w:spacing w:before="123" w:line="182" w:lineRule="auto"/>
              <w:ind w:left="154"/>
            </w:pPr>
            <w:r>
              <w:t>7</w:t>
            </w:r>
          </w:p>
        </w:tc>
        <w:tc>
          <w:tcPr>
            <w:tcW w:w="3186" w:type="dxa"/>
            <w:vAlign w:val="top"/>
          </w:tcPr>
          <w:p>
            <w:pPr>
              <w:pStyle w:val="TableText"/>
              <w:spacing w:before="75" w:line="219" w:lineRule="auto"/>
              <w:ind w:left="131"/>
            </w:pPr>
            <w:r>
              <w:rPr>
                <w:spacing w:val="-1"/>
              </w:rPr>
              <w:t>产业链供应链监测系统V1.0</w:t>
            </w:r>
          </w:p>
        </w:tc>
        <w:tc>
          <w:tcPr>
            <w:tcW w:w="1299" w:type="dxa"/>
            <w:vAlign w:val="top"/>
          </w:tcPr>
          <w:p>
            <w:pPr>
              <w:pStyle w:val="TableText"/>
              <w:spacing w:before="81" w:line="224" w:lineRule="auto"/>
              <w:ind w:left="284"/>
            </w:pPr>
            <w:r>
              <w:rPr>
                <w:spacing w:val="-2"/>
              </w:rPr>
              <w:t>2023/1/1</w:t>
            </w:r>
          </w:p>
        </w:tc>
        <w:tc>
          <w:tcPr>
            <w:tcW w:w="989" w:type="dxa"/>
            <w:vAlign w:val="top"/>
          </w:tcPr>
          <w:p>
            <w:pPr>
              <w:pStyle w:val="TableText"/>
              <w:spacing w:before="76" w:line="219" w:lineRule="auto"/>
              <w:ind w:left="305"/>
            </w:pPr>
            <w:r>
              <w:rPr>
                <w:spacing w:val="5"/>
              </w:rPr>
              <w:t>软著</w:t>
            </w:r>
          </w:p>
        </w:tc>
        <w:tc>
          <w:tcPr>
            <w:tcW w:w="2238" w:type="dxa"/>
            <w:vAlign w:val="top"/>
          </w:tcPr>
          <w:p>
            <w:pPr>
              <w:pStyle w:val="TableText"/>
              <w:spacing w:before="76" w:line="219" w:lineRule="auto"/>
              <w:ind w:left="216"/>
            </w:pPr>
            <w:r>
              <w:t>软著登字第11252780号</w:t>
            </w:r>
          </w:p>
        </w:tc>
        <w:tc>
          <w:tcPr>
            <w:tcW w:w="844" w:type="dxa"/>
            <w:vAlign w:val="top"/>
          </w:tcPr>
          <w:p>
            <w:pPr>
              <w:pStyle w:val="TableText"/>
              <w:spacing w:before="122" w:line="183" w:lineRule="auto"/>
              <w:ind w:left="328"/>
            </w:pPr>
            <w:r>
              <w:rPr>
                <w:spacing w:val="-3"/>
              </w:rPr>
              <w:t>50</w:t>
            </w:r>
          </w:p>
        </w:tc>
      </w:tr>
    </w:tbl>
    <w:p>
      <w:pPr>
        <w:spacing w:before="203" w:line="492" w:lineRule="exact"/>
        <w:ind w:left="814"/>
        <w:rPr>
          <w:rFonts w:ascii="宋体" w:eastAsia="宋体" w:hAnsi="宋体" w:cs="宋体"/>
          <w:sz w:val="23"/>
          <w:szCs w:val="23"/>
        </w:rPr>
      </w:pPr>
      <w:r>
        <w:rPr>
          <w:rFonts w:ascii="宋体" w:eastAsia="宋体" w:hAnsi="宋体" w:cs="宋体"/>
          <w:spacing w:val="7"/>
          <w:position w:val="20"/>
          <w:sz w:val="23"/>
          <w:szCs w:val="23"/>
        </w:rPr>
        <w:t>(三)引用其他机构出具的报告结论所涉及的资产类型、数量和账面金额</w:t>
      </w:r>
    </w:p>
    <w:p>
      <w:pPr>
        <w:spacing w:line="220" w:lineRule="auto"/>
        <w:ind w:left="814"/>
        <w:rPr>
          <w:rFonts w:ascii="宋体" w:eastAsia="宋体" w:hAnsi="宋体" w:cs="宋体"/>
          <w:sz w:val="23"/>
          <w:szCs w:val="23"/>
        </w:rPr>
      </w:pPr>
      <w:r>
        <w:rPr>
          <w:rFonts w:ascii="宋体" w:eastAsia="宋体" w:hAnsi="宋体" w:cs="宋体"/>
          <w:spacing w:val="-2"/>
          <w:sz w:val="23"/>
          <w:szCs w:val="23"/>
        </w:rPr>
        <w:t>无。</w:t>
      </w:r>
    </w:p>
    <w:p>
      <w:pPr>
        <w:spacing w:before="210" w:line="218" w:lineRule="auto"/>
        <w:ind w:left="818"/>
        <w:outlineLvl w:val="0"/>
        <w:rPr>
          <w:rFonts w:ascii="宋体" w:eastAsia="宋体" w:hAnsi="宋体" w:cs="宋体"/>
          <w:sz w:val="23"/>
          <w:szCs w:val="23"/>
        </w:rPr>
      </w:pPr>
      <w:r>
        <w:rPr>
          <w:rFonts w:ascii="宋体" w:eastAsia="宋体" w:hAnsi="宋体" w:cs="宋体"/>
          <w:b/>
          <w:bCs/>
          <w:sz w:val="23"/>
          <w:szCs w:val="23"/>
        </w:rPr>
        <w:t>五、价值类型</w:t>
      </w:r>
    </w:p>
    <w:p>
      <w:pPr>
        <w:spacing w:before="180" w:line="271" w:lineRule="auto"/>
        <w:ind w:left="354" w:right="382" w:firstLine="460"/>
        <w:jc w:val="both"/>
        <w:rPr>
          <w:rFonts w:ascii="宋体" w:eastAsia="宋体" w:hAnsi="宋体" w:cs="宋体"/>
          <w:sz w:val="23"/>
          <w:szCs w:val="23"/>
        </w:rPr>
      </w:pPr>
      <w:r>
        <w:rPr>
          <w:rFonts w:ascii="宋体" w:eastAsia="宋体" w:hAnsi="宋体" w:cs="宋体"/>
          <w:spacing w:val="6"/>
          <w:sz w:val="23"/>
          <w:szCs w:val="23"/>
        </w:rPr>
        <w:t>考虑本次所执行的资产评估业务对市场条件和评估对象的使</w:t>
      </w:r>
      <w:r>
        <w:rPr>
          <w:rFonts w:ascii="宋体" w:eastAsia="宋体" w:hAnsi="宋体" w:cs="宋体"/>
          <w:spacing w:val="5"/>
          <w:sz w:val="23"/>
          <w:szCs w:val="23"/>
        </w:rPr>
        <w:t>用等并无特别限</w:t>
      </w:r>
      <w:r>
        <w:rPr>
          <w:rFonts w:ascii="宋体" w:eastAsia="宋体" w:hAnsi="宋体" w:cs="宋体"/>
          <w:sz w:val="23"/>
          <w:szCs w:val="23"/>
        </w:rPr>
        <w:t xml:space="preserve"> </w:t>
      </w:r>
      <w:r>
        <w:rPr>
          <w:rFonts w:ascii="宋体" w:eastAsia="宋体" w:hAnsi="宋体" w:cs="宋体"/>
          <w:spacing w:val="-1"/>
          <w:sz w:val="23"/>
          <w:szCs w:val="23"/>
        </w:rPr>
        <w:t>制和要求，评估结果应反映评估对象的市场价值，根据评估目的、市场</w:t>
      </w:r>
      <w:r>
        <w:rPr>
          <w:rFonts w:ascii="宋体" w:eastAsia="宋体" w:hAnsi="宋体" w:cs="宋体"/>
          <w:spacing w:val="-2"/>
          <w:sz w:val="23"/>
          <w:szCs w:val="23"/>
        </w:rPr>
        <w:t>条件、评估</w:t>
      </w:r>
      <w:r>
        <w:rPr>
          <w:rFonts w:ascii="宋体" w:eastAsia="宋体" w:hAnsi="宋体" w:cs="宋体"/>
          <w:sz w:val="23"/>
          <w:szCs w:val="23"/>
        </w:rPr>
        <w:t xml:space="preserve"> </w:t>
      </w:r>
      <w:r>
        <w:rPr>
          <w:rFonts w:ascii="宋体" w:eastAsia="宋体" w:hAnsi="宋体" w:cs="宋体"/>
          <w:spacing w:val="-2"/>
          <w:sz w:val="23"/>
          <w:szCs w:val="23"/>
        </w:rPr>
        <w:t>对象自身条件等因素，确定评估对象的价值类型为市场价值。</w:t>
      </w:r>
    </w:p>
    <w:p>
      <w:pPr>
        <w:spacing w:before="200" w:line="264" w:lineRule="auto"/>
        <w:ind w:left="354" w:right="378" w:firstLine="460"/>
        <w:rPr>
          <w:rFonts w:ascii="宋体" w:eastAsia="宋体" w:hAnsi="宋体" w:cs="宋体"/>
          <w:sz w:val="23"/>
          <w:szCs w:val="23"/>
        </w:rPr>
      </w:pPr>
      <w:r>
        <w:rPr>
          <w:rFonts w:ascii="宋体" w:eastAsia="宋体" w:hAnsi="宋体" w:cs="宋体"/>
          <w:spacing w:val="6"/>
          <w:sz w:val="23"/>
          <w:szCs w:val="23"/>
        </w:rPr>
        <w:t>本次评估采用持续经营前提下的市场价值作为选定的价值类型，具体</w:t>
      </w:r>
      <w:r>
        <w:rPr>
          <w:rFonts w:ascii="宋体" w:eastAsia="宋体" w:hAnsi="宋体" w:cs="宋体"/>
          <w:spacing w:val="5"/>
          <w:sz w:val="23"/>
          <w:szCs w:val="23"/>
        </w:rPr>
        <w:t>定义如</w:t>
      </w:r>
      <w:r>
        <w:rPr>
          <w:rFonts w:ascii="宋体" w:eastAsia="宋体" w:hAnsi="宋体" w:cs="宋体"/>
          <w:sz w:val="23"/>
          <w:szCs w:val="23"/>
        </w:rPr>
        <w:t xml:space="preserve"> </w:t>
      </w:r>
      <w:r>
        <w:rPr>
          <w:rFonts w:ascii="宋体" w:eastAsia="宋体" w:hAnsi="宋体" w:cs="宋体"/>
          <w:spacing w:val="-12"/>
          <w:sz w:val="23"/>
          <w:szCs w:val="23"/>
        </w:rPr>
        <w:t>下：</w:t>
      </w:r>
    </w:p>
    <w:p>
      <w:pPr>
        <w:spacing w:before="172" w:line="257" w:lineRule="auto"/>
        <w:ind w:left="354" w:right="411" w:firstLine="460"/>
        <w:rPr>
          <w:rFonts w:ascii="宋体" w:eastAsia="宋体" w:hAnsi="宋体" w:cs="宋体"/>
          <w:sz w:val="23"/>
          <w:szCs w:val="23"/>
        </w:rPr>
      </w:pPr>
      <w:r>
        <w:rPr>
          <w:rFonts w:ascii="宋体" w:eastAsia="宋体" w:hAnsi="宋体" w:cs="宋体"/>
          <w:spacing w:val="-2"/>
          <w:sz w:val="23"/>
          <w:szCs w:val="23"/>
        </w:rPr>
        <w:t>市场价值是指自愿买方和自愿卖方在各自理性行事且未受任何强迫的情况下，</w:t>
      </w:r>
      <w:r>
        <w:rPr>
          <w:rFonts w:ascii="宋体" w:eastAsia="宋体" w:hAnsi="宋体" w:cs="宋体"/>
          <w:sz w:val="23"/>
          <w:szCs w:val="23"/>
        </w:rPr>
        <w:t xml:space="preserve"> </w:t>
      </w:r>
      <w:r>
        <w:rPr>
          <w:rFonts w:ascii="宋体" w:eastAsia="宋体" w:hAnsi="宋体" w:cs="宋体"/>
          <w:spacing w:val="-2"/>
          <w:sz w:val="23"/>
          <w:szCs w:val="23"/>
        </w:rPr>
        <w:t>评估对象在评估基准日进行正常公平交易的价值估计数额。</w:t>
      </w:r>
    </w:p>
    <w:p>
      <w:pPr>
        <w:spacing w:before="189" w:line="391" w:lineRule="exact"/>
        <w:ind w:left="814"/>
        <w:rPr>
          <w:rFonts w:ascii="宋体" w:eastAsia="宋体" w:hAnsi="宋体" w:cs="宋体"/>
          <w:sz w:val="23"/>
          <w:szCs w:val="23"/>
        </w:rPr>
      </w:pPr>
      <w:r>
        <w:rPr>
          <w:rFonts w:ascii="宋体" w:eastAsia="宋体" w:hAnsi="宋体" w:cs="宋体"/>
          <w:spacing w:val="-1"/>
          <w:position w:val="12"/>
          <w:sz w:val="23"/>
          <w:szCs w:val="23"/>
        </w:rPr>
        <w:t>持续经营在本报告中是指被评估单位的生产经营活动会按其现状</w:t>
      </w:r>
      <w:r>
        <w:rPr>
          <w:rFonts w:ascii="宋体" w:eastAsia="宋体" w:hAnsi="宋体" w:cs="宋体"/>
          <w:spacing w:val="-2"/>
          <w:position w:val="12"/>
          <w:sz w:val="23"/>
          <w:szCs w:val="23"/>
        </w:rPr>
        <w:t>持续下去，并</w:t>
      </w:r>
    </w:p>
    <w:p>
      <w:pPr>
        <w:spacing w:line="218" w:lineRule="auto"/>
        <w:ind w:left="354"/>
        <w:rPr>
          <w:rFonts w:ascii="宋体" w:eastAsia="宋体" w:hAnsi="宋体" w:cs="宋体"/>
          <w:sz w:val="23"/>
          <w:szCs w:val="23"/>
        </w:rPr>
      </w:pPr>
      <w:r>
        <w:rPr>
          <w:rFonts w:ascii="宋体" w:eastAsia="宋体" w:hAnsi="宋体" w:cs="宋体"/>
          <w:spacing w:val="-3"/>
          <w:sz w:val="23"/>
          <w:szCs w:val="23"/>
        </w:rPr>
        <w:t>在可预见的未来不会发生重大改变。</w:t>
      </w:r>
    </w:p>
    <w:p>
      <w:pPr>
        <w:spacing w:before="214" w:line="218" w:lineRule="auto"/>
        <w:ind w:left="818"/>
        <w:outlineLvl w:val="0"/>
        <w:rPr>
          <w:rFonts w:ascii="宋体" w:eastAsia="宋体" w:hAnsi="宋体" w:cs="宋体"/>
          <w:sz w:val="23"/>
          <w:szCs w:val="23"/>
        </w:rPr>
      </w:pPr>
      <w:r>
        <w:rPr>
          <w:rFonts w:ascii="宋体" w:eastAsia="宋体" w:hAnsi="宋体" w:cs="宋体"/>
          <w:b/>
          <w:bCs/>
          <w:spacing w:val="-14"/>
          <w:sz w:val="23"/>
          <w:szCs w:val="23"/>
        </w:rPr>
        <w:t>六</w:t>
      </w:r>
      <w:r>
        <w:rPr>
          <w:rFonts w:ascii="宋体" w:eastAsia="宋体" w:hAnsi="宋体" w:cs="宋体"/>
          <w:spacing w:val="-14"/>
          <w:sz w:val="23"/>
          <w:szCs w:val="23"/>
        </w:rPr>
        <w:t xml:space="preserve"> </w:t>
      </w:r>
      <w:r>
        <w:rPr>
          <w:rFonts w:ascii="宋体" w:eastAsia="宋体" w:hAnsi="宋体" w:cs="宋体"/>
          <w:b/>
          <w:bCs/>
          <w:spacing w:val="-14"/>
          <w:sz w:val="23"/>
          <w:szCs w:val="23"/>
        </w:rPr>
        <w:t>、评估基准日</w:t>
      </w:r>
    </w:p>
    <w:p>
      <w:pPr>
        <w:spacing w:before="212" w:line="218" w:lineRule="auto"/>
        <w:ind w:left="814"/>
        <w:rPr>
          <w:rFonts w:ascii="宋体" w:eastAsia="宋体" w:hAnsi="宋体" w:cs="宋体"/>
          <w:sz w:val="23"/>
          <w:szCs w:val="23"/>
        </w:rPr>
      </w:pPr>
      <w:r>
        <w:rPr>
          <w:rFonts w:ascii="宋体" w:eastAsia="宋体" w:hAnsi="宋体" w:cs="宋体"/>
          <w:spacing w:val="8"/>
          <w:sz w:val="23"/>
          <w:szCs w:val="23"/>
        </w:rPr>
        <w:t>本次资产评估基准日是2023年11月30日。</w:t>
      </w:r>
    </w:p>
    <w:p>
      <w:pPr>
        <w:spacing w:line="218" w:lineRule="auto"/>
        <w:rPr>
          <w:rFonts w:ascii="宋体" w:eastAsia="宋体" w:hAnsi="宋体" w:cs="宋体"/>
          <w:sz w:val="23"/>
          <w:szCs w:val="23"/>
        </w:rPr>
        <w:sectPr>
          <w:headerReference w:type="default" r:id="rId22"/>
          <w:footerReference w:type="default" r:id="rId23"/>
          <w:pgSz w:w="11910" w:h="16840"/>
          <w:pgMar w:top="1235" w:right="1504" w:bottom="1090" w:left="1425" w:header="1055" w:footer="831" w:gutter="0"/>
          <w:pgNumType w:start="11"/>
          <w:cols w:num="1" w:space="720"/>
        </w:sectPr>
      </w:pPr>
    </w:p>
    <w:p>
      <w:pPr>
        <w:pStyle w:val="BodyText"/>
        <w:spacing w:line="381" w:lineRule="auto"/>
      </w:pPr>
    </w:p>
    <w:p>
      <w:pPr>
        <w:spacing w:before="78" w:line="218" w:lineRule="auto"/>
        <w:ind w:left="560"/>
        <w:rPr>
          <w:rFonts w:ascii="宋体" w:eastAsia="宋体" w:hAnsi="宋体" w:cs="宋体"/>
          <w:sz w:val="24"/>
          <w:szCs w:val="24"/>
        </w:rPr>
      </w:pPr>
      <w:r>
        <w:rPr>
          <w:rFonts w:ascii="宋体" w:eastAsia="宋体" w:hAnsi="宋体" w:cs="宋体"/>
          <w:spacing w:val="-13"/>
          <w:sz w:val="24"/>
          <w:szCs w:val="24"/>
        </w:rPr>
        <w:t>一切计价标准均为基准日的有效的价格标准。</w:t>
      </w:r>
    </w:p>
    <w:p>
      <w:pPr>
        <w:spacing w:before="206" w:line="256" w:lineRule="auto"/>
        <w:ind w:left="89" w:right="133" w:firstLine="470"/>
        <w:rPr>
          <w:rFonts w:ascii="宋体" w:eastAsia="宋体" w:hAnsi="宋体" w:cs="宋体"/>
          <w:sz w:val="24"/>
          <w:szCs w:val="24"/>
        </w:rPr>
      </w:pPr>
      <w:r>
        <w:rPr>
          <w:rFonts w:ascii="宋体" w:eastAsia="宋体" w:hAnsi="宋体" w:cs="宋体"/>
          <w:spacing w:val="-6"/>
          <w:sz w:val="24"/>
          <w:szCs w:val="24"/>
        </w:rPr>
        <w:t>评估基准日是由委托人根据经济行为的需要，考虑本次经济行为的实现、企</w:t>
      </w:r>
      <w:r>
        <w:rPr>
          <w:rFonts w:ascii="宋体" w:eastAsia="宋体" w:hAnsi="宋体" w:cs="宋体"/>
          <w:spacing w:val="7"/>
          <w:sz w:val="24"/>
          <w:szCs w:val="24"/>
        </w:rPr>
        <w:t xml:space="preserve"> </w:t>
      </w:r>
      <w:r>
        <w:rPr>
          <w:rFonts w:ascii="宋体" w:eastAsia="宋体" w:hAnsi="宋体" w:cs="宋体"/>
          <w:spacing w:val="-4"/>
          <w:sz w:val="24"/>
          <w:szCs w:val="24"/>
        </w:rPr>
        <w:t>业会计核算、会计资料的完整性、利率和汇率变化等因素确定的。</w:t>
      </w:r>
    </w:p>
    <w:p>
      <w:pPr>
        <w:spacing w:before="214" w:line="218" w:lineRule="auto"/>
        <w:ind w:left="560"/>
        <w:rPr>
          <w:rFonts w:ascii="宋体" w:eastAsia="宋体" w:hAnsi="宋体" w:cs="宋体"/>
          <w:sz w:val="24"/>
          <w:szCs w:val="24"/>
        </w:rPr>
      </w:pPr>
      <w:r>
        <w:rPr>
          <w:rFonts w:ascii="宋体" w:eastAsia="宋体" w:hAnsi="宋体" w:cs="宋体"/>
          <w:spacing w:val="-3"/>
          <w:sz w:val="24"/>
          <w:szCs w:val="24"/>
        </w:rPr>
        <w:t>本报告的评估基准日与资产评估委托合同约定的评估</w:t>
      </w:r>
      <w:r>
        <w:rPr>
          <w:rFonts w:ascii="宋体" w:eastAsia="宋体" w:hAnsi="宋体" w:cs="宋体"/>
          <w:spacing w:val="-4"/>
          <w:sz w:val="24"/>
          <w:szCs w:val="24"/>
        </w:rPr>
        <w:t>基准日一致。</w:t>
      </w:r>
    </w:p>
    <w:p>
      <w:pPr>
        <w:spacing w:before="203" w:line="218" w:lineRule="auto"/>
        <w:ind w:left="563"/>
        <w:outlineLvl w:val="0"/>
        <w:rPr>
          <w:rFonts w:ascii="宋体" w:eastAsia="宋体" w:hAnsi="宋体" w:cs="宋体"/>
          <w:sz w:val="24"/>
          <w:szCs w:val="24"/>
        </w:rPr>
      </w:pPr>
      <w:r>
        <w:rPr>
          <w:rFonts w:ascii="宋体" w:eastAsia="宋体" w:hAnsi="宋体" w:cs="宋体"/>
          <w:b/>
          <w:bCs/>
          <w:spacing w:val="-8"/>
          <w:sz w:val="24"/>
          <w:szCs w:val="24"/>
        </w:rPr>
        <w:t>七、评估依据</w:t>
      </w:r>
    </w:p>
    <w:p>
      <w:pPr>
        <w:spacing w:before="210" w:line="219" w:lineRule="auto"/>
        <w:ind w:left="320"/>
        <w:rPr>
          <w:rFonts w:ascii="宋体" w:eastAsia="宋体" w:hAnsi="宋体" w:cs="宋体"/>
          <w:sz w:val="24"/>
          <w:szCs w:val="24"/>
        </w:rPr>
      </w:pPr>
      <w:r>
        <w:rPr>
          <w:rFonts w:ascii="宋体" w:eastAsia="宋体" w:hAnsi="宋体" w:cs="宋体"/>
          <w:spacing w:val="-20"/>
          <w:sz w:val="24"/>
          <w:szCs w:val="24"/>
        </w:rPr>
        <w:t>(一)法律法规依据</w:t>
      </w:r>
    </w:p>
    <w:p>
      <w:pPr>
        <w:spacing w:before="175" w:line="252" w:lineRule="auto"/>
        <w:ind w:right="70" w:firstLine="459"/>
        <w:rPr>
          <w:rFonts w:ascii="宋体" w:eastAsia="宋体" w:hAnsi="宋体" w:cs="宋体"/>
          <w:sz w:val="24"/>
          <w:szCs w:val="24"/>
        </w:rPr>
      </w:pPr>
      <w:r>
        <w:rPr>
          <w:rFonts w:ascii="宋体" w:eastAsia="宋体" w:hAnsi="宋体" w:cs="宋体"/>
          <w:spacing w:val="-1"/>
          <w:sz w:val="24"/>
          <w:szCs w:val="24"/>
        </w:rPr>
        <w:t>1、《中华人民共和国资产评估法》(2016年7月2日第十二届全国人民代表大</w:t>
      </w:r>
      <w:r>
        <w:rPr>
          <w:rFonts w:ascii="宋体" w:eastAsia="宋体" w:hAnsi="宋体" w:cs="宋体"/>
          <w:spacing w:val="8"/>
          <w:sz w:val="24"/>
          <w:szCs w:val="24"/>
        </w:rPr>
        <w:t xml:space="preserve"> </w:t>
      </w:r>
      <w:r>
        <w:rPr>
          <w:rFonts w:ascii="宋体" w:eastAsia="宋体" w:hAnsi="宋体" w:cs="宋体"/>
          <w:spacing w:val="-6"/>
          <w:sz w:val="24"/>
          <w:szCs w:val="24"/>
        </w:rPr>
        <w:t>会常务委员会第二十一次会议通过);</w:t>
      </w:r>
    </w:p>
    <w:p>
      <w:pPr>
        <w:spacing w:before="177" w:line="255" w:lineRule="auto"/>
        <w:ind w:right="102" w:firstLine="459"/>
        <w:rPr>
          <w:rFonts w:ascii="宋体" w:eastAsia="宋体" w:hAnsi="宋体" w:cs="宋体"/>
          <w:sz w:val="24"/>
          <w:szCs w:val="24"/>
        </w:rPr>
      </w:pPr>
      <w:r>
        <w:rPr>
          <w:rFonts w:ascii="宋体" w:eastAsia="宋体" w:hAnsi="宋体" w:cs="宋体"/>
          <w:spacing w:val="-1"/>
          <w:sz w:val="24"/>
          <w:szCs w:val="24"/>
        </w:rPr>
        <w:t>2、《中华人民共和国公司法》</w:t>
      </w:r>
      <w:r>
        <w:rPr>
          <w:rFonts w:ascii="宋体" w:eastAsia="宋体" w:hAnsi="宋体" w:cs="宋体"/>
          <w:spacing w:val="110"/>
          <w:sz w:val="24"/>
          <w:szCs w:val="24"/>
        </w:rPr>
        <w:t xml:space="preserve"> </w:t>
      </w:r>
      <w:r>
        <w:rPr>
          <w:rFonts w:ascii="宋体" w:eastAsia="宋体" w:hAnsi="宋体" w:cs="宋体"/>
          <w:spacing w:val="-1"/>
          <w:sz w:val="24"/>
          <w:szCs w:val="24"/>
        </w:rPr>
        <w:t>(2018年10月2</w:t>
      </w:r>
      <w:r>
        <w:rPr>
          <w:rFonts w:ascii="宋体" w:eastAsia="宋体" w:hAnsi="宋体" w:cs="宋体"/>
          <w:spacing w:val="-2"/>
          <w:sz w:val="24"/>
          <w:szCs w:val="24"/>
        </w:rPr>
        <w:t>6日第十三届全国人民代表大</w:t>
      </w:r>
      <w:r>
        <w:rPr>
          <w:rFonts w:ascii="宋体" w:eastAsia="宋体" w:hAnsi="宋体" w:cs="宋体"/>
          <w:sz w:val="24"/>
          <w:szCs w:val="24"/>
        </w:rPr>
        <w:t xml:space="preserve"> </w:t>
      </w:r>
      <w:r>
        <w:rPr>
          <w:rFonts w:ascii="宋体" w:eastAsia="宋体" w:hAnsi="宋体" w:cs="宋体"/>
          <w:spacing w:val="-1"/>
          <w:sz w:val="24"/>
          <w:szCs w:val="24"/>
        </w:rPr>
        <w:t>会常务委员会第六次会议修正);</w:t>
      </w:r>
    </w:p>
    <w:p>
      <w:pPr>
        <w:spacing w:before="195" w:line="248" w:lineRule="auto"/>
        <w:ind w:right="101" w:firstLine="459"/>
        <w:rPr>
          <w:rFonts w:ascii="宋体" w:eastAsia="宋体" w:hAnsi="宋体" w:cs="宋体"/>
          <w:sz w:val="24"/>
          <w:szCs w:val="24"/>
        </w:rPr>
      </w:pPr>
      <w:r>
        <w:rPr>
          <w:rFonts w:ascii="宋体" w:eastAsia="宋体" w:hAnsi="宋体" w:cs="宋体"/>
          <w:spacing w:val="8"/>
          <w:sz w:val="24"/>
          <w:szCs w:val="24"/>
        </w:rPr>
        <w:t>3、《中华人民共和国民法典》(2020年5月28日第十三届全国人民代表大</w:t>
      </w:r>
      <w:r>
        <w:rPr>
          <w:rFonts w:ascii="宋体" w:eastAsia="宋体" w:hAnsi="宋体" w:cs="宋体"/>
          <w:spacing w:val="12"/>
          <w:sz w:val="24"/>
          <w:szCs w:val="24"/>
        </w:rPr>
        <w:t xml:space="preserve"> </w:t>
      </w:r>
      <w:r>
        <w:rPr>
          <w:rFonts w:ascii="宋体" w:eastAsia="宋体" w:hAnsi="宋体" w:cs="宋体"/>
          <w:spacing w:val="7"/>
          <w:sz w:val="24"/>
          <w:szCs w:val="24"/>
        </w:rPr>
        <w:t>会第三次会议通过);</w:t>
      </w:r>
    </w:p>
    <w:p>
      <w:pPr>
        <w:spacing w:before="184" w:line="252" w:lineRule="auto"/>
        <w:ind w:right="133" w:firstLine="459"/>
        <w:rPr>
          <w:rFonts w:ascii="宋体" w:eastAsia="宋体" w:hAnsi="宋体" w:cs="宋体"/>
          <w:sz w:val="24"/>
          <w:szCs w:val="24"/>
        </w:rPr>
      </w:pPr>
      <w:r>
        <w:rPr>
          <w:rFonts w:ascii="宋体" w:eastAsia="宋体" w:hAnsi="宋体" w:cs="宋体"/>
          <w:spacing w:val="5"/>
          <w:sz w:val="24"/>
          <w:szCs w:val="24"/>
        </w:rPr>
        <w:t>4、</w:t>
      </w:r>
      <w:r>
        <w:rPr>
          <w:rFonts w:ascii="宋体" w:eastAsia="宋体" w:hAnsi="宋体" w:cs="宋体"/>
          <w:spacing w:val="45"/>
          <w:sz w:val="24"/>
          <w:szCs w:val="24"/>
        </w:rPr>
        <w:t xml:space="preserve"> </w:t>
      </w:r>
      <w:r>
        <w:rPr>
          <w:rFonts w:ascii="宋体" w:eastAsia="宋体" w:hAnsi="宋体" w:cs="宋体"/>
          <w:spacing w:val="5"/>
          <w:sz w:val="24"/>
          <w:szCs w:val="24"/>
        </w:rPr>
        <w:t>《企业会计准则</w:t>
      </w:r>
      <w:r>
        <w:rPr>
          <w:rFonts w:ascii="宋体" w:eastAsia="宋体" w:hAnsi="宋体" w:cs="宋体"/>
          <w:spacing w:val="-108"/>
          <w:sz w:val="24"/>
          <w:szCs w:val="24"/>
        </w:rPr>
        <w:t xml:space="preserve"> </w:t>
      </w:r>
      <w:r>
        <w:rPr>
          <w:rFonts w:ascii="宋体" w:eastAsia="宋体" w:hAnsi="宋体" w:cs="宋体"/>
          <w:spacing w:val="10"/>
          <w:sz w:val="24"/>
          <w:szCs w:val="24"/>
          <w:u w:val="single" w:color="auto"/>
        </w:rPr>
        <w:t xml:space="preserve">   </w:t>
      </w:r>
      <w:r>
        <w:rPr>
          <w:rFonts w:ascii="宋体" w:eastAsia="宋体" w:hAnsi="宋体" w:cs="宋体"/>
          <w:spacing w:val="-110"/>
          <w:sz w:val="24"/>
          <w:szCs w:val="24"/>
        </w:rPr>
        <w:t xml:space="preserve"> </w:t>
      </w:r>
      <w:r>
        <w:rPr>
          <w:rFonts w:ascii="宋体" w:eastAsia="宋体" w:hAnsi="宋体" w:cs="宋体"/>
          <w:spacing w:val="5"/>
          <w:sz w:val="24"/>
          <w:szCs w:val="24"/>
        </w:rPr>
        <w:t>基本准则》(财政部令第33号2014年7月23</w:t>
      </w:r>
      <w:r>
        <w:rPr>
          <w:rFonts w:ascii="宋体" w:eastAsia="宋体" w:hAnsi="宋体" w:cs="宋体"/>
          <w:spacing w:val="4"/>
          <w:sz w:val="24"/>
          <w:szCs w:val="24"/>
        </w:rPr>
        <w:t>日中华</w:t>
      </w:r>
      <w:r>
        <w:rPr>
          <w:rFonts w:ascii="宋体" w:eastAsia="宋体" w:hAnsi="宋体" w:cs="宋体"/>
          <w:sz w:val="24"/>
          <w:szCs w:val="24"/>
        </w:rPr>
        <w:t xml:space="preserve"> </w:t>
      </w:r>
      <w:r>
        <w:rPr>
          <w:rFonts w:ascii="宋体" w:eastAsia="宋体" w:hAnsi="宋体" w:cs="宋体"/>
          <w:spacing w:val="8"/>
          <w:sz w:val="24"/>
          <w:szCs w:val="24"/>
        </w:rPr>
        <w:t>人民共和国财政部令第76号修改);</w:t>
      </w:r>
    </w:p>
    <w:p>
      <w:pPr>
        <w:spacing w:before="196" w:line="244" w:lineRule="auto"/>
        <w:ind w:right="102" w:firstLine="459"/>
        <w:rPr>
          <w:rFonts w:ascii="宋体" w:eastAsia="宋体" w:hAnsi="宋体" w:cs="宋体"/>
          <w:sz w:val="24"/>
          <w:szCs w:val="24"/>
        </w:rPr>
      </w:pPr>
      <w:r>
        <w:rPr>
          <w:rFonts w:ascii="宋体" w:eastAsia="宋体" w:hAnsi="宋体" w:cs="宋体"/>
          <w:spacing w:val="-2"/>
          <w:sz w:val="24"/>
          <w:szCs w:val="24"/>
        </w:rPr>
        <w:t>5、《中华人民共和国增值税暂行条例实施细则》(财政部、国家税务总局令</w:t>
      </w:r>
      <w:r>
        <w:rPr>
          <w:rFonts w:ascii="宋体" w:eastAsia="宋体" w:hAnsi="宋体" w:cs="宋体"/>
          <w:spacing w:val="8"/>
          <w:sz w:val="24"/>
          <w:szCs w:val="24"/>
        </w:rPr>
        <w:t xml:space="preserve"> </w:t>
      </w:r>
      <w:r>
        <w:rPr>
          <w:rFonts w:ascii="宋体" w:eastAsia="宋体" w:hAnsi="宋体" w:cs="宋体"/>
          <w:spacing w:val="16"/>
          <w:sz w:val="24"/>
          <w:szCs w:val="24"/>
        </w:rPr>
        <w:t>第50号财政部、国家税务总局令第65号修改);</w:t>
      </w:r>
    </w:p>
    <w:p>
      <w:pPr>
        <w:spacing w:before="186" w:line="250" w:lineRule="auto"/>
        <w:ind w:left="149" w:right="134" w:firstLine="310"/>
        <w:rPr>
          <w:rFonts w:ascii="宋体" w:eastAsia="宋体" w:hAnsi="宋体" w:cs="宋体"/>
          <w:sz w:val="24"/>
          <w:szCs w:val="24"/>
        </w:rPr>
      </w:pPr>
      <w:r>
        <w:rPr>
          <w:rFonts w:ascii="宋体" w:eastAsia="宋体" w:hAnsi="宋体" w:cs="宋体"/>
          <w:spacing w:val="-3"/>
          <w:sz w:val="24"/>
          <w:szCs w:val="24"/>
        </w:rPr>
        <w:t>6、《关于印发&lt;企业国有资产评估项目备案工作指引&gt;的通知》(国资发产权</w:t>
      </w:r>
      <w:r>
        <w:rPr>
          <w:rFonts w:ascii="宋体" w:eastAsia="宋体" w:hAnsi="宋体" w:cs="宋体"/>
          <w:spacing w:val="13"/>
          <w:sz w:val="24"/>
          <w:szCs w:val="24"/>
        </w:rPr>
        <w:t xml:space="preserve"> </w:t>
      </w:r>
      <w:r>
        <w:rPr>
          <w:rFonts w:ascii="宋体" w:eastAsia="宋体" w:hAnsi="宋体" w:cs="宋体"/>
          <w:spacing w:val="15"/>
          <w:sz w:val="24"/>
          <w:szCs w:val="24"/>
        </w:rPr>
        <w:t>(2013)64号);</w:t>
      </w:r>
    </w:p>
    <w:p>
      <w:pPr>
        <w:spacing w:before="201" w:line="245" w:lineRule="auto"/>
        <w:ind w:left="149" w:right="23" w:firstLine="310"/>
        <w:rPr>
          <w:rFonts w:ascii="宋体" w:eastAsia="宋体" w:hAnsi="宋体" w:cs="宋体"/>
          <w:sz w:val="24"/>
          <w:szCs w:val="24"/>
        </w:rPr>
      </w:pPr>
      <w:r>
        <w:rPr>
          <w:rFonts w:ascii="宋体" w:eastAsia="宋体" w:hAnsi="宋体" w:cs="宋体"/>
          <w:spacing w:val="-3"/>
          <w:sz w:val="24"/>
          <w:szCs w:val="24"/>
        </w:rPr>
        <w:t>7、财政部国家税务总局财税《关于全面推开营业税改征增值税试点的通知》</w:t>
      </w:r>
      <w:r>
        <w:rPr>
          <w:rFonts w:ascii="宋体" w:eastAsia="宋体" w:hAnsi="宋体" w:cs="宋体"/>
          <w:sz w:val="24"/>
          <w:szCs w:val="24"/>
        </w:rPr>
        <w:t xml:space="preserve"> </w:t>
      </w:r>
      <w:r>
        <w:rPr>
          <w:rFonts w:ascii="宋体" w:eastAsia="宋体" w:hAnsi="宋体" w:cs="宋体"/>
          <w:spacing w:val="21"/>
          <w:sz w:val="24"/>
          <w:szCs w:val="24"/>
        </w:rPr>
        <w:t>(财税(2016)36号);</w:t>
      </w:r>
    </w:p>
    <w:p>
      <w:pPr>
        <w:spacing w:before="203" w:line="219" w:lineRule="auto"/>
        <w:ind w:left="459"/>
        <w:rPr>
          <w:rFonts w:ascii="宋体" w:eastAsia="宋体" w:hAnsi="宋体" w:cs="宋体"/>
          <w:sz w:val="24"/>
          <w:szCs w:val="24"/>
        </w:rPr>
      </w:pPr>
      <w:r>
        <w:rPr>
          <w:rFonts w:ascii="宋体" w:eastAsia="宋体" w:hAnsi="宋体" w:cs="宋体"/>
          <w:spacing w:val="-4"/>
          <w:sz w:val="24"/>
          <w:szCs w:val="24"/>
        </w:rPr>
        <w:t>8、项目涉及的其他法律法规。</w:t>
      </w:r>
    </w:p>
    <w:p>
      <w:pPr>
        <w:spacing w:before="203" w:line="218" w:lineRule="auto"/>
        <w:ind w:left="560"/>
        <w:rPr>
          <w:rFonts w:ascii="宋体" w:eastAsia="宋体" w:hAnsi="宋体" w:cs="宋体"/>
          <w:sz w:val="24"/>
          <w:szCs w:val="24"/>
        </w:rPr>
      </w:pPr>
      <w:r>
        <w:rPr>
          <w:rFonts w:ascii="宋体" w:eastAsia="宋体" w:hAnsi="宋体" w:cs="宋体"/>
          <w:spacing w:val="-21"/>
          <w:sz w:val="24"/>
          <w:szCs w:val="24"/>
        </w:rPr>
        <w:t>(二)评估准则依据</w:t>
      </w:r>
    </w:p>
    <w:p>
      <w:pPr>
        <w:spacing w:before="177" w:line="218" w:lineRule="auto"/>
        <w:ind w:left="560"/>
        <w:rPr>
          <w:rFonts w:ascii="宋体" w:eastAsia="宋体" w:hAnsi="宋体" w:cs="宋体"/>
          <w:sz w:val="24"/>
          <w:szCs w:val="24"/>
        </w:rPr>
      </w:pPr>
      <w:r>
        <w:rPr>
          <w:rFonts w:ascii="宋体" w:eastAsia="宋体" w:hAnsi="宋体" w:cs="宋体"/>
          <w:spacing w:val="7"/>
          <w:sz w:val="24"/>
          <w:szCs w:val="24"/>
        </w:rPr>
        <w:t>1、《资产评估基本准则》  (财资(2017)43号);</w:t>
      </w:r>
    </w:p>
    <w:p>
      <w:pPr>
        <w:spacing w:before="196" w:line="218" w:lineRule="auto"/>
        <w:ind w:left="560"/>
        <w:rPr>
          <w:rFonts w:ascii="宋体" w:eastAsia="宋体" w:hAnsi="宋体" w:cs="宋体"/>
          <w:sz w:val="24"/>
          <w:szCs w:val="24"/>
        </w:rPr>
      </w:pPr>
      <w:r>
        <w:rPr>
          <w:rFonts w:ascii="宋体" w:eastAsia="宋体" w:hAnsi="宋体" w:cs="宋体"/>
          <w:spacing w:val="13"/>
          <w:sz w:val="24"/>
          <w:szCs w:val="24"/>
        </w:rPr>
        <w:t>2、《资产评估职业道德准则》(中评协(2017)30号);</w:t>
      </w:r>
    </w:p>
    <w:p>
      <w:pPr>
        <w:spacing w:before="207" w:line="480" w:lineRule="exact"/>
        <w:ind w:left="560"/>
        <w:rPr>
          <w:rFonts w:ascii="宋体" w:eastAsia="宋体" w:hAnsi="宋体" w:cs="宋体"/>
          <w:sz w:val="24"/>
          <w:szCs w:val="24"/>
        </w:rPr>
      </w:pPr>
      <w:r>
        <w:rPr>
          <w:rFonts w:ascii="宋体" w:eastAsia="宋体" w:hAnsi="宋体" w:cs="宋体"/>
          <w:spacing w:val="8"/>
          <w:position w:val="18"/>
          <w:sz w:val="24"/>
          <w:szCs w:val="24"/>
        </w:rPr>
        <w:t>3、《资产评估执业准则——资产评估委托合</w:t>
      </w:r>
      <w:r>
        <w:rPr>
          <w:rFonts w:ascii="宋体" w:eastAsia="宋体" w:hAnsi="宋体" w:cs="宋体"/>
          <w:spacing w:val="7"/>
          <w:position w:val="18"/>
          <w:sz w:val="24"/>
          <w:szCs w:val="24"/>
        </w:rPr>
        <w:t>同》(中评协(2017)33号);</w:t>
      </w:r>
    </w:p>
    <w:p>
      <w:pPr>
        <w:spacing w:before="1" w:line="217" w:lineRule="auto"/>
        <w:ind w:left="560"/>
        <w:rPr>
          <w:rFonts w:ascii="宋体" w:eastAsia="宋体" w:hAnsi="宋体" w:cs="宋体"/>
          <w:sz w:val="24"/>
          <w:szCs w:val="24"/>
        </w:rPr>
      </w:pPr>
      <w:r>
        <w:rPr>
          <w:rFonts w:ascii="宋体" w:eastAsia="宋体" w:hAnsi="宋体" w:cs="宋体"/>
          <w:spacing w:val="5"/>
          <w:sz w:val="24"/>
          <w:szCs w:val="24"/>
        </w:rPr>
        <w:t xml:space="preserve">4、《资产评估执业准则——资产评估程序》 </w:t>
      </w:r>
      <w:r>
        <w:rPr>
          <w:rFonts w:ascii="宋体" w:eastAsia="宋体" w:hAnsi="宋体" w:cs="宋体"/>
          <w:spacing w:val="4"/>
          <w:sz w:val="24"/>
          <w:szCs w:val="24"/>
        </w:rPr>
        <w:t xml:space="preserve"> (中评协(2018)36号);</w:t>
      </w:r>
    </w:p>
    <w:p>
      <w:pPr>
        <w:spacing w:before="217" w:line="450" w:lineRule="exact"/>
        <w:ind w:left="560"/>
        <w:rPr>
          <w:rFonts w:ascii="宋体" w:eastAsia="宋体" w:hAnsi="宋体" w:cs="宋体"/>
          <w:sz w:val="24"/>
          <w:szCs w:val="24"/>
        </w:rPr>
      </w:pPr>
      <w:r>
        <w:rPr>
          <w:rFonts w:ascii="宋体" w:eastAsia="宋体" w:hAnsi="宋体" w:cs="宋体"/>
          <w:spacing w:val="3"/>
          <w:position w:val="15"/>
          <w:sz w:val="24"/>
          <w:szCs w:val="24"/>
        </w:rPr>
        <w:t>5、《资产评估执业准则——资产评估档案》  (中评协(2018))37号);</w:t>
      </w:r>
    </w:p>
    <w:p>
      <w:pPr>
        <w:spacing w:before="1" w:line="217" w:lineRule="auto"/>
        <w:ind w:left="560"/>
        <w:rPr>
          <w:rFonts w:ascii="宋体" w:eastAsia="宋体" w:hAnsi="宋体" w:cs="宋体"/>
          <w:sz w:val="24"/>
          <w:szCs w:val="24"/>
        </w:rPr>
      </w:pPr>
      <w:r>
        <w:rPr>
          <w:rFonts w:ascii="宋体" w:eastAsia="宋体" w:hAnsi="宋体" w:cs="宋体"/>
          <w:spacing w:val="9"/>
          <w:sz w:val="24"/>
          <w:szCs w:val="24"/>
        </w:rPr>
        <w:t>6、《资产评估执业准则——资产评估方法</w:t>
      </w:r>
      <w:r>
        <w:rPr>
          <w:rFonts w:ascii="宋体" w:eastAsia="宋体" w:hAnsi="宋体" w:cs="宋体"/>
          <w:spacing w:val="8"/>
          <w:sz w:val="24"/>
          <w:szCs w:val="24"/>
        </w:rPr>
        <w:t>》(中评协(2019)35号)</w:t>
      </w:r>
    </w:p>
    <w:p>
      <w:pPr>
        <w:spacing w:before="208" w:line="365" w:lineRule="auto"/>
        <w:ind w:left="560" w:right="942"/>
        <w:jc w:val="both"/>
        <w:rPr>
          <w:rFonts w:ascii="宋体" w:eastAsia="宋体" w:hAnsi="宋体" w:cs="宋体"/>
          <w:sz w:val="24"/>
          <w:szCs w:val="24"/>
        </w:rPr>
      </w:pPr>
      <w:r>
        <w:rPr>
          <w:rFonts w:ascii="宋体" w:eastAsia="宋体" w:hAnsi="宋体" w:cs="宋体"/>
          <w:spacing w:val="5"/>
          <w:sz w:val="24"/>
          <w:szCs w:val="24"/>
        </w:rPr>
        <w:t>7、《资产评估执业准则——机器设备》</w:t>
      </w:r>
      <w:r>
        <w:rPr>
          <w:rFonts w:ascii="宋体" w:eastAsia="宋体" w:hAnsi="宋体" w:cs="宋体"/>
          <w:spacing w:val="90"/>
          <w:sz w:val="24"/>
          <w:szCs w:val="24"/>
        </w:rPr>
        <w:t xml:space="preserve"> </w:t>
      </w:r>
      <w:r>
        <w:rPr>
          <w:rFonts w:ascii="宋体" w:eastAsia="宋体" w:hAnsi="宋体" w:cs="宋体"/>
          <w:spacing w:val="5"/>
          <w:sz w:val="24"/>
          <w:szCs w:val="24"/>
        </w:rPr>
        <w:t>(中评协(2017</w:t>
      </w:r>
      <w:r>
        <w:rPr>
          <w:rFonts w:ascii="宋体" w:eastAsia="宋体" w:hAnsi="宋体" w:cs="宋体"/>
          <w:spacing w:val="4"/>
          <w:sz w:val="24"/>
          <w:szCs w:val="24"/>
        </w:rPr>
        <w:t>)39号);</w:t>
      </w:r>
      <w:r>
        <w:rPr>
          <w:rFonts w:ascii="宋体" w:eastAsia="宋体" w:hAnsi="宋体" w:cs="宋体"/>
          <w:sz w:val="24"/>
          <w:szCs w:val="24"/>
        </w:rPr>
        <w:t xml:space="preserve"> </w:t>
      </w:r>
      <w:r>
        <w:rPr>
          <w:rFonts w:ascii="宋体" w:eastAsia="宋体" w:hAnsi="宋体" w:cs="宋体"/>
          <w:spacing w:val="6"/>
          <w:sz w:val="24"/>
          <w:szCs w:val="24"/>
        </w:rPr>
        <w:t>8、《资产评估执业准则——无形资产》  (中评协</w:t>
      </w:r>
      <w:r>
        <w:rPr>
          <w:rFonts w:ascii="宋体" w:eastAsia="宋体" w:hAnsi="宋体" w:cs="宋体"/>
          <w:spacing w:val="5"/>
          <w:sz w:val="24"/>
          <w:szCs w:val="24"/>
        </w:rPr>
        <w:t>(2017)37号);</w:t>
      </w:r>
    </w:p>
    <w:p>
      <w:pPr>
        <w:spacing w:before="1" w:line="217" w:lineRule="auto"/>
        <w:ind w:left="560"/>
        <w:rPr>
          <w:rFonts w:ascii="宋体" w:eastAsia="宋体" w:hAnsi="宋体" w:cs="宋体"/>
          <w:sz w:val="24"/>
          <w:szCs w:val="24"/>
        </w:rPr>
      </w:pPr>
      <w:r>
        <w:rPr>
          <w:rFonts w:ascii="宋体" w:eastAsia="宋体" w:hAnsi="宋体" w:cs="宋体"/>
          <w:spacing w:val="11"/>
          <w:sz w:val="24"/>
          <w:szCs w:val="24"/>
        </w:rPr>
        <w:t>9、《资产评估执业准则——企业价值》(中评协(2018)38号);</w:t>
      </w:r>
    </w:p>
    <w:p>
      <w:pPr>
        <w:spacing w:line="217" w:lineRule="auto"/>
        <w:rPr>
          <w:rFonts w:ascii="宋体" w:eastAsia="宋体" w:hAnsi="宋体" w:cs="宋体"/>
          <w:sz w:val="24"/>
          <w:szCs w:val="24"/>
        </w:rPr>
        <w:sectPr>
          <w:headerReference w:type="default" r:id="rId24"/>
          <w:footerReference w:type="default" r:id="rId25"/>
          <w:pgSz w:w="11910" w:h="16840"/>
          <w:pgMar w:top="1246" w:right="1786" w:bottom="1090" w:left="1700" w:header="1056" w:footer="811" w:gutter="0"/>
          <w:pgNumType w:start="12"/>
          <w:cols w:num="1" w:space="720"/>
        </w:sectPr>
      </w:pPr>
    </w:p>
    <w:p>
      <w:pPr>
        <w:pStyle w:val="BodyText"/>
        <w:spacing w:line="414" w:lineRule="auto"/>
      </w:pPr>
    </w:p>
    <w:p>
      <w:pPr>
        <w:spacing w:before="75" w:line="450" w:lineRule="exact"/>
        <w:ind w:left="483"/>
        <w:rPr>
          <w:rFonts w:ascii="宋体" w:eastAsia="宋体" w:hAnsi="宋体" w:cs="宋体"/>
          <w:sz w:val="23"/>
          <w:szCs w:val="23"/>
        </w:rPr>
      </w:pPr>
      <w:r>
        <w:rPr>
          <w:rFonts w:ascii="宋体" w:eastAsia="宋体" w:hAnsi="宋体" w:cs="宋体"/>
          <w:spacing w:val="1"/>
          <w:position w:val="16"/>
          <w:sz w:val="23"/>
          <w:szCs w:val="23"/>
        </w:rPr>
        <w:t>10、《资产评估执业准则——资产评估报告》</w:t>
      </w:r>
      <w:r>
        <w:rPr>
          <w:rFonts w:ascii="宋体" w:eastAsia="宋体" w:hAnsi="宋体" w:cs="宋体"/>
          <w:spacing w:val="121"/>
          <w:position w:val="16"/>
          <w:sz w:val="23"/>
          <w:szCs w:val="23"/>
        </w:rPr>
        <w:t xml:space="preserve"> </w:t>
      </w:r>
      <w:r>
        <w:rPr>
          <w:rFonts w:ascii="宋体" w:eastAsia="宋体" w:hAnsi="宋体" w:cs="宋体"/>
          <w:spacing w:val="1"/>
          <w:position w:val="16"/>
          <w:sz w:val="23"/>
          <w:szCs w:val="23"/>
        </w:rPr>
        <w:t>(中评协[2018]35号);</w:t>
      </w:r>
    </w:p>
    <w:p>
      <w:pPr>
        <w:spacing w:before="1" w:line="217" w:lineRule="auto"/>
        <w:ind w:left="483"/>
        <w:rPr>
          <w:rFonts w:ascii="宋体" w:eastAsia="宋体" w:hAnsi="宋体" w:cs="宋体"/>
          <w:sz w:val="23"/>
          <w:szCs w:val="23"/>
        </w:rPr>
      </w:pPr>
      <w:r>
        <w:rPr>
          <w:rFonts w:ascii="宋体" w:eastAsia="宋体" w:hAnsi="宋体" w:cs="宋体"/>
          <w:sz w:val="23"/>
          <w:szCs w:val="23"/>
        </w:rPr>
        <w:t>11、</w:t>
      </w:r>
      <w:r>
        <w:rPr>
          <w:rFonts w:ascii="宋体" w:eastAsia="宋体" w:hAnsi="宋体" w:cs="宋体"/>
          <w:spacing w:val="62"/>
          <w:sz w:val="23"/>
          <w:szCs w:val="23"/>
        </w:rPr>
        <w:t xml:space="preserve"> </w:t>
      </w:r>
      <w:r>
        <w:rPr>
          <w:rFonts w:ascii="宋体" w:eastAsia="宋体" w:hAnsi="宋体" w:cs="宋体"/>
          <w:sz w:val="23"/>
          <w:szCs w:val="23"/>
        </w:rPr>
        <w:t xml:space="preserve">《资产评估价值类型指导意见》  </w:t>
      </w:r>
      <w:r>
        <w:rPr>
          <w:rFonts w:ascii="宋体" w:eastAsia="宋体" w:hAnsi="宋体" w:cs="宋体"/>
          <w:spacing w:val="-1"/>
          <w:sz w:val="23"/>
          <w:szCs w:val="23"/>
        </w:rPr>
        <w:t>(中评协〔2017〕47号);</w:t>
      </w:r>
    </w:p>
    <w:p>
      <w:pPr>
        <w:spacing w:before="208" w:line="218" w:lineRule="auto"/>
        <w:ind w:left="483"/>
        <w:rPr>
          <w:rFonts w:ascii="宋体" w:eastAsia="宋体" w:hAnsi="宋体" w:cs="宋体"/>
          <w:sz w:val="23"/>
          <w:szCs w:val="23"/>
        </w:rPr>
      </w:pPr>
      <w:r>
        <w:rPr>
          <w:rFonts w:ascii="宋体" w:eastAsia="宋体" w:hAnsi="宋体" w:cs="宋体"/>
          <w:spacing w:val="13"/>
          <w:sz w:val="23"/>
          <w:szCs w:val="23"/>
        </w:rPr>
        <w:t>12、《专利资产评估指导意见》</w:t>
      </w:r>
      <w:r>
        <w:rPr>
          <w:rFonts w:ascii="宋体" w:eastAsia="宋体" w:hAnsi="宋体" w:cs="宋体"/>
          <w:spacing w:val="5"/>
          <w:sz w:val="23"/>
          <w:szCs w:val="23"/>
        </w:rPr>
        <w:t xml:space="preserve">  </w:t>
      </w:r>
      <w:r>
        <w:rPr>
          <w:rFonts w:ascii="宋体" w:eastAsia="宋体" w:hAnsi="宋体" w:cs="宋体"/>
          <w:spacing w:val="13"/>
          <w:sz w:val="23"/>
          <w:szCs w:val="23"/>
        </w:rPr>
        <w:t>(中评协(20</w:t>
      </w:r>
      <w:r>
        <w:rPr>
          <w:rFonts w:ascii="宋体" w:eastAsia="宋体" w:hAnsi="宋体" w:cs="宋体"/>
          <w:spacing w:val="12"/>
          <w:sz w:val="23"/>
          <w:szCs w:val="23"/>
        </w:rPr>
        <w:t>17)49号);</w:t>
      </w:r>
    </w:p>
    <w:p>
      <w:pPr>
        <w:spacing w:before="218" w:line="480" w:lineRule="exact"/>
        <w:ind w:left="483"/>
        <w:rPr>
          <w:rFonts w:ascii="宋体" w:eastAsia="宋体" w:hAnsi="宋体" w:cs="宋体"/>
          <w:sz w:val="23"/>
          <w:szCs w:val="23"/>
        </w:rPr>
      </w:pPr>
      <w:r>
        <w:rPr>
          <w:rFonts w:ascii="宋体" w:eastAsia="宋体" w:hAnsi="宋体" w:cs="宋体"/>
          <w:spacing w:val="12"/>
          <w:position w:val="19"/>
          <w:sz w:val="23"/>
          <w:szCs w:val="23"/>
        </w:rPr>
        <w:t>13、《资产评估机构业务质量控制指南》</w:t>
      </w:r>
      <w:r>
        <w:rPr>
          <w:rFonts w:ascii="宋体" w:eastAsia="宋体" w:hAnsi="宋体" w:cs="宋体"/>
          <w:spacing w:val="5"/>
          <w:position w:val="19"/>
          <w:sz w:val="23"/>
          <w:szCs w:val="23"/>
        </w:rPr>
        <w:t xml:space="preserve">  </w:t>
      </w:r>
      <w:r>
        <w:rPr>
          <w:rFonts w:ascii="宋体" w:eastAsia="宋体" w:hAnsi="宋体" w:cs="宋体"/>
          <w:spacing w:val="12"/>
          <w:position w:val="19"/>
          <w:sz w:val="23"/>
          <w:szCs w:val="23"/>
        </w:rPr>
        <w:t>(中评协(2017</w:t>
      </w:r>
      <w:r>
        <w:rPr>
          <w:rFonts w:ascii="宋体" w:eastAsia="宋体" w:hAnsi="宋体" w:cs="宋体"/>
          <w:spacing w:val="11"/>
          <w:position w:val="19"/>
          <w:sz w:val="23"/>
          <w:szCs w:val="23"/>
        </w:rPr>
        <w:t>)46号);</w:t>
      </w:r>
    </w:p>
    <w:p>
      <w:pPr>
        <w:spacing w:before="1" w:line="217" w:lineRule="auto"/>
        <w:ind w:left="483"/>
        <w:rPr>
          <w:rFonts w:ascii="宋体" w:eastAsia="宋体" w:hAnsi="宋体" w:cs="宋体"/>
          <w:sz w:val="23"/>
          <w:szCs w:val="23"/>
        </w:rPr>
      </w:pPr>
      <w:r>
        <w:rPr>
          <w:rFonts w:ascii="宋体" w:eastAsia="宋体" w:hAnsi="宋体" w:cs="宋体"/>
          <w:spacing w:val="13"/>
          <w:sz w:val="23"/>
          <w:szCs w:val="23"/>
        </w:rPr>
        <w:t>14、《著作权资产评估指导意见》</w:t>
      </w:r>
      <w:r>
        <w:rPr>
          <w:rFonts w:ascii="宋体" w:eastAsia="宋体" w:hAnsi="宋体" w:cs="宋体"/>
          <w:spacing w:val="114"/>
          <w:sz w:val="23"/>
          <w:szCs w:val="23"/>
        </w:rPr>
        <w:t xml:space="preserve"> </w:t>
      </w:r>
      <w:r>
        <w:rPr>
          <w:rFonts w:ascii="宋体" w:eastAsia="宋体" w:hAnsi="宋体" w:cs="宋体"/>
          <w:spacing w:val="13"/>
          <w:sz w:val="23"/>
          <w:szCs w:val="23"/>
        </w:rPr>
        <w:t>(中评协(2017)50号);</w:t>
      </w:r>
    </w:p>
    <w:p>
      <w:pPr>
        <w:spacing w:before="198" w:line="218" w:lineRule="auto"/>
        <w:ind w:left="483"/>
        <w:rPr>
          <w:rFonts w:ascii="宋体" w:eastAsia="宋体" w:hAnsi="宋体" w:cs="宋体"/>
          <w:sz w:val="23"/>
          <w:szCs w:val="23"/>
        </w:rPr>
      </w:pPr>
      <w:r>
        <w:rPr>
          <w:rFonts w:ascii="宋体" w:eastAsia="宋体" w:hAnsi="宋体" w:cs="宋体"/>
          <w:spacing w:val="11"/>
          <w:sz w:val="23"/>
          <w:szCs w:val="23"/>
        </w:rPr>
        <w:t>15、《资产评估对象法律权属指导意见》  (中</w:t>
      </w:r>
      <w:r>
        <w:rPr>
          <w:rFonts w:ascii="宋体" w:eastAsia="宋体" w:hAnsi="宋体" w:cs="宋体"/>
          <w:spacing w:val="10"/>
          <w:sz w:val="23"/>
          <w:szCs w:val="23"/>
        </w:rPr>
        <w:t>评协(2017)48号)。</w:t>
      </w:r>
    </w:p>
    <w:p>
      <w:pPr>
        <w:spacing w:before="228" w:line="219" w:lineRule="auto"/>
        <w:ind w:left="453"/>
        <w:rPr>
          <w:rFonts w:ascii="宋体" w:eastAsia="宋体" w:hAnsi="宋体" w:cs="宋体"/>
          <w:sz w:val="23"/>
          <w:szCs w:val="23"/>
        </w:rPr>
      </w:pPr>
      <w:r>
        <w:rPr>
          <w:rFonts w:ascii="宋体" w:eastAsia="宋体" w:hAnsi="宋体" w:cs="宋体"/>
          <w:spacing w:val="-16"/>
          <w:sz w:val="23"/>
          <w:szCs w:val="23"/>
        </w:rPr>
        <w:t>(三)权属依据</w:t>
      </w:r>
    </w:p>
    <w:p>
      <w:pPr>
        <w:spacing w:before="198" w:line="481" w:lineRule="exact"/>
        <w:ind w:left="483"/>
        <w:rPr>
          <w:rFonts w:ascii="宋体" w:eastAsia="宋体" w:hAnsi="宋体" w:cs="宋体"/>
          <w:sz w:val="23"/>
          <w:szCs w:val="23"/>
        </w:rPr>
      </w:pPr>
      <w:r>
        <w:rPr>
          <w:rFonts w:ascii="宋体" w:eastAsia="宋体" w:hAnsi="宋体" w:cs="宋体"/>
          <w:spacing w:val="18"/>
          <w:position w:val="19"/>
          <w:sz w:val="23"/>
          <w:szCs w:val="23"/>
        </w:rPr>
        <w:t>1、专利权证书(发明专利证书);</w:t>
      </w:r>
    </w:p>
    <w:p>
      <w:pPr>
        <w:spacing w:line="219" w:lineRule="auto"/>
        <w:ind w:left="483"/>
        <w:rPr>
          <w:rFonts w:ascii="宋体" w:eastAsia="宋体" w:hAnsi="宋体" w:cs="宋体"/>
          <w:sz w:val="23"/>
          <w:szCs w:val="23"/>
        </w:rPr>
      </w:pPr>
      <w:r>
        <w:rPr>
          <w:rFonts w:ascii="宋体" w:eastAsia="宋体" w:hAnsi="宋体" w:cs="宋体"/>
          <w:spacing w:val="-5"/>
          <w:sz w:val="23"/>
          <w:szCs w:val="23"/>
        </w:rPr>
        <w:t>2、</w:t>
      </w:r>
      <w:r>
        <w:rPr>
          <w:rFonts w:ascii="宋体" w:eastAsia="宋体" w:hAnsi="宋体" w:cs="宋体"/>
          <w:spacing w:val="-62"/>
          <w:sz w:val="23"/>
          <w:szCs w:val="23"/>
        </w:rPr>
        <w:t xml:space="preserve"> </w:t>
      </w:r>
      <w:r>
        <w:rPr>
          <w:rFonts w:ascii="宋体" w:eastAsia="宋体" w:hAnsi="宋体" w:cs="宋体"/>
          <w:spacing w:val="-5"/>
          <w:sz w:val="23"/>
          <w:szCs w:val="23"/>
        </w:rPr>
        <w:t>软件著作权登记证；</w:t>
      </w:r>
    </w:p>
    <w:p>
      <w:pPr>
        <w:spacing w:before="207" w:line="468" w:lineRule="exact"/>
        <w:ind w:left="483"/>
        <w:rPr>
          <w:rFonts w:ascii="宋体" w:eastAsia="宋体" w:hAnsi="宋体" w:cs="宋体"/>
          <w:sz w:val="23"/>
          <w:szCs w:val="23"/>
        </w:rPr>
      </w:pPr>
      <w:r>
        <w:rPr>
          <w:rFonts w:ascii="宋体" w:eastAsia="宋体" w:hAnsi="宋体" w:cs="宋体"/>
          <w:spacing w:val="-3"/>
          <w:position w:val="18"/>
          <w:sz w:val="23"/>
          <w:szCs w:val="23"/>
        </w:rPr>
        <w:t>3、</w:t>
      </w:r>
      <w:r>
        <w:rPr>
          <w:rFonts w:ascii="宋体" w:eastAsia="宋体" w:hAnsi="宋体" w:cs="宋体"/>
          <w:spacing w:val="-64"/>
          <w:position w:val="18"/>
          <w:sz w:val="23"/>
          <w:szCs w:val="23"/>
        </w:rPr>
        <w:t xml:space="preserve"> </w:t>
      </w:r>
      <w:r>
        <w:rPr>
          <w:rFonts w:ascii="宋体" w:eastAsia="宋体" w:hAnsi="宋体" w:cs="宋体"/>
          <w:spacing w:val="-3"/>
          <w:position w:val="18"/>
          <w:sz w:val="23"/>
          <w:szCs w:val="23"/>
        </w:rPr>
        <w:t>其他权属证明文件。</w:t>
      </w:r>
    </w:p>
    <w:p>
      <w:pPr>
        <w:spacing w:before="1" w:line="217" w:lineRule="auto"/>
        <w:ind w:left="453"/>
        <w:rPr>
          <w:rFonts w:ascii="宋体" w:eastAsia="宋体" w:hAnsi="宋体" w:cs="宋体"/>
          <w:sz w:val="23"/>
          <w:szCs w:val="23"/>
        </w:rPr>
      </w:pPr>
      <w:r>
        <w:rPr>
          <w:rFonts w:ascii="宋体" w:eastAsia="宋体" w:hAnsi="宋体" w:cs="宋体"/>
          <w:spacing w:val="-13"/>
          <w:sz w:val="23"/>
          <w:szCs w:val="23"/>
        </w:rPr>
        <w:t>(四)参考取价依据</w:t>
      </w:r>
    </w:p>
    <w:p>
      <w:pPr>
        <w:spacing w:before="209" w:line="481" w:lineRule="exact"/>
        <w:ind w:left="483"/>
        <w:rPr>
          <w:rFonts w:ascii="宋体" w:eastAsia="宋体" w:hAnsi="宋体" w:cs="宋体"/>
          <w:sz w:val="23"/>
          <w:szCs w:val="23"/>
        </w:rPr>
      </w:pPr>
      <w:r>
        <w:rPr>
          <w:rFonts w:ascii="宋体" w:eastAsia="宋体" w:hAnsi="宋体" w:cs="宋体"/>
          <w:spacing w:val="3"/>
          <w:position w:val="19"/>
          <w:sz w:val="23"/>
          <w:szCs w:val="23"/>
        </w:rPr>
        <w:t>1、企业提供的以前年度的财务报表、审计报告；</w:t>
      </w:r>
    </w:p>
    <w:p>
      <w:pPr>
        <w:spacing w:line="218" w:lineRule="auto"/>
        <w:ind w:left="483"/>
        <w:rPr>
          <w:rFonts w:ascii="宋体" w:eastAsia="宋体" w:hAnsi="宋体" w:cs="宋体"/>
          <w:sz w:val="23"/>
          <w:szCs w:val="23"/>
        </w:rPr>
      </w:pPr>
      <w:r>
        <w:rPr>
          <w:rFonts w:ascii="宋体" w:eastAsia="宋体" w:hAnsi="宋体" w:cs="宋体"/>
          <w:spacing w:val="1"/>
          <w:sz w:val="23"/>
          <w:szCs w:val="23"/>
        </w:rPr>
        <w:t>2、</w:t>
      </w:r>
      <w:r>
        <w:rPr>
          <w:rFonts w:ascii="宋体" w:eastAsia="宋体" w:hAnsi="宋体" w:cs="宋体"/>
          <w:spacing w:val="-67"/>
          <w:sz w:val="23"/>
          <w:szCs w:val="23"/>
        </w:rPr>
        <w:t xml:space="preserve"> </w:t>
      </w:r>
      <w:r>
        <w:rPr>
          <w:rFonts w:ascii="宋体" w:eastAsia="宋体" w:hAnsi="宋体" w:cs="宋体"/>
          <w:spacing w:val="1"/>
          <w:sz w:val="23"/>
          <w:szCs w:val="23"/>
        </w:rPr>
        <w:t>企业有关部门提供的未来年度经营计划；</w:t>
      </w:r>
    </w:p>
    <w:p>
      <w:pPr>
        <w:spacing w:before="208" w:line="479" w:lineRule="exact"/>
        <w:ind w:left="483"/>
        <w:rPr>
          <w:rFonts w:ascii="宋体" w:eastAsia="宋体" w:hAnsi="宋体" w:cs="宋体"/>
          <w:sz w:val="23"/>
          <w:szCs w:val="23"/>
        </w:rPr>
      </w:pPr>
      <w:r>
        <w:rPr>
          <w:rFonts w:ascii="宋体" w:eastAsia="宋体" w:hAnsi="宋体" w:cs="宋体"/>
          <w:spacing w:val="2"/>
          <w:position w:val="19"/>
          <w:sz w:val="23"/>
          <w:szCs w:val="23"/>
        </w:rPr>
        <w:t>3、</w:t>
      </w:r>
      <w:r>
        <w:rPr>
          <w:rFonts w:ascii="宋体" w:eastAsia="宋体" w:hAnsi="宋体" w:cs="宋体"/>
          <w:spacing w:val="-56"/>
          <w:position w:val="19"/>
          <w:sz w:val="23"/>
          <w:szCs w:val="23"/>
        </w:rPr>
        <w:t xml:space="preserve"> </w:t>
      </w:r>
      <w:r>
        <w:rPr>
          <w:rFonts w:ascii="宋体" w:eastAsia="宋体" w:hAnsi="宋体" w:cs="宋体"/>
          <w:spacing w:val="2"/>
          <w:position w:val="19"/>
          <w:sz w:val="23"/>
          <w:szCs w:val="23"/>
        </w:rPr>
        <w:t>企业提供的主要产品目前及未来年度市场预测资料；</w:t>
      </w:r>
    </w:p>
    <w:p>
      <w:pPr>
        <w:spacing w:before="1" w:line="217" w:lineRule="auto"/>
        <w:ind w:left="483"/>
        <w:rPr>
          <w:rFonts w:ascii="宋体" w:eastAsia="宋体" w:hAnsi="宋体" w:cs="宋体"/>
          <w:sz w:val="23"/>
          <w:szCs w:val="23"/>
        </w:rPr>
      </w:pPr>
      <w:r>
        <w:rPr>
          <w:rFonts w:ascii="宋体" w:eastAsia="宋体" w:hAnsi="宋体" w:cs="宋体"/>
          <w:spacing w:val="-1"/>
          <w:sz w:val="23"/>
          <w:szCs w:val="23"/>
        </w:rPr>
        <w:t>4、</w:t>
      </w:r>
      <w:r>
        <w:rPr>
          <w:rFonts w:ascii="宋体" w:eastAsia="宋体" w:hAnsi="宋体" w:cs="宋体"/>
          <w:spacing w:val="-40"/>
          <w:sz w:val="23"/>
          <w:szCs w:val="23"/>
        </w:rPr>
        <w:t xml:space="preserve"> </w:t>
      </w:r>
      <w:r>
        <w:rPr>
          <w:rFonts w:ascii="宋体" w:eastAsia="宋体" w:hAnsi="宋体" w:cs="宋体"/>
          <w:spacing w:val="-1"/>
          <w:sz w:val="23"/>
          <w:szCs w:val="23"/>
        </w:rPr>
        <w:t>与此次资产评估有关的其他资料。</w:t>
      </w:r>
    </w:p>
    <w:p>
      <w:pPr>
        <w:spacing w:before="206" w:line="218" w:lineRule="auto"/>
        <w:ind w:left="486"/>
        <w:outlineLvl w:val="0"/>
        <w:rPr>
          <w:rFonts w:ascii="宋体" w:eastAsia="宋体" w:hAnsi="宋体" w:cs="宋体"/>
          <w:sz w:val="23"/>
          <w:szCs w:val="23"/>
        </w:rPr>
      </w:pPr>
      <w:r>
        <w:rPr>
          <w:rFonts w:ascii="宋体" w:eastAsia="宋体" w:hAnsi="宋体" w:cs="宋体"/>
          <w:b/>
          <w:bCs/>
          <w:spacing w:val="7"/>
          <w:sz w:val="23"/>
          <w:szCs w:val="23"/>
        </w:rPr>
        <w:t>八、评估方法</w:t>
      </w:r>
    </w:p>
    <w:p>
      <w:pPr>
        <w:spacing w:before="211" w:line="218" w:lineRule="auto"/>
        <w:ind w:left="483"/>
        <w:rPr>
          <w:rFonts w:ascii="宋体" w:eastAsia="宋体" w:hAnsi="宋体" w:cs="宋体"/>
          <w:sz w:val="23"/>
          <w:szCs w:val="23"/>
        </w:rPr>
      </w:pPr>
      <w:r>
        <w:rPr>
          <w:rFonts w:ascii="宋体" w:eastAsia="宋体" w:hAnsi="宋体" w:cs="宋体"/>
          <w:spacing w:val="5"/>
          <w:sz w:val="23"/>
          <w:szCs w:val="23"/>
        </w:rPr>
        <w:t>企业价值评估的基本方法主要有收益法、市场法和资产基础法。</w:t>
      </w:r>
    </w:p>
    <w:p>
      <w:pPr>
        <w:spacing w:before="199" w:line="218" w:lineRule="auto"/>
        <w:ind w:left="483"/>
        <w:rPr>
          <w:rFonts w:ascii="宋体" w:eastAsia="宋体" w:hAnsi="宋体" w:cs="宋体"/>
          <w:sz w:val="23"/>
          <w:szCs w:val="23"/>
        </w:rPr>
      </w:pPr>
      <w:r>
        <w:rPr>
          <w:rFonts w:ascii="宋体" w:eastAsia="宋体" w:hAnsi="宋体" w:cs="宋体"/>
          <w:spacing w:val="5"/>
          <w:sz w:val="23"/>
          <w:szCs w:val="23"/>
        </w:rPr>
        <w:t>收益法是指将预期收益资本化或者折现，确定评估对象价</w:t>
      </w:r>
      <w:r>
        <w:rPr>
          <w:rFonts w:ascii="宋体" w:eastAsia="宋体" w:hAnsi="宋体" w:cs="宋体"/>
          <w:spacing w:val="4"/>
          <w:sz w:val="23"/>
          <w:szCs w:val="23"/>
        </w:rPr>
        <w:t>值的评估方法。</w:t>
      </w:r>
    </w:p>
    <w:p>
      <w:pPr>
        <w:spacing w:before="219" w:line="249" w:lineRule="auto"/>
        <w:ind w:left="3" w:right="144" w:firstLine="480"/>
        <w:rPr>
          <w:rFonts w:ascii="宋体" w:eastAsia="宋体" w:hAnsi="宋体" w:cs="宋体"/>
          <w:sz w:val="23"/>
          <w:szCs w:val="23"/>
        </w:rPr>
      </w:pPr>
      <w:r>
        <w:rPr>
          <w:rFonts w:ascii="宋体" w:eastAsia="宋体" w:hAnsi="宋体" w:cs="宋体"/>
          <w:spacing w:val="4"/>
          <w:sz w:val="23"/>
          <w:szCs w:val="23"/>
        </w:rPr>
        <w:t>市场法是指将评估对象与可比上市公司或者</w:t>
      </w:r>
      <w:r>
        <w:rPr>
          <w:rFonts w:ascii="宋体" w:eastAsia="宋体" w:hAnsi="宋体" w:cs="宋体"/>
          <w:spacing w:val="3"/>
          <w:sz w:val="23"/>
          <w:szCs w:val="23"/>
        </w:rPr>
        <w:t>可比交易案例进行比较，确定评</w:t>
      </w:r>
      <w:r>
        <w:rPr>
          <w:rFonts w:ascii="宋体" w:eastAsia="宋体" w:hAnsi="宋体" w:cs="宋体"/>
          <w:sz w:val="23"/>
          <w:szCs w:val="23"/>
        </w:rPr>
        <w:t xml:space="preserve"> </w:t>
      </w:r>
      <w:r>
        <w:rPr>
          <w:rFonts w:ascii="宋体" w:eastAsia="宋体" w:hAnsi="宋体" w:cs="宋体"/>
          <w:spacing w:val="2"/>
          <w:sz w:val="23"/>
          <w:szCs w:val="23"/>
        </w:rPr>
        <w:t>估对象价值的评估方法。</w:t>
      </w:r>
    </w:p>
    <w:p>
      <w:pPr>
        <w:spacing w:before="220" w:line="249" w:lineRule="auto"/>
        <w:ind w:left="3" w:right="143" w:firstLine="480"/>
        <w:rPr>
          <w:rFonts w:ascii="宋体" w:eastAsia="宋体" w:hAnsi="宋体" w:cs="宋体"/>
          <w:sz w:val="23"/>
          <w:szCs w:val="23"/>
        </w:rPr>
      </w:pPr>
      <w:r>
        <w:rPr>
          <w:rFonts w:ascii="宋体" w:eastAsia="宋体" w:hAnsi="宋体" w:cs="宋体"/>
          <w:spacing w:val="4"/>
          <w:sz w:val="23"/>
          <w:szCs w:val="23"/>
        </w:rPr>
        <w:t>资产基础法是指以被评估企业评估基准日的资</w:t>
      </w:r>
      <w:r>
        <w:rPr>
          <w:rFonts w:ascii="宋体" w:eastAsia="宋体" w:hAnsi="宋体" w:cs="宋体"/>
          <w:spacing w:val="3"/>
          <w:sz w:val="23"/>
          <w:szCs w:val="23"/>
        </w:rPr>
        <w:t>产负债表为基础，合理评估企</w:t>
      </w:r>
      <w:r>
        <w:rPr>
          <w:rFonts w:ascii="宋体" w:eastAsia="宋体" w:hAnsi="宋体" w:cs="宋体"/>
          <w:sz w:val="23"/>
          <w:szCs w:val="23"/>
        </w:rPr>
        <w:t xml:space="preserve"> </w:t>
      </w:r>
      <w:r>
        <w:rPr>
          <w:rFonts w:ascii="宋体" w:eastAsia="宋体" w:hAnsi="宋体" w:cs="宋体"/>
          <w:spacing w:val="6"/>
          <w:sz w:val="23"/>
          <w:szCs w:val="23"/>
        </w:rPr>
        <w:t>业表内及表外各项资产、负债价值，确定评估对象价</w:t>
      </w:r>
      <w:r>
        <w:rPr>
          <w:rFonts w:ascii="宋体" w:eastAsia="宋体" w:hAnsi="宋体" w:cs="宋体"/>
          <w:spacing w:val="5"/>
          <w:sz w:val="23"/>
          <w:szCs w:val="23"/>
        </w:rPr>
        <w:t>值的评估方法。</w:t>
      </w:r>
    </w:p>
    <w:p>
      <w:pPr>
        <w:spacing w:before="198" w:line="272" w:lineRule="auto"/>
        <w:ind w:left="3" w:right="92" w:firstLine="480"/>
        <w:jc w:val="both"/>
        <w:rPr>
          <w:rFonts w:ascii="宋体" w:eastAsia="宋体" w:hAnsi="宋体" w:cs="宋体"/>
          <w:sz w:val="23"/>
          <w:szCs w:val="23"/>
        </w:rPr>
      </w:pPr>
      <w:r>
        <w:rPr>
          <w:rFonts w:ascii="宋体" w:eastAsia="宋体" w:hAnsi="宋体" w:cs="宋体"/>
          <w:spacing w:val="5"/>
          <w:sz w:val="23"/>
          <w:szCs w:val="23"/>
        </w:rPr>
        <w:t>根据本次评估目的、评估对象、价值类型，结合资料收集情况以及三种评估</w:t>
      </w:r>
      <w:r>
        <w:rPr>
          <w:rFonts w:ascii="宋体" w:eastAsia="宋体" w:hAnsi="宋体" w:cs="宋体"/>
          <w:spacing w:val="4"/>
          <w:sz w:val="23"/>
          <w:szCs w:val="23"/>
        </w:rPr>
        <w:t xml:space="preserve"> </w:t>
      </w:r>
      <w:r>
        <w:rPr>
          <w:rFonts w:ascii="宋体" w:eastAsia="宋体" w:hAnsi="宋体" w:cs="宋体"/>
          <w:spacing w:val="5"/>
          <w:sz w:val="23"/>
          <w:szCs w:val="23"/>
        </w:rPr>
        <w:t>基本方法的适用条件，本次评估选用的评估方法为资产基础法。</w:t>
      </w:r>
      <w:r>
        <w:rPr>
          <w:rFonts w:ascii="宋体" w:eastAsia="宋体" w:hAnsi="宋体" w:cs="宋体"/>
          <w:spacing w:val="4"/>
          <w:sz w:val="23"/>
          <w:szCs w:val="23"/>
        </w:rPr>
        <w:t>选择理由具体分</w:t>
      </w:r>
      <w:r>
        <w:rPr>
          <w:rFonts w:ascii="宋体" w:eastAsia="宋体" w:hAnsi="宋体" w:cs="宋体"/>
          <w:sz w:val="23"/>
          <w:szCs w:val="23"/>
        </w:rPr>
        <w:t xml:space="preserve"> </w:t>
      </w:r>
      <w:r>
        <w:rPr>
          <w:rFonts w:ascii="宋体" w:eastAsia="宋体" w:hAnsi="宋体" w:cs="宋体"/>
          <w:spacing w:val="-7"/>
          <w:sz w:val="23"/>
          <w:szCs w:val="23"/>
        </w:rPr>
        <w:t>析如下：</w:t>
      </w:r>
    </w:p>
    <w:p>
      <w:pPr>
        <w:spacing w:before="205" w:line="249" w:lineRule="auto"/>
        <w:ind w:left="3" w:right="92" w:firstLine="480"/>
        <w:rPr>
          <w:rFonts w:ascii="宋体" w:eastAsia="宋体" w:hAnsi="宋体" w:cs="宋体"/>
          <w:sz w:val="23"/>
          <w:szCs w:val="23"/>
        </w:rPr>
      </w:pPr>
      <w:r>
        <w:rPr>
          <w:rFonts w:ascii="宋体" w:eastAsia="宋体" w:hAnsi="宋体" w:cs="宋体"/>
          <w:spacing w:val="-2"/>
          <w:sz w:val="23"/>
          <w:szCs w:val="23"/>
        </w:rPr>
        <w:t>经评估人员市场调查，与本次评估对象、本次行为类似的案例较少，难以获取</w:t>
      </w:r>
      <w:r>
        <w:rPr>
          <w:rFonts w:ascii="宋体" w:eastAsia="宋体" w:hAnsi="宋体" w:cs="宋体"/>
          <w:spacing w:val="7"/>
          <w:sz w:val="23"/>
          <w:szCs w:val="23"/>
        </w:rPr>
        <w:t xml:space="preserve"> </w:t>
      </w:r>
      <w:r>
        <w:rPr>
          <w:rFonts w:ascii="宋体" w:eastAsia="宋体" w:hAnsi="宋体" w:cs="宋体"/>
          <w:spacing w:val="-1"/>
          <w:sz w:val="23"/>
          <w:szCs w:val="23"/>
        </w:rPr>
        <w:t>足够量的案例样本，故本次评估不适宜用市</w:t>
      </w:r>
      <w:r>
        <w:rPr>
          <w:rFonts w:ascii="宋体" w:eastAsia="宋体" w:hAnsi="宋体" w:cs="宋体"/>
          <w:spacing w:val="-2"/>
          <w:sz w:val="23"/>
          <w:szCs w:val="23"/>
        </w:rPr>
        <w:t>场法。</w:t>
      </w:r>
    </w:p>
    <w:p>
      <w:pPr>
        <w:spacing w:before="199" w:line="265" w:lineRule="auto"/>
        <w:ind w:left="3" w:right="92" w:firstLine="480"/>
        <w:rPr>
          <w:rFonts w:ascii="宋体" w:eastAsia="宋体" w:hAnsi="宋体" w:cs="宋体"/>
          <w:sz w:val="23"/>
          <w:szCs w:val="23"/>
        </w:rPr>
      </w:pPr>
      <w:r>
        <w:rPr>
          <w:rFonts w:ascii="宋体" w:eastAsia="宋体" w:hAnsi="宋体" w:cs="宋体"/>
          <w:spacing w:val="-2"/>
          <w:sz w:val="23"/>
          <w:szCs w:val="23"/>
        </w:rPr>
        <w:t>本次评估以持续经营和公开市场为前提，被评估单位为刚成立创业期，被评估</w:t>
      </w:r>
      <w:r>
        <w:rPr>
          <w:rFonts w:ascii="宋体" w:eastAsia="宋体" w:hAnsi="宋体" w:cs="宋体"/>
          <w:spacing w:val="7"/>
          <w:sz w:val="23"/>
          <w:szCs w:val="23"/>
        </w:rPr>
        <w:t xml:space="preserve"> </w:t>
      </w:r>
      <w:r>
        <w:rPr>
          <w:rFonts w:ascii="宋体" w:eastAsia="宋体" w:hAnsi="宋体" w:cs="宋体"/>
          <w:spacing w:val="-2"/>
          <w:sz w:val="23"/>
          <w:szCs w:val="23"/>
        </w:rPr>
        <w:t>单位无法提供未来年度的预测经营数据，选用收益</w:t>
      </w:r>
      <w:r>
        <w:rPr>
          <w:rFonts w:ascii="宋体" w:eastAsia="宋体" w:hAnsi="宋体" w:cs="宋体"/>
          <w:spacing w:val="-3"/>
          <w:sz w:val="23"/>
          <w:szCs w:val="23"/>
        </w:rPr>
        <w:t>法进行评估的前提条件不具备，</w:t>
      </w:r>
      <w:r>
        <w:rPr>
          <w:rFonts w:ascii="宋体" w:eastAsia="宋体" w:hAnsi="宋体" w:cs="宋体"/>
          <w:sz w:val="23"/>
          <w:szCs w:val="23"/>
        </w:rPr>
        <w:t xml:space="preserve"> </w:t>
      </w:r>
      <w:r>
        <w:rPr>
          <w:rFonts w:ascii="宋体" w:eastAsia="宋体" w:hAnsi="宋体" w:cs="宋体"/>
          <w:spacing w:val="-5"/>
          <w:sz w:val="23"/>
          <w:szCs w:val="23"/>
        </w:rPr>
        <w:t>无法采用收益法进行评估。</w:t>
      </w:r>
    </w:p>
    <w:p>
      <w:pPr>
        <w:spacing w:before="229" w:line="218" w:lineRule="auto"/>
        <w:ind w:left="483"/>
        <w:rPr>
          <w:rFonts w:ascii="宋体" w:eastAsia="宋体" w:hAnsi="宋体" w:cs="宋体"/>
          <w:sz w:val="23"/>
          <w:szCs w:val="23"/>
        </w:rPr>
      </w:pPr>
      <w:r>
        <w:rPr>
          <w:rFonts w:ascii="宋体" w:eastAsia="宋体" w:hAnsi="宋体" w:cs="宋体"/>
          <w:spacing w:val="-2"/>
          <w:sz w:val="23"/>
          <w:szCs w:val="23"/>
        </w:rPr>
        <w:t>由于被评估单位有完备的财务资料和资产管理资料可以利用，资产再取得成本</w:t>
      </w:r>
    </w:p>
    <w:p>
      <w:pPr>
        <w:spacing w:line="218" w:lineRule="auto"/>
        <w:rPr>
          <w:rFonts w:ascii="宋体" w:eastAsia="宋体" w:hAnsi="宋体" w:cs="宋体"/>
          <w:sz w:val="23"/>
          <w:szCs w:val="23"/>
        </w:rPr>
        <w:sectPr>
          <w:headerReference w:type="default" r:id="rId26"/>
          <w:footerReference w:type="default" r:id="rId27"/>
          <w:pgSz w:w="11910" w:h="16840"/>
          <w:pgMar w:top="1255" w:right="1786" w:bottom="1060" w:left="1786" w:header="1075" w:footer="801" w:gutter="0"/>
          <w:pgNumType w:start="13"/>
          <w:cols w:num="1" w:space="720"/>
        </w:sectPr>
      </w:pPr>
    </w:p>
    <w:p>
      <w:pPr>
        <w:pStyle w:val="BodyText"/>
        <w:spacing w:line="282" w:lineRule="auto"/>
      </w:pPr>
    </w:p>
    <w:p>
      <w:pPr>
        <w:spacing w:before="78" w:line="259" w:lineRule="auto"/>
        <w:ind w:right="142"/>
        <w:rPr>
          <w:rFonts w:ascii="宋体" w:eastAsia="宋体" w:hAnsi="宋体" w:cs="宋体"/>
          <w:sz w:val="24"/>
          <w:szCs w:val="24"/>
        </w:rPr>
      </w:pPr>
      <w:bookmarkStart w:id="9" w:name="bookmark11"/>
      <w:bookmarkEnd w:id="9"/>
      <w:r>
        <w:rPr>
          <w:rFonts w:ascii="宋体" w:eastAsia="宋体" w:hAnsi="宋体" w:cs="宋体"/>
          <w:spacing w:val="-12"/>
          <w:sz w:val="24"/>
          <w:szCs w:val="24"/>
        </w:rPr>
        <w:t>的有关数据和信息来源较广，资产重置成本与资产的现行市价及</w:t>
      </w:r>
      <w:r>
        <w:rPr>
          <w:rFonts w:ascii="宋体" w:eastAsia="宋体" w:hAnsi="宋体" w:cs="宋体"/>
          <w:spacing w:val="-13"/>
          <w:sz w:val="24"/>
          <w:szCs w:val="24"/>
        </w:rPr>
        <w:t>收益现值存在着内</w:t>
      </w:r>
      <w:r>
        <w:rPr>
          <w:rFonts w:ascii="宋体" w:eastAsia="宋体" w:hAnsi="宋体" w:cs="宋体"/>
          <w:sz w:val="24"/>
          <w:szCs w:val="24"/>
        </w:rPr>
        <w:t xml:space="preserve"> </w:t>
      </w:r>
      <w:r>
        <w:rPr>
          <w:rFonts w:ascii="宋体" w:eastAsia="宋体" w:hAnsi="宋体" w:cs="宋体"/>
          <w:spacing w:val="-12"/>
          <w:sz w:val="24"/>
          <w:szCs w:val="24"/>
        </w:rPr>
        <w:t>在联系和替代，因此，本次评估可以采用资产基础法。</w:t>
      </w:r>
    </w:p>
    <w:p>
      <w:pPr>
        <w:spacing w:before="188" w:line="470" w:lineRule="exact"/>
        <w:ind w:left="590"/>
        <w:rPr>
          <w:rFonts w:ascii="宋体" w:eastAsia="宋体" w:hAnsi="宋体" w:cs="宋体"/>
          <w:sz w:val="24"/>
          <w:szCs w:val="24"/>
        </w:rPr>
      </w:pPr>
      <w:r>
        <w:rPr>
          <w:rFonts w:ascii="宋体" w:eastAsia="宋体" w:hAnsi="宋体" w:cs="宋体"/>
          <w:spacing w:val="-19"/>
          <w:position w:val="17"/>
          <w:sz w:val="24"/>
          <w:szCs w:val="24"/>
        </w:rPr>
        <w:t>(一)资产基础法</w:t>
      </w:r>
    </w:p>
    <w:p>
      <w:pPr>
        <w:spacing w:line="219" w:lineRule="auto"/>
        <w:ind w:left="480"/>
        <w:rPr>
          <w:rFonts w:ascii="宋体" w:eastAsia="宋体" w:hAnsi="宋体" w:cs="宋体"/>
          <w:sz w:val="24"/>
          <w:szCs w:val="24"/>
        </w:rPr>
      </w:pPr>
      <w:r>
        <w:rPr>
          <w:rFonts w:ascii="宋体" w:eastAsia="宋体" w:hAnsi="宋体" w:cs="宋体"/>
          <w:spacing w:val="-9"/>
          <w:sz w:val="24"/>
          <w:szCs w:val="24"/>
        </w:rPr>
        <w:t>1、流动资产</w:t>
      </w:r>
    </w:p>
    <w:p>
      <w:pPr>
        <w:spacing w:before="184" w:line="256" w:lineRule="auto"/>
        <w:ind w:right="118" w:firstLine="480"/>
        <w:rPr>
          <w:rFonts w:ascii="宋体" w:eastAsia="宋体" w:hAnsi="宋体" w:cs="宋体"/>
          <w:sz w:val="24"/>
          <w:szCs w:val="24"/>
        </w:rPr>
      </w:pPr>
      <w:r>
        <w:rPr>
          <w:rFonts w:ascii="宋体" w:eastAsia="宋体" w:hAnsi="宋体" w:cs="宋体"/>
          <w:spacing w:val="-5"/>
          <w:sz w:val="24"/>
          <w:szCs w:val="24"/>
        </w:rPr>
        <w:t>纳入本次评估范围的流动资产主要包括货币资金</w:t>
      </w:r>
      <w:r>
        <w:rPr>
          <w:rFonts w:ascii="宋体" w:eastAsia="宋体" w:hAnsi="宋体" w:cs="宋体"/>
          <w:spacing w:val="-6"/>
          <w:sz w:val="24"/>
          <w:szCs w:val="24"/>
        </w:rPr>
        <w:t>、预付账款和其他流动资产</w:t>
      </w:r>
      <w:r>
        <w:rPr>
          <w:rFonts w:ascii="宋体" w:eastAsia="宋体" w:hAnsi="宋体" w:cs="宋体"/>
          <w:sz w:val="24"/>
          <w:szCs w:val="24"/>
        </w:rPr>
        <w:t xml:space="preserve"> </w:t>
      </w:r>
      <w:r>
        <w:rPr>
          <w:rFonts w:ascii="宋体" w:eastAsia="宋体" w:hAnsi="宋体" w:cs="宋体"/>
          <w:spacing w:val="-12"/>
          <w:sz w:val="24"/>
          <w:szCs w:val="24"/>
        </w:rPr>
        <w:t>等。</w:t>
      </w:r>
    </w:p>
    <w:p>
      <w:pPr>
        <w:spacing w:before="173" w:line="255" w:lineRule="auto"/>
        <w:ind w:right="123" w:firstLine="480"/>
        <w:rPr>
          <w:rFonts w:ascii="宋体" w:eastAsia="宋体" w:hAnsi="宋体" w:cs="宋体"/>
          <w:sz w:val="24"/>
          <w:szCs w:val="24"/>
        </w:rPr>
      </w:pPr>
      <w:r>
        <w:rPr>
          <w:rFonts w:ascii="宋体" w:eastAsia="宋体" w:hAnsi="宋体" w:cs="宋体"/>
          <w:spacing w:val="-9"/>
          <w:sz w:val="24"/>
          <w:szCs w:val="24"/>
        </w:rPr>
        <w:t>(1)货币资金，包括银行存款，评估人员通过核实银行对账单、函证等方法对</w:t>
      </w:r>
      <w:r>
        <w:rPr>
          <w:rFonts w:ascii="宋体" w:eastAsia="宋体" w:hAnsi="宋体" w:cs="宋体"/>
          <w:spacing w:val="13"/>
          <w:sz w:val="24"/>
          <w:szCs w:val="24"/>
        </w:rPr>
        <w:t xml:space="preserve"> </w:t>
      </w:r>
      <w:r>
        <w:rPr>
          <w:rFonts w:ascii="宋体" w:eastAsia="宋体" w:hAnsi="宋体" w:cs="宋体"/>
          <w:spacing w:val="-7"/>
          <w:sz w:val="24"/>
          <w:szCs w:val="24"/>
        </w:rPr>
        <w:t>货币资金进行核实，以核实后的价值确定评估值；</w:t>
      </w:r>
    </w:p>
    <w:p>
      <w:pPr>
        <w:spacing w:before="167" w:line="265" w:lineRule="auto"/>
        <w:ind w:right="121" w:firstLine="480"/>
        <w:jc w:val="both"/>
        <w:rPr>
          <w:rFonts w:ascii="宋体" w:eastAsia="宋体" w:hAnsi="宋体" w:cs="宋体"/>
          <w:sz w:val="24"/>
          <w:szCs w:val="24"/>
        </w:rPr>
      </w:pPr>
      <w:r>
        <w:rPr>
          <w:rFonts w:ascii="宋体" w:eastAsia="宋体" w:hAnsi="宋体" w:cs="宋体"/>
          <w:spacing w:val="-10"/>
          <w:sz w:val="24"/>
          <w:szCs w:val="24"/>
        </w:rPr>
        <w:t>(2)预付账款，主要为预付服务款等。评估人员通过查阅账表、函证等方法对</w:t>
      </w:r>
      <w:r>
        <w:rPr>
          <w:rFonts w:ascii="宋体" w:eastAsia="宋体" w:hAnsi="宋体" w:cs="宋体"/>
          <w:spacing w:val="8"/>
          <w:sz w:val="24"/>
          <w:szCs w:val="24"/>
        </w:rPr>
        <w:t xml:space="preserve"> </w:t>
      </w:r>
      <w:r>
        <w:rPr>
          <w:rFonts w:ascii="宋体" w:eastAsia="宋体" w:hAnsi="宋体" w:cs="宋体"/>
          <w:spacing w:val="2"/>
          <w:sz w:val="24"/>
          <w:szCs w:val="24"/>
        </w:rPr>
        <w:t>预付账款进行核实，根据所能收回的相应货物形成资产或权</w:t>
      </w:r>
      <w:r>
        <w:rPr>
          <w:rFonts w:ascii="宋体" w:eastAsia="宋体" w:hAnsi="宋体" w:cs="宋体"/>
          <w:spacing w:val="1"/>
          <w:sz w:val="24"/>
          <w:szCs w:val="24"/>
        </w:rPr>
        <w:t>利的价值确定评估</w:t>
      </w:r>
      <w:r>
        <w:rPr>
          <w:rFonts w:ascii="宋体" w:eastAsia="宋体" w:hAnsi="宋体" w:cs="宋体"/>
          <w:sz w:val="24"/>
          <w:szCs w:val="24"/>
        </w:rPr>
        <w:t xml:space="preserve"> </w:t>
      </w:r>
      <w:r>
        <w:rPr>
          <w:rFonts w:ascii="宋体" w:eastAsia="宋体" w:hAnsi="宋体" w:cs="宋体"/>
          <w:spacing w:val="-6"/>
          <w:sz w:val="24"/>
          <w:szCs w:val="24"/>
        </w:rPr>
        <w:t>值。其中对于能够收回相应货物的或权利的，按核实后</w:t>
      </w:r>
      <w:r>
        <w:rPr>
          <w:rFonts w:ascii="宋体" w:eastAsia="宋体" w:hAnsi="宋体" w:cs="宋体"/>
          <w:spacing w:val="-7"/>
          <w:sz w:val="24"/>
          <w:szCs w:val="24"/>
        </w:rPr>
        <w:t>的账面值作为评估值；对</w:t>
      </w:r>
      <w:r>
        <w:rPr>
          <w:rFonts w:ascii="宋体" w:eastAsia="宋体" w:hAnsi="宋体" w:cs="宋体"/>
          <w:sz w:val="24"/>
          <w:szCs w:val="24"/>
        </w:rPr>
        <w:t xml:space="preserve"> </w:t>
      </w:r>
      <w:r>
        <w:rPr>
          <w:rFonts w:ascii="宋体" w:eastAsia="宋体" w:hAnsi="宋体" w:cs="宋体"/>
          <w:spacing w:val="2"/>
          <w:sz w:val="24"/>
          <w:szCs w:val="24"/>
        </w:rPr>
        <w:t>于那些有确凿证据表明收不回相应货物，也不能形成相应资产</w:t>
      </w:r>
      <w:r>
        <w:rPr>
          <w:rFonts w:ascii="宋体" w:eastAsia="宋体" w:hAnsi="宋体" w:cs="宋体"/>
          <w:spacing w:val="1"/>
          <w:sz w:val="24"/>
          <w:szCs w:val="24"/>
        </w:rPr>
        <w:t>或权益的预付账</w:t>
      </w:r>
      <w:r>
        <w:rPr>
          <w:rFonts w:ascii="宋体" w:eastAsia="宋体" w:hAnsi="宋体" w:cs="宋体"/>
          <w:sz w:val="24"/>
          <w:szCs w:val="24"/>
        </w:rPr>
        <w:t xml:space="preserve"> </w:t>
      </w:r>
      <w:r>
        <w:rPr>
          <w:rFonts w:ascii="宋体" w:eastAsia="宋体" w:hAnsi="宋体" w:cs="宋体"/>
          <w:spacing w:val="-7"/>
          <w:sz w:val="24"/>
          <w:szCs w:val="24"/>
        </w:rPr>
        <w:t>款，其评估值为零。</w:t>
      </w:r>
    </w:p>
    <w:p>
      <w:pPr>
        <w:spacing w:before="208" w:line="247" w:lineRule="auto"/>
        <w:ind w:right="123" w:firstLine="480"/>
        <w:rPr>
          <w:rFonts w:ascii="宋体" w:eastAsia="宋体" w:hAnsi="宋体" w:cs="宋体"/>
          <w:sz w:val="24"/>
          <w:szCs w:val="24"/>
        </w:rPr>
      </w:pPr>
      <w:r>
        <w:rPr>
          <w:rFonts w:ascii="宋体" w:eastAsia="宋体" w:hAnsi="宋体" w:cs="宋体"/>
          <w:spacing w:val="-9"/>
          <w:sz w:val="24"/>
          <w:szCs w:val="24"/>
        </w:rPr>
        <w:t>(3)其他流动资产，主要为待抵扣进项税。评估人员通过查阅账表等方法对其</w:t>
      </w:r>
      <w:r>
        <w:rPr>
          <w:rFonts w:ascii="宋体" w:eastAsia="宋体" w:hAnsi="宋体" w:cs="宋体"/>
          <w:spacing w:val="13"/>
          <w:sz w:val="24"/>
          <w:szCs w:val="24"/>
        </w:rPr>
        <w:t xml:space="preserve"> </w:t>
      </w:r>
      <w:r>
        <w:rPr>
          <w:rFonts w:ascii="宋体" w:eastAsia="宋体" w:hAnsi="宋体" w:cs="宋体"/>
          <w:spacing w:val="-3"/>
          <w:sz w:val="24"/>
          <w:szCs w:val="24"/>
        </w:rPr>
        <w:t>他流动资产进行核实并判断其可回收金额，以可回收的</w:t>
      </w:r>
      <w:r>
        <w:rPr>
          <w:rFonts w:ascii="宋体" w:eastAsia="宋体" w:hAnsi="宋体" w:cs="宋体"/>
          <w:spacing w:val="-4"/>
          <w:sz w:val="24"/>
          <w:szCs w:val="24"/>
        </w:rPr>
        <w:t>金额确定为评估值。</w:t>
      </w:r>
    </w:p>
    <w:p>
      <w:pPr>
        <w:spacing w:before="217" w:line="219" w:lineRule="auto"/>
        <w:ind w:left="480"/>
        <w:rPr>
          <w:rFonts w:ascii="宋体" w:eastAsia="宋体" w:hAnsi="宋体" w:cs="宋体"/>
          <w:sz w:val="24"/>
          <w:szCs w:val="24"/>
        </w:rPr>
      </w:pPr>
      <w:r>
        <w:rPr>
          <w:rFonts w:ascii="宋体" w:eastAsia="宋体" w:hAnsi="宋体" w:cs="宋体"/>
          <w:spacing w:val="-5"/>
          <w:sz w:val="24"/>
          <w:szCs w:val="24"/>
        </w:rPr>
        <w:t>2、机器设备</w:t>
      </w:r>
    </w:p>
    <w:p>
      <w:pPr>
        <w:spacing w:before="186" w:line="257" w:lineRule="auto"/>
        <w:ind w:right="114" w:firstLine="480"/>
        <w:jc w:val="both"/>
        <w:rPr>
          <w:rFonts w:ascii="宋体" w:eastAsia="宋体" w:hAnsi="宋体" w:cs="宋体"/>
          <w:sz w:val="24"/>
          <w:szCs w:val="24"/>
        </w:rPr>
      </w:pPr>
      <w:r>
        <w:rPr>
          <w:rFonts w:ascii="宋体" w:eastAsia="宋体" w:hAnsi="宋体" w:cs="宋体"/>
          <w:spacing w:val="-6"/>
          <w:sz w:val="24"/>
          <w:szCs w:val="24"/>
        </w:rPr>
        <w:t>依据评估目的，本次设备类资产评估采用重置成本法，即在持续使用的前提</w:t>
      </w:r>
      <w:r>
        <w:rPr>
          <w:rFonts w:ascii="宋体" w:eastAsia="宋体" w:hAnsi="宋体" w:cs="宋体"/>
          <w:spacing w:val="17"/>
          <w:sz w:val="24"/>
          <w:szCs w:val="24"/>
        </w:rPr>
        <w:t xml:space="preserve"> </w:t>
      </w:r>
      <w:r>
        <w:rPr>
          <w:rFonts w:ascii="宋体" w:eastAsia="宋体" w:hAnsi="宋体" w:cs="宋体"/>
          <w:spacing w:val="-5"/>
          <w:sz w:val="24"/>
          <w:szCs w:val="24"/>
        </w:rPr>
        <w:t>下，以重新配置该项资产的现行市值为基础确定重置全价，同时通过现场勘察和</w:t>
      </w:r>
      <w:r>
        <w:rPr>
          <w:rFonts w:ascii="宋体" w:eastAsia="宋体" w:hAnsi="宋体" w:cs="宋体"/>
          <w:spacing w:val="3"/>
          <w:sz w:val="24"/>
          <w:szCs w:val="24"/>
        </w:rPr>
        <w:t xml:space="preserve"> </w:t>
      </w:r>
      <w:r>
        <w:rPr>
          <w:rFonts w:ascii="宋体" w:eastAsia="宋体" w:hAnsi="宋体" w:cs="宋体"/>
          <w:spacing w:val="-5"/>
          <w:sz w:val="24"/>
          <w:szCs w:val="24"/>
        </w:rPr>
        <w:t>综合技术分析确定相应损耗后的成新率，据此计算评估值。其计算公式为：</w:t>
      </w:r>
    </w:p>
    <w:p>
      <w:pPr>
        <w:spacing w:before="196" w:line="491" w:lineRule="exact"/>
        <w:ind w:left="480"/>
        <w:rPr>
          <w:rFonts w:ascii="宋体" w:eastAsia="宋体" w:hAnsi="宋体" w:cs="宋体"/>
          <w:sz w:val="24"/>
          <w:szCs w:val="24"/>
        </w:rPr>
      </w:pPr>
      <w:r>
        <w:rPr>
          <w:rFonts w:ascii="宋体" w:eastAsia="宋体" w:hAnsi="宋体" w:cs="宋体"/>
          <w:spacing w:val="-4"/>
          <w:position w:val="19"/>
          <w:sz w:val="24"/>
          <w:szCs w:val="24"/>
        </w:rPr>
        <w:t>设备评估值=设备重置全价</w:t>
      </w:r>
      <w:r>
        <w:rPr>
          <w:rFonts w:ascii="Times New Roman" w:eastAsia="Times New Roman" w:hAnsi="Times New Roman" w:cs="Times New Roman"/>
          <w:spacing w:val="-4"/>
          <w:position w:val="19"/>
          <w:sz w:val="24"/>
          <w:szCs w:val="24"/>
        </w:rPr>
        <w:t>x</w:t>
      </w:r>
      <w:r>
        <w:rPr>
          <w:rFonts w:ascii="宋体" w:eastAsia="宋体" w:hAnsi="宋体" w:cs="宋体"/>
          <w:spacing w:val="-4"/>
          <w:position w:val="19"/>
          <w:sz w:val="24"/>
          <w:szCs w:val="24"/>
        </w:rPr>
        <w:t>综合成新率</w:t>
      </w:r>
    </w:p>
    <w:p>
      <w:pPr>
        <w:spacing w:before="1" w:line="217" w:lineRule="auto"/>
        <w:ind w:left="480"/>
        <w:rPr>
          <w:rFonts w:ascii="宋体" w:eastAsia="宋体" w:hAnsi="宋体" w:cs="宋体"/>
          <w:sz w:val="24"/>
          <w:szCs w:val="24"/>
        </w:rPr>
      </w:pPr>
      <w:r>
        <w:rPr>
          <w:rFonts w:ascii="宋体" w:eastAsia="宋体" w:hAnsi="宋体" w:cs="宋体"/>
          <w:spacing w:val="-16"/>
          <w:sz w:val="24"/>
          <w:szCs w:val="24"/>
        </w:rPr>
        <w:t>(1)重置全价的确定</w:t>
      </w:r>
    </w:p>
    <w:p>
      <w:pPr>
        <w:spacing w:before="176" w:line="218" w:lineRule="auto"/>
        <w:ind w:left="480"/>
        <w:rPr>
          <w:rFonts w:ascii="宋体" w:eastAsia="宋体" w:hAnsi="宋体" w:cs="宋体"/>
          <w:sz w:val="24"/>
          <w:szCs w:val="24"/>
        </w:rPr>
      </w:pPr>
      <w:r>
        <w:rPr>
          <w:rFonts w:ascii="宋体" w:eastAsia="宋体" w:hAnsi="宋体" w:cs="宋体"/>
          <w:spacing w:val="-5"/>
          <w:sz w:val="24"/>
          <w:szCs w:val="24"/>
        </w:rPr>
        <w:t>本评估报告中设备的重置全价为不含增值税价格。其中：</w:t>
      </w:r>
    </w:p>
    <w:p>
      <w:pPr>
        <w:spacing w:before="188" w:line="251" w:lineRule="auto"/>
        <w:ind w:right="122" w:firstLine="480"/>
        <w:rPr>
          <w:rFonts w:ascii="宋体" w:eastAsia="宋体" w:hAnsi="宋体" w:cs="宋体"/>
          <w:sz w:val="24"/>
          <w:szCs w:val="24"/>
        </w:rPr>
      </w:pPr>
      <w:r>
        <w:rPr>
          <w:rFonts w:ascii="宋体" w:eastAsia="宋体" w:hAnsi="宋体" w:cs="宋体"/>
          <w:spacing w:val="2"/>
          <w:sz w:val="24"/>
          <w:szCs w:val="24"/>
        </w:rPr>
        <w:t>对于不需要安装(或安装由销售商负责)、运输费用较低的小</w:t>
      </w:r>
      <w:r>
        <w:rPr>
          <w:rFonts w:ascii="宋体" w:eastAsia="宋体" w:hAnsi="宋体" w:cs="宋体"/>
          <w:spacing w:val="1"/>
          <w:sz w:val="24"/>
          <w:szCs w:val="24"/>
        </w:rPr>
        <w:t>型设备、电子</w:t>
      </w:r>
      <w:r>
        <w:rPr>
          <w:rFonts w:ascii="宋体" w:eastAsia="宋体" w:hAnsi="宋体" w:cs="宋体"/>
          <w:sz w:val="24"/>
          <w:szCs w:val="24"/>
        </w:rPr>
        <w:t xml:space="preserve"> </w:t>
      </w:r>
      <w:r>
        <w:rPr>
          <w:rFonts w:ascii="宋体" w:eastAsia="宋体" w:hAnsi="宋体" w:cs="宋体"/>
          <w:spacing w:val="-5"/>
          <w:sz w:val="24"/>
          <w:szCs w:val="24"/>
        </w:rPr>
        <w:t>设备，参照现行市场购置的价格确定重置全价；</w:t>
      </w:r>
    </w:p>
    <w:p>
      <w:pPr>
        <w:spacing w:before="219" w:line="219" w:lineRule="auto"/>
        <w:ind w:left="480"/>
        <w:rPr>
          <w:rFonts w:ascii="宋体" w:eastAsia="宋体" w:hAnsi="宋体" w:cs="宋体"/>
          <w:sz w:val="24"/>
          <w:szCs w:val="24"/>
        </w:rPr>
      </w:pPr>
      <w:r>
        <w:rPr>
          <w:rFonts w:ascii="宋体" w:eastAsia="宋体" w:hAnsi="宋体" w:cs="宋体"/>
          <w:spacing w:val="-16"/>
          <w:sz w:val="24"/>
          <w:szCs w:val="24"/>
        </w:rPr>
        <w:t>(2)综合成新率的确定</w:t>
      </w:r>
    </w:p>
    <w:p>
      <w:pPr>
        <w:spacing w:before="183" w:line="219" w:lineRule="auto"/>
        <w:ind w:left="480"/>
        <w:rPr>
          <w:rFonts w:ascii="宋体" w:eastAsia="宋体" w:hAnsi="宋体" w:cs="宋体"/>
          <w:sz w:val="24"/>
          <w:szCs w:val="24"/>
        </w:rPr>
      </w:pPr>
      <w:r>
        <w:rPr>
          <w:rFonts w:ascii="宋体" w:eastAsia="宋体" w:hAnsi="宋体" w:cs="宋体"/>
          <w:spacing w:val="-8"/>
          <w:sz w:val="24"/>
          <w:szCs w:val="24"/>
        </w:rPr>
        <w:t>采用年限法确定。计算公式为：</w:t>
      </w:r>
    </w:p>
    <w:p>
      <w:pPr>
        <w:spacing w:before="187" w:line="498" w:lineRule="exact"/>
        <w:ind w:left="480"/>
        <w:rPr>
          <w:rFonts w:ascii="宋体" w:eastAsia="宋体" w:hAnsi="宋体" w:cs="宋体"/>
          <w:sz w:val="24"/>
          <w:szCs w:val="24"/>
        </w:rPr>
      </w:pPr>
      <w:r>
        <w:rPr>
          <w:rFonts w:ascii="宋体" w:eastAsia="宋体" w:hAnsi="宋体" w:cs="宋体"/>
          <w:spacing w:val="-2"/>
          <w:position w:val="19"/>
          <w:sz w:val="24"/>
          <w:szCs w:val="24"/>
        </w:rPr>
        <w:t>综合成新率=(经济耐用年限-已使用年限)/经济耐用年限×100%</w:t>
      </w:r>
    </w:p>
    <w:p>
      <w:pPr>
        <w:spacing w:before="1" w:line="217" w:lineRule="auto"/>
        <w:ind w:left="480"/>
        <w:rPr>
          <w:rFonts w:ascii="宋体" w:eastAsia="宋体" w:hAnsi="宋体" w:cs="宋体"/>
          <w:sz w:val="24"/>
          <w:szCs w:val="24"/>
        </w:rPr>
      </w:pPr>
      <w:r>
        <w:rPr>
          <w:rFonts w:ascii="宋体" w:eastAsia="宋体" w:hAnsi="宋体" w:cs="宋体"/>
          <w:spacing w:val="-16"/>
          <w:sz w:val="24"/>
          <w:szCs w:val="24"/>
        </w:rPr>
        <w:t>(3)评估值的确定</w:t>
      </w:r>
    </w:p>
    <w:p>
      <w:pPr>
        <w:spacing w:before="177" w:line="492" w:lineRule="exact"/>
        <w:ind w:left="480"/>
        <w:rPr>
          <w:rFonts w:ascii="宋体" w:eastAsia="宋体" w:hAnsi="宋体" w:cs="宋体"/>
          <w:sz w:val="24"/>
          <w:szCs w:val="24"/>
        </w:rPr>
      </w:pPr>
      <w:r>
        <w:rPr>
          <w:rFonts w:ascii="宋体" w:eastAsia="宋体" w:hAnsi="宋体" w:cs="宋体"/>
          <w:spacing w:val="-4"/>
          <w:position w:val="19"/>
          <w:sz w:val="24"/>
          <w:szCs w:val="24"/>
        </w:rPr>
        <w:t>设备评估值=设备重置全价</w:t>
      </w:r>
      <w:r>
        <w:rPr>
          <w:rFonts w:ascii="Times New Roman" w:eastAsia="Times New Roman" w:hAnsi="Times New Roman" w:cs="Times New Roman"/>
          <w:spacing w:val="-4"/>
          <w:position w:val="19"/>
          <w:sz w:val="24"/>
          <w:szCs w:val="24"/>
        </w:rPr>
        <w:t>x</w:t>
      </w:r>
      <w:r>
        <w:rPr>
          <w:rFonts w:ascii="宋体" w:eastAsia="宋体" w:hAnsi="宋体" w:cs="宋体"/>
          <w:spacing w:val="-4"/>
          <w:position w:val="19"/>
          <w:sz w:val="24"/>
          <w:szCs w:val="24"/>
        </w:rPr>
        <w:t>综合成新率</w:t>
      </w:r>
    </w:p>
    <w:p>
      <w:pPr>
        <w:spacing w:line="219" w:lineRule="auto"/>
        <w:ind w:left="480"/>
        <w:rPr>
          <w:rFonts w:ascii="宋体" w:eastAsia="宋体" w:hAnsi="宋体" w:cs="宋体"/>
          <w:sz w:val="24"/>
          <w:szCs w:val="24"/>
        </w:rPr>
      </w:pPr>
      <w:r>
        <w:rPr>
          <w:rFonts w:ascii="宋体" w:eastAsia="宋体" w:hAnsi="宋体" w:cs="宋体"/>
          <w:spacing w:val="-6"/>
          <w:sz w:val="24"/>
          <w:szCs w:val="24"/>
        </w:rPr>
        <w:t>3、无形资产—技术、著作权等</w:t>
      </w:r>
    </w:p>
    <w:p>
      <w:pPr>
        <w:spacing w:before="192" w:line="244" w:lineRule="auto"/>
        <w:ind w:right="120" w:firstLine="480"/>
        <w:rPr>
          <w:rFonts w:ascii="宋体" w:eastAsia="宋体" w:hAnsi="宋体" w:cs="宋体"/>
          <w:sz w:val="24"/>
          <w:szCs w:val="24"/>
        </w:rPr>
      </w:pPr>
      <w:r>
        <w:rPr>
          <w:rFonts w:ascii="宋体" w:eastAsia="宋体" w:hAnsi="宋体" w:cs="宋体"/>
          <w:spacing w:val="2"/>
          <w:sz w:val="24"/>
          <w:szCs w:val="24"/>
        </w:rPr>
        <w:t>纳入本次评估范围的无形资产一技术、著作权等共计7项，包括</w:t>
      </w:r>
      <w:r>
        <w:rPr>
          <w:rFonts w:ascii="宋体" w:eastAsia="宋体" w:hAnsi="宋体" w:cs="宋体"/>
          <w:spacing w:val="1"/>
          <w:sz w:val="24"/>
          <w:szCs w:val="24"/>
        </w:rPr>
        <w:t>1项发明专</w:t>
      </w:r>
      <w:r>
        <w:rPr>
          <w:rFonts w:ascii="宋体" w:eastAsia="宋体" w:hAnsi="宋体" w:cs="宋体"/>
          <w:sz w:val="24"/>
          <w:szCs w:val="24"/>
        </w:rPr>
        <w:t xml:space="preserve"> 利和6项软件著作权。本次采用收益法进行评估。</w:t>
      </w:r>
    </w:p>
    <w:p>
      <w:pPr>
        <w:spacing w:line="244" w:lineRule="auto"/>
        <w:rPr>
          <w:rFonts w:ascii="宋体" w:eastAsia="宋体" w:hAnsi="宋体" w:cs="宋体"/>
          <w:sz w:val="24"/>
          <w:szCs w:val="24"/>
        </w:rPr>
        <w:sectPr>
          <w:headerReference w:type="default" r:id="rId28"/>
          <w:footerReference w:type="default" r:id="rId29"/>
          <w:pgSz w:w="11910" w:h="16840"/>
          <w:pgMar w:top="1365" w:right="1786" w:bottom="1029" w:left="1779" w:header="1185" w:footer="771" w:gutter="0"/>
          <w:pgNumType w:start="14"/>
          <w:cols w:num="1" w:space="720"/>
        </w:sectPr>
      </w:pPr>
    </w:p>
    <w:p>
      <w:pPr>
        <w:pStyle w:val="BodyText"/>
        <w:spacing w:line="289" w:lineRule="auto"/>
      </w:pPr>
    </w:p>
    <w:p>
      <w:pPr>
        <w:spacing w:before="75" w:line="270" w:lineRule="auto"/>
        <w:ind w:left="40" w:right="92" w:firstLine="489"/>
        <w:jc w:val="both"/>
        <w:rPr>
          <w:rFonts w:ascii="宋体" w:eastAsia="宋体" w:hAnsi="宋体" w:cs="宋体"/>
          <w:sz w:val="23"/>
          <w:szCs w:val="23"/>
        </w:rPr>
      </w:pPr>
      <w:bookmarkStart w:id="10" w:name="bookmark12"/>
      <w:bookmarkEnd w:id="10"/>
      <w:bookmarkStart w:id="11" w:name="bookmark13"/>
      <w:bookmarkEnd w:id="11"/>
      <w:r>
        <w:rPr>
          <w:rFonts w:ascii="宋体" w:eastAsia="宋体" w:hAnsi="宋体" w:cs="宋体"/>
          <w:spacing w:val="4"/>
          <w:sz w:val="23"/>
          <w:szCs w:val="23"/>
        </w:rPr>
        <w:t>收益法是通过估算待评估专利和软件著作权产品在未来的预期</w:t>
      </w:r>
      <w:r>
        <w:rPr>
          <w:rFonts w:ascii="宋体" w:eastAsia="宋体" w:hAnsi="宋体" w:cs="宋体"/>
          <w:spacing w:val="3"/>
          <w:sz w:val="23"/>
          <w:szCs w:val="23"/>
        </w:rPr>
        <w:t>收益，并采用</w:t>
      </w:r>
      <w:r>
        <w:rPr>
          <w:rFonts w:ascii="宋体" w:eastAsia="宋体" w:hAnsi="宋体" w:cs="宋体"/>
          <w:sz w:val="23"/>
          <w:szCs w:val="23"/>
        </w:rPr>
        <w:t xml:space="preserve"> </w:t>
      </w:r>
      <w:r>
        <w:rPr>
          <w:rFonts w:ascii="宋体" w:eastAsia="宋体" w:hAnsi="宋体" w:cs="宋体"/>
          <w:spacing w:val="5"/>
          <w:sz w:val="23"/>
          <w:szCs w:val="23"/>
        </w:rPr>
        <w:t>适宜的折现率折算成现值，然后加总求和得出</w:t>
      </w:r>
      <w:r>
        <w:rPr>
          <w:rFonts w:ascii="宋体" w:eastAsia="宋体" w:hAnsi="宋体" w:cs="宋体"/>
          <w:spacing w:val="4"/>
          <w:sz w:val="23"/>
          <w:szCs w:val="23"/>
        </w:rPr>
        <w:t>专利和软件著作权价值的一种评估</w:t>
      </w:r>
      <w:r>
        <w:rPr>
          <w:rFonts w:ascii="宋体" w:eastAsia="宋体" w:hAnsi="宋体" w:cs="宋体"/>
          <w:sz w:val="23"/>
          <w:szCs w:val="23"/>
        </w:rPr>
        <w:t xml:space="preserve"> </w:t>
      </w:r>
      <w:r>
        <w:rPr>
          <w:rFonts w:ascii="宋体" w:eastAsia="宋体" w:hAnsi="宋体" w:cs="宋体"/>
          <w:spacing w:val="5"/>
          <w:sz w:val="23"/>
          <w:szCs w:val="23"/>
        </w:rPr>
        <w:t>方法。采用收益法进行评估，首先要解决有关</w:t>
      </w:r>
      <w:r>
        <w:rPr>
          <w:rFonts w:ascii="宋体" w:eastAsia="宋体" w:hAnsi="宋体" w:cs="宋体"/>
          <w:spacing w:val="4"/>
          <w:sz w:val="23"/>
          <w:szCs w:val="23"/>
        </w:rPr>
        <w:t>专利和软件著作权产品净利润、折</w:t>
      </w:r>
      <w:r>
        <w:rPr>
          <w:rFonts w:ascii="宋体" w:eastAsia="宋体" w:hAnsi="宋体" w:cs="宋体"/>
          <w:sz w:val="23"/>
          <w:szCs w:val="23"/>
        </w:rPr>
        <w:t xml:space="preserve"> </w:t>
      </w:r>
      <w:r>
        <w:rPr>
          <w:rFonts w:ascii="宋体" w:eastAsia="宋体" w:hAnsi="宋体" w:cs="宋体"/>
          <w:spacing w:val="6"/>
          <w:sz w:val="23"/>
          <w:szCs w:val="23"/>
        </w:rPr>
        <w:t>现率以及专利和软件著作权产品的寿命期等基本参数的选取问题。</w:t>
      </w:r>
    </w:p>
    <w:p>
      <w:pPr>
        <w:spacing w:before="207" w:line="266" w:lineRule="auto"/>
        <w:ind w:left="50" w:right="102" w:firstLine="479"/>
        <w:jc w:val="both"/>
        <w:rPr>
          <w:rFonts w:ascii="宋体" w:eastAsia="宋体" w:hAnsi="宋体" w:cs="宋体"/>
          <w:sz w:val="23"/>
          <w:szCs w:val="23"/>
        </w:rPr>
      </w:pPr>
      <w:r>
        <w:rPr>
          <w:rFonts w:ascii="宋体" w:eastAsia="宋体" w:hAnsi="宋体" w:cs="宋体"/>
          <w:spacing w:val="10"/>
          <w:sz w:val="23"/>
          <w:szCs w:val="23"/>
        </w:rPr>
        <w:t xml:space="preserve">使用收益法评估的基础是专利和软件著作权产品首先要具备较充分的客户 </w:t>
      </w:r>
      <w:r>
        <w:rPr>
          <w:rFonts w:ascii="宋体" w:eastAsia="宋体" w:hAnsi="宋体" w:cs="宋体"/>
          <w:spacing w:val="4"/>
          <w:sz w:val="23"/>
          <w:szCs w:val="23"/>
        </w:rPr>
        <w:t>群；并且专利和软件著作权与经营收益之间存在较为稳定的比例关系；专利和软</w:t>
      </w:r>
      <w:r>
        <w:rPr>
          <w:rFonts w:ascii="宋体" w:eastAsia="宋体" w:hAnsi="宋体" w:cs="宋体"/>
          <w:sz w:val="23"/>
          <w:szCs w:val="23"/>
        </w:rPr>
        <w:t xml:space="preserve"> </w:t>
      </w:r>
      <w:r>
        <w:rPr>
          <w:rFonts w:ascii="宋体" w:eastAsia="宋体" w:hAnsi="宋体" w:cs="宋体"/>
          <w:spacing w:val="3"/>
          <w:sz w:val="23"/>
          <w:szCs w:val="23"/>
        </w:rPr>
        <w:t>件著作权产品的未来收益可以预测。</w:t>
      </w:r>
    </w:p>
    <w:p>
      <w:pPr>
        <w:spacing w:before="214" w:line="260" w:lineRule="auto"/>
        <w:ind w:left="40" w:right="93" w:firstLine="499"/>
        <w:jc w:val="both"/>
        <w:rPr>
          <w:rFonts w:ascii="宋体" w:eastAsia="宋体" w:hAnsi="宋体" w:cs="宋体"/>
          <w:sz w:val="23"/>
          <w:szCs w:val="23"/>
        </w:rPr>
      </w:pPr>
      <w:r>
        <w:rPr>
          <w:rFonts w:ascii="宋体" w:eastAsia="宋体" w:hAnsi="宋体" w:cs="宋体"/>
          <w:spacing w:val="4"/>
          <w:sz w:val="23"/>
          <w:szCs w:val="23"/>
        </w:rPr>
        <w:t>本次委估的专利和软件著作权主要应用于制造</w:t>
      </w:r>
      <w:r>
        <w:rPr>
          <w:rFonts w:ascii="宋体" w:eastAsia="宋体" w:hAnsi="宋体" w:cs="宋体"/>
          <w:spacing w:val="3"/>
          <w:sz w:val="23"/>
          <w:szCs w:val="23"/>
        </w:rPr>
        <w:t>行业，截至评估基准日客户群</w:t>
      </w:r>
      <w:r>
        <w:rPr>
          <w:rFonts w:ascii="宋体" w:eastAsia="宋体" w:hAnsi="宋体" w:cs="宋体"/>
          <w:sz w:val="23"/>
          <w:szCs w:val="23"/>
        </w:rPr>
        <w:t xml:space="preserve"> </w:t>
      </w:r>
      <w:r>
        <w:rPr>
          <w:rFonts w:ascii="宋体" w:eastAsia="宋体" w:hAnsi="宋体" w:cs="宋体"/>
          <w:spacing w:val="4"/>
          <w:sz w:val="23"/>
          <w:szCs w:val="23"/>
        </w:rPr>
        <w:t>体较为稳定，专利和软件著作权未来的收益及经济寿命可以预测，所以本次采用</w:t>
      </w:r>
      <w:r>
        <w:rPr>
          <w:rFonts w:ascii="宋体" w:eastAsia="宋体" w:hAnsi="宋体" w:cs="宋体"/>
          <w:spacing w:val="7"/>
          <w:sz w:val="23"/>
          <w:szCs w:val="23"/>
        </w:rPr>
        <w:t xml:space="preserve"> </w:t>
      </w:r>
      <w:r>
        <w:rPr>
          <w:rFonts w:ascii="宋体" w:eastAsia="宋体" w:hAnsi="宋体" w:cs="宋体"/>
          <w:spacing w:val="2"/>
          <w:sz w:val="23"/>
          <w:szCs w:val="23"/>
        </w:rPr>
        <w:t>收益法对其进行评估。</w:t>
      </w:r>
    </w:p>
    <w:p>
      <w:pPr>
        <w:spacing w:before="229" w:line="271" w:lineRule="auto"/>
        <w:ind w:left="40" w:right="58" w:firstLine="489"/>
        <w:jc w:val="both"/>
        <w:rPr>
          <w:rFonts w:ascii="宋体" w:eastAsia="宋体" w:hAnsi="宋体" w:cs="宋体"/>
          <w:sz w:val="23"/>
          <w:szCs w:val="23"/>
        </w:rPr>
      </w:pPr>
      <w:r>
        <w:rPr>
          <w:rFonts w:ascii="宋体" w:eastAsia="宋体" w:hAnsi="宋体" w:cs="宋体"/>
          <w:spacing w:val="4"/>
          <w:sz w:val="23"/>
          <w:szCs w:val="23"/>
        </w:rPr>
        <w:t>收益法的关键是要界定委估专利和软件著作权所产生的未来收益，这通常是</w:t>
      </w:r>
      <w:r>
        <w:rPr>
          <w:rFonts w:ascii="宋体" w:eastAsia="宋体" w:hAnsi="宋体" w:cs="宋体"/>
          <w:spacing w:val="8"/>
          <w:sz w:val="23"/>
          <w:szCs w:val="23"/>
        </w:rPr>
        <w:t xml:space="preserve"> </w:t>
      </w:r>
      <w:r>
        <w:rPr>
          <w:rFonts w:ascii="宋体" w:eastAsia="宋体" w:hAnsi="宋体" w:cs="宋体"/>
          <w:spacing w:val="4"/>
          <w:sz w:val="23"/>
          <w:szCs w:val="23"/>
        </w:rPr>
        <w:t>采用分成收益法来进行的。分成收益法应用中，借鉴国际貿易中的分成基数与分</w:t>
      </w:r>
      <w:r>
        <w:rPr>
          <w:rFonts w:ascii="宋体" w:eastAsia="宋体" w:hAnsi="宋体" w:cs="宋体"/>
          <w:spacing w:val="9"/>
          <w:sz w:val="23"/>
          <w:szCs w:val="23"/>
        </w:rPr>
        <w:t xml:space="preserve"> </w:t>
      </w:r>
      <w:r>
        <w:rPr>
          <w:rFonts w:ascii="宋体" w:eastAsia="宋体" w:hAnsi="宋体" w:cs="宋体"/>
          <w:spacing w:val="6"/>
          <w:sz w:val="23"/>
          <w:szCs w:val="23"/>
        </w:rPr>
        <w:t>成率的匹配关系，有两种具体的计算方法，</w:t>
      </w:r>
      <w:r>
        <w:rPr>
          <w:rFonts w:ascii="宋体" w:eastAsia="宋体" w:hAnsi="宋体" w:cs="宋体"/>
          <w:spacing w:val="5"/>
          <w:sz w:val="23"/>
          <w:szCs w:val="23"/>
        </w:rPr>
        <w:t>即净收益分成法和销售收入分成法。</w:t>
      </w:r>
      <w:r>
        <w:rPr>
          <w:rFonts w:ascii="宋体" w:eastAsia="宋体" w:hAnsi="宋体" w:cs="宋体"/>
          <w:sz w:val="23"/>
          <w:szCs w:val="23"/>
        </w:rPr>
        <w:t xml:space="preserve"> </w:t>
      </w:r>
      <w:r>
        <w:rPr>
          <w:rFonts w:ascii="宋体" w:eastAsia="宋体" w:hAnsi="宋体" w:cs="宋体"/>
          <w:spacing w:val="6"/>
          <w:sz w:val="23"/>
          <w:szCs w:val="23"/>
        </w:rPr>
        <w:t>本次评估采用净收益分成法来对委估专利和软件著作</w:t>
      </w:r>
      <w:r>
        <w:rPr>
          <w:rFonts w:ascii="宋体" w:eastAsia="宋体" w:hAnsi="宋体" w:cs="宋体"/>
          <w:spacing w:val="5"/>
          <w:sz w:val="23"/>
          <w:szCs w:val="23"/>
        </w:rPr>
        <w:t>权的价值进行评估。</w:t>
      </w:r>
    </w:p>
    <w:p>
      <w:pPr>
        <w:spacing w:before="200" w:line="268" w:lineRule="auto"/>
        <w:ind w:left="30" w:right="81" w:firstLine="499"/>
        <w:rPr>
          <w:rFonts w:ascii="宋体" w:eastAsia="宋体" w:hAnsi="宋体" w:cs="宋体"/>
          <w:sz w:val="23"/>
          <w:szCs w:val="23"/>
        </w:rPr>
      </w:pPr>
      <w:r>
        <w:rPr>
          <w:rFonts w:ascii="宋体" w:eastAsia="宋体" w:hAnsi="宋体" w:cs="宋体"/>
          <w:spacing w:val="4"/>
          <w:sz w:val="23"/>
          <w:szCs w:val="23"/>
        </w:rPr>
        <w:t>本次评估中的净收益分成收益法，即首先预测使用委估专利和软件著作权在</w:t>
      </w:r>
      <w:r>
        <w:rPr>
          <w:rFonts w:ascii="宋体" w:eastAsia="宋体" w:hAnsi="宋体" w:cs="宋体"/>
          <w:spacing w:val="9"/>
          <w:sz w:val="23"/>
          <w:szCs w:val="23"/>
        </w:rPr>
        <w:t xml:space="preserve"> </w:t>
      </w:r>
      <w:r>
        <w:rPr>
          <w:rFonts w:ascii="宋体" w:eastAsia="宋体" w:hAnsi="宋体" w:cs="宋体"/>
          <w:spacing w:val="5"/>
          <w:sz w:val="23"/>
          <w:szCs w:val="23"/>
        </w:rPr>
        <w:t>未来的经济年限内各年的利润；然后再乘以适当的委估专利和</w:t>
      </w:r>
      <w:r>
        <w:rPr>
          <w:rFonts w:ascii="宋体" w:eastAsia="宋体" w:hAnsi="宋体" w:cs="宋体"/>
          <w:spacing w:val="4"/>
          <w:sz w:val="23"/>
          <w:szCs w:val="23"/>
        </w:rPr>
        <w:t>软件著作权在利润</w:t>
      </w:r>
      <w:r>
        <w:rPr>
          <w:rFonts w:ascii="宋体" w:eastAsia="宋体" w:hAnsi="宋体" w:cs="宋体"/>
          <w:sz w:val="23"/>
          <w:szCs w:val="23"/>
        </w:rPr>
        <w:t xml:space="preserve"> </w:t>
      </w:r>
      <w:r>
        <w:rPr>
          <w:rFonts w:ascii="宋体" w:eastAsia="宋体" w:hAnsi="宋体" w:cs="宋体"/>
          <w:spacing w:val="2"/>
          <w:sz w:val="23"/>
          <w:szCs w:val="23"/>
        </w:rPr>
        <w:t>中的分成率；再用適当的资金机会成本(即折现率)对每年的分成收益进行折现，</w:t>
      </w:r>
    </w:p>
    <w:p>
      <w:pPr>
        <w:spacing w:before="66" w:line="218" w:lineRule="auto"/>
        <w:ind w:left="50"/>
        <w:rPr>
          <w:rFonts w:ascii="宋体" w:eastAsia="宋体" w:hAnsi="宋体" w:cs="宋体"/>
          <w:sz w:val="23"/>
          <w:szCs w:val="23"/>
        </w:rPr>
      </w:pPr>
      <w:r>
        <w:rPr>
          <w:rFonts w:ascii="宋体" w:eastAsia="宋体" w:hAnsi="宋体" w:cs="宋体"/>
          <w:spacing w:val="4"/>
          <w:sz w:val="23"/>
          <w:szCs w:val="23"/>
        </w:rPr>
        <w:t>得出的现值之和即为委托专利和软件著作权的评估现值，其基本计算公式</w:t>
      </w:r>
      <w:r>
        <w:rPr>
          <w:rFonts w:ascii="宋体" w:eastAsia="宋体" w:hAnsi="宋体" w:cs="宋体"/>
          <w:spacing w:val="3"/>
          <w:sz w:val="23"/>
          <w:szCs w:val="23"/>
        </w:rPr>
        <w:t>为：</w:t>
      </w:r>
    </w:p>
    <w:p>
      <w:pPr>
        <w:spacing w:before="91" w:line="630" w:lineRule="exact"/>
        <w:ind w:firstLine="550"/>
      </w:pPr>
      <w:r>
        <w:rPr>
          <w:position w:val="-12"/>
        </w:rPr>
        <w:drawing>
          <wp:inline distT="0" distB="0" distL="0" distR="0">
            <wp:extent cx="1320800" cy="399415"/>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30"/>
                    <a:stretch>
                      <a:fillRect/>
                    </a:stretch>
                  </pic:blipFill>
                  <pic:spPr>
                    <a:xfrm>
                      <a:off x="0" y="0"/>
                      <a:ext cx="1320851" cy="400039"/>
                    </a:xfrm>
                    <a:prstGeom prst="rect">
                      <a:avLst/>
                    </a:prstGeom>
                  </pic:spPr>
                </pic:pic>
              </a:graphicData>
            </a:graphic>
          </wp:inline>
        </w:drawing>
      </w:r>
    </w:p>
    <w:p>
      <w:pPr>
        <w:pStyle w:val="BodyText"/>
        <w:spacing w:line="320" w:lineRule="auto"/>
      </w:pPr>
    </w:p>
    <w:p>
      <w:pPr>
        <w:spacing w:before="76" w:line="482" w:lineRule="exact"/>
        <w:ind w:left="529"/>
        <w:rPr>
          <w:rFonts w:ascii="宋体" w:eastAsia="宋体" w:hAnsi="宋体" w:cs="宋体"/>
          <w:sz w:val="23"/>
          <w:szCs w:val="23"/>
        </w:rPr>
      </w:pPr>
      <w:r>
        <w:rPr>
          <w:rFonts w:ascii="宋体" w:eastAsia="宋体" w:hAnsi="宋体" w:cs="宋体"/>
          <w:spacing w:val="-4"/>
          <w:position w:val="19"/>
          <w:sz w:val="23"/>
          <w:szCs w:val="23"/>
        </w:rPr>
        <w:t>其中：</w:t>
      </w:r>
      <w:r>
        <w:rPr>
          <w:rFonts w:ascii="宋体" w:eastAsia="宋体" w:hAnsi="宋体" w:cs="宋体"/>
          <w:spacing w:val="-35"/>
          <w:position w:val="19"/>
          <w:sz w:val="23"/>
          <w:szCs w:val="23"/>
        </w:rPr>
        <w:t xml:space="preserve"> </w:t>
      </w:r>
      <w:r>
        <w:rPr>
          <w:rFonts w:ascii="宋体" w:eastAsia="宋体" w:hAnsi="宋体" w:cs="宋体"/>
          <w:spacing w:val="-4"/>
          <w:position w:val="19"/>
          <w:sz w:val="23"/>
          <w:szCs w:val="23"/>
        </w:rPr>
        <w:t>P——专利、软件著作权评估值</w:t>
      </w:r>
    </w:p>
    <w:p>
      <w:pPr>
        <w:spacing w:line="219" w:lineRule="auto"/>
        <w:ind w:left="1220"/>
        <w:rPr>
          <w:rFonts w:ascii="宋体" w:eastAsia="宋体" w:hAnsi="宋体" w:cs="宋体"/>
          <w:sz w:val="23"/>
          <w:szCs w:val="23"/>
        </w:rPr>
      </w:pPr>
      <w:r>
        <w:rPr>
          <w:rFonts w:ascii="Times New Roman" w:eastAsia="Times New Roman" w:hAnsi="Times New Roman" w:cs="Times New Roman"/>
          <w:spacing w:val="-10"/>
          <w:w w:val="98"/>
          <w:sz w:val="23"/>
          <w:szCs w:val="23"/>
        </w:rPr>
        <w:t>K——</w:t>
      </w:r>
      <w:r>
        <w:rPr>
          <w:rFonts w:ascii="宋体" w:eastAsia="宋体" w:hAnsi="宋体" w:cs="宋体"/>
          <w:spacing w:val="-10"/>
          <w:w w:val="98"/>
          <w:sz w:val="23"/>
          <w:szCs w:val="23"/>
        </w:rPr>
        <w:t>利润分成率</w:t>
      </w:r>
    </w:p>
    <w:p>
      <w:pPr>
        <w:spacing w:before="207" w:line="480" w:lineRule="exact"/>
        <w:ind w:left="1210"/>
        <w:rPr>
          <w:rFonts w:ascii="宋体" w:eastAsia="宋体" w:hAnsi="宋体" w:cs="宋体"/>
          <w:sz w:val="23"/>
          <w:szCs w:val="23"/>
        </w:rPr>
      </w:pPr>
      <w:r>
        <w:rPr>
          <w:rFonts w:ascii="宋体" w:eastAsia="宋体" w:hAnsi="宋体" w:cs="宋体"/>
          <w:spacing w:val="-7"/>
          <w:position w:val="19"/>
          <w:sz w:val="23"/>
          <w:szCs w:val="23"/>
        </w:rPr>
        <w:t>Ri——技术类产品的利润</w:t>
      </w:r>
    </w:p>
    <w:p>
      <w:pPr>
        <w:spacing w:line="219" w:lineRule="auto"/>
        <w:ind w:left="1210"/>
        <w:rPr>
          <w:rFonts w:ascii="宋体" w:eastAsia="宋体" w:hAnsi="宋体" w:cs="宋体"/>
          <w:sz w:val="23"/>
          <w:szCs w:val="23"/>
        </w:rPr>
      </w:pPr>
      <w:r>
        <w:rPr>
          <w:rFonts w:ascii="Times New Roman" w:eastAsia="Times New Roman" w:hAnsi="Times New Roman" w:cs="Times New Roman"/>
          <w:spacing w:val="-12"/>
          <w:sz w:val="23"/>
          <w:szCs w:val="23"/>
        </w:rPr>
        <w:t>i——</w:t>
      </w:r>
      <w:r>
        <w:rPr>
          <w:rFonts w:ascii="Times New Roman" w:eastAsia="Times New Roman" w:hAnsi="Times New Roman" w:cs="Times New Roman"/>
          <w:spacing w:val="-36"/>
          <w:sz w:val="23"/>
          <w:szCs w:val="23"/>
        </w:rPr>
        <w:t xml:space="preserve"> </w:t>
      </w:r>
      <w:r>
        <w:rPr>
          <w:rFonts w:ascii="宋体" w:eastAsia="宋体" w:hAnsi="宋体" w:cs="宋体"/>
          <w:spacing w:val="-12"/>
          <w:sz w:val="23"/>
          <w:szCs w:val="23"/>
        </w:rPr>
        <w:t>收益期限</w:t>
      </w:r>
    </w:p>
    <w:p>
      <w:pPr>
        <w:tabs>
          <w:tab w:val="left" w:pos="1690"/>
        </w:tabs>
        <w:spacing w:before="207" w:line="377" w:lineRule="auto"/>
        <w:ind w:left="1240"/>
        <w:rPr>
          <w:rFonts w:ascii="宋体" w:eastAsia="宋体" w:hAnsi="宋体" w:cs="宋体"/>
          <w:sz w:val="23"/>
          <w:szCs w:val="23"/>
        </w:rPr>
      </w:pPr>
      <w:r>
        <w:rPr>
          <w:rFonts w:ascii="宋体" w:eastAsia="宋体" w:hAnsi="宋体" w:cs="宋体"/>
          <w:sz w:val="23"/>
          <w:szCs w:val="23"/>
          <w:u w:val="single" w:color="auto"/>
        </w:rPr>
        <w:tab/>
      </w:r>
      <w:r>
        <w:rPr>
          <w:rFonts w:ascii="宋体" w:eastAsia="宋体" w:hAnsi="宋体" w:cs="宋体"/>
          <w:spacing w:val="-3"/>
          <w:sz w:val="23"/>
          <w:szCs w:val="23"/>
        </w:rPr>
        <w:t>折现率</w:t>
      </w:r>
    </w:p>
    <w:p>
      <w:pPr>
        <w:spacing w:before="1" w:line="219" w:lineRule="auto"/>
        <w:ind w:left="510"/>
        <w:rPr>
          <w:rFonts w:ascii="宋体" w:eastAsia="宋体" w:hAnsi="宋体" w:cs="宋体"/>
          <w:sz w:val="23"/>
          <w:szCs w:val="23"/>
        </w:rPr>
      </w:pPr>
      <w:r>
        <w:rPr>
          <w:rFonts w:ascii="宋体" w:eastAsia="宋体" w:hAnsi="宋体" w:cs="宋体"/>
          <w:spacing w:val="5"/>
          <w:sz w:val="23"/>
          <w:szCs w:val="23"/>
        </w:rPr>
        <w:t>4、长期待摊费用</w:t>
      </w:r>
    </w:p>
    <w:p>
      <w:pPr>
        <w:spacing w:before="215" w:line="218" w:lineRule="auto"/>
        <w:ind w:left="510"/>
        <w:rPr>
          <w:rFonts w:ascii="宋体" w:eastAsia="宋体" w:hAnsi="宋体" w:cs="宋体"/>
          <w:sz w:val="23"/>
          <w:szCs w:val="23"/>
        </w:rPr>
      </w:pPr>
      <w:r>
        <w:rPr>
          <w:rFonts w:ascii="宋体" w:eastAsia="宋体" w:hAnsi="宋体" w:cs="宋体"/>
          <w:spacing w:val="4"/>
          <w:sz w:val="23"/>
          <w:szCs w:val="23"/>
        </w:rPr>
        <w:t>纳入评估范围内的长期待摊费用为装修费。</w:t>
      </w:r>
    </w:p>
    <w:p>
      <w:pPr>
        <w:spacing w:before="209" w:line="257" w:lineRule="auto"/>
        <w:ind w:left="20" w:right="133" w:firstLine="470"/>
        <w:rPr>
          <w:rFonts w:ascii="宋体" w:eastAsia="宋体" w:hAnsi="宋体" w:cs="宋体"/>
          <w:sz w:val="23"/>
          <w:szCs w:val="23"/>
        </w:rPr>
      </w:pPr>
      <w:r>
        <w:rPr>
          <w:rFonts w:ascii="宋体" w:eastAsia="宋体" w:hAnsi="宋体" w:cs="宋体"/>
          <w:spacing w:val="4"/>
          <w:sz w:val="23"/>
          <w:szCs w:val="23"/>
        </w:rPr>
        <w:t>评估人员根据核查内容，对长期待攤费用尚存受益及受益期进行分</w:t>
      </w:r>
      <w:r>
        <w:rPr>
          <w:rFonts w:ascii="宋体" w:eastAsia="宋体" w:hAnsi="宋体" w:cs="宋体"/>
          <w:spacing w:val="3"/>
          <w:sz w:val="23"/>
          <w:szCs w:val="23"/>
        </w:rPr>
        <w:t>析，以可</w:t>
      </w:r>
      <w:r>
        <w:rPr>
          <w:rFonts w:ascii="宋体" w:eastAsia="宋体" w:hAnsi="宋体" w:cs="宋体"/>
          <w:sz w:val="23"/>
          <w:szCs w:val="23"/>
        </w:rPr>
        <w:t xml:space="preserve"> </w:t>
      </w:r>
      <w:r>
        <w:rPr>
          <w:rFonts w:ascii="宋体" w:eastAsia="宋体" w:hAnsi="宋体" w:cs="宋体"/>
          <w:spacing w:val="5"/>
          <w:sz w:val="23"/>
          <w:szCs w:val="23"/>
        </w:rPr>
        <w:t>形成新资产和权利情况，根据尚存受益期计算评估值。具体评估方法如下：</w:t>
      </w:r>
    </w:p>
    <w:p>
      <w:pPr>
        <w:spacing w:before="210" w:line="249" w:lineRule="auto"/>
        <w:ind w:right="149" w:firstLine="490"/>
        <w:rPr>
          <w:rFonts w:ascii="宋体" w:eastAsia="宋体" w:hAnsi="宋体" w:cs="宋体"/>
          <w:sz w:val="23"/>
          <w:szCs w:val="23"/>
        </w:rPr>
      </w:pPr>
      <w:r>
        <w:rPr>
          <w:rFonts w:ascii="宋体" w:eastAsia="宋体" w:hAnsi="宋体" w:cs="宋体"/>
          <w:spacing w:val="3"/>
          <w:sz w:val="23"/>
          <w:szCs w:val="23"/>
        </w:rPr>
        <w:t>对于有实物形态的费用，且与其他资产没有重复的费用，以其可获得的资产</w:t>
      </w:r>
      <w:r>
        <w:rPr>
          <w:rFonts w:ascii="宋体" w:eastAsia="宋体" w:hAnsi="宋体" w:cs="宋体"/>
          <w:spacing w:val="14"/>
          <w:sz w:val="23"/>
          <w:szCs w:val="23"/>
        </w:rPr>
        <w:t xml:space="preserve"> </w:t>
      </w:r>
      <w:r>
        <w:rPr>
          <w:rFonts w:ascii="宋体" w:eastAsia="宋体" w:hAnsi="宋体" w:cs="宋体"/>
          <w:spacing w:val="-1"/>
          <w:sz w:val="23"/>
          <w:szCs w:val="23"/>
        </w:rPr>
        <w:t>和权利的价值确定评估值，</w:t>
      </w:r>
      <w:r>
        <w:rPr>
          <w:rFonts w:ascii="宋体" w:eastAsia="宋体" w:hAnsi="宋体" w:cs="宋体"/>
          <w:spacing w:val="78"/>
          <w:sz w:val="23"/>
          <w:szCs w:val="23"/>
        </w:rPr>
        <w:t xml:space="preserve"> </w:t>
      </w:r>
      <w:r>
        <w:rPr>
          <w:rFonts w:ascii="宋体" w:eastAsia="宋体" w:hAnsi="宋体" w:cs="宋体"/>
          <w:spacing w:val="-1"/>
          <w:sz w:val="23"/>
          <w:szCs w:val="23"/>
        </w:rPr>
        <w:t>一般按照实物资产评估的对应方法估算；</w:t>
      </w:r>
    </w:p>
    <w:p>
      <w:pPr>
        <w:spacing w:before="229" w:line="241" w:lineRule="auto"/>
        <w:ind w:left="50" w:right="126" w:firstLine="440"/>
        <w:rPr>
          <w:rFonts w:ascii="宋体" w:eastAsia="宋体" w:hAnsi="宋体" w:cs="宋体"/>
          <w:sz w:val="23"/>
          <w:szCs w:val="23"/>
        </w:rPr>
      </w:pPr>
      <w:r>
        <w:rPr>
          <w:rFonts w:ascii="宋体" w:eastAsia="宋体" w:hAnsi="宋体" w:cs="宋体"/>
          <w:spacing w:val="4"/>
          <w:sz w:val="23"/>
          <w:szCs w:val="23"/>
        </w:rPr>
        <w:t xml:space="preserve">对于尚存资产或权利难以准确计算的、性质特殊的待攤费用，以清查核实后 </w:t>
      </w:r>
      <w:r>
        <w:rPr>
          <w:rFonts w:ascii="宋体" w:eastAsia="宋体" w:hAnsi="宋体" w:cs="宋体"/>
          <w:spacing w:val="3"/>
          <w:sz w:val="23"/>
          <w:szCs w:val="23"/>
        </w:rPr>
        <w:t>的账面数确定评估值。</w:t>
      </w:r>
    </w:p>
    <w:p>
      <w:pPr>
        <w:spacing w:line="241" w:lineRule="auto"/>
        <w:rPr>
          <w:rFonts w:ascii="宋体" w:eastAsia="宋体" w:hAnsi="宋体" w:cs="宋体"/>
          <w:sz w:val="23"/>
          <w:szCs w:val="23"/>
        </w:rPr>
        <w:sectPr>
          <w:headerReference w:type="default" r:id="rId31"/>
          <w:footerReference w:type="default" r:id="rId32"/>
          <w:pgSz w:w="11910" w:h="16840"/>
          <w:pgMar w:top="1299" w:right="1786" w:bottom="1120" w:left="1779" w:header="1015" w:footer="869" w:gutter="0"/>
          <w:pgNumType w:start="15"/>
          <w:cols w:num="1" w:space="720"/>
        </w:sectPr>
      </w:pPr>
    </w:p>
    <w:p>
      <w:pPr>
        <w:pStyle w:val="BodyText"/>
        <w:spacing w:line="374" w:lineRule="auto"/>
      </w:pPr>
    </w:p>
    <w:p>
      <w:pPr>
        <w:spacing w:before="78" w:line="219" w:lineRule="auto"/>
        <w:ind w:left="503"/>
        <w:rPr>
          <w:rFonts w:ascii="宋体" w:eastAsia="宋体" w:hAnsi="宋体" w:cs="宋体"/>
          <w:sz w:val="24"/>
          <w:szCs w:val="24"/>
        </w:rPr>
      </w:pPr>
      <w:bookmarkStart w:id="12" w:name="bookmark14"/>
      <w:bookmarkEnd w:id="12"/>
      <w:r>
        <w:rPr>
          <w:rFonts w:ascii="宋体" w:eastAsia="宋体" w:hAnsi="宋体" w:cs="宋体"/>
          <w:spacing w:val="-5"/>
          <w:sz w:val="24"/>
          <w:szCs w:val="24"/>
        </w:rPr>
        <w:t>5、负债</w:t>
      </w:r>
    </w:p>
    <w:p>
      <w:pPr>
        <w:spacing w:before="203" w:line="218" w:lineRule="auto"/>
        <w:ind w:left="503"/>
        <w:rPr>
          <w:rFonts w:ascii="宋体" w:eastAsia="宋体" w:hAnsi="宋体" w:cs="宋体"/>
          <w:sz w:val="24"/>
          <w:szCs w:val="24"/>
        </w:rPr>
      </w:pPr>
      <w:r>
        <w:rPr>
          <w:rFonts w:ascii="宋体" w:eastAsia="宋体" w:hAnsi="宋体" w:cs="宋体"/>
          <w:spacing w:val="-4"/>
          <w:sz w:val="24"/>
          <w:szCs w:val="24"/>
        </w:rPr>
        <w:t>纳入本次评估范围的负债包括流动负债，具体包括应付职工薪酬。</w:t>
      </w:r>
    </w:p>
    <w:p>
      <w:pPr>
        <w:spacing w:before="177" w:line="251" w:lineRule="auto"/>
        <w:ind w:left="23" w:right="110" w:firstLine="480"/>
        <w:rPr>
          <w:rFonts w:ascii="宋体" w:eastAsia="宋体" w:hAnsi="宋体" w:cs="宋体"/>
          <w:sz w:val="24"/>
          <w:szCs w:val="24"/>
        </w:rPr>
      </w:pPr>
      <w:r>
        <w:rPr>
          <w:rFonts w:ascii="宋体" w:eastAsia="宋体" w:hAnsi="宋体" w:cs="宋体"/>
          <w:spacing w:val="-6"/>
          <w:sz w:val="24"/>
          <w:szCs w:val="24"/>
        </w:rPr>
        <w:t>对于负债，我们根据企业提供的各项目明细表，检验核实各项负债的实际债</w:t>
      </w:r>
      <w:r>
        <w:rPr>
          <w:rFonts w:ascii="宋体" w:eastAsia="宋体" w:hAnsi="宋体" w:cs="宋体"/>
          <w:sz w:val="24"/>
          <w:szCs w:val="24"/>
        </w:rPr>
        <w:t xml:space="preserve"> </w:t>
      </w:r>
      <w:r>
        <w:rPr>
          <w:rFonts w:ascii="宋体" w:eastAsia="宋体" w:hAnsi="宋体" w:cs="宋体"/>
          <w:spacing w:val="-5"/>
          <w:sz w:val="24"/>
          <w:szCs w:val="24"/>
        </w:rPr>
        <w:t>务人、负债额，以经过审查核实后的调整数作为其评估值。</w:t>
      </w:r>
    </w:p>
    <w:p>
      <w:pPr>
        <w:spacing w:before="193" w:line="218" w:lineRule="auto"/>
        <w:ind w:left="506"/>
        <w:outlineLvl w:val="0"/>
        <w:rPr>
          <w:rFonts w:ascii="宋体" w:eastAsia="宋体" w:hAnsi="宋体" w:cs="宋体"/>
          <w:sz w:val="24"/>
          <w:szCs w:val="24"/>
        </w:rPr>
      </w:pPr>
      <w:r>
        <w:rPr>
          <w:rFonts w:ascii="宋体" w:eastAsia="宋体" w:hAnsi="宋体" w:cs="宋体"/>
          <w:b/>
          <w:bCs/>
          <w:spacing w:val="-7"/>
          <w:sz w:val="24"/>
          <w:szCs w:val="24"/>
        </w:rPr>
        <w:t>九、评估程序实施过程和情况</w:t>
      </w:r>
    </w:p>
    <w:p>
      <w:pPr>
        <w:spacing w:before="199" w:line="246" w:lineRule="auto"/>
        <w:ind w:left="23" w:right="111" w:firstLine="480"/>
        <w:rPr>
          <w:rFonts w:ascii="宋体" w:eastAsia="宋体" w:hAnsi="宋体" w:cs="宋体"/>
          <w:sz w:val="24"/>
          <w:szCs w:val="24"/>
        </w:rPr>
      </w:pPr>
      <w:r>
        <w:rPr>
          <w:rFonts w:ascii="宋体" w:eastAsia="宋体" w:hAnsi="宋体" w:cs="宋体"/>
          <w:spacing w:val="-6"/>
          <w:sz w:val="24"/>
          <w:szCs w:val="24"/>
        </w:rPr>
        <w:t>我公司评估人员对评估对象涉及的资产和负债实施了评估，主要评估程</w:t>
      </w:r>
      <w:r>
        <w:rPr>
          <w:rFonts w:ascii="宋体" w:eastAsia="宋体" w:hAnsi="宋体" w:cs="宋体"/>
          <w:spacing w:val="-7"/>
          <w:sz w:val="24"/>
          <w:szCs w:val="24"/>
        </w:rPr>
        <w:t>序实</w:t>
      </w:r>
      <w:r>
        <w:rPr>
          <w:rFonts w:ascii="宋体" w:eastAsia="宋体" w:hAnsi="宋体" w:cs="宋体"/>
          <w:sz w:val="24"/>
          <w:szCs w:val="24"/>
        </w:rPr>
        <w:t xml:space="preserve"> </w:t>
      </w:r>
      <w:r>
        <w:rPr>
          <w:rFonts w:ascii="宋体" w:eastAsia="宋体" w:hAnsi="宋体" w:cs="宋体"/>
          <w:spacing w:val="-7"/>
          <w:sz w:val="24"/>
          <w:szCs w:val="24"/>
        </w:rPr>
        <w:t>施过程和情况如下：</w:t>
      </w:r>
    </w:p>
    <w:p>
      <w:pPr>
        <w:spacing w:before="214" w:line="221" w:lineRule="auto"/>
        <w:ind w:left="503"/>
        <w:rPr>
          <w:rFonts w:ascii="宋体" w:eastAsia="宋体" w:hAnsi="宋体" w:cs="宋体"/>
          <w:sz w:val="24"/>
          <w:szCs w:val="24"/>
        </w:rPr>
      </w:pPr>
      <w:r>
        <w:rPr>
          <w:rFonts w:ascii="宋体" w:eastAsia="宋体" w:hAnsi="宋体" w:cs="宋体"/>
          <w:spacing w:val="-20"/>
          <w:sz w:val="24"/>
          <w:szCs w:val="24"/>
        </w:rPr>
        <w:t>(一)接受委托</w:t>
      </w:r>
    </w:p>
    <w:p>
      <w:pPr>
        <w:spacing w:before="180" w:line="257" w:lineRule="auto"/>
        <w:ind w:left="23" w:right="114" w:firstLine="480"/>
        <w:jc w:val="both"/>
        <w:rPr>
          <w:rFonts w:ascii="宋体" w:eastAsia="宋体" w:hAnsi="宋体" w:cs="宋体"/>
          <w:sz w:val="24"/>
          <w:szCs w:val="24"/>
        </w:rPr>
      </w:pPr>
      <w:r>
        <w:rPr>
          <w:rFonts w:ascii="宋体" w:eastAsia="宋体" w:hAnsi="宋体" w:cs="宋体"/>
          <w:spacing w:val="-6"/>
          <w:sz w:val="24"/>
          <w:szCs w:val="24"/>
        </w:rPr>
        <w:t>我公司接受北京中企慧云科技有限公司的委托，就评估目的、评估</w:t>
      </w:r>
      <w:r>
        <w:rPr>
          <w:rFonts w:ascii="宋体" w:eastAsia="宋体" w:hAnsi="宋体" w:cs="宋体"/>
          <w:spacing w:val="-7"/>
          <w:sz w:val="24"/>
          <w:szCs w:val="24"/>
        </w:rPr>
        <w:t>对象和评</w:t>
      </w:r>
      <w:r>
        <w:rPr>
          <w:rFonts w:ascii="宋体" w:eastAsia="宋体" w:hAnsi="宋体" w:cs="宋体"/>
          <w:sz w:val="24"/>
          <w:szCs w:val="24"/>
        </w:rPr>
        <w:t xml:space="preserve"> </w:t>
      </w:r>
      <w:r>
        <w:rPr>
          <w:rFonts w:ascii="宋体" w:eastAsia="宋体" w:hAnsi="宋体" w:cs="宋体"/>
          <w:spacing w:val="-2"/>
          <w:sz w:val="24"/>
          <w:szCs w:val="24"/>
        </w:rPr>
        <w:t>估范围、评估基准日等评估业务基本事项，以及各</w:t>
      </w:r>
      <w:r>
        <w:rPr>
          <w:rFonts w:ascii="宋体" w:eastAsia="宋体" w:hAnsi="宋体" w:cs="宋体"/>
          <w:spacing w:val="-3"/>
          <w:sz w:val="24"/>
          <w:szCs w:val="24"/>
        </w:rPr>
        <w:t>方的权利、义务等达成协议</w:t>
      </w:r>
      <w:r>
        <w:rPr>
          <w:rFonts w:ascii="宋体" w:eastAsia="宋体" w:hAnsi="宋体" w:cs="宋体"/>
          <w:sz w:val="24"/>
          <w:szCs w:val="24"/>
        </w:rPr>
        <w:t xml:space="preserve">  </w:t>
      </w:r>
      <w:r>
        <w:rPr>
          <w:rFonts w:ascii="宋体" w:eastAsia="宋体" w:hAnsi="宋体" w:cs="宋体"/>
          <w:spacing w:val="-7"/>
          <w:sz w:val="24"/>
          <w:szCs w:val="24"/>
        </w:rPr>
        <w:t>并与委托人协商制定相应评估计划。</w:t>
      </w:r>
    </w:p>
    <w:p>
      <w:pPr>
        <w:spacing w:before="199" w:line="220" w:lineRule="auto"/>
        <w:ind w:left="503"/>
        <w:rPr>
          <w:rFonts w:ascii="宋体" w:eastAsia="宋体" w:hAnsi="宋体" w:cs="宋体"/>
          <w:sz w:val="24"/>
          <w:szCs w:val="24"/>
        </w:rPr>
      </w:pPr>
      <w:r>
        <w:rPr>
          <w:rFonts w:ascii="宋体" w:eastAsia="宋体" w:hAnsi="宋体" w:cs="宋体"/>
          <w:spacing w:val="-18"/>
          <w:sz w:val="24"/>
          <w:szCs w:val="24"/>
        </w:rPr>
        <w:t>(二)前期准备</w:t>
      </w:r>
    </w:p>
    <w:p>
      <w:pPr>
        <w:spacing w:before="182" w:line="253" w:lineRule="auto"/>
        <w:ind w:left="23" w:right="115" w:firstLine="480"/>
        <w:rPr>
          <w:rFonts w:ascii="宋体" w:eastAsia="宋体" w:hAnsi="宋体" w:cs="宋体"/>
          <w:sz w:val="24"/>
          <w:szCs w:val="24"/>
        </w:rPr>
      </w:pPr>
      <w:r>
        <w:rPr>
          <w:rFonts w:ascii="宋体" w:eastAsia="宋体" w:hAnsi="宋体" w:cs="宋体"/>
          <w:spacing w:val="-6"/>
          <w:sz w:val="24"/>
          <w:szCs w:val="24"/>
        </w:rPr>
        <w:t>根据项目总体安排，拟定评估方案、确定该项目负责人和各专业</w:t>
      </w:r>
      <w:r>
        <w:rPr>
          <w:rFonts w:ascii="宋体" w:eastAsia="宋体" w:hAnsi="宋体" w:cs="宋体"/>
          <w:spacing w:val="-7"/>
          <w:sz w:val="24"/>
          <w:szCs w:val="24"/>
        </w:rPr>
        <w:t>负责人，组</w:t>
      </w:r>
      <w:r>
        <w:rPr>
          <w:rFonts w:ascii="宋体" w:eastAsia="宋体" w:hAnsi="宋体" w:cs="宋体"/>
          <w:sz w:val="24"/>
          <w:szCs w:val="24"/>
        </w:rPr>
        <w:t xml:space="preserve"> </w:t>
      </w:r>
      <w:r>
        <w:rPr>
          <w:rFonts w:ascii="宋体" w:eastAsia="宋体" w:hAnsi="宋体" w:cs="宋体"/>
          <w:spacing w:val="-9"/>
          <w:sz w:val="24"/>
          <w:szCs w:val="24"/>
        </w:rPr>
        <w:t>织实施项目培训。</w:t>
      </w:r>
    </w:p>
    <w:p>
      <w:pPr>
        <w:spacing w:before="193" w:line="219" w:lineRule="auto"/>
        <w:ind w:left="503"/>
        <w:rPr>
          <w:rFonts w:ascii="宋体" w:eastAsia="宋体" w:hAnsi="宋体" w:cs="宋体"/>
          <w:sz w:val="24"/>
          <w:szCs w:val="24"/>
        </w:rPr>
      </w:pPr>
      <w:r>
        <w:rPr>
          <w:rFonts w:ascii="宋体" w:eastAsia="宋体" w:hAnsi="宋体" w:cs="宋体"/>
          <w:spacing w:val="-13"/>
          <w:sz w:val="24"/>
          <w:szCs w:val="24"/>
        </w:rPr>
        <w:t>(三)资产清查及现场调查</w:t>
      </w:r>
    </w:p>
    <w:p>
      <w:pPr>
        <w:spacing w:before="195" w:line="259" w:lineRule="auto"/>
        <w:ind w:left="23" w:right="105" w:firstLine="480"/>
        <w:jc w:val="both"/>
        <w:rPr>
          <w:rFonts w:ascii="宋体" w:eastAsia="宋体" w:hAnsi="宋体" w:cs="宋体"/>
          <w:sz w:val="24"/>
          <w:szCs w:val="24"/>
        </w:rPr>
      </w:pPr>
      <w:r>
        <w:rPr>
          <w:rFonts w:ascii="宋体" w:eastAsia="宋体" w:hAnsi="宋体" w:cs="宋体"/>
          <w:spacing w:val="-6"/>
          <w:sz w:val="24"/>
          <w:szCs w:val="24"/>
        </w:rPr>
        <w:t>评估人员抵达现场，指导被评估单位自行清查资产、准备评估资料并填写资</w:t>
      </w:r>
      <w:r>
        <w:rPr>
          <w:rFonts w:ascii="宋体" w:eastAsia="宋体" w:hAnsi="宋体" w:cs="宋体"/>
          <w:spacing w:val="4"/>
          <w:sz w:val="24"/>
          <w:szCs w:val="24"/>
        </w:rPr>
        <w:t xml:space="preserve"> </w:t>
      </w:r>
      <w:r>
        <w:rPr>
          <w:rFonts w:ascii="宋体" w:eastAsia="宋体" w:hAnsi="宋体" w:cs="宋体"/>
          <w:spacing w:val="-6"/>
          <w:sz w:val="24"/>
          <w:szCs w:val="24"/>
        </w:rPr>
        <w:t>产清查明细表。听取委托人及被评估单位有关人员对企业情况以及待评估资产历</w:t>
      </w:r>
      <w:r>
        <w:rPr>
          <w:rFonts w:ascii="宋体" w:eastAsia="宋体" w:hAnsi="宋体" w:cs="宋体"/>
          <w:spacing w:val="14"/>
          <w:sz w:val="24"/>
          <w:szCs w:val="24"/>
        </w:rPr>
        <w:t xml:space="preserve"> </w:t>
      </w:r>
      <w:r>
        <w:rPr>
          <w:rFonts w:ascii="宋体" w:eastAsia="宋体" w:hAnsi="宋体" w:cs="宋体"/>
          <w:spacing w:val="-6"/>
          <w:sz w:val="24"/>
          <w:szCs w:val="24"/>
        </w:rPr>
        <w:t>史状况和现状进行较为详细的介绍，查阅有关会计账表，根据被评估单位提供的</w:t>
      </w:r>
      <w:r>
        <w:rPr>
          <w:rFonts w:ascii="宋体" w:eastAsia="宋体" w:hAnsi="宋体" w:cs="宋体"/>
          <w:spacing w:val="17"/>
          <w:sz w:val="24"/>
          <w:szCs w:val="24"/>
        </w:rPr>
        <w:t xml:space="preserve"> </w:t>
      </w:r>
      <w:r>
        <w:rPr>
          <w:rFonts w:ascii="宋体" w:eastAsia="宋体" w:hAnsi="宋体" w:cs="宋体"/>
          <w:spacing w:val="-6"/>
          <w:sz w:val="24"/>
          <w:szCs w:val="24"/>
        </w:rPr>
        <w:t>资产清查评估明细表，进行账账、账表、账实核对，避免重复和遗漏，对被评估</w:t>
      </w:r>
      <w:r>
        <w:rPr>
          <w:rFonts w:ascii="宋体" w:eastAsia="宋体" w:hAnsi="宋体" w:cs="宋体"/>
          <w:spacing w:val="10"/>
          <w:sz w:val="24"/>
          <w:szCs w:val="24"/>
        </w:rPr>
        <w:t xml:space="preserve"> </w:t>
      </w:r>
      <w:r>
        <w:rPr>
          <w:rFonts w:ascii="宋体" w:eastAsia="宋体" w:hAnsi="宋体" w:cs="宋体"/>
          <w:spacing w:val="-5"/>
          <w:sz w:val="24"/>
          <w:szCs w:val="24"/>
        </w:rPr>
        <w:t>单位提供的法律性文件与会计记录及相关资料进行核查验证。</w:t>
      </w:r>
    </w:p>
    <w:p>
      <w:pPr>
        <w:spacing w:before="236" w:line="257" w:lineRule="auto"/>
        <w:ind w:left="23" w:right="43" w:firstLine="480"/>
        <w:jc w:val="both"/>
        <w:rPr>
          <w:rFonts w:ascii="宋体" w:eastAsia="宋体" w:hAnsi="宋体" w:cs="宋体"/>
          <w:sz w:val="24"/>
          <w:szCs w:val="24"/>
        </w:rPr>
      </w:pPr>
      <w:r>
        <w:rPr>
          <w:rFonts w:ascii="宋体" w:eastAsia="宋体" w:hAnsi="宋体" w:cs="宋体"/>
          <w:spacing w:val="-5"/>
          <w:sz w:val="24"/>
          <w:szCs w:val="24"/>
        </w:rPr>
        <w:t>现场工作期间主要完成了以下工作：完善资产评估明细表；与企业管理层、</w:t>
      </w:r>
      <w:r>
        <w:rPr>
          <w:rFonts w:ascii="宋体" w:eastAsia="宋体" w:hAnsi="宋体" w:cs="宋体"/>
          <w:spacing w:val="3"/>
          <w:sz w:val="24"/>
          <w:szCs w:val="24"/>
        </w:rPr>
        <w:t xml:space="preserve"> </w:t>
      </w:r>
      <w:r>
        <w:rPr>
          <w:rFonts w:ascii="宋体" w:eastAsia="宋体" w:hAnsi="宋体" w:cs="宋体"/>
          <w:spacing w:val="-6"/>
          <w:sz w:val="24"/>
          <w:szCs w:val="24"/>
        </w:rPr>
        <w:t>财务部门、项目运营部门、市场销售部门、资产管理部门等进行访谈，了解有关</w:t>
      </w:r>
      <w:r>
        <w:rPr>
          <w:rFonts w:ascii="宋体" w:eastAsia="宋体" w:hAnsi="宋体" w:cs="宋体"/>
          <w:spacing w:val="10"/>
          <w:sz w:val="24"/>
          <w:szCs w:val="24"/>
        </w:rPr>
        <w:t xml:space="preserve"> </w:t>
      </w:r>
      <w:r>
        <w:rPr>
          <w:rFonts w:ascii="宋体" w:eastAsia="宋体" w:hAnsi="宋体" w:cs="宋体"/>
          <w:spacing w:val="-10"/>
          <w:sz w:val="24"/>
          <w:szCs w:val="24"/>
        </w:rPr>
        <w:t>企业管理、财务状况、销售情况、采购情况、生产组织情</w:t>
      </w:r>
      <w:r>
        <w:rPr>
          <w:rFonts w:ascii="宋体" w:eastAsia="宋体" w:hAnsi="宋体" w:cs="宋体"/>
          <w:spacing w:val="-11"/>
          <w:sz w:val="24"/>
          <w:szCs w:val="24"/>
        </w:rPr>
        <w:t>况和资产管理使用情况；</w:t>
      </w:r>
      <w:r>
        <w:rPr>
          <w:rFonts w:ascii="宋体" w:eastAsia="宋体" w:hAnsi="宋体" w:cs="宋体"/>
          <w:sz w:val="24"/>
          <w:szCs w:val="24"/>
        </w:rPr>
        <w:t xml:space="preserve"> </w:t>
      </w:r>
      <w:r>
        <w:rPr>
          <w:rFonts w:ascii="宋体" w:eastAsia="宋体" w:hAnsi="宋体" w:cs="宋体"/>
          <w:spacing w:val="-5"/>
          <w:sz w:val="24"/>
          <w:szCs w:val="24"/>
        </w:rPr>
        <w:t>分析企业的生产收入及各年费用的变化情况；收集资料。</w:t>
      </w:r>
    </w:p>
    <w:p>
      <w:pPr>
        <w:spacing w:before="233" w:line="218" w:lineRule="auto"/>
        <w:ind w:left="633"/>
        <w:rPr>
          <w:rFonts w:ascii="宋体" w:eastAsia="宋体" w:hAnsi="宋体" w:cs="宋体"/>
          <w:sz w:val="24"/>
          <w:szCs w:val="24"/>
        </w:rPr>
      </w:pPr>
      <w:r>
        <w:rPr>
          <w:rFonts w:ascii="宋体" w:eastAsia="宋体" w:hAnsi="宋体" w:cs="宋体"/>
          <w:spacing w:val="-17"/>
          <w:sz w:val="24"/>
          <w:szCs w:val="24"/>
        </w:rPr>
        <w:t>(四)评定估算</w:t>
      </w:r>
    </w:p>
    <w:p>
      <w:pPr>
        <w:spacing w:before="187" w:line="252" w:lineRule="auto"/>
        <w:ind w:left="23" w:right="111" w:firstLine="480"/>
        <w:jc w:val="both"/>
        <w:rPr>
          <w:rFonts w:ascii="宋体" w:eastAsia="宋体" w:hAnsi="宋体" w:cs="宋体"/>
          <w:sz w:val="24"/>
          <w:szCs w:val="24"/>
        </w:rPr>
      </w:pPr>
      <w:r>
        <w:rPr>
          <w:rFonts w:ascii="宋体" w:eastAsia="宋体" w:hAnsi="宋体" w:cs="宋体"/>
          <w:spacing w:val="-6"/>
          <w:sz w:val="24"/>
          <w:szCs w:val="24"/>
        </w:rPr>
        <w:t>评估人员根据选用的评估方法，收集市场信息，选取相应的公式和参数</w:t>
      </w:r>
      <w:r>
        <w:rPr>
          <w:rFonts w:ascii="宋体" w:eastAsia="宋体" w:hAnsi="宋体" w:cs="宋体"/>
          <w:spacing w:val="-7"/>
          <w:sz w:val="24"/>
          <w:szCs w:val="24"/>
        </w:rPr>
        <w:t>进行</w:t>
      </w:r>
      <w:r>
        <w:rPr>
          <w:rFonts w:ascii="宋体" w:eastAsia="宋体" w:hAnsi="宋体" w:cs="宋体"/>
          <w:sz w:val="24"/>
          <w:szCs w:val="24"/>
        </w:rPr>
        <w:t xml:space="preserve"> </w:t>
      </w:r>
      <w:r>
        <w:rPr>
          <w:rFonts w:ascii="宋体" w:eastAsia="宋体" w:hAnsi="宋体" w:cs="宋体"/>
          <w:spacing w:val="-6"/>
          <w:sz w:val="24"/>
          <w:szCs w:val="24"/>
        </w:rPr>
        <w:t>分析、计算和判断，开展评定估算工作，并形成了初步</w:t>
      </w:r>
      <w:r>
        <w:rPr>
          <w:rFonts w:ascii="宋体" w:eastAsia="宋体" w:hAnsi="宋体" w:cs="宋体"/>
          <w:spacing w:val="-7"/>
          <w:sz w:val="24"/>
          <w:szCs w:val="24"/>
        </w:rPr>
        <w:t>评估结论。由项目负责人</w:t>
      </w:r>
      <w:r>
        <w:rPr>
          <w:rFonts w:ascii="宋体" w:eastAsia="宋体" w:hAnsi="宋体" w:cs="宋体"/>
          <w:sz w:val="24"/>
          <w:szCs w:val="24"/>
        </w:rPr>
        <w:t xml:space="preserve"> </w:t>
      </w:r>
      <w:r>
        <w:rPr>
          <w:rFonts w:ascii="宋体" w:eastAsia="宋体" w:hAnsi="宋体" w:cs="宋体"/>
          <w:spacing w:val="-4"/>
          <w:sz w:val="24"/>
          <w:szCs w:val="24"/>
        </w:rPr>
        <w:t>对各类资产评估初步结论进行汇总和分析，撰写并形成评估报告初稿。</w:t>
      </w:r>
    </w:p>
    <w:p>
      <w:pPr>
        <w:spacing w:before="216" w:line="218" w:lineRule="auto"/>
        <w:ind w:left="503"/>
        <w:rPr>
          <w:rFonts w:ascii="宋体" w:eastAsia="宋体" w:hAnsi="宋体" w:cs="宋体"/>
          <w:sz w:val="24"/>
          <w:szCs w:val="24"/>
        </w:rPr>
      </w:pPr>
      <w:r>
        <w:rPr>
          <w:rFonts w:ascii="宋体" w:eastAsia="宋体" w:hAnsi="宋体" w:cs="宋体"/>
          <w:spacing w:val="-8"/>
          <w:sz w:val="24"/>
          <w:szCs w:val="24"/>
        </w:rPr>
        <w:t>(五)内部审核和与委托人、被评估单位进行沟通与汇报</w:t>
      </w:r>
    </w:p>
    <w:p>
      <w:pPr>
        <w:spacing w:before="177" w:line="255" w:lineRule="auto"/>
        <w:ind w:left="23" w:right="110" w:firstLine="480"/>
        <w:rPr>
          <w:rFonts w:ascii="宋体" w:eastAsia="宋体" w:hAnsi="宋体" w:cs="宋体"/>
          <w:sz w:val="24"/>
          <w:szCs w:val="24"/>
        </w:rPr>
      </w:pPr>
      <w:r>
        <w:rPr>
          <w:rFonts w:ascii="宋体" w:eastAsia="宋体" w:hAnsi="宋体" w:cs="宋体"/>
          <w:spacing w:val="-6"/>
          <w:sz w:val="24"/>
          <w:szCs w:val="24"/>
        </w:rPr>
        <w:t>将报告初稿送公司进行三级审核，根据公司审核意见，修订评估报告，出具</w:t>
      </w:r>
      <w:r>
        <w:rPr>
          <w:rFonts w:ascii="宋体" w:eastAsia="宋体" w:hAnsi="宋体" w:cs="宋体"/>
          <w:sz w:val="24"/>
          <w:szCs w:val="24"/>
        </w:rPr>
        <w:t xml:space="preserve"> </w:t>
      </w:r>
      <w:r>
        <w:rPr>
          <w:rFonts w:ascii="宋体" w:eastAsia="宋体" w:hAnsi="宋体" w:cs="宋体"/>
          <w:spacing w:val="-9"/>
          <w:sz w:val="24"/>
          <w:szCs w:val="24"/>
        </w:rPr>
        <w:t>评估报告征求意见稿。</w:t>
      </w:r>
    </w:p>
    <w:p>
      <w:pPr>
        <w:spacing w:before="187" w:line="218" w:lineRule="auto"/>
        <w:ind w:left="503"/>
        <w:rPr>
          <w:rFonts w:ascii="宋体" w:eastAsia="宋体" w:hAnsi="宋体" w:cs="宋体"/>
          <w:sz w:val="24"/>
          <w:szCs w:val="24"/>
        </w:rPr>
      </w:pPr>
      <w:r>
        <w:rPr>
          <w:rFonts w:ascii="宋体" w:eastAsia="宋体" w:hAnsi="宋体" w:cs="宋体"/>
          <w:spacing w:val="-18"/>
          <w:sz w:val="24"/>
          <w:szCs w:val="24"/>
        </w:rPr>
        <w:t>(六)提交报告</w:t>
      </w:r>
    </w:p>
    <w:p>
      <w:pPr>
        <w:spacing w:before="187" w:line="218" w:lineRule="auto"/>
        <w:ind w:left="503"/>
        <w:rPr>
          <w:rFonts w:ascii="宋体" w:eastAsia="宋体" w:hAnsi="宋体" w:cs="宋体"/>
          <w:sz w:val="24"/>
          <w:szCs w:val="24"/>
        </w:rPr>
      </w:pPr>
      <w:r>
        <w:rPr>
          <w:rFonts w:ascii="宋体" w:eastAsia="宋体" w:hAnsi="宋体" w:cs="宋体"/>
          <w:spacing w:val="-4"/>
          <w:sz w:val="24"/>
          <w:szCs w:val="24"/>
        </w:rPr>
        <w:t>根据各方修改意见调整评估报告，出具评估报告终稿提交委托人。</w:t>
      </w:r>
    </w:p>
    <w:p>
      <w:pPr>
        <w:spacing w:line="218" w:lineRule="auto"/>
        <w:rPr>
          <w:rFonts w:ascii="宋体" w:eastAsia="宋体" w:hAnsi="宋体" w:cs="宋体"/>
          <w:sz w:val="24"/>
          <w:szCs w:val="24"/>
        </w:rPr>
        <w:sectPr>
          <w:headerReference w:type="default" r:id="rId33"/>
          <w:footerReference w:type="default" r:id="rId34"/>
          <w:pgSz w:w="11910" w:h="16840"/>
          <w:pgMar w:top="1245" w:right="1786" w:bottom="1090" w:left="1786" w:header="1065" w:footer="821" w:gutter="0"/>
          <w:pgNumType w:start="16"/>
          <w:cols w:num="1" w:space="720"/>
        </w:sectPr>
      </w:pPr>
    </w:p>
    <w:p>
      <w:pPr>
        <w:pStyle w:val="BodyText"/>
        <w:spacing w:line="321" w:lineRule="auto"/>
      </w:pPr>
    </w:p>
    <w:p>
      <w:pPr>
        <w:spacing w:before="75" w:line="218" w:lineRule="auto"/>
        <w:ind w:left="473"/>
        <w:rPr>
          <w:rFonts w:ascii="宋体" w:eastAsia="宋体" w:hAnsi="宋体" w:cs="宋体"/>
          <w:sz w:val="23"/>
          <w:szCs w:val="23"/>
        </w:rPr>
      </w:pPr>
      <w:bookmarkStart w:id="13" w:name="bookmark15"/>
      <w:bookmarkEnd w:id="13"/>
      <w:r>
        <w:rPr>
          <w:rFonts w:ascii="宋体" w:eastAsia="宋体" w:hAnsi="宋体" w:cs="宋体"/>
          <w:b/>
          <w:bCs/>
          <w:spacing w:val="-10"/>
          <w:sz w:val="23"/>
          <w:szCs w:val="23"/>
        </w:rPr>
        <w:t>十、</w:t>
      </w:r>
      <w:r>
        <w:rPr>
          <w:rFonts w:ascii="宋体" w:eastAsia="宋体" w:hAnsi="宋体" w:cs="宋体"/>
          <w:spacing w:val="-56"/>
          <w:sz w:val="23"/>
          <w:szCs w:val="23"/>
        </w:rPr>
        <w:t xml:space="preserve"> </w:t>
      </w:r>
      <w:r>
        <w:rPr>
          <w:rFonts w:ascii="宋体" w:eastAsia="宋体" w:hAnsi="宋体" w:cs="宋体"/>
          <w:b/>
          <w:bCs/>
          <w:spacing w:val="-10"/>
          <w:sz w:val="23"/>
          <w:szCs w:val="23"/>
        </w:rPr>
        <w:t>评估假设</w:t>
      </w:r>
    </w:p>
    <w:p>
      <w:pPr>
        <w:spacing w:before="222" w:line="219" w:lineRule="auto"/>
        <w:ind w:left="470"/>
        <w:rPr>
          <w:rFonts w:ascii="宋体" w:eastAsia="宋体" w:hAnsi="宋体" w:cs="宋体"/>
          <w:sz w:val="23"/>
          <w:szCs w:val="23"/>
        </w:rPr>
      </w:pPr>
      <w:r>
        <w:rPr>
          <w:rFonts w:ascii="宋体" w:eastAsia="宋体" w:hAnsi="宋体" w:cs="宋体"/>
          <w:spacing w:val="-11"/>
          <w:sz w:val="23"/>
          <w:szCs w:val="23"/>
        </w:rPr>
        <w:t>(一)基本假设</w:t>
      </w:r>
    </w:p>
    <w:p>
      <w:pPr>
        <w:spacing w:before="217" w:line="265" w:lineRule="auto"/>
        <w:ind w:right="140" w:firstLine="470"/>
        <w:rPr>
          <w:rFonts w:ascii="宋体" w:eastAsia="宋体" w:hAnsi="宋体" w:cs="宋体"/>
          <w:sz w:val="23"/>
          <w:szCs w:val="23"/>
        </w:rPr>
      </w:pPr>
      <w:r>
        <w:rPr>
          <w:rFonts w:ascii="宋体" w:eastAsia="宋体" w:hAnsi="宋体" w:cs="宋体"/>
          <w:spacing w:val="4"/>
          <w:sz w:val="23"/>
          <w:szCs w:val="23"/>
        </w:rPr>
        <w:t>1、</w:t>
      </w:r>
      <w:r>
        <w:rPr>
          <w:rFonts w:ascii="宋体" w:eastAsia="宋体" w:hAnsi="宋体" w:cs="宋体"/>
          <w:spacing w:val="-49"/>
          <w:sz w:val="23"/>
          <w:szCs w:val="23"/>
        </w:rPr>
        <w:t xml:space="preserve"> </w:t>
      </w:r>
      <w:r>
        <w:rPr>
          <w:rFonts w:ascii="宋体" w:eastAsia="宋体" w:hAnsi="宋体" w:cs="宋体"/>
          <w:spacing w:val="4"/>
          <w:sz w:val="23"/>
          <w:szCs w:val="23"/>
        </w:rPr>
        <w:t>公开市场假设，即假定在市场上交易的资产或拟在市场上交易的资产，</w:t>
      </w:r>
      <w:r>
        <w:rPr>
          <w:rFonts w:ascii="宋体" w:eastAsia="宋体" w:hAnsi="宋体" w:cs="宋体"/>
          <w:sz w:val="23"/>
          <w:szCs w:val="23"/>
        </w:rPr>
        <w:t xml:space="preserve"> </w:t>
      </w:r>
      <w:r>
        <w:rPr>
          <w:rFonts w:ascii="宋体" w:eastAsia="宋体" w:hAnsi="宋体" w:cs="宋体"/>
          <w:spacing w:val="5"/>
          <w:sz w:val="23"/>
          <w:szCs w:val="23"/>
        </w:rPr>
        <w:t>资产交易双方彼此地位平等，彼此都有获取足够市</w:t>
      </w:r>
      <w:r>
        <w:rPr>
          <w:rFonts w:ascii="宋体" w:eastAsia="宋体" w:hAnsi="宋体" w:cs="宋体"/>
          <w:spacing w:val="4"/>
          <w:sz w:val="23"/>
          <w:szCs w:val="23"/>
        </w:rPr>
        <w:t>场信息的机会和时间，以便于</w:t>
      </w:r>
      <w:r>
        <w:rPr>
          <w:rFonts w:ascii="宋体" w:eastAsia="宋体" w:hAnsi="宋体" w:cs="宋体"/>
          <w:sz w:val="23"/>
          <w:szCs w:val="23"/>
        </w:rPr>
        <w:t xml:space="preserve"> </w:t>
      </w:r>
      <w:r>
        <w:rPr>
          <w:rFonts w:ascii="宋体" w:eastAsia="宋体" w:hAnsi="宋体" w:cs="宋体"/>
          <w:spacing w:val="4"/>
          <w:sz w:val="23"/>
          <w:szCs w:val="23"/>
        </w:rPr>
        <w:t>对资产的功能、用途及其交易价格等作出理智的判断；</w:t>
      </w:r>
    </w:p>
    <w:p>
      <w:pPr>
        <w:spacing w:before="229" w:line="260" w:lineRule="auto"/>
        <w:ind w:right="139" w:firstLine="470"/>
        <w:jc w:val="both"/>
        <w:rPr>
          <w:rFonts w:ascii="宋体" w:eastAsia="宋体" w:hAnsi="宋体" w:cs="宋体"/>
          <w:sz w:val="23"/>
          <w:szCs w:val="23"/>
        </w:rPr>
      </w:pPr>
      <w:r>
        <w:rPr>
          <w:rFonts w:ascii="宋体" w:eastAsia="宋体" w:hAnsi="宋体" w:cs="宋体"/>
          <w:spacing w:val="7"/>
          <w:sz w:val="23"/>
          <w:szCs w:val="23"/>
        </w:rPr>
        <w:t>2、</w:t>
      </w:r>
      <w:r>
        <w:rPr>
          <w:rFonts w:ascii="宋体" w:eastAsia="宋体" w:hAnsi="宋体" w:cs="宋体"/>
          <w:spacing w:val="-67"/>
          <w:sz w:val="23"/>
          <w:szCs w:val="23"/>
        </w:rPr>
        <w:t xml:space="preserve"> </w:t>
      </w:r>
      <w:r>
        <w:rPr>
          <w:rFonts w:ascii="宋体" w:eastAsia="宋体" w:hAnsi="宋体" w:cs="宋体"/>
          <w:spacing w:val="7"/>
          <w:sz w:val="23"/>
          <w:szCs w:val="23"/>
        </w:rPr>
        <w:t>交易假设，即假定所有待评估资产已经处在</w:t>
      </w:r>
      <w:r>
        <w:rPr>
          <w:rFonts w:ascii="宋体" w:eastAsia="宋体" w:hAnsi="宋体" w:cs="宋体"/>
          <w:spacing w:val="6"/>
          <w:sz w:val="23"/>
          <w:szCs w:val="23"/>
        </w:rPr>
        <w:t>交易的过程中，评估师根据</w:t>
      </w:r>
      <w:r>
        <w:rPr>
          <w:rFonts w:ascii="宋体" w:eastAsia="宋体" w:hAnsi="宋体" w:cs="宋体"/>
          <w:sz w:val="23"/>
          <w:szCs w:val="23"/>
        </w:rPr>
        <w:t xml:space="preserve"> </w:t>
      </w:r>
      <w:r>
        <w:rPr>
          <w:rFonts w:ascii="宋体" w:eastAsia="宋体" w:hAnsi="宋体" w:cs="宋体"/>
          <w:spacing w:val="5"/>
          <w:sz w:val="23"/>
          <w:szCs w:val="23"/>
        </w:rPr>
        <w:t>待评估资产的交易条件等模拟市场进行估价。交</w:t>
      </w:r>
      <w:r>
        <w:rPr>
          <w:rFonts w:ascii="宋体" w:eastAsia="宋体" w:hAnsi="宋体" w:cs="宋体"/>
          <w:spacing w:val="4"/>
          <w:sz w:val="23"/>
          <w:szCs w:val="23"/>
        </w:rPr>
        <w:t>易假设是资产评估得以进行的一</w:t>
      </w:r>
      <w:r>
        <w:rPr>
          <w:rFonts w:ascii="宋体" w:eastAsia="宋体" w:hAnsi="宋体" w:cs="宋体"/>
          <w:sz w:val="23"/>
          <w:szCs w:val="23"/>
        </w:rPr>
        <w:t xml:space="preserve"> </w:t>
      </w:r>
      <w:r>
        <w:rPr>
          <w:rFonts w:ascii="宋体" w:eastAsia="宋体" w:hAnsi="宋体" w:cs="宋体"/>
          <w:spacing w:val="-3"/>
          <w:sz w:val="23"/>
          <w:szCs w:val="23"/>
        </w:rPr>
        <w:t>个最基本的前提假设；</w:t>
      </w:r>
    </w:p>
    <w:p>
      <w:pPr>
        <w:spacing w:before="227" w:line="246" w:lineRule="auto"/>
        <w:ind w:right="193" w:firstLine="470"/>
        <w:rPr>
          <w:rFonts w:ascii="宋体" w:eastAsia="宋体" w:hAnsi="宋体" w:cs="宋体"/>
          <w:sz w:val="23"/>
          <w:szCs w:val="23"/>
        </w:rPr>
      </w:pPr>
      <w:r>
        <w:rPr>
          <w:rFonts w:ascii="宋体" w:eastAsia="宋体" w:hAnsi="宋体" w:cs="宋体"/>
          <w:spacing w:val="5"/>
          <w:sz w:val="23"/>
          <w:szCs w:val="23"/>
        </w:rPr>
        <w:t>3、</w:t>
      </w:r>
      <w:r>
        <w:rPr>
          <w:rFonts w:ascii="宋体" w:eastAsia="宋体" w:hAnsi="宋体" w:cs="宋体"/>
          <w:spacing w:val="-67"/>
          <w:sz w:val="23"/>
          <w:szCs w:val="23"/>
        </w:rPr>
        <w:t xml:space="preserve"> </w:t>
      </w:r>
      <w:r>
        <w:rPr>
          <w:rFonts w:ascii="宋体" w:eastAsia="宋体" w:hAnsi="宋体" w:cs="宋体"/>
          <w:spacing w:val="5"/>
          <w:sz w:val="23"/>
          <w:szCs w:val="23"/>
        </w:rPr>
        <w:t>持续经营假设，即假设被评估单位以现有资产、资源条件为基础，在可</w:t>
      </w:r>
      <w:r>
        <w:rPr>
          <w:rFonts w:ascii="宋体" w:eastAsia="宋体" w:hAnsi="宋体" w:cs="宋体"/>
          <w:sz w:val="23"/>
          <w:szCs w:val="23"/>
        </w:rPr>
        <w:t xml:space="preserve"> </w:t>
      </w:r>
      <w:r>
        <w:rPr>
          <w:rFonts w:ascii="宋体" w:eastAsia="宋体" w:hAnsi="宋体" w:cs="宋体"/>
          <w:spacing w:val="6"/>
          <w:sz w:val="23"/>
          <w:szCs w:val="23"/>
        </w:rPr>
        <w:t>预见的将来不会因为各种原因而停止营业，而是合法地持续不断地经营下去。</w:t>
      </w:r>
    </w:p>
    <w:p>
      <w:pPr>
        <w:spacing w:before="237" w:line="219" w:lineRule="auto"/>
        <w:ind w:left="600"/>
        <w:rPr>
          <w:rFonts w:ascii="宋体" w:eastAsia="宋体" w:hAnsi="宋体" w:cs="宋体"/>
          <w:sz w:val="23"/>
          <w:szCs w:val="23"/>
        </w:rPr>
      </w:pPr>
      <w:r>
        <w:rPr>
          <w:rFonts w:ascii="宋体" w:eastAsia="宋体" w:hAnsi="宋体" w:cs="宋体"/>
          <w:spacing w:val="-12"/>
          <w:sz w:val="23"/>
          <w:szCs w:val="23"/>
        </w:rPr>
        <w:t>(二)一般性假设</w:t>
      </w:r>
    </w:p>
    <w:p>
      <w:pPr>
        <w:spacing w:before="178" w:line="262" w:lineRule="auto"/>
        <w:ind w:right="125" w:firstLine="470"/>
        <w:rPr>
          <w:rFonts w:ascii="宋体" w:eastAsia="宋体" w:hAnsi="宋体" w:cs="宋体"/>
          <w:sz w:val="23"/>
          <w:szCs w:val="23"/>
        </w:rPr>
      </w:pPr>
      <w:r>
        <w:rPr>
          <w:rFonts w:ascii="宋体" w:eastAsia="宋体" w:hAnsi="宋体" w:cs="宋体"/>
          <w:spacing w:val="1"/>
          <w:sz w:val="23"/>
          <w:szCs w:val="23"/>
        </w:rPr>
        <w:t>1、假设评估基准日后被评估单位采用的会计政策和编写本评估报告时所采用</w:t>
      </w:r>
      <w:r>
        <w:rPr>
          <w:rFonts w:ascii="宋体" w:eastAsia="宋体" w:hAnsi="宋体" w:cs="宋体"/>
          <w:spacing w:val="17"/>
          <w:sz w:val="23"/>
          <w:szCs w:val="23"/>
        </w:rPr>
        <w:t xml:space="preserve"> </w:t>
      </w:r>
      <w:r>
        <w:rPr>
          <w:rFonts w:ascii="宋体" w:eastAsia="宋体" w:hAnsi="宋体" w:cs="宋体"/>
          <w:spacing w:val="-4"/>
          <w:sz w:val="23"/>
          <w:szCs w:val="23"/>
        </w:rPr>
        <w:t>的会计政策在重要方面保持一致；</w:t>
      </w:r>
    </w:p>
    <w:p>
      <w:pPr>
        <w:spacing w:before="206" w:line="251" w:lineRule="auto"/>
        <w:ind w:right="138" w:firstLine="470"/>
        <w:rPr>
          <w:rFonts w:ascii="宋体" w:eastAsia="宋体" w:hAnsi="宋体" w:cs="宋体"/>
          <w:sz w:val="23"/>
          <w:szCs w:val="23"/>
        </w:rPr>
      </w:pPr>
      <w:r>
        <w:rPr>
          <w:rFonts w:ascii="宋体" w:eastAsia="宋体" w:hAnsi="宋体" w:cs="宋体"/>
          <w:spacing w:val="1"/>
          <w:sz w:val="23"/>
          <w:szCs w:val="23"/>
        </w:rPr>
        <w:t>2、假设评估基准日后被评估单位在现有管理方式和管理水平的基础上，经营</w:t>
      </w:r>
      <w:r>
        <w:rPr>
          <w:rFonts w:ascii="宋体" w:eastAsia="宋体" w:hAnsi="宋体" w:cs="宋体"/>
          <w:spacing w:val="4"/>
          <w:sz w:val="23"/>
          <w:szCs w:val="23"/>
        </w:rPr>
        <w:t xml:space="preserve"> </w:t>
      </w:r>
      <w:r>
        <w:rPr>
          <w:rFonts w:ascii="宋体" w:eastAsia="宋体" w:hAnsi="宋体" w:cs="宋体"/>
          <w:spacing w:val="-4"/>
          <w:sz w:val="23"/>
          <w:szCs w:val="23"/>
        </w:rPr>
        <w:t>范围、方式与目前保持一致；</w:t>
      </w:r>
    </w:p>
    <w:p>
      <w:pPr>
        <w:spacing w:before="195" w:line="218" w:lineRule="auto"/>
        <w:ind w:left="470"/>
        <w:rPr>
          <w:rFonts w:ascii="宋体" w:eastAsia="宋体" w:hAnsi="宋体" w:cs="宋体"/>
          <w:sz w:val="23"/>
          <w:szCs w:val="23"/>
        </w:rPr>
      </w:pPr>
      <w:r>
        <w:rPr>
          <w:rFonts w:ascii="宋体" w:eastAsia="宋体" w:hAnsi="宋体" w:cs="宋体"/>
          <w:spacing w:val="-4"/>
          <w:sz w:val="23"/>
          <w:szCs w:val="23"/>
        </w:rPr>
        <w:t>3、</w:t>
      </w:r>
      <w:r>
        <w:rPr>
          <w:rFonts w:ascii="宋体" w:eastAsia="宋体" w:hAnsi="宋体" w:cs="宋体"/>
          <w:spacing w:val="-50"/>
          <w:sz w:val="23"/>
          <w:szCs w:val="23"/>
        </w:rPr>
        <w:t xml:space="preserve"> </w:t>
      </w:r>
      <w:r>
        <w:rPr>
          <w:rFonts w:ascii="宋体" w:eastAsia="宋体" w:hAnsi="宋体" w:cs="宋体"/>
          <w:spacing w:val="-4"/>
          <w:sz w:val="23"/>
          <w:szCs w:val="23"/>
        </w:rPr>
        <w:t>假设评估基准日后被评估单位的产品或服务保持目前的市场竞争态势；</w:t>
      </w:r>
    </w:p>
    <w:p>
      <w:pPr>
        <w:spacing w:before="218" w:line="218" w:lineRule="auto"/>
        <w:ind w:left="470"/>
        <w:rPr>
          <w:rFonts w:ascii="宋体" w:eastAsia="宋体" w:hAnsi="宋体" w:cs="宋体"/>
          <w:sz w:val="23"/>
          <w:szCs w:val="23"/>
        </w:rPr>
      </w:pPr>
      <w:r>
        <w:rPr>
          <w:rFonts w:ascii="宋体" w:eastAsia="宋体" w:hAnsi="宋体" w:cs="宋体"/>
          <w:spacing w:val="-3"/>
          <w:sz w:val="23"/>
          <w:szCs w:val="23"/>
        </w:rPr>
        <w:t>4、假设评估基准日后被评估单位的研发能力和技术先进性保持目前的水平。</w:t>
      </w:r>
    </w:p>
    <w:p>
      <w:pPr>
        <w:spacing w:before="208" w:line="260" w:lineRule="auto"/>
        <w:ind w:right="103" w:firstLine="470"/>
        <w:rPr>
          <w:rFonts w:ascii="宋体" w:eastAsia="宋体" w:hAnsi="宋体" w:cs="宋体"/>
          <w:sz w:val="23"/>
          <w:szCs w:val="23"/>
        </w:rPr>
      </w:pPr>
      <w:r>
        <w:rPr>
          <w:rFonts w:ascii="宋体" w:eastAsia="宋体" w:hAnsi="宋体" w:cs="宋体"/>
          <w:spacing w:val="2"/>
          <w:sz w:val="23"/>
          <w:szCs w:val="23"/>
        </w:rPr>
        <w:t>5、假设评估基准日后被评估单位所处国家和地区的政治、经济和社会环境无</w:t>
      </w:r>
      <w:r>
        <w:rPr>
          <w:rFonts w:ascii="宋体" w:eastAsia="宋体" w:hAnsi="宋体" w:cs="宋体"/>
          <w:spacing w:val="5"/>
          <w:sz w:val="23"/>
          <w:szCs w:val="23"/>
        </w:rPr>
        <w:t xml:space="preserve"> </w:t>
      </w:r>
      <w:r>
        <w:rPr>
          <w:rFonts w:ascii="宋体" w:eastAsia="宋体" w:hAnsi="宋体" w:cs="宋体"/>
          <w:spacing w:val="-11"/>
          <w:sz w:val="23"/>
          <w:szCs w:val="23"/>
        </w:rPr>
        <w:t>重大变化；</w:t>
      </w:r>
    </w:p>
    <w:p>
      <w:pPr>
        <w:spacing w:before="184" w:line="260" w:lineRule="auto"/>
        <w:ind w:right="103" w:firstLine="470"/>
        <w:rPr>
          <w:rFonts w:ascii="宋体" w:eastAsia="宋体" w:hAnsi="宋体" w:cs="宋体"/>
          <w:sz w:val="23"/>
          <w:szCs w:val="23"/>
        </w:rPr>
      </w:pPr>
      <w:r>
        <w:rPr>
          <w:rFonts w:ascii="宋体" w:eastAsia="宋体" w:hAnsi="宋体" w:cs="宋体"/>
          <w:sz w:val="23"/>
          <w:szCs w:val="23"/>
        </w:rPr>
        <w:t>6、</w:t>
      </w:r>
      <w:r>
        <w:rPr>
          <w:rFonts w:ascii="宋体" w:eastAsia="宋体" w:hAnsi="宋体" w:cs="宋体"/>
          <w:spacing w:val="-42"/>
          <w:sz w:val="23"/>
          <w:szCs w:val="23"/>
        </w:rPr>
        <w:t xml:space="preserve"> </w:t>
      </w:r>
      <w:r>
        <w:rPr>
          <w:rFonts w:ascii="宋体" w:eastAsia="宋体" w:hAnsi="宋体" w:cs="宋体"/>
          <w:sz w:val="23"/>
          <w:szCs w:val="23"/>
        </w:rPr>
        <w:t xml:space="preserve">假设评估基准日后国家宏观经济政策、产业政策和区域发展政策无重大变 </w:t>
      </w:r>
      <w:r>
        <w:rPr>
          <w:rFonts w:ascii="宋体" w:eastAsia="宋体" w:hAnsi="宋体" w:cs="宋体"/>
          <w:spacing w:val="-9"/>
          <w:sz w:val="23"/>
          <w:szCs w:val="23"/>
        </w:rPr>
        <w:t>化；</w:t>
      </w:r>
    </w:p>
    <w:p>
      <w:pPr>
        <w:spacing w:before="202" w:line="253" w:lineRule="auto"/>
        <w:ind w:right="125" w:firstLine="470"/>
        <w:rPr>
          <w:rFonts w:ascii="宋体" w:eastAsia="宋体" w:hAnsi="宋体" w:cs="宋体"/>
          <w:sz w:val="23"/>
          <w:szCs w:val="23"/>
        </w:rPr>
      </w:pPr>
      <w:r>
        <w:rPr>
          <w:rFonts w:ascii="宋体" w:eastAsia="宋体" w:hAnsi="宋体" w:cs="宋体"/>
          <w:spacing w:val="1"/>
          <w:sz w:val="23"/>
          <w:szCs w:val="23"/>
        </w:rPr>
        <w:t>7、假设和被评估单位相关的利率、汇率、赋税基准及税率、政策性征收费用</w:t>
      </w:r>
      <w:r>
        <w:rPr>
          <w:rFonts w:ascii="宋体" w:eastAsia="宋体" w:hAnsi="宋体" w:cs="宋体"/>
          <w:spacing w:val="17"/>
          <w:sz w:val="23"/>
          <w:szCs w:val="23"/>
        </w:rPr>
        <w:t xml:space="preserve"> </w:t>
      </w:r>
      <w:r>
        <w:rPr>
          <w:rFonts w:ascii="宋体" w:eastAsia="宋体" w:hAnsi="宋体" w:cs="宋体"/>
          <w:spacing w:val="-8"/>
          <w:sz w:val="23"/>
          <w:szCs w:val="23"/>
        </w:rPr>
        <w:t>等评估基准日后不发生重大变化；</w:t>
      </w:r>
    </w:p>
    <w:p>
      <w:pPr>
        <w:spacing w:before="188" w:line="259" w:lineRule="auto"/>
        <w:ind w:right="92" w:firstLine="470"/>
        <w:rPr>
          <w:rFonts w:ascii="宋体" w:eastAsia="宋体" w:hAnsi="宋体" w:cs="宋体"/>
          <w:sz w:val="23"/>
          <w:szCs w:val="23"/>
        </w:rPr>
      </w:pPr>
      <w:r>
        <w:rPr>
          <w:rFonts w:ascii="宋体" w:eastAsia="宋体" w:hAnsi="宋体" w:cs="宋体"/>
          <w:spacing w:val="1"/>
          <w:sz w:val="23"/>
          <w:szCs w:val="23"/>
        </w:rPr>
        <w:t>8、</w:t>
      </w:r>
      <w:r>
        <w:rPr>
          <w:rFonts w:ascii="宋体" w:eastAsia="宋体" w:hAnsi="宋体" w:cs="宋体"/>
          <w:spacing w:val="-64"/>
          <w:sz w:val="23"/>
          <w:szCs w:val="23"/>
        </w:rPr>
        <w:t xml:space="preserve"> </w:t>
      </w:r>
      <w:r>
        <w:rPr>
          <w:rFonts w:ascii="宋体" w:eastAsia="宋体" w:hAnsi="宋体" w:cs="宋体"/>
          <w:spacing w:val="1"/>
          <w:sz w:val="23"/>
          <w:szCs w:val="23"/>
        </w:rPr>
        <w:t>假设评估基准日后被评估单位的管理层是负责的、稳定的，且有能力担当</w:t>
      </w:r>
      <w:r>
        <w:rPr>
          <w:rFonts w:ascii="宋体" w:eastAsia="宋体" w:hAnsi="宋体" w:cs="宋体"/>
          <w:sz w:val="23"/>
          <w:szCs w:val="23"/>
        </w:rPr>
        <w:t xml:space="preserve"> </w:t>
      </w:r>
      <w:r>
        <w:rPr>
          <w:rFonts w:ascii="宋体" w:eastAsia="宋体" w:hAnsi="宋体" w:cs="宋体"/>
          <w:spacing w:val="-12"/>
          <w:sz w:val="23"/>
          <w:szCs w:val="23"/>
        </w:rPr>
        <w:t>其职务；</w:t>
      </w:r>
    </w:p>
    <w:p>
      <w:pPr>
        <w:spacing w:before="225" w:line="218" w:lineRule="auto"/>
        <w:ind w:left="470"/>
        <w:rPr>
          <w:rFonts w:ascii="宋体" w:eastAsia="宋体" w:hAnsi="宋体" w:cs="宋体"/>
          <w:sz w:val="23"/>
          <w:szCs w:val="23"/>
        </w:rPr>
      </w:pPr>
      <w:r>
        <w:rPr>
          <w:rFonts w:ascii="宋体" w:eastAsia="宋体" w:hAnsi="宋体" w:cs="宋体"/>
          <w:spacing w:val="-6"/>
          <w:sz w:val="23"/>
          <w:szCs w:val="23"/>
        </w:rPr>
        <w:t>9、假设被评估单位完全遵守所有相关的法律法规；</w:t>
      </w:r>
    </w:p>
    <w:p>
      <w:pPr>
        <w:spacing w:before="199" w:line="218" w:lineRule="auto"/>
        <w:ind w:left="470"/>
        <w:rPr>
          <w:rFonts w:ascii="宋体" w:eastAsia="宋体" w:hAnsi="宋体" w:cs="宋体"/>
          <w:sz w:val="23"/>
          <w:szCs w:val="23"/>
        </w:rPr>
      </w:pPr>
      <w:r>
        <w:rPr>
          <w:rFonts w:ascii="宋体" w:eastAsia="宋体" w:hAnsi="宋体" w:cs="宋体"/>
          <w:spacing w:val="-5"/>
          <w:sz w:val="23"/>
          <w:szCs w:val="23"/>
        </w:rPr>
        <w:t>10、</w:t>
      </w:r>
      <w:r>
        <w:rPr>
          <w:rFonts w:ascii="宋体" w:eastAsia="宋体" w:hAnsi="宋体" w:cs="宋体"/>
          <w:spacing w:val="-58"/>
          <w:sz w:val="23"/>
          <w:szCs w:val="23"/>
        </w:rPr>
        <w:t xml:space="preserve"> </w:t>
      </w:r>
      <w:r>
        <w:rPr>
          <w:rFonts w:ascii="宋体" w:eastAsia="宋体" w:hAnsi="宋体" w:cs="宋体"/>
          <w:spacing w:val="-5"/>
          <w:sz w:val="23"/>
          <w:szCs w:val="23"/>
        </w:rPr>
        <w:t>假设评估基准日后无不可抗力对被评估单位造成重</w:t>
      </w:r>
      <w:r>
        <w:rPr>
          <w:rFonts w:ascii="宋体" w:eastAsia="宋体" w:hAnsi="宋体" w:cs="宋体"/>
          <w:spacing w:val="-6"/>
          <w:sz w:val="23"/>
          <w:szCs w:val="23"/>
        </w:rPr>
        <w:t>大不利影响。</w:t>
      </w:r>
    </w:p>
    <w:p>
      <w:pPr>
        <w:spacing w:before="209" w:line="265" w:lineRule="auto"/>
        <w:ind w:right="103" w:firstLine="470"/>
        <w:jc w:val="both"/>
        <w:rPr>
          <w:rFonts w:ascii="宋体" w:eastAsia="宋体" w:hAnsi="宋体" w:cs="宋体"/>
          <w:sz w:val="23"/>
          <w:szCs w:val="23"/>
        </w:rPr>
      </w:pPr>
      <w:r>
        <w:rPr>
          <w:rFonts w:ascii="宋体" w:eastAsia="宋体" w:hAnsi="宋体" w:cs="宋体"/>
          <w:spacing w:val="-1"/>
          <w:sz w:val="23"/>
          <w:szCs w:val="23"/>
        </w:rPr>
        <w:t>本评估报告中的评估结论是基于上述假设条件成立的，当上</w:t>
      </w:r>
      <w:r>
        <w:rPr>
          <w:rFonts w:ascii="宋体" w:eastAsia="宋体" w:hAnsi="宋体" w:cs="宋体"/>
          <w:spacing w:val="-2"/>
          <w:sz w:val="23"/>
          <w:szCs w:val="23"/>
        </w:rPr>
        <w:t>述假设条件发生较</w:t>
      </w:r>
      <w:r>
        <w:rPr>
          <w:rFonts w:ascii="宋体" w:eastAsia="宋体" w:hAnsi="宋体" w:cs="宋体"/>
          <w:sz w:val="23"/>
          <w:szCs w:val="23"/>
        </w:rPr>
        <w:t xml:space="preserve"> </w:t>
      </w:r>
      <w:r>
        <w:rPr>
          <w:rFonts w:ascii="宋体" w:eastAsia="宋体" w:hAnsi="宋体" w:cs="宋体"/>
          <w:spacing w:val="-2"/>
          <w:sz w:val="23"/>
          <w:szCs w:val="23"/>
        </w:rPr>
        <w:t>大变化时，本评估机构及签名资产评估师将不承担由于假设条</w:t>
      </w:r>
      <w:r>
        <w:rPr>
          <w:rFonts w:ascii="宋体" w:eastAsia="宋体" w:hAnsi="宋体" w:cs="宋体"/>
          <w:spacing w:val="-3"/>
          <w:sz w:val="23"/>
          <w:szCs w:val="23"/>
        </w:rPr>
        <w:t>件改变而推导出不同</w:t>
      </w:r>
      <w:r>
        <w:rPr>
          <w:rFonts w:ascii="宋体" w:eastAsia="宋体" w:hAnsi="宋体" w:cs="宋体"/>
          <w:sz w:val="23"/>
          <w:szCs w:val="23"/>
        </w:rPr>
        <w:t xml:space="preserve"> </w:t>
      </w:r>
      <w:r>
        <w:rPr>
          <w:rFonts w:ascii="宋体" w:eastAsia="宋体" w:hAnsi="宋体" w:cs="宋体"/>
          <w:spacing w:val="-5"/>
          <w:sz w:val="23"/>
          <w:szCs w:val="23"/>
        </w:rPr>
        <w:t>评估结论的责任。</w:t>
      </w:r>
    </w:p>
    <w:p>
      <w:pPr>
        <w:spacing w:before="205" w:line="218" w:lineRule="auto"/>
        <w:ind w:left="473"/>
        <w:rPr>
          <w:rFonts w:ascii="宋体" w:eastAsia="宋体" w:hAnsi="宋体" w:cs="宋体"/>
          <w:sz w:val="23"/>
          <w:szCs w:val="23"/>
        </w:rPr>
      </w:pPr>
      <w:r>
        <w:rPr>
          <w:rFonts w:ascii="宋体" w:eastAsia="宋体" w:hAnsi="宋体" w:cs="宋体"/>
          <w:b/>
          <w:bCs/>
          <w:spacing w:val="-5"/>
          <w:sz w:val="23"/>
          <w:szCs w:val="23"/>
        </w:rPr>
        <w:t>十一、评估结论</w:t>
      </w:r>
    </w:p>
    <w:p>
      <w:pPr>
        <w:spacing w:before="224" w:line="219" w:lineRule="auto"/>
        <w:ind w:left="630"/>
        <w:rPr>
          <w:rFonts w:ascii="宋体" w:eastAsia="宋体" w:hAnsi="宋体" w:cs="宋体"/>
          <w:sz w:val="23"/>
          <w:szCs w:val="23"/>
        </w:rPr>
      </w:pPr>
      <w:r>
        <w:rPr>
          <w:rFonts w:ascii="宋体" w:eastAsia="宋体" w:hAnsi="宋体" w:cs="宋体"/>
          <w:spacing w:val="-8"/>
          <w:sz w:val="23"/>
          <w:szCs w:val="23"/>
        </w:rPr>
        <w:t>(一)资产基础法结果</w:t>
      </w:r>
    </w:p>
    <w:p>
      <w:pPr>
        <w:spacing w:line="219" w:lineRule="auto"/>
        <w:rPr>
          <w:rFonts w:ascii="宋体" w:eastAsia="宋体" w:hAnsi="宋体" w:cs="宋体"/>
          <w:sz w:val="23"/>
          <w:szCs w:val="23"/>
        </w:rPr>
        <w:sectPr>
          <w:headerReference w:type="default" r:id="rId35"/>
          <w:footerReference w:type="default" r:id="rId36"/>
          <w:pgSz w:w="11910" w:h="16840"/>
          <w:pgMar w:top="1325" w:right="1786" w:bottom="1079" w:left="1769" w:header="1145" w:footer="811" w:gutter="0"/>
          <w:pgNumType w:start="17"/>
          <w:cols w:num="1" w:space="720"/>
        </w:sectPr>
      </w:pPr>
    </w:p>
    <w:p>
      <w:pPr>
        <w:pStyle w:val="BodyText"/>
        <w:spacing w:line="373" w:lineRule="auto"/>
      </w:pPr>
    </w:p>
    <w:p>
      <w:pPr>
        <w:spacing w:before="78" w:line="261" w:lineRule="auto"/>
        <w:ind w:left="304" w:right="432" w:firstLine="480"/>
        <w:rPr>
          <w:rFonts w:ascii="宋体" w:eastAsia="宋体" w:hAnsi="宋体" w:cs="宋体"/>
          <w:sz w:val="24"/>
          <w:szCs w:val="24"/>
        </w:rPr>
      </w:pPr>
      <w:r>
        <w:rPr>
          <w:rFonts w:ascii="宋体" w:eastAsia="宋体" w:hAnsi="宋体" w:cs="宋体"/>
          <w:spacing w:val="-4"/>
          <w:sz w:val="24"/>
          <w:szCs w:val="24"/>
        </w:rPr>
        <w:t>北京中企慧云科技有限公司于评估基准日2023年11</w:t>
      </w:r>
      <w:r>
        <w:rPr>
          <w:rFonts w:ascii="宋体" w:eastAsia="宋体" w:hAnsi="宋体" w:cs="宋体"/>
          <w:spacing w:val="-5"/>
          <w:sz w:val="24"/>
          <w:szCs w:val="24"/>
        </w:rPr>
        <w:t>月30日总资产账面价值为</w:t>
      </w:r>
      <w:r>
        <w:rPr>
          <w:rFonts w:ascii="宋体" w:eastAsia="宋体" w:hAnsi="宋体" w:cs="宋体"/>
          <w:sz w:val="24"/>
          <w:szCs w:val="24"/>
        </w:rPr>
        <w:t xml:space="preserve"> </w:t>
      </w:r>
      <w:r>
        <w:rPr>
          <w:rFonts w:ascii="宋体" w:eastAsia="宋体" w:hAnsi="宋体" w:cs="宋体"/>
          <w:spacing w:val="-14"/>
          <w:sz w:val="24"/>
          <w:szCs w:val="24"/>
        </w:rPr>
        <w:t>1,219.51 万元，总负债账面价值为13.50 万元，净资产</w:t>
      </w:r>
      <w:r>
        <w:rPr>
          <w:rFonts w:ascii="宋体" w:eastAsia="宋体" w:hAnsi="宋体" w:cs="宋体"/>
          <w:spacing w:val="-15"/>
          <w:sz w:val="24"/>
          <w:szCs w:val="24"/>
        </w:rPr>
        <w:t>账面价值为1,206.01 万元；</w:t>
      </w:r>
      <w:r>
        <w:rPr>
          <w:rFonts w:ascii="宋体" w:eastAsia="宋体" w:hAnsi="宋体" w:cs="宋体"/>
          <w:sz w:val="24"/>
          <w:szCs w:val="24"/>
        </w:rPr>
        <w:t xml:space="preserve"> </w:t>
      </w:r>
      <w:r>
        <w:rPr>
          <w:rFonts w:ascii="宋体" w:eastAsia="宋体" w:hAnsi="宋体" w:cs="宋体"/>
          <w:spacing w:val="-13"/>
          <w:sz w:val="24"/>
          <w:szCs w:val="24"/>
        </w:rPr>
        <w:t>总资产评估价值为31,114.78万元，总负债评估价值为13.50 万元，净资产评估价值</w:t>
      </w:r>
      <w:r>
        <w:rPr>
          <w:rFonts w:ascii="宋体" w:eastAsia="宋体" w:hAnsi="宋体" w:cs="宋体"/>
          <w:spacing w:val="9"/>
          <w:sz w:val="24"/>
          <w:szCs w:val="24"/>
        </w:rPr>
        <w:t xml:space="preserve"> </w:t>
      </w:r>
      <w:r>
        <w:rPr>
          <w:rFonts w:ascii="宋体" w:eastAsia="宋体" w:hAnsi="宋体" w:cs="宋体"/>
          <w:spacing w:val="1"/>
          <w:sz w:val="24"/>
          <w:szCs w:val="24"/>
        </w:rPr>
        <w:t>为31,101.28万元，净资产评估价值较账面价值增值29,895.27万元，增值率为</w:t>
      </w:r>
    </w:p>
    <w:p>
      <w:pPr>
        <w:spacing w:before="99" w:line="216" w:lineRule="auto"/>
        <w:ind w:left="304"/>
        <w:rPr>
          <w:rFonts w:ascii="宋体" w:eastAsia="宋体" w:hAnsi="宋体" w:cs="宋体"/>
          <w:sz w:val="24"/>
          <w:szCs w:val="24"/>
        </w:rPr>
      </w:pPr>
      <w:r>
        <w:rPr>
          <w:rFonts w:ascii="宋体" w:eastAsia="宋体" w:hAnsi="宋体" w:cs="宋体"/>
          <w:spacing w:val="-14"/>
          <w:sz w:val="24"/>
          <w:szCs w:val="24"/>
        </w:rPr>
        <w:t>2,478.86%。详见下列资产评估结果汇总表：</w:t>
      </w:r>
    </w:p>
    <w:p>
      <w:pPr>
        <w:spacing w:before="38" w:line="222" w:lineRule="auto"/>
        <w:ind w:left="3129"/>
        <w:rPr>
          <w:rFonts w:ascii="黑体" w:eastAsia="黑体" w:hAnsi="黑体" w:cs="黑体"/>
          <w:sz w:val="29"/>
          <w:szCs w:val="29"/>
        </w:rPr>
      </w:pPr>
      <w:bookmarkStart w:id="14" w:name="bookmark16"/>
      <w:bookmarkEnd w:id="14"/>
      <w:r>
        <w:rPr>
          <w:rFonts w:ascii="黑体" w:eastAsia="黑体" w:hAnsi="黑体" w:cs="黑体"/>
          <w:b/>
          <w:bCs/>
          <w:sz w:val="29"/>
          <w:szCs w:val="29"/>
        </w:rPr>
        <w:t>资产评估结果汇总表</w:t>
      </w:r>
    </w:p>
    <w:p>
      <w:pPr>
        <w:spacing w:before="31" w:line="218" w:lineRule="auto"/>
        <w:ind w:left="3074"/>
        <w:rPr>
          <w:rFonts w:ascii="宋体" w:eastAsia="宋体" w:hAnsi="宋体" w:cs="宋体"/>
          <w:sz w:val="18"/>
          <w:szCs w:val="18"/>
        </w:rPr>
      </w:pPr>
      <w:r>
        <w:rPr>
          <w:rFonts w:ascii="宋体" w:eastAsia="宋体" w:hAnsi="宋体" w:cs="宋体"/>
          <w:spacing w:val="23"/>
          <w:sz w:val="18"/>
          <w:szCs w:val="18"/>
        </w:rPr>
        <w:t>评估基准日：2023年11月30日</w:t>
      </w:r>
    </w:p>
    <w:p>
      <w:pPr>
        <w:spacing w:before="87" w:line="218" w:lineRule="auto"/>
        <w:ind w:left="274"/>
        <w:rPr>
          <w:rFonts w:ascii="宋体" w:eastAsia="宋体" w:hAnsi="宋体" w:cs="宋体"/>
          <w:sz w:val="18"/>
          <w:szCs w:val="18"/>
        </w:rPr>
      </w:pPr>
      <w:r>
        <w:rPr>
          <w:rFonts w:ascii="宋体" w:eastAsia="宋体" w:hAnsi="宋体" w:cs="宋体"/>
          <w:spacing w:val="17"/>
          <w:sz w:val="18"/>
          <w:szCs w:val="18"/>
        </w:rPr>
        <w:t>被评估单位：北京中企慧云科技有限公司</w:t>
      </w:r>
    </w:p>
    <w:p>
      <w:pPr>
        <w:spacing w:before="18" w:line="219" w:lineRule="auto"/>
        <w:ind w:left="294"/>
        <w:rPr>
          <w:rFonts w:ascii="宋体" w:eastAsia="宋体" w:hAnsi="宋体" w:cs="宋体"/>
          <w:sz w:val="19"/>
          <w:szCs w:val="19"/>
        </w:rPr>
      </w:pPr>
      <w:r>
        <w:rPr>
          <w:rFonts w:ascii="宋体" w:eastAsia="宋体" w:hAnsi="宋体" w:cs="宋体"/>
          <w:spacing w:val="-1"/>
          <w:sz w:val="19"/>
          <w:szCs w:val="19"/>
        </w:rPr>
        <w:t>金额单位：人民币万元</w:t>
      </w:r>
    </w:p>
    <w:p>
      <w:pPr>
        <w:spacing w:line="35" w:lineRule="auto"/>
        <w:rPr>
          <w:sz w:val="2"/>
        </w:rPr>
      </w:pPr>
    </w:p>
    <w:tbl>
      <w:tblPr>
        <w:tblStyle w:val="TableNormal03"/>
        <w:tblW w:w="8539" w:type="dxa"/>
        <w:tblInd w:w="1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834"/>
        <w:gridCol w:w="2507"/>
        <w:gridCol w:w="1169"/>
        <w:gridCol w:w="1468"/>
        <w:gridCol w:w="1258"/>
        <w:gridCol w:w="1303"/>
      </w:tblGrid>
      <w:tr>
        <w:tblPrEx>
          <w:tblW w:w="8539" w:type="dxa"/>
          <w:tblInd w:w="1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44"/>
        </w:trPr>
        <w:tc>
          <w:tcPr>
            <w:tcW w:w="3341" w:type="dxa"/>
            <w:gridSpan w:val="2"/>
            <w:vMerge w:val="restart"/>
            <w:tcBorders>
              <w:bottom w:val="nil"/>
            </w:tcBorders>
            <w:vAlign w:val="top"/>
          </w:tcPr>
          <w:p>
            <w:pPr>
              <w:pStyle w:val="TableText"/>
              <w:spacing w:before="263" w:line="220" w:lineRule="auto"/>
              <w:ind w:left="75"/>
            </w:pPr>
            <w:r>
              <w:rPr>
                <w:spacing w:val="-5"/>
              </w:rPr>
              <w:t>项 目</w:t>
            </w:r>
          </w:p>
        </w:tc>
        <w:tc>
          <w:tcPr>
            <w:tcW w:w="1169" w:type="dxa"/>
            <w:vAlign w:val="top"/>
          </w:tcPr>
          <w:p>
            <w:pPr>
              <w:pStyle w:val="TableText"/>
              <w:spacing w:before="80" w:line="218" w:lineRule="auto"/>
              <w:ind w:left="204"/>
            </w:pPr>
            <w:r>
              <w:rPr>
                <w:spacing w:val="-2"/>
              </w:rPr>
              <w:t>账面价值</w:t>
            </w:r>
          </w:p>
        </w:tc>
        <w:tc>
          <w:tcPr>
            <w:tcW w:w="1468" w:type="dxa"/>
            <w:vAlign w:val="top"/>
          </w:tcPr>
          <w:p>
            <w:pPr>
              <w:pStyle w:val="TableText"/>
              <w:spacing w:before="80" w:line="218" w:lineRule="auto"/>
              <w:ind w:left="385"/>
            </w:pPr>
            <w:r>
              <w:rPr>
                <w:spacing w:val="-2"/>
              </w:rPr>
              <w:t>评估价值</w:t>
            </w:r>
          </w:p>
        </w:tc>
        <w:tc>
          <w:tcPr>
            <w:tcW w:w="1258" w:type="dxa"/>
            <w:vAlign w:val="top"/>
          </w:tcPr>
          <w:p>
            <w:pPr>
              <w:pStyle w:val="TableText"/>
              <w:spacing w:before="82" w:line="219" w:lineRule="auto"/>
              <w:ind w:left="356"/>
            </w:pPr>
            <w:r>
              <w:rPr>
                <w:spacing w:val="-2"/>
              </w:rPr>
              <w:t>增减值</w:t>
            </w:r>
          </w:p>
        </w:tc>
        <w:tc>
          <w:tcPr>
            <w:tcW w:w="1303" w:type="dxa"/>
            <w:vAlign w:val="top"/>
          </w:tcPr>
          <w:p>
            <w:pPr>
              <w:pStyle w:val="TableText"/>
              <w:spacing w:before="82" w:line="219" w:lineRule="auto"/>
              <w:ind w:left="298"/>
            </w:pPr>
            <w:r>
              <w:rPr>
                <w:spacing w:val="-2"/>
              </w:rPr>
              <w:t>增值率%</w:t>
            </w:r>
          </w:p>
        </w:tc>
      </w:tr>
      <w:tr>
        <w:tblPrEx>
          <w:tblW w:w="8539" w:type="dxa"/>
          <w:tblInd w:w="184" w:type="dxa"/>
          <w:tblLayout w:type="fixed"/>
          <w:tblCellMar>
            <w:top w:w="0" w:type="dxa"/>
            <w:left w:w="0" w:type="dxa"/>
            <w:bottom w:w="0" w:type="dxa"/>
            <w:right w:w="0" w:type="dxa"/>
          </w:tblCellMar>
        </w:tblPrEx>
        <w:trPr>
          <w:trHeight w:val="340"/>
        </w:trPr>
        <w:tc>
          <w:tcPr>
            <w:tcW w:w="3341" w:type="dxa"/>
            <w:gridSpan w:val="2"/>
            <w:vMerge/>
            <w:tcBorders>
              <w:top w:val="nil"/>
            </w:tcBorders>
            <w:vAlign w:val="top"/>
          </w:tcPr>
          <w:p/>
        </w:tc>
        <w:tc>
          <w:tcPr>
            <w:tcW w:w="1169" w:type="dxa"/>
            <w:vAlign w:val="top"/>
          </w:tcPr>
          <w:p>
            <w:pPr>
              <w:pStyle w:val="TableText"/>
              <w:spacing w:before="123" w:line="184" w:lineRule="auto"/>
              <w:ind w:left="994"/>
            </w:pPr>
            <w:r>
              <w:t>A</w:t>
            </w:r>
          </w:p>
        </w:tc>
        <w:tc>
          <w:tcPr>
            <w:tcW w:w="1468" w:type="dxa"/>
            <w:vAlign w:val="top"/>
          </w:tcPr>
          <w:p>
            <w:pPr>
              <w:pStyle w:val="TableText"/>
              <w:spacing w:before="125" w:line="182" w:lineRule="auto"/>
              <w:ind w:left="1245"/>
            </w:pPr>
            <w:r>
              <w:t>B</w:t>
            </w:r>
          </w:p>
        </w:tc>
        <w:tc>
          <w:tcPr>
            <w:tcW w:w="1258" w:type="dxa"/>
            <w:vAlign w:val="top"/>
          </w:tcPr>
          <w:p>
            <w:pPr>
              <w:pStyle w:val="TableText"/>
              <w:spacing w:before="122" w:line="185" w:lineRule="auto"/>
              <w:ind w:left="736"/>
            </w:pPr>
            <w:r>
              <w:rPr>
                <w:spacing w:val="-2"/>
              </w:rPr>
              <w:t>C=B-A</w:t>
            </w:r>
          </w:p>
        </w:tc>
        <w:tc>
          <w:tcPr>
            <w:tcW w:w="1303" w:type="dxa"/>
            <w:vAlign w:val="top"/>
          </w:tcPr>
          <w:p>
            <w:pPr>
              <w:pStyle w:val="TableText"/>
              <w:spacing w:before="83" w:line="224" w:lineRule="auto"/>
              <w:ind w:left="218"/>
            </w:pPr>
            <w:r>
              <w:rPr>
                <w:spacing w:val="-1"/>
              </w:rPr>
              <w:t>D=C/A×100%</w:t>
            </w:r>
          </w:p>
        </w:tc>
      </w:tr>
      <w:tr>
        <w:tblPrEx>
          <w:tblW w:w="8539" w:type="dxa"/>
          <w:tblInd w:w="184" w:type="dxa"/>
          <w:tblLayout w:type="fixed"/>
          <w:tblCellMar>
            <w:top w:w="0" w:type="dxa"/>
            <w:left w:w="0" w:type="dxa"/>
            <w:bottom w:w="0" w:type="dxa"/>
            <w:right w:w="0" w:type="dxa"/>
          </w:tblCellMar>
        </w:tblPrEx>
        <w:trPr>
          <w:trHeight w:val="329"/>
        </w:trPr>
        <w:tc>
          <w:tcPr>
            <w:tcW w:w="834" w:type="dxa"/>
            <w:vAlign w:val="top"/>
          </w:tcPr>
          <w:p>
            <w:pPr>
              <w:pStyle w:val="TableText"/>
              <w:spacing w:before="123" w:line="184" w:lineRule="auto"/>
              <w:ind w:left="365"/>
            </w:pPr>
            <w:r>
              <w:t>1</w:t>
            </w:r>
          </w:p>
        </w:tc>
        <w:tc>
          <w:tcPr>
            <w:tcW w:w="2507" w:type="dxa"/>
            <w:vAlign w:val="top"/>
          </w:tcPr>
          <w:p>
            <w:pPr>
              <w:pStyle w:val="TableText"/>
              <w:spacing w:before="78" w:line="219" w:lineRule="auto"/>
              <w:ind w:left="100"/>
            </w:pPr>
            <w:r>
              <w:rPr>
                <w:spacing w:val="-2"/>
              </w:rPr>
              <w:t>流动资产</w:t>
            </w:r>
          </w:p>
        </w:tc>
        <w:tc>
          <w:tcPr>
            <w:tcW w:w="1169" w:type="dxa"/>
            <w:vAlign w:val="top"/>
          </w:tcPr>
          <w:p>
            <w:pPr>
              <w:pStyle w:val="TableText"/>
              <w:spacing w:before="102" w:line="184" w:lineRule="auto"/>
              <w:ind w:left="363"/>
            </w:pPr>
            <w:r>
              <w:rPr>
                <w:spacing w:val="-3"/>
              </w:rPr>
              <w:t>1,184.24</w:t>
            </w:r>
          </w:p>
        </w:tc>
        <w:tc>
          <w:tcPr>
            <w:tcW w:w="1468" w:type="dxa"/>
            <w:vAlign w:val="top"/>
          </w:tcPr>
          <w:p>
            <w:pPr>
              <w:pStyle w:val="TableText"/>
              <w:spacing w:before="102" w:line="184" w:lineRule="auto"/>
              <w:ind w:left="614"/>
            </w:pPr>
            <w:r>
              <w:rPr>
                <w:spacing w:val="-3"/>
              </w:rPr>
              <w:t>1,184.24</w:t>
            </w:r>
          </w:p>
        </w:tc>
        <w:tc>
          <w:tcPr>
            <w:tcW w:w="1258" w:type="dxa"/>
            <w:vAlign w:val="top"/>
          </w:tcPr>
          <w:p/>
        </w:tc>
        <w:tc>
          <w:tcPr>
            <w:tcW w:w="1303" w:type="dxa"/>
            <w:vAlign w:val="top"/>
          </w:tcPr>
          <w:p/>
        </w:tc>
      </w:tr>
      <w:tr>
        <w:tblPrEx>
          <w:tblW w:w="8539" w:type="dxa"/>
          <w:tblInd w:w="184" w:type="dxa"/>
          <w:tblLayout w:type="fixed"/>
          <w:tblCellMar>
            <w:top w:w="0" w:type="dxa"/>
            <w:left w:w="0" w:type="dxa"/>
            <w:bottom w:w="0" w:type="dxa"/>
            <w:right w:w="0" w:type="dxa"/>
          </w:tblCellMar>
        </w:tblPrEx>
        <w:trPr>
          <w:trHeight w:val="339"/>
        </w:trPr>
        <w:tc>
          <w:tcPr>
            <w:tcW w:w="834" w:type="dxa"/>
            <w:vAlign w:val="top"/>
          </w:tcPr>
          <w:p>
            <w:pPr>
              <w:pStyle w:val="TableText"/>
              <w:spacing w:before="125" w:line="183" w:lineRule="auto"/>
              <w:ind w:left="365"/>
            </w:pPr>
            <w:r>
              <w:t>2</w:t>
            </w:r>
          </w:p>
        </w:tc>
        <w:tc>
          <w:tcPr>
            <w:tcW w:w="2507" w:type="dxa"/>
            <w:vAlign w:val="top"/>
          </w:tcPr>
          <w:p>
            <w:pPr>
              <w:pStyle w:val="TableText"/>
              <w:spacing w:before="76" w:line="219" w:lineRule="auto"/>
              <w:ind w:left="103"/>
            </w:pPr>
            <w:r>
              <w:rPr>
                <w:b/>
                <w:bCs/>
                <w:spacing w:val="-4"/>
              </w:rPr>
              <w:t>非流动资产</w:t>
            </w:r>
          </w:p>
        </w:tc>
        <w:tc>
          <w:tcPr>
            <w:tcW w:w="1169" w:type="dxa"/>
            <w:vAlign w:val="top"/>
          </w:tcPr>
          <w:p>
            <w:pPr>
              <w:pStyle w:val="TableText"/>
              <w:spacing w:before="125" w:line="183" w:lineRule="auto"/>
              <w:ind w:left="633"/>
            </w:pPr>
            <w:r>
              <w:rPr>
                <w:spacing w:val="-2"/>
              </w:rPr>
              <w:t>35.27</w:t>
            </w:r>
          </w:p>
        </w:tc>
        <w:tc>
          <w:tcPr>
            <w:tcW w:w="1468" w:type="dxa"/>
            <w:vAlign w:val="top"/>
          </w:tcPr>
          <w:p>
            <w:pPr>
              <w:pStyle w:val="TableText"/>
              <w:spacing w:before="104" w:line="183" w:lineRule="auto"/>
              <w:ind w:left="524"/>
            </w:pPr>
            <w:r>
              <w:rPr>
                <w:spacing w:val="-2"/>
              </w:rPr>
              <w:t>29,930.54</w:t>
            </w:r>
          </w:p>
        </w:tc>
        <w:tc>
          <w:tcPr>
            <w:tcW w:w="1258" w:type="dxa"/>
            <w:vAlign w:val="top"/>
          </w:tcPr>
          <w:p>
            <w:pPr>
              <w:pStyle w:val="TableText"/>
              <w:spacing w:before="104" w:line="183" w:lineRule="auto"/>
              <w:ind w:left="376"/>
            </w:pPr>
            <w:r>
              <w:rPr>
                <w:spacing w:val="-2"/>
              </w:rPr>
              <w:t>29,895.27</w:t>
            </w:r>
          </w:p>
        </w:tc>
        <w:tc>
          <w:tcPr>
            <w:tcW w:w="1303" w:type="dxa"/>
            <w:vAlign w:val="top"/>
          </w:tcPr>
          <w:p>
            <w:pPr>
              <w:pStyle w:val="TableText"/>
              <w:spacing w:before="103" w:line="184" w:lineRule="auto"/>
              <w:ind w:left="399"/>
            </w:pPr>
            <w:r>
              <w:rPr>
                <w:spacing w:val="-1"/>
              </w:rPr>
              <w:t>84,761.19</w:t>
            </w:r>
          </w:p>
        </w:tc>
      </w:tr>
      <w:tr>
        <w:tblPrEx>
          <w:tblW w:w="8539" w:type="dxa"/>
          <w:tblInd w:w="184" w:type="dxa"/>
          <w:tblLayout w:type="fixed"/>
          <w:tblCellMar>
            <w:top w:w="0" w:type="dxa"/>
            <w:left w:w="0" w:type="dxa"/>
            <w:bottom w:w="0" w:type="dxa"/>
            <w:right w:w="0" w:type="dxa"/>
          </w:tblCellMar>
        </w:tblPrEx>
        <w:trPr>
          <w:trHeight w:val="339"/>
        </w:trPr>
        <w:tc>
          <w:tcPr>
            <w:tcW w:w="834" w:type="dxa"/>
            <w:vAlign w:val="top"/>
          </w:tcPr>
          <w:p>
            <w:pPr>
              <w:pStyle w:val="TableText"/>
              <w:spacing w:before="126" w:line="183" w:lineRule="auto"/>
              <w:ind w:left="365"/>
            </w:pPr>
            <w:r>
              <w:t>3</w:t>
            </w:r>
          </w:p>
        </w:tc>
        <w:tc>
          <w:tcPr>
            <w:tcW w:w="2507" w:type="dxa"/>
            <w:vAlign w:val="top"/>
          </w:tcPr>
          <w:p>
            <w:pPr>
              <w:pStyle w:val="TableText"/>
              <w:spacing w:before="79" w:line="219" w:lineRule="auto"/>
              <w:ind w:left="100"/>
            </w:pPr>
            <w:r>
              <w:rPr>
                <w:spacing w:val="-1"/>
              </w:rPr>
              <w:t>其中：可供出售金融资产</w:t>
            </w:r>
          </w:p>
        </w:tc>
        <w:tc>
          <w:tcPr>
            <w:tcW w:w="1169" w:type="dxa"/>
            <w:vAlign w:val="top"/>
          </w:tcPr>
          <w:p/>
        </w:tc>
        <w:tc>
          <w:tcPr>
            <w:tcW w:w="1468" w:type="dxa"/>
            <w:vAlign w:val="top"/>
          </w:tcPr>
          <w:p/>
        </w:tc>
        <w:tc>
          <w:tcPr>
            <w:tcW w:w="1258" w:type="dxa"/>
            <w:vAlign w:val="top"/>
          </w:tcPr>
          <w:p/>
        </w:tc>
        <w:tc>
          <w:tcPr>
            <w:tcW w:w="1303" w:type="dxa"/>
            <w:vAlign w:val="top"/>
          </w:tcPr>
          <w:p/>
        </w:tc>
      </w:tr>
      <w:tr>
        <w:tblPrEx>
          <w:tblW w:w="8539" w:type="dxa"/>
          <w:tblInd w:w="184" w:type="dxa"/>
          <w:tblLayout w:type="fixed"/>
          <w:tblCellMar>
            <w:top w:w="0" w:type="dxa"/>
            <w:left w:w="0" w:type="dxa"/>
            <w:bottom w:w="0" w:type="dxa"/>
            <w:right w:w="0" w:type="dxa"/>
          </w:tblCellMar>
        </w:tblPrEx>
        <w:trPr>
          <w:trHeight w:val="340"/>
        </w:trPr>
        <w:tc>
          <w:tcPr>
            <w:tcW w:w="834" w:type="dxa"/>
            <w:vAlign w:val="top"/>
          </w:tcPr>
          <w:p>
            <w:pPr>
              <w:pStyle w:val="TableText"/>
              <w:spacing w:before="127" w:line="183" w:lineRule="auto"/>
              <w:ind w:left="365"/>
            </w:pPr>
            <w:r>
              <w:t>4</w:t>
            </w:r>
          </w:p>
        </w:tc>
        <w:tc>
          <w:tcPr>
            <w:tcW w:w="2507" w:type="dxa"/>
            <w:vAlign w:val="top"/>
          </w:tcPr>
          <w:p>
            <w:pPr>
              <w:pStyle w:val="TableText"/>
              <w:spacing w:before="81" w:line="219" w:lineRule="auto"/>
              <w:ind w:left="100"/>
            </w:pPr>
            <w:r>
              <w:rPr>
                <w:spacing w:val="2"/>
              </w:rPr>
              <w:t>长期股权投资</w:t>
            </w:r>
          </w:p>
        </w:tc>
        <w:tc>
          <w:tcPr>
            <w:tcW w:w="1169" w:type="dxa"/>
            <w:vAlign w:val="top"/>
          </w:tcPr>
          <w:p/>
        </w:tc>
        <w:tc>
          <w:tcPr>
            <w:tcW w:w="1468" w:type="dxa"/>
            <w:vAlign w:val="top"/>
          </w:tcPr>
          <w:p/>
        </w:tc>
        <w:tc>
          <w:tcPr>
            <w:tcW w:w="1258" w:type="dxa"/>
            <w:vAlign w:val="top"/>
          </w:tcPr>
          <w:p/>
        </w:tc>
        <w:tc>
          <w:tcPr>
            <w:tcW w:w="1303" w:type="dxa"/>
            <w:vAlign w:val="top"/>
          </w:tcPr>
          <w:p/>
        </w:tc>
      </w:tr>
      <w:tr>
        <w:tblPrEx>
          <w:tblW w:w="8539" w:type="dxa"/>
          <w:tblInd w:w="184" w:type="dxa"/>
          <w:tblLayout w:type="fixed"/>
          <w:tblCellMar>
            <w:top w:w="0" w:type="dxa"/>
            <w:left w:w="0" w:type="dxa"/>
            <w:bottom w:w="0" w:type="dxa"/>
            <w:right w:w="0" w:type="dxa"/>
          </w:tblCellMar>
        </w:tblPrEx>
        <w:trPr>
          <w:trHeight w:val="350"/>
        </w:trPr>
        <w:tc>
          <w:tcPr>
            <w:tcW w:w="834" w:type="dxa"/>
            <w:vAlign w:val="top"/>
          </w:tcPr>
          <w:p>
            <w:pPr>
              <w:pStyle w:val="TableText"/>
              <w:spacing w:before="138" w:line="182" w:lineRule="auto"/>
              <w:ind w:left="365"/>
            </w:pPr>
            <w:r>
              <w:t>5</w:t>
            </w:r>
          </w:p>
        </w:tc>
        <w:tc>
          <w:tcPr>
            <w:tcW w:w="2507" w:type="dxa"/>
            <w:vAlign w:val="top"/>
          </w:tcPr>
          <w:p>
            <w:pPr>
              <w:pStyle w:val="TableText"/>
              <w:spacing w:before="91" w:line="219" w:lineRule="auto"/>
              <w:ind w:left="100"/>
            </w:pPr>
            <w:r>
              <w:rPr>
                <w:spacing w:val="2"/>
              </w:rPr>
              <w:t>固定资产</w:t>
            </w:r>
          </w:p>
        </w:tc>
        <w:tc>
          <w:tcPr>
            <w:tcW w:w="1169" w:type="dxa"/>
            <w:vAlign w:val="top"/>
          </w:tcPr>
          <w:p>
            <w:pPr>
              <w:pStyle w:val="TableText"/>
              <w:spacing w:before="136" w:line="184" w:lineRule="auto"/>
              <w:ind w:left="633"/>
            </w:pPr>
            <w:r>
              <w:rPr>
                <w:spacing w:val="-4"/>
              </w:rPr>
              <w:t>15.86</w:t>
            </w:r>
          </w:p>
        </w:tc>
        <w:tc>
          <w:tcPr>
            <w:tcW w:w="1468" w:type="dxa"/>
            <w:vAlign w:val="top"/>
          </w:tcPr>
          <w:p>
            <w:pPr>
              <w:pStyle w:val="TableText"/>
              <w:spacing w:before="137" w:line="183" w:lineRule="auto"/>
              <w:ind w:left="884"/>
            </w:pPr>
            <w:r>
              <w:rPr>
                <w:spacing w:val="-2"/>
              </w:rPr>
              <w:t>20.93</w:t>
            </w:r>
          </w:p>
        </w:tc>
        <w:tc>
          <w:tcPr>
            <w:tcW w:w="1258" w:type="dxa"/>
            <w:vAlign w:val="top"/>
          </w:tcPr>
          <w:p>
            <w:pPr>
              <w:pStyle w:val="TableText"/>
              <w:spacing w:before="137" w:line="183" w:lineRule="auto"/>
              <w:ind w:left="827"/>
            </w:pPr>
            <w:r>
              <w:rPr>
                <w:spacing w:val="-2"/>
              </w:rPr>
              <w:t>5.07</w:t>
            </w:r>
          </w:p>
        </w:tc>
        <w:tc>
          <w:tcPr>
            <w:tcW w:w="1303" w:type="dxa"/>
            <w:vAlign w:val="top"/>
          </w:tcPr>
          <w:p>
            <w:pPr>
              <w:pStyle w:val="TableText"/>
              <w:spacing w:before="136" w:line="184" w:lineRule="auto"/>
              <w:ind w:left="758"/>
            </w:pPr>
            <w:r>
              <w:rPr>
                <w:spacing w:val="-2"/>
              </w:rPr>
              <w:t>31.97</w:t>
            </w:r>
          </w:p>
        </w:tc>
      </w:tr>
      <w:tr>
        <w:tblPrEx>
          <w:tblW w:w="8539" w:type="dxa"/>
          <w:tblInd w:w="184" w:type="dxa"/>
          <w:tblLayout w:type="fixed"/>
          <w:tblCellMar>
            <w:top w:w="0" w:type="dxa"/>
            <w:left w:w="0" w:type="dxa"/>
            <w:bottom w:w="0" w:type="dxa"/>
            <w:right w:w="0" w:type="dxa"/>
          </w:tblCellMar>
        </w:tblPrEx>
        <w:trPr>
          <w:trHeight w:val="329"/>
        </w:trPr>
        <w:tc>
          <w:tcPr>
            <w:tcW w:w="834" w:type="dxa"/>
            <w:vAlign w:val="top"/>
          </w:tcPr>
          <w:p>
            <w:pPr>
              <w:pStyle w:val="TableText"/>
              <w:spacing w:before="127" w:line="183" w:lineRule="auto"/>
              <w:ind w:left="365"/>
            </w:pPr>
            <w:r>
              <w:t>6</w:t>
            </w:r>
          </w:p>
        </w:tc>
        <w:tc>
          <w:tcPr>
            <w:tcW w:w="2507" w:type="dxa"/>
            <w:vAlign w:val="top"/>
          </w:tcPr>
          <w:p>
            <w:pPr>
              <w:pStyle w:val="TableText"/>
              <w:spacing w:before="81" w:line="220" w:lineRule="auto"/>
              <w:ind w:left="100"/>
            </w:pPr>
            <w:r>
              <w:rPr>
                <w:spacing w:val="-2"/>
              </w:rPr>
              <w:t>在建工程</w:t>
            </w:r>
          </w:p>
        </w:tc>
        <w:tc>
          <w:tcPr>
            <w:tcW w:w="1169" w:type="dxa"/>
            <w:vAlign w:val="top"/>
          </w:tcPr>
          <w:p/>
        </w:tc>
        <w:tc>
          <w:tcPr>
            <w:tcW w:w="1468" w:type="dxa"/>
            <w:vAlign w:val="top"/>
          </w:tcPr>
          <w:p/>
        </w:tc>
        <w:tc>
          <w:tcPr>
            <w:tcW w:w="1258" w:type="dxa"/>
            <w:vAlign w:val="top"/>
          </w:tcPr>
          <w:p/>
        </w:tc>
        <w:tc>
          <w:tcPr>
            <w:tcW w:w="1303" w:type="dxa"/>
            <w:vAlign w:val="top"/>
          </w:tcPr>
          <w:p/>
        </w:tc>
      </w:tr>
      <w:tr>
        <w:tblPrEx>
          <w:tblW w:w="8539" w:type="dxa"/>
          <w:tblInd w:w="184" w:type="dxa"/>
          <w:tblLayout w:type="fixed"/>
          <w:tblCellMar>
            <w:top w:w="0" w:type="dxa"/>
            <w:left w:w="0" w:type="dxa"/>
            <w:bottom w:w="0" w:type="dxa"/>
            <w:right w:w="0" w:type="dxa"/>
          </w:tblCellMar>
        </w:tblPrEx>
        <w:trPr>
          <w:trHeight w:val="339"/>
        </w:trPr>
        <w:tc>
          <w:tcPr>
            <w:tcW w:w="834" w:type="dxa"/>
            <w:vAlign w:val="top"/>
          </w:tcPr>
          <w:p>
            <w:pPr>
              <w:pStyle w:val="TableText"/>
              <w:spacing w:before="129" w:line="182" w:lineRule="auto"/>
              <w:ind w:left="365"/>
            </w:pPr>
            <w:r>
              <w:t>7</w:t>
            </w:r>
          </w:p>
        </w:tc>
        <w:tc>
          <w:tcPr>
            <w:tcW w:w="2507" w:type="dxa"/>
            <w:vAlign w:val="top"/>
          </w:tcPr>
          <w:p>
            <w:pPr>
              <w:pStyle w:val="TableText"/>
              <w:spacing w:before="82" w:line="219" w:lineRule="auto"/>
              <w:ind w:left="100"/>
            </w:pPr>
            <w:r>
              <w:rPr>
                <w:spacing w:val="-2"/>
              </w:rPr>
              <w:t>无形资产</w:t>
            </w:r>
          </w:p>
        </w:tc>
        <w:tc>
          <w:tcPr>
            <w:tcW w:w="1169" w:type="dxa"/>
            <w:vAlign w:val="top"/>
          </w:tcPr>
          <w:p/>
        </w:tc>
        <w:tc>
          <w:tcPr>
            <w:tcW w:w="1468" w:type="dxa"/>
            <w:vAlign w:val="top"/>
          </w:tcPr>
          <w:p>
            <w:pPr>
              <w:pStyle w:val="TableText"/>
              <w:spacing w:before="107" w:line="183" w:lineRule="auto"/>
              <w:ind w:left="524"/>
            </w:pPr>
            <w:r>
              <w:rPr>
                <w:spacing w:val="-2"/>
              </w:rPr>
              <w:t>29,890.20</w:t>
            </w:r>
          </w:p>
        </w:tc>
        <w:tc>
          <w:tcPr>
            <w:tcW w:w="1258" w:type="dxa"/>
            <w:vAlign w:val="top"/>
          </w:tcPr>
          <w:p>
            <w:pPr>
              <w:pStyle w:val="TableText"/>
              <w:spacing w:before="107" w:line="183" w:lineRule="auto"/>
              <w:ind w:left="376"/>
            </w:pPr>
            <w:r>
              <w:rPr>
                <w:spacing w:val="-2"/>
              </w:rPr>
              <w:t>29,890.20</w:t>
            </w:r>
          </w:p>
        </w:tc>
        <w:tc>
          <w:tcPr>
            <w:tcW w:w="1303" w:type="dxa"/>
            <w:vAlign w:val="top"/>
          </w:tcPr>
          <w:p/>
        </w:tc>
      </w:tr>
      <w:tr>
        <w:tblPrEx>
          <w:tblW w:w="8539" w:type="dxa"/>
          <w:tblInd w:w="184" w:type="dxa"/>
          <w:tblLayout w:type="fixed"/>
          <w:tblCellMar>
            <w:top w:w="0" w:type="dxa"/>
            <w:left w:w="0" w:type="dxa"/>
            <w:bottom w:w="0" w:type="dxa"/>
            <w:right w:w="0" w:type="dxa"/>
          </w:tblCellMar>
        </w:tblPrEx>
        <w:trPr>
          <w:trHeight w:val="339"/>
        </w:trPr>
        <w:tc>
          <w:tcPr>
            <w:tcW w:w="834" w:type="dxa"/>
            <w:vAlign w:val="top"/>
          </w:tcPr>
          <w:p>
            <w:pPr>
              <w:pStyle w:val="TableText"/>
              <w:spacing w:before="129" w:line="183" w:lineRule="auto"/>
              <w:ind w:left="365"/>
            </w:pPr>
            <w:r>
              <w:t>8</w:t>
            </w:r>
          </w:p>
        </w:tc>
        <w:tc>
          <w:tcPr>
            <w:tcW w:w="2507" w:type="dxa"/>
            <w:vAlign w:val="top"/>
          </w:tcPr>
          <w:p>
            <w:pPr>
              <w:pStyle w:val="TableText"/>
              <w:spacing w:before="83" w:line="219" w:lineRule="auto"/>
              <w:ind w:left="100"/>
            </w:pPr>
            <w:r>
              <w:rPr>
                <w:spacing w:val="3"/>
              </w:rPr>
              <w:t>长期待摊费用</w:t>
            </w:r>
          </w:p>
        </w:tc>
        <w:tc>
          <w:tcPr>
            <w:tcW w:w="1169" w:type="dxa"/>
            <w:vAlign w:val="top"/>
          </w:tcPr>
          <w:p>
            <w:pPr>
              <w:pStyle w:val="TableText"/>
              <w:spacing w:before="128" w:line="184" w:lineRule="auto"/>
              <w:ind w:left="633"/>
            </w:pPr>
            <w:r>
              <w:rPr>
                <w:spacing w:val="-4"/>
              </w:rPr>
              <w:t>19.41</w:t>
            </w:r>
          </w:p>
        </w:tc>
        <w:tc>
          <w:tcPr>
            <w:tcW w:w="1468" w:type="dxa"/>
            <w:vAlign w:val="top"/>
          </w:tcPr>
          <w:p>
            <w:pPr>
              <w:pStyle w:val="TableText"/>
              <w:spacing w:before="128" w:line="184" w:lineRule="auto"/>
              <w:ind w:left="975"/>
            </w:pPr>
            <w:r>
              <w:rPr>
                <w:spacing w:val="-4"/>
              </w:rPr>
              <w:t>19.4</w:t>
            </w:r>
          </w:p>
        </w:tc>
        <w:tc>
          <w:tcPr>
            <w:tcW w:w="1258" w:type="dxa"/>
            <w:vAlign w:val="top"/>
          </w:tcPr>
          <w:p/>
        </w:tc>
        <w:tc>
          <w:tcPr>
            <w:tcW w:w="1303" w:type="dxa"/>
            <w:vAlign w:val="top"/>
          </w:tcPr>
          <w:p/>
        </w:tc>
      </w:tr>
      <w:tr>
        <w:tblPrEx>
          <w:tblW w:w="8539" w:type="dxa"/>
          <w:tblInd w:w="184" w:type="dxa"/>
          <w:tblLayout w:type="fixed"/>
          <w:tblCellMar>
            <w:top w:w="0" w:type="dxa"/>
            <w:left w:w="0" w:type="dxa"/>
            <w:bottom w:w="0" w:type="dxa"/>
            <w:right w:w="0" w:type="dxa"/>
          </w:tblCellMar>
        </w:tblPrEx>
        <w:trPr>
          <w:trHeight w:val="340"/>
        </w:trPr>
        <w:tc>
          <w:tcPr>
            <w:tcW w:w="834" w:type="dxa"/>
            <w:vAlign w:val="top"/>
          </w:tcPr>
          <w:p>
            <w:pPr>
              <w:pStyle w:val="TableText"/>
              <w:spacing w:before="130" w:line="183" w:lineRule="auto"/>
              <w:ind w:left="365"/>
            </w:pPr>
            <w:r>
              <w:t>9</w:t>
            </w:r>
          </w:p>
        </w:tc>
        <w:tc>
          <w:tcPr>
            <w:tcW w:w="2507" w:type="dxa"/>
            <w:vAlign w:val="top"/>
          </w:tcPr>
          <w:p>
            <w:pPr>
              <w:pStyle w:val="TableText"/>
              <w:spacing w:before="84" w:line="219" w:lineRule="auto"/>
              <w:ind w:left="100"/>
            </w:pPr>
            <w:r>
              <w:rPr>
                <w:spacing w:val="-1"/>
              </w:rPr>
              <w:t>递延所得税资产</w:t>
            </w:r>
          </w:p>
        </w:tc>
        <w:tc>
          <w:tcPr>
            <w:tcW w:w="1169" w:type="dxa"/>
            <w:vAlign w:val="top"/>
          </w:tcPr>
          <w:p/>
        </w:tc>
        <w:tc>
          <w:tcPr>
            <w:tcW w:w="1468" w:type="dxa"/>
            <w:vAlign w:val="top"/>
          </w:tcPr>
          <w:p/>
        </w:tc>
        <w:tc>
          <w:tcPr>
            <w:tcW w:w="1258" w:type="dxa"/>
            <w:vAlign w:val="top"/>
          </w:tcPr>
          <w:p/>
        </w:tc>
        <w:tc>
          <w:tcPr>
            <w:tcW w:w="1303" w:type="dxa"/>
            <w:vAlign w:val="top"/>
          </w:tcPr>
          <w:p/>
        </w:tc>
      </w:tr>
      <w:tr>
        <w:tblPrEx>
          <w:tblW w:w="8539" w:type="dxa"/>
          <w:tblInd w:w="184" w:type="dxa"/>
          <w:tblLayout w:type="fixed"/>
          <w:tblCellMar>
            <w:top w:w="0" w:type="dxa"/>
            <w:left w:w="0" w:type="dxa"/>
            <w:bottom w:w="0" w:type="dxa"/>
            <w:right w:w="0" w:type="dxa"/>
          </w:tblCellMar>
        </w:tblPrEx>
        <w:trPr>
          <w:trHeight w:val="339"/>
        </w:trPr>
        <w:tc>
          <w:tcPr>
            <w:tcW w:w="834" w:type="dxa"/>
            <w:vAlign w:val="top"/>
          </w:tcPr>
          <w:p>
            <w:pPr>
              <w:pStyle w:val="TableText"/>
              <w:spacing w:before="129" w:line="184" w:lineRule="auto"/>
              <w:ind w:left="315"/>
            </w:pPr>
            <w:r>
              <w:rPr>
                <w:spacing w:val="-6"/>
              </w:rPr>
              <w:t>10</w:t>
            </w:r>
          </w:p>
        </w:tc>
        <w:tc>
          <w:tcPr>
            <w:tcW w:w="2507" w:type="dxa"/>
            <w:vAlign w:val="top"/>
          </w:tcPr>
          <w:p>
            <w:pPr>
              <w:pStyle w:val="TableText"/>
              <w:spacing w:before="84" w:line="219" w:lineRule="auto"/>
              <w:ind w:left="100"/>
            </w:pPr>
            <w:r>
              <w:rPr>
                <w:spacing w:val="-1"/>
              </w:rPr>
              <w:t>其他非流动资产</w:t>
            </w:r>
          </w:p>
        </w:tc>
        <w:tc>
          <w:tcPr>
            <w:tcW w:w="1169" w:type="dxa"/>
            <w:vAlign w:val="top"/>
          </w:tcPr>
          <w:p/>
        </w:tc>
        <w:tc>
          <w:tcPr>
            <w:tcW w:w="1468" w:type="dxa"/>
            <w:vAlign w:val="top"/>
          </w:tcPr>
          <w:p/>
        </w:tc>
        <w:tc>
          <w:tcPr>
            <w:tcW w:w="1258" w:type="dxa"/>
            <w:vAlign w:val="top"/>
          </w:tcPr>
          <w:p/>
        </w:tc>
        <w:tc>
          <w:tcPr>
            <w:tcW w:w="1303" w:type="dxa"/>
            <w:vAlign w:val="top"/>
          </w:tcPr>
          <w:p/>
        </w:tc>
      </w:tr>
      <w:tr>
        <w:tblPrEx>
          <w:tblW w:w="8539" w:type="dxa"/>
          <w:tblInd w:w="184" w:type="dxa"/>
          <w:tblLayout w:type="fixed"/>
          <w:tblCellMar>
            <w:top w:w="0" w:type="dxa"/>
            <w:left w:w="0" w:type="dxa"/>
            <w:bottom w:w="0" w:type="dxa"/>
            <w:right w:w="0" w:type="dxa"/>
          </w:tblCellMar>
        </w:tblPrEx>
        <w:trPr>
          <w:trHeight w:val="339"/>
        </w:trPr>
        <w:tc>
          <w:tcPr>
            <w:tcW w:w="834" w:type="dxa"/>
            <w:vAlign w:val="top"/>
          </w:tcPr>
          <w:p>
            <w:pPr>
              <w:pStyle w:val="TableText"/>
              <w:spacing w:before="130" w:line="184" w:lineRule="auto"/>
              <w:ind w:left="315"/>
            </w:pPr>
            <w:r>
              <w:rPr>
                <w:spacing w:val="-6"/>
              </w:rPr>
              <w:t>11</w:t>
            </w:r>
          </w:p>
        </w:tc>
        <w:tc>
          <w:tcPr>
            <w:tcW w:w="2507" w:type="dxa"/>
            <w:vAlign w:val="top"/>
          </w:tcPr>
          <w:p>
            <w:pPr>
              <w:pStyle w:val="TableText"/>
              <w:spacing w:before="82" w:line="219" w:lineRule="auto"/>
              <w:ind w:left="103"/>
            </w:pPr>
            <w:r>
              <w:rPr>
                <w:b/>
                <w:bCs/>
                <w:spacing w:val="-5"/>
              </w:rPr>
              <w:t>资产总计</w:t>
            </w:r>
          </w:p>
        </w:tc>
        <w:tc>
          <w:tcPr>
            <w:tcW w:w="1169" w:type="dxa"/>
            <w:vAlign w:val="top"/>
          </w:tcPr>
          <w:p>
            <w:pPr>
              <w:pStyle w:val="TableText"/>
              <w:spacing w:before="107" w:line="184" w:lineRule="auto"/>
              <w:ind w:left="366"/>
            </w:pPr>
            <w:r>
              <w:rPr>
                <w:b/>
                <w:bCs/>
                <w:spacing w:val="-5"/>
              </w:rPr>
              <w:t>1,219.51</w:t>
            </w:r>
          </w:p>
        </w:tc>
        <w:tc>
          <w:tcPr>
            <w:tcW w:w="1468" w:type="dxa"/>
            <w:vAlign w:val="top"/>
          </w:tcPr>
          <w:p>
            <w:pPr>
              <w:pStyle w:val="TableText"/>
              <w:spacing w:before="107" w:line="184" w:lineRule="auto"/>
              <w:ind w:left="527"/>
            </w:pPr>
            <w:r>
              <w:rPr>
                <w:b/>
                <w:bCs/>
                <w:spacing w:val="-4"/>
              </w:rPr>
              <w:t>31,114.78</w:t>
            </w:r>
          </w:p>
        </w:tc>
        <w:tc>
          <w:tcPr>
            <w:tcW w:w="1258" w:type="dxa"/>
            <w:vAlign w:val="top"/>
          </w:tcPr>
          <w:p>
            <w:pPr>
              <w:pStyle w:val="TableText"/>
              <w:spacing w:before="108" w:line="183" w:lineRule="auto"/>
              <w:ind w:left="379"/>
            </w:pPr>
            <w:r>
              <w:rPr>
                <w:b/>
                <w:bCs/>
                <w:spacing w:val="-3"/>
              </w:rPr>
              <w:t>29,895.27</w:t>
            </w:r>
          </w:p>
        </w:tc>
        <w:tc>
          <w:tcPr>
            <w:tcW w:w="1303" w:type="dxa"/>
            <w:vAlign w:val="top"/>
          </w:tcPr>
          <w:p>
            <w:pPr>
              <w:pStyle w:val="TableText"/>
              <w:spacing w:before="107" w:line="184" w:lineRule="auto"/>
              <w:ind w:left="491"/>
            </w:pPr>
            <w:r>
              <w:rPr>
                <w:b/>
                <w:bCs/>
                <w:spacing w:val="-4"/>
              </w:rPr>
              <w:t>2,451.42</w:t>
            </w:r>
          </w:p>
        </w:tc>
      </w:tr>
      <w:tr>
        <w:tblPrEx>
          <w:tblW w:w="8539" w:type="dxa"/>
          <w:tblInd w:w="184" w:type="dxa"/>
          <w:tblLayout w:type="fixed"/>
          <w:tblCellMar>
            <w:top w:w="0" w:type="dxa"/>
            <w:left w:w="0" w:type="dxa"/>
            <w:bottom w:w="0" w:type="dxa"/>
            <w:right w:w="0" w:type="dxa"/>
          </w:tblCellMar>
        </w:tblPrEx>
        <w:trPr>
          <w:trHeight w:val="340"/>
        </w:trPr>
        <w:tc>
          <w:tcPr>
            <w:tcW w:w="834" w:type="dxa"/>
            <w:vAlign w:val="top"/>
          </w:tcPr>
          <w:p>
            <w:pPr>
              <w:pStyle w:val="TableText"/>
              <w:spacing w:before="131" w:line="184" w:lineRule="auto"/>
              <w:ind w:left="315"/>
            </w:pPr>
            <w:r>
              <w:rPr>
                <w:spacing w:val="-6"/>
              </w:rPr>
              <w:t>12</w:t>
            </w:r>
          </w:p>
        </w:tc>
        <w:tc>
          <w:tcPr>
            <w:tcW w:w="2507" w:type="dxa"/>
            <w:vAlign w:val="top"/>
          </w:tcPr>
          <w:p>
            <w:pPr>
              <w:pStyle w:val="TableText"/>
              <w:spacing w:before="86" w:line="219" w:lineRule="auto"/>
              <w:ind w:left="100"/>
            </w:pPr>
            <w:r>
              <w:rPr>
                <w:spacing w:val="-2"/>
              </w:rPr>
              <w:t>流动负债</w:t>
            </w:r>
          </w:p>
        </w:tc>
        <w:tc>
          <w:tcPr>
            <w:tcW w:w="1169" w:type="dxa"/>
            <w:vAlign w:val="top"/>
          </w:tcPr>
          <w:p>
            <w:pPr>
              <w:pStyle w:val="TableText"/>
              <w:spacing w:before="131" w:line="184" w:lineRule="auto"/>
              <w:ind w:left="633"/>
            </w:pPr>
            <w:r>
              <w:rPr>
                <w:spacing w:val="-4"/>
              </w:rPr>
              <w:t>13.50</w:t>
            </w:r>
          </w:p>
        </w:tc>
        <w:tc>
          <w:tcPr>
            <w:tcW w:w="1468" w:type="dxa"/>
            <w:vAlign w:val="top"/>
          </w:tcPr>
          <w:p>
            <w:pPr>
              <w:pStyle w:val="TableText"/>
              <w:spacing w:before="131" w:line="184" w:lineRule="auto"/>
              <w:ind w:left="884"/>
            </w:pPr>
            <w:r>
              <w:rPr>
                <w:spacing w:val="-4"/>
              </w:rPr>
              <w:t>13.50</w:t>
            </w:r>
          </w:p>
        </w:tc>
        <w:tc>
          <w:tcPr>
            <w:tcW w:w="1258" w:type="dxa"/>
            <w:vAlign w:val="top"/>
          </w:tcPr>
          <w:p/>
        </w:tc>
        <w:tc>
          <w:tcPr>
            <w:tcW w:w="1303" w:type="dxa"/>
            <w:vAlign w:val="top"/>
          </w:tcPr>
          <w:p/>
        </w:tc>
      </w:tr>
      <w:tr>
        <w:tblPrEx>
          <w:tblW w:w="8539" w:type="dxa"/>
          <w:tblInd w:w="184" w:type="dxa"/>
          <w:tblLayout w:type="fixed"/>
          <w:tblCellMar>
            <w:top w:w="0" w:type="dxa"/>
            <w:left w:w="0" w:type="dxa"/>
            <w:bottom w:w="0" w:type="dxa"/>
            <w:right w:w="0" w:type="dxa"/>
          </w:tblCellMar>
        </w:tblPrEx>
        <w:trPr>
          <w:trHeight w:val="339"/>
        </w:trPr>
        <w:tc>
          <w:tcPr>
            <w:tcW w:w="834" w:type="dxa"/>
            <w:vAlign w:val="top"/>
          </w:tcPr>
          <w:p>
            <w:pPr>
              <w:pStyle w:val="TableText"/>
              <w:spacing w:before="131" w:line="184" w:lineRule="auto"/>
              <w:ind w:left="315"/>
            </w:pPr>
            <w:r>
              <w:rPr>
                <w:spacing w:val="-6"/>
              </w:rPr>
              <w:t>13</w:t>
            </w:r>
          </w:p>
        </w:tc>
        <w:tc>
          <w:tcPr>
            <w:tcW w:w="2507" w:type="dxa"/>
            <w:vAlign w:val="top"/>
          </w:tcPr>
          <w:p>
            <w:pPr>
              <w:pStyle w:val="TableText"/>
              <w:spacing w:before="86" w:line="219" w:lineRule="auto"/>
              <w:ind w:left="100"/>
            </w:pPr>
            <w:r>
              <w:rPr>
                <w:spacing w:val="-2"/>
              </w:rPr>
              <w:t>非流动负债</w:t>
            </w:r>
          </w:p>
        </w:tc>
        <w:tc>
          <w:tcPr>
            <w:tcW w:w="1169" w:type="dxa"/>
            <w:vAlign w:val="top"/>
          </w:tcPr>
          <w:p/>
        </w:tc>
        <w:tc>
          <w:tcPr>
            <w:tcW w:w="1468" w:type="dxa"/>
            <w:vAlign w:val="top"/>
          </w:tcPr>
          <w:p/>
        </w:tc>
        <w:tc>
          <w:tcPr>
            <w:tcW w:w="1258" w:type="dxa"/>
            <w:vAlign w:val="top"/>
          </w:tcPr>
          <w:p/>
        </w:tc>
        <w:tc>
          <w:tcPr>
            <w:tcW w:w="1303" w:type="dxa"/>
            <w:vAlign w:val="top"/>
          </w:tcPr>
          <w:p/>
        </w:tc>
      </w:tr>
      <w:tr>
        <w:tblPrEx>
          <w:tblW w:w="8539" w:type="dxa"/>
          <w:tblInd w:w="184" w:type="dxa"/>
          <w:tblLayout w:type="fixed"/>
          <w:tblCellMar>
            <w:top w:w="0" w:type="dxa"/>
            <w:left w:w="0" w:type="dxa"/>
            <w:bottom w:w="0" w:type="dxa"/>
            <w:right w:w="0" w:type="dxa"/>
          </w:tblCellMar>
        </w:tblPrEx>
        <w:trPr>
          <w:trHeight w:val="340"/>
        </w:trPr>
        <w:tc>
          <w:tcPr>
            <w:tcW w:w="834" w:type="dxa"/>
            <w:vAlign w:val="top"/>
          </w:tcPr>
          <w:p>
            <w:pPr>
              <w:pStyle w:val="TableText"/>
              <w:spacing w:before="132" w:line="184" w:lineRule="auto"/>
              <w:ind w:left="315"/>
            </w:pPr>
            <w:r>
              <w:rPr>
                <w:spacing w:val="-6"/>
              </w:rPr>
              <w:t>14</w:t>
            </w:r>
          </w:p>
        </w:tc>
        <w:tc>
          <w:tcPr>
            <w:tcW w:w="2507" w:type="dxa"/>
            <w:vAlign w:val="top"/>
          </w:tcPr>
          <w:p>
            <w:pPr>
              <w:pStyle w:val="TableText"/>
              <w:spacing w:before="84" w:line="219" w:lineRule="auto"/>
              <w:ind w:left="103"/>
            </w:pPr>
            <w:r>
              <w:rPr>
                <w:b/>
                <w:bCs/>
                <w:spacing w:val="-5"/>
              </w:rPr>
              <w:t>负债合计</w:t>
            </w:r>
          </w:p>
        </w:tc>
        <w:tc>
          <w:tcPr>
            <w:tcW w:w="1169" w:type="dxa"/>
            <w:vAlign w:val="top"/>
          </w:tcPr>
          <w:p>
            <w:pPr>
              <w:pStyle w:val="TableText"/>
              <w:spacing w:before="130" w:line="184" w:lineRule="auto"/>
              <w:ind w:left="636"/>
            </w:pPr>
            <w:r>
              <w:rPr>
                <w:b/>
                <w:bCs/>
                <w:spacing w:val="-6"/>
              </w:rPr>
              <w:t>13.50</w:t>
            </w:r>
          </w:p>
        </w:tc>
        <w:tc>
          <w:tcPr>
            <w:tcW w:w="1468" w:type="dxa"/>
            <w:vAlign w:val="top"/>
          </w:tcPr>
          <w:p>
            <w:pPr>
              <w:pStyle w:val="TableText"/>
              <w:spacing w:before="132" w:line="184" w:lineRule="auto"/>
              <w:ind w:left="884"/>
            </w:pPr>
            <w:r>
              <w:rPr>
                <w:spacing w:val="-4"/>
              </w:rPr>
              <w:t>13.50</w:t>
            </w:r>
          </w:p>
        </w:tc>
        <w:tc>
          <w:tcPr>
            <w:tcW w:w="1258" w:type="dxa"/>
            <w:vAlign w:val="top"/>
          </w:tcPr>
          <w:p>
            <w:pPr>
              <w:pStyle w:val="TableText"/>
              <w:spacing w:before="148" w:line="239" w:lineRule="auto"/>
              <w:ind w:left="1127"/>
              <w:rPr>
                <w:sz w:val="6"/>
                <w:szCs w:val="6"/>
              </w:rPr>
            </w:pPr>
            <w:r>
              <w:rPr>
                <w:sz w:val="6"/>
                <w:szCs w:val="6"/>
              </w:rPr>
              <w:t>■</w:t>
            </w:r>
          </w:p>
        </w:tc>
        <w:tc>
          <w:tcPr>
            <w:tcW w:w="1303" w:type="dxa"/>
            <w:vAlign w:val="top"/>
          </w:tcPr>
          <w:p/>
        </w:tc>
      </w:tr>
      <w:tr>
        <w:tblPrEx>
          <w:tblW w:w="8539" w:type="dxa"/>
          <w:tblInd w:w="184" w:type="dxa"/>
          <w:tblLayout w:type="fixed"/>
          <w:tblCellMar>
            <w:top w:w="0" w:type="dxa"/>
            <w:left w:w="0" w:type="dxa"/>
            <w:bottom w:w="0" w:type="dxa"/>
            <w:right w:w="0" w:type="dxa"/>
          </w:tblCellMar>
        </w:tblPrEx>
        <w:trPr>
          <w:trHeight w:val="344"/>
        </w:trPr>
        <w:tc>
          <w:tcPr>
            <w:tcW w:w="834" w:type="dxa"/>
            <w:vAlign w:val="top"/>
          </w:tcPr>
          <w:p>
            <w:pPr>
              <w:pStyle w:val="TableText"/>
              <w:spacing w:before="132" w:line="184" w:lineRule="auto"/>
              <w:ind w:left="315"/>
            </w:pPr>
            <w:r>
              <w:rPr>
                <w:spacing w:val="-6"/>
              </w:rPr>
              <w:t>15</w:t>
            </w:r>
          </w:p>
        </w:tc>
        <w:tc>
          <w:tcPr>
            <w:tcW w:w="2507" w:type="dxa"/>
            <w:vAlign w:val="top"/>
          </w:tcPr>
          <w:p>
            <w:pPr>
              <w:pStyle w:val="TableText"/>
              <w:spacing w:before="84" w:line="219" w:lineRule="auto"/>
              <w:ind w:left="103"/>
            </w:pPr>
            <w:r>
              <w:rPr>
                <w:b/>
                <w:bCs/>
                <w:spacing w:val="1"/>
              </w:rPr>
              <w:t>净资产(所有者权益)</w:t>
            </w:r>
          </w:p>
        </w:tc>
        <w:tc>
          <w:tcPr>
            <w:tcW w:w="1169" w:type="dxa"/>
            <w:vAlign w:val="top"/>
          </w:tcPr>
          <w:p>
            <w:pPr>
              <w:pStyle w:val="TableText"/>
              <w:spacing w:before="109" w:line="184" w:lineRule="auto"/>
              <w:ind w:left="366"/>
            </w:pPr>
            <w:r>
              <w:rPr>
                <w:b/>
                <w:bCs/>
                <w:spacing w:val="-5"/>
              </w:rPr>
              <w:t>1,206.01</w:t>
            </w:r>
          </w:p>
        </w:tc>
        <w:tc>
          <w:tcPr>
            <w:tcW w:w="1468" w:type="dxa"/>
            <w:vAlign w:val="top"/>
          </w:tcPr>
          <w:p>
            <w:pPr>
              <w:pStyle w:val="TableText"/>
              <w:spacing w:before="109" w:line="184" w:lineRule="auto"/>
              <w:ind w:left="527"/>
            </w:pPr>
            <w:r>
              <w:rPr>
                <w:b/>
                <w:bCs/>
                <w:spacing w:val="-4"/>
              </w:rPr>
              <w:t>31,101.28</w:t>
            </w:r>
          </w:p>
        </w:tc>
        <w:tc>
          <w:tcPr>
            <w:tcW w:w="1258" w:type="dxa"/>
            <w:vAlign w:val="top"/>
          </w:tcPr>
          <w:p>
            <w:pPr>
              <w:pStyle w:val="TableText"/>
              <w:spacing w:before="110" w:line="183" w:lineRule="auto"/>
              <w:ind w:left="379"/>
            </w:pPr>
            <w:r>
              <w:rPr>
                <w:b/>
                <w:bCs/>
                <w:spacing w:val="-3"/>
              </w:rPr>
              <w:t>29,895.27</w:t>
            </w:r>
          </w:p>
        </w:tc>
        <w:tc>
          <w:tcPr>
            <w:tcW w:w="1303" w:type="dxa"/>
            <w:vAlign w:val="top"/>
          </w:tcPr>
          <w:p>
            <w:pPr>
              <w:pStyle w:val="TableText"/>
              <w:spacing w:before="110" w:line="183" w:lineRule="auto"/>
              <w:ind w:left="491"/>
            </w:pPr>
            <w:r>
              <w:rPr>
                <w:b/>
                <w:bCs/>
                <w:spacing w:val="-4"/>
              </w:rPr>
              <w:t>2,478.86</w:t>
            </w:r>
          </w:p>
        </w:tc>
      </w:tr>
    </w:tbl>
    <w:p>
      <w:pPr>
        <w:spacing w:before="202" w:line="218" w:lineRule="auto"/>
        <w:ind w:left="844"/>
        <w:rPr>
          <w:rFonts w:ascii="宋体" w:eastAsia="宋体" w:hAnsi="宋体" w:cs="宋体"/>
          <w:sz w:val="24"/>
          <w:szCs w:val="24"/>
        </w:rPr>
      </w:pPr>
      <w:r>
        <w:rPr>
          <w:rFonts w:ascii="宋体" w:eastAsia="宋体" w:hAnsi="宋体" w:cs="宋体"/>
          <w:spacing w:val="-5"/>
          <w:sz w:val="24"/>
          <w:szCs w:val="24"/>
        </w:rPr>
        <w:t>评估结论详细情况详见资产评估明细表。</w:t>
      </w:r>
    </w:p>
    <w:p>
      <w:pPr>
        <w:spacing w:before="206" w:line="219" w:lineRule="auto"/>
        <w:ind w:left="848"/>
        <w:rPr>
          <w:rFonts w:ascii="宋体" w:eastAsia="宋体" w:hAnsi="宋体" w:cs="宋体"/>
          <w:sz w:val="24"/>
          <w:szCs w:val="24"/>
        </w:rPr>
      </w:pPr>
      <w:r>
        <w:rPr>
          <w:rFonts w:ascii="宋体" w:eastAsia="宋体" w:hAnsi="宋体" w:cs="宋体"/>
          <w:b/>
          <w:bCs/>
          <w:spacing w:val="-8"/>
          <w:sz w:val="24"/>
          <w:szCs w:val="24"/>
        </w:rPr>
        <w:t>十二、特别事项说明</w:t>
      </w:r>
    </w:p>
    <w:p>
      <w:pPr>
        <w:spacing w:before="146" w:line="400" w:lineRule="exact"/>
        <w:ind w:left="844"/>
        <w:rPr>
          <w:rFonts w:ascii="宋体" w:eastAsia="宋体" w:hAnsi="宋体" w:cs="宋体"/>
          <w:sz w:val="24"/>
          <w:szCs w:val="24"/>
        </w:rPr>
      </w:pPr>
      <w:r>
        <w:rPr>
          <w:rFonts w:ascii="宋体" w:eastAsia="宋体" w:hAnsi="宋体" w:cs="宋体"/>
          <w:spacing w:val="1"/>
          <w:position w:val="11"/>
          <w:sz w:val="24"/>
          <w:szCs w:val="24"/>
        </w:rPr>
        <w:t>以下为在评估过程中已发现可能影响评估结论但非评估人员执业水平和能</w:t>
      </w:r>
    </w:p>
    <w:p>
      <w:pPr>
        <w:spacing w:before="1" w:line="217" w:lineRule="auto"/>
        <w:ind w:left="274"/>
        <w:rPr>
          <w:rFonts w:ascii="宋体" w:eastAsia="宋体" w:hAnsi="宋体" w:cs="宋体"/>
          <w:sz w:val="24"/>
          <w:szCs w:val="24"/>
        </w:rPr>
      </w:pPr>
      <w:r>
        <w:rPr>
          <w:rFonts w:ascii="宋体" w:eastAsia="宋体" w:hAnsi="宋体" w:cs="宋体"/>
          <w:spacing w:val="-7"/>
          <w:sz w:val="24"/>
          <w:szCs w:val="24"/>
        </w:rPr>
        <w:t>力所能评定估算的有关事项：</w:t>
      </w:r>
    </w:p>
    <w:p>
      <w:pPr>
        <w:spacing w:before="181" w:line="249" w:lineRule="auto"/>
        <w:ind w:left="274" w:right="410" w:firstLine="569"/>
        <w:jc w:val="both"/>
        <w:rPr>
          <w:rFonts w:ascii="宋体" w:eastAsia="宋体" w:hAnsi="宋体" w:cs="宋体"/>
          <w:sz w:val="23"/>
          <w:szCs w:val="23"/>
        </w:rPr>
      </w:pPr>
      <w:r>
        <w:rPr>
          <w:rFonts w:ascii="宋体" w:eastAsia="宋体" w:hAnsi="宋体" w:cs="宋体"/>
          <w:spacing w:val="-6"/>
          <w:sz w:val="24"/>
          <w:szCs w:val="24"/>
        </w:rPr>
        <w:t>1、企业申报的账面未记录的无形资产-发明专利、著作权共计7项，包括1项</w:t>
      </w:r>
      <w:r>
        <w:rPr>
          <w:rFonts w:ascii="宋体" w:eastAsia="宋体" w:hAnsi="宋体" w:cs="宋体"/>
          <w:spacing w:val="13"/>
          <w:sz w:val="24"/>
          <w:szCs w:val="24"/>
        </w:rPr>
        <w:t xml:space="preserve"> </w:t>
      </w:r>
      <w:r>
        <w:rPr>
          <w:rFonts w:ascii="宋体" w:eastAsia="宋体" w:hAnsi="宋体" w:cs="宋体"/>
          <w:spacing w:val="-2"/>
          <w:sz w:val="24"/>
          <w:szCs w:val="24"/>
        </w:rPr>
        <w:t>发明专利和6项软件著作权，均获于2023年，证载权利人</w:t>
      </w:r>
      <w:r>
        <w:rPr>
          <w:rFonts w:ascii="宋体" w:eastAsia="宋体" w:hAnsi="宋体" w:cs="宋体"/>
          <w:spacing w:val="-3"/>
          <w:sz w:val="24"/>
          <w:szCs w:val="24"/>
        </w:rPr>
        <w:t xml:space="preserve">为北京中企慧云科技有 </w:t>
      </w:r>
      <w:r>
        <w:rPr>
          <w:rFonts w:ascii="宋体" w:eastAsia="宋体" w:hAnsi="宋体" w:cs="宋体"/>
          <w:spacing w:val="3"/>
          <w:sz w:val="23"/>
          <w:szCs w:val="23"/>
        </w:rPr>
        <w:t>限公司，本次评估按照表外资产纳入评估范围。具体情况如下表所示：</w:t>
      </w:r>
    </w:p>
    <w:p>
      <w:pPr>
        <w:spacing w:line="46" w:lineRule="exact"/>
      </w:pPr>
    </w:p>
    <w:tbl>
      <w:tblPr>
        <w:tblStyle w:val="TableNormal03"/>
        <w:tblW w:w="89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414"/>
        <w:gridCol w:w="3186"/>
        <w:gridCol w:w="1309"/>
        <w:gridCol w:w="979"/>
        <w:gridCol w:w="2247"/>
        <w:gridCol w:w="834"/>
      </w:tblGrid>
      <w:tr>
        <w:tblPrEx>
          <w:tblW w:w="89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21"/>
        </w:trPr>
        <w:tc>
          <w:tcPr>
            <w:tcW w:w="414" w:type="dxa"/>
            <w:textDirection w:val="tbRlV"/>
            <w:vAlign w:val="top"/>
          </w:tcPr>
          <w:p>
            <w:pPr>
              <w:pStyle w:val="TableText"/>
              <w:spacing w:before="109" w:line="217" w:lineRule="auto"/>
              <w:ind w:left="4"/>
              <w:rPr>
                <w:sz w:val="19"/>
                <w:szCs w:val="19"/>
              </w:rPr>
            </w:pPr>
            <w:r>
              <w:rPr>
                <w:sz w:val="19"/>
                <w:szCs w:val="19"/>
              </w:rPr>
              <w:t>序</w:t>
            </w:r>
            <w:r>
              <w:rPr>
                <w:spacing w:val="20"/>
                <w:sz w:val="19"/>
                <w:szCs w:val="19"/>
              </w:rPr>
              <w:t xml:space="preserve"> </w:t>
            </w:r>
            <w:r>
              <w:rPr>
                <w:sz w:val="19"/>
                <w:szCs w:val="19"/>
              </w:rPr>
              <w:t>号</w:t>
            </w:r>
          </w:p>
        </w:tc>
        <w:tc>
          <w:tcPr>
            <w:tcW w:w="3186" w:type="dxa"/>
            <w:vAlign w:val="top"/>
          </w:tcPr>
          <w:p>
            <w:pPr>
              <w:pStyle w:val="TableText"/>
              <w:spacing w:before="172" w:line="219" w:lineRule="auto"/>
              <w:ind w:left="730"/>
              <w:rPr>
                <w:sz w:val="19"/>
                <w:szCs w:val="19"/>
              </w:rPr>
            </w:pPr>
            <w:r>
              <w:rPr>
                <w:spacing w:val="-1"/>
                <w:sz w:val="19"/>
                <w:szCs w:val="19"/>
              </w:rPr>
              <w:t>无形资产名称和内容</w:t>
            </w:r>
          </w:p>
        </w:tc>
        <w:tc>
          <w:tcPr>
            <w:tcW w:w="1309" w:type="dxa"/>
            <w:vAlign w:val="top"/>
          </w:tcPr>
          <w:p>
            <w:pPr>
              <w:pStyle w:val="TableText"/>
              <w:spacing w:before="172" w:line="219" w:lineRule="auto"/>
              <w:ind w:left="264"/>
              <w:rPr>
                <w:sz w:val="19"/>
                <w:szCs w:val="19"/>
              </w:rPr>
            </w:pPr>
            <w:r>
              <w:rPr>
                <w:spacing w:val="3"/>
                <w:sz w:val="19"/>
                <w:szCs w:val="19"/>
              </w:rPr>
              <w:t>申请日期</w:t>
            </w:r>
          </w:p>
        </w:tc>
        <w:tc>
          <w:tcPr>
            <w:tcW w:w="979" w:type="dxa"/>
            <w:vAlign w:val="top"/>
          </w:tcPr>
          <w:p>
            <w:pPr>
              <w:pStyle w:val="TableText"/>
              <w:spacing w:before="172" w:line="219" w:lineRule="auto"/>
              <w:ind w:left="295"/>
              <w:rPr>
                <w:sz w:val="19"/>
                <w:szCs w:val="19"/>
              </w:rPr>
            </w:pPr>
            <w:r>
              <w:rPr>
                <w:spacing w:val="-2"/>
                <w:sz w:val="19"/>
                <w:szCs w:val="19"/>
              </w:rPr>
              <w:t>类型</w:t>
            </w:r>
          </w:p>
        </w:tc>
        <w:tc>
          <w:tcPr>
            <w:tcW w:w="2247" w:type="dxa"/>
            <w:vAlign w:val="top"/>
          </w:tcPr>
          <w:p>
            <w:pPr>
              <w:pStyle w:val="TableText"/>
              <w:spacing w:before="171" w:line="219" w:lineRule="auto"/>
              <w:ind w:left="736"/>
              <w:rPr>
                <w:sz w:val="19"/>
                <w:szCs w:val="19"/>
              </w:rPr>
            </w:pPr>
            <w:r>
              <w:rPr>
                <w:spacing w:val="-2"/>
                <w:sz w:val="19"/>
                <w:szCs w:val="19"/>
              </w:rPr>
              <w:t>证书编号</w:t>
            </w:r>
          </w:p>
        </w:tc>
        <w:tc>
          <w:tcPr>
            <w:tcW w:w="834" w:type="dxa"/>
            <w:vAlign w:val="top"/>
          </w:tcPr>
          <w:p>
            <w:pPr>
              <w:pStyle w:val="TableText"/>
              <w:spacing w:before="33" w:line="232" w:lineRule="auto"/>
              <w:ind w:left="318" w:right="132" w:hanging="189"/>
              <w:rPr>
                <w:sz w:val="19"/>
                <w:szCs w:val="19"/>
              </w:rPr>
            </w:pPr>
            <w:r>
              <w:rPr>
                <w:spacing w:val="-3"/>
                <w:sz w:val="19"/>
                <w:szCs w:val="19"/>
              </w:rPr>
              <w:t>法定年</w:t>
            </w:r>
            <w:r>
              <w:rPr>
                <w:sz w:val="19"/>
                <w:szCs w:val="19"/>
              </w:rPr>
              <w:t xml:space="preserve"> 限</w:t>
            </w:r>
          </w:p>
        </w:tc>
      </w:tr>
      <w:tr>
        <w:tblPrEx>
          <w:tblW w:w="8969" w:type="dxa"/>
          <w:tblInd w:w="5" w:type="dxa"/>
          <w:tblLayout w:type="fixed"/>
          <w:tblCellMar>
            <w:top w:w="0" w:type="dxa"/>
            <w:left w:w="0" w:type="dxa"/>
            <w:bottom w:w="0" w:type="dxa"/>
            <w:right w:w="0" w:type="dxa"/>
          </w:tblCellMar>
        </w:tblPrEx>
        <w:trPr>
          <w:trHeight w:val="517"/>
        </w:trPr>
        <w:tc>
          <w:tcPr>
            <w:tcW w:w="414" w:type="dxa"/>
            <w:vAlign w:val="top"/>
          </w:tcPr>
          <w:p>
            <w:pPr>
              <w:pStyle w:val="TableText"/>
              <w:spacing w:before="219" w:line="184" w:lineRule="auto"/>
              <w:ind w:left="144"/>
              <w:rPr>
                <w:sz w:val="19"/>
                <w:szCs w:val="19"/>
              </w:rPr>
            </w:pPr>
            <w:r>
              <w:rPr>
                <w:sz w:val="19"/>
                <w:szCs w:val="19"/>
              </w:rPr>
              <w:t>1</w:t>
            </w:r>
          </w:p>
        </w:tc>
        <w:tc>
          <w:tcPr>
            <w:tcW w:w="3186" w:type="dxa"/>
            <w:vAlign w:val="top"/>
          </w:tcPr>
          <w:p>
            <w:pPr>
              <w:pStyle w:val="TableText"/>
              <w:spacing w:before="21" w:line="236" w:lineRule="auto"/>
              <w:ind w:left="130" w:right="242" w:hanging="40"/>
              <w:rPr>
                <w:sz w:val="19"/>
                <w:szCs w:val="19"/>
              </w:rPr>
            </w:pPr>
            <w:r>
              <w:rPr>
                <w:spacing w:val="-1"/>
                <w:sz w:val="19"/>
                <w:szCs w:val="19"/>
              </w:rPr>
              <w:t>基于科技知识图谱的产业链分析应</w:t>
            </w:r>
            <w:r>
              <w:rPr>
                <w:spacing w:val="6"/>
                <w:sz w:val="19"/>
                <w:szCs w:val="19"/>
              </w:rPr>
              <w:t xml:space="preserve"> </w:t>
            </w:r>
            <w:r>
              <w:rPr>
                <w:spacing w:val="-2"/>
                <w:sz w:val="19"/>
                <w:szCs w:val="19"/>
              </w:rPr>
              <w:t>用方法和装置</w:t>
            </w:r>
          </w:p>
        </w:tc>
        <w:tc>
          <w:tcPr>
            <w:tcW w:w="1309" w:type="dxa"/>
            <w:vAlign w:val="top"/>
          </w:tcPr>
          <w:p>
            <w:pPr>
              <w:pStyle w:val="TableText"/>
              <w:spacing w:before="177" w:line="224" w:lineRule="auto"/>
              <w:ind w:left="214"/>
              <w:rPr>
                <w:sz w:val="19"/>
                <w:szCs w:val="19"/>
              </w:rPr>
            </w:pPr>
            <w:r>
              <w:rPr>
                <w:spacing w:val="-1"/>
                <w:sz w:val="19"/>
                <w:szCs w:val="19"/>
              </w:rPr>
              <w:t>2023/6/27</w:t>
            </w:r>
          </w:p>
        </w:tc>
        <w:tc>
          <w:tcPr>
            <w:tcW w:w="979" w:type="dxa"/>
            <w:vAlign w:val="top"/>
          </w:tcPr>
          <w:p>
            <w:pPr>
              <w:pStyle w:val="TableText"/>
              <w:spacing w:before="171" w:line="219" w:lineRule="auto"/>
              <w:ind w:left="295"/>
              <w:rPr>
                <w:sz w:val="19"/>
                <w:szCs w:val="19"/>
              </w:rPr>
            </w:pPr>
            <w:r>
              <w:rPr>
                <w:spacing w:val="10"/>
                <w:sz w:val="19"/>
                <w:szCs w:val="19"/>
              </w:rPr>
              <w:t>发明</w:t>
            </w:r>
          </w:p>
        </w:tc>
        <w:tc>
          <w:tcPr>
            <w:tcW w:w="2247" w:type="dxa"/>
            <w:vAlign w:val="top"/>
          </w:tcPr>
          <w:p>
            <w:pPr>
              <w:pStyle w:val="TableText"/>
              <w:spacing w:before="220" w:line="183" w:lineRule="auto"/>
              <w:ind w:left="306"/>
              <w:rPr>
                <w:sz w:val="19"/>
                <w:szCs w:val="19"/>
              </w:rPr>
            </w:pPr>
            <w:r>
              <w:rPr>
                <w:spacing w:val="-1"/>
                <w:sz w:val="19"/>
                <w:szCs w:val="19"/>
              </w:rPr>
              <w:t>ZL 202310762716.4</w:t>
            </w:r>
          </w:p>
        </w:tc>
        <w:tc>
          <w:tcPr>
            <w:tcW w:w="834" w:type="dxa"/>
            <w:vAlign w:val="top"/>
          </w:tcPr>
          <w:p>
            <w:pPr>
              <w:pStyle w:val="TableText"/>
              <w:spacing w:before="220" w:line="183" w:lineRule="auto"/>
              <w:ind w:left="319"/>
              <w:rPr>
                <w:sz w:val="19"/>
                <w:szCs w:val="19"/>
              </w:rPr>
            </w:pPr>
            <w:r>
              <w:rPr>
                <w:spacing w:val="-3"/>
                <w:sz w:val="19"/>
                <w:szCs w:val="19"/>
              </w:rPr>
              <w:t>20</w:t>
            </w:r>
          </w:p>
        </w:tc>
      </w:tr>
      <w:tr>
        <w:tblPrEx>
          <w:tblW w:w="8969" w:type="dxa"/>
          <w:tblInd w:w="5" w:type="dxa"/>
          <w:tblLayout w:type="fixed"/>
          <w:tblCellMar>
            <w:top w:w="0" w:type="dxa"/>
            <w:left w:w="0" w:type="dxa"/>
            <w:bottom w:w="0" w:type="dxa"/>
            <w:right w:w="0" w:type="dxa"/>
          </w:tblCellMar>
        </w:tblPrEx>
        <w:trPr>
          <w:trHeight w:val="308"/>
        </w:trPr>
        <w:tc>
          <w:tcPr>
            <w:tcW w:w="414" w:type="dxa"/>
            <w:vAlign w:val="top"/>
          </w:tcPr>
          <w:p>
            <w:pPr>
              <w:pStyle w:val="TableText"/>
              <w:spacing w:before="113" w:line="179" w:lineRule="auto"/>
              <w:ind w:left="144"/>
              <w:rPr>
                <w:sz w:val="19"/>
                <w:szCs w:val="19"/>
              </w:rPr>
            </w:pPr>
            <w:r>
              <w:rPr>
                <w:sz w:val="19"/>
                <w:szCs w:val="19"/>
              </w:rPr>
              <w:t>2</w:t>
            </w:r>
          </w:p>
        </w:tc>
        <w:tc>
          <w:tcPr>
            <w:tcW w:w="3186" w:type="dxa"/>
            <w:vAlign w:val="top"/>
          </w:tcPr>
          <w:p>
            <w:pPr>
              <w:pStyle w:val="TableText"/>
              <w:spacing w:before="63" w:line="219" w:lineRule="auto"/>
              <w:ind w:left="131"/>
              <w:rPr>
                <w:sz w:val="19"/>
                <w:szCs w:val="19"/>
              </w:rPr>
            </w:pPr>
            <w:r>
              <w:rPr>
                <w:spacing w:val="-1"/>
                <w:sz w:val="19"/>
                <w:szCs w:val="19"/>
              </w:rPr>
              <w:t>产业链人才图谱系统V1.0</w:t>
            </w:r>
          </w:p>
        </w:tc>
        <w:tc>
          <w:tcPr>
            <w:tcW w:w="1309" w:type="dxa"/>
            <w:vAlign w:val="top"/>
          </w:tcPr>
          <w:p>
            <w:pPr>
              <w:pStyle w:val="TableText"/>
              <w:spacing w:before="69" w:line="222" w:lineRule="auto"/>
              <w:ind w:left="264"/>
              <w:rPr>
                <w:sz w:val="19"/>
                <w:szCs w:val="19"/>
              </w:rPr>
            </w:pPr>
            <w:r>
              <w:rPr>
                <w:spacing w:val="-2"/>
                <w:sz w:val="19"/>
                <w:szCs w:val="19"/>
              </w:rPr>
              <w:t>2023/1/1</w:t>
            </w:r>
          </w:p>
        </w:tc>
        <w:tc>
          <w:tcPr>
            <w:tcW w:w="979" w:type="dxa"/>
            <w:vAlign w:val="top"/>
          </w:tcPr>
          <w:p>
            <w:pPr>
              <w:pStyle w:val="TableText"/>
              <w:spacing w:before="64" w:line="219" w:lineRule="auto"/>
              <w:ind w:left="295"/>
              <w:rPr>
                <w:sz w:val="19"/>
                <w:szCs w:val="19"/>
              </w:rPr>
            </w:pPr>
            <w:r>
              <w:rPr>
                <w:spacing w:val="6"/>
                <w:sz w:val="19"/>
                <w:szCs w:val="19"/>
              </w:rPr>
              <w:t>软著</w:t>
            </w:r>
          </w:p>
        </w:tc>
        <w:tc>
          <w:tcPr>
            <w:tcW w:w="2247" w:type="dxa"/>
            <w:vAlign w:val="top"/>
          </w:tcPr>
          <w:p>
            <w:pPr>
              <w:pStyle w:val="TableText"/>
              <w:spacing w:before="64" w:line="219" w:lineRule="auto"/>
              <w:ind w:left="166"/>
              <w:rPr>
                <w:sz w:val="19"/>
                <w:szCs w:val="19"/>
              </w:rPr>
            </w:pPr>
            <w:r>
              <w:rPr>
                <w:sz w:val="19"/>
                <w:szCs w:val="19"/>
              </w:rPr>
              <w:t>软著登字第11135845号</w:t>
            </w:r>
          </w:p>
        </w:tc>
        <w:tc>
          <w:tcPr>
            <w:tcW w:w="834" w:type="dxa"/>
            <w:vAlign w:val="top"/>
          </w:tcPr>
          <w:p>
            <w:pPr>
              <w:pStyle w:val="TableText"/>
              <w:spacing w:before="113" w:line="179" w:lineRule="auto"/>
              <w:ind w:left="319"/>
              <w:rPr>
                <w:sz w:val="19"/>
                <w:szCs w:val="19"/>
              </w:rPr>
            </w:pPr>
            <w:r>
              <w:rPr>
                <w:spacing w:val="-3"/>
                <w:sz w:val="19"/>
                <w:szCs w:val="19"/>
              </w:rPr>
              <w:t>50</w:t>
            </w:r>
          </w:p>
        </w:tc>
      </w:tr>
      <w:tr>
        <w:tblPrEx>
          <w:tblW w:w="8969" w:type="dxa"/>
          <w:tblInd w:w="5" w:type="dxa"/>
          <w:tblLayout w:type="fixed"/>
          <w:tblCellMar>
            <w:top w:w="0" w:type="dxa"/>
            <w:left w:w="0" w:type="dxa"/>
            <w:bottom w:w="0" w:type="dxa"/>
            <w:right w:w="0" w:type="dxa"/>
          </w:tblCellMar>
        </w:tblPrEx>
        <w:trPr>
          <w:trHeight w:val="313"/>
        </w:trPr>
        <w:tc>
          <w:tcPr>
            <w:tcW w:w="414" w:type="dxa"/>
            <w:vAlign w:val="top"/>
          </w:tcPr>
          <w:p>
            <w:pPr>
              <w:pStyle w:val="TableText"/>
              <w:spacing w:before="115" w:line="182" w:lineRule="auto"/>
              <w:ind w:left="144"/>
              <w:rPr>
                <w:sz w:val="19"/>
                <w:szCs w:val="19"/>
              </w:rPr>
            </w:pPr>
            <w:r>
              <w:rPr>
                <w:sz w:val="19"/>
                <w:szCs w:val="19"/>
              </w:rPr>
              <w:t>3</w:t>
            </w:r>
          </w:p>
        </w:tc>
        <w:tc>
          <w:tcPr>
            <w:tcW w:w="3186" w:type="dxa"/>
            <w:vAlign w:val="top"/>
          </w:tcPr>
          <w:p>
            <w:pPr>
              <w:pStyle w:val="TableText"/>
              <w:spacing w:before="67" w:line="220" w:lineRule="auto"/>
              <w:ind w:left="131"/>
              <w:rPr>
                <w:sz w:val="19"/>
                <w:szCs w:val="19"/>
              </w:rPr>
            </w:pPr>
            <w:r>
              <w:rPr>
                <w:sz w:val="19"/>
                <w:szCs w:val="19"/>
              </w:rPr>
              <w:t>营商环境监测系统V1.0</w:t>
            </w:r>
          </w:p>
        </w:tc>
        <w:tc>
          <w:tcPr>
            <w:tcW w:w="1309" w:type="dxa"/>
            <w:vAlign w:val="top"/>
          </w:tcPr>
          <w:p>
            <w:pPr>
              <w:pStyle w:val="TableText"/>
              <w:spacing w:before="72" w:line="224" w:lineRule="auto"/>
              <w:ind w:left="264"/>
              <w:rPr>
                <w:sz w:val="19"/>
                <w:szCs w:val="19"/>
              </w:rPr>
            </w:pPr>
            <w:r>
              <w:rPr>
                <w:spacing w:val="-2"/>
                <w:sz w:val="19"/>
                <w:szCs w:val="19"/>
              </w:rPr>
              <w:t>2023/1/1</w:t>
            </w:r>
          </w:p>
        </w:tc>
        <w:tc>
          <w:tcPr>
            <w:tcW w:w="979" w:type="dxa"/>
            <w:vAlign w:val="top"/>
          </w:tcPr>
          <w:p>
            <w:pPr>
              <w:pStyle w:val="TableText"/>
              <w:spacing w:before="66" w:line="219" w:lineRule="auto"/>
              <w:ind w:left="295"/>
              <w:rPr>
                <w:sz w:val="19"/>
                <w:szCs w:val="19"/>
              </w:rPr>
            </w:pPr>
            <w:r>
              <w:rPr>
                <w:spacing w:val="6"/>
                <w:sz w:val="19"/>
                <w:szCs w:val="19"/>
              </w:rPr>
              <w:t>软著</w:t>
            </w:r>
          </w:p>
        </w:tc>
        <w:tc>
          <w:tcPr>
            <w:tcW w:w="2247" w:type="dxa"/>
            <w:vAlign w:val="top"/>
          </w:tcPr>
          <w:p>
            <w:pPr>
              <w:pStyle w:val="TableText"/>
              <w:spacing w:before="66" w:line="219" w:lineRule="auto"/>
              <w:ind w:left="166"/>
              <w:rPr>
                <w:sz w:val="19"/>
                <w:szCs w:val="19"/>
              </w:rPr>
            </w:pPr>
            <w:r>
              <w:rPr>
                <w:sz w:val="19"/>
                <w:szCs w:val="19"/>
              </w:rPr>
              <w:t>软著登字第11136361号</w:t>
            </w:r>
          </w:p>
        </w:tc>
        <w:tc>
          <w:tcPr>
            <w:tcW w:w="834" w:type="dxa"/>
            <w:vAlign w:val="top"/>
          </w:tcPr>
          <w:p>
            <w:pPr>
              <w:pStyle w:val="TableText"/>
              <w:spacing w:before="115" w:line="182" w:lineRule="auto"/>
              <w:ind w:left="319"/>
              <w:rPr>
                <w:sz w:val="19"/>
                <w:szCs w:val="19"/>
              </w:rPr>
            </w:pPr>
            <w:r>
              <w:rPr>
                <w:spacing w:val="-3"/>
                <w:sz w:val="19"/>
                <w:szCs w:val="19"/>
              </w:rPr>
              <w:t>50</w:t>
            </w:r>
          </w:p>
        </w:tc>
      </w:tr>
    </w:tbl>
    <w:p>
      <w:pPr>
        <w:pStyle w:val="BodyText"/>
      </w:pPr>
    </w:p>
    <w:p>
      <w:pPr>
        <w:sectPr>
          <w:headerReference w:type="default" r:id="rId37"/>
          <w:footerReference w:type="default" r:id="rId38"/>
          <w:pgSz w:w="11910" w:h="16840"/>
          <w:pgMar w:top="1276" w:right="1455" w:bottom="1040" w:left="1475" w:header="1086" w:footer="771" w:gutter="0"/>
          <w:pgNumType w:start="18"/>
          <w:cols w:num="1" w:space="720"/>
        </w:sectPr>
      </w:pPr>
    </w:p>
    <w:p>
      <w:pPr>
        <w:spacing w:before="132"/>
      </w:pPr>
    </w:p>
    <w:tbl>
      <w:tblPr>
        <w:tblStyle w:val="TableNormal04"/>
        <w:tblW w:w="89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414"/>
        <w:gridCol w:w="3186"/>
        <w:gridCol w:w="1289"/>
        <w:gridCol w:w="989"/>
        <w:gridCol w:w="2228"/>
        <w:gridCol w:w="854"/>
      </w:tblGrid>
      <w:tr>
        <w:tblPrEx>
          <w:tblW w:w="89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527"/>
        </w:trPr>
        <w:tc>
          <w:tcPr>
            <w:tcW w:w="414" w:type="dxa"/>
            <w:textDirection w:val="tbRlV"/>
            <w:vAlign w:val="top"/>
          </w:tcPr>
          <w:p>
            <w:pPr>
              <w:pStyle w:val="TableText"/>
              <w:spacing w:before="109" w:line="217" w:lineRule="auto"/>
              <w:jc w:val="right"/>
              <w:rPr>
                <w:sz w:val="19"/>
                <w:szCs w:val="19"/>
              </w:rPr>
            </w:pPr>
            <w:r>
              <w:rPr>
                <w:spacing w:val="-4"/>
                <w:sz w:val="19"/>
                <w:szCs w:val="19"/>
              </w:rPr>
              <w:t>序</w:t>
            </w:r>
            <w:r>
              <w:rPr>
                <w:spacing w:val="57"/>
                <w:sz w:val="19"/>
                <w:szCs w:val="19"/>
              </w:rPr>
              <w:t xml:space="preserve"> </w:t>
            </w:r>
            <w:r>
              <w:rPr>
                <w:spacing w:val="-4"/>
                <w:sz w:val="19"/>
                <w:szCs w:val="19"/>
              </w:rPr>
              <w:t>号</w:t>
            </w:r>
          </w:p>
        </w:tc>
        <w:tc>
          <w:tcPr>
            <w:tcW w:w="3186" w:type="dxa"/>
            <w:vAlign w:val="top"/>
          </w:tcPr>
          <w:p>
            <w:pPr>
              <w:pStyle w:val="TableText"/>
              <w:spacing w:before="177" w:line="219" w:lineRule="auto"/>
              <w:ind w:left="731"/>
              <w:rPr>
                <w:sz w:val="19"/>
                <w:szCs w:val="19"/>
              </w:rPr>
            </w:pPr>
            <w:r>
              <w:rPr>
                <w:spacing w:val="-1"/>
                <w:sz w:val="19"/>
                <w:szCs w:val="19"/>
              </w:rPr>
              <w:t>无形资产名称和内容</w:t>
            </w:r>
          </w:p>
        </w:tc>
        <w:tc>
          <w:tcPr>
            <w:tcW w:w="1289" w:type="dxa"/>
            <w:vAlign w:val="top"/>
          </w:tcPr>
          <w:p>
            <w:pPr>
              <w:pStyle w:val="TableText"/>
              <w:spacing w:before="177" w:line="219" w:lineRule="auto"/>
              <w:ind w:left="254"/>
              <w:rPr>
                <w:sz w:val="19"/>
                <w:szCs w:val="19"/>
              </w:rPr>
            </w:pPr>
            <w:r>
              <w:rPr>
                <w:spacing w:val="3"/>
                <w:sz w:val="19"/>
                <w:szCs w:val="19"/>
              </w:rPr>
              <w:t>申请日期</w:t>
            </w:r>
          </w:p>
        </w:tc>
        <w:tc>
          <w:tcPr>
            <w:tcW w:w="989" w:type="dxa"/>
            <w:vAlign w:val="top"/>
          </w:tcPr>
          <w:p>
            <w:pPr>
              <w:pStyle w:val="TableText"/>
              <w:spacing w:before="177" w:line="219" w:lineRule="auto"/>
              <w:ind w:left="296"/>
              <w:rPr>
                <w:sz w:val="19"/>
                <w:szCs w:val="19"/>
              </w:rPr>
            </w:pPr>
            <w:r>
              <w:rPr>
                <w:spacing w:val="-2"/>
                <w:sz w:val="19"/>
                <w:szCs w:val="19"/>
              </w:rPr>
              <w:t>类型</w:t>
            </w:r>
          </w:p>
        </w:tc>
        <w:tc>
          <w:tcPr>
            <w:tcW w:w="2228" w:type="dxa"/>
            <w:vAlign w:val="top"/>
          </w:tcPr>
          <w:p>
            <w:pPr>
              <w:pStyle w:val="TableText"/>
              <w:spacing w:before="176" w:line="219" w:lineRule="auto"/>
              <w:ind w:left="726"/>
              <w:rPr>
                <w:sz w:val="19"/>
                <w:szCs w:val="19"/>
              </w:rPr>
            </w:pPr>
            <w:r>
              <w:rPr>
                <w:spacing w:val="-2"/>
                <w:sz w:val="19"/>
                <w:szCs w:val="19"/>
              </w:rPr>
              <w:t>证书编号</w:t>
            </w:r>
          </w:p>
        </w:tc>
        <w:tc>
          <w:tcPr>
            <w:tcW w:w="854" w:type="dxa"/>
            <w:vAlign w:val="top"/>
          </w:tcPr>
          <w:p>
            <w:pPr>
              <w:pStyle w:val="TableText"/>
              <w:spacing w:before="47" w:line="228" w:lineRule="auto"/>
              <w:ind w:left="328" w:right="143" w:hanging="190"/>
              <w:rPr>
                <w:sz w:val="19"/>
                <w:szCs w:val="19"/>
              </w:rPr>
            </w:pPr>
            <w:r>
              <w:rPr>
                <w:spacing w:val="-3"/>
                <w:sz w:val="19"/>
                <w:szCs w:val="19"/>
              </w:rPr>
              <w:t>法定年</w:t>
            </w:r>
            <w:r>
              <w:rPr>
                <w:sz w:val="19"/>
                <w:szCs w:val="19"/>
              </w:rPr>
              <w:t xml:space="preserve"> 限</w:t>
            </w:r>
          </w:p>
        </w:tc>
      </w:tr>
      <w:tr>
        <w:tblPrEx>
          <w:tblW w:w="8960" w:type="dxa"/>
          <w:tblInd w:w="5" w:type="dxa"/>
          <w:tblLayout w:type="fixed"/>
          <w:tblCellMar>
            <w:top w:w="0" w:type="dxa"/>
            <w:left w:w="0" w:type="dxa"/>
            <w:bottom w:w="0" w:type="dxa"/>
            <w:right w:w="0" w:type="dxa"/>
          </w:tblCellMar>
        </w:tblPrEx>
        <w:trPr>
          <w:trHeight w:val="308"/>
        </w:trPr>
        <w:tc>
          <w:tcPr>
            <w:tcW w:w="414" w:type="dxa"/>
            <w:vAlign w:val="top"/>
          </w:tcPr>
          <w:p>
            <w:pPr>
              <w:pStyle w:val="TableText"/>
              <w:spacing w:before="109" w:line="183" w:lineRule="auto"/>
              <w:ind w:left="144"/>
              <w:rPr>
                <w:sz w:val="19"/>
                <w:szCs w:val="19"/>
              </w:rPr>
            </w:pPr>
            <w:r>
              <w:rPr>
                <w:sz w:val="19"/>
                <w:szCs w:val="19"/>
              </w:rPr>
              <w:t>4</w:t>
            </w:r>
          </w:p>
        </w:tc>
        <w:tc>
          <w:tcPr>
            <w:tcW w:w="3186" w:type="dxa"/>
            <w:vAlign w:val="top"/>
          </w:tcPr>
          <w:p>
            <w:pPr>
              <w:pStyle w:val="TableText"/>
              <w:spacing w:before="59" w:line="219" w:lineRule="auto"/>
              <w:ind w:left="161"/>
              <w:rPr>
                <w:sz w:val="19"/>
                <w:szCs w:val="19"/>
              </w:rPr>
            </w:pPr>
            <w:r>
              <w:rPr>
                <w:sz w:val="19"/>
                <w:szCs w:val="19"/>
              </w:rPr>
              <w:t>区域科技发展监测与培育系统V1.0</w:t>
            </w:r>
          </w:p>
        </w:tc>
        <w:tc>
          <w:tcPr>
            <w:tcW w:w="1289" w:type="dxa"/>
            <w:vAlign w:val="top"/>
          </w:tcPr>
          <w:p>
            <w:pPr>
              <w:pStyle w:val="TableText"/>
              <w:spacing w:before="66" w:line="224" w:lineRule="auto"/>
              <w:ind w:left="254"/>
              <w:rPr>
                <w:sz w:val="19"/>
                <w:szCs w:val="19"/>
              </w:rPr>
            </w:pPr>
            <w:r>
              <w:rPr>
                <w:spacing w:val="-2"/>
                <w:sz w:val="19"/>
                <w:szCs w:val="19"/>
              </w:rPr>
              <w:t>2023/1/1</w:t>
            </w:r>
          </w:p>
        </w:tc>
        <w:tc>
          <w:tcPr>
            <w:tcW w:w="989" w:type="dxa"/>
            <w:vAlign w:val="top"/>
          </w:tcPr>
          <w:p>
            <w:pPr>
              <w:pStyle w:val="TableText"/>
              <w:spacing w:before="60" w:line="219" w:lineRule="auto"/>
              <w:ind w:left="296"/>
              <w:rPr>
                <w:sz w:val="19"/>
                <w:szCs w:val="19"/>
              </w:rPr>
            </w:pPr>
            <w:r>
              <w:rPr>
                <w:spacing w:val="6"/>
                <w:sz w:val="19"/>
                <w:szCs w:val="19"/>
              </w:rPr>
              <w:t>软著</w:t>
            </w:r>
          </w:p>
        </w:tc>
        <w:tc>
          <w:tcPr>
            <w:tcW w:w="2228" w:type="dxa"/>
            <w:vAlign w:val="top"/>
          </w:tcPr>
          <w:p>
            <w:pPr>
              <w:pStyle w:val="TableText"/>
              <w:spacing w:before="60" w:line="219" w:lineRule="auto"/>
              <w:ind w:left="156"/>
              <w:rPr>
                <w:sz w:val="19"/>
                <w:szCs w:val="19"/>
              </w:rPr>
            </w:pPr>
            <w:r>
              <w:rPr>
                <w:sz w:val="19"/>
                <w:szCs w:val="19"/>
              </w:rPr>
              <w:t>软著登字第11032379号</w:t>
            </w:r>
          </w:p>
        </w:tc>
        <w:tc>
          <w:tcPr>
            <w:tcW w:w="854" w:type="dxa"/>
            <w:vAlign w:val="top"/>
          </w:tcPr>
          <w:p>
            <w:pPr>
              <w:pStyle w:val="TableText"/>
              <w:spacing w:before="109" w:line="183" w:lineRule="auto"/>
              <w:ind w:left="329"/>
              <w:rPr>
                <w:sz w:val="19"/>
                <w:szCs w:val="19"/>
              </w:rPr>
            </w:pPr>
            <w:r>
              <w:rPr>
                <w:spacing w:val="-3"/>
                <w:sz w:val="19"/>
                <w:szCs w:val="19"/>
              </w:rPr>
              <w:t>50</w:t>
            </w:r>
          </w:p>
        </w:tc>
      </w:tr>
      <w:tr>
        <w:tblPrEx>
          <w:tblW w:w="8960" w:type="dxa"/>
          <w:tblInd w:w="5" w:type="dxa"/>
          <w:tblLayout w:type="fixed"/>
          <w:tblCellMar>
            <w:top w:w="0" w:type="dxa"/>
            <w:left w:w="0" w:type="dxa"/>
            <w:bottom w:w="0" w:type="dxa"/>
            <w:right w:w="0" w:type="dxa"/>
          </w:tblCellMar>
        </w:tblPrEx>
        <w:trPr>
          <w:trHeight w:val="308"/>
        </w:trPr>
        <w:tc>
          <w:tcPr>
            <w:tcW w:w="414" w:type="dxa"/>
            <w:vAlign w:val="top"/>
          </w:tcPr>
          <w:p>
            <w:pPr>
              <w:pStyle w:val="TableText"/>
              <w:spacing w:before="112" w:line="180" w:lineRule="auto"/>
              <w:ind w:left="144"/>
              <w:rPr>
                <w:sz w:val="19"/>
                <w:szCs w:val="19"/>
              </w:rPr>
            </w:pPr>
            <w:r>
              <w:rPr>
                <w:sz w:val="19"/>
                <w:szCs w:val="19"/>
              </w:rPr>
              <w:t>5</w:t>
            </w:r>
          </w:p>
        </w:tc>
        <w:tc>
          <w:tcPr>
            <w:tcW w:w="3186" w:type="dxa"/>
            <w:vAlign w:val="top"/>
          </w:tcPr>
          <w:p>
            <w:pPr>
              <w:pStyle w:val="TableText"/>
              <w:spacing w:before="62" w:line="219" w:lineRule="auto"/>
              <w:ind w:left="131"/>
              <w:rPr>
                <w:sz w:val="19"/>
                <w:szCs w:val="19"/>
              </w:rPr>
            </w:pPr>
            <w:r>
              <w:rPr>
                <w:spacing w:val="-1"/>
                <w:sz w:val="19"/>
                <w:szCs w:val="19"/>
              </w:rPr>
              <w:t>上市公司监测与培育系统V1.0</w:t>
            </w:r>
          </w:p>
        </w:tc>
        <w:tc>
          <w:tcPr>
            <w:tcW w:w="1289" w:type="dxa"/>
            <w:vAlign w:val="top"/>
          </w:tcPr>
          <w:p>
            <w:pPr>
              <w:pStyle w:val="TableText"/>
              <w:spacing w:before="67" w:line="224" w:lineRule="auto"/>
              <w:ind w:left="254"/>
              <w:rPr>
                <w:sz w:val="19"/>
                <w:szCs w:val="19"/>
              </w:rPr>
            </w:pPr>
            <w:r>
              <w:rPr>
                <w:spacing w:val="-2"/>
                <w:sz w:val="19"/>
                <w:szCs w:val="19"/>
              </w:rPr>
              <w:t>2023/1/1</w:t>
            </w:r>
          </w:p>
        </w:tc>
        <w:tc>
          <w:tcPr>
            <w:tcW w:w="989" w:type="dxa"/>
            <w:vAlign w:val="top"/>
          </w:tcPr>
          <w:p>
            <w:pPr>
              <w:pStyle w:val="TableText"/>
              <w:spacing w:before="62" w:line="219" w:lineRule="auto"/>
              <w:ind w:left="296"/>
              <w:rPr>
                <w:sz w:val="19"/>
                <w:szCs w:val="19"/>
              </w:rPr>
            </w:pPr>
            <w:r>
              <w:rPr>
                <w:spacing w:val="6"/>
                <w:sz w:val="19"/>
                <w:szCs w:val="19"/>
              </w:rPr>
              <w:t>软著</w:t>
            </w:r>
          </w:p>
        </w:tc>
        <w:tc>
          <w:tcPr>
            <w:tcW w:w="2228" w:type="dxa"/>
            <w:vAlign w:val="top"/>
          </w:tcPr>
          <w:p>
            <w:pPr>
              <w:pStyle w:val="TableText"/>
              <w:spacing w:before="62" w:line="219" w:lineRule="auto"/>
              <w:ind w:left="156"/>
              <w:rPr>
                <w:sz w:val="19"/>
                <w:szCs w:val="19"/>
              </w:rPr>
            </w:pPr>
            <w:r>
              <w:rPr>
                <w:sz w:val="19"/>
                <w:szCs w:val="19"/>
              </w:rPr>
              <w:t>软著登字第11030825号</w:t>
            </w:r>
          </w:p>
        </w:tc>
        <w:tc>
          <w:tcPr>
            <w:tcW w:w="854" w:type="dxa"/>
            <w:vAlign w:val="top"/>
          </w:tcPr>
          <w:p>
            <w:pPr>
              <w:pStyle w:val="TableText"/>
              <w:spacing w:before="111" w:line="181" w:lineRule="auto"/>
              <w:ind w:left="329"/>
              <w:rPr>
                <w:sz w:val="19"/>
                <w:szCs w:val="19"/>
              </w:rPr>
            </w:pPr>
            <w:r>
              <w:rPr>
                <w:spacing w:val="-3"/>
                <w:sz w:val="19"/>
                <w:szCs w:val="19"/>
              </w:rPr>
              <w:t>50</w:t>
            </w:r>
          </w:p>
        </w:tc>
      </w:tr>
      <w:tr>
        <w:tblPrEx>
          <w:tblW w:w="8960" w:type="dxa"/>
          <w:tblInd w:w="5" w:type="dxa"/>
          <w:tblLayout w:type="fixed"/>
          <w:tblCellMar>
            <w:top w:w="0" w:type="dxa"/>
            <w:left w:w="0" w:type="dxa"/>
            <w:bottom w:w="0" w:type="dxa"/>
            <w:right w:w="0" w:type="dxa"/>
          </w:tblCellMar>
        </w:tblPrEx>
        <w:trPr>
          <w:trHeight w:val="308"/>
        </w:trPr>
        <w:tc>
          <w:tcPr>
            <w:tcW w:w="414" w:type="dxa"/>
            <w:vAlign w:val="top"/>
          </w:tcPr>
          <w:p>
            <w:pPr>
              <w:pStyle w:val="TableText"/>
              <w:spacing w:before="113" w:line="179" w:lineRule="auto"/>
              <w:ind w:left="144"/>
              <w:rPr>
                <w:sz w:val="19"/>
                <w:szCs w:val="19"/>
              </w:rPr>
            </w:pPr>
            <w:r>
              <w:rPr>
                <w:sz w:val="19"/>
                <w:szCs w:val="19"/>
              </w:rPr>
              <w:t>6</w:t>
            </w:r>
          </w:p>
        </w:tc>
        <w:tc>
          <w:tcPr>
            <w:tcW w:w="3186" w:type="dxa"/>
            <w:vAlign w:val="top"/>
          </w:tcPr>
          <w:p>
            <w:pPr>
              <w:pStyle w:val="TableText"/>
              <w:spacing w:before="64" w:line="219" w:lineRule="auto"/>
              <w:ind w:left="161"/>
              <w:rPr>
                <w:sz w:val="19"/>
                <w:szCs w:val="19"/>
              </w:rPr>
            </w:pPr>
            <w:r>
              <w:rPr>
                <w:spacing w:val="-1"/>
                <w:sz w:val="19"/>
                <w:szCs w:val="19"/>
              </w:rPr>
              <w:t>优质企业梯次培育与监测系统V1.0</w:t>
            </w:r>
          </w:p>
        </w:tc>
        <w:tc>
          <w:tcPr>
            <w:tcW w:w="1289" w:type="dxa"/>
            <w:vAlign w:val="top"/>
          </w:tcPr>
          <w:p>
            <w:pPr>
              <w:pStyle w:val="TableText"/>
              <w:spacing w:before="69" w:line="222" w:lineRule="auto"/>
              <w:ind w:left="254"/>
              <w:rPr>
                <w:sz w:val="19"/>
                <w:szCs w:val="19"/>
              </w:rPr>
            </w:pPr>
            <w:r>
              <w:rPr>
                <w:spacing w:val="-2"/>
                <w:sz w:val="19"/>
                <w:szCs w:val="19"/>
              </w:rPr>
              <w:t>2023/1/1</w:t>
            </w:r>
          </w:p>
        </w:tc>
        <w:tc>
          <w:tcPr>
            <w:tcW w:w="989" w:type="dxa"/>
            <w:vAlign w:val="top"/>
          </w:tcPr>
          <w:p>
            <w:pPr>
              <w:pStyle w:val="TableText"/>
              <w:spacing w:before="64" w:line="219" w:lineRule="auto"/>
              <w:ind w:left="296"/>
              <w:rPr>
                <w:sz w:val="19"/>
                <w:szCs w:val="19"/>
              </w:rPr>
            </w:pPr>
            <w:r>
              <w:rPr>
                <w:spacing w:val="6"/>
                <w:sz w:val="19"/>
                <w:szCs w:val="19"/>
              </w:rPr>
              <w:t>软著</w:t>
            </w:r>
          </w:p>
        </w:tc>
        <w:tc>
          <w:tcPr>
            <w:tcW w:w="2228" w:type="dxa"/>
            <w:vAlign w:val="top"/>
          </w:tcPr>
          <w:p>
            <w:pPr>
              <w:pStyle w:val="TableText"/>
              <w:spacing w:before="64" w:line="219" w:lineRule="auto"/>
              <w:ind w:left="156"/>
              <w:rPr>
                <w:sz w:val="19"/>
                <w:szCs w:val="19"/>
              </w:rPr>
            </w:pPr>
            <w:r>
              <w:rPr>
                <w:sz w:val="19"/>
                <w:szCs w:val="19"/>
              </w:rPr>
              <w:t>软著登字第11042825号</w:t>
            </w:r>
          </w:p>
        </w:tc>
        <w:tc>
          <w:tcPr>
            <w:tcW w:w="854" w:type="dxa"/>
            <w:vAlign w:val="top"/>
          </w:tcPr>
          <w:p>
            <w:pPr>
              <w:pStyle w:val="TableText"/>
              <w:spacing w:before="113" w:line="179" w:lineRule="auto"/>
              <w:ind w:left="329"/>
              <w:rPr>
                <w:sz w:val="19"/>
                <w:szCs w:val="19"/>
              </w:rPr>
            </w:pPr>
            <w:r>
              <w:rPr>
                <w:spacing w:val="-3"/>
                <w:sz w:val="19"/>
                <w:szCs w:val="19"/>
              </w:rPr>
              <w:t>50</w:t>
            </w:r>
          </w:p>
        </w:tc>
      </w:tr>
      <w:tr>
        <w:tblPrEx>
          <w:tblW w:w="8960" w:type="dxa"/>
          <w:tblInd w:w="5" w:type="dxa"/>
          <w:tblLayout w:type="fixed"/>
          <w:tblCellMar>
            <w:top w:w="0" w:type="dxa"/>
            <w:left w:w="0" w:type="dxa"/>
            <w:bottom w:w="0" w:type="dxa"/>
            <w:right w:w="0" w:type="dxa"/>
          </w:tblCellMar>
        </w:tblPrEx>
        <w:trPr>
          <w:trHeight w:val="314"/>
        </w:trPr>
        <w:tc>
          <w:tcPr>
            <w:tcW w:w="414" w:type="dxa"/>
            <w:vAlign w:val="top"/>
          </w:tcPr>
          <w:p>
            <w:pPr>
              <w:pStyle w:val="TableText"/>
              <w:spacing w:before="116" w:line="182" w:lineRule="auto"/>
              <w:ind w:left="144"/>
              <w:rPr>
                <w:sz w:val="19"/>
                <w:szCs w:val="19"/>
              </w:rPr>
            </w:pPr>
            <w:r>
              <w:rPr>
                <w:sz w:val="19"/>
                <w:szCs w:val="19"/>
              </w:rPr>
              <w:t>7</w:t>
            </w:r>
          </w:p>
        </w:tc>
        <w:tc>
          <w:tcPr>
            <w:tcW w:w="3186" w:type="dxa"/>
            <w:vAlign w:val="top"/>
          </w:tcPr>
          <w:p>
            <w:pPr>
              <w:pStyle w:val="TableText"/>
              <w:spacing w:before="65" w:line="219" w:lineRule="auto"/>
              <w:ind w:left="110"/>
              <w:rPr>
                <w:sz w:val="19"/>
                <w:szCs w:val="19"/>
              </w:rPr>
            </w:pPr>
            <w:r>
              <w:rPr>
                <w:spacing w:val="-1"/>
                <w:sz w:val="19"/>
                <w:szCs w:val="19"/>
              </w:rPr>
              <w:t>产业链供应链监测系统V1.0</w:t>
            </w:r>
          </w:p>
        </w:tc>
        <w:tc>
          <w:tcPr>
            <w:tcW w:w="1289" w:type="dxa"/>
            <w:vAlign w:val="top"/>
          </w:tcPr>
          <w:p>
            <w:pPr>
              <w:pStyle w:val="TableText"/>
              <w:spacing w:before="72" w:line="224" w:lineRule="auto"/>
              <w:ind w:left="254"/>
              <w:rPr>
                <w:sz w:val="19"/>
                <w:szCs w:val="19"/>
              </w:rPr>
            </w:pPr>
            <w:r>
              <w:rPr>
                <w:spacing w:val="-2"/>
                <w:sz w:val="19"/>
                <w:szCs w:val="19"/>
              </w:rPr>
              <w:t>2023/1/1</w:t>
            </w:r>
          </w:p>
        </w:tc>
        <w:tc>
          <w:tcPr>
            <w:tcW w:w="989" w:type="dxa"/>
            <w:vAlign w:val="top"/>
          </w:tcPr>
          <w:p>
            <w:pPr>
              <w:pStyle w:val="TableText"/>
              <w:spacing w:before="66" w:line="219" w:lineRule="auto"/>
              <w:ind w:left="296"/>
              <w:rPr>
                <w:sz w:val="19"/>
                <w:szCs w:val="19"/>
              </w:rPr>
            </w:pPr>
            <w:r>
              <w:rPr>
                <w:spacing w:val="6"/>
                <w:sz w:val="19"/>
                <w:szCs w:val="19"/>
              </w:rPr>
              <w:t>软著</w:t>
            </w:r>
          </w:p>
        </w:tc>
        <w:tc>
          <w:tcPr>
            <w:tcW w:w="2228" w:type="dxa"/>
            <w:vAlign w:val="top"/>
          </w:tcPr>
          <w:p>
            <w:pPr>
              <w:pStyle w:val="TableText"/>
              <w:spacing w:before="66" w:line="219" w:lineRule="auto"/>
              <w:ind w:left="156"/>
              <w:rPr>
                <w:sz w:val="19"/>
                <w:szCs w:val="19"/>
              </w:rPr>
            </w:pPr>
            <w:r>
              <w:rPr>
                <w:sz w:val="19"/>
                <w:szCs w:val="19"/>
              </w:rPr>
              <w:t>软著登字第11252780号</w:t>
            </w:r>
          </w:p>
        </w:tc>
        <w:tc>
          <w:tcPr>
            <w:tcW w:w="854" w:type="dxa"/>
            <w:vAlign w:val="top"/>
          </w:tcPr>
          <w:p>
            <w:pPr>
              <w:pStyle w:val="TableText"/>
              <w:spacing w:before="115" w:line="183" w:lineRule="auto"/>
              <w:ind w:left="329"/>
              <w:rPr>
                <w:sz w:val="19"/>
                <w:szCs w:val="19"/>
              </w:rPr>
            </w:pPr>
            <w:r>
              <w:rPr>
                <w:spacing w:val="-3"/>
                <w:sz w:val="19"/>
                <w:szCs w:val="19"/>
              </w:rPr>
              <w:t>50</w:t>
            </w:r>
          </w:p>
        </w:tc>
      </w:tr>
    </w:tbl>
    <w:p>
      <w:pPr>
        <w:spacing w:before="213" w:line="241" w:lineRule="auto"/>
        <w:ind w:left="354" w:right="397" w:firstLine="480"/>
        <w:rPr>
          <w:rFonts w:ascii="宋体" w:eastAsia="宋体" w:hAnsi="宋体" w:cs="宋体"/>
          <w:sz w:val="24"/>
          <w:szCs w:val="24"/>
        </w:rPr>
      </w:pPr>
      <w:r>
        <w:rPr>
          <w:rFonts w:ascii="宋体" w:eastAsia="宋体" w:hAnsi="宋体" w:cs="宋体"/>
          <w:spacing w:val="-4"/>
          <w:sz w:val="24"/>
          <w:szCs w:val="24"/>
        </w:rPr>
        <w:t>2、</w:t>
      </w:r>
      <w:r>
        <w:rPr>
          <w:rFonts w:ascii="宋体" w:eastAsia="宋体" w:hAnsi="宋体" w:cs="宋体"/>
          <w:spacing w:val="-52"/>
          <w:sz w:val="24"/>
          <w:szCs w:val="24"/>
        </w:rPr>
        <w:t xml:space="preserve"> </w:t>
      </w:r>
      <w:r>
        <w:rPr>
          <w:rFonts w:ascii="宋体" w:eastAsia="宋体" w:hAnsi="宋体" w:cs="宋体"/>
          <w:spacing w:val="-4"/>
          <w:sz w:val="24"/>
          <w:szCs w:val="24"/>
        </w:rPr>
        <w:t>在评估基准日以后的有效期内，如果资产数量及作价标准发生变化时，</w:t>
      </w:r>
      <w:r>
        <w:rPr>
          <w:rFonts w:ascii="宋体" w:eastAsia="宋体" w:hAnsi="宋体" w:cs="宋体"/>
          <w:sz w:val="24"/>
          <w:szCs w:val="24"/>
        </w:rPr>
        <w:t xml:space="preserve"> </w:t>
      </w:r>
      <w:r>
        <w:rPr>
          <w:rFonts w:ascii="宋体" w:eastAsia="宋体" w:hAnsi="宋体" w:cs="宋体"/>
          <w:spacing w:val="-10"/>
          <w:sz w:val="24"/>
          <w:szCs w:val="24"/>
        </w:rPr>
        <w:t>应按以下原则处理：</w:t>
      </w:r>
    </w:p>
    <w:p>
      <w:pPr>
        <w:spacing w:before="213" w:line="218" w:lineRule="auto"/>
        <w:ind w:left="835"/>
        <w:rPr>
          <w:rFonts w:ascii="宋体" w:eastAsia="宋体" w:hAnsi="宋体" w:cs="宋体"/>
          <w:sz w:val="24"/>
          <w:szCs w:val="24"/>
        </w:rPr>
      </w:pPr>
      <w:r>
        <w:rPr>
          <w:rFonts w:ascii="宋体" w:eastAsia="宋体" w:hAnsi="宋体" w:cs="宋体"/>
          <w:spacing w:val="-8"/>
          <w:sz w:val="24"/>
          <w:szCs w:val="24"/>
        </w:rPr>
        <w:t>(1)当资产数量发生变化时，应根据原评估方法对资产数额进行相应调整；</w:t>
      </w:r>
    </w:p>
    <w:p>
      <w:pPr>
        <w:spacing w:before="167" w:line="251" w:lineRule="auto"/>
        <w:ind w:left="354" w:right="395" w:firstLine="480"/>
        <w:rPr>
          <w:rFonts w:ascii="宋体" w:eastAsia="宋体" w:hAnsi="宋体" w:cs="宋体"/>
          <w:sz w:val="24"/>
          <w:szCs w:val="24"/>
        </w:rPr>
      </w:pPr>
      <w:r>
        <w:rPr>
          <w:rFonts w:ascii="宋体" w:eastAsia="宋体" w:hAnsi="宋体" w:cs="宋体"/>
          <w:spacing w:val="-9"/>
          <w:sz w:val="24"/>
          <w:szCs w:val="24"/>
        </w:rPr>
        <w:t>(2)当资产价格标准发生变化、且对资产评估结果产生明显影响时，委托人应</w:t>
      </w:r>
      <w:r>
        <w:rPr>
          <w:rFonts w:ascii="宋体" w:eastAsia="宋体" w:hAnsi="宋体" w:cs="宋体"/>
          <w:spacing w:val="13"/>
          <w:sz w:val="24"/>
          <w:szCs w:val="24"/>
        </w:rPr>
        <w:t xml:space="preserve"> </w:t>
      </w:r>
      <w:r>
        <w:rPr>
          <w:rFonts w:ascii="宋体" w:eastAsia="宋体" w:hAnsi="宋体" w:cs="宋体"/>
          <w:spacing w:val="-6"/>
          <w:sz w:val="24"/>
          <w:szCs w:val="24"/>
        </w:rPr>
        <w:t>及时聘请有资格的资产评估机构重新确定评估价值；</w:t>
      </w:r>
    </w:p>
    <w:p>
      <w:pPr>
        <w:spacing w:before="186" w:line="252" w:lineRule="auto"/>
        <w:ind w:left="354" w:right="411" w:firstLine="480"/>
        <w:rPr>
          <w:rFonts w:ascii="宋体" w:eastAsia="宋体" w:hAnsi="宋体" w:cs="宋体"/>
          <w:sz w:val="24"/>
          <w:szCs w:val="24"/>
        </w:rPr>
      </w:pPr>
      <w:r>
        <w:rPr>
          <w:rFonts w:ascii="宋体" w:eastAsia="宋体" w:hAnsi="宋体" w:cs="宋体"/>
          <w:spacing w:val="-9"/>
          <w:sz w:val="24"/>
          <w:szCs w:val="24"/>
        </w:rPr>
        <w:t>(3)对评估基准日后，资产数量、价格标准的变化，委托人在资产实际</w:t>
      </w:r>
      <w:r>
        <w:rPr>
          <w:rFonts w:ascii="宋体" w:eastAsia="宋体" w:hAnsi="宋体" w:cs="宋体"/>
          <w:spacing w:val="-10"/>
          <w:sz w:val="24"/>
          <w:szCs w:val="24"/>
        </w:rPr>
        <w:t>作价时</w:t>
      </w:r>
      <w:r>
        <w:rPr>
          <w:rFonts w:ascii="宋体" w:eastAsia="宋体" w:hAnsi="宋体" w:cs="宋体"/>
          <w:sz w:val="24"/>
          <w:szCs w:val="24"/>
        </w:rPr>
        <w:t xml:space="preserve"> </w:t>
      </w:r>
      <w:r>
        <w:rPr>
          <w:rFonts w:ascii="宋体" w:eastAsia="宋体" w:hAnsi="宋体" w:cs="宋体"/>
          <w:spacing w:val="-3"/>
          <w:sz w:val="24"/>
          <w:szCs w:val="24"/>
        </w:rPr>
        <w:t>应给予充分考虑，进行相应调整。</w:t>
      </w:r>
    </w:p>
    <w:p>
      <w:pPr>
        <w:spacing w:before="205" w:line="257" w:lineRule="auto"/>
        <w:ind w:left="354" w:right="394" w:firstLine="480"/>
        <w:jc w:val="both"/>
        <w:rPr>
          <w:rFonts w:ascii="宋体" w:eastAsia="宋体" w:hAnsi="宋体" w:cs="宋体"/>
          <w:sz w:val="24"/>
          <w:szCs w:val="24"/>
        </w:rPr>
      </w:pPr>
      <w:r>
        <w:rPr>
          <w:rFonts w:ascii="宋体" w:eastAsia="宋体" w:hAnsi="宋体" w:cs="宋体"/>
          <w:spacing w:val="-7"/>
          <w:sz w:val="24"/>
          <w:szCs w:val="24"/>
        </w:rPr>
        <w:t>评估报告使用者应注意以上特别事项对评估结论产生的影响。对企业存在的</w:t>
      </w:r>
      <w:r>
        <w:rPr>
          <w:rFonts w:ascii="宋体" w:eastAsia="宋体" w:hAnsi="宋体" w:cs="宋体"/>
          <w:spacing w:val="18"/>
          <w:sz w:val="24"/>
          <w:szCs w:val="24"/>
        </w:rPr>
        <w:t xml:space="preserve"> </w:t>
      </w:r>
      <w:r>
        <w:rPr>
          <w:rFonts w:ascii="宋体" w:eastAsia="宋体" w:hAnsi="宋体" w:cs="宋体"/>
          <w:spacing w:val="-6"/>
          <w:sz w:val="24"/>
          <w:szCs w:val="24"/>
        </w:rPr>
        <w:t>可能影响资产评估值的特别事项，在企业委托时、出具期后事项和或有事项时未</w:t>
      </w:r>
      <w:r>
        <w:rPr>
          <w:rFonts w:ascii="宋体" w:eastAsia="宋体" w:hAnsi="宋体" w:cs="宋体"/>
          <w:spacing w:val="10"/>
          <w:sz w:val="24"/>
          <w:szCs w:val="24"/>
        </w:rPr>
        <w:t xml:space="preserve"> </w:t>
      </w:r>
      <w:r>
        <w:rPr>
          <w:rFonts w:ascii="宋体" w:eastAsia="宋体" w:hAnsi="宋体" w:cs="宋体"/>
          <w:spacing w:val="-5"/>
          <w:sz w:val="24"/>
          <w:szCs w:val="24"/>
        </w:rPr>
        <w:t>作特殊说明而评估人员已履行评估程序仍无法获知的情况下，评估</w:t>
      </w:r>
      <w:r>
        <w:rPr>
          <w:rFonts w:ascii="宋体" w:eastAsia="宋体" w:hAnsi="宋体" w:cs="宋体"/>
          <w:spacing w:val="-6"/>
          <w:sz w:val="24"/>
          <w:szCs w:val="24"/>
        </w:rPr>
        <w:t>机构及评估人</w:t>
      </w:r>
      <w:r>
        <w:rPr>
          <w:rFonts w:ascii="宋体" w:eastAsia="宋体" w:hAnsi="宋体" w:cs="宋体"/>
          <w:sz w:val="24"/>
          <w:szCs w:val="24"/>
        </w:rPr>
        <w:t xml:space="preserve"> </w:t>
      </w:r>
      <w:r>
        <w:rPr>
          <w:rFonts w:ascii="宋体" w:eastAsia="宋体" w:hAnsi="宋体" w:cs="宋体"/>
          <w:spacing w:val="-8"/>
          <w:sz w:val="24"/>
          <w:szCs w:val="24"/>
        </w:rPr>
        <w:t>员不承担相关责任。</w:t>
      </w:r>
    </w:p>
    <w:p>
      <w:pPr>
        <w:spacing w:before="199" w:line="218" w:lineRule="auto"/>
        <w:ind w:left="838"/>
        <w:rPr>
          <w:rFonts w:ascii="宋体" w:eastAsia="宋体" w:hAnsi="宋体" w:cs="宋体"/>
          <w:sz w:val="24"/>
          <w:szCs w:val="24"/>
        </w:rPr>
      </w:pPr>
      <w:r>
        <w:rPr>
          <w:rFonts w:ascii="宋体" w:eastAsia="宋体" w:hAnsi="宋体" w:cs="宋体"/>
          <w:b/>
          <w:bCs/>
          <w:spacing w:val="-7"/>
          <w:sz w:val="24"/>
          <w:szCs w:val="24"/>
        </w:rPr>
        <w:t>十三、资产评估报告使用限制说明</w:t>
      </w:r>
    </w:p>
    <w:p>
      <w:pPr>
        <w:spacing w:before="210" w:line="218" w:lineRule="auto"/>
        <w:ind w:left="835"/>
        <w:rPr>
          <w:rFonts w:ascii="宋体" w:eastAsia="宋体" w:hAnsi="宋体" w:cs="宋体"/>
          <w:sz w:val="24"/>
          <w:szCs w:val="24"/>
        </w:rPr>
      </w:pPr>
      <w:r>
        <w:rPr>
          <w:rFonts w:ascii="宋体" w:eastAsia="宋体" w:hAnsi="宋体" w:cs="宋体"/>
          <w:spacing w:val="-8"/>
          <w:sz w:val="24"/>
          <w:szCs w:val="24"/>
        </w:rPr>
        <w:t>(一)评估报告只能用于评估报告载明的评</w:t>
      </w:r>
      <w:r>
        <w:rPr>
          <w:rFonts w:ascii="宋体" w:eastAsia="宋体" w:hAnsi="宋体" w:cs="宋体"/>
          <w:spacing w:val="-9"/>
          <w:sz w:val="24"/>
          <w:szCs w:val="24"/>
        </w:rPr>
        <w:t>估目的和用途；</w:t>
      </w:r>
    </w:p>
    <w:p>
      <w:pPr>
        <w:spacing w:before="198" w:line="257" w:lineRule="auto"/>
        <w:ind w:left="354" w:right="411" w:firstLine="480"/>
        <w:jc w:val="both"/>
        <w:rPr>
          <w:rFonts w:ascii="宋体" w:eastAsia="宋体" w:hAnsi="宋体" w:cs="宋体"/>
          <w:sz w:val="24"/>
          <w:szCs w:val="24"/>
        </w:rPr>
      </w:pPr>
      <w:r>
        <w:rPr>
          <w:rFonts w:ascii="宋体" w:eastAsia="宋体" w:hAnsi="宋体" w:cs="宋体"/>
          <w:spacing w:val="-6"/>
          <w:sz w:val="24"/>
          <w:szCs w:val="24"/>
        </w:rPr>
        <w:t>(二)评估报告只能由评估报告载明的评估报告使用者使用，委托人或者其他</w:t>
      </w:r>
      <w:r>
        <w:rPr>
          <w:rFonts w:ascii="宋体" w:eastAsia="宋体" w:hAnsi="宋体" w:cs="宋体"/>
          <w:spacing w:val="2"/>
          <w:sz w:val="24"/>
          <w:szCs w:val="24"/>
        </w:rPr>
        <w:t xml:space="preserve"> </w:t>
      </w:r>
      <w:r>
        <w:rPr>
          <w:rFonts w:ascii="宋体" w:eastAsia="宋体" w:hAnsi="宋体" w:cs="宋体"/>
          <w:spacing w:val="-5"/>
          <w:sz w:val="24"/>
          <w:szCs w:val="24"/>
        </w:rPr>
        <w:t>资产评估报告使用人未按照法律、  行政</w:t>
      </w:r>
      <w:r>
        <w:rPr>
          <w:rFonts w:ascii="宋体" w:eastAsia="宋体" w:hAnsi="宋体" w:cs="宋体"/>
          <w:spacing w:val="-6"/>
          <w:sz w:val="24"/>
          <w:szCs w:val="24"/>
        </w:rPr>
        <w:t>法规规定和资产评估报告载明的使用范</w:t>
      </w:r>
      <w:r>
        <w:rPr>
          <w:rFonts w:ascii="宋体" w:eastAsia="宋体" w:hAnsi="宋体" w:cs="宋体"/>
          <w:sz w:val="24"/>
          <w:szCs w:val="24"/>
        </w:rPr>
        <w:t xml:space="preserve"> </w:t>
      </w:r>
      <w:r>
        <w:rPr>
          <w:rFonts w:ascii="宋体" w:eastAsia="宋体" w:hAnsi="宋体" w:cs="宋体"/>
          <w:spacing w:val="-6"/>
          <w:sz w:val="24"/>
          <w:szCs w:val="24"/>
        </w:rPr>
        <w:t>围使用资产评估报告的，资产评估机构及其资产评估师不承担责任；</w:t>
      </w:r>
    </w:p>
    <w:p>
      <w:pPr>
        <w:spacing w:before="197" w:line="252" w:lineRule="auto"/>
        <w:ind w:left="354" w:right="407" w:firstLine="480"/>
        <w:jc w:val="both"/>
        <w:rPr>
          <w:rFonts w:ascii="宋体" w:eastAsia="宋体" w:hAnsi="宋体" w:cs="宋体"/>
          <w:sz w:val="24"/>
          <w:szCs w:val="24"/>
        </w:rPr>
      </w:pPr>
      <w:r>
        <w:rPr>
          <w:rFonts w:ascii="宋体" w:eastAsia="宋体" w:hAnsi="宋体" w:cs="宋体"/>
          <w:spacing w:val="1"/>
          <w:sz w:val="24"/>
          <w:szCs w:val="24"/>
        </w:rPr>
        <w:t>(三)除委托人、资产评估委托合同中约定的其他资产评估报告使用人和法</w:t>
      </w:r>
      <w:r>
        <w:rPr>
          <w:rFonts w:ascii="宋体" w:eastAsia="宋体" w:hAnsi="宋体" w:cs="宋体"/>
          <w:spacing w:val="4"/>
          <w:sz w:val="24"/>
          <w:szCs w:val="24"/>
        </w:rPr>
        <w:t xml:space="preserve"> </w:t>
      </w:r>
      <w:r>
        <w:rPr>
          <w:rFonts w:ascii="宋体" w:eastAsia="宋体" w:hAnsi="宋体" w:cs="宋体"/>
          <w:spacing w:val="-6"/>
          <w:sz w:val="24"/>
          <w:szCs w:val="24"/>
        </w:rPr>
        <w:t>律、行政法规规定的资产评估报告使用人之外，其他任何机构和个人不能成为资</w:t>
      </w:r>
      <w:r>
        <w:rPr>
          <w:rFonts w:ascii="宋体" w:eastAsia="宋体" w:hAnsi="宋体" w:cs="宋体"/>
          <w:spacing w:val="16"/>
          <w:sz w:val="24"/>
          <w:szCs w:val="24"/>
        </w:rPr>
        <w:t xml:space="preserve"> </w:t>
      </w:r>
      <w:r>
        <w:rPr>
          <w:rFonts w:ascii="宋体" w:eastAsia="宋体" w:hAnsi="宋体" w:cs="宋体"/>
          <w:spacing w:val="-10"/>
          <w:sz w:val="24"/>
          <w:szCs w:val="24"/>
        </w:rPr>
        <w:t>产评估报告的使用人；</w:t>
      </w:r>
    </w:p>
    <w:p>
      <w:pPr>
        <w:spacing w:before="217" w:line="400" w:lineRule="exact"/>
        <w:ind w:left="835"/>
        <w:rPr>
          <w:rFonts w:ascii="宋体" w:eastAsia="宋体" w:hAnsi="宋体" w:cs="宋体"/>
          <w:sz w:val="24"/>
          <w:szCs w:val="24"/>
        </w:rPr>
      </w:pPr>
      <w:r>
        <w:rPr>
          <w:rFonts w:ascii="宋体" w:eastAsia="宋体" w:hAnsi="宋体" w:cs="宋体"/>
          <w:spacing w:val="-6"/>
          <w:position w:val="11"/>
          <w:sz w:val="24"/>
          <w:szCs w:val="24"/>
        </w:rPr>
        <w:t>(四)资产评估报告使用人应当正确理解和使用评估结论，评估结论不等同于</w:t>
      </w:r>
    </w:p>
    <w:p>
      <w:pPr>
        <w:spacing w:before="1" w:line="217" w:lineRule="auto"/>
        <w:ind w:left="354"/>
        <w:rPr>
          <w:rFonts w:ascii="宋体" w:eastAsia="宋体" w:hAnsi="宋体" w:cs="宋体"/>
          <w:sz w:val="24"/>
          <w:szCs w:val="24"/>
        </w:rPr>
      </w:pPr>
      <w:r>
        <w:rPr>
          <w:rFonts w:ascii="宋体" w:eastAsia="宋体" w:hAnsi="宋体" w:cs="宋体"/>
          <w:spacing w:val="-6"/>
          <w:sz w:val="24"/>
          <w:szCs w:val="24"/>
        </w:rPr>
        <w:t>评估对象可实现价格，评估结论不应当被认为是对评估对象可实现价格的保证；</w:t>
      </w:r>
    </w:p>
    <w:p>
      <w:pPr>
        <w:spacing w:before="117" w:line="400" w:lineRule="exact"/>
        <w:ind w:left="835"/>
        <w:rPr>
          <w:rFonts w:ascii="宋体" w:eastAsia="宋体" w:hAnsi="宋体" w:cs="宋体"/>
          <w:sz w:val="24"/>
          <w:szCs w:val="24"/>
        </w:rPr>
      </w:pPr>
      <w:r>
        <w:rPr>
          <w:rFonts w:ascii="宋体" w:eastAsia="宋体" w:hAnsi="宋体" w:cs="宋体"/>
          <w:spacing w:val="-6"/>
          <w:position w:val="11"/>
          <w:sz w:val="24"/>
          <w:szCs w:val="24"/>
        </w:rPr>
        <w:t>(五)评估报告的全部或者部分内容被摘抄、引用或者披露于公开媒体，需评</w:t>
      </w:r>
    </w:p>
    <w:p>
      <w:pPr>
        <w:spacing w:before="1" w:line="217" w:lineRule="auto"/>
        <w:ind w:left="354"/>
        <w:rPr>
          <w:rFonts w:ascii="宋体" w:eastAsia="宋体" w:hAnsi="宋体" w:cs="宋体"/>
          <w:sz w:val="24"/>
          <w:szCs w:val="24"/>
        </w:rPr>
      </w:pPr>
      <w:r>
        <w:rPr>
          <w:rFonts w:ascii="宋体" w:eastAsia="宋体" w:hAnsi="宋体" w:cs="宋体"/>
          <w:spacing w:val="-5"/>
          <w:sz w:val="24"/>
          <w:szCs w:val="24"/>
        </w:rPr>
        <w:t>估机构审阅相关内容，法律、法规规定以及相关当事方另有约定的除外；</w:t>
      </w:r>
    </w:p>
    <w:p>
      <w:pPr>
        <w:spacing w:before="116" w:line="400" w:lineRule="exact"/>
        <w:ind w:left="835"/>
        <w:rPr>
          <w:rFonts w:ascii="宋体" w:eastAsia="宋体" w:hAnsi="宋体" w:cs="宋体"/>
          <w:sz w:val="24"/>
          <w:szCs w:val="24"/>
        </w:rPr>
      </w:pPr>
      <w:r>
        <w:rPr>
          <w:rFonts w:ascii="宋体" w:eastAsia="宋体" w:hAnsi="宋体" w:cs="宋体"/>
          <w:spacing w:val="-6"/>
          <w:position w:val="11"/>
          <w:sz w:val="24"/>
          <w:szCs w:val="24"/>
        </w:rPr>
        <w:t>(六)本评估报告所揭示的评估结论仅对评估报告中描述的经济行为有效，评</w:t>
      </w:r>
    </w:p>
    <w:p>
      <w:pPr>
        <w:spacing w:before="2" w:line="217" w:lineRule="auto"/>
        <w:ind w:left="354"/>
        <w:rPr>
          <w:rFonts w:ascii="宋体" w:eastAsia="宋体" w:hAnsi="宋体" w:cs="宋体"/>
          <w:sz w:val="24"/>
          <w:szCs w:val="24"/>
        </w:rPr>
      </w:pPr>
      <w:r>
        <w:rPr>
          <w:rFonts w:ascii="宋体" w:eastAsia="宋体" w:hAnsi="宋体" w:cs="宋体"/>
          <w:spacing w:val="-5"/>
          <w:sz w:val="24"/>
          <w:szCs w:val="24"/>
        </w:rPr>
        <w:t>估结论使用有效期为自评估基准日起一年；</w:t>
      </w:r>
    </w:p>
    <w:p>
      <w:pPr>
        <w:spacing w:before="236" w:line="422" w:lineRule="exact"/>
        <w:ind w:left="835"/>
        <w:rPr>
          <w:rFonts w:ascii="宋体" w:eastAsia="宋体" w:hAnsi="宋体" w:cs="宋体"/>
          <w:sz w:val="24"/>
          <w:szCs w:val="24"/>
        </w:rPr>
      </w:pPr>
      <w:r>
        <w:rPr>
          <w:rFonts w:ascii="宋体" w:eastAsia="宋体" w:hAnsi="宋体" w:cs="宋体"/>
          <w:spacing w:val="-6"/>
          <w:position w:val="13"/>
          <w:sz w:val="24"/>
          <w:szCs w:val="24"/>
        </w:rPr>
        <w:t>(七)本评估报告在评估机构及资产评估专业人员签名盖章后，依据法律法规</w:t>
      </w:r>
    </w:p>
    <w:p>
      <w:pPr>
        <w:spacing w:line="219" w:lineRule="auto"/>
        <w:ind w:left="354"/>
        <w:rPr>
          <w:rFonts w:ascii="宋体" w:eastAsia="宋体" w:hAnsi="宋体" w:cs="宋体"/>
          <w:sz w:val="24"/>
          <w:szCs w:val="24"/>
        </w:rPr>
      </w:pPr>
      <w:r>
        <w:rPr>
          <w:rFonts w:ascii="宋体" w:eastAsia="宋体" w:hAnsi="宋体" w:cs="宋体"/>
          <w:spacing w:val="-10"/>
          <w:sz w:val="24"/>
          <w:szCs w:val="24"/>
        </w:rPr>
        <w:t>的有关规定发生法律效力；</w:t>
      </w:r>
    </w:p>
    <w:p>
      <w:pPr>
        <w:spacing w:before="133" w:line="218" w:lineRule="auto"/>
        <w:ind w:left="835"/>
        <w:rPr>
          <w:rFonts w:ascii="宋体" w:eastAsia="宋体" w:hAnsi="宋体" w:cs="宋体"/>
          <w:sz w:val="24"/>
          <w:szCs w:val="24"/>
        </w:rPr>
      </w:pPr>
      <w:r>
        <w:rPr>
          <w:rFonts w:ascii="宋体" w:eastAsia="宋体" w:hAnsi="宋体" w:cs="宋体"/>
          <w:spacing w:val="-5"/>
          <w:sz w:val="24"/>
          <w:szCs w:val="24"/>
        </w:rPr>
        <w:t>(八)本评估报告包含若干附件文件及资产评估说明和评估明细</w:t>
      </w:r>
      <w:r>
        <w:rPr>
          <w:rFonts w:ascii="宋体" w:eastAsia="宋体" w:hAnsi="宋体" w:cs="宋体"/>
          <w:spacing w:val="-6"/>
          <w:sz w:val="24"/>
          <w:szCs w:val="24"/>
        </w:rPr>
        <w:t>表，所有附件</w:t>
      </w:r>
    </w:p>
    <w:p>
      <w:pPr>
        <w:spacing w:line="218" w:lineRule="auto"/>
        <w:rPr>
          <w:rFonts w:ascii="宋体" w:eastAsia="宋体" w:hAnsi="宋体" w:cs="宋体"/>
          <w:sz w:val="24"/>
          <w:szCs w:val="24"/>
        </w:rPr>
        <w:sectPr>
          <w:headerReference w:type="default" r:id="rId39"/>
          <w:footerReference w:type="default" r:id="rId40"/>
          <w:pgSz w:w="11910" w:h="16840"/>
          <w:pgMar w:top="1196" w:right="1524" w:bottom="1129" w:left="1415" w:header="1006" w:footer="870" w:gutter="0"/>
          <w:pgNumType w:start="19"/>
          <w:cols w:num="1" w:space="720"/>
        </w:sectPr>
      </w:pPr>
    </w:p>
    <w:p>
      <w:pPr>
        <w:pStyle w:val="BodyText"/>
        <w:spacing w:line="393" w:lineRule="auto"/>
      </w:pPr>
    </w:p>
    <w:p>
      <w:pPr>
        <w:spacing w:before="75" w:line="259" w:lineRule="auto"/>
        <w:ind w:right="130"/>
        <w:rPr>
          <w:rFonts w:ascii="宋体" w:eastAsia="宋体" w:hAnsi="宋体" w:cs="宋体"/>
          <w:sz w:val="23"/>
          <w:szCs w:val="23"/>
        </w:rPr>
      </w:pPr>
      <w:r>
        <w:rPr>
          <w:rFonts w:ascii="宋体" w:eastAsia="宋体" w:hAnsi="宋体" w:cs="宋体"/>
          <w:spacing w:val="5"/>
          <w:sz w:val="23"/>
          <w:szCs w:val="23"/>
        </w:rPr>
        <w:t>文件及资产评估说明和评估明细表亦构成本报告</w:t>
      </w:r>
      <w:r>
        <w:rPr>
          <w:rFonts w:ascii="宋体" w:eastAsia="宋体" w:hAnsi="宋体" w:cs="宋体"/>
          <w:spacing w:val="4"/>
          <w:sz w:val="23"/>
          <w:szCs w:val="23"/>
        </w:rPr>
        <w:t>之重要组成部分，与本报告正文</w:t>
      </w:r>
      <w:r>
        <w:rPr>
          <w:rFonts w:ascii="宋体" w:eastAsia="宋体" w:hAnsi="宋体" w:cs="宋体"/>
          <w:sz w:val="23"/>
          <w:szCs w:val="23"/>
        </w:rPr>
        <w:t xml:space="preserve"> </w:t>
      </w:r>
      <w:r>
        <w:rPr>
          <w:rFonts w:ascii="宋体" w:eastAsia="宋体" w:hAnsi="宋体" w:cs="宋体"/>
          <w:spacing w:val="-3"/>
          <w:sz w:val="23"/>
          <w:szCs w:val="23"/>
        </w:rPr>
        <w:t>具有同等的法律效力；</w:t>
      </w:r>
    </w:p>
    <w:p>
      <w:pPr>
        <w:spacing w:before="204" w:line="218" w:lineRule="auto"/>
        <w:ind w:left="500"/>
        <w:rPr>
          <w:rFonts w:ascii="宋体" w:eastAsia="宋体" w:hAnsi="宋体" w:cs="宋体"/>
          <w:sz w:val="23"/>
          <w:szCs w:val="23"/>
        </w:rPr>
      </w:pPr>
      <w:r>
        <w:rPr>
          <w:rFonts w:ascii="宋体" w:eastAsia="宋体" w:hAnsi="宋体" w:cs="宋体"/>
          <w:spacing w:val="-1"/>
          <w:sz w:val="23"/>
          <w:szCs w:val="23"/>
        </w:rPr>
        <w:t>(九)因评估程序受限造成的评估报告的使用限制；</w:t>
      </w:r>
    </w:p>
    <w:p>
      <w:pPr>
        <w:spacing w:before="189" w:line="253" w:lineRule="auto"/>
        <w:ind w:right="68" w:firstLine="500"/>
        <w:rPr>
          <w:rFonts w:ascii="宋体" w:eastAsia="宋体" w:hAnsi="宋体" w:cs="宋体"/>
          <w:sz w:val="23"/>
          <w:szCs w:val="23"/>
        </w:rPr>
      </w:pPr>
      <w:r>
        <w:rPr>
          <w:rFonts w:ascii="宋体" w:eastAsia="宋体" w:hAnsi="宋体" w:cs="宋体"/>
          <w:spacing w:val="10"/>
          <w:sz w:val="23"/>
          <w:szCs w:val="23"/>
        </w:rPr>
        <w:t>(十)本评估报告所揭示的评估结论是评估基准日所评估资产价值的公允反</w:t>
      </w:r>
      <w:r>
        <w:rPr>
          <w:rFonts w:ascii="宋体" w:eastAsia="宋体" w:hAnsi="宋体" w:cs="宋体"/>
          <w:spacing w:val="16"/>
          <w:sz w:val="23"/>
          <w:szCs w:val="23"/>
        </w:rPr>
        <w:t xml:space="preserve"> </w:t>
      </w:r>
      <w:r>
        <w:rPr>
          <w:rFonts w:ascii="宋体" w:eastAsia="宋体" w:hAnsi="宋体" w:cs="宋体"/>
          <w:spacing w:val="6"/>
          <w:sz w:val="23"/>
          <w:szCs w:val="23"/>
        </w:rPr>
        <w:t>映。评估机构对评估报告日以后所评估资产价值发生重大变化不承担任何责任。</w:t>
      </w:r>
    </w:p>
    <w:p>
      <w:pPr>
        <w:spacing w:before="215" w:line="218" w:lineRule="auto"/>
        <w:ind w:left="503"/>
        <w:rPr>
          <w:rFonts w:ascii="宋体" w:eastAsia="宋体" w:hAnsi="宋体" w:cs="宋体"/>
          <w:sz w:val="23"/>
          <w:szCs w:val="23"/>
        </w:rPr>
      </w:pPr>
      <w:r>
        <w:rPr>
          <w:rFonts w:ascii="宋体" w:eastAsia="宋体" w:hAnsi="宋体" w:cs="宋体"/>
          <w:b/>
          <w:bCs/>
          <w:spacing w:val="1"/>
          <w:sz w:val="23"/>
          <w:szCs w:val="23"/>
        </w:rPr>
        <w:t>十四、资产评估报告日</w:t>
      </w:r>
    </w:p>
    <w:p>
      <w:pPr>
        <w:spacing w:before="212" w:line="218" w:lineRule="auto"/>
        <w:ind w:left="500"/>
        <w:rPr>
          <w:rFonts w:ascii="宋体" w:eastAsia="宋体" w:hAnsi="宋体" w:cs="宋体"/>
          <w:sz w:val="23"/>
          <w:szCs w:val="23"/>
        </w:rPr>
      </w:pPr>
      <w:r>
        <w:rPr>
          <w:rFonts w:ascii="宋体" w:eastAsia="宋体" w:hAnsi="宋体" w:cs="宋体"/>
          <w:spacing w:val="3"/>
          <w:sz w:val="23"/>
          <w:szCs w:val="23"/>
        </w:rPr>
        <w:t>本评估报告日为二〇二四年一月九日。</w:t>
      </w:r>
    </w:p>
    <w:p>
      <w:pPr>
        <w:spacing w:line="218" w:lineRule="auto"/>
        <w:rPr>
          <w:rFonts w:ascii="宋体" w:eastAsia="宋体" w:hAnsi="宋体" w:cs="宋体"/>
          <w:sz w:val="23"/>
          <w:szCs w:val="23"/>
        </w:rPr>
        <w:sectPr>
          <w:headerReference w:type="default" r:id="rId41"/>
          <w:footerReference w:type="default" r:id="rId42"/>
          <w:pgSz w:w="11910" w:h="16840"/>
          <w:pgMar w:top="1286" w:right="1786" w:bottom="1029" w:left="1779" w:header="1096" w:footer="761" w:gutter="0"/>
          <w:pgNumType w:start="20"/>
          <w:cols w:num="1" w:space="720"/>
        </w:sectPr>
      </w:pPr>
    </w:p>
    <w:p>
      <w:pPr>
        <w:pStyle w:val="BodyText"/>
        <w:spacing w:line="273" w:lineRule="auto"/>
      </w:pPr>
    </w:p>
    <w:p>
      <w:pPr>
        <w:pStyle w:val="BodyText"/>
        <w:spacing w:line="273" w:lineRule="auto"/>
      </w:pPr>
    </w:p>
    <w:p>
      <w:pPr>
        <w:pStyle w:val="BodyText"/>
        <w:spacing w:line="274" w:lineRule="auto"/>
      </w:pPr>
    </w:p>
    <w:p>
      <w:pPr>
        <w:pStyle w:val="BodyText"/>
        <w:spacing w:line="274" w:lineRule="auto"/>
      </w:pPr>
    </w:p>
    <w:p>
      <w:pPr>
        <w:spacing w:before="81" w:line="219" w:lineRule="auto"/>
        <w:ind w:left="493"/>
        <w:rPr>
          <w:rFonts w:ascii="宋体" w:eastAsia="宋体" w:hAnsi="宋体" w:cs="宋体"/>
          <w:sz w:val="25"/>
          <w:szCs w:val="25"/>
        </w:rPr>
      </w:pPr>
      <w:r>
        <w:rPr>
          <w:rFonts w:ascii="宋体" w:eastAsia="宋体" w:hAnsi="宋体" w:cs="宋体"/>
          <w:spacing w:val="-18"/>
          <w:sz w:val="25"/>
          <w:szCs w:val="25"/>
        </w:rPr>
        <w:t>(本页无正文，为签名盖章页)</w:t>
      </w: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3" w:lineRule="auto"/>
      </w:pPr>
    </w:p>
    <w:p>
      <w:pPr>
        <w:pStyle w:val="BodyText"/>
        <w:spacing w:line="243" w:lineRule="auto"/>
      </w:pPr>
    </w:p>
    <w:p>
      <w:pPr>
        <w:spacing w:before="69" w:line="185" w:lineRule="auto"/>
        <w:ind w:left="493"/>
        <w:rPr>
          <w:rFonts w:ascii="宋体" w:eastAsia="宋体" w:hAnsi="宋体" w:cs="宋体"/>
        </w:rPr>
      </w:pPr>
      <w:r>
        <w:rPr>
          <w:rFonts w:ascii="宋体" w:eastAsia="宋体" w:hAnsi="宋体" w:cs="宋体"/>
          <w:spacing w:val="17"/>
          <w:sz w:val="21"/>
          <w:szCs w:val="21"/>
        </w:rPr>
        <w:t>评估机构法定代表人</w:t>
      </w:r>
    </w:p>
    <w:p>
      <w:pPr>
        <w:spacing w:line="170" w:lineRule="auto"/>
        <w:ind w:left="3113"/>
        <w:rPr>
          <w:rFonts w:ascii="Times New Roman" w:eastAsia="Times New Roman" w:hAnsi="Times New Roman" w:cs="Times New Roman"/>
          <w:sz w:val="25"/>
          <w:szCs w:val="25"/>
        </w:rPr>
      </w:pPr>
      <w:r>
        <w:rPr>
          <w:rFonts w:ascii="Times New Roman" w:eastAsia="Times New Roman" w:hAnsi="Times New Roman" w:cs="Times New Roman"/>
          <w:sz w:val="25"/>
          <w:szCs w:val="25"/>
        </w:rPr>
        <w:t>t</w:t>
      </w:r>
    </w:p>
    <w:p>
      <w:pPr>
        <w:spacing w:before="54" w:line="223" w:lineRule="auto"/>
        <w:ind w:left="2893"/>
        <w:rPr>
          <w:rFonts w:ascii="黑体" w:eastAsia="黑体" w:hAnsi="黑体" w:cs="黑体"/>
          <w:sz w:val="16"/>
          <w:szCs w:val="16"/>
        </w:rPr>
      </w:pPr>
      <w:r>
        <w:rPr>
          <w:rFonts w:ascii="黑体" w:eastAsia="黑体" w:hAnsi="黑体" w:cs="黑体"/>
          <w:spacing w:val="12"/>
          <w:sz w:val="16"/>
          <w:szCs w:val="16"/>
        </w:rPr>
        <w:t>计活师</w:t>
      </w:r>
    </w:p>
    <w:p>
      <w:pPr>
        <w:pStyle w:val="BodyText"/>
        <w:spacing w:line="287" w:lineRule="auto"/>
      </w:pPr>
    </w:p>
    <w:p>
      <w:pPr>
        <w:pStyle w:val="BodyText"/>
        <w:spacing w:line="287" w:lineRule="auto"/>
      </w:pPr>
    </w:p>
    <w:p>
      <w:pPr>
        <w:spacing w:before="69" w:line="218" w:lineRule="auto"/>
        <w:ind w:left="493"/>
        <w:rPr>
          <w:rFonts w:ascii="宋体" w:eastAsia="宋体" w:hAnsi="宋体" w:cs="宋体"/>
        </w:rPr>
      </w:pPr>
      <w:r>
        <w:rPr>
          <w:rFonts w:ascii="宋体" w:eastAsia="宋体" w:hAnsi="宋体" w:cs="宋体"/>
          <w:spacing w:val="37"/>
          <w:sz w:val="21"/>
          <w:szCs w:val="21"/>
        </w:rPr>
        <w:t>资产评估师</w:t>
      </w:r>
      <w:r>
        <w:rPr>
          <w:rFonts w:ascii="宋体" w:eastAsia="宋体" w:hAnsi="宋体" w:cs="宋体"/>
          <w:spacing w:val="-45"/>
          <w:sz w:val="21"/>
          <w:szCs w:val="21"/>
        </w:rPr>
        <w:t xml:space="preserve"> </w:t>
      </w:r>
      <w:r>
        <w:rPr>
          <w:rFonts w:ascii="宋体" w:eastAsia="宋体" w:hAnsi="宋体" w:cs="宋体"/>
          <w:spacing w:val="37"/>
          <w:sz w:val="21"/>
          <w:szCs w:val="21"/>
        </w:rPr>
        <w:t>：</w:t>
      </w:r>
    </w:p>
    <w:p>
      <w:pPr>
        <w:pStyle w:val="BodyText"/>
        <w:spacing w:line="305" w:lineRule="auto"/>
      </w:pPr>
    </w:p>
    <w:p>
      <w:pPr>
        <w:pStyle w:val="BodyText"/>
        <w:spacing w:line="305" w:lineRule="auto"/>
      </w:pPr>
    </w:p>
    <w:p>
      <w:pPr>
        <w:pStyle w:val="BodyText"/>
        <w:spacing w:line="306" w:lineRule="auto"/>
      </w:pPr>
    </w:p>
    <w:p>
      <w:pPr>
        <w:spacing w:before="81" w:line="218" w:lineRule="auto"/>
        <w:ind w:left="493"/>
        <w:rPr>
          <w:rFonts w:ascii="宋体" w:eastAsia="宋体" w:hAnsi="宋体" w:cs="宋体"/>
          <w:sz w:val="25"/>
          <w:szCs w:val="25"/>
        </w:rPr>
      </w:pPr>
      <w:r>
        <w:pict>
          <v:shapetype id="_x0000_t202" coordsize="21600,21600" o:spt="202" path="m,l,21600r21600,l21600,xe">
            <v:stroke joinstyle="miter"/>
            <v:path gradientshapeok="t" o:connecttype="rect"/>
          </v:shapetype>
          <v:shape id="_x0000_s1026" o:spid="_x0000_s1025" type="#_x0000_t202" style="width:6.65pt;height:12.35pt;margin-top:-5.1pt;margin-left:168.65pt;mso-height-relative:page;mso-width-relative:page;position:absolute;z-index:251658240" coordsize="21600,21600" filled="f" stroked="f">
            <o:lock v:ext="edit" aspectratio="f"/>
            <v:textbox inset="0,0,0,0">
              <w:txbxContent>
                <w:p>
                  <w:pPr>
                    <w:spacing w:before="19" w:line="182" w:lineRule="auto"/>
                    <w:ind w:left="20"/>
                    <w:rPr>
                      <w:rFonts w:ascii="宋体" w:eastAsia="宋体" w:hAnsi="宋体" w:cs="宋体"/>
                    </w:rPr>
                  </w:pPr>
                  <w:r>
                    <w:rPr>
                      <w:rFonts w:ascii="宋体" w:eastAsia="宋体" w:hAnsi="宋体" w:cs="宋体"/>
                      <w:sz w:val="21"/>
                      <w:szCs w:val="21"/>
                    </w:rPr>
                    <w:t>5</w:t>
                  </w:r>
                </w:p>
              </w:txbxContent>
            </v:textbox>
          </v:shape>
        </w:pict>
      </w:r>
      <w:r>
        <w:pict>
          <v:shape id="_x0000_s1027" o:spid="_x0000_s1026" type="#_x0000_t202" style="width:6.6pt;height:6.35pt;margin-top:14.35pt;margin-left:168.65pt;mso-height-relative:page;mso-width-relative:page;position:absolute;z-index:251659264" coordsize="21600,21600" filled="f" stroked="f">
            <o:lock v:ext="edit" aspectratio="f"/>
            <v:textbox inset="0,0,0,0">
              <w:txbxContent>
                <w:p>
                  <w:pPr>
                    <w:spacing w:before="20" w:line="86" w:lineRule="exact"/>
                    <w:ind w:left="20"/>
                    <w:rPr>
                      <w:rFonts w:ascii="宋体" w:eastAsia="宋体" w:hAnsi="宋体" w:cs="宋体"/>
                    </w:rPr>
                  </w:pPr>
                  <w:r>
                    <w:rPr>
                      <w:rFonts w:ascii="宋体" w:eastAsia="宋体" w:hAnsi="宋体" w:cs="宋体"/>
                      <w:position w:val="1"/>
                      <w:sz w:val="21"/>
                      <w:szCs w:val="21"/>
                    </w:rPr>
                    <w:t>.</w:t>
                  </w:r>
                </w:p>
              </w:txbxContent>
            </v:textbox>
          </v:shape>
        </w:pict>
      </w:r>
      <w:r>
        <w:rPr>
          <w:rFonts w:ascii="宋体" w:eastAsia="宋体" w:hAnsi="宋体" w:cs="宋体"/>
          <w:spacing w:val="-23"/>
          <w:sz w:val="25"/>
          <w:szCs w:val="25"/>
        </w:rPr>
        <w:t>资产评估师：</w:t>
      </w:r>
    </w:p>
    <w:p>
      <w:pPr>
        <w:pStyle w:val="BodyText"/>
        <w:spacing w:line="244" w:lineRule="auto"/>
      </w:pPr>
    </w:p>
    <w:p>
      <w:pPr>
        <w:spacing w:before="82" w:line="190" w:lineRule="exact"/>
        <w:ind w:left="2933"/>
        <w:rPr>
          <w:rFonts w:ascii="宋体" w:eastAsia="宋体" w:hAnsi="宋体" w:cs="宋体"/>
          <w:sz w:val="25"/>
          <w:szCs w:val="25"/>
        </w:rPr>
      </w:pPr>
      <w:r>
        <w:rPr>
          <w:rFonts w:ascii="宋体" w:eastAsia="宋体" w:hAnsi="宋体" w:cs="宋体"/>
          <w:position w:val="1"/>
          <w:sz w:val="25"/>
          <w:szCs w:val="25"/>
        </w:rPr>
        <w:t>;</w:t>
      </w:r>
    </w:p>
    <w:p>
      <w:pPr>
        <w:spacing w:before="187" w:line="89" w:lineRule="exact"/>
        <w:ind w:left="2733"/>
        <w:rPr>
          <w:rFonts w:ascii="宋体" w:eastAsia="宋体" w:hAnsi="宋体" w:cs="宋体"/>
        </w:rPr>
      </w:pPr>
      <w:r>
        <w:rPr>
          <w:rFonts w:ascii="宋体" w:eastAsia="宋体" w:hAnsi="宋体" w:cs="宋体"/>
          <w:position w:val="3"/>
          <w:sz w:val="21"/>
          <w:szCs w:val="21"/>
        </w:rPr>
        <w:t>,</w:t>
      </w: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2" w:lineRule="auto"/>
      </w:pPr>
    </w:p>
    <w:p>
      <w:pPr>
        <w:spacing w:before="81" w:line="218" w:lineRule="auto"/>
        <w:ind w:left="4906"/>
        <w:rPr>
          <w:rFonts w:ascii="宋体" w:eastAsia="宋体" w:hAnsi="宋体" w:cs="宋体"/>
          <w:sz w:val="25"/>
          <w:szCs w:val="25"/>
        </w:rPr>
      </w:pPr>
      <w:r>
        <w:rPr>
          <w:rFonts w:ascii="宋体" w:eastAsia="宋体" w:hAnsi="宋体" w:cs="宋体"/>
          <w:b/>
          <w:bCs/>
          <w:spacing w:val="-15"/>
          <w:sz w:val="25"/>
          <w:szCs w:val="25"/>
        </w:rPr>
        <w:t>北京百汇方兴资产评估有限公司</w:t>
      </w:r>
    </w:p>
    <w:p>
      <w:pPr>
        <w:pStyle w:val="BodyText"/>
        <w:spacing w:line="285" w:lineRule="auto"/>
      </w:pPr>
    </w:p>
    <w:p>
      <w:pPr>
        <w:spacing w:before="69" w:line="219" w:lineRule="auto"/>
        <w:ind w:left="5746"/>
        <w:rPr>
          <w:rFonts w:ascii="宋体" w:eastAsia="宋体" w:hAnsi="宋体" w:cs="宋体"/>
        </w:rPr>
      </w:pPr>
      <w:r>
        <w:rPr>
          <w:rFonts w:ascii="宋体" w:eastAsia="宋体" w:hAnsi="宋体" w:cs="宋体"/>
          <w:b/>
          <w:bCs/>
          <w:spacing w:val="14"/>
          <w:sz w:val="21"/>
          <w:szCs w:val="21"/>
        </w:rPr>
        <w:t>二〇二四年</w:t>
      </w:r>
      <w:r>
        <w:rPr>
          <w:rFonts w:ascii="宋体" w:eastAsia="宋体" w:hAnsi="宋体" w:cs="宋体"/>
          <w:spacing w:val="-56"/>
          <w:sz w:val="21"/>
          <w:szCs w:val="21"/>
        </w:rPr>
        <w:t xml:space="preserve"> </w:t>
      </w:r>
      <w:r>
        <w:rPr>
          <w:rFonts w:ascii="宋体" w:eastAsia="宋体" w:hAnsi="宋体" w:cs="宋体"/>
          <w:b/>
          <w:bCs/>
          <w:spacing w:val="14"/>
          <w:sz w:val="21"/>
          <w:szCs w:val="21"/>
        </w:rPr>
        <w:t>一</w:t>
      </w:r>
      <w:r>
        <w:rPr>
          <w:rFonts w:ascii="宋体" w:eastAsia="宋体" w:hAnsi="宋体" w:cs="宋体"/>
          <w:spacing w:val="-60"/>
          <w:sz w:val="21"/>
          <w:szCs w:val="21"/>
        </w:rPr>
        <w:t xml:space="preserve"> </w:t>
      </w:r>
      <w:r>
        <w:rPr>
          <w:rFonts w:ascii="宋体" w:eastAsia="宋体" w:hAnsi="宋体" w:cs="宋体"/>
          <w:b/>
          <w:bCs/>
          <w:spacing w:val="14"/>
          <w:sz w:val="21"/>
          <w:szCs w:val="21"/>
        </w:rPr>
        <w:t>月九日</w:t>
      </w:r>
    </w:p>
    <w:p>
      <w:pPr>
        <w:spacing w:line="219" w:lineRule="auto"/>
        <w:rPr>
          <w:rFonts w:ascii="宋体" w:eastAsia="宋体" w:hAnsi="宋体" w:cs="宋体"/>
        </w:rPr>
      </w:pPr>
      <w:r>
        <w:rPr>
          <w:rFonts w:ascii="宋体" w:eastAsia="宋体" w:hAnsi="宋体" w:cs="宋体"/>
        </w:rPr>
        <w:br/>
      </w:r>
      <w:r>
        <w:rPr>
          <w:rFonts w:ascii="宋体" w:eastAsia="宋体" w:hAnsi="宋体" w:cs="宋体"/>
        </w:rPr>
        <w:br/>
      </w:r>
    </w:p>
    <w:p>
      <w:pPr>
        <w:kinsoku/>
        <w:autoSpaceDE/>
        <w:autoSpaceDN/>
        <w:adjustRightInd/>
        <w:snapToGrid/>
        <w:spacing w:line="240" w:lineRule="auto"/>
        <w:jc w:val="left"/>
        <w:textAlignment w:val="auto"/>
        <w:rPr>
          <w:rFonts w:ascii="SimSun" w:eastAsia="SimSun" w:hAnsi="SimSun" w:cs="SimSun"/>
          <w:b/>
          <w:bCs/>
          <w:snapToGrid/>
          <w:kern w:val="0"/>
          <w:sz w:val="30"/>
          <w:szCs w:val="30"/>
        </w:rPr>
      </w:pPr>
      <w:r>
        <w:rPr>
          <w:rFonts w:ascii="SimSun" w:eastAsia="SimSun" w:hAnsi="SimSun" w:cs="SimSun"/>
          <w:b/>
          <w:bCs/>
          <w:snapToGrid/>
          <w:kern w:val="0"/>
          <w:sz w:val="30"/>
          <w:szCs w:val="30"/>
        </w:rPr>
        <w:t>以上内容仅为本文档的试下载部分，为可阅读页数的一半内容。如要下载或阅读全文，请访问：</w:t>
      </w:r>
      <w:hyperlink r:id="rId43" w:history="1">
        <w:r>
          <w:rPr>
            <w:rFonts w:ascii="SimSun" w:eastAsia="SimSun" w:hAnsi="SimSun" w:cs="SimSun"/>
            <w:b/>
            <w:bCs/>
            <w:snapToGrid/>
            <w:color w:val="0000EE"/>
            <w:kern w:val="0"/>
            <w:sz w:val="30"/>
            <w:szCs w:val="30"/>
            <w:u w:val="single" w:color="0000EE"/>
          </w:rPr>
          <w:t>https://d.book118.com/356002043010010052</w:t>
        </w:r>
      </w:hyperlink>
    </w:p>
    <w:p>
      <w:pPr>
        <w:spacing w:line="219" w:lineRule="auto"/>
        <w:rPr>
          <w:rFonts w:ascii="宋体" w:eastAsia="宋体" w:hAnsi="宋体" w:cs="宋体"/>
        </w:rPr>
      </w:pPr>
    </w:p>
    <w:sectPr>
      <w:headerReference w:type="default" r:id="rId44"/>
      <w:footerReference w:type="default" r:id="rId45"/>
      <w:pgSz w:w="11910" w:h="16840"/>
      <w:pgMar w:top="1296" w:right="1786" w:bottom="1099" w:left="1786" w:header="1086" w:footer="845" w:gutter="0"/>
      <w:pgNumType w:start="21"/>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TXinwei">
    <w:altName w:val="Segoe Print"/>
    <w:panose1 w:val="00000000000000000000"/>
    <w:charset w:val="00"/>
    <w:family w:val="auto"/>
    <w:pitch w:val="default"/>
    <w:sig w:usb0="00000000" w:usb1="00000000" w:usb2="00000000" w:usb3="00000000" w:csb0="00000001" w:csb1="00000000"/>
  </w:font>
  <w:font w:name="LiSu">
    <w:altName w:val="Segoe Print"/>
    <w:panose1 w:val="00000000000000000000"/>
    <w:charset w:val="00"/>
    <w:family w:val="auto"/>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 w:name="YouYuan">
    <w:altName w:val="Segoe Print"/>
    <w:panose1 w:val="00000000000000000000"/>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35" w:line="20" w:lineRule="exact"/>
      <w:ind w:firstLine="30"/>
    </w:pPr>
    <w:r>
      <w:drawing>
        <wp:inline distT="0" distB="0" distL="0" distR="0">
          <wp:extent cx="5257800" cy="127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5257844" cy="12725"/>
                  </a:xfrm>
                  <a:prstGeom prst="rect">
                    <a:avLst/>
                  </a:prstGeom>
                </pic:spPr>
              </pic:pic>
            </a:graphicData>
          </a:graphic>
        </wp:inline>
      </w:drawing>
    </w:r>
  </w:p>
  <w:sdt>
    <w:sdtPr>
      <w:rPr>
        <w:rFonts w:ascii="宋体" w:eastAsia="宋体" w:hAnsi="宋体" w:cs="宋体"/>
        <w:sz w:val="18"/>
        <w:szCs w:val="18"/>
      </w:rPr>
      <w:id w:val="2"/>
      <w:docPartObj>
        <w:docPartGallery w:val="Table of Contents"/>
        <w:docPartUnique/>
      </w:docPartObj>
    </w:sdtPr>
    <w:sdtEndPr>
      <w:rPr>
        <w:rFonts w:ascii="宋体" w:eastAsia="宋体" w:hAnsi="宋体" w:cs="宋体"/>
        <w:sz w:val="15"/>
        <w:szCs w:val="15"/>
      </w:rPr>
    </w:sdtEndPr>
    <w:sdtContent>
      <w:p>
        <w:pPr>
          <w:spacing w:line="207" w:lineRule="auto"/>
          <w:rPr>
            <w:rFonts w:ascii="宋体" w:eastAsia="宋体" w:hAnsi="宋体" w:cs="宋体"/>
            <w:sz w:val="15"/>
            <w:szCs w:val="15"/>
          </w:rPr>
        </w:pPr>
        <w:r>
          <w:rPr>
            <w:rFonts w:ascii="宋体" w:eastAsia="宋体" w:hAnsi="宋体" w:cs="宋体"/>
            <w:sz w:val="18"/>
            <w:szCs w:val="18"/>
          </w:rPr>
          <w:t xml:space="preserve">北京百汇方兴资产评估有限公司                                          </w:t>
        </w:r>
        <w:r>
          <w:rPr>
            <w:rFonts w:ascii="宋体" w:eastAsia="宋体" w:hAnsi="宋体" w:cs="宋体"/>
            <w:spacing w:val="-1"/>
            <w:sz w:val="18"/>
            <w:szCs w:val="18"/>
          </w:rPr>
          <w:t xml:space="preserve">                    </w:t>
        </w:r>
        <w:hyperlink w:anchor="bookmark18" w:history="1">
          <w:r>
            <w:rPr>
              <w:rFonts w:ascii="宋体" w:eastAsia="宋体" w:hAnsi="宋体" w:cs="宋体"/>
              <w:spacing w:val="-1"/>
              <w:sz w:val="15"/>
              <w:szCs w:val="15"/>
            </w:rPr>
            <w:t>1</w:t>
          </w:r>
        </w:hyperlink>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宋体" w:eastAsia="宋体" w:hAnsi="宋体" w:cs="宋体"/>
        <w:sz w:val="18"/>
        <w:szCs w:val="18"/>
      </w:rPr>
      <w:id w:val="3"/>
      <w:docPartObj>
        <w:docPartGallery w:val="Table of Contents"/>
        <w:docPartUnique/>
      </w:docPartObj>
    </w:sdtPr>
    <w:sdtEndPr>
      <w:rPr>
        <w:rFonts w:ascii="宋体" w:eastAsia="宋体" w:hAnsi="宋体" w:cs="宋体"/>
        <w:sz w:val="14"/>
        <w:szCs w:val="14"/>
      </w:rPr>
    </w:sdtEndPr>
    <w:sdtContent>
      <w:p>
        <w:pPr>
          <w:spacing w:before="145" w:line="208" w:lineRule="auto"/>
          <w:ind w:left="26"/>
          <w:rPr>
            <w:rFonts w:ascii="宋体" w:eastAsia="宋体" w:hAnsi="宋体" w:cs="宋体"/>
            <w:sz w:val="14"/>
            <w:szCs w:val="14"/>
          </w:rPr>
        </w:pPr>
        <w:r>
          <w:drawing>
            <wp:anchor distT="0" distB="0" distL="0" distR="0" simplePos="0" relativeHeight="251658240" behindDoc="0" locked="0" layoutInCell="0" allowOverlap="1">
              <wp:simplePos x="0" y="0"/>
              <wp:positionH relativeFrom="page">
                <wp:posOffset>1161415</wp:posOffset>
              </wp:positionH>
              <wp:positionV relativeFrom="page">
                <wp:posOffset>10020300</wp:posOffset>
              </wp:positionV>
              <wp:extent cx="5251450" cy="127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5251478" cy="12607"/>
                      </a:xfrm>
                      <a:prstGeom prst="rect">
                        <a:avLst/>
                      </a:prstGeom>
                    </pic:spPr>
                  </pic:pic>
                </a:graphicData>
              </a:graphic>
            </wp:anchor>
          </w:drawing>
        </w:r>
        <w:r>
          <w:rPr>
            <w:rFonts w:ascii="宋体" w:eastAsia="宋体" w:hAnsi="宋体" w:cs="宋体"/>
            <w:spacing w:val="-1"/>
            <w:sz w:val="18"/>
            <w:szCs w:val="18"/>
          </w:rPr>
          <w:t xml:space="preserve">北京百汇方兴资产评估有限公司                                                </w:t>
        </w:r>
        <w:r>
          <w:rPr>
            <w:rFonts w:ascii="宋体" w:eastAsia="宋体" w:hAnsi="宋体" w:cs="宋体"/>
            <w:spacing w:val="-2"/>
            <w:sz w:val="18"/>
            <w:szCs w:val="18"/>
          </w:rPr>
          <w:t xml:space="preserve">              </w:t>
        </w:r>
        <w:hyperlink w:anchor="bookmark19" w:history="1">
          <w:r>
            <w:rPr>
              <w:rFonts w:ascii="宋体" w:eastAsia="宋体" w:hAnsi="宋体" w:cs="宋体"/>
              <w:spacing w:val="-2"/>
              <w:sz w:val="14"/>
              <w:szCs w:val="14"/>
            </w:rPr>
            <w:t>2</w:t>
          </w:r>
        </w:hyperlink>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15" w:line="20" w:lineRule="exact"/>
      <w:ind w:firstLine="354"/>
    </w:pPr>
    <w:r>
      <w:drawing>
        <wp:inline distT="0" distB="0" distL="0" distR="0">
          <wp:extent cx="5251450" cy="1270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
                  <a:stretch>
                    <a:fillRect/>
                  </a:stretch>
                </pic:blipFill>
                <pic:spPr>
                  <a:xfrm>
                    <a:off x="0" y="0"/>
                    <a:ext cx="5251491" cy="12725"/>
                  </a:xfrm>
                  <a:prstGeom prst="rect">
                    <a:avLst/>
                  </a:prstGeom>
                </pic:spPr>
              </pic:pic>
            </a:graphicData>
          </a:graphic>
        </wp:inline>
      </w:drawing>
    </w:r>
  </w:p>
  <w:sdt>
    <w:sdtPr>
      <w:rPr>
        <w:rFonts w:ascii="宋体" w:eastAsia="宋体" w:hAnsi="宋体" w:cs="宋体"/>
        <w:sz w:val="18"/>
        <w:szCs w:val="18"/>
      </w:rPr>
      <w:id w:val="4"/>
      <w:docPartObj>
        <w:docPartGallery w:val="Table of Contents"/>
        <w:docPartUnique/>
      </w:docPartObj>
    </w:sdtPr>
    <w:sdtEndPr>
      <w:rPr>
        <w:rFonts w:ascii="宋体" w:eastAsia="宋体" w:hAnsi="宋体" w:cs="宋体"/>
        <w:sz w:val="14"/>
        <w:szCs w:val="14"/>
      </w:rPr>
    </w:sdtEndPr>
    <w:sdtContent>
      <w:p>
        <w:pPr>
          <w:spacing w:line="207" w:lineRule="auto"/>
          <w:ind w:left="354"/>
          <w:rPr>
            <w:rFonts w:ascii="宋体" w:eastAsia="宋体" w:hAnsi="宋体" w:cs="宋体"/>
            <w:sz w:val="14"/>
            <w:szCs w:val="14"/>
          </w:rPr>
        </w:pPr>
        <w:r>
          <w:rPr>
            <w:rFonts w:ascii="宋体" w:eastAsia="宋体" w:hAnsi="宋体" w:cs="宋体"/>
            <w:spacing w:val="1"/>
            <w:sz w:val="18"/>
            <w:szCs w:val="18"/>
          </w:rPr>
          <w:t xml:space="preserve">北京百汇方兴资产评估有限公司     </w:t>
        </w:r>
        <w:r>
          <w:rPr>
            <w:rFonts w:ascii="宋体" w:eastAsia="宋体" w:hAnsi="宋体" w:cs="宋体"/>
            <w:sz w:val="18"/>
            <w:szCs w:val="18"/>
          </w:rPr>
          <w:t xml:space="preserve">                                                        </w:t>
        </w:r>
        <w:hyperlink w:anchor="bookmark20" w:history="1">
          <w:r>
            <w:rPr>
              <w:rFonts w:ascii="宋体" w:eastAsia="宋体" w:hAnsi="宋体" w:cs="宋体"/>
              <w:sz w:val="14"/>
              <w:szCs w:val="14"/>
            </w:rPr>
            <w:t>3</w:t>
          </w:r>
        </w:hyperlink>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15" w:line="20" w:lineRule="exact"/>
      <w:ind w:firstLine="354"/>
    </w:pPr>
    <w:r>
      <w:drawing>
        <wp:inline distT="0" distB="0" distL="0" distR="0">
          <wp:extent cx="5251450" cy="12700"/>
          <wp:effectExtent l="0" t="0" r="0" b="0"/>
          <wp:docPr id="474184824" name="IM 14"/>
          <wp:cNvGraphicFramePr/>
          <a:graphic xmlns:a="http://schemas.openxmlformats.org/drawingml/2006/main">
            <a:graphicData uri="http://schemas.openxmlformats.org/drawingml/2006/picture">
              <pic:pic xmlns:pic="http://schemas.openxmlformats.org/drawingml/2006/picture">
                <pic:nvPicPr>
                  <pic:cNvPr id="474184824" name="IM 14"/>
                  <pic:cNvPicPr/>
                </pic:nvPicPr>
                <pic:blipFill>
                  <a:blip xmlns:r="http://schemas.openxmlformats.org/officeDocument/2006/relationships" r:embed="rId1"/>
                  <a:stretch>
                    <a:fillRect/>
                  </a:stretch>
                </pic:blipFill>
                <pic:spPr>
                  <a:xfrm>
                    <a:off x="0" y="0"/>
                    <a:ext cx="5251491" cy="12725"/>
                  </a:xfrm>
                  <a:prstGeom prst="rect">
                    <a:avLst/>
                  </a:prstGeom>
                </pic:spPr>
              </pic:pic>
            </a:graphicData>
          </a:graphic>
        </wp:inline>
      </w:drawing>
    </w:r>
  </w:p>
  <w:sdt>
    <w:sdtPr>
      <w:rPr>
        <w:rFonts w:ascii="宋体" w:eastAsia="宋体" w:hAnsi="宋体" w:cs="宋体"/>
        <w:sz w:val="18"/>
        <w:szCs w:val="18"/>
      </w:rPr>
      <w:id w:val="640709549"/>
      <w:docPartObj>
        <w:docPartGallery w:val="Table of Contents"/>
        <w:docPartUnique/>
      </w:docPartObj>
    </w:sdtPr>
    <w:sdtEndPr>
      <w:rPr>
        <w:rFonts w:ascii="宋体" w:eastAsia="宋体" w:hAnsi="宋体" w:cs="宋体"/>
        <w:sz w:val="14"/>
        <w:szCs w:val="14"/>
      </w:rPr>
    </w:sdtEndPr>
    <w:sdtContent>
      <w:p>
        <w:pPr>
          <w:spacing w:line="207" w:lineRule="auto"/>
          <w:ind w:left="354"/>
          <w:rPr>
            <w:rFonts w:ascii="宋体" w:eastAsia="宋体" w:hAnsi="宋体" w:cs="宋体"/>
            <w:sz w:val="14"/>
            <w:szCs w:val="14"/>
          </w:rPr>
        </w:pPr>
        <w:r>
          <w:rPr>
            <w:rFonts w:ascii="宋体" w:eastAsia="宋体" w:hAnsi="宋体" w:cs="宋体"/>
            <w:spacing w:val="1"/>
            <w:sz w:val="18"/>
            <w:szCs w:val="18"/>
          </w:rPr>
          <w:t xml:space="preserve">北京百汇方兴资产评估有限公司     </w:t>
        </w:r>
        <w:r>
          <w:rPr>
            <w:rFonts w:ascii="宋体" w:eastAsia="宋体" w:hAnsi="宋体" w:cs="宋体"/>
            <w:sz w:val="18"/>
            <w:szCs w:val="18"/>
          </w:rPr>
          <w:t xml:space="preserve">                                                        </w:t>
        </w:r>
        <w:hyperlink w:anchor="bookmark20" w:history="1">
          <w:r>
            <w:rPr>
              <w:rFonts w:ascii="宋体" w:eastAsia="宋体" w:hAnsi="宋体" w:cs="宋体"/>
              <w:sz w:val="14"/>
              <w:szCs w:val="14"/>
            </w:rPr>
            <w:t>3</w:t>
          </w:r>
        </w:hyperlink>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15" w:line="20" w:lineRule="exact"/>
      <w:ind w:firstLine="354"/>
    </w:pPr>
    <w:r>
      <w:drawing>
        <wp:inline distT="0" distB="0" distL="0" distR="0">
          <wp:extent cx="5251450" cy="12700"/>
          <wp:effectExtent l="0" t="0" r="0" b="0"/>
          <wp:docPr id="1714052067" name="IM 14"/>
          <wp:cNvGraphicFramePr/>
          <a:graphic xmlns:a="http://schemas.openxmlformats.org/drawingml/2006/main">
            <a:graphicData uri="http://schemas.openxmlformats.org/drawingml/2006/picture">
              <pic:pic xmlns:pic="http://schemas.openxmlformats.org/drawingml/2006/picture">
                <pic:nvPicPr>
                  <pic:cNvPr id="1714052067" name="IM 14"/>
                  <pic:cNvPicPr/>
                </pic:nvPicPr>
                <pic:blipFill>
                  <a:blip xmlns:r="http://schemas.openxmlformats.org/officeDocument/2006/relationships" r:embed="rId1"/>
                  <a:stretch>
                    <a:fillRect/>
                  </a:stretch>
                </pic:blipFill>
                <pic:spPr>
                  <a:xfrm>
                    <a:off x="0" y="0"/>
                    <a:ext cx="5251491" cy="12725"/>
                  </a:xfrm>
                  <a:prstGeom prst="rect">
                    <a:avLst/>
                  </a:prstGeom>
                </pic:spPr>
              </pic:pic>
            </a:graphicData>
          </a:graphic>
        </wp:inline>
      </w:drawing>
    </w:r>
  </w:p>
  <w:sdt>
    <w:sdtPr>
      <w:rPr>
        <w:rFonts w:ascii="宋体" w:eastAsia="宋体" w:hAnsi="宋体" w:cs="宋体"/>
        <w:sz w:val="18"/>
        <w:szCs w:val="18"/>
      </w:rPr>
      <w:id w:val="1072397671"/>
      <w:docPartObj>
        <w:docPartGallery w:val="Table of Contents"/>
        <w:docPartUnique/>
      </w:docPartObj>
    </w:sdtPr>
    <w:sdtEndPr>
      <w:rPr>
        <w:rFonts w:ascii="宋体" w:eastAsia="宋体" w:hAnsi="宋体" w:cs="宋体"/>
        <w:sz w:val="14"/>
        <w:szCs w:val="14"/>
      </w:rPr>
    </w:sdtEndPr>
    <w:sdtContent>
      <w:p>
        <w:pPr>
          <w:spacing w:line="207" w:lineRule="auto"/>
          <w:ind w:left="354"/>
          <w:rPr>
            <w:rFonts w:ascii="宋体" w:eastAsia="宋体" w:hAnsi="宋体" w:cs="宋体"/>
            <w:sz w:val="14"/>
            <w:szCs w:val="14"/>
          </w:rPr>
        </w:pPr>
        <w:r>
          <w:rPr>
            <w:rFonts w:ascii="宋体" w:eastAsia="宋体" w:hAnsi="宋体" w:cs="宋体"/>
            <w:spacing w:val="1"/>
            <w:sz w:val="18"/>
            <w:szCs w:val="18"/>
          </w:rPr>
          <w:t xml:space="preserve">北京百汇方兴资产评估有限公司     </w:t>
        </w:r>
        <w:r>
          <w:rPr>
            <w:rFonts w:ascii="宋体" w:eastAsia="宋体" w:hAnsi="宋体" w:cs="宋体"/>
            <w:sz w:val="18"/>
            <w:szCs w:val="18"/>
          </w:rPr>
          <w:t xml:space="preserve">                                                        </w:t>
        </w:r>
        <w:hyperlink w:anchor="bookmark20" w:history="1">
          <w:r>
            <w:rPr>
              <w:rFonts w:ascii="宋体" w:eastAsia="宋体" w:hAnsi="宋体" w:cs="宋体"/>
              <w:sz w:val="14"/>
              <w:szCs w:val="14"/>
            </w:rPr>
            <w:t>3</w:t>
          </w:r>
        </w:hyperlink>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15" w:line="20" w:lineRule="exact"/>
      <w:ind w:firstLine="23"/>
    </w:pPr>
    <w:r>
      <w:drawing>
        <wp:inline distT="0" distB="0" distL="0" distR="0">
          <wp:extent cx="5257800" cy="1270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
                  <a:stretch>
                    <a:fillRect/>
                  </a:stretch>
                </pic:blipFill>
                <pic:spPr>
                  <a:xfrm>
                    <a:off x="0" y="0"/>
                    <a:ext cx="5257844" cy="12725"/>
                  </a:xfrm>
                  <a:prstGeom prst="rect">
                    <a:avLst/>
                  </a:prstGeom>
                </pic:spPr>
              </pic:pic>
            </a:graphicData>
          </a:graphic>
        </wp:inline>
      </w:drawing>
    </w:r>
  </w:p>
  <w:sdt>
    <w:sdtPr>
      <w:rPr>
        <w:rFonts w:ascii="宋体" w:eastAsia="宋体" w:hAnsi="宋体" w:cs="宋体"/>
        <w:sz w:val="18"/>
        <w:szCs w:val="18"/>
      </w:rPr>
      <w:id w:val="5"/>
      <w:docPartObj>
        <w:docPartGallery w:val="Table of Contents"/>
        <w:docPartUnique/>
      </w:docPartObj>
    </w:sdtPr>
    <w:sdtEndPr>
      <w:rPr>
        <w:rFonts w:ascii="宋体" w:eastAsia="宋体" w:hAnsi="宋体" w:cs="宋体"/>
        <w:sz w:val="14"/>
        <w:szCs w:val="14"/>
      </w:rPr>
    </w:sdtEndPr>
    <w:sdtContent>
      <w:p>
        <w:pPr>
          <w:spacing w:line="207" w:lineRule="auto"/>
          <w:ind w:left="3"/>
          <w:rPr>
            <w:rFonts w:ascii="宋体" w:eastAsia="宋体" w:hAnsi="宋体" w:cs="宋体"/>
            <w:sz w:val="14"/>
            <w:szCs w:val="14"/>
          </w:rPr>
        </w:pPr>
        <w:r>
          <w:rPr>
            <w:rFonts w:ascii="宋体" w:eastAsia="宋体" w:hAnsi="宋体" w:cs="宋体"/>
            <w:spacing w:val="1"/>
            <w:sz w:val="18"/>
            <w:szCs w:val="18"/>
          </w:rPr>
          <w:t xml:space="preserve">北京百汇方兴资产评估有限公司               </w:t>
        </w:r>
        <w:r>
          <w:rPr>
            <w:rFonts w:ascii="宋体" w:eastAsia="宋体" w:hAnsi="宋体" w:cs="宋体"/>
            <w:sz w:val="18"/>
            <w:szCs w:val="18"/>
          </w:rPr>
          <w:t xml:space="preserve">                                              </w:t>
        </w:r>
        <w:hyperlink w:anchor="bookmark21" w:history="1">
          <w:r>
            <w:rPr>
              <w:rFonts w:ascii="宋体" w:eastAsia="宋体" w:hAnsi="宋体" w:cs="宋体"/>
              <w:sz w:val="14"/>
              <w:szCs w:val="14"/>
            </w:rPr>
            <w:t>4</w:t>
          </w:r>
        </w:hyperlink>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25" w:line="20" w:lineRule="exact"/>
      <w:ind w:firstLine="3"/>
    </w:pPr>
    <w:r>
      <w:drawing>
        <wp:inline distT="0" distB="0" distL="0" distR="0">
          <wp:extent cx="5245100" cy="1270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
                  <a:stretch>
                    <a:fillRect/>
                  </a:stretch>
                </pic:blipFill>
                <pic:spPr>
                  <a:xfrm>
                    <a:off x="0" y="0"/>
                    <a:ext cx="5245139" cy="12725"/>
                  </a:xfrm>
                  <a:prstGeom prst="rect">
                    <a:avLst/>
                  </a:prstGeom>
                </pic:spPr>
              </pic:pic>
            </a:graphicData>
          </a:graphic>
        </wp:inline>
      </w:drawing>
    </w:r>
  </w:p>
  <w:sdt>
    <w:sdtPr>
      <w:rPr>
        <w:rFonts w:ascii="宋体" w:eastAsia="宋体" w:hAnsi="宋体" w:cs="宋体"/>
        <w:sz w:val="18"/>
        <w:szCs w:val="18"/>
      </w:rPr>
      <w:id w:val="6"/>
      <w:docPartObj>
        <w:docPartGallery w:val="Table of Contents"/>
        <w:docPartUnique/>
      </w:docPartObj>
    </w:sdtPr>
    <w:sdtEndPr>
      <w:rPr>
        <w:rFonts w:ascii="宋体" w:eastAsia="宋体" w:hAnsi="宋体" w:cs="宋体"/>
        <w:sz w:val="14"/>
        <w:szCs w:val="14"/>
      </w:rPr>
    </w:sdtEndPr>
    <w:sdtContent>
      <w:p>
        <w:pPr>
          <w:spacing w:line="207" w:lineRule="auto"/>
          <w:ind w:left="3"/>
          <w:rPr>
            <w:rFonts w:ascii="宋体" w:eastAsia="宋体" w:hAnsi="宋体" w:cs="宋体"/>
            <w:sz w:val="14"/>
            <w:szCs w:val="14"/>
          </w:rPr>
        </w:pPr>
        <w:r>
          <w:rPr>
            <w:rFonts w:ascii="宋体" w:eastAsia="宋体" w:hAnsi="宋体" w:cs="宋体"/>
            <w:sz w:val="18"/>
            <w:szCs w:val="18"/>
          </w:rPr>
          <w:t xml:space="preserve">北京百汇方兴资产评估有限公司                                                             </w:t>
        </w:r>
        <w:hyperlink w:anchor="bookmark22" w:history="1">
          <w:r>
            <w:rPr>
              <w:rFonts w:ascii="宋体" w:eastAsia="宋体" w:hAnsi="宋体" w:cs="宋体"/>
              <w:sz w:val="14"/>
              <w:szCs w:val="14"/>
            </w:rPr>
            <w:t>5</w:t>
          </w:r>
        </w:hyperlink>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宋体" w:eastAsia="宋体" w:hAnsi="宋体" w:cs="宋体"/>
        <w:sz w:val="18"/>
        <w:szCs w:val="18"/>
      </w:rPr>
      <w:id w:val="7"/>
      <w:docPartObj>
        <w:docPartGallery w:val="Table of Contents"/>
        <w:docPartUnique/>
      </w:docPartObj>
    </w:sdtPr>
    <w:sdtEndPr>
      <w:rPr>
        <w:rFonts w:ascii="宋体" w:eastAsia="宋体" w:hAnsi="宋体" w:cs="宋体"/>
        <w:sz w:val="13"/>
        <w:szCs w:val="13"/>
      </w:rPr>
    </w:sdtEndPr>
    <w:sdtContent>
      <w:p>
        <w:pPr>
          <w:spacing w:before="55" w:line="208" w:lineRule="auto"/>
          <w:ind w:left="234"/>
          <w:rPr>
            <w:rFonts w:ascii="宋体" w:eastAsia="宋体" w:hAnsi="宋体" w:cs="宋体"/>
            <w:sz w:val="13"/>
            <w:szCs w:val="13"/>
          </w:rPr>
        </w:pPr>
        <w:r>
          <w:drawing>
            <wp:anchor distT="0" distB="0" distL="0" distR="0" simplePos="0" relativeHeight="251659264" behindDoc="0" locked="0" layoutInCell="0" allowOverlap="1">
              <wp:simplePos x="0" y="0"/>
              <wp:positionH relativeFrom="page">
                <wp:posOffset>1155065</wp:posOffset>
              </wp:positionH>
              <wp:positionV relativeFrom="page">
                <wp:posOffset>9994265</wp:posOffset>
              </wp:positionV>
              <wp:extent cx="5257800" cy="635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
                      <a:stretch>
                        <a:fillRect/>
                      </a:stretch>
                    </pic:blipFill>
                    <pic:spPr>
                      <a:xfrm>
                        <a:off x="0" y="0"/>
                        <a:ext cx="5257844" cy="6350"/>
                      </a:xfrm>
                      <a:prstGeom prst="rect">
                        <a:avLst/>
                      </a:prstGeom>
                    </pic:spPr>
                  </pic:pic>
                </a:graphicData>
              </a:graphic>
            </wp:anchor>
          </w:drawing>
        </w:r>
        <w:r>
          <w:rPr>
            <w:rFonts w:ascii="宋体" w:eastAsia="宋体" w:hAnsi="宋体" w:cs="宋体"/>
            <w:spacing w:val="1"/>
            <w:sz w:val="18"/>
            <w:szCs w:val="18"/>
          </w:rPr>
          <w:t xml:space="preserve">北京百汇方兴资产评估有限公司     </w:t>
        </w:r>
        <w:r>
          <w:rPr>
            <w:rFonts w:ascii="宋体" w:eastAsia="宋体" w:hAnsi="宋体" w:cs="宋体"/>
            <w:sz w:val="18"/>
            <w:szCs w:val="18"/>
          </w:rPr>
          <w:t xml:space="preserve">                                                        </w:t>
        </w:r>
        <w:hyperlink w:anchor="bookmark23" w:history="1">
          <w:r>
            <w:rPr>
              <w:rFonts w:ascii="宋体" w:eastAsia="宋体" w:hAnsi="宋体" w:cs="宋体"/>
              <w:position w:val="1"/>
              <w:sz w:val="13"/>
              <w:szCs w:val="13"/>
            </w:rPr>
            <w:t>6</w:t>
          </w:r>
        </w:hyperlink>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25" w:line="20" w:lineRule="exact"/>
      <w:ind w:firstLine="384"/>
    </w:pPr>
    <w:r>
      <w:drawing>
        <wp:inline distT="0" distB="0" distL="0" distR="0">
          <wp:extent cx="5251450" cy="1270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
                  <a:stretch>
                    <a:fillRect/>
                  </a:stretch>
                </pic:blipFill>
                <pic:spPr>
                  <a:xfrm>
                    <a:off x="0" y="0"/>
                    <a:ext cx="5251491" cy="12725"/>
                  </a:xfrm>
                  <a:prstGeom prst="rect">
                    <a:avLst/>
                  </a:prstGeom>
                </pic:spPr>
              </pic:pic>
            </a:graphicData>
          </a:graphic>
        </wp:inline>
      </w:drawing>
    </w:r>
  </w:p>
  <w:sdt>
    <w:sdtPr>
      <w:rPr>
        <w:rFonts w:ascii="宋体" w:eastAsia="宋体" w:hAnsi="宋体" w:cs="宋体"/>
        <w:sz w:val="18"/>
        <w:szCs w:val="18"/>
      </w:rPr>
      <w:id w:val="8"/>
      <w:docPartObj>
        <w:docPartGallery w:val="Table of Contents"/>
        <w:docPartUnique/>
      </w:docPartObj>
    </w:sdtPr>
    <w:sdtEndPr>
      <w:rPr>
        <w:rFonts w:ascii="宋体" w:eastAsia="宋体" w:hAnsi="宋体" w:cs="宋体"/>
        <w:sz w:val="14"/>
        <w:szCs w:val="14"/>
      </w:rPr>
    </w:sdtEndPr>
    <w:sdtContent>
      <w:p>
        <w:pPr>
          <w:spacing w:line="207" w:lineRule="auto"/>
          <w:ind w:left="354"/>
          <w:rPr>
            <w:rFonts w:ascii="宋体" w:eastAsia="宋体" w:hAnsi="宋体" w:cs="宋体"/>
            <w:sz w:val="14"/>
            <w:szCs w:val="14"/>
          </w:rPr>
        </w:pPr>
        <w:r>
          <w:rPr>
            <w:rFonts w:ascii="宋体" w:eastAsia="宋体" w:hAnsi="宋体" w:cs="宋体"/>
            <w:spacing w:val="-1"/>
            <w:sz w:val="18"/>
            <w:szCs w:val="18"/>
          </w:rPr>
          <w:t>北京百汇方兴资产评估有限公司</w:t>
        </w:r>
        <w:r>
          <w:rPr>
            <w:rFonts w:ascii="宋体" w:eastAsia="宋体" w:hAnsi="宋体" w:cs="宋体"/>
            <w:spacing w:val="1"/>
            <w:sz w:val="18"/>
            <w:szCs w:val="18"/>
          </w:rPr>
          <w:t xml:space="preserve">                                                             </w:t>
        </w:r>
        <w:hyperlink w:anchor="bookmark24" w:history="1">
          <w:r>
            <w:rPr>
              <w:rFonts w:ascii="宋体" w:eastAsia="宋体" w:hAnsi="宋体" w:cs="宋体"/>
              <w:spacing w:val="-1"/>
              <w:sz w:val="14"/>
              <w:szCs w:val="14"/>
            </w:rPr>
            <w:t>7</w:t>
          </w:r>
        </w:hyperlink>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5" w:line="20" w:lineRule="exact"/>
      <w:ind w:firstLine="129"/>
    </w:pPr>
    <w:r>
      <w:drawing>
        <wp:inline distT="0" distB="0" distL="0" distR="0">
          <wp:extent cx="5245100" cy="12700"/>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
                  <a:stretch>
                    <a:fillRect/>
                  </a:stretch>
                </pic:blipFill>
                <pic:spPr>
                  <a:xfrm>
                    <a:off x="0" y="0"/>
                    <a:ext cx="5245139" cy="12725"/>
                  </a:xfrm>
                  <a:prstGeom prst="rect">
                    <a:avLst/>
                  </a:prstGeom>
                </pic:spPr>
              </pic:pic>
            </a:graphicData>
          </a:graphic>
        </wp:inline>
      </w:drawing>
    </w:r>
  </w:p>
  <w:sdt>
    <w:sdtPr>
      <w:rPr>
        <w:rFonts w:ascii="宋体" w:eastAsia="宋体" w:hAnsi="宋体" w:cs="宋体"/>
        <w:sz w:val="18"/>
        <w:szCs w:val="18"/>
      </w:rPr>
      <w:id w:val="9"/>
      <w:docPartObj>
        <w:docPartGallery w:val="Table of Contents"/>
        <w:docPartUnique/>
      </w:docPartObj>
    </w:sdtPr>
    <w:sdtEndPr>
      <w:rPr>
        <w:rFonts w:ascii="宋体" w:eastAsia="宋体" w:hAnsi="宋体" w:cs="宋体"/>
        <w:sz w:val="14"/>
        <w:szCs w:val="14"/>
      </w:rPr>
    </w:sdtEndPr>
    <w:sdtContent>
      <w:p>
        <w:pPr>
          <w:spacing w:line="207" w:lineRule="auto"/>
          <w:ind w:left="149"/>
          <w:rPr>
            <w:rFonts w:ascii="宋体" w:eastAsia="宋体" w:hAnsi="宋体" w:cs="宋体"/>
            <w:sz w:val="14"/>
            <w:szCs w:val="14"/>
          </w:rPr>
        </w:pPr>
        <w:r>
          <w:rPr>
            <w:rFonts w:ascii="宋体" w:eastAsia="宋体" w:hAnsi="宋体" w:cs="宋体"/>
            <w:sz w:val="18"/>
            <w:szCs w:val="18"/>
          </w:rPr>
          <w:t xml:space="preserve">北京百汇方兴资产评估有限公司                                                   </w:t>
        </w:r>
        <w:r>
          <w:rPr>
            <w:rFonts w:ascii="宋体" w:eastAsia="宋体" w:hAnsi="宋体" w:cs="宋体"/>
            <w:spacing w:val="-1"/>
            <w:sz w:val="18"/>
            <w:szCs w:val="18"/>
          </w:rPr>
          <w:t xml:space="preserve">          </w:t>
        </w:r>
        <w:hyperlink w:anchor="bookmark25" w:history="1">
          <w:r>
            <w:rPr>
              <w:rFonts w:ascii="宋体" w:eastAsia="宋体" w:hAnsi="宋体" w:cs="宋体"/>
              <w:spacing w:val="-1"/>
              <w:position w:val="1"/>
              <w:sz w:val="14"/>
              <w:szCs w:val="14"/>
            </w:rPr>
            <w:t>8</w:t>
          </w:r>
        </w:hyperlink>
      </w:p>
    </w:sdtContent>
  </w:sdt>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45" w:line="208" w:lineRule="auto"/>
      <w:ind w:left="3"/>
      <w:rPr>
        <w:rFonts w:ascii="宋体" w:eastAsia="宋体" w:hAnsi="宋体" w:cs="宋体"/>
        <w:sz w:val="18"/>
        <w:szCs w:val="18"/>
      </w:rPr>
    </w:pPr>
    <w:r>
      <w:drawing>
        <wp:anchor distT="0" distB="0" distL="0" distR="0" simplePos="0" relativeHeight="251660288" behindDoc="0" locked="0" layoutInCell="0" allowOverlap="1">
          <wp:simplePos x="0" y="0"/>
          <wp:positionH relativeFrom="page">
            <wp:posOffset>1136015</wp:posOffset>
          </wp:positionH>
          <wp:positionV relativeFrom="page">
            <wp:posOffset>10019665</wp:posOffset>
          </wp:positionV>
          <wp:extent cx="5264150" cy="6350"/>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
                  <a:stretch>
                    <a:fillRect/>
                  </a:stretch>
                </pic:blipFill>
                <pic:spPr>
                  <a:xfrm>
                    <a:off x="0" y="0"/>
                    <a:ext cx="5264196" cy="6416"/>
                  </a:xfrm>
                  <a:prstGeom prst="rect">
                    <a:avLst/>
                  </a:prstGeom>
                </pic:spPr>
              </pic:pic>
            </a:graphicData>
          </a:graphic>
        </wp:anchor>
      </w:drawing>
    </w:r>
    <w:r>
      <w:rPr>
        <w:rFonts w:ascii="宋体" w:eastAsia="宋体" w:hAnsi="宋体" w:cs="宋体"/>
        <w:spacing w:val="-3"/>
        <w:sz w:val="18"/>
        <w:szCs w:val="18"/>
      </w:rPr>
      <w:t>北京百汇方兴资产评估有限公司</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宋体" w:eastAsia="宋体" w:hAnsi="宋体" w:cs="宋体"/>
        <w:sz w:val="18"/>
        <w:szCs w:val="18"/>
      </w:rPr>
      <w:id w:val="10"/>
      <w:docPartObj>
        <w:docPartGallery w:val="Table of Contents"/>
        <w:docPartUnique/>
      </w:docPartObj>
    </w:sdtPr>
    <w:sdtEndPr>
      <w:rPr>
        <w:rFonts w:ascii="宋体" w:eastAsia="宋体" w:hAnsi="宋体" w:cs="宋体"/>
        <w:sz w:val="15"/>
        <w:szCs w:val="15"/>
      </w:rPr>
    </w:sdtEndPr>
    <w:sdtContent>
      <w:p>
        <w:pPr>
          <w:spacing w:before="45" w:line="208" w:lineRule="auto"/>
          <w:rPr>
            <w:rFonts w:ascii="宋体" w:eastAsia="宋体" w:hAnsi="宋体" w:cs="宋体"/>
            <w:sz w:val="15"/>
            <w:szCs w:val="15"/>
          </w:rPr>
        </w:pPr>
        <w:r>
          <w:drawing>
            <wp:anchor distT="0" distB="0" distL="0" distR="0" simplePos="0" relativeHeight="251661312" behindDoc="0" locked="0" layoutInCell="0" allowOverlap="1">
              <wp:simplePos x="0" y="0"/>
              <wp:positionH relativeFrom="page">
                <wp:posOffset>1155065</wp:posOffset>
              </wp:positionH>
              <wp:positionV relativeFrom="page">
                <wp:posOffset>10039350</wp:posOffset>
              </wp:positionV>
              <wp:extent cx="5251450" cy="12700"/>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
                      <a:stretch>
                        <a:fillRect/>
                      </a:stretch>
                    </pic:blipFill>
                    <pic:spPr>
                      <a:xfrm>
                        <a:off x="0" y="0"/>
                        <a:ext cx="5251491" cy="12618"/>
                      </a:xfrm>
                      <a:prstGeom prst="rect">
                        <a:avLst/>
                      </a:prstGeom>
                    </pic:spPr>
                  </pic:pic>
                </a:graphicData>
              </a:graphic>
            </wp:anchor>
          </w:drawing>
        </w:r>
        <w:r>
          <w:rPr>
            <w:rFonts w:ascii="宋体" w:eastAsia="宋体" w:hAnsi="宋体" w:cs="宋体"/>
            <w:spacing w:val="-1"/>
            <w:sz w:val="18"/>
            <w:szCs w:val="18"/>
          </w:rPr>
          <w:t xml:space="preserve">北京百汇方兴资产评估有限公司                        </w:t>
        </w:r>
        <w:r>
          <w:rPr>
            <w:rFonts w:ascii="宋体" w:eastAsia="宋体" w:hAnsi="宋体" w:cs="宋体"/>
            <w:spacing w:val="-2"/>
            <w:sz w:val="18"/>
            <w:szCs w:val="18"/>
          </w:rPr>
          <w:t xml:space="preserve">                                       </w:t>
        </w:r>
        <w:hyperlink w:anchor="bookmark26" w:history="1">
          <w:r>
            <w:rPr>
              <w:rFonts w:ascii="宋体" w:eastAsia="宋体" w:hAnsi="宋体" w:cs="宋体"/>
              <w:spacing w:val="-2"/>
              <w:position w:val="1"/>
              <w:sz w:val="15"/>
              <w:szCs w:val="15"/>
            </w:rPr>
            <w:t>10</w:t>
          </w:r>
        </w:hyperlink>
      </w:p>
    </w:sdtContent>
  </w:sdt>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6" w:line="20" w:lineRule="exact"/>
    </w:pPr>
    <w:r>
      <w:drawing>
        <wp:inline distT="0" distB="0" distL="0" distR="0">
          <wp:extent cx="5245100" cy="12700"/>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1"/>
                  <a:stretch>
                    <a:fillRect/>
                  </a:stretch>
                </pic:blipFill>
                <pic:spPr>
                  <a:xfrm>
                    <a:off x="0" y="0"/>
                    <a:ext cx="5245139" cy="12725"/>
                  </a:xfrm>
                  <a:prstGeom prst="rect">
                    <a:avLst/>
                  </a:prstGeom>
                </pic:spPr>
              </pic:pic>
            </a:graphicData>
          </a:graphic>
        </wp:inline>
      </w:drawing>
    </w:r>
  </w:p>
  <w:sdt>
    <w:sdtPr>
      <w:rPr>
        <w:rFonts w:ascii="宋体" w:eastAsia="宋体" w:hAnsi="宋体" w:cs="宋体"/>
        <w:sz w:val="19"/>
        <w:szCs w:val="19"/>
      </w:rPr>
      <w:id w:val="11"/>
      <w:docPartObj>
        <w:docPartGallery w:val="Table of Contents"/>
        <w:docPartUnique/>
      </w:docPartObj>
    </w:sdtPr>
    <w:sdtEndPr>
      <w:rPr>
        <w:rFonts w:ascii="宋体" w:eastAsia="宋体" w:hAnsi="宋体" w:cs="宋体"/>
        <w:sz w:val="14"/>
        <w:szCs w:val="14"/>
      </w:rPr>
    </w:sdtEndPr>
    <w:sdtContent>
      <w:p>
        <w:pPr>
          <w:spacing w:line="208" w:lineRule="auto"/>
          <w:ind w:left="30"/>
          <w:rPr>
            <w:rFonts w:ascii="宋体" w:eastAsia="宋体" w:hAnsi="宋体" w:cs="宋体"/>
            <w:sz w:val="14"/>
            <w:szCs w:val="14"/>
          </w:rPr>
        </w:pPr>
        <w:r>
          <w:rPr>
            <w:rFonts w:ascii="宋体" w:eastAsia="宋体" w:hAnsi="宋体" w:cs="宋体"/>
            <w:spacing w:val="-12"/>
            <w:sz w:val="19"/>
            <w:szCs w:val="19"/>
          </w:rPr>
          <w:t>北京百匯方兴资产评估有限公司</w:t>
        </w:r>
        <w:r>
          <w:rPr>
            <w:rFonts w:ascii="宋体" w:eastAsia="宋体" w:hAnsi="宋体" w:cs="宋体"/>
            <w:sz w:val="19"/>
            <w:szCs w:val="19"/>
          </w:rPr>
          <w:t xml:space="preserve">                                                          </w:t>
        </w:r>
        <w:hyperlink w:anchor="bookmark27" w:history="1">
          <w:r>
            <w:rPr>
              <w:rFonts w:ascii="宋体" w:eastAsia="宋体" w:hAnsi="宋体" w:cs="宋体"/>
              <w:spacing w:val="-12"/>
              <w:position w:val="-1"/>
              <w:sz w:val="14"/>
              <w:szCs w:val="14"/>
            </w:rPr>
            <w:t>11</w:t>
          </w:r>
        </w:hyperlink>
      </w:p>
    </w:sdtContent>
  </w:sdt>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宋体" w:eastAsia="宋体" w:hAnsi="宋体" w:cs="宋体"/>
        <w:sz w:val="18"/>
        <w:szCs w:val="18"/>
      </w:rPr>
      <w:id w:val="12"/>
      <w:docPartObj>
        <w:docPartGallery w:val="Table of Contents"/>
        <w:docPartUnique/>
      </w:docPartObj>
    </w:sdtPr>
    <w:sdtEndPr>
      <w:rPr>
        <w:rFonts w:ascii="宋体" w:eastAsia="宋体" w:hAnsi="宋体" w:cs="宋体"/>
        <w:sz w:val="14"/>
        <w:szCs w:val="14"/>
      </w:rPr>
    </w:sdtEndPr>
    <w:sdtContent>
      <w:p>
        <w:pPr>
          <w:spacing w:before="55" w:line="208" w:lineRule="auto"/>
          <w:ind w:left="23"/>
          <w:rPr>
            <w:rFonts w:ascii="宋体" w:eastAsia="宋体" w:hAnsi="宋体" w:cs="宋体"/>
            <w:sz w:val="14"/>
            <w:szCs w:val="14"/>
          </w:rPr>
        </w:pPr>
        <w:r>
          <w:drawing>
            <wp:anchor distT="0" distB="0" distL="0" distR="0" simplePos="0" relativeHeight="251662336" behindDoc="0" locked="0" layoutInCell="0" allowOverlap="1">
              <wp:simplePos x="0" y="0"/>
              <wp:positionH relativeFrom="page">
                <wp:posOffset>1155065</wp:posOffset>
              </wp:positionH>
              <wp:positionV relativeFrom="page">
                <wp:posOffset>10000615</wp:posOffset>
              </wp:positionV>
              <wp:extent cx="5251450" cy="6350"/>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1"/>
                      <a:stretch>
                        <a:fillRect/>
                      </a:stretch>
                    </pic:blipFill>
                    <pic:spPr>
                      <a:xfrm>
                        <a:off x="0" y="0"/>
                        <a:ext cx="5251491" cy="6416"/>
                      </a:xfrm>
                      <a:prstGeom prst="rect">
                        <a:avLst/>
                      </a:prstGeom>
                    </pic:spPr>
                  </pic:pic>
                </a:graphicData>
              </a:graphic>
            </wp:anchor>
          </w:drawing>
        </w:r>
        <w:r>
          <w:rPr>
            <w:rFonts w:ascii="宋体" w:eastAsia="宋体" w:hAnsi="宋体" w:cs="宋体"/>
            <w:spacing w:val="-2"/>
            <w:sz w:val="18"/>
            <w:szCs w:val="18"/>
          </w:rPr>
          <w:t>北京百汇方兴资产评估有限公司</w:t>
        </w:r>
        <w:r>
          <w:rPr>
            <w:rFonts w:ascii="宋体" w:eastAsia="宋体" w:hAnsi="宋体" w:cs="宋体"/>
            <w:spacing w:val="1"/>
            <w:sz w:val="18"/>
            <w:szCs w:val="18"/>
          </w:rPr>
          <w:t xml:space="preserve">                                                             </w:t>
        </w:r>
        <w:hyperlink w:anchor="bookmark28" w:history="1">
          <w:r>
            <w:rPr>
              <w:rFonts w:ascii="宋体" w:eastAsia="宋体" w:hAnsi="宋体" w:cs="宋体"/>
              <w:spacing w:val="-2"/>
              <w:sz w:val="14"/>
              <w:szCs w:val="14"/>
            </w:rPr>
            <w:t>12</w:t>
          </w:r>
        </w:hyperlink>
      </w:p>
    </w:sdtContent>
  </w:sdt>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宋体" w:eastAsia="宋体" w:hAnsi="宋体" w:cs="宋体"/>
        <w:sz w:val="18"/>
        <w:szCs w:val="18"/>
      </w:rPr>
      <w:id w:val="13"/>
      <w:docPartObj>
        <w:docPartGallery w:val="Table of Contents"/>
        <w:docPartUnique/>
      </w:docPartObj>
    </w:sdtPr>
    <w:sdtEndPr>
      <w:rPr>
        <w:rFonts w:ascii="宋体" w:eastAsia="宋体" w:hAnsi="宋体" w:cs="宋体"/>
        <w:sz w:val="14"/>
        <w:szCs w:val="14"/>
      </w:rPr>
    </w:sdtEndPr>
    <w:sdtContent>
      <w:p>
        <w:pPr>
          <w:spacing w:before="55" w:line="208" w:lineRule="auto"/>
          <w:rPr>
            <w:rFonts w:ascii="宋体" w:eastAsia="宋体" w:hAnsi="宋体" w:cs="宋体"/>
            <w:sz w:val="14"/>
            <w:szCs w:val="14"/>
          </w:rPr>
        </w:pPr>
        <w:r>
          <w:drawing>
            <wp:anchor distT="0" distB="0" distL="0" distR="0" simplePos="0" relativeHeight="251663360" behindDoc="0" locked="0" layoutInCell="0" allowOverlap="1">
              <wp:simplePos x="0" y="0"/>
              <wp:positionH relativeFrom="page">
                <wp:posOffset>1142365</wp:posOffset>
              </wp:positionH>
              <wp:positionV relativeFrom="page">
                <wp:posOffset>10007600</wp:posOffset>
              </wp:positionV>
              <wp:extent cx="5251450" cy="12700"/>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1"/>
                      <a:stretch>
                        <a:fillRect/>
                      </a:stretch>
                    </pic:blipFill>
                    <pic:spPr>
                      <a:xfrm>
                        <a:off x="0" y="0"/>
                        <a:ext cx="5251491" cy="12618"/>
                      </a:xfrm>
                      <a:prstGeom prst="rect">
                        <a:avLst/>
                      </a:prstGeom>
                    </pic:spPr>
                  </pic:pic>
                </a:graphicData>
              </a:graphic>
            </wp:anchor>
          </w:drawing>
        </w:r>
        <w:r>
          <w:rPr>
            <w:rFonts w:ascii="宋体" w:eastAsia="宋体" w:hAnsi="宋体" w:cs="宋体"/>
            <w:sz w:val="18"/>
            <w:szCs w:val="18"/>
          </w:rPr>
          <w:t xml:space="preserve">北京百汇方兴资产评估有限公司                                   </w:t>
        </w:r>
        <w:r>
          <w:rPr>
            <w:rFonts w:ascii="宋体" w:eastAsia="宋体" w:hAnsi="宋体" w:cs="宋体"/>
            <w:spacing w:val="-1"/>
            <w:sz w:val="18"/>
            <w:szCs w:val="18"/>
          </w:rPr>
          <w:t xml:space="preserve">                           </w:t>
        </w:r>
        <w:hyperlink w:anchor="bookmark29" w:history="1">
          <w:r>
            <w:rPr>
              <w:rFonts w:ascii="宋体" w:eastAsia="宋体" w:hAnsi="宋体" w:cs="宋体"/>
              <w:spacing w:val="-1"/>
              <w:sz w:val="14"/>
              <w:szCs w:val="14"/>
            </w:rPr>
            <w:t>13</w:t>
          </w:r>
        </w:hyperlink>
      </w:p>
    </w:sdtContent>
  </w:sdt>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35" w:line="20" w:lineRule="exact"/>
      <w:ind w:firstLine="364"/>
    </w:pPr>
    <w:r>
      <w:drawing>
        <wp:inline distT="0" distB="0" distL="0" distR="0">
          <wp:extent cx="5257800" cy="12700"/>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1"/>
                  <a:stretch>
                    <a:fillRect/>
                  </a:stretch>
                </pic:blipFill>
                <pic:spPr>
                  <a:xfrm>
                    <a:off x="0" y="0"/>
                    <a:ext cx="5257844" cy="12725"/>
                  </a:xfrm>
                  <a:prstGeom prst="rect">
                    <a:avLst/>
                  </a:prstGeom>
                </pic:spPr>
              </pic:pic>
            </a:graphicData>
          </a:graphic>
        </wp:inline>
      </w:drawing>
    </w:r>
  </w:p>
  <w:sdt>
    <w:sdtPr>
      <w:rPr>
        <w:rFonts w:ascii="宋体" w:eastAsia="宋体" w:hAnsi="宋体" w:cs="宋体"/>
        <w:sz w:val="18"/>
        <w:szCs w:val="18"/>
      </w:rPr>
      <w:id w:val="14"/>
      <w:docPartObj>
        <w:docPartGallery w:val="Table of Contents"/>
        <w:docPartUnique/>
      </w:docPartObj>
    </w:sdtPr>
    <w:sdtEndPr>
      <w:rPr>
        <w:rFonts w:ascii="宋体" w:eastAsia="宋体" w:hAnsi="宋体" w:cs="宋体"/>
        <w:sz w:val="14"/>
        <w:szCs w:val="14"/>
      </w:rPr>
    </w:sdtEndPr>
    <w:sdtContent>
      <w:p>
        <w:pPr>
          <w:spacing w:line="207" w:lineRule="auto"/>
          <w:ind w:left="274"/>
          <w:rPr>
            <w:rFonts w:ascii="宋体" w:eastAsia="宋体" w:hAnsi="宋体" w:cs="宋体"/>
            <w:sz w:val="14"/>
            <w:szCs w:val="14"/>
          </w:rPr>
        </w:pPr>
        <w:r>
          <w:rPr>
            <w:rFonts w:ascii="宋体" w:eastAsia="宋体" w:hAnsi="宋体" w:cs="宋体"/>
            <w:spacing w:val="-1"/>
            <w:sz w:val="18"/>
            <w:szCs w:val="18"/>
          </w:rPr>
          <w:t xml:space="preserve">北京百汇方兴资产评估有限公司                                                               </w:t>
        </w:r>
        <w:hyperlink w:anchor="bookmark30" w:history="1">
          <w:r>
            <w:rPr>
              <w:rFonts w:ascii="宋体" w:eastAsia="宋体" w:hAnsi="宋体" w:cs="宋体"/>
              <w:spacing w:val="-1"/>
              <w:position w:val="1"/>
              <w:sz w:val="14"/>
              <w:szCs w:val="14"/>
            </w:rPr>
            <w:t>14</w:t>
          </w:r>
        </w:hyperlink>
      </w:p>
    </w:sdtContent>
  </w:sdt>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25" w:line="20" w:lineRule="exact"/>
      <w:ind w:firstLine="335"/>
    </w:pPr>
    <w:r>
      <w:drawing>
        <wp:inline distT="0" distB="0" distL="0" distR="0">
          <wp:extent cx="5250815" cy="1270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1"/>
                  <a:stretch>
                    <a:fillRect/>
                  </a:stretch>
                </pic:blipFill>
                <pic:spPr>
                  <a:xfrm>
                    <a:off x="0" y="0"/>
                    <a:ext cx="5251415" cy="12725"/>
                  </a:xfrm>
                  <a:prstGeom prst="rect">
                    <a:avLst/>
                  </a:prstGeom>
                </pic:spPr>
              </pic:pic>
            </a:graphicData>
          </a:graphic>
        </wp:inline>
      </w:drawing>
    </w:r>
  </w:p>
  <w:sdt>
    <w:sdtPr>
      <w:rPr>
        <w:rFonts w:ascii="宋体" w:eastAsia="宋体" w:hAnsi="宋体" w:cs="宋体"/>
        <w:sz w:val="18"/>
        <w:szCs w:val="18"/>
      </w:rPr>
      <w:id w:val="15"/>
      <w:docPartObj>
        <w:docPartGallery w:val="Table of Contents"/>
        <w:docPartUnique/>
      </w:docPartObj>
    </w:sdtPr>
    <w:sdtEndPr>
      <w:rPr>
        <w:rFonts w:ascii="宋体" w:eastAsia="宋体" w:hAnsi="宋体" w:cs="宋体"/>
        <w:sz w:val="15"/>
        <w:szCs w:val="15"/>
      </w:rPr>
    </w:sdtEndPr>
    <w:sdtContent>
      <w:p>
        <w:pPr>
          <w:spacing w:line="207" w:lineRule="auto"/>
          <w:ind w:left="354"/>
          <w:rPr>
            <w:rFonts w:ascii="宋体" w:eastAsia="宋体" w:hAnsi="宋体" w:cs="宋体"/>
            <w:sz w:val="15"/>
            <w:szCs w:val="15"/>
          </w:rPr>
        </w:pPr>
        <w:r>
          <w:rPr>
            <w:rFonts w:ascii="宋体" w:eastAsia="宋体" w:hAnsi="宋体" w:cs="宋体"/>
            <w:spacing w:val="-1"/>
            <w:sz w:val="18"/>
            <w:szCs w:val="18"/>
          </w:rPr>
          <w:t xml:space="preserve">北京百汇方兴资产评估有限公司                                                    </w:t>
        </w:r>
        <w:r>
          <w:rPr>
            <w:rFonts w:ascii="宋体" w:eastAsia="宋体" w:hAnsi="宋体" w:cs="宋体"/>
            <w:spacing w:val="-2"/>
            <w:sz w:val="18"/>
            <w:szCs w:val="18"/>
          </w:rPr>
          <w:t xml:space="preserve">          </w:t>
        </w:r>
        <w:hyperlink w:anchor="bookmark31" w:history="1">
          <w:r>
            <w:rPr>
              <w:rFonts w:ascii="宋体" w:eastAsia="宋体" w:hAnsi="宋体" w:cs="宋体"/>
              <w:spacing w:val="-2"/>
              <w:position w:val="-1"/>
              <w:sz w:val="15"/>
              <w:szCs w:val="15"/>
            </w:rPr>
            <w:t>15</w:t>
          </w:r>
        </w:hyperlink>
      </w:p>
    </w:sdtContent>
  </w:sdt>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宋体" w:eastAsia="宋体" w:hAnsi="宋体" w:cs="宋体"/>
        <w:sz w:val="18"/>
        <w:szCs w:val="18"/>
      </w:rPr>
      <w:id w:val="16"/>
      <w:docPartObj>
        <w:docPartGallery w:val="Table of Contents"/>
        <w:docPartUnique/>
      </w:docPartObj>
    </w:sdtPr>
    <w:sdtEndPr>
      <w:rPr>
        <w:rFonts w:ascii="宋体" w:eastAsia="宋体" w:hAnsi="宋体" w:cs="宋体"/>
        <w:sz w:val="14"/>
        <w:szCs w:val="14"/>
      </w:rPr>
    </w:sdtEndPr>
    <w:sdtContent>
      <w:p>
        <w:pPr>
          <w:spacing w:before="55" w:line="208" w:lineRule="auto"/>
          <w:ind w:left="80"/>
          <w:rPr>
            <w:rFonts w:ascii="宋体" w:eastAsia="宋体" w:hAnsi="宋体" w:cs="宋体"/>
            <w:sz w:val="14"/>
            <w:szCs w:val="14"/>
          </w:rPr>
        </w:pPr>
        <w:r>
          <w:drawing>
            <wp:anchor distT="0" distB="0" distL="0" distR="0" simplePos="0" relativeHeight="251664384" behindDoc="0" locked="0" layoutInCell="0" allowOverlap="1">
              <wp:simplePos x="0" y="0"/>
              <wp:positionH relativeFrom="page">
                <wp:posOffset>1161415</wp:posOffset>
              </wp:positionH>
              <wp:positionV relativeFrom="page">
                <wp:posOffset>10039350</wp:posOffset>
              </wp:positionV>
              <wp:extent cx="5245100" cy="12700"/>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1"/>
                      <a:stretch>
                        <a:fillRect/>
                      </a:stretch>
                    </pic:blipFill>
                    <pic:spPr>
                      <a:xfrm>
                        <a:off x="0" y="0"/>
                        <a:ext cx="5245139" cy="12618"/>
                      </a:xfrm>
                      <a:prstGeom prst="rect">
                        <a:avLst/>
                      </a:prstGeom>
                    </pic:spPr>
                  </pic:pic>
                </a:graphicData>
              </a:graphic>
            </wp:anchor>
          </w:drawing>
        </w:r>
        <w:r>
          <w:rPr>
            <w:rFonts w:ascii="宋体" w:eastAsia="宋体" w:hAnsi="宋体" w:cs="宋体"/>
            <w:sz w:val="18"/>
            <w:szCs w:val="18"/>
          </w:rPr>
          <w:t xml:space="preserve">北京百汇方兴资产评估有限公司                                                      </w:t>
        </w:r>
        <w:r>
          <w:rPr>
            <w:rFonts w:ascii="宋体" w:eastAsia="宋体" w:hAnsi="宋体" w:cs="宋体"/>
            <w:spacing w:val="-1"/>
            <w:sz w:val="18"/>
            <w:szCs w:val="18"/>
          </w:rPr>
          <w:t xml:space="preserve">       </w:t>
        </w:r>
        <w:hyperlink w:anchor="bookmark32" w:history="1">
          <w:r>
            <w:rPr>
              <w:rFonts w:ascii="宋体" w:eastAsia="宋体" w:hAnsi="宋体" w:cs="宋体"/>
              <w:spacing w:val="-1"/>
              <w:position w:val="1"/>
              <w:sz w:val="14"/>
              <w:szCs w:val="14"/>
            </w:rPr>
            <w:t>16</w:t>
          </w:r>
        </w:hyperlink>
      </w:p>
    </w:sdtContent>
  </w:sdt>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rFonts w:ascii="宋体" w:eastAsia="宋体" w:hAnsi="宋体" w:cs="宋体"/>
        <w:sz w:val="21"/>
        <w:szCs w:val="21"/>
      </w:rPr>
      <w:id w:val="17"/>
      <w:docPartObj>
        <w:docPartGallery w:val="Table of Contents"/>
        <w:docPartUnique/>
      </w:docPartObj>
    </w:sdtPr>
    <w:sdtEndPr>
      <w:rPr>
        <w:rFonts w:ascii="宋体" w:eastAsia="宋体" w:hAnsi="宋体" w:cs="宋体"/>
        <w:sz w:val="14"/>
        <w:szCs w:val="14"/>
      </w:rPr>
    </w:sdtEndPr>
    <w:sdtContent>
      <w:p>
        <w:pPr>
          <w:spacing w:before="7" w:line="209" w:lineRule="auto"/>
          <w:ind w:left="43"/>
          <w:rPr>
            <w:rFonts w:ascii="宋体" w:eastAsia="宋体" w:hAnsi="宋体" w:cs="宋体"/>
            <w:sz w:val="14"/>
            <w:szCs w:val="14"/>
          </w:rPr>
        </w:pPr>
        <w:r>
          <w:pict>
            <v:rect id="_x0000_s2049" o:spid="_x0000_s2049" style="width:413.05pt;height:1.05pt;margin-top:787pt;margin-left:89.45pt;mso-height-relative:page;mso-position-horizontal-relative:page;mso-position-vertical-relative:page;mso-width-relative:page;position:absolute;z-index:251665408" coordsize="21600,21600" o:allowincell="f" filled="t" fillcolor="black" stroked="f"/>
          </w:pict>
        </w:r>
        <w:r>
          <w:rPr>
            <w:rFonts w:ascii="宋体" w:eastAsia="宋体" w:hAnsi="宋体" w:cs="宋体"/>
            <w:spacing w:val="-18"/>
            <w:w w:val="94"/>
            <w:sz w:val="21"/>
            <w:szCs w:val="21"/>
          </w:rPr>
          <w:t>北京百汇方兴资产评估有限公司</w:t>
        </w:r>
        <w:r>
          <w:rPr>
            <w:rFonts w:ascii="宋体" w:eastAsia="宋体" w:hAnsi="宋体" w:cs="宋体"/>
            <w:spacing w:val="1"/>
            <w:sz w:val="21"/>
            <w:szCs w:val="21"/>
          </w:rPr>
          <w:t xml:space="preserve">                                                    </w:t>
        </w:r>
        <w:hyperlink w:anchor="bookmark33" w:history="1">
          <w:r>
            <w:rPr>
              <w:rFonts w:ascii="宋体" w:eastAsia="宋体" w:hAnsi="宋体" w:cs="宋体"/>
              <w:spacing w:val="-18"/>
              <w:w w:val="94"/>
              <w:position w:val="-2"/>
              <w:sz w:val="14"/>
              <w:szCs w:val="14"/>
            </w:rPr>
            <w:t>17</w:t>
          </w:r>
        </w:hyperlink>
      </w:p>
    </w:sdtContent>
  </w:sdt>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1460"/>
      </w:tabs>
      <w:spacing w:line="175" w:lineRule="auto"/>
      <w:ind w:left="30"/>
      <w:rPr>
        <w:rFonts w:ascii="宋体" w:eastAsia="宋体" w:hAnsi="宋体" w:cs="宋体"/>
      </w:rPr>
    </w:pPr>
    <w:r>
      <w:rPr>
        <w:rFonts w:ascii="宋体" w:eastAsia="宋体" w:hAnsi="宋体" w:cs="宋体"/>
        <w:sz w:val="21"/>
        <w:szCs w:val="21"/>
        <w:u w:val="single" w:color="auto"/>
      </w:rPr>
      <w:tab/>
    </w:r>
    <w:r>
      <w:rPr>
        <w:rFonts w:ascii="宋体" w:eastAsia="宋体" w:hAnsi="宋体" w:cs="宋体"/>
        <w:spacing w:val="-20"/>
        <w:w w:val="94"/>
        <w:sz w:val="21"/>
        <w:szCs w:val="21"/>
        <w:u w:val="single" w:color="auto"/>
      </w:rPr>
      <w:t>北京中企慧云科技有限公司拟了解其股东全部权益价值资产评估报告</w:t>
    </w:r>
    <w:r>
      <w:rPr>
        <w:rFonts w:ascii="宋体" w:eastAsia="宋体" w:hAnsi="宋体" w:cs="宋体"/>
        <w:sz w:val="21"/>
        <w:szCs w:val="21"/>
        <w:u w:val="single" w:color="auto"/>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886"/>
      </w:tabs>
      <w:spacing w:line="174" w:lineRule="auto"/>
      <w:rPr>
        <w:rFonts w:ascii="宋体" w:eastAsia="宋体" w:hAnsi="宋体" w:cs="宋体"/>
        <w:sz w:val="18"/>
        <w:szCs w:val="18"/>
      </w:rPr>
    </w:pPr>
    <w:r>
      <w:rPr>
        <w:rFonts w:ascii="宋体" w:eastAsia="宋体" w:hAnsi="宋体" w:cs="宋体"/>
        <w:sz w:val="18"/>
        <w:szCs w:val="18"/>
        <w:u w:val="single" w:color="auto"/>
      </w:rPr>
      <w:tab/>
    </w:r>
    <w:r>
      <w:rPr>
        <w:rFonts w:ascii="宋体" w:eastAsia="宋体" w:hAnsi="宋体" w:cs="宋体"/>
        <w:spacing w:val="34"/>
        <w:sz w:val="18"/>
        <w:szCs w:val="18"/>
        <w:u w:val="single" w:color="auto"/>
      </w:rPr>
      <w:t>北京中企慧云科技有限公司拟了解其股东全部权益价值</w:t>
    </w:r>
    <w:r>
      <w:rPr>
        <w:rFonts w:ascii="宋体" w:eastAsia="宋体" w:hAnsi="宋体" w:cs="宋体"/>
        <w:spacing w:val="33"/>
        <w:sz w:val="18"/>
        <w:szCs w:val="18"/>
        <w:u w:val="single" w:color="auto"/>
      </w:rPr>
      <w:t>资产评估报告</w:t>
    </w:r>
    <w:r>
      <w:rPr>
        <w:rFonts w:ascii="宋体" w:eastAsia="宋体" w:hAnsi="宋体" w:cs="宋体"/>
        <w:sz w:val="18"/>
        <w:szCs w:val="18"/>
        <w:u w:val="single" w:color="auto"/>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7" w:lineRule="auto"/>
      <w:ind w:left="1466"/>
      <w:rPr>
        <w:rFonts w:ascii="宋体" w:eastAsia="宋体" w:hAnsi="宋体" w:cs="宋体"/>
        <w:sz w:val="18"/>
        <w:szCs w:val="18"/>
      </w:rPr>
    </w:pPr>
    <w:r>
      <w:rPr>
        <w:rFonts w:ascii="宋体" w:eastAsia="宋体" w:hAnsi="宋体" w:cs="宋体"/>
        <w:spacing w:val="-2"/>
        <w:sz w:val="18"/>
        <w:szCs w:val="18"/>
      </w:rPr>
      <w:t>北京中企慧云科技有限公司拟了解其股东全部权益价</w:t>
    </w:r>
    <w:r>
      <w:rPr>
        <w:rFonts w:ascii="宋体" w:eastAsia="宋体" w:hAnsi="宋体" w:cs="宋体"/>
        <w:spacing w:val="-3"/>
        <w:sz w:val="18"/>
        <w:szCs w:val="18"/>
      </w:rPr>
      <w:t>值资产评估报告</w:t>
    </w:r>
  </w:p>
  <w:p>
    <w:pPr>
      <w:spacing w:before="21" w:line="10" w:lineRule="exact"/>
      <w:ind w:firstLine="36"/>
    </w:pPr>
    <w:r>
      <w:drawing>
        <wp:inline distT="0" distB="0" distL="0" distR="0">
          <wp:extent cx="5212715" cy="635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5213321" cy="6365"/>
                  </a:xfrm>
                  <a:prstGeom prst="rect">
                    <a:avLst/>
                  </a:prstGeom>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1130"/>
      </w:tabs>
      <w:spacing w:line="174" w:lineRule="auto"/>
      <w:ind w:left="354"/>
      <w:rPr>
        <w:rFonts w:ascii="宋体" w:eastAsia="宋体" w:hAnsi="宋体" w:cs="宋体"/>
        <w:sz w:val="19"/>
        <w:szCs w:val="19"/>
      </w:rPr>
    </w:pPr>
    <w:r>
      <w:rPr>
        <w:rFonts w:ascii="宋体" w:eastAsia="宋体" w:hAnsi="宋体" w:cs="宋体"/>
        <w:sz w:val="19"/>
        <w:szCs w:val="19"/>
        <w:u w:val="single" w:color="auto"/>
      </w:rPr>
      <w:tab/>
    </w:r>
    <w:r>
      <w:rPr>
        <w:rFonts w:ascii="宋体" w:eastAsia="宋体" w:hAnsi="宋体" w:cs="宋体"/>
        <w:spacing w:val="28"/>
        <w:sz w:val="19"/>
        <w:szCs w:val="19"/>
        <w:u w:val="single" w:color="auto"/>
      </w:rPr>
      <w:t xml:space="preserve">北京中企慧云科技有限公司拟了解其股东全部权益价值资产评估报告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1130"/>
      </w:tabs>
      <w:spacing w:line="174" w:lineRule="auto"/>
      <w:ind w:left="354"/>
      <w:rPr>
        <w:rFonts w:ascii="宋体" w:eastAsia="宋体" w:hAnsi="宋体" w:cs="宋体"/>
        <w:sz w:val="19"/>
        <w:szCs w:val="19"/>
      </w:rPr>
    </w:pPr>
    <w:r>
      <w:rPr>
        <w:rFonts w:ascii="宋体" w:eastAsia="宋体" w:hAnsi="宋体" w:cs="宋体"/>
        <w:sz w:val="19"/>
        <w:szCs w:val="19"/>
        <w:u w:val="single" w:color="auto"/>
      </w:rPr>
      <w:tab/>
    </w:r>
    <w:r>
      <w:rPr>
        <w:rFonts w:ascii="宋体" w:eastAsia="宋体" w:hAnsi="宋体" w:cs="宋体"/>
        <w:spacing w:val="28"/>
        <w:sz w:val="19"/>
        <w:szCs w:val="19"/>
        <w:u w:val="single" w:color="auto"/>
      </w:rPr>
      <w:t xml:space="preserve">北京中企慧云科技有限公司拟了解其股东全部权益价值资产评估报告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1130"/>
      </w:tabs>
      <w:spacing w:line="174" w:lineRule="auto"/>
      <w:ind w:left="354"/>
      <w:rPr>
        <w:rFonts w:ascii="宋体" w:eastAsia="宋体" w:hAnsi="宋体" w:cs="宋体"/>
        <w:sz w:val="19"/>
        <w:szCs w:val="19"/>
      </w:rPr>
    </w:pPr>
    <w:r>
      <w:rPr>
        <w:rFonts w:ascii="宋体" w:eastAsia="宋体" w:hAnsi="宋体" w:cs="宋体"/>
        <w:sz w:val="19"/>
        <w:szCs w:val="19"/>
        <w:u w:val="single" w:color="auto"/>
      </w:rPr>
      <w:tab/>
    </w:r>
    <w:r>
      <w:rPr>
        <w:rFonts w:ascii="宋体" w:eastAsia="宋体" w:hAnsi="宋体" w:cs="宋体"/>
        <w:spacing w:val="28"/>
        <w:sz w:val="19"/>
        <w:szCs w:val="19"/>
        <w:u w:val="single" w:color="auto"/>
      </w:rPr>
      <w:t xml:space="preserve">北京中企慧云科技有限公司拟了解其股东全部权益价值资产评估报告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778"/>
      </w:tabs>
      <w:spacing w:line="174" w:lineRule="auto"/>
      <w:ind w:left="3"/>
      <w:rPr>
        <w:rFonts w:ascii="宋体" w:eastAsia="宋体" w:hAnsi="宋体" w:cs="宋体"/>
        <w:sz w:val="19"/>
        <w:szCs w:val="19"/>
      </w:rPr>
    </w:pPr>
    <w:r>
      <w:rPr>
        <w:rFonts w:ascii="宋体" w:eastAsia="宋体" w:hAnsi="宋体" w:cs="宋体"/>
        <w:sz w:val="19"/>
        <w:szCs w:val="19"/>
        <w:u w:val="single" w:color="auto"/>
      </w:rPr>
      <w:tab/>
    </w:r>
    <w:r>
      <w:rPr>
        <w:rFonts w:ascii="宋体" w:eastAsia="宋体" w:hAnsi="宋体" w:cs="宋体"/>
        <w:spacing w:val="28"/>
        <w:sz w:val="19"/>
        <w:szCs w:val="19"/>
        <w:u w:val="single" w:color="auto"/>
      </w:rPr>
      <w:t>北京中企慧云科技有限公司拟了解其股东全部权益价值资产评估报告</w:t>
    </w:r>
    <w:r>
      <w:rPr>
        <w:rFonts w:ascii="宋体" w:eastAsia="宋体" w:hAnsi="宋体" w:cs="宋体"/>
        <w:spacing w:val="27"/>
        <w:sz w:val="19"/>
        <w:szCs w:val="19"/>
        <w:u w:val="single" w:color="auto"/>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890"/>
      </w:tabs>
      <w:spacing w:line="174" w:lineRule="auto"/>
      <w:ind w:left="3"/>
      <w:rPr>
        <w:rFonts w:ascii="宋体" w:eastAsia="宋体" w:hAnsi="宋体" w:cs="宋体"/>
        <w:sz w:val="18"/>
        <w:szCs w:val="18"/>
      </w:rPr>
    </w:pPr>
    <w:r>
      <w:rPr>
        <w:rFonts w:ascii="宋体" w:eastAsia="宋体" w:hAnsi="宋体" w:cs="宋体"/>
        <w:sz w:val="18"/>
        <w:szCs w:val="18"/>
        <w:u w:val="single" w:color="auto"/>
      </w:rPr>
      <w:tab/>
    </w:r>
    <w:r>
      <w:rPr>
        <w:rFonts w:ascii="宋体" w:eastAsia="宋体" w:hAnsi="宋体" w:cs="宋体"/>
        <w:spacing w:val="34"/>
        <w:sz w:val="18"/>
        <w:szCs w:val="18"/>
        <w:u w:val="single" w:color="auto"/>
      </w:rPr>
      <w:t>北京中企慧云科技有限公司拟了解其股东全部权益价值</w:t>
    </w:r>
    <w:r>
      <w:rPr>
        <w:rFonts w:ascii="宋体" w:eastAsia="宋体" w:hAnsi="宋体" w:cs="宋体"/>
        <w:spacing w:val="33"/>
        <w:sz w:val="18"/>
        <w:szCs w:val="18"/>
        <w:u w:val="single" w:color="auto"/>
      </w:rPr>
      <w:t>资产评估报告</w:t>
    </w:r>
    <w:r>
      <w:rPr>
        <w:rFonts w:ascii="宋体" w:eastAsia="宋体" w:hAnsi="宋体" w:cs="宋体"/>
        <w:sz w:val="18"/>
        <w:szCs w:val="18"/>
        <w:u w:val="single" w:color="auto"/>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1123"/>
      </w:tabs>
      <w:spacing w:line="174" w:lineRule="auto"/>
      <w:ind w:left="234"/>
      <w:rPr>
        <w:rFonts w:ascii="宋体" w:eastAsia="宋体" w:hAnsi="宋体" w:cs="宋体"/>
        <w:sz w:val="18"/>
        <w:szCs w:val="18"/>
      </w:rPr>
    </w:pPr>
    <w:r>
      <w:rPr>
        <w:rFonts w:ascii="宋体" w:eastAsia="宋体" w:hAnsi="宋体" w:cs="宋体"/>
        <w:sz w:val="18"/>
        <w:szCs w:val="18"/>
        <w:u w:val="single" w:color="auto"/>
      </w:rPr>
      <w:tab/>
    </w:r>
    <w:r>
      <w:rPr>
        <w:rFonts w:ascii="宋体" w:eastAsia="宋体" w:hAnsi="宋体" w:cs="宋体"/>
        <w:spacing w:val="34"/>
        <w:sz w:val="18"/>
        <w:szCs w:val="18"/>
        <w:u w:val="single" w:color="auto"/>
      </w:rPr>
      <w:t>北京中企慧云科技有限公司拟了解其股东全部权益价值资产评估报告</w:t>
    </w:r>
    <w:r>
      <w:rPr>
        <w:rFonts w:ascii="宋体" w:eastAsia="宋体" w:hAnsi="宋体" w:cs="宋体"/>
        <w:sz w:val="18"/>
        <w:szCs w:val="18"/>
        <w:u w:val="single" w:color="auto"/>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1238"/>
      </w:tabs>
      <w:spacing w:line="174" w:lineRule="auto"/>
      <w:ind w:left="354"/>
      <w:rPr>
        <w:rFonts w:ascii="宋体" w:eastAsia="宋体" w:hAnsi="宋体" w:cs="宋体"/>
        <w:sz w:val="18"/>
        <w:szCs w:val="18"/>
      </w:rPr>
    </w:pPr>
    <w:r>
      <w:rPr>
        <w:rFonts w:ascii="宋体" w:eastAsia="宋体" w:hAnsi="宋体" w:cs="宋体"/>
        <w:sz w:val="18"/>
        <w:szCs w:val="18"/>
        <w:u w:val="single" w:color="auto"/>
      </w:rPr>
      <w:tab/>
    </w:r>
    <w:r>
      <w:rPr>
        <w:rFonts w:ascii="宋体" w:eastAsia="宋体" w:hAnsi="宋体" w:cs="宋体"/>
        <w:spacing w:val="33"/>
        <w:sz w:val="18"/>
        <w:szCs w:val="18"/>
        <w:u w:val="single" w:color="auto"/>
      </w:rPr>
      <w:t>北京中企慧云科技有限公司拟了解其股东全部权益价值资产评估报告</w:t>
    </w:r>
    <w:r>
      <w:rPr>
        <w:rFonts w:ascii="宋体" w:eastAsia="宋体" w:hAnsi="宋体" w:cs="宋体"/>
        <w:spacing w:val="1"/>
        <w:sz w:val="18"/>
        <w:szCs w:val="18"/>
        <w:u w:val="single" w:color="auto"/>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866"/>
      </w:tabs>
      <w:spacing w:line="174" w:lineRule="auto"/>
      <w:ind w:left="89"/>
      <w:rPr>
        <w:rFonts w:ascii="宋体" w:eastAsia="宋体" w:hAnsi="宋体" w:cs="宋体"/>
        <w:sz w:val="19"/>
        <w:szCs w:val="19"/>
      </w:rPr>
    </w:pPr>
    <w:r>
      <w:rPr>
        <w:rFonts w:ascii="宋体" w:eastAsia="宋体" w:hAnsi="宋体" w:cs="宋体"/>
        <w:sz w:val="19"/>
        <w:szCs w:val="19"/>
        <w:u w:val="single" w:color="auto"/>
      </w:rPr>
      <w:tab/>
    </w:r>
    <w:r>
      <w:rPr>
        <w:rFonts w:ascii="宋体" w:eastAsia="宋体" w:hAnsi="宋体" w:cs="宋体"/>
        <w:spacing w:val="28"/>
        <w:sz w:val="19"/>
        <w:szCs w:val="19"/>
        <w:u w:val="single" w:color="auto"/>
      </w:rPr>
      <w:t xml:space="preserve">北京中企慧云科技有限公司拟了解其股东全部权益价值资产评估报告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890"/>
      </w:tabs>
      <w:spacing w:line="174" w:lineRule="auto"/>
      <w:ind w:left="3"/>
      <w:rPr>
        <w:rFonts w:ascii="宋体" w:eastAsia="宋体" w:hAnsi="宋体" w:cs="宋体"/>
        <w:sz w:val="18"/>
        <w:szCs w:val="18"/>
      </w:rPr>
    </w:pPr>
    <w:r>
      <w:rPr>
        <w:rFonts w:ascii="宋体" w:eastAsia="宋体" w:hAnsi="宋体" w:cs="宋体"/>
        <w:sz w:val="18"/>
        <w:szCs w:val="18"/>
        <w:u w:val="single" w:color="auto"/>
      </w:rPr>
      <w:tab/>
    </w:r>
    <w:r>
      <w:rPr>
        <w:rFonts w:ascii="宋体" w:eastAsia="宋体" w:hAnsi="宋体" w:cs="宋体"/>
        <w:spacing w:val="34"/>
        <w:sz w:val="18"/>
        <w:szCs w:val="18"/>
        <w:u w:val="single" w:color="auto"/>
      </w:rPr>
      <w:t>北京中企慧云科技有限公司拟了解其股东全部权益价值</w:t>
    </w:r>
    <w:r>
      <w:rPr>
        <w:rFonts w:ascii="宋体" w:eastAsia="宋体" w:hAnsi="宋体" w:cs="宋体"/>
        <w:spacing w:val="33"/>
        <w:sz w:val="18"/>
        <w:szCs w:val="18"/>
        <w:u w:val="single" w:color="auto"/>
      </w:rPr>
      <w:t>资产评估报告</w:t>
    </w:r>
    <w:r>
      <w:rPr>
        <w:rFonts w:ascii="宋体" w:eastAsia="宋体" w:hAnsi="宋体" w:cs="宋体"/>
        <w:sz w:val="18"/>
        <w:szCs w:val="18"/>
        <w:u w:val="single" w:color="auto"/>
      </w:rP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590"/>
      </w:tabs>
      <w:spacing w:line="174" w:lineRule="auto"/>
      <w:rPr>
        <w:rFonts w:ascii="宋体" w:eastAsia="宋体" w:hAnsi="宋体" w:cs="宋体"/>
        <w:sz w:val="18"/>
        <w:szCs w:val="18"/>
      </w:rPr>
    </w:pPr>
    <w:r>
      <w:rPr>
        <w:rFonts w:ascii="宋体" w:eastAsia="宋体" w:hAnsi="宋体" w:cs="宋体"/>
        <w:sz w:val="18"/>
        <w:szCs w:val="18"/>
        <w:u w:val="single" w:color="auto"/>
      </w:rPr>
      <w:tab/>
    </w:r>
    <w:r>
      <w:rPr>
        <w:rFonts w:ascii="宋体" w:eastAsia="宋体" w:hAnsi="宋体" w:cs="宋体"/>
        <w:spacing w:val="-10"/>
        <w:sz w:val="18"/>
        <w:szCs w:val="18"/>
        <w:u w:val="single" w:color="auto"/>
      </w:rPr>
      <w:t>北</w:t>
    </w:r>
    <w:r>
      <w:rPr>
        <w:rFonts w:ascii="宋体" w:eastAsia="宋体" w:hAnsi="宋体" w:cs="宋体"/>
        <w:spacing w:val="-21"/>
        <w:sz w:val="18"/>
        <w:szCs w:val="18"/>
        <w:u w:val="single" w:color="auto"/>
      </w:rPr>
      <w:t xml:space="preserve"> </w:t>
    </w:r>
    <w:r>
      <w:rPr>
        <w:rFonts w:ascii="宋体" w:eastAsia="宋体" w:hAnsi="宋体" w:cs="宋体"/>
        <w:spacing w:val="-10"/>
        <w:sz w:val="18"/>
        <w:szCs w:val="18"/>
        <w:u w:val="single" w:color="auto"/>
      </w:rPr>
      <w:t>京 中</w:t>
    </w:r>
    <w:r>
      <w:rPr>
        <w:rFonts w:ascii="宋体" w:eastAsia="宋体" w:hAnsi="宋体" w:cs="宋体"/>
        <w:spacing w:val="-25"/>
        <w:sz w:val="18"/>
        <w:szCs w:val="18"/>
        <w:u w:val="single" w:color="auto"/>
      </w:rPr>
      <w:t xml:space="preserve"> </w:t>
    </w:r>
    <w:r>
      <w:rPr>
        <w:rFonts w:ascii="宋体" w:eastAsia="宋体" w:hAnsi="宋体" w:cs="宋体"/>
        <w:spacing w:val="-10"/>
        <w:sz w:val="18"/>
        <w:szCs w:val="18"/>
        <w:u w:val="single" w:color="auto"/>
      </w:rPr>
      <w:t>企</w:t>
    </w:r>
    <w:r>
      <w:rPr>
        <w:rFonts w:ascii="宋体" w:eastAsia="宋体" w:hAnsi="宋体" w:cs="宋体"/>
        <w:spacing w:val="-21"/>
        <w:sz w:val="18"/>
        <w:szCs w:val="18"/>
        <w:u w:val="single" w:color="auto"/>
      </w:rPr>
      <w:t xml:space="preserve"> </w:t>
    </w:r>
    <w:r>
      <w:rPr>
        <w:rFonts w:ascii="宋体" w:eastAsia="宋体" w:hAnsi="宋体" w:cs="宋体"/>
        <w:spacing w:val="-10"/>
        <w:sz w:val="18"/>
        <w:szCs w:val="18"/>
        <w:u w:val="single" w:color="auto"/>
      </w:rPr>
      <w:t>慧</w:t>
    </w:r>
    <w:r>
      <w:rPr>
        <w:rFonts w:ascii="宋体" w:eastAsia="宋体" w:hAnsi="宋体" w:cs="宋体"/>
        <w:spacing w:val="-23"/>
        <w:sz w:val="18"/>
        <w:szCs w:val="18"/>
        <w:u w:val="single" w:color="auto"/>
      </w:rPr>
      <w:t xml:space="preserve"> </w:t>
    </w:r>
    <w:r>
      <w:rPr>
        <w:rFonts w:ascii="宋体" w:eastAsia="宋体" w:hAnsi="宋体" w:cs="宋体"/>
        <w:spacing w:val="-10"/>
        <w:sz w:val="18"/>
        <w:szCs w:val="18"/>
        <w:u w:val="single" w:color="auto"/>
      </w:rPr>
      <w:t>云</w:t>
    </w:r>
    <w:r>
      <w:rPr>
        <w:rFonts w:ascii="宋体" w:eastAsia="宋体" w:hAnsi="宋体" w:cs="宋体"/>
        <w:spacing w:val="-27"/>
        <w:sz w:val="18"/>
        <w:szCs w:val="18"/>
        <w:u w:val="single" w:color="auto"/>
      </w:rPr>
      <w:t xml:space="preserve"> </w:t>
    </w:r>
    <w:r>
      <w:rPr>
        <w:rFonts w:ascii="宋体" w:eastAsia="宋体" w:hAnsi="宋体" w:cs="宋体"/>
        <w:spacing w:val="-10"/>
        <w:sz w:val="18"/>
        <w:szCs w:val="18"/>
        <w:u w:val="single" w:color="auto"/>
      </w:rPr>
      <w:t>科</w:t>
    </w:r>
    <w:r>
      <w:rPr>
        <w:rFonts w:ascii="宋体" w:eastAsia="宋体" w:hAnsi="宋体" w:cs="宋体"/>
        <w:spacing w:val="-27"/>
        <w:sz w:val="18"/>
        <w:szCs w:val="18"/>
        <w:u w:val="single" w:color="auto"/>
      </w:rPr>
      <w:t xml:space="preserve"> </w:t>
    </w:r>
    <w:r>
      <w:rPr>
        <w:rFonts w:ascii="宋体" w:eastAsia="宋体" w:hAnsi="宋体" w:cs="宋体"/>
        <w:spacing w:val="-10"/>
        <w:sz w:val="18"/>
        <w:szCs w:val="18"/>
        <w:u w:val="single" w:color="auto"/>
      </w:rPr>
      <w:t>技</w:t>
    </w:r>
    <w:r>
      <w:rPr>
        <w:rFonts w:ascii="宋体" w:eastAsia="宋体" w:hAnsi="宋体" w:cs="宋体"/>
        <w:spacing w:val="-27"/>
        <w:sz w:val="18"/>
        <w:szCs w:val="18"/>
        <w:u w:val="single" w:color="auto"/>
      </w:rPr>
      <w:t xml:space="preserve"> </w:t>
    </w:r>
    <w:r>
      <w:rPr>
        <w:rFonts w:ascii="宋体" w:eastAsia="宋体" w:hAnsi="宋体" w:cs="宋体"/>
        <w:spacing w:val="-10"/>
        <w:sz w:val="18"/>
        <w:szCs w:val="18"/>
        <w:u w:val="single" w:color="auto"/>
      </w:rPr>
      <w:t>有 限</w:t>
    </w:r>
    <w:r>
      <w:rPr>
        <w:rFonts w:ascii="宋体" w:eastAsia="宋体" w:hAnsi="宋体" w:cs="宋体"/>
        <w:spacing w:val="-22"/>
        <w:sz w:val="18"/>
        <w:szCs w:val="18"/>
        <w:u w:val="single" w:color="auto"/>
      </w:rPr>
      <w:t xml:space="preserve"> </w:t>
    </w:r>
    <w:r>
      <w:rPr>
        <w:rFonts w:ascii="宋体" w:eastAsia="宋体" w:hAnsi="宋体" w:cs="宋体"/>
        <w:spacing w:val="-10"/>
        <w:sz w:val="18"/>
        <w:szCs w:val="18"/>
        <w:u w:val="single" w:color="auto"/>
      </w:rPr>
      <w:t>公</w:t>
    </w:r>
    <w:r>
      <w:rPr>
        <w:rFonts w:ascii="宋体" w:eastAsia="宋体" w:hAnsi="宋体" w:cs="宋体"/>
        <w:spacing w:val="-20"/>
        <w:sz w:val="18"/>
        <w:szCs w:val="18"/>
        <w:u w:val="single" w:color="auto"/>
      </w:rPr>
      <w:t xml:space="preserve"> </w:t>
    </w:r>
    <w:r>
      <w:rPr>
        <w:rFonts w:ascii="宋体" w:eastAsia="宋体" w:hAnsi="宋体" w:cs="宋体"/>
        <w:spacing w:val="-10"/>
        <w:sz w:val="18"/>
        <w:szCs w:val="18"/>
        <w:u w:val="single" w:color="auto"/>
      </w:rPr>
      <w:t>司</w:t>
    </w:r>
    <w:r>
      <w:rPr>
        <w:rFonts w:ascii="宋体" w:eastAsia="宋体" w:hAnsi="宋体" w:cs="宋体"/>
        <w:spacing w:val="-28"/>
        <w:sz w:val="18"/>
        <w:szCs w:val="18"/>
        <w:u w:val="single" w:color="auto"/>
      </w:rPr>
      <w:t xml:space="preserve"> </w:t>
    </w:r>
    <w:r>
      <w:rPr>
        <w:rFonts w:ascii="宋体" w:eastAsia="宋体" w:hAnsi="宋体" w:cs="宋体"/>
        <w:spacing w:val="-10"/>
        <w:sz w:val="18"/>
        <w:szCs w:val="18"/>
        <w:u w:val="single" w:color="auto"/>
      </w:rPr>
      <w:t>拟 了</w:t>
    </w:r>
    <w:r>
      <w:rPr>
        <w:rFonts w:ascii="宋体" w:eastAsia="宋体" w:hAnsi="宋体" w:cs="宋体"/>
        <w:spacing w:val="-28"/>
        <w:sz w:val="18"/>
        <w:szCs w:val="18"/>
        <w:u w:val="single" w:color="auto"/>
      </w:rPr>
      <w:t xml:space="preserve"> </w:t>
    </w:r>
    <w:r>
      <w:rPr>
        <w:rFonts w:ascii="宋体" w:eastAsia="宋体" w:hAnsi="宋体" w:cs="宋体"/>
        <w:spacing w:val="-10"/>
        <w:sz w:val="18"/>
        <w:szCs w:val="18"/>
        <w:u w:val="single" w:color="auto"/>
      </w:rPr>
      <w:t>解</w:t>
    </w:r>
    <w:r>
      <w:rPr>
        <w:rFonts w:ascii="宋体" w:eastAsia="宋体" w:hAnsi="宋体" w:cs="宋体"/>
        <w:spacing w:val="-27"/>
        <w:sz w:val="18"/>
        <w:szCs w:val="18"/>
        <w:u w:val="single" w:color="auto"/>
      </w:rPr>
      <w:t xml:space="preserve"> </w:t>
    </w:r>
    <w:r>
      <w:rPr>
        <w:rFonts w:ascii="宋体" w:eastAsia="宋体" w:hAnsi="宋体" w:cs="宋体"/>
        <w:spacing w:val="-10"/>
        <w:sz w:val="18"/>
        <w:szCs w:val="18"/>
        <w:u w:val="single" w:color="auto"/>
      </w:rPr>
      <w:t>其</w:t>
    </w:r>
    <w:r>
      <w:rPr>
        <w:rFonts w:ascii="宋体" w:eastAsia="宋体" w:hAnsi="宋体" w:cs="宋体"/>
        <w:spacing w:val="-28"/>
        <w:sz w:val="18"/>
        <w:szCs w:val="18"/>
        <w:u w:val="single" w:color="auto"/>
      </w:rPr>
      <w:t xml:space="preserve"> </w:t>
    </w:r>
    <w:r>
      <w:rPr>
        <w:rFonts w:ascii="宋体" w:eastAsia="宋体" w:hAnsi="宋体" w:cs="宋体"/>
        <w:spacing w:val="-10"/>
        <w:sz w:val="18"/>
        <w:szCs w:val="18"/>
        <w:u w:val="single" w:color="auto"/>
      </w:rPr>
      <w:t>股</w:t>
    </w:r>
    <w:r>
      <w:rPr>
        <w:rFonts w:ascii="宋体" w:eastAsia="宋体" w:hAnsi="宋体" w:cs="宋体"/>
        <w:spacing w:val="-21"/>
        <w:sz w:val="18"/>
        <w:szCs w:val="18"/>
        <w:u w:val="single" w:color="auto"/>
      </w:rPr>
      <w:t xml:space="preserve"> </w:t>
    </w:r>
    <w:r>
      <w:rPr>
        <w:rFonts w:ascii="宋体" w:eastAsia="宋体" w:hAnsi="宋体" w:cs="宋体"/>
        <w:spacing w:val="-10"/>
        <w:sz w:val="18"/>
        <w:szCs w:val="18"/>
        <w:u w:val="single" w:color="auto"/>
      </w:rPr>
      <w:t>东</w:t>
    </w:r>
    <w:r>
      <w:rPr>
        <w:rFonts w:ascii="宋体" w:eastAsia="宋体" w:hAnsi="宋体" w:cs="宋体"/>
        <w:spacing w:val="-28"/>
        <w:sz w:val="18"/>
        <w:szCs w:val="18"/>
        <w:u w:val="single" w:color="auto"/>
      </w:rPr>
      <w:t xml:space="preserve"> </w:t>
    </w:r>
    <w:r>
      <w:rPr>
        <w:rFonts w:ascii="宋体" w:eastAsia="宋体" w:hAnsi="宋体" w:cs="宋体"/>
        <w:spacing w:val="-10"/>
        <w:sz w:val="18"/>
        <w:szCs w:val="18"/>
        <w:u w:val="single" w:color="auto"/>
      </w:rPr>
      <w:t>全</w:t>
    </w:r>
    <w:r>
      <w:rPr>
        <w:rFonts w:ascii="宋体" w:eastAsia="宋体" w:hAnsi="宋体" w:cs="宋体"/>
        <w:spacing w:val="-25"/>
        <w:sz w:val="18"/>
        <w:szCs w:val="18"/>
        <w:u w:val="single" w:color="auto"/>
      </w:rPr>
      <w:t xml:space="preserve"> </w:t>
    </w:r>
    <w:r>
      <w:rPr>
        <w:rFonts w:ascii="宋体" w:eastAsia="宋体" w:hAnsi="宋体" w:cs="宋体"/>
        <w:spacing w:val="-10"/>
        <w:sz w:val="18"/>
        <w:szCs w:val="18"/>
        <w:u w:val="single" w:color="auto"/>
      </w:rPr>
      <w:t>部</w:t>
    </w:r>
    <w:r>
      <w:rPr>
        <w:rFonts w:ascii="宋体" w:eastAsia="宋体" w:hAnsi="宋体" w:cs="宋体"/>
        <w:spacing w:val="-28"/>
        <w:sz w:val="18"/>
        <w:szCs w:val="18"/>
        <w:u w:val="single" w:color="auto"/>
      </w:rPr>
      <w:t xml:space="preserve"> </w:t>
    </w:r>
    <w:r>
      <w:rPr>
        <w:rFonts w:ascii="宋体" w:eastAsia="宋体" w:hAnsi="宋体" w:cs="宋体"/>
        <w:spacing w:val="-10"/>
        <w:sz w:val="18"/>
        <w:szCs w:val="18"/>
        <w:u w:val="single" w:color="auto"/>
      </w:rPr>
      <w:t>权</w:t>
    </w:r>
    <w:r>
      <w:rPr>
        <w:rFonts w:ascii="宋体" w:eastAsia="宋体" w:hAnsi="宋体" w:cs="宋体"/>
        <w:spacing w:val="-26"/>
        <w:sz w:val="18"/>
        <w:szCs w:val="18"/>
        <w:u w:val="single" w:color="auto"/>
      </w:rPr>
      <w:t xml:space="preserve"> </w:t>
    </w:r>
    <w:r>
      <w:rPr>
        <w:rFonts w:ascii="宋体" w:eastAsia="宋体" w:hAnsi="宋体" w:cs="宋体"/>
        <w:spacing w:val="-10"/>
        <w:sz w:val="18"/>
        <w:szCs w:val="18"/>
        <w:u w:val="single" w:color="auto"/>
      </w:rPr>
      <w:t>益</w:t>
    </w:r>
    <w:r>
      <w:rPr>
        <w:rFonts w:ascii="宋体" w:eastAsia="宋体" w:hAnsi="宋体" w:cs="宋体"/>
        <w:spacing w:val="-27"/>
        <w:sz w:val="18"/>
        <w:szCs w:val="18"/>
        <w:u w:val="single" w:color="auto"/>
      </w:rPr>
      <w:t xml:space="preserve"> </w:t>
    </w:r>
    <w:r>
      <w:rPr>
        <w:rFonts w:ascii="宋体" w:eastAsia="宋体" w:hAnsi="宋体" w:cs="宋体"/>
        <w:spacing w:val="-10"/>
        <w:sz w:val="18"/>
        <w:szCs w:val="18"/>
        <w:u w:val="single" w:color="auto"/>
      </w:rPr>
      <w:t>价</w:t>
    </w:r>
    <w:r>
      <w:rPr>
        <w:rFonts w:ascii="宋体" w:eastAsia="宋体" w:hAnsi="宋体" w:cs="宋体"/>
        <w:spacing w:val="-28"/>
        <w:sz w:val="18"/>
        <w:szCs w:val="18"/>
        <w:u w:val="single" w:color="auto"/>
      </w:rPr>
      <w:t xml:space="preserve"> </w:t>
    </w:r>
    <w:r>
      <w:rPr>
        <w:rFonts w:ascii="宋体" w:eastAsia="宋体" w:hAnsi="宋体" w:cs="宋体"/>
        <w:spacing w:val="-10"/>
        <w:sz w:val="18"/>
        <w:szCs w:val="18"/>
        <w:u w:val="single" w:color="auto"/>
      </w:rPr>
      <w:t>值</w:t>
    </w:r>
    <w:r>
      <w:rPr>
        <w:rFonts w:ascii="宋体" w:eastAsia="宋体" w:hAnsi="宋体" w:cs="宋体"/>
        <w:spacing w:val="-20"/>
        <w:sz w:val="18"/>
        <w:szCs w:val="18"/>
        <w:u w:val="single" w:color="auto"/>
      </w:rPr>
      <w:t xml:space="preserve"> </w:t>
    </w:r>
    <w:r>
      <w:rPr>
        <w:rFonts w:ascii="宋体" w:eastAsia="宋体" w:hAnsi="宋体" w:cs="宋体"/>
        <w:spacing w:val="-10"/>
        <w:sz w:val="18"/>
        <w:szCs w:val="18"/>
        <w:u w:val="single" w:color="auto"/>
      </w:rPr>
      <w:t>资</w:t>
    </w:r>
    <w:r>
      <w:rPr>
        <w:rFonts w:ascii="宋体" w:eastAsia="宋体" w:hAnsi="宋体" w:cs="宋体"/>
        <w:spacing w:val="-27"/>
        <w:sz w:val="18"/>
        <w:szCs w:val="18"/>
        <w:u w:val="single" w:color="auto"/>
      </w:rPr>
      <w:t xml:space="preserve"> </w:t>
    </w:r>
    <w:r>
      <w:rPr>
        <w:rFonts w:ascii="宋体" w:eastAsia="宋体" w:hAnsi="宋体" w:cs="宋体"/>
        <w:spacing w:val="-10"/>
        <w:sz w:val="18"/>
        <w:szCs w:val="18"/>
        <w:u w:val="single" w:color="auto"/>
      </w:rPr>
      <w:t>产</w:t>
    </w:r>
    <w:r>
      <w:rPr>
        <w:rFonts w:ascii="宋体" w:eastAsia="宋体" w:hAnsi="宋体" w:cs="宋体"/>
        <w:spacing w:val="-29"/>
        <w:sz w:val="18"/>
        <w:szCs w:val="18"/>
        <w:u w:val="single" w:color="auto"/>
      </w:rPr>
      <w:t xml:space="preserve"> </w:t>
    </w:r>
    <w:r>
      <w:rPr>
        <w:rFonts w:ascii="宋体" w:eastAsia="宋体" w:hAnsi="宋体" w:cs="宋体"/>
        <w:spacing w:val="-10"/>
        <w:sz w:val="18"/>
        <w:szCs w:val="18"/>
        <w:u w:val="single" w:color="auto"/>
      </w:rPr>
      <w:t>评</w:t>
    </w:r>
    <w:r>
      <w:rPr>
        <w:rFonts w:ascii="宋体" w:eastAsia="宋体" w:hAnsi="宋体" w:cs="宋体"/>
        <w:spacing w:val="-27"/>
        <w:sz w:val="18"/>
        <w:szCs w:val="18"/>
        <w:u w:val="single" w:color="auto"/>
      </w:rPr>
      <w:t xml:space="preserve"> </w:t>
    </w:r>
    <w:r>
      <w:rPr>
        <w:rFonts w:ascii="宋体" w:eastAsia="宋体" w:hAnsi="宋体" w:cs="宋体"/>
        <w:spacing w:val="-10"/>
        <w:sz w:val="18"/>
        <w:szCs w:val="18"/>
        <w:u w:val="single" w:color="auto"/>
      </w:rPr>
      <w:t>估</w:t>
    </w:r>
    <w:r>
      <w:rPr>
        <w:rFonts w:ascii="宋体" w:eastAsia="宋体" w:hAnsi="宋体" w:cs="宋体"/>
        <w:spacing w:val="-29"/>
        <w:sz w:val="18"/>
        <w:szCs w:val="18"/>
        <w:u w:val="single" w:color="auto"/>
      </w:rPr>
      <w:t xml:space="preserve"> </w:t>
    </w:r>
    <w:r>
      <w:rPr>
        <w:rFonts w:ascii="宋体" w:eastAsia="宋体" w:hAnsi="宋体" w:cs="宋体"/>
        <w:spacing w:val="-10"/>
        <w:sz w:val="18"/>
        <w:szCs w:val="18"/>
        <w:u w:val="single" w:color="auto"/>
      </w:rPr>
      <w:t>报</w:t>
    </w:r>
    <w:r>
      <w:rPr>
        <w:rFonts w:ascii="宋体" w:eastAsia="宋体" w:hAnsi="宋体" w:cs="宋体"/>
        <w:spacing w:val="-23"/>
        <w:sz w:val="18"/>
        <w:szCs w:val="18"/>
        <w:u w:val="single" w:color="auto"/>
      </w:rPr>
      <w:t xml:space="preserve"> </w:t>
    </w:r>
    <w:r>
      <w:rPr>
        <w:rFonts w:ascii="宋体" w:eastAsia="宋体" w:hAnsi="宋体" w:cs="宋体"/>
        <w:spacing w:val="-10"/>
        <w:sz w:val="18"/>
        <w:szCs w:val="18"/>
        <w:u w:val="single" w:color="auto"/>
      </w:rPr>
      <w:t xml:space="preserve">告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7" w:lineRule="auto"/>
      <w:ind w:left="1450"/>
      <w:rPr>
        <w:rFonts w:ascii="宋体" w:eastAsia="宋体" w:hAnsi="宋体" w:cs="宋体"/>
        <w:sz w:val="17"/>
        <w:szCs w:val="17"/>
      </w:rPr>
    </w:pPr>
    <w:r>
      <w:drawing>
        <wp:anchor distT="0" distB="0" distL="0" distR="0" simplePos="0" relativeHeight="251658240" behindDoc="0" locked="0" layoutInCell="0" allowOverlap="1">
          <wp:simplePos x="0" y="0"/>
          <wp:positionH relativeFrom="page">
            <wp:posOffset>1155065</wp:posOffset>
          </wp:positionH>
          <wp:positionV relativeFrom="page">
            <wp:posOffset>815975</wp:posOffset>
          </wp:positionV>
          <wp:extent cx="5181600" cy="8890"/>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
                  <a:stretch>
                    <a:fillRect/>
                  </a:stretch>
                </pic:blipFill>
                <pic:spPr>
                  <a:xfrm>
                    <a:off x="0" y="0"/>
                    <a:ext cx="5181610" cy="8890"/>
                  </a:xfrm>
                  <a:prstGeom prst="rect">
                    <a:avLst/>
                  </a:prstGeom>
                </pic:spPr>
              </pic:pic>
            </a:graphicData>
          </a:graphic>
        </wp:anchor>
      </w:drawing>
    </w:r>
    <w:r>
      <w:rPr>
        <w:rFonts w:ascii="宋体" w:eastAsia="宋体" w:hAnsi="宋体" w:cs="宋体"/>
        <w:spacing w:val="7"/>
        <w:sz w:val="17"/>
        <w:szCs w:val="17"/>
      </w:rPr>
      <w:t>北京中企慧云科技有限公司拟了解其股东全部权益价值资产评估报告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909"/>
      </w:tabs>
      <w:spacing w:line="174" w:lineRule="auto"/>
      <w:ind w:left="23"/>
      <w:rPr>
        <w:rFonts w:ascii="宋体" w:eastAsia="宋体" w:hAnsi="宋体" w:cs="宋体"/>
        <w:sz w:val="18"/>
        <w:szCs w:val="18"/>
      </w:rPr>
    </w:pPr>
    <w:r>
      <w:rPr>
        <w:rFonts w:ascii="宋体" w:eastAsia="宋体" w:hAnsi="宋体" w:cs="宋体"/>
        <w:sz w:val="18"/>
        <w:szCs w:val="18"/>
        <w:u w:val="single" w:color="auto"/>
      </w:rPr>
      <w:tab/>
    </w:r>
    <w:r>
      <w:rPr>
        <w:rFonts w:ascii="宋体" w:eastAsia="宋体" w:hAnsi="宋体" w:cs="宋体"/>
        <w:spacing w:val="33"/>
        <w:sz w:val="18"/>
        <w:szCs w:val="18"/>
        <w:u w:val="single" w:color="auto"/>
      </w:rPr>
      <w:t>北京中企慧云科技有限公司拟了解其股东全部权益价值资产评估报告</w:t>
    </w:r>
    <w:r>
      <w:rPr>
        <w:rFonts w:ascii="宋体" w:eastAsia="宋体" w:hAnsi="宋体" w:cs="宋体"/>
        <w:spacing w:val="1"/>
        <w:sz w:val="18"/>
        <w:szCs w:val="18"/>
        <w:u w:val="single" w:color="auto"/>
      </w:rP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592"/>
      </w:tabs>
      <w:spacing w:line="174" w:lineRule="auto"/>
      <w:rPr>
        <w:rFonts w:ascii="宋体" w:eastAsia="宋体" w:hAnsi="宋体" w:cs="宋体"/>
        <w:sz w:val="18"/>
        <w:szCs w:val="18"/>
      </w:rPr>
    </w:pPr>
    <w:r>
      <w:rPr>
        <w:rFonts w:ascii="宋体" w:eastAsia="宋体" w:hAnsi="宋体" w:cs="宋体"/>
        <w:sz w:val="18"/>
        <w:szCs w:val="18"/>
        <w:u w:val="single" w:color="auto"/>
      </w:rPr>
      <w:tab/>
    </w:r>
    <w:r>
      <w:rPr>
        <w:rFonts w:ascii="宋体" w:eastAsia="宋体" w:hAnsi="宋体" w:cs="宋体"/>
        <w:spacing w:val="-10"/>
        <w:sz w:val="18"/>
        <w:szCs w:val="18"/>
        <w:u w:val="single" w:color="auto"/>
      </w:rPr>
      <w:t>北</w:t>
    </w:r>
    <w:r>
      <w:rPr>
        <w:rFonts w:ascii="宋体" w:eastAsia="宋体" w:hAnsi="宋体" w:cs="宋体"/>
        <w:spacing w:val="-19"/>
        <w:sz w:val="18"/>
        <w:szCs w:val="18"/>
        <w:u w:val="single" w:color="auto"/>
      </w:rPr>
      <w:t xml:space="preserve"> </w:t>
    </w:r>
    <w:r>
      <w:rPr>
        <w:rFonts w:ascii="宋体" w:eastAsia="宋体" w:hAnsi="宋体" w:cs="宋体"/>
        <w:spacing w:val="-10"/>
        <w:sz w:val="18"/>
        <w:szCs w:val="18"/>
        <w:u w:val="single" w:color="auto"/>
      </w:rPr>
      <w:t>京 中</w:t>
    </w:r>
    <w:r>
      <w:rPr>
        <w:rFonts w:ascii="宋体" w:eastAsia="宋体" w:hAnsi="宋体" w:cs="宋体"/>
        <w:spacing w:val="-24"/>
        <w:sz w:val="18"/>
        <w:szCs w:val="18"/>
        <w:u w:val="single" w:color="auto"/>
      </w:rPr>
      <w:t xml:space="preserve"> </w:t>
    </w:r>
    <w:r>
      <w:rPr>
        <w:rFonts w:ascii="宋体" w:eastAsia="宋体" w:hAnsi="宋体" w:cs="宋体"/>
        <w:spacing w:val="-10"/>
        <w:sz w:val="18"/>
        <w:szCs w:val="18"/>
        <w:u w:val="single" w:color="auto"/>
      </w:rPr>
      <w:t>企</w:t>
    </w:r>
    <w:r>
      <w:rPr>
        <w:rFonts w:ascii="宋体" w:eastAsia="宋体" w:hAnsi="宋体" w:cs="宋体"/>
        <w:spacing w:val="-21"/>
        <w:sz w:val="18"/>
        <w:szCs w:val="18"/>
        <w:u w:val="single" w:color="auto"/>
      </w:rPr>
      <w:t xml:space="preserve"> </w:t>
    </w:r>
    <w:r>
      <w:rPr>
        <w:rFonts w:ascii="宋体" w:eastAsia="宋体" w:hAnsi="宋体" w:cs="宋体"/>
        <w:spacing w:val="-10"/>
        <w:sz w:val="18"/>
        <w:szCs w:val="18"/>
        <w:u w:val="single" w:color="auto"/>
      </w:rPr>
      <w:t>慧</w:t>
    </w:r>
    <w:r>
      <w:rPr>
        <w:rFonts w:ascii="宋体" w:eastAsia="宋体" w:hAnsi="宋体" w:cs="宋体"/>
        <w:spacing w:val="-23"/>
        <w:sz w:val="18"/>
        <w:szCs w:val="18"/>
        <w:u w:val="single" w:color="auto"/>
      </w:rPr>
      <w:t xml:space="preserve"> </w:t>
    </w:r>
    <w:r>
      <w:rPr>
        <w:rFonts w:ascii="宋体" w:eastAsia="宋体" w:hAnsi="宋体" w:cs="宋体"/>
        <w:spacing w:val="-10"/>
        <w:sz w:val="18"/>
        <w:szCs w:val="18"/>
        <w:u w:val="single" w:color="auto"/>
      </w:rPr>
      <w:t>云</w:t>
    </w:r>
    <w:r>
      <w:rPr>
        <w:rFonts w:ascii="宋体" w:eastAsia="宋体" w:hAnsi="宋体" w:cs="宋体"/>
        <w:spacing w:val="-27"/>
        <w:sz w:val="18"/>
        <w:szCs w:val="18"/>
        <w:u w:val="single" w:color="auto"/>
      </w:rPr>
      <w:t xml:space="preserve"> </w:t>
    </w:r>
    <w:r>
      <w:rPr>
        <w:rFonts w:ascii="宋体" w:eastAsia="宋体" w:hAnsi="宋体" w:cs="宋体"/>
        <w:spacing w:val="-10"/>
        <w:sz w:val="18"/>
        <w:szCs w:val="18"/>
        <w:u w:val="single" w:color="auto"/>
      </w:rPr>
      <w:t>科</w:t>
    </w:r>
    <w:r>
      <w:rPr>
        <w:rFonts w:ascii="宋体" w:eastAsia="宋体" w:hAnsi="宋体" w:cs="宋体"/>
        <w:spacing w:val="-27"/>
        <w:sz w:val="18"/>
        <w:szCs w:val="18"/>
        <w:u w:val="single" w:color="auto"/>
      </w:rPr>
      <w:t xml:space="preserve"> </w:t>
    </w:r>
    <w:r>
      <w:rPr>
        <w:rFonts w:ascii="宋体" w:eastAsia="宋体" w:hAnsi="宋体" w:cs="宋体"/>
        <w:spacing w:val="-10"/>
        <w:sz w:val="18"/>
        <w:szCs w:val="18"/>
        <w:u w:val="single" w:color="auto"/>
      </w:rPr>
      <w:t>技</w:t>
    </w:r>
    <w:r>
      <w:rPr>
        <w:rFonts w:ascii="宋体" w:eastAsia="宋体" w:hAnsi="宋体" w:cs="宋体"/>
        <w:spacing w:val="-26"/>
        <w:sz w:val="18"/>
        <w:szCs w:val="18"/>
        <w:u w:val="single" w:color="auto"/>
      </w:rPr>
      <w:t xml:space="preserve"> </w:t>
    </w:r>
    <w:r>
      <w:rPr>
        <w:rFonts w:ascii="宋体" w:eastAsia="宋体" w:hAnsi="宋体" w:cs="宋体"/>
        <w:spacing w:val="-10"/>
        <w:sz w:val="18"/>
        <w:szCs w:val="18"/>
        <w:u w:val="single" w:color="auto"/>
      </w:rPr>
      <w:t>有 限</w:t>
    </w:r>
    <w:r>
      <w:rPr>
        <w:rFonts w:ascii="宋体" w:eastAsia="宋体" w:hAnsi="宋体" w:cs="宋体"/>
        <w:spacing w:val="-22"/>
        <w:sz w:val="18"/>
        <w:szCs w:val="18"/>
        <w:u w:val="single" w:color="auto"/>
      </w:rPr>
      <w:t xml:space="preserve"> </w:t>
    </w:r>
    <w:r>
      <w:rPr>
        <w:rFonts w:ascii="宋体" w:eastAsia="宋体" w:hAnsi="宋体" w:cs="宋体"/>
        <w:spacing w:val="-10"/>
        <w:sz w:val="18"/>
        <w:szCs w:val="18"/>
        <w:u w:val="single" w:color="auto"/>
      </w:rPr>
      <w:t>公</w:t>
    </w:r>
    <w:r>
      <w:rPr>
        <w:rFonts w:ascii="宋体" w:eastAsia="宋体" w:hAnsi="宋体" w:cs="宋体"/>
        <w:spacing w:val="-20"/>
        <w:sz w:val="18"/>
        <w:szCs w:val="18"/>
        <w:u w:val="single" w:color="auto"/>
      </w:rPr>
      <w:t xml:space="preserve"> </w:t>
    </w:r>
    <w:r>
      <w:rPr>
        <w:rFonts w:ascii="宋体" w:eastAsia="宋体" w:hAnsi="宋体" w:cs="宋体"/>
        <w:spacing w:val="-10"/>
        <w:sz w:val="18"/>
        <w:szCs w:val="18"/>
        <w:u w:val="single" w:color="auto"/>
      </w:rPr>
      <w:t>司</w:t>
    </w:r>
    <w:r>
      <w:rPr>
        <w:rFonts w:ascii="宋体" w:eastAsia="宋体" w:hAnsi="宋体" w:cs="宋体"/>
        <w:spacing w:val="-27"/>
        <w:sz w:val="18"/>
        <w:szCs w:val="18"/>
        <w:u w:val="single" w:color="auto"/>
      </w:rPr>
      <w:t xml:space="preserve"> </w:t>
    </w:r>
    <w:r>
      <w:rPr>
        <w:rFonts w:ascii="宋体" w:eastAsia="宋体" w:hAnsi="宋体" w:cs="宋体"/>
        <w:spacing w:val="-10"/>
        <w:sz w:val="18"/>
        <w:szCs w:val="18"/>
        <w:u w:val="single" w:color="auto"/>
      </w:rPr>
      <w:t>拟 了</w:t>
    </w:r>
    <w:r>
      <w:rPr>
        <w:rFonts w:ascii="宋体" w:eastAsia="宋体" w:hAnsi="宋体" w:cs="宋体"/>
        <w:spacing w:val="-28"/>
        <w:sz w:val="18"/>
        <w:szCs w:val="18"/>
        <w:u w:val="single" w:color="auto"/>
      </w:rPr>
      <w:t xml:space="preserve"> </w:t>
    </w:r>
    <w:r>
      <w:rPr>
        <w:rFonts w:ascii="宋体" w:eastAsia="宋体" w:hAnsi="宋体" w:cs="宋体"/>
        <w:spacing w:val="-10"/>
        <w:sz w:val="18"/>
        <w:szCs w:val="18"/>
        <w:u w:val="single" w:color="auto"/>
      </w:rPr>
      <w:t>解</w:t>
    </w:r>
    <w:r>
      <w:rPr>
        <w:rFonts w:ascii="宋体" w:eastAsia="宋体" w:hAnsi="宋体" w:cs="宋体"/>
        <w:spacing w:val="-27"/>
        <w:sz w:val="18"/>
        <w:szCs w:val="18"/>
        <w:u w:val="single" w:color="auto"/>
      </w:rPr>
      <w:t xml:space="preserve"> </w:t>
    </w:r>
    <w:r>
      <w:rPr>
        <w:rFonts w:ascii="宋体" w:eastAsia="宋体" w:hAnsi="宋体" w:cs="宋体"/>
        <w:spacing w:val="-10"/>
        <w:sz w:val="18"/>
        <w:szCs w:val="18"/>
        <w:u w:val="single" w:color="auto"/>
      </w:rPr>
      <w:t>其</w:t>
    </w:r>
    <w:r>
      <w:rPr>
        <w:rFonts w:ascii="宋体" w:eastAsia="宋体" w:hAnsi="宋体" w:cs="宋体"/>
        <w:spacing w:val="-27"/>
        <w:sz w:val="18"/>
        <w:szCs w:val="18"/>
        <w:u w:val="single" w:color="auto"/>
      </w:rPr>
      <w:t xml:space="preserve"> </w:t>
    </w:r>
    <w:r>
      <w:rPr>
        <w:rFonts w:ascii="宋体" w:eastAsia="宋体" w:hAnsi="宋体" w:cs="宋体"/>
        <w:spacing w:val="-10"/>
        <w:sz w:val="18"/>
        <w:szCs w:val="18"/>
        <w:u w:val="single" w:color="auto"/>
      </w:rPr>
      <w:t>股</w:t>
    </w:r>
    <w:r>
      <w:rPr>
        <w:rFonts w:ascii="宋体" w:eastAsia="宋体" w:hAnsi="宋体" w:cs="宋体"/>
        <w:spacing w:val="-21"/>
        <w:sz w:val="18"/>
        <w:szCs w:val="18"/>
        <w:u w:val="single" w:color="auto"/>
      </w:rPr>
      <w:t xml:space="preserve"> </w:t>
    </w:r>
    <w:r>
      <w:rPr>
        <w:rFonts w:ascii="宋体" w:eastAsia="宋体" w:hAnsi="宋体" w:cs="宋体"/>
        <w:spacing w:val="-10"/>
        <w:sz w:val="18"/>
        <w:szCs w:val="18"/>
        <w:u w:val="single" w:color="auto"/>
      </w:rPr>
      <w:t>东</w:t>
    </w:r>
    <w:r>
      <w:rPr>
        <w:rFonts w:ascii="宋体" w:eastAsia="宋体" w:hAnsi="宋体" w:cs="宋体"/>
        <w:spacing w:val="-28"/>
        <w:sz w:val="18"/>
        <w:szCs w:val="18"/>
        <w:u w:val="single" w:color="auto"/>
      </w:rPr>
      <w:t xml:space="preserve"> </w:t>
    </w:r>
    <w:r>
      <w:rPr>
        <w:rFonts w:ascii="宋体" w:eastAsia="宋体" w:hAnsi="宋体" w:cs="宋体"/>
        <w:spacing w:val="-10"/>
        <w:sz w:val="18"/>
        <w:szCs w:val="18"/>
        <w:u w:val="single" w:color="auto"/>
      </w:rPr>
      <w:t>全</w:t>
    </w:r>
    <w:r>
      <w:rPr>
        <w:rFonts w:ascii="宋体" w:eastAsia="宋体" w:hAnsi="宋体" w:cs="宋体"/>
        <w:spacing w:val="-25"/>
        <w:sz w:val="18"/>
        <w:szCs w:val="18"/>
        <w:u w:val="single" w:color="auto"/>
      </w:rPr>
      <w:t xml:space="preserve"> </w:t>
    </w:r>
    <w:r>
      <w:rPr>
        <w:rFonts w:ascii="宋体" w:eastAsia="宋体" w:hAnsi="宋体" w:cs="宋体"/>
        <w:spacing w:val="-10"/>
        <w:sz w:val="18"/>
        <w:szCs w:val="18"/>
        <w:u w:val="single" w:color="auto"/>
      </w:rPr>
      <w:t>部</w:t>
    </w:r>
    <w:r>
      <w:rPr>
        <w:rFonts w:ascii="宋体" w:eastAsia="宋体" w:hAnsi="宋体" w:cs="宋体"/>
        <w:spacing w:val="-28"/>
        <w:sz w:val="18"/>
        <w:szCs w:val="18"/>
        <w:u w:val="single" w:color="auto"/>
      </w:rPr>
      <w:t xml:space="preserve"> </w:t>
    </w:r>
    <w:r>
      <w:rPr>
        <w:rFonts w:ascii="宋体" w:eastAsia="宋体" w:hAnsi="宋体" w:cs="宋体"/>
        <w:spacing w:val="-10"/>
        <w:sz w:val="18"/>
        <w:szCs w:val="18"/>
        <w:u w:val="single" w:color="auto"/>
      </w:rPr>
      <w:t>权</w:t>
    </w:r>
    <w:r>
      <w:rPr>
        <w:rFonts w:ascii="宋体" w:eastAsia="宋体" w:hAnsi="宋体" w:cs="宋体"/>
        <w:spacing w:val="-26"/>
        <w:sz w:val="18"/>
        <w:szCs w:val="18"/>
        <w:u w:val="single" w:color="auto"/>
      </w:rPr>
      <w:t xml:space="preserve"> </w:t>
    </w:r>
    <w:r>
      <w:rPr>
        <w:rFonts w:ascii="宋体" w:eastAsia="宋体" w:hAnsi="宋体" w:cs="宋体"/>
        <w:spacing w:val="-10"/>
        <w:sz w:val="18"/>
        <w:szCs w:val="18"/>
        <w:u w:val="single" w:color="auto"/>
      </w:rPr>
      <w:t>益</w:t>
    </w:r>
    <w:r>
      <w:rPr>
        <w:rFonts w:ascii="宋体" w:eastAsia="宋体" w:hAnsi="宋体" w:cs="宋体"/>
        <w:spacing w:val="-26"/>
        <w:sz w:val="18"/>
        <w:szCs w:val="18"/>
        <w:u w:val="single" w:color="auto"/>
      </w:rPr>
      <w:t xml:space="preserve"> </w:t>
    </w:r>
    <w:r>
      <w:rPr>
        <w:rFonts w:ascii="宋体" w:eastAsia="宋体" w:hAnsi="宋体" w:cs="宋体"/>
        <w:spacing w:val="-10"/>
        <w:sz w:val="18"/>
        <w:szCs w:val="18"/>
        <w:u w:val="single" w:color="auto"/>
      </w:rPr>
      <w:t>价</w:t>
    </w:r>
    <w:r>
      <w:rPr>
        <w:rFonts w:ascii="宋体" w:eastAsia="宋体" w:hAnsi="宋体" w:cs="宋体"/>
        <w:spacing w:val="-28"/>
        <w:sz w:val="18"/>
        <w:szCs w:val="18"/>
        <w:u w:val="single" w:color="auto"/>
      </w:rPr>
      <w:t xml:space="preserve"> </w:t>
    </w:r>
    <w:r>
      <w:rPr>
        <w:rFonts w:ascii="宋体" w:eastAsia="宋体" w:hAnsi="宋体" w:cs="宋体"/>
        <w:spacing w:val="-10"/>
        <w:sz w:val="18"/>
        <w:szCs w:val="18"/>
        <w:u w:val="single" w:color="auto"/>
      </w:rPr>
      <w:t>值</w:t>
    </w:r>
    <w:r>
      <w:rPr>
        <w:rFonts w:ascii="宋体" w:eastAsia="宋体" w:hAnsi="宋体" w:cs="宋体"/>
        <w:spacing w:val="-19"/>
        <w:sz w:val="18"/>
        <w:szCs w:val="18"/>
        <w:u w:val="single" w:color="auto"/>
      </w:rPr>
      <w:t xml:space="preserve"> </w:t>
    </w:r>
    <w:r>
      <w:rPr>
        <w:rFonts w:ascii="宋体" w:eastAsia="宋体" w:hAnsi="宋体" w:cs="宋体"/>
        <w:spacing w:val="-10"/>
        <w:sz w:val="18"/>
        <w:szCs w:val="18"/>
        <w:u w:val="single" w:color="auto"/>
      </w:rPr>
      <w:t>资</w:t>
    </w:r>
    <w:r>
      <w:rPr>
        <w:rFonts w:ascii="宋体" w:eastAsia="宋体" w:hAnsi="宋体" w:cs="宋体"/>
        <w:spacing w:val="-27"/>
        <w:sz w:val="18"/>
        <w:szCs w:val="18"/>
        <w:u w:val="single" w:color="auto"/>
      </w:rPr>
      <w:t xml:space="preserve"> </w:t>
    </w:r>
    <w:r>
      <w:rPr>
        <w:rFonts w:ascii="宋体" w:eastAsia="宋体" w:hAnsi="宋体" w:cs="宋体"/>
        <w:spacing w:val="-10"/>
        <w:sz w:val="18"/>
        <w:szCs w:val="18"/>
        <w:u w:val="single" w:color="auto"/>
      </w:rPr>
      <w:t>产</w:t>
    </w:r>
    <w:r>
      <w:rPr>
        <w:rFonts w:ascii="宋体" w:eastAsia="宋体" w:hAnsi="宋体" w:cs="宋体"/>
        <w:spacing w:val="-28"/>
        <w:sz w:val="18"/>
        <w:szCs w:val="18"/>
        <w:u w:val="single" w:color="auto"/>
      </w:rPr>
      <w:t xml:space="preserve"> </w:t>
    </w:r>
    <w:r>
      <w:rPr>
        <w:rFonts w:ascii="宋体" w:eastAsia="宋体" w:hAnsi="宋体" w:cs="宋体"/>
        <w:spacing w:val="-10"/>
        <w:sz w:val="18"/>
        <w:szCs w:val="18"/>
        <w:u w:val="single" w:color="auto"/>
      </w:rPr>
      <w:t>评</w:t>
    </w:r>
    <w:r>
      <w:rPr>
        <w:rFonts w:ascii="宋体" w:eastAsia="宋体" w:hAnsi="宋体" w:cs="宋体"/>
        <w:spacing w:val="-28"/>
        <w:sz w:val="18"/>
        <w:szCs w:val="18"/>
        <w:u w:val="single" w:color="auto"/>
      </w:rPr>
      <w:t xml:space="preserve"> </w:t>
    </w:r>
    <w:r>
      <w:rPr>
        <w:rFonts w:ascii="宋体" w:eastAsia="宋体" w:hAnsi="宋体" w:cs="宋体"/>
        <w:spacing w:val="-10"/>
        <w:sz w:val="18"/>
        <w:szCs w:val="18"/>
        <w:u w:val="single" w:color="auto"/>
      </w:rPr>
      <w:t>估</w:t>
    </w:r>
    <w:r>
      <w:rPr>
        <w:rFonts w:ascii="宋体" w:eastAsia="宋体" w:hAnsi="宋体" w:cs="宋体"/>
        <w:spacing w:val="-28"/>
        <w:sz w:val="18"/>
        <w:szCs w:val="18"/>
        <w:u w:val="single" w:color="auto"/>
      </w:rPr>
      <w:t xml:space="preserve"> </w:t>
    </w:r>
    <w:r>
      <w:rPr>
        <w:rFonts w:ascii="宋体" w:eastAsia="宋体" w:hAnsi="宋体" w:cs="宋体"/>
        <w:spacing w:val="-10"/>
        <w:sz w:val="18"/>
        <w:szCs w:val="18"/>
        <w:u w:val="single" w:color="auto"/>
      </w:rPr>
      <w:t>报</w:t>
    </w:r>
    <w:r>
      <w:rPr>
        <w:rFonts w:ascii="宋体" w:eastAsia="宋体" w:hAnsi="宋体" w:cs="宋体"/>
        <w:spacing w:val="-23"/>
        <w:sz w:val="18"/>
        <w:szCs w:val="18"/>
        <w:u w:val="single" w:color="auto"/>
      </w:rPr>
      <w:t xml:space="preserve"> </w:t>
    </w:r>
    <w:r>
      <w:rPr>
        <w:rFonts w:ascii="宋体" w:eastAsia="宋体" w:hAnsi="宋体" w:cs="宋体"/>
        <w:spacing w:val="-10"/>
        <w:sz w:val="18"/>
        <w:szCs w:val="18"/>
        <w:u w:val="single" w:color="auto"/>
      </w:rPr>
      <w:t xml:space="preserve">告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1078"/>
      </w:tabs>
      <w:spacing w:line="174" w:lineRule="auto"/>
      <w:ind w:left="304"/>
      <w:rPr>
        <w:rFonts w:ascii="宋体" w:eastAsia="宋体" w:hAnsi="宋体" w:cs="宋体"/>
        <w:sz w:val="19"/>
        <w:szCs w:val="19"/>
      </w:rPr>
    </w:pPr>
    <w:r>
      <w:rPr>
        <w:rFonts w:ascii="宋体" w:eastAsia="宋体" w:hAnsi="宋体" w:cs="宋体"/>
        <w:sz w:val="19"/>
        <w:szCs w:val="19"/>
        <w:u w:val="single" w:color="auto"/>
      </w:rPr>
      <w:tab/>
    </w:r>
    <w:r>
      <w:rPr>
        <w:rFonts w:ascii="宋体" w:eastAsia="宋体" w:hAnsi="宋体" w:cs="宋体"/>
        <w:spacing w:val="28"/>
        <w:sz w:val="19"/>
        <w:szCs w:val="19"/>
        <w:u w:val="single" w:color="auto"/>
      </w:rPr>
      <w:t>北京中企慧云科技有限公司拟了解其股东全部权</w:t>
    </w:r>
    <w:r>
      <w:rPr>
        <w:rFonts w:ascii="宋体" w:eastAsia="宋体" w:hAnsi="宋体" w:cs="宋体"/>
        <w:spacing w:val="27"/>
        <w:sz w:val="19"/>
        <w:szCs w:val="19"/>
        <w:u w:val="single" w:color="auto"/>
      </w:rPr>
      <w:t xml:space="preserve">益价值资产评估报告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1130"/>
      </w:tabs>
      <w:spacing w:line="174" w:lineRule="auto"/>
      <w:ind w:left="354"/>
      <w:rPr>
        <w:rFonts w:ascii="宋体" w:eastAsia="宋体" w:hAnsi="宋体" w:cs="宋体"/>
        <w:sz w:val="19"/>
        <w:szCs w:val="19"/>
      </w:rPr>
    </w:pPr>
    <w:r>
      <w:rPr>
        <w:rFonts w:ascii="宋体" w:eastAsia="宋体" w:hAnsi="宋体" w:cs="宋体"/>
        <w:sz w:val="19"/>
        <w:szCs w:val="19"/>
        <w:u w:val="single" w:color="auto"/>
      </w:rPr>
      <w:tab/>
    </w:r>
    <w:r>
      <w:rPr>
        <w:rFonts w:ascii="宋体" w:eastAsia="宋体" w:hAnsi="宋体" w:cs="宋体"/>
        <w:spacing w:val="28"/>
        <w:sz w:val="19"/>
        <w:szCs w:val="19"/>
        <w:u w:val="single" w:color="auto"/>
      </w:rPr>
      <w:t>北京中企慧云科技有限公司拟了解其股东全部权益价值资产评估报</w:t>
    </w:r>
    <w:r>
      <w:rPr>
        <w:rFonts w:ascii="宋体" w:eastAsia="宋体" w:hAnsi="宋体" w:cs="宋体"/>
        <w:spacing w:val="27"/>
        <w:sz w:val="19"/>
        <w:szCs w:val="19"/>
        <w:u w:val="single" w:color="auto"/>
      </w:rPr>
      <w:t xml:space="preserve">告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773"/>
      </w:tabs>
      <w:spacing w:line="174" w:lineRule="auto"/>
      <w:rPr>
        <w:rFonts w:ascii="宋体" w:eastAsia="宋体" w:hAnsi="宋体" w:cs="宋体"/>
        <w:sz w:val="19"/>
        <w:szCs w:val="19"/>
      </w:rPr>
    </w:pPr>
    <w:r>
      <w:rPr>
        <w:rFonts w:ascii="宋体" w:eastAsia="宋体" w:hAnsi="宋体" w:cs="宋体"/>
        <w:sz w:val="19"/>
        <w:szCs w:val="19"/>
        <w:u w:val="single" w:color="auto"/>
      </w:rPr>
      <w:tab/>
    </w:r>
    <w:r>
      <w:rPr>
        <w:rFonts w:ascii="宋体" w:eastAsia="宋体" w:hAnsi="宋体" w:cs="宋体"/>
        <w:spacing w:val="28"/>
        <w:sz w:val="19"/>
        <w:szCs w:val="19"/>
        <w:u w:val="single" w:color="auto"/>
      </w:rPr>
      <w:t>北京中企慧云科技有限公司拟了解其股东全部权益</w:t>
    </w:r>
    <w:r>
      <w:rPr>
        <w:rFonts w:ascii="宋体" w:eastAsia="宋体" w:hAnsi="宋体" w:cs="宋体"/>
        <w:spacing w:val="27"/>
        <w:sz w:val="19"/>
        <w:szCs w:val="19"/>
        <w:u w:val="single" w:color="auto"/>
      </w:rPr>
      <w:t xml:space="preserve">价值资产评估报告       </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545"/>
      </w:tabs>
      <w:spacing w:line="175" w:lineRule="auto"/>
      <w:ind w:left="3"/>
      <w:rPr>
        <w:rFonts w:ascii="宋体" w:eastAsia="宋体" w:hAnsi="宋体" w:cs="宋体"/>
      </w:rPr>
    </w:pPr>
    <w:r>
      <w:rPr>
        <w:rFonts w:ascii="宋体" w:eastAsia="宋体" w:hAnsi="宋体" w:cs="宋体"/>
        <w:sz w:val="21"/>
        <w:szCs w:val="21"/>
        <w:u w:val="single" w:color="auto"/>
      </w:rPr>
      <w:tab/>
    </w:r>
    <w:r>
      <w:rPr>
        <w:rFonts w:ascii="宋体" w:eastAsia="宋体" w:hAnsi="宋体" w:cs="宋体"/>
        <w:spacing w:val="23"/>
        <w:sz w:val="21"/>
        <w:szCs w:val="21"/>
        <w:u w:val="single" w:color="auto"/>
      </w:rPr>
      <w:t xml:space="preserve">北京中企慧云科技有限公司拟了解其股东全部权益价值资产评估报告 </w:t>
    </w:r>
    <w:r>
      <w:rPr>
        <w:rFonts w:ascii="宋体" w:eastAsia="宋体" w:hAnsi="宋体" w:cs="宋体"/>
        <w:spacing w:val="22"/>
        <w:sz w:val="21"/>
        <w:szCs w:val="21"/>
        <w:u w:val="single" w:color="auto"/>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777F7A0A"/>
  </w:rsids>
  <w:docVars>
    <w:docVar w:name="commondata" w:val="eyJoZGlkIjoiMzg5MzIzOGViZDdkODk4MmE0YTVmMDFiMmQzMDNhZDUifQ=="/>
  </w:docVar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lang w:val="en-US" w:eastAsia="en-US" w:bidi="ar-SA"/>
      </w:rPr>
    </w:rPrDefault>
    <w:pPrDefault/>
  </w:docDefaults>
  <w:latentStyles w:defLockedState="0" w:defUIPriority="99" w:defSemiHidden="1" w:defUnhideWhenUsed="1" w:defQFormat="0" w:count="260">
    <w:lsdException w:name="Normal"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rFonts w:ascii="Arial" w:eastAsia="Arial" w:hAnsi="Arial" w:cs="Arial"/>
      <w:snapToGrid w:val="0"/>
      <w:color w:val="000000"/>
      <w:kern w:val="0"/>
      <w:sz w:val="21"/>
      <w:szCs w:val="21"/>
      <w:lang w:val="en-US" w:eastAsia="en-US" w:bidi="ar-SA"/>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BodyText">
    <w:name w:val="Body Text"/>
    <w:basedOn w:val="Normal"/>
    <w:autoRedefine/>
    <w:semiHidden/>
    <w:qFormat/>
    <w:rPr>
      <w:rFonts w:ascii="Arial" w:eastAsia="Arial" w:hAnsi="Arial" w:cs="Arial"/>
      <w:sz w:val="21"/>
      <w:szCs w:val="21"/>
      <w:lang w:val="en-US" w:eastAsia="en-US" w:bidi="ar-SA"/>
    </w:rPr>
  </w:style>
  <w:style w:type="table" w:customStyle="1" w:styleId="TableNormal0">
    <w:name w:val="Table Normal_0"/>
    <w:autoRedefine/>
    <w:semiHidden/>
    <w:unhideWhenUsed/>
    <w:qFormat/>
    <w:tblPr>
      <w:tblCellMar>
        <w:top w:w="0" w:type="dxa"/>
        <w:left w:w="0" w:type="dxa"/>
        <w:bottom w:w="0" w:type="dxa"/>
        <w:right w:w="0" w:type="dxa"/>
      </w:tblCellMar>
    </w:tblPr>
  </w:style>
  <w:style w:type="paragraph" w:customStyle="1" w:styleId="TableText">
    <w:name w:val="Table Text"/>
    <w:basedOn w:val="Normal"/>
    <w:autoRedefine/>
    <w:semiHidden/>
    <w:qFormat/>
    <w:rPr>
      <w:rFonts w:ascii="宋体" w:eastAsia="宋体" w:hAnsi="宋体" w:cs="宋体"/>
      <w:sz w:val="18"/>
      <w:szCs w:val="18"/>
      <w:lang w:val="en-US" w:eastAsia="en-US" w:bidi="ar-SA"/>
    </w:rPr>
  </w:style>
  <w:style w:type="table" w:customStyle="1" w:styleId="TableNormal00">
    <w:name w:val="Table Normal_0_0"/>
    <w:autoRedefine/>
    <w:semiHidden/>
    <w:unhideWhenUsed/>
    <w:qFormat/>
    <w:tblPr>
      <w:tblCellMar>
        <w:top w:w="0" w:type="dxa"/>
        <w:left w:w="0" w:type="dxa"/>
        <w:bottom w:w="0" w:type="dxa"/>
        <w:right w:w="0" w:type="dxa"/>
      </w:tblCellMar>
    </w:tblPr>
  </w:style>
  <w:style w:type="table" w:customStyle="1" w:styleId="TableNormal01">
    <w:name w:val="Table Normal_0_1"/>
    <w:autoRedefine/>
    <w:semiHidden/>
    <w:unhideWhenUsed/>
    <w:qFormat/>
    <w:tblPr>
      <w:tblCellMar>
        <w:top w:w="0" w:type="dxa"/>
        <w:left w:w="0" w:type="dxa"/>
        <w:bottom w:w="0" w:type="dxa"/>
        <w:right w:w="0" w:type="dxa"/>
      </w:tblCellMar>
    </w:tblPr>
  </w:style>
  <w:style w:type="table" w:customStyle="1" w:styleId="TableNormal02">
    <w:name w:val="Table Normal_0_2"/>
    <w:autoRedefine/>
    <w:semiHidden/>
    <w:unhideWhenUsed/>
    <w:qFormat/>
    <w:tblPr>
      <w:tblCellMar>
        <w:top w:w="0" w:type="dxa"/>
        <w:left w:w="0" w:type="dxa"/>
        <w:bottom w:w="0" w:type="dxa"/>
        <w:right w:w="0" w:type="dxa"/>
      </w:tblCellMar>
    </w:tblPr>
  </w:style>
  <w:style w:type="table" w:customStyle="1" w:styleId="TableNormal03">
    <w:name w:val="Table Normal_0_3"/>
    <w:autoRedefine/>
    <w:semiHidden/>
    <w:unhideWhenUsed/>
    <w:qFormat/>
    <w:tblPr>
      <w:tblCellMar>
        <w:top w:w="0" w:type="dxa"/>
        <w:left w:w="0" w:type="dxa"/>
        <w:bottom w:w="0" w:type="dxa"/>
        <w:right w:w="0" w:type="dxa"/>
      </w:tblCellMar>
    </w:tblPr>
  </w:style>
  <w:style w:type="table" w:customStyle="1" w:styleId="TableNormal04">
    <w:name w:val="Table Normal_0_4"/>
    <w:autoRedefine/>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header" Target="header6.xml" /><Relationship Id="rId15" Type="http://schemas.openxmlformats.org/officeDocument/2006/relationships/footer" Target="footer5.xml" /><Relationship Id="rId16" Type="http://schemas.openxmlformats.org/officeDocument/2006/relationships/header" Target="header7.xml" /><Relationship Id="rId17" Type="http://schemas.openxmlformats.org/officeDocument/2006/relationships/footer" Target="footer6.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8.xml" /><Relationship Id="rId22" Type="http://schemas.openxmlformats.org/officeDocument/2006/relationships/header" Target="header10.xml" /><Relationship Id="rId23" Type="http://schemas.openxmlformats.org/officeDocument/2006/relationships/footer" Target="footer9.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header" Target="header12.xml" /><Relationship Id="rId27" Type="http://schemas.openxmlformats.org/officeDocument/2006/relationships/footer" Target="footer11.xml" /><Relationship Id="rId28" Type="http://schemas.openxmlformats.org/officeDocument/2006/relationships/header" Target="header13.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image" Target="media/image10.png" /><Relationship Id="rId31" Type="http://schemas.openxmlformats.org/officeDocument/2006/relationships/header" Target="header14.xml" /><Relationship Id="rId32" Type="http://schemas.openxmlformats.org/officeDocument/2006/relationships/footer" Target="footer13.xml" /><Relationship Id="rId33" Type="http://schemas.openxmlformats.org/officeDocument/2006/relationships/header" Target="header15.xml" /><Relationship Id="rId34" Type="http://schemas.openxmlformats.org/officeDocument/2006/relationships/footer" Target="footer14.xml" /><Relationship Id="rId35" Type="http://schemas.openxmlformats.org/officeDocument/2006/relationships/header" Target="header16.xml" /><Relationship Id="rId36" Type="http://schemas.openxmlformats.org/officeDocument/2006/relationships/footer" Target="footer15.xml" /><Relationship Id="rId37" Type="http://schemas.openxmlformats.org/officeDocument/2006/relationships/header" Target="header17.xml" /><Relationship Id="rId38" Type="http://schemas.openxmlformats.org/officeDocument/2006/relationships/footer" Target="footer16.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9.xml" /><Relationship Id="rId42" Type="http://schemas.openxmlformats.org/officeDocument/2006/relationships/footer" Target="footer18.xml" /><Relationship Id="rId43" Type="http://schemas.openxmlformats.org/officeDocument/2006/relationships/hyperlink" Target="https://d.book118.com/356002043010010052" TargetMode="External" /><Relationship Id="rId44" Type="http://schemas.openxmlformats.org/officeDocument/2006/relationships/header" Target="header20.xml" /><Relationship Id="rId45" Type="http://schemas.openxmlformats.org/officeDocument/2006/relationships/footer" Target="footer19.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header" Target="header3.xml" /><Relationship Id="rId9" Type="http://schemas.openxmlformats.org/officeDocument/2006/relationships/footer" Target="footer2.xml" /></Relationships>
</file>

<file path=word/_rels/footer1.xml.rels><?xml version="1.0" encoding="utf-8" standalone="yes"?><Relationships xmlns="http://schemas.openxmlformats.org/package/2006/relationships"><Relationship Id="rId1" Type="http://schemas.openxmlformats.org/officeDocument/2006/relationships/image" Target="media/image1.jpeg" /></Relationships>
</file>

<file path=word/_rels/footer2.xml.rels><?xml version="1.0" encoding="utf-8" standalone="yes"?><Relationships xmlns="http://schemas.openxmlformats.org/package/2006/relationships"><Relationship Id="rId1" Type="http://schemas.openxmlformats.org/officeDocument/2006/relationships/image" Target="media/image3.jpeg" /></Relationships>
</file>

<file path=word/_rels/footer3.xml.rels><?xml version="1.0" encoding="utf-8" standalone="yes"?><Relationships xmlns="http://schemas.openxmlformats.org/package/2006/relationships"><Relationship Id="rId1" Type="http://schemas.openxmlformats.org/officeDocument/2006/relationships/image" Target="media/image4.jpeg" /></Relationships>
</file>

<file path=word/_rels/footer4.xml.rels><?xml version="1.0" encoding="utf-8" standalone="yes"?><Relationships xmlns="http://schemas.openxmlformats.org/package/2006/relationships"><Relationship Id="rId1" Type="http://schemas.openxmlformats.org/officeDocument/2006/relationships/image" Target="media/image4.jpeg" /></Relationships>
</file>

<file path=word/_rels/footer5.xml.rels><?xml version="1.0" encoding="utf-8" standalone="yes"?><Relationships xmlns="http://schemas.openxmlformats.org/package/2006/relationships"><Relationship Id="rId1" Type="http://schemas.openxmlformats.org/officeDocument/2006/relationships/image" Target="media/image4.jpeg" /></Relationships>
</file>

<file path=word/_rels/footer6.xml.rels><?xml version="1.0" encoding="utf-8" standalone="yes"?><Relationships xmlns="http://schemas.openxmlformats.org/package/2006/relationships"><Relationship Id="rId1" Type="http://schemas.openxmlformats.org/officeDocument/2006/relationships/image" Target="media/image5.png" /></Relationships>
</file>

<file path=word/_rels/footer7.xml.rels><?xml version="1.0" encoding="utf-8" standalone="yes"?><Relationships xmlns="http://schemas.openxmlformats.org/package/2006/relationships"><Relationship Id="rId1" Type="http://schemas.openxmlformats.org/officeDocument/2006/relationships/image" Target="media/image6.jpeg" /></Relationships>
</file>

<file path=word/_rels/footer8.xml.rels><?xml version="1.0" encoding="utf-8" standalone="yes"?><Relationships xmlns="http://schemas.openxmlformats.org/package/2006/relationships"><Relationship Id="rId1" Type="http://schemas.openxmlformats.org/officeDocument/2006/relationships/image" Target="media/image7.jpeg" /></Relationships>
</file>

<file path=word/_rels/footer9.xml.rels><?xml version="1.0" encoding="utf-8" standalone="yes"?><Relationships xmlns="http://schemas.openxmlformats.org/package/2006/relationships"><Relationship Id="rId1" Type="http://schemas.openxmlformats.org/officeDocument/2006/relationships/image" Target="media/image4.jpeg" /></Relationships>
</file>

<file path=word/_rels/footer10.xml.rels><?xml version="1.0" encoding="utf-8" standalone="yes"?><Relationships xmlns="http://schemas.openxmlformats.org/package/2006/relationships"><Relationship Id="rId1" Type="http://schemas.openxmlformats.org/officeDocument/2006/relationships/image" Target="media/image6.jpeg" /></Relationships>
</file>

<file path=word/_rels/footer11.xml.rels><?xml version="1.0" encoding="utf-8" standalone="yes"?><Relationships xmlns="http://schemas.openxmlformats.org/package/2006/relationships"><Relationship Id="rId1" Type="http://schemas.openxmlformats.org/officeDocument/2006/relationships/image" Target="media/image8.png" /></Relationships>
</file>

<file path=word/_rels/footer12.xml.rels><?xml version="1.0" encoding="utf-8" standalone="yes"?><Relationships xmlns="http://schemas.openxmlformats.org/package/2006/relationships"><Relationship Id="rId1" Type="http://schemas.openxmlformats.org/officeDocument/2006/relationships/image" Target="media/image9.jpeg" /></Relationships>
</file>

<file path=word/_rels/footer13.xml.rels><?xml version="1.0" encoding="utf-8" standalone="yes"?><Relationships xmlns="http://schemas.openxmlformats.org/package/2006/relationships"><Relationship Id="rId1" Type="http://schemas.openxmlformats.org/officeDocument/2006/relationships/image" Target="media/image12.png" /></Relationships>
</file>

<file path=word/_rels/footer14.xml.rels><?xml version="1.0" encoding="utf-8" standalone="yes"?><Relationships xmlns="http://schemas.openxmlformats.org/package/2006/relationships"><Relationship Id="rId1" Type="http://schemas.openxmlformats.org/officeDocument/2006/relationships/image" Target="media/image13.png" /></Relationships>
</file>

<file path=word/_rels/footer15.xml.rels><?xml version="1.0" encoding="utf-8" standalone="yes"?><Relationships xmlns="http://schemas.openxmlformats.org/package/2006/relationships"><Relationship Id="rId1" Type="http://schemas.openxmlformats.org/officeDocument/2006/relationships/image" Target="media/image9.jpeg" /></Relationships>
</file>

<file path=word/_rels/footer16.xml.rels><?xml version="1.0" encoding="utf-8" standalone="yes"?><Relationships xmlns="http://schemas.openxmlformats.org/package/2006/relationships"><Relationship Id="rId1" Type="http://schemas.openxmlformats.org/officeDocument/2006/relationships/image" Target="media/image14.png" /></Relationships>
</file>

<file path=word/_rels/footer17.xml.rels><?xml version="1.0" encoding="utf-8" standalone="yes"?><Relationships xmlns="http://schemas.openxmlformats.org/package/2006/relationships"><Relationship Id="rId1" Type="http://schemas.openxmlformats.org/officeDocument/2006/relationships/image" Target="media/image6.jpeg" /></Relationships>
</file>

<file path=word/_rels/footer18.xml.rels><?xml version="1.0" encoding="utf-8" standalone="yes"?><Relationships xmlns="http://schemas.openxmlformats.org/package/2006/relationships"><Relationship Id="rId1" Type="http://schemas.openxmlformats.org/officeDocument/2006/relationships/image" Target="media/image3.jpeg" /></Relationships>
</file>

<file path=word/_rels/header3.xml.rels><?xml version="1.0" encoding="utf-8" standalone="yes"?><Relationships xmlns="http://schemas.openxmlformats.org/package/2006/relationships"><Relationship Id="rId1" Type="http://schemas.openxmlformats.org/officeDocument/2006/relationships/image" Target="media/image2.jpeg" /></Relationships>
</file>

<file path=word/_rels/header14.xml.rels><?xml version="1.0" encoding="utf-8" standalone="yes"?><Relationships xmlns="http://schemas.openxmlformats.org/package/2006/relationships"><Relationship Id="rId1" Type="http://schemas.openxmlformats.org/officeDocument/2006/relationships/image" Target="media/image11.jpe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龙风呈祥</cp:lastModifiedBy>
  <cp:revision>0</cp:revision>
  <dcterms:created xsi:type="dcterms:W3CDTF">2024-02-08T10:42:00Z</dcterms:created>
  <dcterms:modified xsi:type="dcterms:W3CDTF">2024-02-08T02:44:04Z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2024-02-08T10:42:34Z</vt:filetime>
  </property>
  <property fmtid="{D5CDD505-2E9C-101B-9397-08002B2CF9AE}" pid="3" name="CRO">
    <vt:lpwstr>wqlLaW5nc29mdCBQREYgdG8gV1BTIDkw</vt:lpwstr>
  </property>
  <property fmtid="{D5CDD505-2E9C-101B-9397-08002B2CF9AE}" pid="4" name="ICV">
    <vt:lpwstr>564F4F4A97CB4755BCBCC2E2525B37BB_12</vt:lpwstr>
  </property>
  <property fmtid="{D5CDD505-2E9C-101B-9397-08002B2CF9AE}" pid="5" name="KSOProductBuildVer">
    <vt:lpwstr>2052-12.1.0.16250</vt:lpwstr>
  </property>
  <property fmtid="{D5CDD505-2E9C-101B-9397-08002B2CF9AE}" pid="6" name="UsrData">
    <vt:lpwstr>65c43f789d6e4a001f3abc07wl</vt:lpwstr>
  </property>
</Properties>
</file>