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center"/>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一级建造师-公路工程管理与实务-1B410000-公路工程施工技术</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一级建造师-公路工程管理与实务-1B410000-公路工程施工技术</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在竖向荷载作用下，桥跨结构主要受弯，墩（拱）脚处亦有水平反力。</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梁式桥</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拱式桥</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刚架桥</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悬索桥 </w:t>
      </w:r>
      <w:r>
        <w:rPr>
          <w:rFonts w:ascii="宋体" w:eastAsia="宋体" w:hAnsi="宋体" w:cs="宋体" w:hint="eastAsia"/>
          <w:outline w:val="0"/>
          <w:shadow w:val="0"/>
          <w:emboss w:val="0"/>
          <w:imprint w:val="0"/>
          <w:vanish w:val="0"/>
          <w:w w:val="100"/>
          <w:sz w:val="28"/>
          <w:szCs w:val="28"/>
          <w:u w:val="none"/>
          <w:lang w:eastAsia="zh-CN"/>
        </w:rPr>
        <w:t xml:space="preserve">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 刚架</w:t>
      </w:r>
      <w:r>
        <w:rPr>
          <w:rFonts w:ascii="宋体" w:eastAsia="宋体" w:hAnsi="宋体" w:cs="宋体" w:hint="eastAsia"/>
          <w:outline w:val="0"/>
          <w:shadow w:val="0"/>
          <w:emboss w:val="0"/>
          <w:imprint w:val="0"/>
          <w:vanish w:val="0"/>
          <w:w w:val="100"/>
          <w:sz w:val="28"/>
          <w:szCs w:val="28"/>
          <w:u w:val="none"/>
          <w:lang w:eastAsia="zh-CN"/>
        </w:rPr>
        <w:t>（江南博哥）</w:t>
      </w:r>
      <w:r>
        <w:rPr>
          <w:rFonts w:ascii="宋体" w:eastAsia="宋体" w:hAnsi="宋体" w:cs="宋体" w:hint="eastAsia"/>
          <w:outline w:val="0"/>
          <w:shadow w:val="0"/>
          <w:emboss w:val="0"/>
          <w:imprint w:val="0"/>
          <w:vanish w:val="0"/>
          <w:w w:val="100"/>
          <w:sz w:val="28"/>
          <w:szCs w:val="28"/>
          <w:u w:val="none"/>
        </w:rPr>
        <w:t>桥在竖向荷载作用下，桥跨结构主要受弯，墩（拱）脚处亦有水平反力。考生要</w:t>
      </w:r>
      <w:r>
        <w:rPr>
          <w:rFonts w:ascii="宋体" w:eastAsia="宋体" w:hAnsi="宋体" w:cs="宋体" w:hint="eastAsia"/>
          <w:outline w:val="0"/>
          <w:shadow w:val="0"/>
          <w:emboss w:val="0"/>
          <w:imprint w:val="0"/>
          <w:vanish w:val="0"/>
          <w:w w:val="100"/>
          <w:sz w:val="28"/>
          <w:szCs w:val="28"/>
          <w:u w:val="none"/>
          <w:lang w:eastAsia="zh-CN"/>
        </w:rPr>
        <w:t>（江南博哥）</w:t>
      </w:r>
      <w:r>
        <w:rPr>
          <w:rFonts w:ascii="宋体" w:eastAsia="宋体" w:hAnsi="宋体" w:cs="宋体" w:hint="eastAsia"/>
          <w:outline w:val="0"/>
          <w:shadow w:val="0"/>
          <w:emboss w:val="0"/>
          <w:imprint w:val="0"/>
          <w:vanish w:val="0"/>
          <w:w w:val="100"/>
          <w:sz w:val="28"/>
          <w:szCs w:val="28"/>
          <w:u w:val="none"/>
        </w:rPr>
        <w:t>注意其他桥结构的受力特点。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划分沥青混合料是否属于粗粒式沥青混合料的指标是(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A.组成结构</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矿料级配</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矿料最大粒径</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矿料最小粒径</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本考点可以按照下列表格记忆，同时还要注意其它分类方式:</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IMG_256" style="width:453.6pt;height:117pt" coordsize="21600,21600" o:preferrelative="t" filled="f" stroked="f">
            <v:imagedata r:id="rId4" r:href="rId5" o:title="IMG_256"/>
            <o:lock v:ext="edit" aspectratio="t"/>
            <w10:anchorlock/>
          </v:shape>
        </w:pic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下列属于“监控系统子系统”的是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 交通信号监控系统</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 xml:space="preserve"> 视频监视系统</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 xml:space="preserve"> 超限管理系统</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 火灾报警系统 E. 隧道通风控制系统</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ABDE</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pgSz w:w="11906" w:h="16839"/>
          <w:pgMar w:top="1440" w:right="1080" w:bottom="1440" w:left="1080" w:header="851" w:footer="992" w:gutter="0"/>
          <w:cols w:num="1" w:space="0"/>
        </w:sectPr>
      </w:pPr>
      <w:r>
        <w:rPr>
          <w:rFonts w:ascii="宋体" w:eastAsia="宋体" w:hAnsi="宋体" w:cs="宋体" w:hint="eastAsia"/>
          <w:outline w:val="0"/>
          <w:shadow w:val="0"/>
          <w:emboss w:val="0"/>
          <w:imprint w:val="0"/>
          <w:vanish w:val="0"/>
          <w:w w:val="100"/>
          <w:sz w:val="28"/>
          <w:szCs w:val="28"/>
          <w:u w:val="none"/>
        </w:rPr>
        <w:t>监控系统按其功能可分为九个子系统：（交视急火风 照度电广）</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pict>
          <v:shape id="_x0000_i1027" type="#_x0000_t75" alt="IMG_257" style="width:453.6pt;height:336.75pt" coordsize="21600,21600" o:preferrelative="t" filled="f" stroked="f">
            <v:imagedata r:id="rId6" r:href="rId7" o:title="IMG_257"/>
            <o:lock v:ext="edit" aspectratio="t"/>
            <w10:anchorlock/>
          </v:shape>
        </w:pic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SMA路面施工时，宜采用( )进行碾压</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胶轮压路机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 xml:space="preserve"> 组合式压路机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振动压路机以低频率高振幅</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振动压路机以高频率低振幅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 本考点还要注意以下几个要点:(1)SMA混合料内部含有大量沥青玛碲脂胶浆，黏度大，温度低时很难压实，因而确保摊铺碾压温度尤为重要。 (2)SMA的碾压遵循“紧跟、慢压、高频、低幅”的原则。SMA面层施工切忌使用胶轮压路机或组合式压路机。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半刚性基层包括(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级配碎石</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水泥稳定土</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石灰工业废渣稳定土</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石灰稳定土 E.沥青碎石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2"/>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BCD</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 xml:space="preserve"> 本考点还要注意各层特性：1.水泥稳定土：适用于各级公路的基层和底基层，但水泥稳定细粒土不能用做二级和二级以上公路高级路面的基层；</w:t>
      </w:r>
      <w:r>
        <w:rPr>
          <w:rFonts w:ascii="宋体" w:eastAsia="宋体" w:hAnsi="宋体" w:cs="宋体" w:hint="eastAsia"/>
          <w:outline w:val="0"/>
          <w:shadow w:val="0"/>
          <w:emboss w:val="0"/>
          <w:imprint w:val="0"/>
          <w:vanish w:val="0"/>
          <w:w w:val="100"/>
          <w:sz w:val="28"/>
          <w:szCs w:val="28"/>
          <w:u w:val="none"/>
        </w:rPr>
        <w:t xml:space="preserve"> 2.石灰稳定土：适用于各级公路的底基层，以及二级和二级以下公路的基层，但石灰土不得用做二级公路的基层和二级以下公路高级路面的基层；</w:t>
      </w:r>
      <w:r>
        <w:rPr>
          <w:rFonts w:ascii="宋体" w:eastAsia="宋体" w:hAnsi="宋体" w:cs="宋体" w:hint="eastAsia"/>
          <w:outline w:val="0"/>
          <w:shadow w:val="0"/>
          <w:emboss w:val="0"/>
          <w:imprint w:val="0"/>
          <w:vanish w:val="0"/>
          <w:w w:val="100"/>
          <w:sz w:val="28"/>
          <w:szCs w:val="28"/>
          <w:u w:val="none"/>
        </w:rPr>
        <w:t xml:space="preserve"> 3.石灰工业废渣稳定土：可分为石灰粉煤灰类与石灰其他废渣类两大类。除粉煤灰外，可利用的工业废渣包括煤渣、高炉矿渣、钢渣等。适用于各级公路的基层和底基层，但二灰，二灰土和二灰砂不应做二级和二级以上公路高级路面的基层。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不属于沥青玛碲脂碎石优点的是(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耐磨性好</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接缝处理方便</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减少低温开裂</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耐久性好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沥青玛碲脂碎石SMA，是一种以沥青、矿粉及纤维稳定剂组成的沥青玛碲脂结合料，填于间断级配的矿料骨架中，形成沥青混合料。具有抗滑耐磨、密实耐久、抗疲劳、抗车辙、减少低温开裂的优点，在高速公路、一级公路做抗滑表层使用。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采用预裂爆破法施工隧道时，其分区起爆顺序为</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底板眼→辅助眼→掏槽眼→周边眼</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辅助眼→掏槽眼→周边眼→底板眼</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掏槽眼→周边眼→底板眼→辅助眼</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周边眼→掏槽眼→辅助眼→底板眼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 考生要同时掌握各种隧道施工方法的特点。采用预裂爆破法施工隧道时，其分区起爆顺序为周边眼→掏槽眼→辅助眼→底板眼。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大体积混凝土进行温度控制时，内表温差不大于</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20</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25</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30</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35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本考点还要注意：大体积混凝土进行温度控制时，内部最高温度不大于75℃，冬期混凝土入模温度不低于5℃，热期混凝土入模温度不高于28℃。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大体积混凝土施工中，为防止混凝土开裂，可采取的做法有</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采用低水化热品种的水泥</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适当增加水泥用量?</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3"/>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降低混凝土入仓温度???</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在混凝土结构中布设冷却水管，终凝后通水降温 E.一次连续浇筑完成，掺入质量符合要求的速凝剂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ACD B错，要降低水泥用量；E错，要加入缓凝剂。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导致水泥混凝土路面产生横向裂缝的原因包括</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 A．混凝土路面板板厚不足</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切缝深度过深</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养护不及时</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切缝不及时 E 切缝方向不对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ACD 考生要同时掌握多选或者案例。B选项应为切缝不及时。考生要熟练掌握，同时要注意案例的一小问。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垫层的作用是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排水</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隔水</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防滑</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防冻 E.防污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ABDE 垫层起排水、隔水、防冻、防污等作用。本考点还要注意1.沥青路面结构层可由面层、基层、底基层、垫层组成；2.面层是直接承受车轮荷载反复作用和自然因素影响的结构层。要求设置抗滑、耐磨、密实稳定的沥青层；3.基层是起主要承重作用的层次；4.底基层是起次要承重作用的层次。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垫层是设置在( )之间的结构层。</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底基层与基层</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底基层与土基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上底基层与下底基层</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面层与基层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本考点还要注意以下几个要点: 垫层是设置在底基层与土基之间的结构层。垫层起排水、隔水、防冻、防污等作用。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对模板、支架和拱架拆除的技术要求，描述正确的是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模板拆除应按先支先拆，后支后拆的顺序，拆时严禁抛扔</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墩、台模板宜在其上部结构施工前拆除</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卸落支架和拱架应在纵向应对称均衡卸落，在横向应同时一起卸落</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卸落支架应按拟定的卸落程序进行，分几个循环卸完，卸落量开始宜小，以后逐渐增大 E.应在支架和拱架适当部位设置相应的木楔、木马、砂筒或千斤顶等落模设备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4"/>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BCDE</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 xml:space="preserve"> 模板拆除应按设计的顺序进行,应遵循先支后拆，后支先拆的顺序。墩、台模板宜在其上部结构施工前拆除；卸落支架和拱架应在纵向应对称均衡卸落，在横向应同时一起卸落；卸落支架应按拟定的卸落程序进行，分几个循环卸完，卸落量开始宜小，以后逐渐增大；应在支架和拱架适当部位设置相应的木楔、木马、砂筒或千斤顶等落模设备。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对斜拉桥的受力特点描述正确的选项是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主梁多点弹性支承、高跨比小，自重轻，提高跨径</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配筋要考虑正负两种弯矩的要求</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斜拉索的变形非线性，一般采用挠度理论或变形理论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斜拉索的垂直分力相当于混凝土的预压力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斜拉桥的受力特点（1）斜拉索充分发挥抵抗负弯矩的能力，节约钢材；（2）斜拉索的水平分力相当于混凝土的预压力；（3）主梁多点弹性支承，高跨比小，自重轻，提高跨径。（4）悬索桥中的主缆变形非线性。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对于土质渗透性较大、挖掘较深的基坑，可采用的基坑排水方法有</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集水坑排水法</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井点排水法</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板桩法</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沉井法 E.帷幕法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CD 集水坑排水法：除严重流沙外，一般情况下均可适用。井点排水法：当土质较差有严重流沙现象，地下水位较高，挖基较深，坑壁不易稳定，用普通排水方法难以解决时，可采用井点排水法。其他排水法：对于土质渗透性较大、挖掘较深的基坑，可采用的基坑排水方法有板桩法或沉井法。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对于先简支后连续的施工方法，为使临时支座便于卸落，可在橡胶支座与混凝土垫块之间设置一层</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水泥砂浆</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环氧树脂</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水泥净浆</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硫磺砂浆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 为使临时支座便于卸落，可在橡胶支座与混凝土垫块之间设置一层硫磺砂浆，硫磺砂浆在内部电阻丝加热后，会融化，以便于临时支座卸落。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二级公路的基层和二级以下公路高级路面的基层不得使用(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 xml:space="preserve"> 水泥稳定未筛分碎石</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 xml:space="preserve"> 石灰土</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5"/>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 xml:space="preserve"> 水泥稳定碎石土</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 二灰砾石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本考点还要注意以下几个要点:石灰稳定土适用于各级公路的底基层,以及二级和二级以下公路的基层,但石灰土不得用做二级公路的基层和二级以下公路高级路面的基层。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防眩设施的主要作用是避免对向车灯造成的</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，保证夜间行车安全。</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 xml:space="preserve"> 闪光</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 xml:space="preserve"> 眩光</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 xml:space="preserve"> 对射光</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 强光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防眩设施的主要作用是避免对向车灯造成的眩光，保证夜间行车安全。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符合级配、塑性指数等技术要求的天然砂砾，可用作( )公路的基层。</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一级和一级以下</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二级和二级以下</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三级和三级以下</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四级和四级以下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本考点还要注意以下几个要点：1.级配碎石可用于各级公路的基层和底基层。2.级配砾石、级配碎砾石以及符合级配、塑性指数等技术要求的天然砂砾，可适用于轻交通的二级和二级以下公路的基层以及各级公路的底基层。3.填隙碎石可用于各等级公路的底基层和二级以下公路的基层。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复合式衬砌中防水层的施工，应在（　 ）进行。</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围岩和初期支护变形基本稳定后，隧道二次衬砌前</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喷射砼达到龄期后</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围岩和锚杆支护施工后马上</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喷射砼达到设计强度后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复合式衬砌中防水层的施工，应在围岩和初期支护变形基本稳定后，隧道二次衬砌前进行。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刚架桥是介于梁与拱之间的一种结构体系，它是由</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的上部梁（或板）结构与承压的下部柱（或墩）整体结合在一起的结构。</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抗弯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抗拉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抗剪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抗扭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6"/>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 本考点还要注意以下几个要点：刚架桥：刚架桥是介于梁与拱之间的一种结构体系，它是由受弯的上部梁（或板）结构与承压的下部柱（或墩）整体结合在一起的结构。由于梁与柱的刚性连接，梁因柱的抗弯刚度而得到卸载作用，整个体系是压弯结构，也是有推力的结构。刚架桥的桥下净空比拱桥大，在同样净空要求下可修建较小的跨径。刚架桥施工较复杂，一般用于跨径不大的城市桥或公路高架桥和立交桥</w:t>
      </w:r>
      <w:r>
        <w:rPr>
          <w:rFonts w:ascii="宋体" w:eastAsia="宋体" w:hAnsi="宋体" w:cs="宋体" w:hint="eastAsia"/>
          <w:outline w:val="0"/>
          <w:shadow w:val="0"/>
          <w:emboss w:val="0"/>
          <w:imprint w:val="0"/>
          <w:vanish w:val="0"/>
          <w:w w:val="100"/>
          <w:sz w:val="28"/>
          <w:szCs w:val="28"/>
          <w:u w:val="none"/>
        </w:rPr>
        <w:t>。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高速公路计重收费系统设置的低速/静态轴重检测系统主要由称重仪及(　 )等组成。</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车辆检测器</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称重数据采集处理器</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轮胎识别器</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车道报警器 E.红外线车辆分离器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BCE 高速公路计重收费系统设置的低速/静态轴重检测系统主要由称重仪及称重数据采集处理器、轮胎识别器、红外线车辆分离器等组成。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 xml:space="preserve">高速公路交通安全设施除了交通标志、标线外，还包括( )。 A．里程碑、公路界碑 B．防撞设施、隔离栅 C．视线诱导设施 D．可变信息标志 E．桥梁防抛网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ABCE 高速公路交通安全设施外包括交通标志、标线、防撞设施、隔离栅、视线诱导设施、桥梁防抛网、里程碑、公路界碑。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 xml:space="preserve">高速公路联网收费系统中推荐采用的通行券有一次性纸质磁性券，一次性纸质二维条形码券和（ 　）三种。 A．信用卡 B．接触式磁卡 C．非接触式 IC 卡 D．接触式 IC 卡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 本考点还要注意可能出多选。高速公路联网收费系统中推荐采用的通行券有一次性纸质磁性券，一次性纸质二维条形码券和非接触式 IC 卡三种。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 xml:space="preserve">高速公路收费系统中，收费站、路段分中心、省结算中心计算机系统各自构成一个（ 　）。 A．局域网　　 B．视频会议　　 C．中心系统　　 D．办公场所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本考点还要注意可能出多选。高速公路收费系统中，收费站、路段分中心、省结算中心计算机系统各自构成一个局域网。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高速公路中线放样主要依据的设计表格是（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路基设计表</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水准点表</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7"/>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交点固定表</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逐桩坐标表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 按照《路基施工规范》规定：高速公路、一级公路中线放样宜采用坐标法进行测量放样。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公路电子不停车收费系统（ETC）主要由车载单元、</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 xml:space="preserve">单元、数据处理单元组成。 A．路侧广播　　　 B．有线通信　　 C．路侧通信　　　D．视频通信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 本考点还要注意可能出多选。公路电子不停车收费系统（ETC）主要由车载单元、路侧通信单元、数据处理单元组成。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公路工程施工沿路线每500m宜有一个水准点 ,且在（ 　）宜增设水准点。</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 xml:space="preserve"> 结构物附近</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 xml:space="preserve"> 高填深挖路段</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 xml:space="preserve"> 平缓地区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 工程量集中 E. 地形复杂路段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ABDE 公路工程施工沿路线每500m宜有一个水准点。在结构物附近、高填深挖路段、工程量集中及地形复杂路段，宜增设水准点。临时水准点应符合相应等级的精度要求，并与相邻水准点闭合。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 xml:space="preserve">公路照明系统具有为收费、监控、通信、服务设施及运营管理提供正常运行及维护管理必要的工作照明和应急照明、保证行车安全、减少交通事故等功能，但是不宜有( )功能。 A．随白天、黑夜照度变化对照明进行调节控制 B．对不同场所、不同设施的要求能分回路进行分合控制 C．直接启动柴油发电机组维持供电 D．短路、过载保护等保证照明系统正常工作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 公路照明系统具有为收费、监控、通信、服务设施及运营管理提供正常运行及维护管理必要的工作照明和应急照明、保证行车安全、减少交通事故等功能，随白天、黑夜照度变化对照明进行调节控制，对不同场所、不同设施的要求能分回路进行分合控制，短路、过载保护等保证照明系统正常工作。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关于交通标志施工安装的说法，错误的是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在挖方路段的门架式标志基础与主体相关设施冲突时，只能调整标志设置的方案</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在加工标志的支撑结构时，应保证钻孔、焊接等加工在钢材镀锌前完成</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标志支撑结构的架设应在基础混凝土强度达到要求后进行</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门架标志结构整个安装过程应以高空吊车为工具，不允许施工人员在门架的横梁上作业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8"/>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 如果遇到门架式标志、双柱式标志设置在挖方路段，由于标志基础与主体相关设施(如排水沟、护面墙等)冲突，则应提出对主体相关设施的调整、修缮方案，或提出对标志设置的调整方案(如加长门架横梁或移动标志位置)。在加工标志的支撑结构时，应保证钻孔、焊接等加工在钢材镀锌前完成。标志支撑结构的架设应在基础混凝土强度达到要求后进行。门架标志结构整个安装过程应以高空吊车为工具，不允许施工人员在门架的横梁上作业</w:t>
      </w:r>
      <w:r>
        <w:rPr>
          <w:rFonts w:ascii="宋体" w:eastAsia="宋体" w:hAnsi="宋体" w:cs="宋体" w:hint="eastAsia"/>
          <w:outline w:val="0"/>
          <w:shadow w:val="0"/>
          <w:emboss w:val="0"/>
          <w:imprint w:val="0"/>
          <w:vanish w:val="0"/>
          <w:w w:val="100"/>
          <w:sz w:val="28"/>
          <w:szCs w:val="28"/>
          <w:u w:val="none"/>
        </w:rPr>
        <w:t>。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关于排水降噪路面的说法，正确的是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 A．磨耗层采用SMA沥青混合料</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上面层采用OGFC沥青混合料</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中面层采用间断级配沥青混合料</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底面层采用间断级配沥青混合料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本题还要注意其他结构类型的特点,熟练掌握OGFC 和SMA 的特性。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关于抛石挤淤施工说法中,错误的是(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该方法适用于常年积水的洼地,排水困难的地方</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该方法适用于淤积处表层元硬壳,片石能沉达底部的泥沼地</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抛投片石的大小由泥炭或软土的稠度确定</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抛投顺序一般情况下应先从路堤两侧向中间进行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 D错，抛投顺序一般情况下应先从中间向路堤两侧进行。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关于暑期浇筑大体积混凝土的说法，不正确的有</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选用水化低热的水泥</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混凝土浇筑应在中午时段进行</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采用分层浇筑</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在混凝土内埋设冷却水管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混凝土浇筑时要分层，分层厚度要根据振捣器的功率确定，要满足技术规范的要求。大体积混凝土的施工除遵照一般混凝土的要求外，施工时还应注意以下几点:(1)水泥:选用水化热低，初凝时间长的矿渣水泥，并控制水泥用量，一般控制在300kg/m3以下。(2)砂、石:砂选用中、粗砂，石子选用粒径0.5～3.2cm的碎石和卵石。夏季砂、石料堆可设简易遮阳棚，必要时可向骨料喷水降温。(3)外加剂:可选用复合型外加剂和粉煤灰以减少绝对用水量和水泥用量，延缓凝结时间。(4)按设计要求敷设冷却水管，冷却水管应固定好。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关于土石路堤填筑要求的说法，错误的是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土石路堤不得倾填</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压实后透水性差异大的土石混合材料，宜纵向分幅填筑</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压实机械宜采用自重不小于18t的振动压路机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9"/>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中硬、硬质石料的土石路堤应进行边坡码砌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本考点注意多选。B错，不宜纵向分幅填筑。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关于先张法预应力钢筋张拉施工的说法，错误的是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多根钢筋张拉时，其初应力要保持一致</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张拉程序一般为：0→初应力→1.05σcon(持荷)→0.9σcon→σcon（锚固）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张拉力方向与预应力钢材在一条直线上</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同一构件内断筋数量不得超过1%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本题用排除法。张拉程序一般为：0→初应力→1.05σcon(持荷2min)→0.9σcon→σcon（锚固）。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关于应力钢绞线进场检测验收的说法，正确的是(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每批进行拉力和冷弯试验 B每批进行抗拉强度和弯曲试验</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每批进行长度与直径偏差及力学性能试验</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每批进行表面质量、直径偏差和力学性能试验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 本考点注意还可能出钢绞线进场检测的分类多选。钢绞线进场检测每批包括进行表面质量、直径偏差和力学性能试验。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关于雨期开挖路堑的说法，正确的是(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 xml:space="preserve"> 挖方边坡宜一次挖到设计标高</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 xml:space="preserve"> 炮眼应尽量水平布置</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 xml:space="preserve"> 边坡应按设计坡度自下而上层层削坡</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 土质路堑挖至离设计标高 20cm时应停止开挖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挖方边坡不宜一次挖到设计标高；边坡应按设计坡度自上而下层层削坡；土质路堑挖至设计标高 30～50cm时应停止开挖。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后张法张拉时，封锚混凝土强度应符合要求，设计无要求时，不应低于设计强度等级值的</w:t>
      </w:r>
      <w:r>
        <w:rPr>
          <w:rFonts w:ascii="宋体" w:eastAsia="宋体" w:hAnsi="宋体" w:cs="宋体" w:hint="eastAsia"/>
          <w:outline w:val="0"/>
          <w:shadow w:val="0"/>
          <w:emboss w:val="0"/>
          <w:imprint w:val="0"/>
          <w:vanish w:val="0"/>
          <w:w w:val="100"/>
          <w:sz w:val="28"/>
          <w:szCs w:val="28"/>
          <w:u w:val="none"/>
          <w:lang w:eastAsia="zh-CN"/>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 xml:space="preserve"> 75％</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 xml:space="preserve"> 70%</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 xml:space="preserve"> 80%</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 90%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 后张法张拉时，封锚混凝土强度应符合要求，设计无要求时，不应低于设计强度等级值的80%。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滑模机械铺筑水泥混凝土面层的优点有(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设备投入少</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0"/>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质量高</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轨模板安装劳动强度大</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施工速度快 E.可以倒车反复做路面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BD 滑模机械铺筑水泥混凝土面层的优点有质量高 、施工速度快。本考点还要注意：滑模摊铺工艺宜用于高速、一级、二级公路普通水泥混凝土面层、配筋混凝土面层、纤维混凝土面层、钢筋混凝土面层、隧道混凝土面层、混凝土路缘石、路肩石及护栏等滑模施工。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滑坡施工中正确的有</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宜在旱季施工</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土质较好时可以爆破减载</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将上积土体加重</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滑坡体未处置前，严禁滑坡前缘减载 E.应封闭滑坡体上的裂缝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ADE 本考点用排除法。B错，不可以爆破减载、超挖乱挖；C错，要将上积土体减重。本考点还要注意：滑坡防治的工程措施主要有排水、力学平衡和改变滑带土三类。（一）排除降水及地下水 ； （二）改善土的工程性质； （三）将上积土体减重，加重底脚处，当挖方路基上边坡发生的滑坡不大时，可采用刷方减重，反压坡脚的方法来防治滑坡；（四）选择干旱的施工季节，集中力量突击滑坡施工段；（五）修筑支挡工程。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基层的裂缝及老路面上原先的裂缝会在新铺沥青面层上相同位置出现</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龟裂</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缩缝</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反射裂缝</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胀缝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 基层的裂缝及老路面上原先的裂缝会在新铺沥青面层上相同位置出现反射裂缝。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基坑开挖过程中，坑顶边缘应有一定的距离作护道，堆载距坑缘不小于( )m。</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 xml:space="preserve"> 1.5m</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0.8m</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 xml:space="preserve"> 2.0m</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1.0m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 基坑开挖过程中，坑顶边缘应有一定的距离作护道，堆载距坑缘不小于1.0m。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交通安全设施中的视线诱导设施主要包括线形诱导标、轮廓标和( )等。</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指示标志</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1"/>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限速标志</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禁令标志</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分合流标志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 本考点还要注意可能出多选。交通安全设施中的视线诱导设施主要包括线形诱导标、轮廓标和分合流标志等。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交通安全设施主要包括</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等。</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 xml:space="preserve"> 交通标志、交通标线</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 xml:space="preserve"> 防撞设施、隔离栅、视线诱导设施、防眩设施</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 xml:space="preserve"> 可变情报板</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 桥梁防抛网 E. 里程标、百米标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ABDE 交通安全设施主要包括交通标志、交通标线、防撞设施、隔离栅、视线诱导设施、防眩设施、桥梁防抛网、里程标、百米标等。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交通标线的主要作用是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交通。</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诱导和指示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 xml:space="preserve"> 管制和引导</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 xml:space="preserve"> 提示和诱导、指示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 诱导和警告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交通标线的主要作用是管制和引导交通。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 xml:space="preserve">交通标线是由标划于路面上的各种线条、箭头、文字、立面标记和（ 　）等构成的。 A．分合流标志　　 B．线形诱导标　　 C．轮廓标　　 D．突起路标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 本考点还要注意可能出多选。交通标线是由标划于路面上的各种线条、箭头、文字、立面标记和突起路标等构成的。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交通标志是用</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向交通参与者传递特定信息，用于管理交通的设施，主要起到提示、诱导、指示等作用。</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 xml:space="preserve"> 图形符号、颜色和文字</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 xml:space="preserve"> 图形符号、文字</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 xml:space="preserve"> 图形符号、颜色</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 图形符号、颜色和凸起路标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交通标志是用图形符号、颜色、形状和文字向交通参与者传递特定信息，用于管理交通的设施，主要起到提示、诱导、指示等作用。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交通标志是用图形符号、颜色和文字向交通参与者传递特定信息，用于管理交通的设施，主要起到</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等作用。</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诱导、指示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2"/>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 xml:space="preserve"> 提示、诱导、警告</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 xml:space="preserve"> 提示、诱导、指示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 提示、诱导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 本考点还要注意以下几个要点： 交通标志是用图形符号、颜色和文字向交通参与者传递特定信息，用于管理交通的设施，主要起到提示、诱导、指示等作用。它主要包括警告标志、禁令标志、指示标志、指路标志、旅游区标志、道路施工安全标志等主标志以及附设在主标志下的辅助标志。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交通标志主要包括</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 xml:space="preserve"> 警告标志</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 xml:space="preserve"> 禁令标志</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 xml:space="preserve"> 指示标志</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 道路施工安全标志 E. 分合流标志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ABCD 交通标志主要包括警告标志、禁令标志、指示标志、道路施工安全标志、指路标志、旅游区标志、作业区标志等。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交通监控系统进行交通控制的主要方法不包括(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主线控制</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区域控制</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匝道控制</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支线控制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 本考点还要注意可能出多选。交通监控系统进行交通控制的主要方法包括主线控制、区域控制、匝道控制。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连续刚构都是由</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相结合的体系，它是预应力混凝土结构采用悬臂施工法而发展起来的一种新体系。</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梁和刚架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梁和梁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刚架和刚架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梁和桁架杆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连续刚构由梁和刚架相结合的体系，它是预应力混凝土结构采用悬臂施工法而发展起来的一种新体系。考点还要注意以下几个要点：梁、拱组合体系，这类体系中有系杆拱、桁架拱、多跨拱梁结构等。它们利用梁的受弯与拱的承压特点组成联合结构。斜拉桥是由承压的塔、受拉的索与承弯的梁体组合起来的一种结构体系。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流沙地段隧道施工，隧道结构应采用有</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的封闭式衬砌。</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锚喷砼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3"/>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先拱后墙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先墙后拱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抑拱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 流沙地段隧道施工，隧道结构应采用有抑拱的封闭式衬砌。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路拌法水泥稳定土基层施工加水湿拌时采用</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人工洒水</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机械洒水</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喷管式洒水车</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普通洒水车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 本考点注意排除D选项，同时要掌握施工机械。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路堤施工前，应先修筑试验路段，确定的参数应符合</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孔隙率标准</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最大压实干密度</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最小强度</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最大粒径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本考点注意多选, 同时要掌握路床确定的参数(最大压实干密度)。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路堤填料选择时，下列哪些填料不得直接作为路基填料</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巨粒土</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膨胀岩石</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崩解性岩石</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砂土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 本考点注意多选。膨胀岩石、易溶性岩石不宜直接作为路基填料；强风化石料、崩解性岩石不得直接作为路基填料。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 xml:space="preserve">路基工程施工综合排水设计的作用是( ) A．解决某些重点路段的排水问题 B．降低地下水位 C．提高排水的效果 D．蒸发路基范围内各类水 E．发挥各类排水设备的优点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ACE 路基工程施工综合排水设计的作用是解决某些重点路段的排水问题、提高排水的效果、发挥各类排水设备的优点。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路基施工技术准备工作的内容不包括</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现场调查核对</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复测与放样</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试验及试验段施工</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4"/>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资金筹备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 本考点还要注意以下几个要点：路基施工技术准备工作的内容包括熟悉设计文件、现场调查核对、设计交桩、复测与放样、试验及试验段施工等。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路基施工试验路段应选择在地质条件、断面形式等工程特点具有代表性的地段，下列情况应进行试验路段施工（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二级及以上公路路堤</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填石、土石路堤</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路堤边坡易失稳段</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拟采用新技术、新工艺、新材料的路基 E.特殊填料路堤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ABDE 试验路段应选择在地质条件、断面形式等工程特点具有代表性的地段，路段长度不宜小于100米。下列情况应进行试验路段施工：二级及以上公路路堤；填石、土石路堤；拟采用新技术、新工艺、新材料的路基；特殊填料路堤；特殊地段路堤。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路基压实度的现场测定方法不包括</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重型击实法</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灌砂法</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环刀法</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核子密度湿度仪法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本题用排除法，重型击实法是特殊路基的处理方法。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煤矸石、高炉矿渣、钢渣用于修筑基层或底基层之前应崩解稳定，为评价混合料性能，宜采用的试验有</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强度试验</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模量试验</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级配试验</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温度收缩试验 E.干湿收缩试验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ABDE 煤矸石、煤渣、高炉矿渣、钢渣及其他冶金矿渣等工业废渣可用于修筑基层或底 基层，使用前应崩解稳定，且宜通过不同龄期条件下的强度和模量试验以及温度收缩和干湿收缩试验等评价混合料性能。水泥稳定煤矸石不宜用于高速公路和一级公路。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某二级公路，采用级配碎石路拌法施工，拌合可采用的机械</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稳定土拌和机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平地机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多铧犁</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5"/>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缺口圆盘耙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本考点还要注意以下几个要点:对于二级及二级以上公路，应采用稳定土拌和机拌合级配碎石。对于二级以下的公路,在无稳定土拌和机的情况下,可采用平地机或多铧犁与缺口圆盘耙相配合进行拌合,用稳定土拌和机应拌合两遍以上,拌合深度应直到级配碎石层底。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某二级公路，其中一段路堤通过湖塘一角，长度51m，该路段地基软土厚度0.5m左右，用</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进行软土处理较合适。</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排水砂垫层</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抛石挤淤</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土工织物铺垫</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反压护道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本考点还要注意以下几个要点：抛投顺序，应先从路堤中部开始，中部向前突进后再渐次向两侧扩展。片石露出水面后，宜用重型压路机反复碾压，然后在其上面铺反滤层，再行填土。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某二级公路改造工程中的K1+000～K1+200段路堤右侧坡脚处受河水浸泡，在洪水作用下，旧路坡脚垮塌，急需抢修，对此最宜选用的路基防护是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喷射混凝土封面</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干砌片石护坡</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抛石防护</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护面墙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 抛石防护用于经常浸水且水深较大的路基边坡或坡脚以及挡土墙、护坡的基础防护。抛石一般多用于抢修工程。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某海湾滩涂地区，软土层厚度达到12米，土体加固方法最好采用（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加固土法</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粒料桩法</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刚性桩</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爆炸挤淤法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 爆炸挤淤法适用于处理海湾滩涂等淤泥和淤泥质土基。处理厚度不宜大于15米。起爆前必须在起爆点外布设警戒线，警戒距离不得小于300米。爆炸前后抛填横断面测量间距不得大于20米。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某桥墩基础位于水下，围堰施工困难，表层地基土容许承载力不足，持力层位于地面以下7～8m，且竖向和横向荷载均大，则该桥宜选用</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片石混凝土扩大基础</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柔性扩大基础</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6"/>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挖孔灌柱桩基础</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沉井基础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 当桥梁结构上部荷载较大，而表层地基土的容许承载力不足，但在一定深度下有好的持力层，扩大基础开挖工作量大，施工围堰支撑有困难，或采用桩基础受水文地质条件限制时，此时采用沉井基础与其他深基础相比，经济上较为合理。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某桥梁桥跨布置为9×30m，桥下地形起伏变化较大，墩身较高，该桥预制吊装施工不宜选用( )架设法。</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简易型钢导梁</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联合架桥机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双导梁架桥机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跨墩龙门架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 本题用排除法，跨墩龙门架适用条件为：无水或浅水河滩，地形相对平坦、孔数较多的中型梁板的安装情况，且墩身不能太高。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某桥桥面施工完毕后，拆除支架的顺序应该是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自上而下进行，先拆除承重部分，后拆除非承重部分</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自下而上进行，先拆除非承重部分，后拆除承重部分</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自下而上进行，先拆除承重部分，后拆除非承重部分</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自上而下进行，先拆除非承重部分，后拆除承重部分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 桥面施工完毕后，拆除支架的顺序应该是自上而下进行，先拆除非承重部分，后拆除承重部分。这也是拆除工程通常的施工顺序。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某软岩路堑路段缺乏合格石料，该路堑最适合修建的挡土墙是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加筋挡土墙</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锚杆挡土墙</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浆砌块石衡重式挡土墙</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护壁式挡土墙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锚杆挡土墙适用于缺乏石料的地区和挖基困难的地段，一般用于岩质路堑路段，但其他具有锚固条件的路堑墙也可使用，还可应用于陡坡路堤。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某项目部一次进场80套锚具，至少应取</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套做外观检查。</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3</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5</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8</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10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7"/>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 锚具外观检查每批抽2%，且不少于10套。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泥浆在钻孔施工中所起的主要作用有</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浮悬钻渣</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减小孔内向外的压力</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润滑钻具</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隔断孔内外渗流 E.冷却钻头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ACDE 泥浆具有浮悬钻渣、冷却钻头、润滑钻具，增大静水压力，并在孔壁形成泥皮，隔断孔内外渗流，防止坍孔的作用。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喷射混凝土护坡适用于(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直面为完整结构的硬岩</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直面为碎裂结构的硬岩</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层状结构的不连续地层</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片状结构的不连续地层 E.块状结构的不连续地层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BC 本考点还要注意：喷浆和喷射混凝土防护适用于边坡易风化、裂隙和节理发育、坡面不平整边坡。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棚式明洞内边墙一般采用重力式，外边墙可以采用</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刚架式</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拱式</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板式</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墙式 E.柱式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ADE 棚式明洞内边墙一般采用重力式，外边墙可以采用刚架式、墙式、柱式。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桥跨结构为桥梁的</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上部结构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中部结构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下部结构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基础结构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本考点还要注意以下几个要点：桥梁由上部结构、下部结构、支座系统和附属设施四个基本部分组成。上部结构又叫桥跨结构、支座系统、下部结构包括桥墩、桥台、墩台基础。附属设施包括：桥面铺装（或称行车道铺装）、排水防水系统、栏杆（或防撞栏杆）、伸缩缝、灯光照明。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桥梁工程按受力方式的不同，可以归结为</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几种基本体系。</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梁式桥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拱式桥　　　</w:t>
      </w:r>
      <w:r>
        <w:rPr>
          <w:rFonts w:ascii="宋体" w:eastAsia="宋体" w:hAnsi="宋体" w:cs="宋体" w:hint="eastAsia"/>
          <w:outline w:val="0"/>
          <w:shadow w:val="0"/>
          <w:emboss w:val="0"/>
          <w:imprint w:val="0"/>
          <w:vanish w:val="0"/>
          <w:w w:val="100"/>
          <w:sz w:val="28"/>
          <w:szCs w:val="28"/>
          <w:u w:val="none"/>
        </w:rPr>
        <w:br/>
      </w:r>
      <w:r>
        <w:rPr>
          <w:rFonts w:ascii="宋体" w:eastAsia="宋体" w:hAnsi="宋体" w:cs="宋体" w:hint="eastAsia"/>
          <w:outline w:val="0"/>
          <w:shadow w:val="0"/>
          <w:emboss w:val="0"/>
          <w:imprint w:val="0"/>
          <w:vanish w:val="0"/>
          <w:w w:val="100"/>
          <w:sz w:val="28"/>
          <w:szCs w:val="28"/>
          <w:u w:val="none"/>
        </w:rPr>
        <w:br/>
      </w:r>
    </w:p>
    <w:p>
      <w:pPr>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 w:history="1">
        <w:r>
          <w:rPr>
            <w:rFonts w:ascii="SimSun" w:eastAsia="SimSun" w:hAnsi="SimSun" w:cs="SimSun"/>
            <w:b/>
            <w:bCs/>
            <w:color w:val="0000EE"/>
            <w:kern w:val="0"/>
            <w:sz w:val="30"/>
            <w:szCs w:val="30"/>
            <w:u w:val="single" w:color="0000EE"/>
          </w:rPr>
          <w:t>https://d.book118.com/356004141203010042</w:t>
        </w:r>
      </w:hyperlink>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sectPr>
      <w:type w:val="nextPage"/>
      <w:pgSz w:w="11906" w:h="16839"/>
      <w:pgMar w:top="1440" w:right="1080" w:bottom="1440" w:left="1080" w:header="851" w:footer="992" w:gutter="0"/>
      <w:pgNumType w:start="18"/>
      <w:cols w:num="1" w:space="0"/>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defaultTabStop w:val="420"/>
  <w:noPunctuationKerning/>
  <w:characterSpacingControl w:val="doNotCompress"/>
  <w:compat>
    <w:doNotBreakWrappedTables/>
    <w:doNotWrapTextWithPunct/>
    <w:doNotUseEastAsianBreakRules/>
    <w:growAutofit/>
    <w:useFELayout/>
    <w:doNotUseIndentAsNumberingTabStop/>
    <w:useAltKinsokuLineBreakRules/>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28CF0D9F"/>
    <w:rsid w:val="29AB209E"/>
    <w:rsid w:val="58615537"/>
  </w:rsids>
  <w:docVars>
    <w:docVar w:name="commondata" w:val="eyJoZGlkIjoiMzIxODdiYzkyZWJiMzc1YmY5NThiYjgyMjcxMWRjMmQifQ=="/>
  </w:docVar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jc w:val="left"/>
    </w:pPr>
    <w:rPr>
      <w:rFonts w:asciiTheme="minorEastAsia" w:eastAsiaTheme="minorEastAsia" w:hAnsiTheme="minorEastAsia" w:cstheme="minorEastAsia"/>
      <w:kern w:val="0"/>
      <w:sz w:val="24"/>
      <w:szCs w:val="24"/>
      <w:lang w:val="en-US" w:eastAsia="zh-CN" w:bidi="ar"/>
    </w:rPr>
  </w:style>
  <w:style w:type="paragraph" w:styleId="Heading1">
    <w:name w:val="heading 1"/>
    <w:basedOn w:val="Normal"/>
    <w:next w:val="Normal"/>
    <w:qFormat/>
    <w:pPr>
      <w:spacing w:before="0" w:beforeAutospacing="1" w:after="0" w:afterAutospacing="1"/>
      <w:jc w:val="left"/>
      <w:outlineLvl w:val="0"/>
    </w:pPr>
    <w:rPr>
      <w:rFonts w:ascii="宋体" w:eastAsia="宋体" w:hAnsi="宋体" w:cs="宋体" w:hint="eastAsia"/>
      <w:b/>
      <w:bCs/>
      <w:kern w:val="44"/>
      <w:sz w:val="48"/>
      <w:szCs w:val="48"/>
      <w:lang w:val="en-US" w:eastAsia="zh-CN" w:bidi="ar"/>
    </w:rPr>
  </w:style>
  <w:style w:type="paragraph" w:styleId="Heading2">
    <w:name w:val="heading 2"/>
    <w:basedOn w:val="Normal"/>
    <w:next w:val="Normal"/>
    <w:semiHidden/>
    <w:unhideWhenUsed/>
    <w:qFormat/>
    <w:pPr>
      <w:spacing w:before="0" w:beforeAutospacing="1" w:after="0" w:afterAutospacing="1"/>
      <w:jc w:val="left"/>
      <w:outlineLvl w:val="1"/>
    </w:pPr>
    <w:rPr>
      <w:rFonts w:ascii="宋体" w:eastAsia="宋体" w:hAnsi="宋体" w:cs="宋体" w:hint="eastAsia"/>
      <w:b/>
      <w:bCs/>
      <w:kern w:val="0"/>
      <w:sz w:val="36"/>
      <w:szCs w:val="36"/>
      <w:lang w:val="en-US" w:eastAsia="zh-CN" w:bidi="ar"/>
    </w:rPr>
  </w:style>
  <w:style w:type="paragraph" w:styleId="Heading3">
    <w:name w:val="heading 3"/>
    <w:basedOn w:val="Normal"/>
    <w:next w:val="Normal"/>
    <w:semiHidden/>
    <w:unhideWhenUsed/>
    <w:qFormat/>
    <w:pPr>
      <w:spacing w:before="0" w:beforeAutospacing="1" w:after="0" w:afterAutospacing="1"/>
      <w:jc w:val="left"/>
      <w:outlineLvl w:val="2"/>
    </w:pPr>
    <w:rPr>
      <w:rFonts w:ascii="宋体" w:eastAsia="宋体" w:hAnsi="宋体" w:cs="宋体" w:hint="eastAsia"/>
      <w:b/>
      <w:bCs/>
      <w:kern w:val="0"/>
      <w:sz w:val="27"/>
      <w:szCs w:val="27"/>
      <w:lang w:val="en-US" w:eastAsia="zh-CN" w:bidi="ar"/>
    </w:rPr>
  </w:style>
  <w:style w:type="paragraph" w:styleId="Heading4">
    <w:name w:val="heading 4"/>
    <w:basedOn w:val="Normal"/>
    <w:next w:val="Normal"/>
    <w:semiHidden/>
    <w:unhideWhenUsed/>
    <w:qFormat/>
    <w:pPr>
      <w:spacing w:before="0" w:beforeAutospacing="1" w:after="0" w:afterAutospacing="1"/>
      <w:jc w:val="left"/>
      <w:outlineLvl w:val="3"/>
    </w:pPr>
    <w:rPr>
      <w:rFonts w:ascii="宋体" w:eastAsia="宋体" w:hAnsi="宋体" w:cs="宋体" w:hint="eastAsia"/>
      <w:b/>
      <w:bCs/>
      <w:kern w:val="0"/>
      <w:sz w:val="24"/>
      <w:szCs w:val="24"/>
      <w:lang w:val="en-US" w:eastAsia="zh-CN" w:bidi="ar"/>
    </w:rPr>
  </w:style>
  <w:style w:type="paragraph" w:styleId="Heading5">
    <w:name w:val="heading 5"/>
    <w:basedOn w:val="Normal"/>
    <w:next w:val="Normal"/>
    <w:semiHidden/>
    <w:unhideWhenUsed/>
    <w:qFormat/>
    <w:pPr>
      <w:spacing w:before="0" w:beforeAutospacing="1" w:after="0" w:afterAutospacing="1"/>
      <w:jc w:val="left"/>
      <w:outlineLvl w:val="4"/>
    </w:pPr>
    <w:rPr>
      <w:rFonts w:ascii="宋体" w:eastAsia="宋体" w:hAnsi="宋体" w:cs="宋体" w:hint="eastAsia"/>
      <w:b/>
      <w:bCs/>
      <w:kern w:val="0"/>
      <w:sz w:val="20"/>
      <w:szCs w:val="20"/>
      <w:lang w:val="en-US" w:eastAsia="zh-CN" w:bidi="ar"/>
    </w:rPr>
  </w:style>
  <w:style w:type="paragraph" w:styleId="Heading6">
    <w:name w:val="heading 6"/>
    <w:basedOn w:val="Normal"/>
    <w:next w:val="Normal"/>
    <w:semiHidden/>
    <w:unhideWhenUsed/>
    <w:qFormat/>
    <w:pPr>
      <w:spacing w:before="0" w:beforeAutospacing="1" w:after="0" w:afterAutospacing="1"/>
      <w:jc w:val="left"/>
      <w:outlineLvl w:val="5"/>
    </w:pPr>
    <w:rPr>
      <w:rFonts w:ascii="宋体" w:eastAsia="宋体" w:hAnsi="宋体" w:cs="宋体" w:hint="eastAsia"/>
      <w:b/>
      <w:bCs/>
      <w:kern w:val="0"/>
      <w:sz w:val="15"/>
      <w:szCs w:val="15"/>
      <w:lang w:val="en-US" w:eastAsia="zh-CN" w:bidi="ar"/>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HTMLPreformatted">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hint="eastAsia"/>
      <w:kern w:val="0"/>
      <w:sz w:val="24"/>
      <w:szCs w:val="24"/>
      <w:lang w:val="en-US" w:eastAsia="zh-CN" w:bidi="ar"/>
    </w:rPr>
  </w:style>
  <w:style w:type="paragraph" w:styleId="NormalWeb">
    <w:name w:val="Normal (Web)"/>
    <w:basedOn w:val="Normal"/>
    <w:autoRedefine/>
    <w:pPr>
      <w:spacing w:before="0" w:beforeAutospacing="1" w:after="0" w:afterAutospacing="1"/>
      <w:ind w:left="0" w:right="0"/>
      <w:jc w:val="left"/>
    </w:pPr>
    <w:rPr>
      <w:kern w:val="0"/>
      <w:sz w:val="24"/>
      <w:lang w:val="en-US" w:eastAsia="zh-CN" w:bidi="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http://exam.dxwmedu.com///files/attach/files/content/20210607/16230374766135.png" TargetMode="External" /><Relationship Id="rId6" Type="http://schemas.openxmlformats.org/officeDocument/2006/relationships/image" Target="media/image2.png" /><Relationship Id="rId7" Type="http://schemas.openxmlformats.org/officeDocument/2006/relationships/image" Target="http://exam.dxwmedu.com///files/attach/files/content/20210607/16230587841867.png" TargetMode="External" /><Relationship Id="rId8" Type="http://schemas.openxmlformats.org/officeDocument/2006/relationships/hyperlink" Target="https://d.book118.com/356004141203010042" TargetMode="External" /><Relationship Id="rId9" Type="http://schemas.openxmlformats.org/officeDocument/2006/relationships/theme" Target="theme/theme1.xm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江南博哥</cp:lastModifiedBy>
  <cp:revision>0</cp:revision>
  <dcterms:created xsi:type="dcterms:W3CDTF">2024-01-29T04:47:00Z</dcterms:created>
  <dcterms:modified xsi:type="dcterms:W3CDTF">2024-01-31T00:16:52Z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76E94F3BB6B74C3E968D15068D8E3491_13</vt:lpwstr>
  </property>
  <property fmtid="{D5CDD505-2E9C-101B-9397-08002B2CF9AE}" pid="3" name="KSOProductBuildVer">
    <vt:lpwstr>2052-12.1.0.16250</vt:lpwstr>
  </property>
</Properties>
</file>