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微生物肥料行业企业战略发展规划及建议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81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_Toc27815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7" w:history="1">
        <w:r>
          <w:rPr>
            <w:rFonts w:ascii="仿宋" w:eastAsia="仿宋" w:hAnsi="仿宋" w:cs="仿宋" w:hint="eastAsia"/>
            <w:lang w:eastAsia="zh-CN"/>
          </w:rPr>
          <w:t>一、工艺技术分析</w:t>
        </w:r>
        <w:r>
          <w:tab/>
        </w:r>
        <w:r>
          <w:fldChar w:fldCharType="begin"/>
        </w:r>
        <w:r>
          <w:instrText xml:space="preserve"> PAGEREF _Toc1147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2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_Toc19112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3" w:history="1">
        <w:r>
          <w:rPr>
            <w:rFonts w:ascii="仿宋" w:eastAsia="仿宋" w:hAnsi="仿宋" w:cs="仿宋" w:hint="eastAsia"/>
            <w:lang w:eastAsia="zh-CN"/>
          </w:rPr>
          <w:t>(二)、微生物肥料项目技术工艺简要分析</w:t>
        </w:r>
        <w:r>
          <w:tab/>
        </w:r>
        <w:r>
          <w:fldChar w:fldCharType="begin"/>
        </w:r>
        <w:r>
          <w:instrText xml:space="preserve"> PAGEREF _Toc22483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6" w:history="1">
        <w:r>
          <w:rPr>
            <w:rFonts w:ascii="仿宋" w:eastAsia="仿宋" w:hAnsi="仿宋" w:cs="仿宋" w:hint="eastAsia"/>
            <w:lang w:eastAsia="zh-CN"/>
          </w:rPr>
          <w:t>(三)、质量管理体系与标准</w:t>
        </w:r>
        <w:r>
          <w:tab/>
        </w:r>
        <w:r>
          <w:fldChar w:fldCharType="begin"/>
        </w:r>
        <w:r>
          <w:instrText xml:space="preserve"> PAGEREF _Toc14126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2" w:history="1">
        <w:r>
          <w:rPr>
            <w:rFonts w:ascii="仿宋" w:eastAsia="仿宋" w:hAnsi="仿宋" w:cs="仿宋" w:hint="eastAsia"/>
            <w:lang w:eastAsia="zh-CN"/>
          </w:rPr>
          <w:t>(四)、微生物肥料项目技术流程简述</w:t>
        </w:r>
        <w:r>
          <w:tab/>
        </w:r>
        <w:r>
          <w:fldChar w:fldCharType="begin"/>
        </w:r>
        <w:r>
          <w:instrText xml:space="preserve"> PAGEREF _Toc21172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6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_Toc10446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91" w:history="1">
        <w:r>
          <w:rPr>
            <w:rFonts w:ascii="仿宋" w:eastAsia="仿宋" w:hAnsi="仿宋" w:cs="仿宋" w:hint="eastAsia"/>
            <w:lang w:eastAsia="zh-CN"/>
          </w:rPr>
          <w:t>二、微生物肥料项目承办单位基本情况</w:t>
        </w:r>
        <w:r>
          <w:tab/>
        </w:r>
        <w:r>
          <w:fldChar w:fldCharType="begin"/>
        </w:r>
        <w:r>
          <w:instrText xml:space="preserve"> PAGEREF _Toc27691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4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_Toc20994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3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_Toc19943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3" w:history="1">
        <w:r>
          <w:rPr>
            <w:rFonts w:ascii="仿宋" w:eastAsia="仿宋" w:hAnsi="仿宋" w:cs="仿宋" w:hint="eastAsia"/>
            <w:lang w:eastAsia="zh-CN"/>
          </w:rPr>
          <w:t>(三)、公司主要财务数据</w:t>
        </w:r>
        <w:r>
          <w:tab/>
        </w:r>
        <w:r>
          <w:fldChar w:fldCharType="begin"/>
        </w:r>
        <w:r>
          <w:instrText xml:space="preserve"> PAGEREF _Toc23153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1" w:history="1">
        <w:r>
          <w:rPr>
            <w:rFonts w:ascii="仿宋" w:eastAsia="仿宋" w:hAnsi="仿宋" w:cs="仿宋" w:hint="eastAsia"/>
            <w:lang w:eastAsia="zh-CN"/>
          </w:rPr>
          <w:t>(四)、核心人员介绍</w:t>
        </w:r>
        <w:r>
          <w:tab/>
        </w:r>
        <w:r>
          <w:fldChar w:fldCharType="begin"/>
        </w:r>
        <w:r>
          <w:instrText xml:space="preserve"> PAGEREF _Toc23251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07" w:history="1">
        <w:r>
          <w:rPr>
            <w:rFonts w:ascii="仿宋" w:eastAsia="仿宋" w:hAnsi="仿宋" w:cs="仿宋" w:hint="eastAsia"/>
            <w:lang w:eastAsia="zh-CN"/>
          </w:rPr>
          <w:t>三、微生物肥料项目选址</w:t>
        </w:r>
        <w:r>
          <w:tab/>
        </w:r>
        <w:r>
          <w:fldChar w:fldCharType="begin"/>
        </w:r>
        <w:r>
          <w:instrText xml:space="preserve"> PAGEREF _Toc13207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7" w:history="1">
        <w:r>
          <w:rPr>
            <w:rFonts w:ascii="仿宋" w:eastAsia="仿宋" w:hAnsi="仿宋" w:cs="仿宋" w:hint="eastAsia"/>
            <w:lang w:eastAsia="zh-CN"/>
          </w:rPr>
          <w:t>(一)、微生物肥料项目选址原则</w:t>
        </w:r>
        <w:r>
          <w:tab/>
        </w:r>
        <w:r>
          <w:fldChar w:fldCharType="begin"/>
        </w:r>
        <w:r>
          <w:instrText xml:space="preserve"> PAGEREF _Toc30657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9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_Toc27479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2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_Toc3592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5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_Toc13445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4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_Toc16524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5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_Toc23665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47" w:history="1">
        <w:r>
          <w:rPr>
            <w:rFonts w:ascii="仿宋" w:eastAsia="仿宋" w:hAnsi="仿宋" w:cs="仿宋" w:hint="eastAsia"/>
            <w:lang w:eastAsia="zh-CN"/>
          </w:rPr>
          <w:t>四、微生物肥料项目概论</w:t>
        </w:r>
        <w:r>
          <w:tab/>
        </w:r>
        <w:r>
          <w:fldChar w:fldCharType="begin"/>
        </w:r>
        <w:r>
          <w:instrText xml:space="preserve"> PAGEREF _Toc19847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1" w:history="1">
        <w:r>
          <w:rPr>
            <w:rFonts w:ascii="仿宋" w:eastAsia="仿宋" w:hAnsi="仿宋" w:cs="仿宋" w:hint="eastAsia"/>
            <w:lang w:eastAsia="zh-CN"/>
          </w:rPr>
          <w:t>(一)、微生物肥料项目承办单位基本情况</w:t>
        </w:r>
        <w:r>
          <w:tab/>
        </w:r>
        <w:r>
          <w:fldChar w:fldCharType="begin"/>
        </w:r>
        <w:r>
          <w:instrText xml:space="preserve"> PAGEREF _Toc24041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8" w:history="1">
        <w:r>
          <w:rPr>
            <w:rFonts w:ascii="仿宋" w:eastAsia="仿宋" w:hAnsi="仿宋" w:cs="仿宋" w:hint="eastAsia"/>
            <w:lang w:eastAsia="zh-CN"/>
          </w:rPr>
          <w:t>(二)、微生物肥料项目概况</w:t>
        </w:r>
        <w:r>
          <w:tab/>
        </w:r>
        <w:r>
          <w:fldChar w:fldCharType="begin"/>
        </w:r>
        <w:r>
          <w:instrText xml:space="preserve"> PAGEREF _Toc11268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" w:history="1">
        <w:r>
          <w:rPr>
            <w:rFonts w:ascii="仿宋" w:eastAsia="仿宋" w:hAnsi="仿宋" w:cs="仿宋" w:hint="eastAsia"/>
            <w:lang w:eastAsia="zh-CN"/>
          </w:rPr>
          <w:t>(三)、微生物肥料项目评价</w:t>
        </w:r>
        <w:r>
          <w:tab/>
        </w:r>
        <w:r>
          <w:fldChar w:fldCharType="begin"/>
        </w:r>
        <w:r>
          <w:instrText xml:space="preserve"> PAGEREF _Toc1375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8" w:history="1">
        <w:r>
          <w:rPr>
            <w:rFonts w:ascii="仿宋" w:eastAsia="仿宋" w:hAnsi="仿宋" w:cs="仿宋" w:hint="eastAsia"/>
            <w:lang w:eastAsia="zh-CN"/>
          </w:rPr>
          <w:t>(四)、主要经济指标</w:t>
        </w:r>
        <w:r>
          <w:tab/>
        </w:r>
        <w:r>
          <w:fldChar w:fldCharType="begin"/>
        </w:r>
        <w:r>
          <w:instrText xml:space="preserve"> PAGEREF _Toc10748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72" w:history="1">
        <w:r>
          <w:rPr>
            <w:rFonts w:ascii="仿宋" w:eastAsia="仿宋" w:hAnsi="仿宋" w:cs="仿宋" w:hint="eastAsia"/>
            <w:lang w:eastAsia="zh-CN"/>
          </w:rPr>
          <w:t>五、微生物肥料项目选址方案</w:t>
        </w:r>
        <w:r>
          <w:tab/>
        </w:r>
        <w:r>
          <w:fldChar w:fldCharType="begin"/>
        </w:r>
        <w:r>
          <w:instrText xml:space="preserve"> PAGEREF _Toc30472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8" w:history="1">
        <w:r>
          <w:rPr>
            <w:rFonts w:ascii="仿宋" w:eastAsia="仿宋" w:hAnsi="仿宋" w:cs="仿宋" w:hint="eastAsia"/>
            <w:lang w:eastAsia="zh-CN"/>
          </w:rPr>
          <w:t>(一)、微生物肥料项目选址原则</w:t>
        </w:r>
        <w:r>
          <w:tab/>
        </w:r>
        <w:r>
          <w:fldChar w:fldCharType="begin"/>
        </w:r>
        <w:r>
          <w:instrText xml:space="preserve"> PAGEREF _Toc14438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_Toc12085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9" w:history="1">
        <w:r>
          <w:rPr>
            <w:rFonts w:ascii="仿宋" w:eastAsia="仿宋" w:hAnsi="仿宋" w:cs="仿宋" w:hint="eastAsia"/>
            <w:lang w:eastAsia="zh-CN"/>
          </w:rPr>
          <w:t>(三)、产业发展方向</w:t>
        </w:r>
        <w:r>
          <w:tab/>
        </w:r>
        <w:r>
          <w:fldChar w:fldCharType="begin"/>
        </w:r>
        <w:r>
          <w:instrText xml:space="preserve"> PAGEREF _Toc15549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6" w:history="1">
        <w:r>
          <w:rPr>
            <w:rFonts w:ascii="仿宋" w:eastAsia="仿宋" w:hAnsi="仿宋" w:cs="仿宋" w:hint="eastAsia"/>
            <w:lang w:eastAsia="zh-CN"/>
          </w:rPr>
          <w:t>(四)、微生物肥料项目选址综合评价</w:t>
        </w:r>
        <w:r>
          <w:tab/>
        </w:r>
        <w:r>
          <w:fldChar w:fldCharType="begin"/>
        </w:r>
        <w:r>
          <w:instrText xml:space="preserve"> PAGEREF _Toc5686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07" w:history="1">
        <w:r>
          <w:rPr>
            <w:rFonts w:ascii="仿宋" w:eastAsia="仿宋" w:hAnsi="仿宋" w:cs="仿宋" w:hint="eastAsia"/>
            <w:lang w:eastAsia="zh-CN"/>
          </w:rPr>
          <w:t>六、土建工程设计</w:t>
        </w:r>
        <w:r>
          <w:tab/>
        </w:r>
        <w:r>
          <w:fldChar w:fldCharType="begin"/>
        </w:r>
        <w:r>
          <w:instrText xml:space="preserve"> PAGEREF _Toc15307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_Toc19584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4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_Toc4024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3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_Toc14583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8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_Toc11188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16" w:history="1">
        <w:r>
          <w:rPr>
            <w:rFonts w:ascii="仿宋" w:eastAsia="仿宋" w:hAnsi="仿宋" w:cs="仿宋" w:hint="eastAsia"/>
            <w:lang w:eastAsia="zh-CN"/>
          </w:rPr>
          <w:t>七、微生物肥料行业发展形势分析</w:t>
        </w:r>
        <w:r>
          <w:tab/>
        </w:r>
        <w:r>
          <w:fldChar w:fldCharType="begin"/>
        </w:r>
        <w:r>
          <w:instrText xml:space="preserve"> PAGEREF _Toc29316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1" w:history="1">
        <w:r>
          <w:rPr>
            <w:rFonts w:ascii="仿宋" w:eastAsia="仿宋" w:hAnsi="仿宋" w:cs="仿宋" w:hint="eastAsia"/>
            <w:lang w:eastAsia="zh-CN"/>
          </w:rPr>
          <w:t>(一)、微生物肥料行业发展形势分析</w:t>
        </w:r>
        <w:r>
          <w:tab/>
        </w:r>
        <w:r>
          <w:fldChar w:fldCharType="begin"/>
        </w:r>
        <w:r>
          <w:instrText xml:space="preserve"> PAGEREF _Toc16811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83" w:history="1">
        <w:r>
          <w:rPr>
            <w:rFonts w:ascii="仿宋" w:eastAsia="仿宋" w:hAnsi="仿宋" w:cs="仿宋" w:hint="eastAsia"/>
            <w:lang w:eastAsia="zh-CN"/>
          </w:rPr>
          <w:t>八、安全管理计划</w:t>
        </w:r>
        <w:r>
          <w:tab/>
        </w:r>
        <w:r>
          <w:fldChar w:fldCharType="begin"/>
        </w:r>
        <w:r>
          <w:instrText xml:space="preserve"> PAGEREF _Toc10083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" w:history="1">
        <w:r>
          <w:rPr>
            <w:rFonts w:ascii="仿宋" w:eastAsia="仿宋" w:hAnsi="仿宋" w:cs="仿宋" w:hint="eastAsia"/>
            <w:lang w:eastAsia="zh-CN"/>
          </w:rPr>
          <w:t>(一)、项目安全管理体系建立</w:t>
        </w:r>
        <w:r>
          <w:tab/>
        </w:r>
        <w:r>
          <w:fldChar w:fldCharType="begin"/>
        </w:r>
        <w:r>
          <w:instrText xml:space="preserve"> PAGEREF _Toc742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4" w:history="1">
        <w:r>
          <w:rPr>
            <w:rFonts w:ascii="仿宋" w:eastAsia="仿宋" w:hAnsi="仿宋" w:cs="仿宋" w:hint="eastAsia"/>
            <w:lang w:eastAsia="zh-CN"/>
          </w:rPr>
          <w:t>(二)、安全管理计划</w:t>
        </w:r>
        <w:r>
          <w:tab/>
        </w:r>
        <w:r>
          <w:fldChar w:fldCharType="begin"/>
        </w:r>
        <w:r>
          <w:instrText xml:space="preserve"> PAGEREF _Toc30664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5" w:history="1">
        <w:r>
          <w:rPr>
            <w:rFonts w:ascii="仿宋" w:eastAsia="仿宋" w:hAnsi="仿宋" w:cs="仿宋" w:hint="eastAsia"/>
            <w:lang w:eastAsia="zh-CN"/>
          </w:rPr>
          <w:t>(三)、安全培训与演练</w:t>
        </w:r>
        <w:r>
          <w:tab/>
        </w:r>
        <w:r>
          <w:fldChar w:fldCharType="begin"/>
        </w:r>
        <w:r>
          <w:instrText xml:space="preserve"> PAGEREF _Toc14995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5" w:history="1">
        <w:r>
          <w:rPr>
            <w:rFonts w:ascii="仿宋" w:eastAsia="仿宋" w:hAnsi="仿宋" w:cs="仿宋" w:hint="eastAsia"/>
            <w:lang w:eastAsia="zh-CN"/>
          </w:rPr>
          <w:t>(四)、事故应急处理与报告</w:t>
        </w:r>
        <w:r>
          <w:tab/>
        </w:r>
        <w:r>
          <w:fldChar w:fldCharType="begin"/>
        </w:r>
        <w:r>
          <w:instrText xml:space="preserve"> PAGEREF _Toc9935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712" w:history="1">
        <w:r>
          <w:rPr>
            <w:rFonts w:ascii="仿宋" w:eastAsia="仿宋" w:hAnsi="仿宋" w:cs="仿宋" w:hint="eastAsia"/>
            <w:lang w:eastAsia="zh-CN"/>
          </w:rPr>
          <w:t>九、实施安排</w:t>
        </w:r>
        <w:r>
          <w:tab/>
        </w:r>
        <w:r>
          <w:fldChar w:fldCharType="begin"/>
        </w:r>
        <w:r>
          <w:instrText xml:space="preserve"> PAGEREF _Toc14712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_Toc23509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_Toc1126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_Toc16297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_Toc810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_Toc23610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2" w:history="1">
        <w:r>
          <w:rPr>
            <w:rFonts w:ascii="仿宋" w:eastAsia="仿宋" w:hAnsi="仿宋" w:cs="仿宋" w:hint="eastAsia"/>
            <w:lang w:eastAsia="zh-CN"/>
          </w:rPr>
          <w:t>(六)、微生物肥料项目实施保障</w:t>
        </w:r>
        <w:r>
          <w:tab/>
        </w:r>
        <w:r>
          <w:fldChar w:fldCharType="begin"/>
        </w:r>
        <w:r>
          <w:instrText xml:space="preserve"> PAGEREF _Toc7172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20" w:history="1">
        <w:r>
          <w:rPr>
            <w:rFonts w:ascii="仿宋" w:eastAsia="仿宋" w:hAnsi="仿宋" w:cs="仿宋" w:hint="eastAsia"/>
            <w:lang w:eastAsia="zh-CN"/>
          </w:rPr>
          <w:t>十、环境风险评估</w:t>
        </w:r>
        <w:r>
          <w:tab/>
        </w:r>
        <w:r>
          <w:fldChar w:fldCharType="begin"/>
        </w:r>
        <w:r>
          <w:instrText xml:space="preserve"> PAGEREF _Toc6820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4" w:history="1">
        <w:r>
          <w:rPr>
            <w:rFonts w:ascii="仿宋" w:eastAsia="仿宋" w:hAnsi="仿宋" w:cs="仿宋" w:hint="eastAsia"/>
            <w:lang w:eastAsia="zh-CN"/>
          </w:rPr>
          <w:t>(一)、环境风险评估概述</w:t>
        </w:r>
        <w:r>
          <w:tab/>
        </w:r>
        <w:r>
          <w:fldChar w:fldCharType="begin"/>
        </w:r>
        <w:r>
          <w:instrText xml:space="preserve"> PAGEREF _Toc18424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5" w:history="1">
        <w:r>
          <w:rPr>
            <w:rFonts w:ascii="仿宋" w:eastAsia="仿宋" w:hAnsi="仿宋" w:cs="仿宋" w:hint="eastAsia"/>
            <w:lang w:eastAsia="zh-CN"/>
          </w:rPr>
          <w:t>(二)、评价微生物肥料项目风险分析</w:t>
        </w:r>
        <w:r>
          <w:tab/>
        </w:r>
        <w:r>
          <w:fldChar w:fldCharType="begin"/>
        </w:r>
        <w:r>
          <w:instrText xml:space="preserve"> PAGEREF _Toc20075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3" w:history="1">
        <w:r>
          <w:rPr>
            <w:rFonts w:ascii="仿宋" w:eastAsia="仿宋" w:hAnsi="仿宋" w:cs="仿宋" w:hint="eastAsia"/>
            <w:lang w:eastAsia="zh-CN"/>
          </w:rPr>
          <w:t>(三)、风险应急预案</w:t>
        </w:r>
        <w:r>
          <w:tab/>
        </w:r>
        <w:r>
          <w:fldChar w:fldCharType="begin"/>
        </w:r>
        <w:r>
          <w:instrText xml:space="preserve"> PAGEREF _Toc14613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9" w:history="1">
        <w:r>
          <w:rPr>
            <w:rFonts w:ascii="仿宋" w:eastAsia="仿宋" w:hAnsi="仿宋" w:cs="仿宋" w:hint="eastAsia"/>
            <w:lang w:eastAsia="zh-CN"/>
          </w:rPr>
          <w:t>十一、合规性与法律事务</w:t>
        </w:r>
        <w:r>
          <w:tab/>
        </w:r>
        <w:r>
          <w:fldChar w:fldCharType="begin"/>
        </w:r>
        <w:r>
          <w:instrText xml:space="preserve"> PAGEREF _Toc2799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1" w:history="1">
        <w:r>
          <w:rPr>
            <w:rFonts w:ascii="仿宋" w:eastAsia="仿宋" w:hAnsi="仿宋" w:cs="仿宋" w:hint="eastAsia"/>
            <w:lang w:eastAsia="zh-CN"/>
          </w:rPr>
          <w:t>(一)、合规性政策</w:t>
        </w:r>
        <w:r>
          <w:tab/>
        </w:r>
        <w:r>
          <w:fldChar w:fldCharType="begin"/>
        </w:r>
        <w:r>
          <w:instrText xml:space="preserve"> PAGEREF _Toc31051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1" w:history="1">
        <w:r>
          <w:rPr>
            <w:rFonts w:ascii="仿宋" w:eastAsia="仿宋" w:hAnsi="仿宋" w:cs="仿宋" w:hint="eastAsia"/>
            <w:lang w:eastAsia="zh-CN"/>
          </w:rPr>
          <w:t>(二)、法律风险防范与应对</w:t>
        </w:r>
        <w:r>
          <w:tab/>
        </w:r>
        <w:r>
          <w:fldChar w:fldCharType="begin"/>
        </w:r>
        <w:r>
          <w:instrText xml:space="preserve"> PAGEREF _Toc30251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" w:history="1">
        <w:r>
          <w:rPr>
            <w:rFonts w:ascii="仿宋" w:eastAsia="仿宋" w:hAnsi="仿宋" w:cs="仿宋" w:hint="eastAsia"/>
            <w:lang w:eastAsia="zh-CN"/>
          </w:rPr>
          <w:t>(三)、合同审查与法律意见书</w:t>
        </w:r>
        <w:r>
          <w:tab/>
        </w:r>
        <w:r>
          <w:fldChar w:fldCharType="begin"/>
        </w:r>
        <w:r>
          <w:instrText xml:space="preserve"> PAGEREF _Toc3229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20" w:history="1">
        <w:r>
          <w:rPr>
            <w:rFonts w:ascii="仿宋" w:eastAsia="仿宋" w:hAnsi="仿宋" w:cs="仿宋" w:hint="eastAsia"/>
            <w:lang w:eastAsia="zh-CN"/>
          </w:rPr>
          <w:t>十二、劳动安全生产分析</w:t>
        </w:r>
        <w:r>
          <w:tab/>
        </w:r>
        <w:r>
          <w:fldChar w:fldCharType="begin"/>
        </w:r>
        <w:r>
          <w:instrText xml:space="preserve"> PAGEREF _Toc13120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_Toc3552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7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_Toc11547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9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_Toc12809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39" w:history="1">
        <w:r>
          <w:rPr>
            <w:rFonts w:ascii="仿宋" w:eastAsia="仿宋" w:hAnsi="仿宋" w:cs="仿宋" w:hint="eastAsia"/>
            <w:lang w:eastAsia="zh-CN"/>
          </w:rPr>
          <w:t>十三、微生物肥料项目规划进度</w:t>
        </w:r>
        <w:r>
          <w:tab/>
        </w:r>
        <w:r>
          <w:fldChar w:fldCharType="begin"/>
        </w:r>
        <w:r>
          <w:instrText xml:space="preserve"> PAGEREF _Toc27539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2" w:history="1">
        <w:r>
          <w:rPr>
            <w:rFonts w:ascii="仿宋" w:eastAsia="仿宋" w:hAnsi="仿宋" w:cs="仿宋" w:hint="eastAsia"/>
            <w:lang w:eastAsia="zh-CN"/>
          </w:rPr>
          <w:t>(一)、微生物肥料项目进度安排</w:t>
        </w:r>
        <w:r>
          <w:tab/>
        </w:r>
        <w:r>
          <w:fldChar w:fldCharType="begin"/>
        </w:r>
        <w:r>
          <w:instrText xml:space="preserve"> PAGEREF _Toc21862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3" w:history="1">
        <w:r>
          <w:rPr>
            <w:rFonts w:ascii="仿宋" w:eastAsia="仿宋" w:hAnsi="仿宋" w:cs="仿宋" w:hint="eastAsia"/>
            <w:lang w:eastAsia="zh-CN"/>
          </w:rPr>
          <w:t>(二)、微生物肥料项目实施保障措施</w:t>
        </w:r>
        <w:r>
          <w:tab/>
        </w:r>
        <w:r>
          <w:fldChar w:fldCharType="begin"/>
        </w:r>
        <w:r>
          <w:instrText xml:space="preserve"> PAGEREF _Toc17993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66" w:history="1">
        <w:r>
          <w:rPr>
            <w:rFonts w:ascii="仿宋" w:eastAsia="仿宋" w:hAnsi="仿宋" w:cs="仿宋" w:hint="eastAsia"/>
            <w:lang w:eastAsia="zh-CN"/>
          </w:rPr>
          <w:t>十四、微生物肥料项目组织管理与招投标</w:t>
        </w:r>
        <w:r>
          <w:tab/>
        </w:r>
        <w:r>
          <w:fldChar w:fldCharType="begin"/>
        </w:r>
        <w:r>
          <w:instrText xml:space="preserve"> PAGEREF _Toc21366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" w:history="1">
        <w:r>
          <w:rPr>
            <w:rFonts w:ascii="仿宋" w:eastAsia="仿宋" w:hAnsi="仿宋" w:cs="仿宋" w:hint="eastAsia"/>
            <w:lang w:eastAsia="zh-CN"/>
          </w:rPr>
          <w:t>(一)、微生物肥料项目筹建时期的组织与管理</w:t>
        </w:r>
        <w:r>
          <w:tab/>
        </w:r>
        <w:r>
          <w:fldChar w:fldCharType="begin"/>
        </w:r>
        <w:r>
          <w:instrText xml:space="preserve"> PAGEREF _Toc2973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" w:history="1">
        <w:r>
          <w:rPr>
            <w:rFonts w:ascii="仿宋" w:eastAsia="仿宋" w:hAnsi="仿宋" w:cs="仿宋" w:hint="eastAsia"/>
            <w:lang w:eastAsia="zh-CN"/>
          </w:rPr>
          <w:t>(二)、微生物肥料项目运行时期的组织与管理</w:t>
        </w:r>
        <w:r>
          <w:tab/>
        </w:r>
        <w:r>
          <w:fldChar w:fldCharType="begin"/>
        </w:r>
        <w:r>
          <w:instrText xml:space="preserve"> PAGEREF _Toc1679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1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_Toc9271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7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_Toc30137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73" w:history="1">
        <w:r>
          <w:rPr>
            <w:rFonts w:ascii="仿宋" w:eastAsia="仿宋" w:hAnsi="仿宋" w:cs="仿宋" w:hint="eastAsia"/>
            <w:lang w:eastAsia="zh-CN"/>
          </w:rPr>
          <w:t>十五、技术创新战略</w:t>
        </w:r>
        <w:r>
          <w:tab/>
        </w:r>
        <w:r>
          <w:fldChar w:fldCharType="begin"/>
        </w:r>
        <w:r>
          <w:instrText xml:space="preserve"> PAGEREF _Toc16373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7" w:history="1">
        <w:r>
          <w:rPr>
            <w:rFonts w:ascii="仿宋" w:eastAsia="仿宋" w:hAnsi="仿宋" w:cs="仿宋" w:hint="eastAsia"/>
            <w:lang w:eastAsia="zh-CN"/>
          </w:rPr>
          <w:t>(一)、技术创新战略概述</w:t>
        </w:r>
        <w:r>
          <w:tab/>
        </w:r>
        <w:r>
          <w:fldChar w:fldCharType="begin"/>
        </w:r>
        <w:r>
          <w:instrText xml:space="preserve"> PAGEREF _Toc10857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6" w:history="1">
        <w:r>
          <w:rPr>
            <w:rFonts w:ascii="仿宋" w:eastAsia="仿宋" w:hAnsi="仿宋" w:cs="仿宋" w:hint="eastAsia"/>
            <w:lang w:eastAsia="zh-CN"/>
          </w:rPr>
          <w:t>(二)、技术创新战略的类型</w:t>
        </w:r>
        <w:r>
          <w:tab/>
        </w:r>
        <w:r>
          <w:fldChar w:fldCharType="begin"/>
        </w:r>
        <w:r>
          <w:instrText xml:space="preserve"> PAGEREF _Toc16196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6" w:history="1">
        <w:r>
          <w:rPr>
            <w:rFonts w:ascii="仿宋" w:eastAsia="仿宋" w:hAnsi="仿宋" w:cs="仿宋" w:hint="eastAsia"/>
            <w:lang w:eastAsia="zh-CN"/>
          </w:rPr>
          <w:t>(三)、技术创新战略的选择</w:t>
        </w:r>
        <w:r>
          <w:tab/>
        </w:r>
        <w:r>
          <w:fldChar w:fldCharType="begin"/>
        </w:r>
        <w:r>
          <w:instrText xml:space="preserve"> PAGEREF _Toc13566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35" w:history="1">
        <w:r>
          <w:rPr>
            <w:rFonts w:ascii="仿宋" w:eastAsia="仿宋" w:hAnsi="仿宋" w:cs="仿宋" w:hint="eastAsia"/>
            <w:lang w:eastAsia="zh-CN"/>
          </w:rPr>
          <w:t>十六、供应链管理</w:t>
        </w:r>
        <w:r>
          <w:tab/>
        </w:r>
        <w:r>
          <w:fldChar w:fldCharType="begin"/>
        </w:r>
        <w:r>
          <w:instrText xml:space="preserve"> PAGEREF _Toc25635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4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_Toc24104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6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_Toc28776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6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_Toc13486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46" w:history="1">
        <w:r>
          <w:rPr>
            <w:rFonts w:ascii="仿宋" w:eastAsia="仿宋" w:hAnsi="仿宋" w:cs="仿宋" w:hint="eastAsia"/>
            <w:lang w:eastAsia="zh-CN"/>
          </w:rPr>
          <w:t>十七、渠道冲突管理</w:t>
        </w:r>
        <w:r>
          <w:tab/>
        </w:r>
        <w:r>
          <w:fldChar w:fldCharType="begin"/>
        </w:r>
        <w:r>
          <w:instrText xml:space="preserve"> PAGEREF _Toc17146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6" w:history="1">
        <w:r>
          <w:rPr>
            <w:rFonts w:ascii="仿宋" w:eastAsia="仿宋" w:hAnsi="仿宋" w:cs="仿宋" w:hint="eastAsia"/>
            <w:lang w:eastAsia="zh-CN"/>
          </w:rPr>
          <w:t>(一)、渠道冲突的界定和分类</w:t>
        </w:r>
        <w:r>
          <w:tab/>
        </w:r>
        <w:r>
          <w:fldChar w:fldCharType="begin"/>
        </w:r>
        <w:r>
          <w:instrText xml:space="preserve"> PAGEREF _Toc25126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0" w:history="1">
        <w:r>
          <w:rPr>
            <w:rFonts w:ascii="仿宋" w:eastAsia="仿宋" w:hAnsi="仿宋" w:cs="仿宋" w:hint="eastAsia"/>
            <w:lang w:eastAsia="zh-CN"/>
          </w:rPr>
          <w:t>(二)、渠道冲突产生的原因</w:t>
        </w:r>
        <w:r>
          <w:tab/>
        </w:r>
        <w:r>
          <w:fldChar w:fldCharType="begin"/>
        </w:r>
        <w:r>
          <w:instrText xml:space="preserve"> PAGEREF _Toc21540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1" w:history="1">
        <w:r>
          <w:rPr>
            <w:rFonts w:ascii="仿宋" w:eastAsia="仿宋" w:hAnsi="仿宋" w:cs="仿宋" w:hint="eastAsia"/>
            <w:lang w:eastAsia="zh-CN"/>
          </w:rPr>
          <w:t>(三)、渠道冲突的处理</w:t>
        </w:r>
        <w:r>
          <w:tab/>
        </w:r>
        <w:r>
          <w:fldChar w:fldCharType="begin"/>
        </w:r>
        <w:r>
          <w:instrText xml:space="preserve"> PAGEREF _Toc18071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85" w:history="1">
        <w:r>
          <w:rPr>
            <w:rFonts w:ascii="仿宋" w:eastAsia="仿宋" w:hAnsi="仿宋" w:cs="仿宋" w:hint="eastAsia"/>
            <w:lang w:eastAsia="zh-CN"/>
          </w:rPr>
          <w:t>十八、特殊环境影响分析</w:t>
        </w:r>
        <w:r>
          <w:tab/>
        </w:r>
        <w:r>
          <w:fldChar w:fldCharType="begin"/>
        </w:r>
        <w:r>
          <w:instrText xml:space="preserve"> PAGEREF _Toc12585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6" w:history="1">
        <w:r>
          <w:rPr>
            <w:rFonts w:ascii="仿宋" w:eastAsia="仿宋" w:hAnsi="仿宋" w:cs="仿宋" w:hint="eastAsia"/>
            <w:lang w:eastAsia="zh-CN"/>
          </w:rPr>
          <w:t>(一)、对特殊环境的保护要求</w:t>
        </w:r>
        <w:r>
          <w:tab/>
        </w:r>
        <w:r>
          <w:fldChar w:fldCharType="begin"/>
        </w:r>
        <w:r>
          <w:instrText xml:space="preserve"> PAGEREF _Toc6696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9" w:history="1">
        <w:r>
          <w:rPr>
            <w:rFonts w:ascii="仿宋" w:eastAsia="仿宋" w:hAnsi="仿宋" w:cs="仿宋" w:hint="eastAsia"/>
            <w:lang w:eastAsia="zh-CN"/>
          </w:rPr>
          <w:t>(二)、对特殊环境的影响分析</w:t>
        </w:r>
        <w:r>
          <w:tab/>
        </w:r>
        <w:r>
          <w:fldChar w:fldCharType="begin"/>
        </w:r>
        <w:r>
          <w:instrText xml:space="preserve"> PAGEREF _Toc22969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9" w:history="1">
        <w:r>
          <w:rPr>
            <w:rFonts w:ascii="仿宋" w:eastAsia="仿宋" w:hAnsi="仿宋" w:cs="仿宋" w:hint="eastAsia"/>
            <w:lang w:eastAsia="zh-CN"/>
          </w:rPr>
          <w:t>(三)、特殊环境影响缓解措施</w:t>
        </w:r>
        <w:r>
          <w:tab/>
        </w:r>
        <w:r>
          <w:fldChar w:fldCharType="begin"/>
        </w:r>
        <w:r>
          <w:instrText xml:space="preserve"> PAGEREF _Toc3399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36" w:history="1">
        <w:r>
          <w:rPr>
            <w:rFonts w:ascii="仿宋" w:eastAsia="仿宋" w:hAnsi="仿宋" w:cs="仿宋" w:hint="eastAsia"/>
            <w:lang w:eastAsia="zh-CN"/>
          </w:rPr>
          <w:t>十九、必要性分析</w:t>
        </w:r>
        <w:r>
          <w:tab/>
        </w:r>
        <w:r>
          <w:fldChar w:fldCharType="begin"/>
        </w:r>
        <w:r>
          <w:instrText xml:space="preserve"> PAGEREF _Toc13836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5315" w:history="1">
        <w:r>
          <w:rPr>
            <w:rFonts w:ascii="仿宋" w:eastAsia="仿宋" w:hAnsi="仿宋" w:cs="仿宋" w:hint="eastAsia"/>
            <w:lang w:eastAsia="zh-CN"/>
          </w:rPr>
          <w:t>(一)、必要性分析</w:t>
        </w:r>
        <w:r>
          <w:tab/>
        </w:r>
        <w:r>
          <w:fldChar w:fldCharType="begin"/>
        </w:r>
        <w:r>
          <w:instrText xml:space="preserve"> PAGEREF _Toc25315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45" w:history="1">
        <w:r>
          <w:rPr>
            <w:rFonts w:ascii="仿宋" w:eastAsia="仿宋" w:hAnsi="仿宋" w:cs="仿宋" w:hint="eastAsia"/>
            <w:lang w:eastAsia="zh-CN"/>
          </w:rPr>
          <w:t>二十、技术创新与研发计划</w:t>
        </w:r>
        <w:r>
          <w:tab/>
        </w:r>
        <w:r>
          <w:fldChar w:fldCharType="begin"/>
        </w:r>
        <w:r>
          <w:instrText xml:space="preserve"> PAGEREF _Toc21145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8" w:history="1">
        <w:r>
          <w:rPr>
            <w:rFonts w:ascii="仿宋" w:eastAsia="仿宋" w:hAnsi="仿宋" w:cs="仿宋" w:hint="eastAsia"/>
            <w:lang w:eastAsia="zh-CN"/>
          </w:rPr>
          <w:t>(一)、技术创新策略</w:t>
        </w:r>
        <w:r>
          <w:tab/>
        </w:r>
        <w:r>
          <w:fldChar w:fldCharType="begin"/>
        </w:r>
        <w:r>
          <w:instrText xml:space="preserve"> PAGEREF _Toc7608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4" w:history="1">
        <w:r>
          <w:rPr>
            <w:rFonts w:ascii="仿宋" w:eastAsia="仿宋" w:hAnsi="仿宋" w:cs="仿宋" w:hint="eastAsia"/>
            <w:lang w:eastAsia="zh-CN"/>
          </w:rPr>
          <w:t>(二)、研发资源配置</w:t>
        </w:r>
        <w:r>
          <w:tab/>
        </w:r>
        <w:r>
          <w:fldChar w:fldCharType="begin"/>
        </w:r>
        <w:r>
          <w:instrText xml:space="preserve"> PAGEREF _Toc14024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7" w:history="1">
        <w:r>
          <w:rPr>
            <w:rFonts w:ascii="仿宋" w:eastAsia="仿宋" w:hAnsi="仿宋" w:cs="仿宋" w:hint="eastAsia"/>
            <w:lang w:eastAsia="zh-CN"/>
          </w:rPr>
          <w:t>(三)、技术合作伙伴关系建设</w:t>
        </w:r>
        <w:r>
          <w:tab/>
        </w:r>
        <w:r>
          <w:fldChar w:fldCharType="begin"/>
        </w:r>
        <w:r>
          <w:instrText xml:space="preserve"> PAGEREF _Toc24767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81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47"/>
      <w:r>
        <w:rPr>
          <w:rFonts w:ascii="仿宋" w:eastAsia="仿宋" w:hAnsi="仿宋" w:cs="仿宋" w:hint="eastAsia"/>
          <w:sz w:val="28"/>
          <w:lang w:eastAsia="zh-CN"/>
        </w:rPr>
        <w:t>一、工艺技术分析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112"/>
      <w:r>
        <w:rPr>
          <w:rFonts w:ascii="仿宋" w:eastAsia="仿宋" w:hAnsi="仿宋" w:cs="仿宋" w:hint="eastAsia"/>
          <w:lang w:eastAsia="zh-CN"/>
        </w:rPr>
        <w:t>(一)、企业技术研发分析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创新驱动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投入优质人才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企业注重构建高效的研发团队，聘请拥有强大技术背景和丰富经验的人才。这支团队在整个研发生命周期中负责微生物肥料项目的规划、设计、开发和实施，确保微生物肥料项目能够达到高质量和高创新水平。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技术平台的建设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https://d.book118.com/356041040120010053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微生物肥料行业企业战略发展规划及建议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微生物肥料行业企业战略发展规划及建议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微生物肥料行业企业战略发展规划及建议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微生物肥料行业企业战略发展规划及建议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微生物肥料行业企业战略发展规划及建议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DF7CE2"/>
    <w:rsid w:val="4593521B"/>
    <w:rsid w:val="6DDF7CE2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5604104012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2024-02-23T03:37:00Z</dcterms:created>
  <dcterms:modified xsi:type="dcterms:W3CDTF">2024-02-23T03:37:46Z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0E9B314A2A4F4949A635A6FCE569BD86_11</vt:lpwstr>
  </property>
  <property fmtid="{D5CDD505-2E9C-101B-9397-08002B2CF9AE}" pid="3" name="KSOProductBuildVer">
    <vt:lpwstr>2052-12.1.0.16250</vt:lpwstr>
  </property>
</Properties>
</file>