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31A" w:rsidP="00BE531A">
      <w:pPr>
        <w:bidi w:val="0"/>
        <w:jc w:val="center"/>
        <w:rPr>
          <w:rFonts w:ascii="宋体" w:hAnsi="宋体" w:hint="eastAsia"/>
          <w:b/>
          <w:bCs/>
          <w:sz w:val="72"/>
          <w:szCs w:val="72"/>
        </w:rPr>
      </w:pPr>
      <w:bookmarkStart w:id="0" w:name="_Toc207101768"/>
    </w:p>
    <w:p w:rsidR="00BE531A" w:rsidP="00BE531A">
      <w:pPr>
        <w:bidi w:val="0"/>
        <w:ind w:firstLine="1040"/>
        <w:jc w:val="center"/>
        <w:rPr>
          <w:rFonts w:ascii="仿宋_GB2312" w:eastAsia="仿宋_GB2312" w:hAnsi="宋体" w:hint="eastAsia"/>
          <w:sz w:val="52"/>
          <w:szCs w:val="52"/>
        </w:rPr>
      </w:pPr>
      <w:r>
        <w:rPr>
          <w:rFonts w:ascii="仿宋_GB2312" w:eastAsia="仿宋_GB2312" w:hAnsi="宋体" w:hint="eastAsia"/>
          <w:sz w:val="52"/>
          <w:szCs w:val="52"/>
        </w:rPr>
        <w:t>外墙面砖脱落修理工程</w:t>
      </w:r>
    </w:p>
    <w:p w:rsidR="00BE531A" w:rsidP="00BE531A">
      <w:pPr>
        <w:bidi w:val="0"/>
        <w:ind w:firstLine="560"/>
        <w:jc w:val="center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560"/>
        <w:jc w:val="center"/>
        <w:rPr>
          <w:rFonts w:ascii="仿宋_GB2312" w:eastAsia="仿宋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案例1（0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—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7分）</w:t>
      </w: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 xml:space="preserve">      </w:t>
      </w:r>
    </w:p>
    <w:p w:rsidR="00BE531A" w:rsidP="00BE531A">
      <w:pPr>
        <w:bidi w:val="0"/>
        <w:ind w:firstLine="1440"/>
        <w:jc w:val="center"/>
        <w:rPr>
          <w:rFonts w:ascii="仿宋_GB2312" w:eastAsia="仿宋_GB2312" w:hAnsi="宋体" w:hint="eastAsia"/>
          <w:sz w:val="72"/>
          <w:szCs w:val="72"/>
        </w:rPr>
      </w:pPr>
      <w:r>
        <w:rPr>
          <w:rFonts w:ascii="宋体" w:eastAsia="宋体" w:hAnsi="宋体" w:cs="宋体" w:hint="eastAsia"/>
          <w:color w:val="000000"/>
          <w:sz w:val="26"/>
          <w:szCs w:val="72"/>
        </w:rPr>
        <w:t>施</w:t>
      </w:r>
    </w:p>
    <w:p w:rsidR="00BE531A" w:rsidP="00BE531A">
      <w:pPr>
        <w:bidi w:val="0"/>
        <w:ind w:firstLine="1440"/>
        <w:jc w:val="center"/>
        <w:rPr>
          <w:rFonts w:ascii="仿宋_GB2312" w:eastAsia="仿宋_GB2312" w:hAnsi="宋体" w:hint="eastAsia"/>
          <w:sz w:val="72"/>
          <w:szCs w:val="72"/>
        </w:rPr>
      </w:pPr>
      <w:r>
        <w:rPr>
          <w:rFonts w:ascii="宋体" w:eastAsia="宋体" w:hAnsi="宋体" w:cs="宋体" w:hint="eastAsia"/>
          <w:color w:val="000000"/>
          <w:sz w:val="26"/>
          <w:szCs w:val="72"/>
        </w:rPr>
        <w:t>工</w:t>
      </w:r>
    </w:p>
    <w:p w:rsidR="00BE531A" w:rsidP="00BE531A">
      <w:pPr>
        <w:bidi w:val="0"/>
        <w:ind w:firstLine="1440"/>
        <w:jc w:val="center"/>
        <w:rPr>
          <w:rFonts w:ascii="仿宋_GB2312" w:eastAsia="仿宋_GB2312" w:hAnsi="宋体" w:hint="eastAsia"/>
          <w:sz w:val="72"/>
          <w:szCs w:val="72"/>
        </w:rPr>
      </w:pPr>
      <w:r>
        <w:rPr>
          <w:rFonts w:ascii="宋体" w:eastAsia="宋体" w:hAnsi="宋体" w:cs="宋体" w:hint="eastAsia"/>
          <w:color w:val="000000"/>
          <w:sz w:val="26"/>
          <w:szCs w:val="72"/>
        </w:rPr>
        <w:t>方</w:t>
      </w:r>
    </w:p>
    <w:p w:rsidR="00BE531A" w:rsidP="00BE531A">
      <w:pPr>
        <w:bidi w:val="0"/>
        <w:ind w:firstLine="1440"/>
        <w:jc w:val="center"/>
        <w:rPr>
          <w:rFonts w:ascii="仿宋_GB2312" w:eastAsia="仿宋_GB2312" w:hAnsi="宋体" w:hint="eastAsia"/>
          <w:sz w:val="72"/>
          <w:szCs w:val="72"/>
        </w:rPr>
      </w:pPr>
      <w:r>
        <w:rPr>
          <w:rFonts w:ascii="宋体" w:eastAsia="宋体" w:hAnsi="宋体" w:cs="宋体" w:hint="eastAsia"/>
          <w:color w:val="000000"/>
          <w:sz w:val="26"/>
          <w:szCs w:val="72"/>
        </w:rPr>
        <w:t>案</w:t>
      </w: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2800"/>
        <w:rPr>
          <w:rFonts w:ascii="仿宋_GB2312" w:eastAsia="仿宋_GB2312" w:hAnsi="宋体" w:hint="eastAsia"/>
          <w:sz w:val="28"/>
          <w:szCs w:val="28"/>
          <w:u w:val="single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编制：</w:t>
      </w:r>
      <w:r>
        <w:rPr>
          <w:rFonts w:ascii="宋体" w:eastAsia="宋体" w:hAnsi="宋体" w:cs="宋体" w:hint="eastAsia"/>
          <w:color w:val="000000"/>
          <w:sz w:val="26"/>
          <w:szCs w:val="28"/>
          <w:u w:val="single"/>
        </w:rPr>
        <w:t xml:space="preserve">                </w:t>
      </w:r>
    </w:p>
    <w:p w:rsidR="00BE531A" w:rsidP="00BE531A">
      <w:pPr>
        <w:bidi w:val="0"/>
        <w:ind w:firstLine="2800"/>
        <w:rPr>
          <w:rFonts w:ascii="仿宋_GB2312" w:eastAsia="仿宋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审核：</w:t>
      </w:r>
      <w:r>
        <w:rPr>
          <w:rFonts w:ascii="宋体" w:eastAsia="宋体" w:hAnsi="宋体" w:cs="宋体" w:hint="eastAsia"/>
          <w:color w:val="000000"/>
          <w:sz w:val="26"/>
          <w:szCs w:val="28"/>
          <w:u w:val="single"/>
        </w:rPr>
        <w:t xml:space="preserve">                </w:t>
      </w:r>
    </w:p>
    <w:p w:rsidR="00BE531A" w:rsidP="00BE531A">
      <w:pPr>
        <w:bidi w:val="0"/>
        <w:ind w:firstLine="2800"/>
        <w:rPr>
          <w:rFonts w:ascii="仿宋_GB2312" w:eastAsia="仿宋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批准：</w:t>
      </w:r>
      <w:r>
        <w:rPr>
          <w:rFonts w:ascii="宋体" w:eastAsia="宋体" w:hAnsi="宋体" w:cs="宋体" w:hint="eastAsia"/>
          <w:color w:val="000000"/>
          <w:sz w:val="26"/>
          <w:szCs w:val="28"/>
          <w:u w:val="single"/>
        </w:rPr>
        <w:t xml:space="preserve">                </w:t>
      </w: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  <w:u w:val="single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  <w:u w:val="single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  <w:u w:val="single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640"/>
        <w:jc w:val="center"/>
        <w:rPr>
          <w:rFonts w:ascii="仿宋_GB2312" w:eastAsia="仿宋_GB2312" w:hAnsi="宋体" w:hint="eastAsia"/>
          <w:sz w:val="32"/>
          <w:szCs w:val="32"/>
        </w:rPr>
      </w:pPr>
      <w:r>
        <w:rPr>
          <w:rFonts w:ascii="宋体" w:eastAsia="宋体" w:hAnsi="宋体" w:cs="宋体" w:hint="eastAsia"/>
          <w:color w:val="000000"/>
          <w:sz w:val="26"/>
          <w:szCs w:val="32"/>
        </w:rPr>
        <w:t>目     录</w:t>
      </w: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  <w:sectPr w:rsidSect="00863590">
          <w:pgSz w:w="11906" w:h="16838"/>
          <w:pgMar w:top="936" w:right="1701" w:bottom="936" w:left="1701" w:header="851" w:footer="992" w:gutter="0"/>
          <w:pgNumType w:chapStyle="1"/>
          <w:cols w:space="720"/>
          <w:titlePg w:val="0"/>
          <w:docGrid w:type="lines" w:linePitch="312"/>
        </w:sect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第一章 编制依据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其次章 工程概况与管理体系设置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 xml:space="preserve">     一、工程概况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 xml:space="preserve">     二、管理体系设置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第三章 施工方法的确定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第四章 吊栏材料要求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第五章 吊栏脚手架搭设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第六章 吊栏脚手架结构计算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第七章 吊栏脚手架验收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第八章 外脚手架搭设的劳力支配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第九章 外脚手架搭设的平安技术措施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第十章  脚手架拆除的平安技术措施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第十一章  外墙砖脱落修理</w:t>
      </w:r>
    </w:p>
    <w:p w:rsidR="00BE531A" w:rsidRPr="00FE779B" w:rsidP="00BE531A">
      <w:pPr>
        <w:numPr>
          <w:ilvl w:val="0"/>
          <w:numId w:val="3"/>
        </w:numPr>
        <w:bidi w:val="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缘由分析</w:t>
      </w:r>
    </w:p>
    <w:p w:rsidR="00BE531A" w:rsidRPr="00FE779B" w:rsidP="00BE531A">
      <w:pPr>
        <w:numPr>
          <w:ilvl w:val="0"/>
          <w:numId w:val="3"/>
        </w:numPr>
        <w:bidi w:val="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施工打算</w:t>
      </w:r>
    </w:p>
    <w:p w:rsidR="00BE531A" w:rsidRPr="00FE779B" w:rsidP="00BE531A">
      <w:pPr>
        <w:numPr>
          <w:ilvl w:val="0"/>
          <w:numId w:val="3"/>
        </w:numPr>
        <w:bidi w:val="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外墙砖修理方法</w:t>
      </w:r>
    </w:p>
    <w:p w:rsidR="00BE531A" w:rsidRPr="00FE779B" w:rsidP="00BE531A">
      <w:pPr>
        <w:numPr>
          <w:ilvl w:val="0"/>
          <w:numId w:val="3"/>
        </w:numPr>
        <w:bidi w:val="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质量标准</w:t>
      </w:r>
    </w:p>
    <w:p w:rsidR="00BE531A" w:rsidRPr="00FE779B" w:rsidP="00BE531A">
      <w:pPr>
        <w:numPr>
          <w:ilvl w:val="0"/>
          <w:numId w:val="3"/>
        </w:numPr>
        <w:bidi w:val="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成品爱护</w:t>
      </w:r>
    </w:p>
    <w:p w:rsidR="00BE531A" w:rsidRPr="00FE779B" w:rsidP="00BE531A">
      <w:pPr>
        <w:bidi w:val="0"/>
        <w:rPr>
          <w:rFonts w:ascii="仿宋" w:eastAsia="仿宋" w:hAnsi="仿宋" w:hint="eastAsia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 xml:space="preserve">    第十二章   平安文明施工措施</w:t>
      </w:r>
    </w:p>
    <w:p w:rsidR="00BE531A" w:rsidRPr="00FE779B" w:rsidP="00BE531A">
      <w:pPr>
        <w:bidi w:val="0"/>
        <w:ind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866" o:spid="_x0000_s1025" type="#_x0000_t75" alt="88" style="width:93pt;height:29pt;margin-top:150pt;margin-left:86pt;position:absolute;z-index:-251658240" filled="f" stroked="f">
            <v:imagedata r:id="rId4" o:title="88"/>
            <v:path o:extrusionok="f"/>
            <o:lock v:ext="edit" aspectratio="t"/>
            <w10:anchorlock/>
          </v:shape>
        </w:pict>
      </w: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第十三章   应急救援预案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第一节  应急救援预案建立原则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其次节  应急组织领导体系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第三节  主要危急源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第四节  应急报告程序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  <w:sectPr w:rsidSect="00863590">
          <w:type w:val="nextPage"/>
          <w:pgSz w:w="11906" w:h="16838"/>
          <w:pgMar w:top="936" w:right="1701" w:bottom="936" w:left="1701" w:header="851" w:footer="992" w:gutter="0"/>
          <w:pgNumType w:start="2" w:chapStyle="1"/>
          <w:cols w:space="720"/>
          <w:titlePg w:val="0"/>
          <w:docGrid w:type="lines" w:linePitch="312"/>
        </w:sect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第五节  寻救第三方支援救援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第六节   现场爱护</w:t>
      </w:r>
    </w:p>
    <w:p w:rsidR="00BE531A" w:rsidRPr="00FE779B" w:rsidP="00BE531A">
      <w:pPr>
        <w:bidi w:val="0"/>
        <w:ind w:firstLine="560"/>
        <w:rPr>
          <w:rFonts w:ascii="仿宋" w:eastAsia="仿宋" w:hAnsi="仿宋"/>
          <w:sz w:val="28"/>
          <w:szCs w:val="28"/>
        </w:rPr>
      </w:pPr>
      <w:r w:rsidRPr="00FE779B">
        <w:rPr>
          <w:rFonts w:ascii="宋体" w:eastAsia="宋体" w:hAnsi="宋体" w:cs="宋体" w:hint="eastAsia"/>
          <w:color w:val="000000"/>
          <w:sz w:val="26"/>
          <w:szCs w:val="28"/>
        </w:rPr>
        <w:t>第七节   现场应急救援、救援详细措施</w:t>
      </w: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BE531A">
      <w:pPr>
        <w:bidi w:val="0"/>
        <w:ind w:firstLine="560"/>
        <w:rPr>
          <w:rFonts w:ascii="仿宋_GB2312" w:eastAsia="仿宋_GB2312" w:hAnsi="宋体" w:hint="eastAsia"/>
          <w:sz w:val="28"/>
          <w:szCs w:val="28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BE531A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</w:p>
    <w:p w:rsidR="004C6D2B" w:rsidRPr="009B0377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  <w:r w:rsidRPr="009B0377">
        <w:rPr>
          <w:rFonts w:ascii="宋体" w:eastAsia="宋体" w:hAnsi="宋体" w:cs="宋体" w:hint="eastAsia"/>
          <w:b/>
          <w:color w:val="000000"/>
          <w:sz w:val="26"/>
          <w:szCs w:val="32"/>
        </w:rPr>
        <w:t>第一章 编制依据</w:t>
      </w:r>
    </w:p>
    <w:p w:rsidR="004C6D2B" w:rsidRPr="009B0377" w:rsidP="00863590">
      <w:pPr>
        <w:tabs>
          <w:tab w:val="left" w:pos="9870"/>
        </w:tabs>
        <w:bidi w:val="0"/>
        <w:ind w:right="286"/>
        <w:rPr>
          <w:rFonts w:ascii="仿宋" w:eastAsia="仿宋" w:hAnsi="仿宋" w:hint="eastAsia"/>
          <w:b/>
          <w:sz w:val="28"/>
          <w:szCs w:val="28"/>
        </w:rPr>
      </w:pPr>
      <w:r w:rsidRPr="009B0377">
        <w:rPr>
          <w:rFonts w:ascii="宋体" w:eastAsia="宋体" w:hAnsi="宋体" w:cs="宋体" w:hint="eastAsia"/>
          <w:b/>
          <w:color w:val="000000"/>
          <w:sz w:val="26"/>
          <w:szCs w:val="28"/>
        </w:rPr>
        <w:t>一、编制依据：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业主批</w:t>
      </w:r>
      <w:r w:rsidRPr="009B0377" w:rsidR="00C06CF1">
        <w:rPr>
          <w:rFonts w:ascii="宋体" w:eastAsia="宋体" w:hAnsi="宋体" w:cs="宋体" w:hint="eastAsia"/>
          <w:color w:val="000000"/>
          <w:sz w:val="26"/>
          <w:szCs w:val="28"/>
        </w:rPr>
        <w:t xml:space="preserve"> 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现场测量</w:t>
      </w:r>
    </w:p>
    <w:p w:rsidR="004C6D2B" w:rsidRPr="009B0377" w:rsidP="0060702E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《建筑施工手册》</w:t>
      </w:r>
    </w:p>
    <w:p w:rsidR="004C6D2B" w:rsidRPr="009B0377" w:rsidP="0060702E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《建筑施工扣件式钢管脚手架平安技术规范》（JGJ130-2001）</w:t>
      </w:r>
    </w:p>
    <w:p w:rsidR="004C6D2B" w:rsidRPr="009B0377" w:rsidP="0060702E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  <w:sectPr w:rsidSect="00863590">
          <w:type w:val="nextPage"/>
          <w:pgSz w:w="11906" w:h="16838"/>
          <w:pgMar w:top="936" w:right="1701" w:bottom="936" w:left="1701" w:header="851" w:footer="992" w:gutter="0"/>
          <w:pgNumType w:start="3" w:chapStyle="1"/>
          <w:cols w:space="720"/>
          <w:titlePg w:val="0"/>
          <w:docGrid w:type="lines" w:linePitch="312"/>
        </w:sect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《建筑结构荷载规范》（GB50009-20</w:t>
      </w:r>
      <w:r w:rsidRPr="009B0377" w:rsidR="0060702E">
        <w:rPr>
          <w:rFonts w:ascii="宋体" w:eastAsia="宋体" w:hAnsi="宋体" w:cs="宋体" w:hint="eastAsia"/>
          <w:color w:val="000000"/>
          <w:sz w:val="26"/>
          <w:szCs w:val="28"/>
        </w:rPr>
        <w:t>12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）</w:t>
      </w:r>
    </w:p>
    <w:p w:rsidR="00F25FE4" w:rsidRPr="009B0377" w:rsidP="0060702E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</w:p>
    <w:p w:rsidR="004C6D2B" w:rsidRPr="009B0377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  <w:r w:rsidRPr="009B0377">
        <w:rPr>
          <w:rFonts w:ascii="宋体" w:eastAsia="宋体" w:hAnsi="宋体" w:cs="宋体" w:hint="eastAsia"/>
          <w:b/>
          <w:color w:val="000000"/>
          <w:sz w:val="26"/>
          <w:szCs w:val="32"/>
        </w:rPr>
        <w:t>其次章 工程概况</w:t>
      </w:r>
      <w:bookmarkStart w:id="1" w:name="bk100"/>
      <w:bookmarkEnd w:id="0"/>
      <w:bookmarkEnd w:id="1"/>
      <w:r w:rsidRPr="009B0377">
        <w:rPr>
          <w:rFonts w:ascii="宋体" w:eastAsia="宋体" w:hAnsi="宋体" w:cs="宋体" w:hint="eastAsia"/>
          <w:b/>
          <w:color w:val="000000"/>
          <w:sz w:val="26"/>
          <w:szCs w:val="32"/>
        </w:rPr>
        <w:t>与管理体系设置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bookmarkStart w:id="2" w:name="bk101"/>
      <w:bookmarkEnd w:id="2"/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为进一步贯彻《建筑施工平安检查标准》（JGJ59-</w:t>
      </w:r>
      <w:r w:rsidRPr="009B0377" w:rsidR="0060702E">
        <w:rPr>
          <w:rFonts w:ascii="宋体" w:eastAsia="宋体" w:hAnsi="宋体" w:cs="宋体" w:hint="eastAsia"/>
          <w:color w:val="000000"/>
          <w:sz w:val="26"/>
          <w:szCs w:val="28"/>
        </w:rPr>
        <w:t>2011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 xml:space="preserve">），实现平安管理规范化、科学化，确保规范施工平安生产，依据该工程建筑结构和施工特点、特编制该施工方案。 </w:t>
      </w:r>
    </w:p>
    <w:p w:rsidR="004C6D2B" w:rsidRPr="009B0377" w:rsidP="00863590">
      <w:pPr>
        <w:tabs>
          <w:tab w:val="left" w:pos="9870"/>
        </w:tabs>
        <w:bidi w:val="0"/>
        <w:ind w:right="286"/>
        <w:rPr>
          <w:rFonts w:ascii="仿宋" w:eastAsia="仿宋" w:hAnsi="仿宋" w:hint="eastAsia"/>
          <w:b/>
          <w:sz w:val="28"/>
          <w:szCs w:val="28"/>
        </w:rPr>
      </w:pPr>
      <w:r w:rsidRPr="009B0377">
        <w:rPr>
          <w:rFonts w:ascii="宋体" w:eastAsia="宋体" w:hAnsi="宋体" w:cs="宋体" w:hint="eastAsia"/>
          <w:b/>
          <w:color w:val="000000"/>
          <w:sz w:val="26"/>
          <w:szCs w:val="28"/>
        </w:rPr>
        <w:t xml:space="preserve">一、工程概况 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1、本工程场地位于重庆市高校城科技学院。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2.案例一：某一职工住宅楼共18层，屋面为上人屋面，发觉在15层外墙山墙处出现一处外墙砖（纸面砖）脱落，约5平方米，请投标人针对该项目制定专项修理方案。</w:t>
      </w:r>
    </w:p>
    <w:p w:rsidR="004C6D2B" w:rsidRPr="009B0377" w:rsidP="00863590">
      <w:pPr>
        <w:tabs>
          <w:tab w:val="left" w:pos="9870"/>
        </w:tabs>
        <w:bidi w:val="0"/>
        <w:ind w:right="286"/>
        <w:rPr>
          <w:rFonts w:ascii="仿宋" w:eastAsia="仿宋" w:hAnsi="仿宋" w:hint="eastAsia"/>
          <w:b/>
          <w:sz w:val="28"/>
          <w:szCs w:val="28"/>
        </w:rPr>
      </w:pPr>
      <w:r w:rsidRPr="009B0377">
        <w:rPr>
          <w:rFonts w:ascii="宋体" w:eastAsia="宋体" w:hAnsi="宋体" w:cs="宋体" w:hint="eastAsia"/>
          <w:b/>
          <w:color w:val="000000"/>
          <w:sz w:val="26"/>
          <w:szCs w:val="28"/>
        </w:rPr>
        <w:t>二、管理体系设置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施工质量限制体系是按科学的程序运转，其运转的基本方式是PDCA的循环管理活动，它是通过支配、实施、检查、处理四个阶段把经营和生产过程的质量有机地联系起来，而形成一个高效的体系来保证施工质量达到工程质量的保证。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以我们提出的质量目标为依据，编制相应的分项工程质量目标支配，这个分项目标支配应使在项目参与管理的全体人员均熟识了解，做到心中有数。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在目标支配制定后，各施工现场管理人员应编制相应的工作标准在施工班组实施，在实施过程中进行方式、方法的调整，以使工作标准完善。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  <w:sectPr w:rsidSect="00863590">
          <w:type w:val="nextPage"/>
          <w:pgSz w:w="11906" w:h="16838"/>
          <w:pgMar w:top="936" w:right="1701" w:bottom="936" w:left="1701" w:header="851" w:footer="992" w:gutter="0"/>
          <w:pgNumType w:start="4" w:chapStyle="1"/>
          <w:cols w:space="720"/>
          <w:titlePg w:val="0"/>
          <w:docGrid w:type="lines" w:linePitch="312"/>
        </w:sect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在实施过程中，无论是施工工长还是质检人员均要加强检查，在检查中发觉问题并与时解决，以使全部质量问题解决于施工之中，并同时对这些问题进行汇总，形成书面材料，以保证在今后或下次施工时不出现类似问题。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在实施完成后，对成型的建筑产品进行全面检查，发觉问题，追查缘由，对不同问题进行不同的处理方式，从人、物、方法、工艺、工序等方面进行探讨</w:t>
      </w:r>
      <w:r w:rsidRPr="009B0377" w:rsidR="00863590">
        <w:rPr>
          <w:rFonts w:ascii="宋体" w:eastAsia="宋体" w:hAnsi="宋体" w:cs="宋体" w:hint="eastAsia"/>
          <w:color w:val="000000"/>
          <w:sz w:val="26"/>
          <w:szCs w:val="28"/>
        </w:rPr>
        <w:t>，并产生改进看法，再依据这些改进看法而使施工工序进入下次循环。</w:t>
      </w:r>
    </w:p>
    <w:p w:rsidR="00863590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</w:p>
    <w:p w:rsidR="004C6D2B" w:rsidRPr="009B0377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  <w:bookmarkStart w:id="3" w:name="bk102"/>
      <w:bookmarkEnd w:id="3"/>
      <w:r w:rsidRPr="009B0377">
        <w:rPr>
          <w:rFonts w:ascii="宋体" w:eastAsia="宋体" w:hAnsi="宋体" w:cs="宋体" w:hint="eastAsia"/>
          <w:b/>
          <w:color w:val="000000"/>
          <w:sz w:val="26"/>
          <w:szCs w:val="32"/>
        </w:rPr>
        <w:t>第三章 施工方法的确定</w:t>
      </w:r>
    </w:p>
    <w:p w:rsidR="004C6D2B" w:rsidRPr="009B0377" w:rsidP="0060702E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 xml:space="preserve"> 一、工程概况分析：依据现场状况，该职工住房共18层楼，修理处位于第15层，屋面为上人屋面，外墙砖（纸面砖）脱落约5平方米， 此修理处高度在外墙的3/4高度，就是从地面到修理处的长度大于从屋到修理处的长度。假如从地面搭设落地式脚手架，其特点一是处理地面受力面，二是要在室内做连接，由于修理处是在外墙的山墙上，做室内连接会对墙体实行打凿，会增加工费，可另择方法；</w:t>
      </w:r>
    </w:p>
    <w:p w:rsidR="004C6D2B" w:rsidRPr="009B0377" w:rsidP="0060702E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二、确定采纳在屋顶搭设</w:t>
      </w:r>
      <w:r w:rsidRPr="009B0377" w:rsidR="000A0935">
        <w:rPr>
          <w:rFonts w:ascii="宋体" w:eastAsia="宋体" w:hAnsi="宋体" w:cs="宋体" w:hint="eastAsia"/>
          <w:color w:val="000000"/>
          <w:sz w:val="26"/>
          <w:szCs w:val="28"/>
        </w:rPr>
        <w:t>电动吊</w:t>
      </w:r>
      <w:r w:rsidRPr="009B0377" w:rsidR="00C06CF1">
        <w:rPr>
          <w:rFonts w:ascii="宋体" w:eastAsia="宋体" w:hAnsi="宋体" w:cs="宋体" w:hint="eastAsia"/>
          <w:color w:val="000000"/>
          <w:sz w:val="26"/>
          <w:szCs w:val="28"/>
        </w:rPr>
        <w:t>栏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，工费要节约许多。</w:t>
      </w:r>
    </w:p>
    <w:p w:rsidR="00863590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</w:p>
    <w:p w:rsidR="004C6D2B" w:rsidRPr="009B0377" w:rsidP="008262E4">
      <w:pPr>
        <w:tabs>
          <w:tab w:val="left" w:pos="9870"/>
        </w:tabs>
        <w:bidi w:val="0"/>
        <w:ind w:right="286" w:firstLine="643"/>
        <w:jc w:val="center"/>
        <w:rPr>
          <w:rFonts w:ascii="仿宋" w:eastAsia="仿宋" w:hAnsi="仿宋" w:hint="eastAsia"/>
          <w:b/>
          <w:sz w:val="32"/>
          <w:szCs w:val="32"/>
        </w:rPr>
      </w:pPr>
      <w:r w:rsidRPr="009B0377">
        <w:rPr>
          <w:rFonts w:ascii="宋体" w:eastAsia="宋体" w:hAnsi="宋体" w:cs="宋体" w:hint="eastAsia"/>
          <w:b/>
          <w:color w:val="000000"/>
          <w:sz w:val="26"/>
          <w:szCs w:val="32"/>
        </w:rPr>
        <w:t xml:space="preserve">第四章 </w:t>
      </w:r>
      <w:r w:rsidRPr="009B0377" w:rsidR="008262E4">
        <w:rPr>
          <w:rFonts w:ascii="宋体" w:eastAsia="宋体" w:hAnsi="宋体" w:cs="宋体" w:hint="eastAsia"/>
          <w:b/>
          <w:color w:val="000000"/>
          <w:sz w:val="26"/>
          <w:szCs w:val="32"/>
        </w:rPr>
        <w:t>吊栏</w:t>
      </w:r>
      <w:r w:rsidRPr="009B0377">
        <w:rPr>
          <w:rFonts w:ascii="宋体" w:eastAsia="宋体" w:hAnsi="宋体" w:cs="宋体" w:hint="eastAsia"/>
          <w:b/>
          <w:color w:val="000000"/>
          <w:sz w:val="26"/>
          <w:szCs w:val="32"/>
        </w:rPr>
        <w:t>材料要求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bookmarkStart w:id="4" w:name="bk103"/>
      <w:bookmarkEnd w:id="4"/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材料与规格选择</w:t>
      </w:r>
      <w:r w:rsidRPr="009B0377" w:rsidR="00863590">
        <w:rPr>
          <w:rFonts w:ascii="宋体" w:eastAsia="宋体" w:hAnsi="宋体" w:cs="宋体" w:hint="eastAsia"/>
          <w:color w:val="000000"/>
          <w:sz w:val="26"/>
          <w:szCs w:val="28"/>
        </w:rPr>
        <w:t>：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悬挑梁采纳I16Q235热扎一般工字钢，挑梁单根长8米，2根。横向连系2根，单根长3.5米。将配重架焊接或U行卡连接成为一整体。吊栏自行焊接也可租用，提升采纳葫芦链子，保险绳采纳白棕绳，保险带选购</w:t>
        <w:tab/>
        <w:t>专用保险带。钢丝绳用手拉葫芦(倒链)拉紧,做到全部钢丝绳拉紧程度基本相同,避开钢丝绳受力不匀称.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pict>
          <v:shape id="图片 8" o:spid="_x0000_s1026" type="#_x0000_t75" style="width:110pt;height:16pt;margin-top:284pt;margin-left:157pt;position:absolute;z-index:-251656192" filled="f" stroked="f">
            <v:imagedata r:id="rId5" o:title="108"/>
            <v:path o:extrusionok="f"/>
            <o:lock v:ext="edit" aspectratio="t"/>
            <w10:anchorlock/>
          </v:shape>
        </w:pict>
      </w:r>
      <w:r>
        <w:rPr>
          <w:rFonts w:ascii="仿宋" w:eastAsia="仿宋" w:hAnsi="仿宋" w:hint="eastAsia"/>
          <w:sz w:val="28"/>
          <w:szCs w:val="28"/>
        </w:rPr>
        <w:pict>
          <v:shape id="图片 7" o:spid="_x0000_s1027" type="#_x0000_t75" style="width:47pt;height:45pt;margin-top:65pt;margin-left:17pt;position:absolute;z-index:-251657216" filled="f" stroked="f">
            <v:imagedata r:id="rId6" o:title="38"/>
            <v:path o:extrusionok="f"/>
            <o:lock v:ext="edit" aspectratio="t"/>
            <w10:anchorlock/>
          </v:shape>
        </w:pic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 xml:space="preserve">1、吊栏制作 </w:t>
      </w:r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吊架材料采纳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└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56*8等支角钢，围栏用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└</w:t>
      </w:r>
      <w:r w:rsidRPr="009B0377">
        <w:rPr>
          <w:rFonts w:ascii="宋体" w:eastAsia="宋体" w:hAnsi="宋体" w:cs="宋体" w:hint="eastAsia"/>
          <w:color w:val="000000"/>
          <w:sz w:val="26"/>
          <w:szCs w:val="28"/>
        </w:rPr>
        <w:t>45*5等支角钢。材质符合《一般碳素结构钢技术条件》（GB700-88）中的A3钢的技术条件。焊接成型。 围栏杆高度1.2米，横箍2道。立柱每边4根。底板角钢4根，平铺竹编脚手板并用16号铁丝绑扎坚固。</w:t>
      </w:r>
      <w:r w:rsidRPr="009B0377">
        <w:rPr>
          <w:rFonts w:ascii="仿宋" w:eastAsia="仿宋" w:hAnsi="仿宋" w:hint="eastAsia"/>
          <w:sz w:val="28"/>
          <w:szCs w:val="28"/>
        </w:rPr>
        <w:br/>
      </w:r>
      <w:r w:rsidRPr="009B0377">
        <w:rPr>
          <w:rFonts w:ascii="仿宋" w:eastAsia="仿宋" w:hAnsi="仿宋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https://d.book118.com/356232001050010054</w:t>
        </w:r>
      </w:hyperlink>
    </w:p>
    <w:p w:rsidR="004C6D2B" w:rsidRPr="009B0377" w:rsidP="00863590">
      <w:pPr>
        <w:tabs>
          <w:tab w:val="left" w:pos="9870"/>
        </w:tabs>
        <w:bidi w:val="0"/>
        <w:ind w:right="286" w:firstLine="560"/>
        <w:rPr>
          <w:rFonts w:ascii="仿宋" w:eastAsia="仿宋" w:hAnsi="仿宋" w:hint="eastAsia"/>
          <w:sz w:val="28"/>
          <w:szCs w:val="28"/>
        </w:rPr>
      </w:pPr>
    </w:p>
    <w:sectPr w:rsidSect="00863590">
      <w:type w:val="nextPage"/>
      <w:pgSz w:w="11906" w:h="16838"/>
      <w:pgMar w:top="936" w:right="1701" w:bottom="936" w:left="1701" w:header="851" w:footer="992" w:gutter="0"/>
      <w:pgNumType w:start="5" w:chapStyle="1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0000000000000000000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B2E27"/>
    <w:multiLevelType w:val="multilevel"/>
    <w:tmpl w:val="602B2E27"/>
    <w:lvl w:ilvl="0">
      <w:start w:val="1"/>
      <w:numFmt w:val="decimal"/>
      <w:lvlText w:val="（%1）"/>
      <w:lvlJc w:val="left"/>
      <w:pPr>
        <w:ind w:left="1560" w:hanging="10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6DCA4355"/>
    <w:multiLevelType w:val="multilevel"/>
    <w:tmpl w:val="70692DA5"/>
    <w:lvl w:ilvl="0">
      <w:start w:val="1"/>
      <w:numFmt w:val="japaneseCounting"/>
      <w:lvlText w:val="%1、"/>
      <w:lvlJc w:val="left"/>
      <w:pPr>
        <w:ind w:left="197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090" w:hanging="420"/>
      </w:pPr>
    </w:lvl>
    <w:lvl w:ilvl="2">
      <w:start w:val="1"/>
      <w:numFmt w:val="lowerRoman"/>
      <w:lvlText w:val="%3."/>
      <w:lvlJc w:val="right"/>
      <w:pPr>
        <w:ind w:left="2510" w:hanging="420"/>
      </w:pPr>
    </w:lvl>
    <w:lvl w:ilvl="3">
      <w:start w:val="1"/>
      <w:numFmt w:val="decimal"/>
      <w:lvlText w:val="%4."/>
      <w:lvlJc w:val="left"/>
      <w:pPr>
        <w:ind w:left="2930" w:hanging="420"/>
      </w:pPr>
    </w:lvl>
    <w:lvl w:ilvl="4">
      <w:start w:val="1"/>
      <w:numFmt w:val="lowerLetter"/>
      <w:lvlText w:val="%5)"/>
      <w:lvlJc w:val="left"/>
      <w:pPr>
        <w:ind w:left="3350" w:hanging="420"/>
      </w:pPr>
    </w:lvl>
    <w:lvl w:ilvl="5">
      <w:start w:val="1"/>
      <w:numFmt w:val="lowerRoman"/>
      <w:lvlText w:val="%6."/>
      <w:lvlJc w:val="right"/>
      <w:pPr>
        <w:ind w:left="3770" w:hanging="420"/>
      </w:pPr>
    </w:lvl>
    <w:lvl w:ilvl="6">
      <w:start w:val="1"/>
      <w:numFmt w:val="decimal"/>
      <w:lvlText w:val="%7."/>
      <w:lvlJc w:val="left"/>
      <w:pPr>
        <w:ind w:left="4190" w:hanging="420"/>
      </w:pPr>
    </w:lvl>
    <w:lvl w:ilvl="7">
      <w:start w:val="1"/>
      <w:numFmt w:val="lowerLetter"/>
      <w:lvlText w:val="%8)"/>
      <w:lvlJc w:val="left"/>
      <w:pPr>
        <w:ind w:left="4610" w:hanging="420"/>
      </w:pPr>
    </w:lvl>
    <w:lvl w:ilvl="8">
      <w:start w:val="1"/>
      <w:numFmt w:val="lowerRoman"/>
      <w:lvlText w:val="%9."/>
      <w:lvlJc w:val="right"/>
      <w:pPr>
        <w:ind w:left="5030" w:hanging="420"/>
      </w:pPr>
    </w:lvl>
  </w:abstractNum>
  <w:abstractNum w:abstractNumId="2">
    <w:nsid w:val="70692DA5"/>
    <w:multiLevelType w:val="multilevel"/>
    <w:tmpl w:val="70692DA5"/>
    <w:lvl w:ilvl="0">
      <w:start w:val="1"/>
      <w:numFmt w:val="japaneseCounting"/>
      <w:lvlText w:val="%1、"/>
      <w:lvlJc w:val="left"/>
      <w:pPr>
        <w:ind w:left="197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090" w:hanging="420"/>
      </w:pPr>
    </w:lvl>
    <w:lvl w:ilvl="2">
      <w:start w:val="1"/>
      <w:numFmt w:val="lowerRoman"/>
      <w:lvlText w:val="%3."/>
      <w:lvlJc w:val="right"/>
      <w:pPr>
        <w:ind w:left="2510" w:hanging="420"/>
      </w:pPr>
    </w:lvl>
    <w:lvl w:ilvl="3">
      <w:start w:val="1"/>
      <w:numFmt w:val="decimal"/>
      <w:lvlText w:val="%4."/>
      <w:lvlJc w:val="left"/>
      <w:pPr>
        <w:ind w:left="2930" w:hanging="420"/>
      </w:pPr>
    </w:lvl>
    <w:lvl w:ilvl="4">
      <w:start w:val="1"/>
      <w:numFmt w:val="lowerLetter"/>
      <w:lvlText w:val="%5)"/>
      <w:lvlJc w:val="left"/>
      <w:pPr>
        <w:ind w:left="3350" w:hanging="420"/>
      </w:pPr>
    </w:lvl>
    <w:lvl w:ilvl="5">
      <w:start w:val="1"/>
      <w:numFmt w:val="lowerRoman"/>
      <w:lvlText w:val="%6."/>
      <w:lvlJc w:val="right"/>
      <w:pPr>
        <w:ind w:left="3770" w:hanging="420"/>
      </w:pPr>
    </w:lvl>
    <w:lvl w:ilvl="6">
      <w:start w:val="1"/>
      <w:numFmt w:val="decimal"/>
      <w:lvlText w:val="%7."/>
      <w:lvlJc w:val="left"/>
      <w:pPr>
        <w:ind w:left="4190" w:hanging="420"/>
      </w:pPr>
    </w:lvl>
    <w:lvl w:ilvl="7">
      <w:start w:val="1"/>
      <w:numFmt w:val="lowerLetter"/>
      <w:lvlText w:val="%8)"/>
      <w:lvlJc w:val="left"/>
      <w:pPr>
        <w:ind w:left="4610" w:hanging="420"/>
      </w:pPr>
    </w:lvl>
    <w:lvl w:ilvl="8">
      <w:start w:val="1"/>
      <w:numFmt w:val="lowerRoman"/>
      <w:lvlText w:val="%9."/>
      <w:lvlJc w:val="right"/>
      <w:pPr>
        <w:ind w:left="503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720"/>
    <w:rsid w:val="000A0935"/>
    <w:rsid w:val="00383999"/>
    <w:rsid w:val="00437995"/>
    <w:rsid w:val="004C6D2B"/>
    <w:rsid w:val="0060702E"/>
    <w:rsid w:val="00625CD7"/>
    <w:rsid w:val="007E2D2B"/>
    <w:rsid w:val="008262E4"/>
    <w:rsid w:val="00863590"/>
    <w:rsid w:val="009B0377"/>
    <w:rsid w:val="00BE531A"/>
    <w:rsid w:val="00C06CF1"/>
    <w:rsid w:val="00F25FE4"/>
    <w:rsid w:val="00FE779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val="0000FF"/>
      <w:u w:val="none"/>
    </w:rPr>
  </w:style>
  <w:style w:type="paragraph" w:styleId="TOC1">
    <w:name w:val="toc 1"/>
    <w:basedOn w:val="Normal"/>
    <w:next w:val="Normal"/>
    <w:semiHidden/>
    <w:pPr>
      <w:spacing w:line="360" w:lineRule="auto"/>
    </w:pPr>
    <w:rPr>
      <w:rFonts w:ascii="宋体" w:hAnsi="华文细黑"/>
      <w:color w:val="00000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Indent">
    <w:name w:val="Normal Indent"/>
    <w:basedOn w:val="Normal"/>
    <w:pPr>
      <w:ind w:firstLine="420"/>
    </w:pPr>
  </w:style>
  <w:style w:type="paragraph" w:customStyle="1" w:styleId="reader-word-layer">
    <w:name w:val="reader-word-layer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Title">
    <w:name w:val="Title"/>
    <w:basedOn w:val="Normal"/>
    <w:next w:val="Normal"/>
    <w:qFormat/>
    <w:pPr>
      <w:spacing w:before="240" w:after="60" w:line="360" w:lineRule="auto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ListParagraph">
    <w:name w:val="List Paragraph"/>
    <w:basedOn w:val="Normal"/>
    <w:uiPriority w:val="34"/>
    <w:qFormat/>
    <w:pPr>
      <w:ind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hyperlink" Target="https://d.book118.com/356232001050010054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1583</Words>
  <Characters>9029</Characters>
  <Application>Microsoft Office Word</Application>
  <DocSecurity>0</DocSecurity>
  <Lines>75</Lines>
  <Paragraphs>21</Paragraphs>
  <ScaleCrop>false</ScaleCrop>
  <Company/>
  <LinksUpToDate>false</LinksUpToDate>
  <CharactersWithSpaces>10591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2017-03-09T13:41:00Z</dcterms:created>
  <dcterms:modified xsi:type="dcterms:W3CDTF">2017-03-09T14:36:00Z</dcterms:modified>
</cp:coreProperties>
</file>