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before="34" w:line="417" w:lineRule="auto"/>
        <w:ind w:left="4378" w:right="2165" w:hanging="2360"/>
        <w:jc w:val="left"/>
      </w:pPr>
      <w:r>
        <w:rPr>
          <w:spacing w:val="-2"/>
        </w:rPr>
        <w:t>LED</w:t>
      </w:r>
      <w:r>
        <w:rPr>
          <w:spacing w:val="-11"/>
        </w:rPr>
        <w:t xml:space="preserve"> 光源的应用现状及现在存在的问题</w:t>
      </w:r>
      <w:r>
        <w:rPr>
          <w:spacing w:val="-6"/>
        </w:rPr>
        <w:t>摘要</w:t>
      </w:r>
    </w:p>
    <w:p>
      <w:pPr>
        <w:spacing w:before="0" w:line="229" w:lineRule="exact"/>
        <w:ind w:left="785" w:right="0" w:firstLine="0"/>
        <w:jc w:val="left"/>
        <w:rPr>
          <w:i/>
          <w:sz w:val="24"/>
        </w:rPr>
      </w:pPr>
      <w:r>
        <w:rPr>
          <w:i/>
          <w:spacing w:val="-5"/>
          <w:sz w:val="24"/>
        </w:rPr>
        <w:t>现如今，随着社会的不停发展与进步，社会发展的需求原则也在不停的提高，对</w:t>
      </w:r>
    </w:p>
    <w:p>
      <w:pPr>
        <w:spacing w:before="92" w:line="312" w:lineRule="auto"/>
        <w:ind w:left="305" w:right="332" w:firstLine="0"/>
        <w:jc w:val="left"/>
        <w:rPr>
          <w:i/>
          <w:sz w:val="24"/>
        </w:rPr>
      </w:pPr>
      <w:r>
        <w:rPr>
          <w:i/>
          <w:spacing w:val="-2"/>
          <w:sz w:val="24"/>
        </w:rPr>
        <w:t>于影响社会发展的至关重要的因素</w:t>
      </w:r>
      <w:r>
        <w:rPr>
          <w:spacing w:val="-2"/>
          <w:sz w:val="24"/>
        </w:rPr>
        <w:t>—</w:t>
      </w:r>
      <w:r>
        <w:rPr>
          <w:i/>
          <w:spacing w:val="-2"/>
          <w:sz w:val="24"/>
        </w:rPr>
        <w:t>能源的规定，也就更加的苛刻了，因此能源节俭</w:t>
      </w:r>
      <w:r>
        <w:rPr>
          <w:i/>
          <w:spacing w:val="-7"/>
          <w:sz w:val="24"/>
        </w:rPr>
        <w:t>就成了当今社会人们面临的非常重要的问题。社会照明所占用的能源消耗在社会总能</w:t>
      </w:r>
      <w:r>
        <w:rPr>
          <w:i/>
          <w:spacing w:val="-8"/>
          <w:sz w:val="24"/>
        </w:rPr>
        <w:t>源消耗中的比例也是相称的一部分，由此可见能够较好的做好照明方面的能源节俭是</w:t>
      </w:r>
      <w:r>
        <w:rPr>
          <w:i/>
          <w:spacing w:val="-15"/>
          <w:sz w:val="24"/>
        </w:rPr>
        <w:t>特别重要的。</w:t>
      </w:r>
      <w:r>
        <w:rPr>
          <w:spacing w:val="-2"/>
          <w:sz w:val="24"/>
        </w:rPr>
        <w:t>LED</w:t>
      </w:r>
      <w:r>
        <w:rPr>
          <w:spacing w:val="-41"/>
          <w:sz w:val="24"/>
        </w:rPr>
        <w:t xml:space="preserve"> </w:t>
      </w:r>
      <w:r>
        <w:rPr>
          <w:i/>
          <w:spacing w:val="-8"/>
          <w:sz w:val="24"/>
        </w:rPr>
        <w:t>光源作为新世纪科技的产物，将使得社会照明进入一种崭新的时代，</w:t>
      </w:r>
      <w:r>
        <w:rPr>
          <w:i/>
          <w:sz w:val="24"/>
        </w:rPr>
        <w:t>同时也将解决能源消耗的问题。但是同传统的光源相比，</w:t>
      </w:r>
      <w:r>
        <w:rPr>
          <w:sz w:val="24"/>
        </w:rPr>
        <w:t>LED</w:t>
      </w:r>
      <w:r>
        <w:rPr>
          <w:spacing w:val="-41"/>
          <w:sz w:val="24"/>
        </w:rPr>
        <w:t xml:space="preserve"> </w:t>
      </w:r>
      <w:r>
        <w:rPr>
          <w:i/>
          <w:sz w:val="24"/>
        </w:rPr>
        <w:t>光源也存在着某些还没</w:t>
      </w:r>
      <w:r>
        <w:rPr>
          <w:i/>
          <w:spacing w:val="-2"/>
          <w:sz w:val="24"/>
        </w:rPr>
        <w:t>有解决的问题，如应用价格与传统光源相比较高，其发光效率与传统光源也有一定的</w:t>
      </w:r>
      <w:r>
        <w:rPr>
          <w:i/>
          <w:sz w:val="24"/>
        </w:rPr>
        <w:t>差距等，但是随着社会技术的不停进步，</w:t>
      </w:r>
      <w:r>
        <w:rPr>
          <w:sz w:val="24"/>
        </w:rPr>
        <w:t>LED</w:t>
      </w:r>
      <w:r>
        <w:rPr>
          <w:spacing w:val="-41"/>
          <w:sz w:val="24"/>
        </w:rPr>
        <w:t xml:space="preserve"> </w:t>
      </w:r>
      <w:r>
        <w:rPr>
          <w:i/>
          <w:sz w:val="24"/>
        </w:rPr>
        <w:t>光源最后将会进入通用照明市场，其势</w:t>
      </w:r>
      <w:r>
        <w:rPr>
          <w:i/>
          <w:spacing w:val="-2"/>
          <w:sz w:val="24"/>
        </w:rPr>
        <w:t>必成为社会的主导光源，带领我们进入一种全新的照明时代。</w:t>
      </w:r>
    </w:p>
    <w:p>
      <w:pPr>
        <w:spacing w:before="2" w:line="312" w:lineRule="auto"/>
        <w:ind w:left="305" w:right="332" w:firstLine="480"/>
        <w:jc w:val="left"/>
        <w:rPr>
          <w:i/>
          <w:sz w:val="24"/>
        </w:rPr>
      </w:pPr>
      <w:r>
        <w:rPr>
          <w:sz w:val="24"/>
        </w:rPr>
        <w:t>LED</w:t>
      </w:r>
      <w:r>
        <w:rPr>
          <w:spacing w:val="-41"/>
          <w:sz w:val="24"/>
        </w:rPr>
        <w:t xml:space="preserve"> </w:t>
      </w:r>
      <w:r>
        <w:rPr>
          <w:i/>
          <w:sz w:val="24"/>
        </w:rPr>
        <w:t>光源的发光效率高，使用寿命长，因此其应用前景非常可观，但是比起其它</w:t>
      </w:r>
      <w:r>
        <w:rPr>
          <w:i/>
          <w:spacing w:val="-18"/>
          <w:sz w:val="24"/>
        </w:rPr>
        <w:t>光源，它的应用成本还是非常高的，要想在社会上得以普遍的应用还需要一定的时间。</w:t>
      </w:r>
      <w:r>
        <w:rPr>
          <w:i/>
          <w:spacing w:val="-7"/>
          <w:sz w:val="24"/>
        </w:rPr>
        <w:t xml:space="preserve">本文对现在 </w:t>
      </w:r>
      <w:r>
        <w:rPr>
          <w:sz w:val="24"/>
        </w:rPr>
        <w:t>LED</w:t>
      </w:r>
      <w:r>
        <w:rPr>
          <w:spacing w:val="-39"/>
          <w:sz w:val="24"/>
        </w:rPr>
        <w:t xml:space="preserve"> </w:t>
      </w:r>
      <w:r>
        <w:rPr>
          <w:i/>
          <w:spacing w:val="-9"/>
          <w:sz w:val="24"/>
        </w:rPr>
        <w:t xml:space="preserve">光源的应用现状做了具体的介绍，并且就现在 </w:t>
      </w:r>
      <w:r>
        <w:rPr>
          <w:sz w:val="24"/>
        </w:rPr>
        <w:t>LED</w:t>
      </w:r>
      <w:r>
        <w:rPr>
          <w:spacing w:val="-39"/>
          <w:sz w:val="24"/>
        </w:rPr>
        <w:t xml:space="preserve"> </w:t>
      </w:r>
      <w:r>
        <w:rPr>
          <w:i/>
          <w:sz w:val="24"/>
        </w:rPr>
        <w:t>光源能否在社会上</w:t>
      </w:r>
      <w:r>
        <w:rPr>
          <w:i/>
          <w:spacing w:val="-2"/>
          <w:sz w:val="24"/>
        </w:rPr>
        <w:t>得到普遍应用做了分析。</w:t>
      </w:r>
    </w:p>
    <w:p>
      <w:pPr>
        <w:spacing w:before="1" w:line="312" w:lineRule="auto"/>
        <w:ind w:left="305" w:right="332" w:firstLine="480"/>
        <w:jc w:val="left"/>
        <w:rPr>
          <w:i/>
          <w:sz w:val="24"/>
        </w:rPr>
      </w:pPr>
      <w:r>
        <w:rPr>
          <w:spacing w:val="-2"/>
          <w:sz w:val="24"/>
        </w:rPr>
        <w:t>LED</w:t>
      </w:r>
      <w:r>
        <w:rPr>
          <w:i/>
          <w:spacing w:val="-2"/>
          <w:sz w:val="24"/>
        </w:rPr>
        <w:t>作为新的、最有潜力的光源，越来越引发人们的重视。</w:t>
      </w:r>
      <w:r>
        <w:rPr>
          <w:spacing w:val="-2"/>
          <w:sz w:val="24"/>
        </w:rPr>
        <w:t>LED</w:t>
      </w:r>
      <w:r>
        <w:rPr>
          <w:i/>
          <w:spacing w:val="-2"/>
          <w:sz w:val="24"/>
        </w:rPr>
        <w:t>从早期仅仅作为一</w:t>
      </w:r>
      <w:r>
        <w:rPr>
          <w:i/>
          <w:spacing w:val="-17"/>
          <w:sz w:val="24"/>
        </w:rPr>
        <w:t>只普通的批示小灯，用在像电视机，录音机等家电上，到今天被广泛地用作户外显示、</w:t>
      </w:r>
      <w:r>
        <w:rPr>
          <w:i/>
          <w:spacing w:val="-2"/>
          <w:sz w:val="24"/>
        </w:rPr>
        <w:t>交通信号、汽车尾灯和景观照明，以及正在开始的路灯照明和大尺寸</w:t>
      </w:r>
      <w:r>
        <w:rPr>
          <w:spacing w:val="-2"/>
          <w:sz w:val="24"/>
        </w:rPr>
        <w:t>LCD</w:t>
      </w:r>
      <w:r>
        <w:rPr>
          <w:i/>
          <w:spacing w:val="-2"/>
          <w:sz w:val="24"/>
        </w:rPr>
        <w:t>背光光源，</w:t>
      </w:r>
      <w:r>
        <w:rPr>
          <w:i/>
          <w:spacing w:val="-2"/>
          <w:sz w:val="24"/>
        </w:rPr>
        <w:t>经历了差不多</w:t>
      </w:r>
      <w:r>
        <w:rPr>
          <w:spacing w:val="-2"/>
          <w:sz w:val="24"/>
        </w:rPr>
        <w:t>20-30</w:t>
      </w:r>
      <w:r>
        <w:rPr>
          <w:i/>
          <w:spacing w:val="-2"/>
          <w:sz w:val="24"/>
        </w:rPr>
        <w:t>年的时间，其发展之快速是有目共睹的。本文将针对</w:t>
      </w:r>
      <w:r>
        <w:rPr>
          <w:spacing w:val="-2"/>
          <w:sz w:val="24"/>
        </w:rPr>
        <w:t>LED</w:t>
      </w:r>
      <w:r>
        <w:rPr>
          <w:i/>
          <w:spacing w:val="-2"/>
          <w:sz w:val="24"/>
        </w:rPr>
        <w:t>的近期发</w:t>
      </w:r>
      <w:r>
        <w:rPr>
          <w:i/>
          <w:spacing w:val="-2"/>
          <w:sz w:val="24"/>
        </w:rPr>
        <w:t>展状况进行简朴的描述，重点将</w:t>
      </w:r>
      <w:r>
        <w:rPr>
          <w:spacing w:val="-2"/>
          <w:sz w:val="24"/>
        </w:rPr>
        <w:t>LED</w:t>
      </w:r>
      <w:r>
        <w:rPr>
          <w:i/>
          <w:spacing w:val="-2"/>
          <w:sz w:val="24"/>
        </w:rPr>
        <w:t>作为照明光源在价格、性能和性价比与传统光源</w:t>
      </w:r>
      <w:r>
        <w:rPr>
          <w:i/>
          <w:spacing w:val="-2"/>
          <w:sz w:val="24"/>
        </w:rPr>
        <w:t>进行对比，并对</w:t>
      </w:r>
      <w:r>
        <w:rPr>
          <w:spacing w:val="-2"/>
          <w:sz w:val="24"/>
        </w:rPr>
        <w:t>LED</w:t>
      </w:r>
      <w:r>
        <w:rPr>
          <w:i/>
          <w:spacing w:val="-2"/>
          <w:sz w:val="24"/>
        </w:rPr>
        <w:t>光源如何进入通用照明市场进行分析和论述。</w:t>
      </w:r>
    </w:p>
    <w:p>
      <w:pPr>
        <w:spacing w:before="0" w:line="320" w:lineRule="exact"/>
        <w:ind w:left="305" w:right="0" w:firstLine="0"/>
        <w:jc w:val="left"/>
        <w:rPr>
          <w:i/>
          <w:sz w:val="21"/>
        </w:rPr>
      </w:pPr>
      <w:r>
        <w:rPr>
          <w:rFonts w:ascii="黑体" w:eastAsia="黑体"/>
          <w:sz w:val="21"/>
        </w:rPr>
        <w:t>核心词</w:t>
      </w:r>
      <w:r>
        <w:rPr>
          <w:i/>
          <w:sz w:val="28"/>
        </w:rPr>
        <w:t>：</w:t>
      </w:r>
      <w:r>
        <w:rPr>
          <w:rFonts w:ascii="Times New Roman" w:eastAsia="Times New Roman"/>
          <w:sz w:val="21"/>
        </w:rPr>
        <w:t xml:space="preserve">LED </w:t>
      </w:r>
      <w:r>
        <w:rPr>
          <w:i/>
          <w:spacing w:val="-1"/>
          <w:sz w:val="21"/>
        </w:rPr>
        <w:t>光源；光源特性；应用现状；应用问题</w:t>
      </w:r>
    </w:p>
    <w:p>
      <w:pPr>
        <w:spacing w:after="0" w:line="320" w:lineRule="exact"/>
        <w:jc w:val="left"/>
        <w:rPr>
          <w:sz w:val="21"/>
        </w:rPr>
        <w:sectPr>
          <w:type w:val="continuous"/>
          <w:pgSz w:w="11910" w:h="16840"/>
          <w:pgMar w:top="1700" w:right="680" w:bottom="280" w:left="1680" w:header="708" w:footer="708"/>
          <w:cols w:space="708"/>
        </w:sectPr>
      </w:pPr>
    </w:p>
    <w:p>
      <w:pPr>
        <w:pStyle w:val="BodyText"/>
        <w:spacing w:before="5"/>
        <w:rPr>
          <w:i/>
          <w:sz w:val="12"/>
        </w:rPr>
      </w:pPr>
    </w:p>
    <w:p>
      <w:pPr>
        <w:pStyle w:val="Heading1"/>
        <w:spacing w:before="55"/>
      </w:pPr>
      <w:r>
        <w:rPr>
          <w:spacing w:val="-2"/>
        </w:rPr>
        <w:t>Abstract</w:t>
      </w:r>
    </w:p>
    <w:p>
      <w:pPr>
        <w:pStyle w:val="BodyText"/>
        <w:spacing w:before="242" w:line="348" w:lineRule="auto"/>
        <w:ind w:left="305" w:right="449" w:firstLine="360"/>
        <w:jc w:val="both"/>
        <w:rPr>
          <w:rFonts w:ascii="Times New Roman"/>
        </w:rPr>
      </w:pPr>
      <w:r>
        <w:rPr>
          <w:rFonts w:ascii="Times New Roman"/>
        </w:rPr>
        <w:t>Nowadays, with the continuous development and progress of society, the demand of</w:t>
      </w:r>
      <w:r>
        <w:rPr>
          <w:rFonts w:ascii="Times New Roman"/>
          <w:spacing w:val="40"/>
        </w:rPr>
        <w:t xml:space="preserve"> </w:t>
      </w:r>
      <w:r>
        <w:rPr>
          <w:rFonts w:ascii="Times New Roman"/>
        </w:rPr>
        <w:t>the social development standards are continually improved, factor is crucial to the</w:t>
      </w:r>
      <w:r>
        <w:rPr>
          <w:rFonts w:ascii="Times New Roman"/>
          <w:spacing w:val="40"/>
        </w:rPr>
        <w:t xml:space="preserve"> </w:t>
      </w:r>
      <w:r>
        <w:rPr>
          <w:rFonts w:ascii="Times New Roman"/>
        </w:rPr>
        <w:t>influence of social development of the energy requirements, will be more demanding, so the energy saving has become people facing society today is not very important problem. Social lighting occupied by the energy consumption in the total social energy consumption ratio is an important part of, so can be very good to do lighting energy saving is</w:t>
      </w:r>
      <w:r>
        <w:rPr>
          <w:rFonts w:ascii="Times New Roman"/>
          <w:spacing w:val="40"/>
        </w:rPr>
        <w:t xml:space="preserve"> </w:t>
      </w:r>
      <w:r>
        <w:rPr>
          <w:rFonts w:ascii="Times New Roman"/>
        </w:rPr>
        <w:t>particularly important. LED light source as a result of science and technology in the new century, will make the social lighting into a new era, but also solve the problem of energy consumption. But with the traditional light source, LED light source also has some unsolved problems, such as the application of price and the traditional sources are</w:t>
      </w:r>
      <w:r>
        <w:rPr>
          <w:rFonts w:ascii="Times New Roman"/>
          <w:spacing w:val="40"/>
        </w:rPr>
        <w:t xml:space="preserve"> </w:t>
      </w:r>
      <w:r>
        <w:rPr>
          <w:rFonts w:ascii="Times New Roman"/>
        </w:rPr>
        <w:t>relatively high, there is a certain gap, the luminous efficiency and the traditional light source, but with the development of society and technology, LED light source will eventually enter the general lighting market, it is bound to become the dominant the light source of the society, to lead us into a new era of lighting.</w:t>
      </w:r>
    </w:p>
    <w:p>
      <w:pPr>
        <w:pStyle w:val="BodyText"/>
        <w:spacing w:line="348" w:lineRule="auto"/>
        <w:ind w:left="305" w:right="450" w:firstLine="360"/>
        <w:jc w:val="both"/>
        <w:rPr>
          <w:rFonts w:ascii="Times New Roman"/>
        </w:rPr>
      </w:pPr>
      <w:r>
        <w:rPr>
          <w:rFonts w:ascii="Times New Roman"/>
        </w:rPr>
        <w:t>LED light source with high luminous efficiency, long service life, so its application prospect is very considerable, but compared to other light sources, the application cost it is still</w:t>
      </w:r>
      <w:r>
        <w:rPr>
          <w:rFonts w:ascii="Times New Roman"/>
          <w:spacing w:val="-3"/>
        </w:rPr>
        <w:t xml:space="preserve"> </w:t>
      </w:r>
      <w:r>
        <w:rPr>
          <w:rFonts w:ascii="Times New Roman"/>
        </w:rPr>
        <w:t>very</w:t>
      </w:r>
      <w:r>
        <w:rPr>
          <w:rFonts w:ascii="Times New Roman"/>
          <w:spacing w:val="-2"/>
        </w:rPr>
        <w:t xml:space="preserve"> </w:t>
      </w:r>
      <w:r>
        <w:rPr>
          <w:rFonts w:ascii="Times New Roman"/>
        </w:rPr>
        <w:t>high,</w:t>
      </w:r>
      <w:r>
        <w:rPr>
          <w:rFonts w:ascii="Times New Roman"/>
          <w:spacing w:val="-2"/>
        </w:rPr>
        <w:t xml:space="preserve"> </w:t>
      </w:r>
      <w:r>
        <w:rPr>
          <w:rFonts w:ascii="Times New Roman"/>
        </w:rPr>
        <w:t>to</w:t>
      </w:r>
      <w:r>
        <w:rPr>
          <w:rFonts w:ascii="Times New Roman"/>
          <w:spacing w:val="-2"/>
        </w:rPr>
        <w:t xml:space="preserve"> </w:t>
      </w:r>
      <w:r>
        <w:rPr>
          <w:rFonts w:ascii="Times New Roman"/>
        </w:rPr>
        <w:t>be</w:t>
      </w:r>
      <w:r>
        <w:rPr>
          <w:rFonts w:ascii="Times New Roman"/>
          <w:spacing w:val="-2"/>
        </w:rPr>
        <w:t xml:space="preserve"> </w:t>
      </w:r>
      <w:r>
        <w:rPr>
          <w:rFonts w:ascii="Times New Roman"/>
        </w:rPr>
        <w:t>widely</w:t>
      </w:r>
      <w:r>
        <w:rPr>
          <w:rFonts w:ascii="Times New Roman"/>
          <w:spacing w:val="-2"/>
        </w:rPr>
        <w:t xml:space="preserve"> </w:t>
      </w:r>
      <w:r>
        <w:rPr>
          <w:rFonts w:ascii="Times New Roman"/>
        </w:rPr>
        <w:t>used</w:t>
      </w:r>
      <w:r>
        <w:rPr>
          <w:rFonts w:ascii="Times New Roman"/>
          <w:spacing w:val="-2"/>
        </w:rPr>
        <w:t xml:space="preserve"> </w:t>
      </w:r>
      <w:r>
        <w:rPr>
          <w:rFonts w:ascii="Times New Roman"/>
        </w:rPr>
        <w:t>in</w:t>
      </w:r>
      <w:r>
        <w:rPr>
          <w:rFonts w:ascii="Times New Roman"/>
          <w:spacing w:val="-2"/>
        </w:rPr>
        <w:t xml:space="preserve"> </w:t>
      </w:r>
      <w:r>
        <w:rPr>
          <w:rFonts w:ascii="Times New Roman"/>
        </w:rPr>
        <w:t>the</w:t>
      </w:r>
      <w:r>
        <w:rPr>
          <w:rFonts w:ascii="Times New Roman"/>
          <w:spacing w:val="-2"/>
        </w:rPr>
        <w:t xml:space="preserve"> </w:t>
      </w:r>
      <w:r>
        <w:rPr>
          <w:rFonts w:ascii="Times New Roman"/>
        </w:rPr>
        <w:t>society</w:t>
      </w:r>
      <w:r>
        <w:rPr>
          <w:rFonts w:ascii="Times New Roman"/>
          <w:spacing w:val="-2"/>
        </w:rPr>
        <w:t xml:space="preserve"> </w:t>
      </w:r>
      <w:r>
        <w:rPr>
          <w:rFonts w:ascii="Times New Roman"/>
        </w:rPr>
        <w:t>still</w:t>
      </w:r>
      <w:r>
        <w:rPr>
          <w:rFonts w:ascii="Times New Roman"/>
          <w:spacing w:val="-2"/>
        </w:rPr>
        <w:t xml:space="preserve"> </w:t>
      </w:r>
      <w:r>
        <w:rPr>
          <w:rFonts w:ascii="Times New Roman"/>
        </w:rPr>
        <w:t>needs</w:t>
      </w:r>
      <w:r>
        <w:rPr>
          <w:rFonts w:ascii="Times New Roman"/>
          <w:spacing w:val="-2"/>
        </w:rPr>
        <w:t xml:space="preserve"> </w:t>
      </w:r>
      <w:r>
        <w:rPr>
          <w:rFonts w:ascii="Times New Roman"/>
        </w:rPr>
        <w:t>some</w:t>
      </w:r>
      <w:r>
        <w:rPr>
          <w:rFonts w:ascii="Times New Roman"/>
          <w:spacing w:val="-3"/>
        </w:rPr>
        <w:t xml:space="preserve"> </w:t>
      </w:r>
      <w:r>
        <w:rPr>
          <w:rFonts w:ascii="Times New Roman"/>
        </w:rPr>
        <w:t>time.</w:t>
      </w:r>
      <w:r>
        <w:rPr>
          <w:rFonts w:ascii="Times New Roman"/>
          <w:spacing w:val="-2"/>
        </w:rPr>
        <w:t xml:space="preserve"> </w:t>
      </w:r>
      <w:r>
        <w:rPr>
          <w:rFonts w:ascii="Times New Roman"/>
        </w:rPr>
        <w:t>This</w:t>
      </w:r>
      <w:r>
        <w:rPr>
          <w:rFonts w:ascii="Times New Roman"/>
          <w:spacing w:val="-2"/>
        </w:rPr>
        <w:t xml:space="preserve"> </w:t>
      </w:r>
      <w:r>
        <w:rPr>
          <w:rFonts w:ascii="Times New Roman"/>
        </w:rPr>
        <w:t>paper</w:t>
      </w:r>
      <w:r>
        <w:rPr>
          <w:rFonts w:ascii="Times New Roman"/>
          <w:spacing w:val="-2"/>
        </w:rPr>
        <w:t xml:space="preserve"> </w:t>
      </w:r>
      <w:r>
        <w:rPr>
          <w:rFonts w:ascii="Times New Roman"/>
        </w:rPr>
        <w:t>introduced in detail the present application status of LED light source, and the LED light source can</w:t>
      </w:r>
      <w:r>
        <w:rPr>
          <w:rFonts w:ascii="Times New Roman"/>
          <w:spacing w:val="40"/>
        </w:rPr>
        <w:t xml:space="preserve"> </w:t>
      </w:r>
      <w:r>
        <w:rPr>
          <w:rFonts w:ascii="Times New Roman"/>
        </w:rPr>
        <w:t>be widely applied to do the analysis in the society.</w:t>
      </w:r>
    </w:p>
    <w:p>
      <w:pPr>
        <w:pStyle w:val="BodyText"/>
        <w:spacing w:line="348" w:lineRule="auto"/>
        <w:ind w:left="305" w:right="391" w:firstLine="360"/>
        <w:jc w:val="both"/>
        <w:rPr>
          <w:rFonts w:ascii="Times New Roman"/>
        </w:rPr>
      </w:pPr>
      <w:r>
        <w:rPr>
          <w:rFonts w:ascii="Times New Roman"/>
        </w:rPr>
        <w:t>LED</w:t>
      </w:r>
      <w:r>
        <w:rPr>
          <w:rFonts w:ascii="Times New Roman"/>
          <w:spacing w:val="-2"/>
        </w:rPr>
        <w:t xml:space="preserve"> </w:t>
      </w:r>
      <w:r>
        <w:rPr>
          <w:rFonts w:ascii="Times New Roman"/>
        </w:rPr>
        <w:t>as</w:t>
      </w:r>
      <w:r>
        <w:rPr>
          <w:rFonts w:ascii="Times New Roman"/>
          <w:spacing w:val="-2"/>
        </w:rPr>
        <w:t xml:space="preserve"> </w:t>
      </w:r>
      <w:r>
        <w:rPr>
          <w:rFonts w:ascii="Times New Roman"/>
        </w:rPr>
        <w:t>a</w:t>
      </w:r>
      <w:r>
        <w:rPr>
          <w:rFonts w:ascii="Times New Roman"/>
          <w:spacing w:val="-2"/>
        </w:rPr>
        <w:t xml:space="preserve"> </w:t>
      </w:r>
      <w:r>
        <w:rPr>
          <w:rFonts w:ascii="Times New Roman"/>
        </w:rPr>
        <w:t>light</w:t>
      </w:r>
      <w:r>
        <w:rPr>
          <w:rFonts w:ascii="Times New Roman"/>
          <w:spacing w:val="-2"/>
        </w:rPr>
        <w:t xml:space="preserve"> </w:t>
      </w:r>
      <w:r>
        <w:rPr>
          <w:rFonts w:ascii="Times New Roman"/>
        </w:rPr>
        <w:t>source</w:t>
      </w:r>
      <w:r>
        <w:rPr>
          <w:rFonts w:ascii="Times New Roman"/>
          <w:spacing w:val="-2"/>
        </w:rPr>
        <w:t xml:space="preserve"> </w:t>
      </w:r>
      <w:r>
        <w:rPr>
          <w:rFonts w:ascii="Times New Roman"/>
        </w:rPr>
        <w:t>has</w:t>
      </w:r>
      <w:r>
        <w:rPr>
          <w:rFonts w:ascii="Times New Roman"/>
          <w:spacing w:val="-2"/>
        </w:rPr>
        <w:t xml:space="preserve"> </w:t>
      </w:r>
      <w:r>
        <w:rPr>
          <w:rFonts w:ascii="Times New Roman"/>
        </w:rPr>
        <w:t>the</w:t>
      </w:r>
      <w:r>
        <w:rPr>
          <w:rFonts w:ascii="Times New Roman"/>
          <w:spacing w:val="-2"/>
        </w:rPr>
        <w:t xml:space="preserve"> </w:t>
      </w:r>
      <w:r>
        <w:rPr>
          <w:rFonts w:ascii="Times New Roman"/>
        </w:rPr>
        <w:t>potential</w:t>
      </w:r>
      <w:r>
        <w:rPr>
          <w:rFonts w:ascii="Times New Roman"/>
          <w:spacing w:val="-2"/>
        </w:rPr>
        <w:t xml:space="preserve"> </w:t>
      </w:r>
      <w:r>
        <w:rPr>
          <w:rFonts w:ascii="Times New Roman"/>
        </w:rPr>
        <w:t>of</w:t>
      </w:r>
      <w:r>
        <w:rPr>
          <w:rFonts w:ascii="Times New Roman"/>
          <w:spacing w:val="-2"/>
        </w:rPr>
        <w:t xml:space="preserve"> </w:t>
      </w:r>
      <w:r>
        <w:rPr>
          <w:rFonts w:ascii="Times New Roman"/>
        </w:rPr>
        <w:t>the</w:t>
      </w:r>
      <w:r>
        <w:rPr>
          <w:rFonts w:ascii="Times New Roman"/>
          <w:spacing w:val="-2"/>
        </w:rPr>
        <w:t xml:space="preserve"> </w:t>
      </w:r>
      <w:r>
        <w:rPr>
          <w:rFonts w:ascii="Times New Roman"/>
        </w:rPr>
        <w:t>new,,</w:t>
      </w:r>
      <w:r>
        <w:rPr>
          <w:rFonts w:ascii="Times New Roman"/>
          <w:spacing w:val="-2"/>
        </w:rPr>
        <w:t xml:space="preserve"> </w:t>
      </w:r>
      <w:r>
        <w:rPr>
          <w:rFonts w:ascii="Times New Roman"/>
        </w:rPr>
        <w:t>people</w:t>
      </w:r>
      <w:r>
        <w:rPr>
          <w:rFonts w:ascii="Times New Roman"/>
          <w:spacing w:val="-2"/>
        </w:rPr>
        <w:t xml:space="preserve"> </w:t>
      </w:r>
      <w:r>
        <w:rPr>
          <w:rFonts w:ascii="Times New Roman"/>
        </w:rPr>
        <w:t>pay</w:t>
      </w:r>
      <w:r>
        <w:rPr>
          <w:rFonts w:ascii="Times New Roman"/>
          <w:spacing w:val="-2"/>
        </w:rPr>
        <w:t xml:space="preserve"> </w:t>
      </w:r>
      <w:r>
        <w:rPr>
          <w:rFonts w:ascii="Times New Roman"/>
        </w:rPr>
        <w:t>more</w:t>
      </w:r>
      <w:r>
        <w:rPr>
          <w:rFonts w:ascii="Times New Roman"/>
          <w:spacing w:val="-2"/>
        </w:rPr>
        <w:t xml:space="preserve"> </w:t>
      </w:r>
      <w:r>
        <w:rPr>
          <w:rFonts w:ascii="Times New Roman"/>
        </w:rPr>
        <w:t>and</w:t>
      </w:r>
      <w:r>
        <w:rPr>
          <w:rFonts w:ascii="Times New Roman"/>
          <w:spacing w:val="-2"/>
        </w:rPr>
        <w:t xml:space="preserve"> </w:t>
      </w:r>
      <w:r>
        <w:rPr>
          <w:rFonts w:ascii="Times New Roman"/>
        </w:rPr>
        <w:t>more</w:t>
      </w:r>
      <w:r>
        <w:rPr>
          <w:rFonts w:ascii="Times New Roman"/>
          <w:spacing w:val="-2"/>
        </w:rPr>
        <w:t xml:space="preserve"> </w:t>
      </w:r>
      <w:r>
        <w:rPr>
          <w:rFonts w:ascii="Times New Roman"/>
        </w:rPr>
        <w:t>attention. LED from the early only as a common indicator lights, in TV, tape recorders and other appliances, today are widely used as outdoor display, traffic signals, automotive taillights and landscape lighting, and lighting are beginning and large size LCD backlight source,</w:t>
      </w:r>
      <w:r>
        <w:rPr>
          <w:rFonts w:ascii="Times New Roman"/>
          <w:spacing w:val="80"/>
          <w:w w:val="150"/>
        </w:rPr>
        <w:t xml:space="preserve"> </w:t>
      </w:r>
      <w:r>
        <w:rPr>
          <w:rFonts w:ascii="Times New Roman"/>
        </w:rPr>
        <w:t xml:space="preserve">has experienced nearly 20-30 years, its development quickly is be obvious to people. This paper will briefly describe the recent development situation of LED, the focus on LED as a light source is compared in the price, performance and price with the traditional light source, and the LED light source to enter the general lighting market analysis and </w:t>
      </w:r>
      <w:r>
        <w:rPr>
          <w:rFonts w:ascii="Times New Roman"/>
          <w:spacing w:val="-2"/>
        </w:rPr>
        <w:t>exposition.</w:t>
      </w:r>
    </w:p>
    <w:p>
      <w:pPr>
        <w:spacing w:before="9"/>
        <w:ind w:left="305" w:right="0" w:firstLine="0"/>
        <w:jc w:val="both"/>
        <w:rPr>
          <w:rFonts w:ascii="Times New Roman" w:eastAsia="Times New Roman"/>
          <w:sz w:val="21"/>
        </w:rPr>
      </w:pPr>
      <w:r>
        <w:rPr>
          <w:rFonts w:ascii="黑体" w:eastAsia="黑体"/>
          <w:sz w:val="21"/>
        </w:rPr>
        <w:t>Keyword</w:t>
      </w:r>
      <w:r>
        <w:rPr>
          <w:rFonts w:ascii="Times New Roman" w:eastAsia="Times New Roman"/>
          <w:sz w:val="21"/>
        </w:rPr>
        <w:t>:</w:t>
      </w:r>
      <w:r>
        <w:rPr>
          <w:rFonts w:ascii="Times New Roman" w:eastAsia="Times New Roman"/>
          <w:spacing w:val="-8"/>
          <w:sz w:val="21"/>
        </w:rPr>
        <w:t xml:space="preserve"> </w:t>
      </w:r>
      <w:r>
        <w:rPr>
          <w:rFonts w:ascii="Times New Roman" w:eastAsia="Times New Roman"/>
          <w:sz w:val="21"/>
        </w:rPr>
        <w:t>LED</w:t>
      </w:r>
      <w:r>
        <w:rPr>
          <w:rFonts w:ascii="Times New Roman" w:eastAsia="Times New Roman"/>
          <w:spacing w:val="-5"/>
          <w:sz w:val="21"/>
        </w:rPr>
        <w:t xml:space="preserve"> </w:t>
      </w:r>
      <w:r>
        <w:rPr>
          <w:rFonts w:ascii="Times New Roman" w:eastAsia="Times New Roman"/>
          <w:sz w:val="21"/>
        </w:rPr>
        <w:t>light</w:t>
      </w:r>
      <w:r>
        <w:rPr>
          <w:rFonts w:ascii="Times New Roman" w:eastAsia="Times New Roman"/>
          <w:spacing w:val="-6"/>
          <w:sz w:val="21"/>
        </w:rPr>
        <w:t xml:space="preserve"> </w:t>
      </w:r>
      <w:r>
        <w:rPr>
          <w:rFonts w:ascii="Times New Roman" w:eastAsia="Times New Roman"/>
          <w:sz w:val="21"/>
        </w:rPr>
        <w:t>source</w:t>
      </w:r>
      <w:r>
        <w:rPr>
          <w:i/>
          <w:sz w:val="21"/>
        </w:rPr>
        <w:t>；</w:t>
      </w:r>
      <w:r>
        <w:rPr>
          <w:rFonts w:ascii="Times New Roman" w:eastAsia="Times New Roman"/>
          <w:sz w:val="21"/>
        </w:rPr>
        <w:t>Source</w:t>
      </w:r>
      <w:r>
        <w:rPr>
          <w:rFonts w:ascii="Times New Roman" w:eastAsia="Times New Roman"/>
          <w:spacing w:val="-6"/>
          <w:sz w:val="21"/>
        </w:rPr>
        <w:t xml:space="preserve"> </w:t>
      </w:r>
      <w:r>
        <w:rPr>
          <w:rFonts w:ascii="Times New Roman" w:eastAsia="Times New Roman"/>
          <w:sz w:val="21"/>
        </w:rPr>
        <w:t>characteristics</w:t>
      </w:r>
      <w:r>
        <w:rPr>
          <w:i/>
          <w:sz w:val="21"/>
        </w:rPr>
        <w:t>；</w:t>
      </w:r>
      <w:r>
        <w:rPr>
          <w:rFonts w:ascii="Times New Roman" w:eastAsia="Times New Roman"/>
          <w:sz w:val="21"/>
        </w:rPr>
        <w:t>Application</w:t>
      </w:r>
      <w:r>
        <w:rPr>
          <w:rFonts w:ascii="Times New Roman" w:eastAsia="Times New Roman"/>
          <w:spacing w:val="-5"/>
          <w:sz w:val="21"/>
        </w:rPr>
        <w:t xml:space="preserve"> </w:t>
      </w:r>
      <w:r>
        <w:rPr>
          <w:rFonts w:ascii="Times New Roman" w:eastAsia="Times New Roman"/>
          <w:sz w:val="21"/>
        </w:rPr>
        <w:t>statusm</w:t>
      </w:r>
      <w:r>
        <w:rPr>
          <w:i/>
          <w:sz w:val="21"/>
        </w:rPr>
        <w:t>；</w:t>
      </w:r>
      <w:r>
        <w:rPr>
          <w:rFonts w:ascii="Times New Roman" w:eastAsia="Times New Roman"/>
          <w:sz w:val="21"/>
        </w:rPr>
        <w:t>Application</w:t>
      </w:r>
      <w:r>
        <w:rPr>
          <w:rFonts w:ascii="Times New Roman" w:eastAsia="Times New Roman"/>
          <w:spacing w:val="-5"/>
          <w:sz w:val="21"/>
        </w:rPr>
        <w:t xml:space="preserve"> </w:t>
      </w:r>
      <w:r>
        <w:rPr>
          <w:rFonts w:ascii="Times New Roman" w:eastAsia="Times New Roman"/>
          <w:spacing w:val="-2"/>
          <w:sz w:val="21"/>
        </w:rPr>
        <w:t>problem</w:t>
      </w:r>
    </w:p>
    <w:p>
      <w:pPr>
        <w:spacing w:after="0"/>
        <w:jc w:val="both"/>
        <w:rPr>
          <w:rFonts w:ascii="Times New Roman" w:eastAsia="Times New Roman"/>
          <w:sz w:val="21"/>
        </w:rPr>
        <w:sectPr>
          <w:pgSz w:w="11910" w:h="16840"/>
          <w:pgMar w:top="1920" w:right="680" w:bottom="280" w:left="1680" w:header="708" w:footer="708"/>
          <w:pgNumType w:start="2"/>
          <w:cols w:space="708"/>
        </w:sectPr>
      </w:pPr>
    </w:p>
    <w:p>
      <w:pPr>
        <w:pStyle w:val="Heading1"/>
        <w:spacing w:before="42"/>
      </w:pPr>
      <w:r>
        <w:rPr>
          <w:spacing w:val="-5"/>
        </w:rPr>
        <w:t>目录</w:t>
      </w:r>
    </w:p>
    <w:sdt>
      <w:sdtPr>
        <w:id w:val="1544855916"/>
        <w:docPartObj>
          <w:docPartGallery w:val="Table of Contents"/>
          <w:docPartUnique/>
        </w:docPartObj>
      </w:sdtPr>
      <w:sdtContent>
        <w:p>
          <w:pPr>
            <w:pStyle w:val="TOC1"/>
            <w:tabs>
              <w:tab w:val="left" w:leader="dot" w:pos="8656"/>
            </w:tabs>
            <w:spacing w:before="150"/>
            <w:rPr>
              <w:rFonts w:ascii="宋体" w:eastAsia="宋体" w:hint="eastAsia"/>
              <w:sz w:val="24"/>
            </w:rPr>
          </w:pPr>
          <w:hyperlink w:anchor="_TOC_250018" w:history="1">
            <w:r>
              <w:t>第</w:t>
            </w:r>
            <w:r>
              <w:rPr>
                <w:spacing w:val="-70"/>
              </w:rPr>
              <w:t xml:space="preserve"> </w:t>
            </w:r>
            <w:r>
              <w:t>1</w:t>
            </w:r>
            <w:r>
              <w:rPr>
                <w:spacing w:val="-70"/>
              </w:rPr>
              <w:t xml:space="preserve"> </w:t>
            </w:r>
            <w:r>
              <w:t>章 LED</w:t>
            </w:r>
            <w:r>
              <w:rPr>
                <w:spacing w:val="-70"/>
              </w:rPr>
              <w:t xml:space="preserve"> </w:t>
            </w:r>
            <w:r>
              <w:t>的机理及特</w:t>
            </w:r>
            <w:r>
              <w:rPr>
                <w:spacing w:val="-10"/>
              </w:rPr>
              <w:t>性</w:t>
            </w:r>
            <w:r>
              <w:rPr>
                <w:rFonts w:ascii="Times New Roman" w:eastAsia="Times New Roman"/>
              </w:rPr>
              <w:tab/>
            </w:r>
            <w:r>
              <w:rPr>
                <w:rFonts w:ascii="宋体" w:eastAsia="宋体" w:hint="eastAsia"/>
                <w:spacing w:val="-10"/>
                <w:sz w:val="24"/>
              </w:rPr>
              <w:t>1</w:t>
            </w:r>
          </w:hyperlink>
        </w:p>
        <w:p>
          <w:pPr>
            <w:pStyle w:val="TOC4"/>
            <w:numPr>
              <w:ilvl w:val="1"/>
              <w:numId w:val="12"/>
            </w:numPr>
            <w:tabs>
              <w:tab w:val="left" w:pos="970"/>
              <w:tab w:val="left" w:leader="dot" w:pos="8961"/>
            </w:tabs>
            <w:spacing w:before="201" w:after="0" w:line="240" w:lineRule="auto"/>
            <w:ind w:left="970" w:right="0" w:hanging="455"/>
            <w:jc w:val="left"/>
            <w:rPr>
              <w:b w:val="0"/>
              <w:i w:val="0"/>
              <w:sz w:val="24"/>
            </w:rPr>
          </w:pPr>
          <w:r>
            <w:rPr>
              <w:b w:val="0"/>
              <w:i w:val="0"/>
              <w:sz w:val="24"/>
            </w:rPr>
            <w:t>LED</w:t>
          </w:r>
          <w:r>
            <w:rPr>
              <w:b w:val="0"/>
              <w:i w:val="0"/>
              <w:spacing w:val="-60"/>
              <w:sz w:val="24"/>
            </w:rPr>
            <w:t xml:space="preserve"> </w:t>
          </w:r>
          <w:r>
            <w:rPr>
              <w:b w:val="0"/>
              <w:sz w:val="24"/>
            </w:rPr>
            <w:t>的发光机</w:t>
          </w:r>
          <w:r>
            <w:rPr>
              <w:b w:val="0"/>
              <w:spacing w:val="-10"/>
              <w:sz w:val="24"/>
            </w:rPr>
            <w:t>理</w:t>
          </w:r>
          <w:r>
            <w:rPr>
              <w:rFonts w:ascii="Times New Roman" w:eastAsia="Times New Roman"/>
              <w:b w:val="0"/>
              <w:i w:val="0"/>
              <w:sz w:val="24"/>
            </w:rPr>
            <w:tab/>
          </w:r>
          <w:r>
            <w:rPr>
              <w:b w:val="0"/>
              <w:i w:val="0"/>
              <w:spacing w:val="-10"/>
              <w:sz w:val="24"/>
            </w:rPr>
            <w:t>1</w:t>
          </w:r>
        </w:p>
        <w:p>
          <w:pPr>
            <w:pStyle w:val="TOC4"/>
            <w:numPr>
              <w:ilvl w:val="1"/>
              <w:numId w:val="12"/>
            </w:numPr>
            <w:tabs>
              <w:tab w:val="left" w:pos="970"/>
              <w:tab w:val="left" w:leader="dot" w:pos="8961"/>
            </w:tabs>
            <w:spacing w:before="92" w:after="0" w:line="240" w:lineRule="auto"/>
            <w:ind w:left="970" w:right="0" w:hanging="455"/>
            <w:jc w:val="left"/>
            <w:rPr>
              <w:b w:val="0"/>
              <w:i w:val="0"/>
              <w:sz w:val="24"/>
            </w:rPr>
          </w:pPr>
          <w:hyperlink w:anchor="_TOC_250017" w:history="1">
            <w:r>
              <w:rPr>
                <w:b w:val="0"/>
                <w:i w:val="0"/>
                <w:sz w:val="24"/>
              </w:rPr>
              <w:t>LED</w:t>
            </w:r>
            <w:r>
              <w:rPr>
                <w:b w:val="0"/>
                <w:i w:val="0"/>
                <w:spacing w:val="-60"/>
                <w:sz w:val="24"/>
              </w:rPr>
              <w:t xml:space="preserve"> </w:t>
            </w:r>
            <w:r>
              <w:rPr>
                <w:b w:val="0"/>
                <w:sz w:val="24"/>
              </w:rPr>
              <w:t>的特</w:t>
            </w:r>
            <w:r>
              <w:rPr>
                <w:b w:val="0"/>
                <w:spacing w:val="-10"/>
                <w:sz w:val="24"/>
              </w:rPr>
              <w:t>性</w:t>
            </w:r>
            <w:r>
              <w:rPr>
                <w:rFonts w:ascii="Times New Roman" w:eastAsia="Times New Roman"/>
                <w:b w:val="0"/>
                <w:i w:val="0"/>
                <w:sz w:val="24"/>
              </w:rPr>
              <w:tab/>
            </w:r>
            <w:r>
              <w:rPr>
                <w:b w:val="0"/>
                <w:i w:val="0"/>
                <w:spacing w:val="-10"/>
                <w:sz w:val="24"/>
              </w:rPr>
              <w:t>1</w:t>
            </w:r>
          </w:hyperlink>
        </w:p>
        <w:p>
          <w:pPr>
            <w:pStyle w:val="TOC4"/>
            <w:numPr>
              <w:ilvl w:val="1"/>
              <w:numId w:val="12"/>
            </w:numPr>
            <w:tabs>
              <w:tab w:val="left" w:pos="970"/>
              <w:tab w:val="left" w:leader="dot" w:pos="8961"/>
            </w:tabs>
            <w:spacing w:before="93" w:after="0" w:line="240" w:lineRule="auto"/>
            <w:ind w:left="970" w:right="0" w:hanging="455"/>
            <w:jc w:val="left"/>
            <w:rPr>
              <w:b w:val="0"/>
              <w:i w:val="0"/>
              <w:sz w:val="24"/>
            </w:rPr>
          </w:pPr>
          <w:hyperlink w:anchor="_TOC_250016" w:history="1">
            <w:r>
              <w:rPr>
                <w:b w:val="0"/>
                <w:i w:val="0"/>
                <w:sz w:val="24"/>
              </w:rPr>
              <w:t>LED</w:t>
            </w:r>
            <w:r>
              <w:rPr>
                <w:b w:val="0"/>
                <w:i w:val="0"/>
                <w:spacing w:val="-60"/>
                <w:sz w:val="24"/>
              </w:rPr>
              <w:t xml:space="preserve"> </w:t>
            </w:r>
            <w:r>
              <w:rPr>
                <w:b w:val="0"/>
                <w:sz w:val="24"/>
              </w:rPr>
              <w:t>的分</w:t>
            </w:r>
            <w:r>
              <w:rPr>
                <w:b w:val="0"/>
                <w:spacing w:val="-10"/>
                <w:sz w:val="24"/>
              </w:rPr>
              <w:t>类</w:t>
            </w:r>
            <w:r>
              <w:rPr>
                <w:rFonts w:ascii="Times New Roman" w:eastAsia="Times New Roman"/>
                <w:b w:val="0"/>
                <w:i w:val="0"/>
                <w:sz w:val="24"/>
              </w:rPr>
              <w:tab/>
            </w:r>
            <w:r>
              <w:rPr>
                <w:b w:val="0"/>
                <w:i w:val="0"/>
                <w:spacing w:val="-10"/>
                <w:sz w:val="24"/>
              </w:rPr>
              <w:t>4</w:t>
            </w:r>
          </w:hyperlink>
        </w:p>
        <w:p>
          <w:pPr>
            <w:pStyle w:val="TOC1"/>
            <w:tabs>
              <w:tab w:val="left" w:leader="dot" w:pos="8656"/>
            </w:tabs>
            <w:rPr>
              <w:rFonts w:ascii="宋体" w:eastAsia="宋体" w:hint="eastAsia"/>
              <w:sz w:val="24"/>
            </w:rPr>
          </w:pPr>
          <w:hyperlink w:anchor="_TOC_250015" w:history="1">
            <w:r>
              <w:t>第</w:t>
            </w:r>
            <w:r>
              <w:rPr>
                <w:spacing w:val="-70"/>
              </w:rPr>
              <w:t xml:space="preserve"> </w:t>
            </w:r>
            <w:r>
              <w:t>2</w:t>
            </w:r>
            <w:r>
              <w:rPr>
                <w:spacing w:val="-70"/>
              </w:rPr>
              <w:t xml:space="preserve"> </w:t>
            </w:r>
            <w:r>
              <w:t>章 LED</w:t>
            </w:r>
            <w:r>
              <w:rPr>
                <w:spacing w:val="-70"/>
              </w:rPr>
              <w:t xml:space="preserve"> </w:t>
            </w:r>
            <w:r>
              <w:t>光源在当今社会的应用现</w:t>
            </w:r>
            <w:r>
              <w:rPr>
                <w:spacing w:val="-10"/>
              </w:rPr>
              <w:t>状</w:t>
            </w:r>
            <w:r>
              <w:rPr>
                <w:rFonts w:ascii="Times New Roman" w:eastAsia="Times New Roman"/>
              </w:rPr>
              <w:tab/>
            </w:r>
            <w:r>
              <w:rPr>
                <w:rFonts w:ascii="宋体" w:eastAsia="宋体" w:hint="eastAsia"/>
                <w:spacing w:val="-10"/>
                <w:sz w:val="24"/>
              </w:rPr>
              <w:t>5</w:t>
            </w:r>
          </w:hyperlink>
        </w:p>
        <w:p>
          <w:pPr>
            <w:pStyle w:val="TOC4"/>
            <w:numPr>
              <w:ilvl w:val="1"/>
              <w:numId w:val="10"/>
            </w:numPr>
            <w:tabs>
              <w:tab w:val="left" w:pos="970"/>
              <w:tab w:val="left" w:leader="dot" w:pos="8961"/>
            </w:tabs>
            <w:spacing w:before="202" w:after="0" w:line="240" w:lineRule="auto"/>
            <w:ind w:left="970" w:right="0" w:hanging="455"/>
            <w:jc w:val="left"/>
            <w:rPr>
              <w:b w:val="0"/>
              <w:i w:val="0"/>
              <w:sz w:val="24"/>
            </w:rPr>
          </w:pPr>
          <w:hyperlink w:anchor="_TOC_250014" w:history="1">
            <w:r>
              <w:rPr>
                <w:b w:val="0"/>
                <w:sz w:val="24"/>
              </w:rPr>
              <w:t>国内</w:t>
            </w:r>
            <w:r>
              <w:rPr>
                <w:b w:val="0"/>
                <w:spacing w:val="-60"/>
                <w:sz w:val="24"/>
              </w:rPr>
              <w:t xml:space="preserve"> </w:t>
            </w:r>
            <w:r>
              <w:rPr>
                <w:b w:val="0"/>
                <w:i w:val="0"/>
                <w:sz w:val="24"/>
              </w:rPr>
              <w:t>LED</w:t>
            </w:r>
            <w:r>
              <w:rPr>
                <w:b w:val="0"/>
                <w:i w:val="0"/>
                <w:spacing w:val="-60"/>
                <w:sz w:val="24"/>
              </w:rPr>
              <w:t xml:space="preserve"> </w:t>
            </w:r>
            <w:r>
              <w:rPr>
                <w:b w:val="0"/>
                <w:sz w:val="24"/>
              </w:rPr>
              <w:t>光源的应用现</w:t>
            </w:r>
            <w:r>
              <w:rPr>
                <w:b w:val="0"/>
                <w:spacing w:val="-10"/>
                <w:sz w:val="24"/>
              </w:rPr>
              <w:t>状</w:t>
            </w:r>
            <w:r>
              <w:rPr>
                <w:rFonts w:ascii="Times New Roman" w:eastAsia="Times New Roman"/>
                <w:b w:val="0"/>
                <w:i w:val="0"/>
                <w:sz w:val="24"/>
              </w:rPr>
              <w:tab/>
            </w:r>
            <w:r>
              <w:rPr>
                <w:b w:val="0"/>
                <w:i w:val="0"/>
                <w:spacing w:val="-10"/>
                <w:sz w:val="24"/>
              </w:rPr>
              <w:t>5</w:t>
            </w:r>
          </w:hyperlink>
        </w:p>
        <w:p>
          <w:pPr>
            <w:pStyle w:val="TOC4"/>
            <w:numPr>
              <w:ilvl w:val="1"/>
              <w:numId w:val="10"/>
            </w:numPr>
            <w:tabs>
              <w:tab w:val="left" w:pos="970"/>
              <w:tab w:val="left" w:leader="dot" w:pos="8961"/>
            </w:tabs>
            <w:spacing w:before="92" w:after="0" w:line="240" w:lineRule="auto"/>
            <w:ind w:left="970" w:right="0" w:hanging="455"/>
            <w:jc w:val="left"/>
            <w:rPr>
              <w:b w:val="0"/>
              <w:i w:val="0"/>
              <w:sz w:val="24"/>
            </w:rPr>
          </w:pPr>
          <w:hyperlink w:anchor="_TOC_250013" w:history="1">
            <w:r>
              <w:rPr>
                <w:b w:val="0"/>
                <w:sz w:val="24"/>
              </w:rPr>
              <w:t>国外</w:t>
            </w:r>
            <w:r>
              <w:rPr>
                <w:b w:val="0"/>
                <w:spacing w:val="-60"/>
                <w:sz w:val="24"/>
              </w:rPr>
              <w:t xml:space="preserve"> </w:t>
            </w:r>
            <w:r>
              <w:rPr>
                <w:b w:val="0"/>
                <w:i w:val="0"/>
                <w:sz w:val="24"/>
              </w:rPr>
              <w:t>LED</w:t>
            </w:r>
            <w:r>
              <w:rPr>
                <w:b w:val="0"/>
                <w:i w:val="0"/>
                <w:spacing w:val="-60"/>
                <w:sz w:val="24"/>
              </w:rPr>
              <w:t xml:space="preserve"> </w:t>
            </w:r>
            <w:r>
              <w:rPr>
                <w:b w:val="0"/>
                <w:sz w:val="24"/>
              </w:rPr>
              <w:t>光源的应用现</w:t>
            </w:r>
            <w:r>
              <w:rPr>
                <w:b w:val="0"/>
                <w:spacing w:val="-10"/>
                <w:sz w:val="24"/>
              </w:rPr>
              <w:t>状</w:t>
            </w:r>
            <w:r>
              <w:rPr>
                <w:rFonts w:ascii="Times New Roman" w:eastAsia="Times New Roman"/>
                <w:b w:val="0"/>
                <w:i w:val="0"/>
                <w:sz w:val="24"/>
              </w:rPr>
              <w:tab/>
            </w:r>
            <w:r>
              <w:rPr>
                <w:b w:val="0"/>
                <w:i w:val="0"/>
                <w:spacing w:val="-10"/>
                <w:sz w:val="24"/>
              </w:rPr>
              <w:t>5</w:t>
            </w:r>
          </w:hyperlink>
        </w:p>
        <w:p>
          <w:pPr>
            <w:pStyle w:val="TOC4"/>
            <w:numPr>
              <w:ilvl w:val="1"/>
              <w:numId w:val="10"/>
            </w:numPr>
            <w:tabs>
              <w:tab w:val="left" w:pos="970"/>
              <w:tab w:val="left" w:leader="dot" w:pos="8961"/>
            </w:tabs>
            <w:spacing w:before="93" w:after="0" w:line="240" w:lineRule="auto"/>
            <w:ind w:left="970" w:right="0" w:hanging="455"/>
            <w:jc w:val="left"/>
            <w:rPr>
              <w:b w:val="0"/>
              <w:i w:val="0"/>
              <w:sz w:val="24"/>
            </w:rPr>
          </w:pPr>
          <w:hyperlink w:anchor="_TOC_250012" w:history="1">
            <w:r>
              <w:rPr>
                <w:b w:val="0"/>
                <w:sz w:val="24"/>
              </w:rPr>
              <w:t>分析国内外</w:t>
            </w:r>
            <w:r>
              <w:rPr>
                <w:b w:val="0"/>
                <w:spacing w:val="-60"/>
                <w:sz w:val="24"/>
              </w:rPr>
              <w:t xml:space="preserve"> </w:t>
            </w:r>
            <w:r>
              <w:rPr>
                <w:b w:val="0"/>
                <w:i w:val="0"/>
                <w:sz w:val="24"/>
              </w:rPr>
              <w:t>LED</w:t>
            </w:r>
            <w:r>
              <w:rPr>
                <w:b w:val="0"/>
                <w:i w:val="0"/>
                <w:spacing w:val="-60"/>
                <w:sz w:val="24"/>
              </w:rPr>
              <w:t xml:space="preserve"> </w:t>
            </w:r>
            <w:r>
              <w:rPr>
                <w:b w:val="0"/>
                <w:sz w:val="24"/>
              </w:rPr>
              <w:t>市</w:t>
            </w:r>
            <w:r>
              <w:rPr>
                <w:b w:val="0"/>
                <w:spacing w:val="-10"/>
                <w:sz w:val="24"/>
              </w:rPr>
              <w:t>场</w:t>
            </w:r>
            <w:r>
              <w:rPr>
                <w:rFonts w:ascii="Times New Roman" w:eastAsia="Times New Roman"/>
                <w:b w:val="0"/>
                <w:i w:val="0"/>
                <w:sz w:val="24"/>
              </w:rPr>
              <w:tab/>
            </w:r>
            <w:r>
              <w:rPr>
                <w:b w:val="0"/>
                <w:i w:val="0"/>
                <w:spacing w:val="-10"/>
                <w:sz w:val="24"/>
              </w:rPr>
              <w:t>7</w:t>
            </w:r>
          </w:hyperlink>
        </w:p>
        <w:p>
          <w:pPr>
            <w:pStyle w:val="TOC1"/>
            <w:tabs>
              <w:tab w:val="left" w:leader="dot" w:pos="8656"/>
            </w:tabs>
            <w:ind w:right="148"/>
            <w:rPr>
              <w:rFonts w:ascii="宋体" w:eastAsia="宋体" w:hint="eastAsia"/>
              <w:sz w:val="24"/>
            </w:rPr>
          </w:pPr>
          <w:hyperlink w:anchor="_TOC_250011" w:history="1">
            <w:r>
              <w:t>第</w:t>
            </w:r>
            <w:r>
              <w:rPr>
                <w:spacing w:val="-70"/>
              </w:rPr>
              <w:t xml:space="preserve"> </w:t>
            </w:r>
            <w:r>
              <w:t>3</w:t>
            </w:r>
            <w:r>
              <w:rPr>
                <w:spacing w:val="-70"/>
              </w:rPr>
              <w:t xml:space="preserve"> </w:t>
            </w:r>
            <w:r>
              <w:t>章 LED</w:t>
            </w:r>
            <w:r>
              <w:rPr>
                <w:spacing w:val="-70"/>
              </w:rPr>
              <w:t xml:space="preserve"> </w:t>
            </w:r>
            <w:r>
              <w:t>光源与传统光源的对</w:t>
            </w:r>
            <w:r>
              <w:rPr>
                <w:spacing w:val="-10"/>
              </w:rPr>
              <w:t>比</w:t>
            </w:r>
            <w:r>
              <w:rPr>
                <w:rFonts w:ascii="Times New Roman" w:eastAsia="Times New Roman"/>
              </w:rPr>
              <w:tab/>
            </w:r>
            <w:r>
              <w:rPr>
                <w:rFonts w:ascii="宋体" w:eastAsia="宋体" w:hint="eastAsia"/>
                <w:spacing w:val="-10"/>
                <w:sz w:val="24"/>
              </w:rPr>
              <w:t>8</w:t>
            </w:r>
          </w:hyperlink>
        </w:p>
        <w:p>
          <w:pPr>
            <w:pStyle w:val="TOC4"/>
            <w:numPr>
              <w:ilvl w:val="1"/>
              <w:numId w:val="9"/>
            </w:numPr>
            <w:tabs>
              <w:tab w:val="left" w:pos="970"/>
              <w:tab w:val="left" w:leader="dot" w:pos="8961"/>
            </w:tabs>
            <w:spacing w:before="201" w:after="0" w:line="240" w:lineRule="auto"/>
            <w:ind w:left="970" w:right="0" w:hanging="455"/>
            <w:jc w:val="left"/>
            <w:rPr>
              <w:b w:val="0"/>
              <w:i w:val="0"/>
              <w:sz w:val="24"/>
            </w:rPr>
          </w:pPr>
          <w:hyperlink w:anchor="_TOC_250010" w:history="1">
            <w:r>
              <w:rPr>
                <w:b w:val="0"/>
                <w:i w:val="0"/>
                <w:sz w:val="24"/>
              </w:rPr>
              <w:t>LED</w:t>
            </w:r>
            <w:r>
              <w:rPr>
                <w:b w:val="0"/>
                <w:i w:val="0"/>
                <w:spacing w:val="-60"/>
                <w:sz w:val="24"/>
              </w:rPr>
              <w:t xml:space="preserve"> </w:t>
            </w:r>
            <w:r>
              <w:rPr>
                <w:b w:val="0"/>
                <w:sz w:val="24"/>
              </w:rPr>
              <w:t>的发展历</w:t>
            </w:r>
            <w:r>
              <w:rPr>
                <w:b w:val="0"/>
                <w:spacing w:val="-10"/>
                <w:sz w:val="24"/>
              </w:rPr>
              <w:t>程</w:t>
            </w:r>
            <w:r>
              <w:rPr>
                <w:rFonts w:ascii="Times New Roman" w:eastAsia="Times New Roman"/>
                <w:b w:val="0"/>
                <w:i w:val="0"/>
                <w:sz w:val="24"/>
              </w:rPr>
              <w:tab/>
            </w:r>
            <w:r>
              <w:rPr>
                <w:b w:val="0"/>
                <w:i w:val="0"/>
                <w:spacing w:val="-10"/>
                <w:sz w:val="24"/>
              </w:rPr>
              <w:t>8</w:t>
            </w:r>
          </w:hyperlink>
        </w:p>
        <w:p>
          <w:pPr>
            <w:pStyle w:val="TOC4"/>
            <w:numPr>
              <w:ilvl w:val="1"/>
              <w:numId w:val="9"/>
            </w:numPr>
            <w:tabs>
              <w:tab w:val="left" w:pos="970"/>
              <w:tab w:val="left" w:leader="dot" w:pos="8961"/>
            </w:tabs>
            <w:spacing w:before="93" w:after="0" w:line="240" w:lineRule="auto"/>
            <w:ind w:left="970" w:right="0" w:hanging="455"/>
            <w:jc w:val="left"/>
            <w:rPr>
              <w:b w:val="0"/>
              <w:i w:val="0"/>
              <w:sz w:val="24"/>
            </w:rPr>
          </w:pPr>
          <w:hyperlink w:anchor="_TOC_250009" w:history="1">
            <w:r>
              <w:rPr>
                <w:b w:val="0"/>
                <w:i w:val="0"/>
                <w:sz w:val="24"/>
              </w:rPr>
              <w:t>LED</w:t>
            </w:r>
            <w:r>
              <w:rPr>
                <w:b w:val="0"/>
                <w:i w:val="0"/>
                <w:spacing w:val="-60"/>
                <w:sz w:val="24"/>
              </w:rPr>
              <w:t xml:space="preserve"> </w:t>
            </w:r>
            <w:r>
              <w:rPr>
                <w:b w:val="0"/>
                <w:sz w:val="24"/>
              </w:rPr>
              <w:t>光源的特</w:t>
            </w:r>
            <w:r>
              <w:rPr>
                <w:b w:val="0"/>
                <w:spacing w:val="-10"/>
                <w:sz w:val="24"/>
              </w:rPr>
              <w:t>点</w:t>
            </w:r>
            <w:r>
              <w:rPr>
                <w:rFonts w:ascii="Times New Roman" w:eastAsia="Times New Roman"/>
                <w:b w:val="0"/>
                <w:i w:val="0"/>
                <w:sz w:val="24"/>
              </w:rPr>
              <w:tab/>
            </w:r>
            <w:r>
              <w:rPr>
                <w:b w:val="0"/>
                <w:i w:val="0"/>
                <w:spacing w:val="-10"/>
                <w:sz w:val="24"/>
              </w:rPr>
              <w:t>9</w:t>
            </w:r>
          </w:hyperlink>
        </w:p>
        <w:p>
          <w:pPr>
            <w:pStyle w:val="TOC4"/>
            <w:numPr>
              <w:ilvl w:val="1"/>
              <w:numId w:val="9"/>
            </w:numPr>
            <w:tabs>
              <w:tab w:val="left" w:pos="970"/>
              <w:tab w:val="left" w:leader="dot" w:pos="8961"/>
            </w:tabs>
            <w:spacing w:before="92" w:after="0" w:line="240" w:lineRule="auto"/>
            <w:ind w:left="970" w:right="0" w:hanging="455"/>
            <w:jc w:val="left"/>
            <w:rPr>
              <w:b w:val="0"/>
              <w:i w:val="0"/>
              <w:sz w:val="24"/>
            </w:rPr>
          </w:pPr>
          <w:hyperlink w:anchor="_TOC_250008" w:history="1">
            <w:r>
              <w:rPr>
                <w:b w:val="0"/>
                <w:sz w:val="24"/>
              </w:rPr>
              <w:t>传统光源与</w:t>
            </w:r>
            <w:r>
              <w:rPr>
                <w:b w:val="0"/>
                <w:spacing w:val="-60"/>
                <w:sz w:val="24"/>
              </w:rPr>
              <w:t xml:space="preserve"> </w:t>
            </w:r>
            <w:r>
              <w:rPr>
                <w:b w:val="0"/>
                <w:i w:val="0"/>
                <w:sz w:val="24"/>
              </w:rPr>
              <w:t>LED</w:t>
            </w:r>
            <w:r>
              <w:rPr>
                <w:b w:val="0"/>
                <w:i w:val="0"/>
                <w:spacing w:val="-60"/>
                <w:sz w:val="24"/>
              </w:rPr>
              <w:t xml:space="preserve"> </w:t>
            </w:r>
            <w:r>
              <w:rPr>
                <w:b w:val="0"/>
                <w:sz w:val="24"/>
              </w:rPr>
              <w:t>光源相比的现</w:t>
            </w:r>
            <w:r>
              <w:rPr>
                <w:b w:val="0"/>
                <w:spacing w:val="-10"/>
                <w:sz w:val="24"/>
              </w:rPr>
              <w:t>状</w:t>
            </w:r>
            <w:r>
              <w:rPr>
                <w:rFonts w:ascii="Times New Roman" w:eastAsia="Times New Roman"/>
                <w:b w:val="0"/>
                <w:i w:val="0"/>
                <w:sz w:val="24"/>
              </w:rPr>
              <w:tab/>
            </w:r>
            <w:r>
              <w:rPr>
                <w:b w:val="0"/>
                <w:i w:val="0"/>
                <w:spacing w:val="-10"/>
                <w:sz w:val="24"/>
              </w:rPr>
              <w:t>9</w:t>
            </w:r>
          </w:hyperlink>
        </w:p>
        <w:p>
          <w:pPr>
            <w:pStyle w:val="TOC3"/>
            <w:numPr>
              <w:ilvl w:val="1"/>
              <w:numId w:val="9"/>
            </w:numPr>
            <w:tabs>
              <w:tab w:val="left" w:pos="970"/>
              <w:tab w:val="left" w:leader="dot" w:pos="8841"/>
            </w:tabs>
            <w:spacing w:before="93" w:after="0" w:line="240" w:lineRule="auto"/>
            <w:ind w:left="970" w:right="0" w:hanging="455"/>
            <w:jc w:val="left"/>
            <w:rPr>
              <w:i w:val="0"/>
            </w:rPr>
          </w:pPr>
          <w:hyperlink w:anchor="_TOC_250007" w:history="1">
            <w:r>
              <w:t>对比两种光源市场及应用的差</w:t>
            </w:r>
            <w:r>
              <w:rPr>
                <w:spacing w:val="-10"/>
              </w:rPr>
              <w:t>距</w:t>
            </w:r>
            <w:r>
              <w:rPr>
                <w:rFonts w:ascii="Times New Roman" w:eastAsia="Times New Roman"/>
                <w:i w:val="0"/>
              </w:rPr>
              <w:tab/>
            </w:r>
            <w:r>
              <w:rPr>
                <w:i w:val="0"/>
                <w:spacing w:val="-5"/>
              </w:rPr>
              <w:t>10</w:t>
            </w:r>
          </w:hyperlink>
        </w:p>
        <w:p>
          <w:pPr>
            <w:pStyle w:val="TOC1"/>
            <w:tabs>
              <w:tab w:val="left" w:leader="dot" w:pos="8536"/>
            </w:tabs>
            <w:ind w:right="147"/>
            <w:rPr>
              <w:rFonts w:ascii="宋体" w:eastAsia="宋体" w:hint="eastAsia"/>
              <w:sz w:val="24"/>
            </w:rPr>
          </w:pPr>
          <w:hyperlink w:anchor="_TOC_250006" w:history="1">
            <w:r>
              <w:t>第</w:t>
            </w:r>
            <w:r>
              <w:rPr>
                <w:spacing w:val="-70"/>
              </w:rPr>
              <w:t xml:space="preserve"> </w:t>
            </w:r>
            <w:r>
              <w:t>4</w:t>
            </w:r>
            <w:r>
              <w:rPr>
                <w:spacing w:val="-70"/>
              </w:rPr>
              <w:t xml:space="preserve"> </w:t>
            </w:r>
            <w:r>
              <w:t>章 LED</w:t>
            </w:r>
            <w:r>
              <w:rPr>
                <w:spacing w:val="-70"/>
              </w:rPr>
              <w:t xml:space="preserve"> </w:t>
            </w:r>
            <w:r>
              <w:t>光源在现实应用中的问</w:t>
            </w:r>
            <w:r>
              <w:rPr>
                <w:spacing w:val="-10"/>
              </w:rPr>
              <w:t>题</w:t>
            </w:r>
            <w:r>
              <w:rPr>
                <w:rFonts w:ascii="Times New Roman" w:eastAsia="Times New Roman"/>
              </w:rPr>
              <w:tab/>
            </w:r>
            <w:r>
              <w:rPr>
                <w:rFonts w:ascii="宋体" w:eastAsia="宋体" w:hint="eastAsia"/>
                <w:spacing w:val="-5"/>
                <w:sz w:val="24"/>
              </w:rPr>
              <w:t>12</w:t>
            </w:r>
          </w:hyperlink>
        </w:p>
        <w:p>
          <w:pPr>
            <w:pStyle w:val="TOC4"/>
            <w:numPr>
              <w:ilvl w:val="1"/>
              <w:numId w:val="8"/>
            </w:numPr>
            <w:tabs>
              <w:tab w:val="left" w:pos="970"/>
              <w:tab w:val="left" w:leader="dot" w:pos="8841"/>
            </w:tabs>
            <w:spacing w:before="202" w:after="0" w:line="240" w:lineRule="auto"/>
            <w:ind w:left="970" w:right="0" w:hanging="455"/>
            <w:jc w:val="left"/>
            <w:rPr>
              <w:b w:val="0"/>
              <w:i w:val="0"/>
              <w:sz w:val="24"/>
            </w:rPr>
          </w:pPr>
          <w:hyperlink w:anchor="_TOC_250005" w:history="1">
            <w:r>
              <w:rPr>
                <w:b w:val="0"/>
                <w:i w:val="0"/>
                <w:sz w:val="24"/>
              </w:rPr>
              <w:t>LED</w:t>
            </w:r>
            <w:r>
              <w:rPr>
                <w:b w:val="0"/>
                <w:i w:val="0"/>
                <w:spacing w:val="-60"/>
                <w:sz w:val="24"/>
              </w:rPr>
              <w:t xml:space="preserve"> </w:t>
            </w:r>
            <w:r>
              <w:rPr>
                <w:b w:val="0"/>
                <w:sz w:val="24"/>
              </w:rPr>
              <w:t>光源的应用领</w:t>
            </w:r>
            <w:r>
              <w:rPr>
                <w:b w:val="0"/>
                <w:spacing w:val="-10"/>
                <w:sz w:val="24"/>
              </w:rPr>
              <w:t>域</w:t>
            </w:r>
            <w:r>
              <w:rPr>
                <w:rFonts w:ascii="Times New Roman" w:eastAsia="Times New Roman"/>
                <w:b w:val="0"/>
                <w:i w:val="0"/>
                <w:sz w:val="24"/>
              </w:rPr>
              <w:tab/>
            </w:r>
            <w:r>
              <w:rPr>
                <w:b w:val="0"/>
                <w:i w:val="0"/>
                <w:spacing w:val="-5"/>
                <w:sz w:val="24"/>
              </w:rPr>
              <w:t>12</w:t>
            </w:r>
          </w:hyperlink>
        </w:p>
        <w:p>
          <w:pPr>
            <w:pStyle w:val="TOC4"/>
            <w:numPr>
              <w:ilvl w:val="1"/>
              <w:numId w:val="8"/>
            </w:numPr>
            <w:tabs>
              <w:tab w:val="left" w:pos="970"/>
              <w:tab w:val="left" w:leader="dot" w:pos="8841"/>
            </w:tabs>
            <w:spacing w:before="92" w:after="0" w:line="240" w:lineRule="auto"/>
            <w:ind w:left="970" w:right="0" w:hanging="455"/>
            <w:jc w:val="left"/>
            <w:rPr>
              <w:b w:val="0"/>
              <w:i w:val="0"/>
              <w:sz w:val="24"/>
            </w:rPr>
          </w:pPr>
          <w:hyperlink w:anchor="_TOC_250004" w:history="1">
            <w:r>
              <w:rPr>
                <w:b w:val="0"/>
                <w:i w:val="0"/>
                <w:sz w:val="24"/>
              </w:rPr>
              <w:t>LED</w:t>
            </w:r>
            <w:r>
              <w:rPr>
                <w:b w:val="0"/>
                <w:i w:val="0"/>
                <w:spacing w:val="-60"/>
                <w:sz w:val="24"/>
              </w:rPr>
              <w:t xml:space="preserve"> </w:t>
            </w:r>
            <w:r>
              <w:rPr>
                <w:b w:val="0"/>
                <w:sz w:val="24"/>
              </w:rPr>
              <w:t>光源应用中存在的局限</w:t>
            </w:r>
            <w:r>
              <w:rPr>
                <w:b w:val="0"/>
                <w:spacing w:val="-10"/>
                <w:sz w:val="24"/>
              </w:rPr>
              <w:t>性</w:t>
            </w:r>
            <w:r>
              <w:rPr>
                <w:rFonts w:ascii="Times New Roman" w:eastAsia="Times New Roman"/>
                <w:b w:val="0"/>
                <w:i w:val="0"/>
                <w:sz w:val="24"/>
              </w:rPr>
              <w:tab/>
            </w:r>
            <w:r>
              <w:rPr>
                <w:b w:val="0"/>
                <w:i w:val="0"/>
                <w:spacing w:val="-5"/>
                <w:sz w:val="24"/>
              </w:rPr>
              <w:t>12</w:t>
            </w:r>
          </w:hyperlink>
        </w:p>
        <w:p>
          <w:pPr>
            <w:pStyle w:val="TOC4"/>
            <w:numPr>
              <w:ilvl w:val="1"/>
              <w:numId w:val="8"/>
            </w:numPr>
            <w:tabs>
              <w:tab w:val="left" w:pos="970"/>
              <w:tab w:val="left" w:leader="dot" w:pos="8841"/>
            </w:tabs>
            <w:spacing w:before="93" w:after="0" w:line="240" w:lineRule="auto"/>
            <w:ind w:left="970" w:right="0" w:hanging="455"/>
            <w:jc w:val="left"/>
            <w:rPr>
              <w:b w:val="0"/>
              <w:i w:val="0"/>
              <w:sz w:val="24"/>
            </w:rPr>
          </w:pPr>
          <w:hyperlink w:anchor="_TOC_250003" w:history="1">
            <w:r>
              <w:rPr>
                <w:b w:val="0"/>
                <w:i w:val="0"/>
                <w:sz w:val="24"/>
              </w:rPr>
              <w:t>LED</w:t>
            </w:r>
            <w:r>
              <w:rPr>
                <w:b w:val="0"/>
                <w:i w:val="0"/>
                <w:spacing w:val="-60"/>
                <w:sz w:val="24"/>
              </w:rPr>
              <w:t xml:space="preserve"> </w:t>
            </w:r>
            <w:r>
              <w:rPr>
                <w:b w:val="0"/>
                <w:sz w:val="24"/>
              </w:rPr>
              <w:t>光源如何才干进入通用照明市</w:t>
            </w:r>
            <w:r>
              <w:rPr>
                <w:b w:val="0"/>
                <w:spacing w:val="-10"/>
                <w:sz w:val="24"/>
              </w:rPr>
              <w:t>场</w:t>
            </w:r>
            <w:r>
              <w:rPr>
                <w:rFonts w:ascii="Times New Roman" w:eastAsia="Times New Roman"/>
                <w:b w:val="0"/>
                <w:i w:val="0"/>
                <w:sz w:val="24"/>
              </w:rPr>
              <w:tab/>
            </w:r>
            <w:r>
              <w:rPr>
                <w:b w:val="0"/>
                <w:i w:val="0"/>
                <w:spacing w:val="-5"/>
                <w:sz w:val="24"/>
              </w:rPr>
              <w:t>13</w:t>
            </w:r>
          </w:hyperlink>
        </w:p>
        <w:p>
          <w:pPr>
            <w:pStyle w:val="TOC1"/>
            <w:tabs>
              <w:tab w:val="left" w:leader="dot" w:pos="8536"/>
            </w:tabs>
            <w:rPr>
              <w:rFonts w:ascii="宋体" w:eastAsia="宋体" w:hint="eastAsia"/>
              <w:sz w:val="24"/>
            </w:rPr>
          </w:pPr>
          <w:hyperlink w:anchor="_TOC_250002" w:history="1">
            <w:r>
              <w:t>第</w:t>
            </w:r>
            <w:r>
              <w:rPr>
                <w:spacing w:val="-70"/>
              </w:rPr>
              <w:t xml:space="preserve"> </w:t>
            </w:r>
            <w:r>
              <w:t>5</w:t>
            </w:r>
            <w:r>
              <w:rPr>
                <w:spacing w:val="-70"/>
              </w:rPr>
              <w:t xml:space="preserve"> </w:t>
            </w:r>
            <w:r>
              <w:t>章 LED</w:t>
            </w:r>
            <w:r>
              <w:rPr>
                <w:spacing w:val="-70"/>
              </w:rPr>
              <w:t xml:space="preserve"> </w:t>
            </w:r>
            <w:r>
              <w:t>光源的应用前景分</w:t>
            </w:r>
            <w:r>
              <w:rPr>
                <w:spacing w:val="-10"/>
              </w:rPr>
              <w:t>析</w:t>
            </w:r>
            <w:r>
              <w:rPr>
                <w:rFonts w:ascii="Times New Roman" w:eastAsia="Times New Roman"/>
              </w:rPr>
              <w:tab/>
            </w:r>
            <w:r>
              <w:rPr>
                <w:rFonts w:ascii="宋体" w:eastAsia="宋体" w:hint="eastAsia"/>
                <w:spacing w:val="-5"/>
                <w:sz w:val="24"/>
              </w:rPr>
              <w:t>15</w:t>
            </w:r>
          </w:hyperlink>
        </w:p>
        <w:p>
          <w:pPr>
            <w:pStyle w:val="TOC1"/>
            <w:tabs>
              <w:tab w:val="left" w:leader="dot" w:pos="8536"/>
            </w:tabs>
            <w:spacing w:before="161"/>
            <w:ind w:right="147"/>
            <w:rPr>
              <w:rFonts w:ascii="宋体" w:eastAsia="宋体" w:hint="eastAsia"/>
              <w:sz w:val="24"/>
            </w:rPr>
          </w:pPr>
          <w:hyperlink w:anchor="_TOC_250001" w:history="1">
            <w:r>
              <w:t>第</w:t>
            </w:r>
            <w:r>
              <w:rPr>
                <w:spacing w:val="-70"/>
              </w:rPr>
              <w:t xml:space="preserve"> </w:t>
            </w:r>
            <w:r>
              <w:t>6</w:t>
            </w:r>
            <w:r>
              <w:rPr>
                <w:spacing w:val="-70"/>
              </w:rPr>
              <w:t xml:space="preserve"> </w:t>
            </w:r>
            <w:r>
              <w:t>章 总结与展</w:t>
            </w:r>
            <w:r>
              <w:rPr>
                <w:spacing w:val="-10"/>
              </w:rPr>
              <w:t>望</w:t>
            </w:r>
            <w:r>
              <w:rPr>
                <w:rFonts w:ascii="Times New Roman" w:eastAsia="Times New Roman"/>
              </w:rPr>
              <w:tab/>
            </w:r>
            <w:r>
              <w:rPr>
                <w:rFonts w:ascii="宋体" w:eastAsia="宋体" w:hint="eastAsia"/>
                <w:spacing w:val="-5"/>
                <w:sz w:val="24"/>
              </w:rPr>
              <w:t>17</w:t>
            </w:r>
          </w:hyperlink>
        </w:p>
        <w:p>
          <w:pPr>
            <w:pStyle w:val="TOC2"/>
            <w:tabs>
              <w:tab w:val="left" w:leader="dot" w:pos="8537"/>
            </w:tabs>
            <w:spacing w:before="162"/>
            <w:rPr>
              <w:rFonts w:ascii="宋体" w:eastAsia="宋体" w:hint="eastAsia"/>
              <w:b w:val="0"/>
              <w:i w:val="0"/>
              <w:sz w:val="24"/>
            </w:rPr>
          </w:pPr>
          <w:hyperlink w:anchor="_TOC_250000" w:history="1">
            <w:r>
              <w:rPr>
                <w:b w:val="0"/>
                <w:i w:val="0"/>
                <w:sz w:val="28"/>
              </w:rPr>
              <w:t>致</w:t>
            </w:r>
            <w:r>
              <w:rPr>
                <w:b w:val="0"/>
                <w:i w:val="0"/>
                <w:spacing w:val="-10"/>
                <w:sz w:val="28"/>
              </w:rPr>
              <w:t>谢</w:t>
            </w:r>
            <w:r>
              <w:rPr>
                <w:rFonts w:ascii="Times New Roman" w:eastAsia="Times New Roman"/>
                <w:b w:val="0"/>
                <w:i w:val="0"/>
                <w:sz w:val="28"/>
              </w:rPr>
              <w:tab/>
            </w:r>
            <w:r>
              <w:rPr>
                <w:rFonts w:ascii="宋体" w:eastAsia="宋体" w:hint="eastAsia"/>
                <w:b w:val="0"/>
                <w:i w:val="0"/>
                <w:spacing w:val="-5"/>
                <w:sz w:val="24"/>
              </w:rPr>
              <w:t>19</w:t>
            </w:r>
          </w:hyperlink>
        </w:p>
        <w:p>
          <w:pPr>
            <w:pStyle w:val="TOC2"/>
            <w:tabs>
              <w:tab w:val="left" w:leader="dot" w:pos="8536"/>
            </w:tabs>
            <w:ind w:right="147"/>
            <w:rPr>
              <w:rFonts w:ascii="宋体" w:eastAsia="宋体" w:hint="eastAsia"/>
              <w:b w:val="0"/>
              <w:i w:val="0"/>
              <w:sz w:val="24"/>
            </w:rPr>
          </w:pPr>
          <w:r>
            <w:rPr>
              <w:b w:val="0"/>
              <w:i w:val="0"/>
              <w:sz w:val="28"/>
            </w:rPr>
            <w:t>参考文</w:t>
          </w:r>
          <w:r>
            <w:rPr>
              <w:b w:val="0"/>
              <w:i w:val="0"/>
              <w:spacing w:val="-10"/>
              <w:sz w:val="28"/>
            </w:rPr>
            <w:t>献</w:t>
          </w:r>
          <w:r>
            <w:rPr>
              <w:rFonts w:ascii="Times New Roman" w:eastAsia="Times New Roman"/>
              <w:b w:val="0"/>
              <w:i w:val="0"/>
              <w:sz w:val="28"/>
            </w:rPr>
            <w:tab/>
          </w:r>
          <w:r>
            <w:rPr>
              <w:rFonts w:ascii="宋体" w:eastAsia="宋体" w:hint="eastAsia"/>
              <w:b w:val="0"/>
              <w:i w:val="0"/>
              <w:spacing w:val="-5"/>
              <w:sz w:val="24"/>
            </w:rPr>
            <w:t>20</w:t>
          </w:r>
        </w:p>
      </w:sdtContent>
    </w:sdt>
    <w:p>
      <w:pPr>
        <w:spacing w:after="0"/>
        <w:rPr>
          <w:rFonts w:hint="eastAsia"/>
          <w:sz w:val="24"/>
        </w:rPr>
        <w:sectPr>
          <w:pgSz w:w="11910" w:h="16840"/>
          <w:pgMar w:top="1900" w:right="680" w:bottom="280" w:left="1680" w:header="708" w:footer="708"/>
          <w:pgNumType w:start="3"/>
          <w:cols w:space="708"/>
        </w:sectPr>
      </w:pPr>
    </w:p>
    <w:p>
      <w:pPr>
        <w:pStyle w:val="ListParagraph"/>
        <w:numPr>
          <w:ilvl w:val="1"/>
          <w:numId w:val="7"/>
        </w:numPr>
        <w:tabs>
          <w:tab w:val="left" w:pos="865"/>
        </w:tabs>
        <w:spacing w:before="630" w:after="0" w:line="240" w:lineRule="auto"/>
        <w:ind w:left="865" w:right="0" w:hanging="560"/>
        <w:jc w:val="left"/>
        <w:rPr>
          <w:rFonts w:ascii="黑体" w:eastAsia="黑体"/>
          <w:sz w:val="28"/>
        </w:rPr>
      </w:pPr>
      <w:r>
        <w:rPr>
          <w:rFonts w:ascii="黑体" w:eastAsia="黑体"/>
          <w:sz w:val="28"/>
        </w:rPr>
        <w:t>LED</w:t>
      </w:r>
      <w:r>
        <w:rPr>
          <w:rFonts w:ascii="黑体" w:eastAsia="黑体"/>
          <w:spacing w:val="-2"/>
          <w:sz w:val="28"/>
        </w:rPr>
        <w:t>的发光机理</w:t>
      </w:r>
    </w:p>
    <w:p>
      <w:pPr>
        <w:pStyle w:val="Heading1"/>
        <w:spacing w:before="34"/>
        <w:ind w:left="173" w:right="0"/>
        <w:jc w:val="left"/>
      </w:pPr>
      <w:bookmarkStart w:id="0" w:name="_TOC_250018"/>
      <w:r>
        <w:br w:type="column"/>
      </w:r>
      <w:r>
        <w:rPr>
          <w:spacing w:val="-40"/>
        </w:rPr>
        <w:t xml:space="preserve">第 </w:t>
      </w:r>
      <w:r>
        <w:t>1</w:t>
      </w:r>
      <w:r>
        <w:rPr>
          <w:spacing w:val="-27"/>
        </w:rPr>
        <w:t xml:space="preserve"> 章 </w:t>
      </w:r>
      <w:r>
        <w:t>LED</w:t>
      </w:r>
      <w:bookmarkEnd w:id="0"/>
      <w:r>
        <w:rPr>
          <w:spacing w:val="-15"/>
        </w:rPr>
        <w:t xml:space="preserve"> 的机理及特性</w:t>
      </w:r>
    </w:p>
    <w:p>
      <w:pPr>
        <w:spacing w:after="0"/>
        <w:jc w:val="left"/>
        <w:sectPr>
          <w:pgSz w:w="11910" w:h="16840"/>
          <w:pgMar w:top="1700" w:right="680" w:bottom="280" w:left="1680" w:header="708" w:footer="708"/>
          <w:pgNumType w:start="4"/>
          <w:cols w:num="2" w:space="708" w:equalWidth="0">
            <w:col w:w="2686" w:space="40"/>
            <w:col w:w="6824" w:space="0"/>
          </w:cols>
        </w:sectPr>
      </w:pPr>
    </w:p>
    <w:p>
      <w:pPr>
        <w:pStyle w:val="BodyText"/>
        <w:spacing w:before="6"/>
        <w:rPr>
          <w:rFonts w:ascii="黑体"/>
          <w:sz w:val="18"/>
        </w:rPr>
      </w:pPr>
    </w:p>
    <w:p>
      <w:pPr>
        <w:pStyle w:val="BodyText"/>
        <w:spacing w:line="312" w:lineRule="auto"/>
        <w:ind w:left="305" w:right="331" w:firstLine="480"/>
      </w:pPr>
      <w:r>
        <w:drawing>
          <wp:anchor distT="0" distB="0" distL="0" distR="0" simplePos="0" relativeHeight="251658240" behindDoc="0" locked="0" layoutInCell="1" allowOverlap="1">
            <wp:simplePos x="0" y="0"/>
            <wp:positionH relativeFrom="page">
              <wp:posOffset>1488610</wp:posOffset>
            </wp:positionH>
            <wp:positionV relativeFrom="paragraph">
              <wp:posOffset>2826067</wp:posOffset>
            </wp:positionV>
            <wp:extent cx="4447136" cy="241935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4447136" cy="2419350"/>
                    </a:xfrm>
                    <a:prstGeom prst="rect">
                      <a:avLst/>
                    </a:prstGeom>
                  </pic:spPr>
                </pic:pic>
              </a:graphicData>
            </a:graphic>
          </wp:anchor>
        </w:drawing>
      </w:r>
      <w:r>
        <w:t>LED是Light-Emitting Diode的英文缩写，中文名叫发光二极管，是一种固态的</w:t>
      </w:r>
      <w:r>
        <w:rPr>
          <w:spacing w:val="-2"/>
        </w:rPr>
        <w:t>半导体发光元件，其实质性构造是半导体P-N结，在半导体P-N结通以正向电流时注入</w:t>
      </w:r>
      <w:r>
        <w:rPr>
          <w:spacing w:val="-2"/>
        </w:rPr>
        <w:t>少数载流子，少数载流子发光复合就是发光二极管的发光机理。发光二极管的发光机</w:t>
      </w:r>
      <w:r>
        <w:rPr>
          <w:spacing w:val="-2"/>
        </w:rPr>
        <w:t>理能够用P-N结的能带构造来做解释。制作发光二极管的半导体材料是重掺杂的，热</w:t>
      </w:r>
      <w:r>
        <w:rPr>
          <w:spacing w:val="-2"/>
        </w:rPr>
        <w:t>平衡状态下的N</w:t>
      </w:r>
      <w:r>
        <w:rPr>
          <w:spacing w:val="-11"/>
        </w:rPr>
        <w:t>区有诸多迁移率很高的电子，</w:t>
      </w:r>
      <w:r>
        <w:t>P</w:t>
      </w:r>
      <w:r>
        <w:rPr>
          <w:spacing w:val="-10"/>
        </w:rPr>
        <w:t>区有较多的迁移率较低的空穴，由于</w:t>
      </w:r>
      <w:r>
        <w:rPr>
          <w:spacing w:val="-2"/>
        </w:rPr>
        <w:t>P-N</w:t>
      </w:r>
      <w:r>
        <w:rPr>
          <w:spacing w:val="-4"/>
        </w:rPr>
        <w:t>结阻挡层的限制，在常态下，两者不能发生自然复合；而当给P-N结加以正向电压时，</w:t>
      </w:r>
      <w:r>
        <w:rPr>
          <w:spacing w:val="-2"/>
        </w:rPr>
        <w:t>由于外加电场方向与势垒区的自建电场方向相反，因此势垒高度减少，势垒区宽度变</w:t>
      </w:r>
      <w:r>
        <w:rPr>
          <w:spacing w:val="-2"/>
        </w:rPr>
        <w:t>窄，破坏了P-N结的动态平衡，产生少数载流子的电子注入。空穴从P区注入N区，同</w:t>
      </w:r>
      <w:r>
        <w:rPr>
          <w:spacing w:val="-2"/>
        </w:rPr>
        <w:t>样电子从N区注入到P区，注入的少数载流子将同该区的多数载流子复合，不停的将多</w:t>
      </w:r>
      <w:r>
        <w:rPr>
          <w:spacing w:val="-2"/>
        </w:rPr>
        <w:t>出的能量以光的形式辐射出去，所发出光的颜色是由形成P-N结的材料决定。因此，</w:t>
      </w:r>
      <w:r>
        <w:rPr>
          <w:spacing w:val="-2"/>
        </w:rPr>
        <w:t>发光二极管也即运用注入式电致发光原理制作的二极管，如图1.1所示。</w:t>
      </w:r>
    </w:p>
    <w:p>
      <w:pPr>
        <w:pStyle w:val="BodyText"/>
        <w:spacing w:before="12"/>
        <w:rPr>
          <w:sz w:val="22"/>
        </w:rPr>
      </w:pPr>
    </w:p>
    <w:p>
      <w:pPr>
        <w:spacing w:before="0" w:line="417" w:lineRule="auto"/>
        <w:ind w:left="3283" w:right="3431" w:firstLine="0"/>
        <w:jc w:val="center"/>
        <w:rPr>
          <w:sz w:val="21"/>
        </w:rPr>
      </w:pPr>
      <w:r>
        <w:rPr>
          <w:sz w:val="21"/>
        </w:rPr>
        <w:t>图1.1 P-N结内电流流向 Fig1.1</w:t>
      </w:r>
      <w:r>
        <w:rPr>
          <w:spacing w:val="-12"/>
          <w:sz w:val="21"/>
        </w:rPr>
        <w:t xml:space="preserve"> </w:t>
      </w:r>
      <w:r>
        <w:rPr>
          <w:sz w:val="21"/>
        </w:rPr>
        <w:t>P-N</w:t>
      </w:r>
      <w:r>
        <w:rPr>
          <w:spacing w:val="-12"/>
          <w:sz w:val="21"/>
        </w:rPr>
        <w:t xml:space="preserve"> </w:t>
      </w:r>
      <w:r>
        <w:rPr>
          <w:sz w:val="21"/>
        </w:rPr>
        <w:t>junction</w:t>
      </w:r>
      <w:r>
        <w:rPr>
          <w:spacing w:val="-12"/>
          <w:sz w:val="21"/>
        </w:rPr>
        <w:t xml:space="preserve"> </w:t>
      </w:r>
      <w:r>
        <w:rPr>
          <w:sz w:val="21"/>
        </w:rPr>
        <w:t>current</w:t>
      </w:r>
    </w:p>
    <w:p>
      <w:pPr>
        <w:pStyle w:val="Heading2"/>
        <w:numPr>
          <w:ilvl w:val="1"/>
          <w:numId w:val="7"/>
        </w:numPr>
        <w:tabs>
          <w:tab w:val="left" w:pos="865"/>
        </w:tabs>
        <w:spacing w:before="17" w:after="0" w:line="240" w:lineRule="auto"/>
        <w:ind w:left="865" w:right="0" w:hanging="560"/>
        <w:jc w:val="left"/>
      </w:pPr>
      <w:bookmarkStart w:id="1" w:name="_TOC_250017"/>
      <w:r>
        <w:t>LED</w:t>
      </w:r>
      <w:bookmarkEnd w:id="1"/>
      <w:r>
        <w:rPr>
          <w:spacing w:val="-4"/>
        </w:rPr>
        <w:t>的特性</w:t>
      </w:r>
    </w:p>
    <w:p>
      <w:pPr>
        <w:pStyle w:val="BodyText"/>
        <w:spacing w:before="237"/>
        <w:ind w:left="785"/>
      </w:pPr>
      <w:r>
        <w:t>LED光源有着传统光源无法比拟的优点，那是由于LED</w:t>
      </w:r>
      <w:r>
        <w:rPr>
          <w:spacing w:val="-2"/>
        </w:rPr>
        <w:t>特有的性质。</w:t>
      </w:r>
    </w:p>
    <w:p>
      <w:pPr>
        <w:pStyle w:val="BodyText"/>
        <w:spacing w:before="93" w:line="312" w:lineRule="auto"/>
        <w:ind w:left="305" w:right="451" w:firstLine="480"/>
        <w:jc w:val="both"/>
      </w:pPr>
      <w:r>
        <w:rPr>
          <w:spacing w:val="-2"/>
        </w:rPr>
        <w:t>（1）光谱特性。PN结辐射光的波长决定于材料的禁带宽度Eg，由于不同材料的</w:t>
      </w:r>
      <w:r>
        <w:rPr>
          <w:spacing w:val="-4"/>
        </w:rPr>
        <w:t>禁带宽度不同，因此由不同材料制成的发光二极管可发出不同波长的光，不同材料的</w:t>
      </w:r>
      <w:r>
        <w:rPr>
          <w:spacing w:val="-4"/>
        </w:rPr>
        <w:t xml:space="preserve"> LED发光光谱如图1.2所示。发光二极管所发出的光即使不是纯单色光，但是它的谱线</w:t>
      </w:r>
      <w:r>
        <w:rPr>
          <w:spacing w:val="-4"/>
        </w:rPr>
        <w:t>宽度都比其它光源所发出光的谱线窄。例如，砷化镓发光二极管的谱线宽度只有25nm</w:t>
      </w:r>
      <w:r>
        <w:rPr>
          <w:spacing w:val="-2"/>
        </w:rPr>
        <w:t>时，能够认为是单色光。</w:t>
      </w:r>
    </w:p>
    <w:p>
      <w:pPr>
        <w:spacing w:after="0" w:line="312" w:lineRule="auto"/>
        <w:jc w:val="both"/>
        <w:sectPr>
          <w:type w:val="continuous"/>
          <w:pgSz w:w="11910" w:h="16840"/>
          <w:pgMar w:top="1700" w:right="680" w:bottom="280" w:left="1680" w:header="708" w:footer="708"/>
          <w:pgNumType w:start="5"/>
          <w:cols w:space="708"/>
        </w:sectPr>
      </w:pPr>
    </w:p>
    <w:p>
      <w:pPr>
        <w:pStyle w:val="BodyText"/>
        <w:ind w:left="716"/>
        <w:rPr>
          <w:sz w:val="20"/>
        </w:rPr>
      </w:pPr>
      <w:r>
        <w:rPr>
          <w:sz w:val="20"/>
        </w:rPr>
        <w:drawing>
          <wp:inline distT="0" distB="0" distL="0" distR="0">
            <wp:extent cx="4981963" cy="2403348"/>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4981963" cy="2403348"/>
                    </a:xfrm>
                    <a:prstGeom prst="rect">
                      <a:avLst/>
                    </a:prstGeom>
                  </pic:spPr>
                </pic:pic>
              </a:graphicData>
            </a:graphic>
          </wp:inline>
        </w:drawing>
      </w:r>
    </w:p>
    <w:p>
      <w:pPr>
        <w:pStyle w:val="BodyText"/>
        <w:spacing w:before="8"/>
        <w:rPr>
          <w:sz w:val="21"/>
        </w:rPr>
      </w:pPr>
    </w:p>
    <w:p>
      <w:pPr>
        <w:spacing w:before="71"/>
        <w:ind w:left="0" w:right="148" w:firstLine="0"/>
        <w:jc w:val="center"/>
        <w:rPr>
          <w:sz w:val="21"/>
        </w:rPr>
      </w:pPr>
      <w:r>
        <w:rPr>
          <w:sz w:val="21"/>
        </w:rPr>
        <w:t>图1.2 LED</w:t>
      </w:r>
      <w:r>
        <w:rPr>
          <w:spacing w:val="-2"/>
          <w:sz w:val="21"/>
        </w:rPr>
        <w:t>发光光谱分布</w:t>
      </w:r>
    </w:p>
    <w:p>
      <w:pPr>
        <w:pStyle w:val="BodyText"/>
        <w:spacing w:before="5"/>
        <w:rPr>
          <w:sz w:val="22"/>
        </w:rPr>
      </w:pPr>
    </w:p>
    <w:p>
      <w:pPr>
        <w:spacing w:before="0"/>
        <w:ind w:left="0" w:right="148" w:firstLine="0"/>
        <w:jc w:val="center"/>
        <w:rPr>
          <w:sz w:val="21"/>
        </w:rPr>
      </w:pPr>
      <w:r>
        <w:rPr>
          <w:sz w:val="21"/>
        </w:rPr>
        <w:t xml:space="preserve">Fig1.2 LED light spectral </w:t>
      </w:r>
      <w:r>
        <w:rPr>
          <w:spacing w:val="-2"/>
          <w:sz w:val="21"/>
        </w:rPr>
        <w:t>distribution</w:t>
      </w:r>
    </w:p>
    <w:p>
      <w:pPr>
        <w:pStyle w:val="BodyText"/>
        <w:rPr>
          <w:sz w:val="20"/>
        </w:rPr>
      </w:pPr>
    </w:p>
    <w:p>
      <w:pPr>
        <w:pStyle w:val="BodyText"/>
        <w:spacing w:line="312" w:lineRule="auto"/>
        <w:ind w:left="305" w:right="540" w:firstLine="420"/>
      </w:pPr>
      <w:r>
        <w:rPr>
          <w:spacing w:val="-2"/>
        </w:rPr>
        <w:t>(2)伏安特性。LED伏安特性与P—N结伏安特性相似，如图1.3所示，涉及正向死</w:t>
      </w:r>
      <w:r>
        <w:rPr>
          <w:spacing w:val="-2"/>
        </w:rPr>
        <w:t>区、工作区、反向死区和击穿区。</w:t>
      </w:r>
    </w:p>
    <w:p>
      <w:pPr>
        <w:pStyle w:val="BodyText"/>
        <w:rPr>
          <w:sz w:val="20"/>
        </w:rPr>
      </w:pPr>
    </w:p>
    <w:p>
      <w:pPr>
        <w:pStyle w:val="BodyText"/>
        <w:spacing w:before="12"/>
        <w:rPr>
          <w:sz w:val="11"/>
        </w:rPr>
      </w:pPr>
      <w:r>
        <w:drawing>
          <wp:anchor distT="0" distB="0" distL="0" distR="0" simplePos="0" relativeHeight="251659264" behindDoc="0" locked="0" layoutInCell="1" allowOverlap="1">
            <wp:simplePos x="0" y="0"/>
            <wp:positionH relativeFrom="page">
              <wp:posOffset>1944326</wp:posOffset>
            </wp:positionH>
            <wp:positionV relativeFrom="paragraph">
              <wp:posOffset>112368</wp:posOffset>
            </wp:positionV>
            <wp:extent cx="4414431" cy="340785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4414431" cy="3407854"/>
                    </a:xfrm>
                    <a:prstGeom prst="rect">
                      <a:avLst/>
                    </a:prstGeom>
                  </pic:spPr>
                </pic:pic>
              </a:graphicData>
            </a:graphic>
          </wp:anchor>
        </w:drawing>
      </w:r>
    </w:p>
    <w:p>
      <w:pPr>
        <w:pStyle w:val="BodyText"/>
      </w:pPr>
    </w:p>
    <w:p>
      <w:pPr>
        <w:pStyle w:val="BodyText"/>
        <w:spacing w:before="11"/>
        <w:rPr>
          <w:sz w:val="34"/>
        </w:rPr>
      </w:pPr>
    </w:p>
    <w:p>
      <w:pPr>
        <w:spacing w:before="0"/>
        <w:ind w:left="0" w:right="148" w:firstLine="0"/>
        <w:jc w:val="center"/>
        <w:rPr>
          <w:sz w:val="21"/>
        </w:rPr>
      </w:pPr>
      <w:r>
        <w:rPr>
          <w:sz w:val="21"/>
        </w:rPr>
        <w:t>图1.3 LED</w:t>
      </w:r>
      <w:r>
        <w:rPr>
          <w:spacing w:val="-3"/>
          <w:sz w:val="21"/>
        </w:rPr>
        <w:t>伏安特性</w:t>
      </w:r>
    </w:p>
    <w:p>
      <w:pPr>
        <w:pStyle w:val="BodyText"/>
        <w:spacing w:before="5"/>
        <w:rPr>
          <w:sz w:val="22"/>
        </w:rPr>
      </w:pPr>
    </w:p>
    <w:p>
      <w:pPr>
        <w:spacing w:before="0"/>
        <w:ind w:left="0" w:right="148" w:firstLine="0"/>
        <w:jc w:val="center"/>
        <w:rPr>
          <w:sz w:val="21"/>
        </w:rPr>
      </w:pPr>
      <w:r>
        <w:rPr>
          <w:sz w:val="21"/>
        </w:rPr>
        <w:t xml:space="preserve">Fig1.3 LED volt-ampere </w:t>
      </w:r>
      <w:r>
        <w:rPr>
          <w:spacing w:val="-2"/>
          <w:sz w:val="21"/>
        </w:rPr>
        <w:t>characteristic</w:t>
      </w:r>
    </w:p>
    <w:p>
      <w:pPr>
        <w:spacing w:after="0"/>
        <w:jc w:val="center"/>
        <w:rPr>
          <w:sz w:val="21"/>
        </w:rPr>
        <w:sectPr>
          <w:pgSz w:w="11910" w:h="16840"/>
          <w:pgMar w:top="1580" w:right="680" w:bottom="280" w:left="1680" w:header="708" w:footer="708"/>
          <w:pgNumType w:start="6"/>
          <w:cols w:space="708"/>
        </w:sectPr>
      </w:pPr>
    </w:p>
    <w:p>
      <w:pPr>
        <w:pStyle w:val="BodyText"/>
        <w:spacing w:before="42" w:line="312" w:lineRule="auto"/>
        <w:ind w:left="305" w:right="331" w:firstLine="480"/>
      </w:pPr>
      <w:r>
        <w:rPr>
          <w:spacing w:val="-4"/>
        </w:rPr>
        <w:t>当外加正向电压不大于启动电压时，克服不了势垒电场，P-N结呈现较大的电阻，</w:t>
      </w:r>
      <w:r>
        <w:rPr>
          <w:spacing w:val="-2"/>
        </w:rPr>
        <w:t>正向电流很小。发光二极管的启动电压随所用材料的不同而不同，当外加电压超出启</w:t>
      </w:r>
      <w:r>
        <w:rPr>
          <w:spacing w:val="-2"/>
        </w:rPr>
        <w:t>动电压时，克服了势垒电场，使正向电流快速增大，注入的空穴和电子大量复合而发</w:t>
      </w:r>
      <w:r>
        <w:rPr>
          <w:spacing w:val="-6"/>
        </w:rPr>
        <w:t>光。</w:t>
      </w:r>
    </w:p>
    <w:p>
      <w:pPr>
        <w:pStyle w:val="ListParagraph"/>
        <w:numPr>
          <w:ilvl w:val="0"/>
          <w:numId w:val="6"/>
        </w:numPr>
        <w:tabs>
          <w:tab w:val="left" w:pos="1386"/>
        </w:tabs>
        <w:spacing w:before="0" w:after="0" w:line="312" w:lineRule="auto"/>
        <w:ind w:left="305" w:right="480" w:firstLine="480"/>
        <w:jc w:val="left"/>
        <w:rPr>
          <w:sz w:val="24"/>
        </w:rPr>
      </w:pPr>
      <w:r>
        <w:rPr>
          <w:spacing w:val="-2"/>
          <w:sz w:val="24"/>
        </w:rPr>
        <w:t>LED光强度、光通量与电流的关系特性。LED属于电流控制型半导体器件，</w:t>
      </w:r>
      <w:r>
        <w:rPr>
          <w:spacing w:val="-2"/>
          <w:sz w:val="24"/>
        </w:rPr>
        <w:t>其发光亮度L与正向电流I近似成正比，即</w:t>
      </w:r>
    </w:p>
    <w:p>
      <w:pPr>
        <w:spacing w:after="0" w:line="312" w:lineRule="auto"/>
        <w:jc w:val="left"/>
        <w:rPr>
          <w:sz w:val="24"/>
        </w:rPr>
        <w:sectPr>
          <w:pgSz w:w="11910" w:h="16840"/>
          <w:pgMar w:top="1460" w:right="680" w:bottom="280" w:left="1680" w:header="708" w:footer="708"/>
          <w:pgNumType w:start="7"/>
          <w:cols w:space="708"/>
        </w:sectPr>
      </w:pPr>
    </w:p>
    <w:p>
      <w:pPr>
        <w:spacing w:before="0"/>
        <w:ind w:left="4408" w:right="2788" w:firstLine="0"/>
        <w:jc w:val="center"/>
        <w:rPr>
          <w:rFonts w:ascii="Times New Roman" w:hAnsi="Times New Roman"/>
          <w:i/>
          <w:sz w:val="24"/>
        </w:rPr>
      </w:pPr>
      <w:r>
        <w:rPr>
          <w:rFonts w:ascii="Times New Roman" w:hAnsi="Times New Roman"/>
          <w:i/>
          <w:sz w:val="24"/>
        </w:rPr>
        <w:t>L</w:t>
      </w:r>
      <w:r>
        <w:rPr>
          <w:rFonts w:ascii="Times New Roman" w:hAnsi="Times New Roman"/>
          <w:i/>
          <w:spacing w:val="4"/>
          <w:sz w:val="24"/>
        </w:rPr>
        <w:t xml:space="preserve"> </w:t>
      </w:r>
      <w:r>
        <w:rPr>
          <w:rFonts w:ascii="Symbol" w:hAnsi="Symbol"/>
          <w:sz w:val="24"/>
        </w:rPr>
        <w:sym w:font="Symbol" w:char="F03D"/>
      </w:r>
      <w:r>
        <w:rPr>
          <w:rFonts w:ascii="Times New Roman" w:hAnsi="Times New Roman"/>
          <w:spacing w:val="10"/>
          <w:sz w:val="24"/>
        </w:rPr>
        <w:t xml:space="preserve"> </w:t>
      </w:r>
      <w:r>
        <w:rPr>
          <w:rFonts w:ascii="Times New Roman" w:hAnsi="Times New Roman"/>
          <w:i/>
          <w:spacing w:val="-5"/>
          <w:sz w:val="24"/>
        </w:rPr>
        <w:t>KI</w:t>
      </w:r>
    </w:p>
    <w:p>
      <w:pPr>
        <w:pStyle w:val="BodyText"/>
        <w:spacing w:before="107"/>
        <w:ind w:left="305"/>
      </w:pPr>
      <w:r>
        <w:t>式中K为比例系数。因此能够通过调节流过LED的电流来控制LED</w:t>
      </w:r>
      <w:r>
        <w:rPr>
          <w:spacing w:val="-3"/>
        </w:rPr>
        <w:t>的亮度。</w:t>
      </w:r>
    </w:p>
    <w:p>
      <w:pPr>
        <w:pStyle w:val="BodyText"/>
        <w:spacing w:before="1"/>
        <w:ind w:left="233"/>
      </w:pPr>
      <w:r>
        <w:br w:type="column"/>
      </w:r>
      <w:r>
        <w:t>(式1-</w:t>
      </w:r>
      <w:r>
        <w:rPr>
          <w:spacing w:val="-5"/>
        </w:rPr>
        <w:t>1)</w:t>
      </w:r>
    </w:p>
    <w:p>
      <w:pPr>
        <w:spacing w:after="0"/>
        <w:sectPr>
          <w:type w:val="continuous"/>
          <w:pgSz w:w="11910" w:h="16840"/>
          <w:pgMar w:top="1700" w:right="680" w:bottom="280" w:left="1680" w:header="708" w:footer="708"/>
          <w:pgNumType w:start="8"/>
          <w:cols w:num="2" w:space="708" w:equalWidth="0">
            <w:col w:w="7866" w:space="40"/>
            <w:col w:w="1644" w:space="0"/>
          </w:cols>
        </w:sectPr>
      </w:pPr>
    </w:p>
    <w:p>
      <w:pPr>
        <w:pStyle w:val="ListParagraph"/>
        <w:numPr>
          <w:ilvl w:val="0"/>
          <w:numId w:val="6"/>
        </w:numPr>
        <w:tabs>
          <w:tab w:val="left" w:pos="1326"/>
        </w:tabs>
        <w:spacing w:before="93" w:after="0" w:line="312" w:lineRule="auto"/>
        <w:ind w:left="305" w:right="360" w:firstLine="420"/>
        <w:jc w:val="left"/>
        <w:rPr>
          <w:sz w:val="24"/>
        </w:rPr>
      </w:pPr>
      <w:r>
        <w:rPr>
          <w:sz w:val="24"/>
        </w:rPr>
        <w:t>LED的温度特性。普通来讲，LED发光电流、发光效率、光输出量都与温度有重要的关系，图1.4是LED</w:t>
      </w:r>
      <w:r>
        <w:rPr>
          <w:spacing w:val="-1"/>
          <w:sz w:val="24"/>
        </w:rPr>
        <w:t>发光电流与温度的关系曲线，在偏置电压不变的状况下，</w:t>
      </w:r>
      <w:r>
        <w:rPr>
          <w:sz w:val="24"/>
        </w:rPr>
        <w:t xml:space="preserve"> P-N</w:t>
      </w:r>
      <w:r>
        <w:rPr>
          <w:spacing w:val="-5"/>
          <w:sz w:val="24"/>
        </w:rPr>
        <w:t>结温度升高到一定程度后，电流将变小，发光亮度也削弱。图</w:t>
      </w:r>
      <w:r>
        <w:rPr>
          <w:sz w:val="24"/>
        </w:rPr>
        <w:t>1.5</w:t>
      </w:r>
      <w:r>
        <w:rPr>
          <w:spacing w:val="-5"/>
          <w:sz w:val="24"/>
        </w:rPr>
        <w:t>是蓝光、绿光和白光LED的光输出量和P-N结温度的关系曲线。从图中能够看到LED出光量会随温度的</w:t>
      </w:r>
      <w:r>
        <w:rPr>
          <w:spacing w:val="-8"/>
          <w:sz w:val="24"/>
        </w:rPr>
        <w:t>升高而下降。另外</w:t>
      </w:r>
      <w:r>
        <w:rPr>
          <w:sz w:val="24"/>
        </w:rPr>
        <w:t>LED</w:t>
      </w:r>
      <w:r>
        <w:rPr>
          <w:spacing w:val="-3"/>
          <w:sz w:val="24"/>
        </w:rPr>
        <w:t>温度的升高还会增加功耗，并且大大减少</w:t>
      </w:r>
      <w:r>
        <w:rPr>
          <w:sz w:val="24"/>
        </w:rPr>
        <w:t>LED</w:t>
      </w:r>
      <w:r>
        <w:rPr>
          <w:spacing w:val="-6"/>
          <w:sz w:val="24"/>
        </w:rPr>
        <w:t>的有效寿命，因此做好LED背光模组的散热设计是重要的。与P-N</w:t>
      </w:r>
      <w:r>
        <w:rPr>
          <w:spacing w:val="-13"/>
          <w:sz w:val="24"/>
        </w:rPr>
        <w:t>结温度亲密有关的因素重要有：环境温度、电流强度、LED内外的散热材料。</w:t>
      </w:r>
    </w:p>
    <w:p>
      <w:pPr>
        <w:pStyle w:val="BodyText"/>
        <w:rPr>
          <w:sz w:val="20"/>
        </w:rPr>
      </w:pPr>
    </w:p>
    <w:p>
      <w:pPr>
        <w:pStyle w:val="BodyText"/>
        <w:spacing w:before="2"/>
        <w:rPr>
          <w:sz w:val="17"/>
        </w:rPr>
      </w:pPr>
      <w:r>
        <w:drawing>
          <wp:anchor distT="0" distB="0" distL="0" distR="0" simplePos="0" relativeHeight="251660288" behindDoc="0" locked="0" layoutInCell="1" allowOverlap="1">
            <wp:simplePos x="0" y="0"/>
            <wp:positionH relativeFrom="page">
              <wp:posOffset>2518382</wp:posOffset>
            </wp:positionH>
            <wp:positionV relativeFrom="paragraph">
              <wp:posOffset>155118</wp:posOffset>
            </wp:positionV>
            <wp:extent cx="2987288" cy="2958369"/>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2987288" cy="2958369"/>
                    </a:xfrm>
                    <a:prstGeom prst="rect">
                      <a:avLst/>
                    </a:prstGeom>
                  </pic:spPr>
                </pic:pic>
              </a:graphicData>
            </a:graphic>
          </wp:anchor>
        </w:drawing>
      </w:r>
    </w:p>
    <w:p>
      <w:pPr>
        <w:pStyle w:val="BodyText"/>
        <w:spacing w:before="2"/>
        <w:rPr>
          <w:sz w:val="32"/>
        </w:rPr>
      </w:pPr>
    </w:p>
    <w:p>
      <w:pPr>
        <w:spacing w:before="0"/>
        <w:ind w:left="0" w:right="148" w:firstLine="0"/>
        <w:jc w:val="center"/>
        <w:rPr>
          <w:sz w:val="21"/>
        </w:rPr>
      </w:pPr>
      <w:r>
        <w:rPr>
          <w:sz w:val="21"/>
        </w:rPr>
        <w:t>图1.4 LED</w:t>
      </w:r>
      <w:r>
        <w:rPr>
          <w:spacing w:val="-1"/>
          <w:sz w:val="21"/>
        </w:rPr>
        <w:t>发光电流与温度的关系曲线</w:t>
      </w:r>
    </w:p>
    <w:p>
      <w:pPr>
        <w:pStyle w:val="BodyText"/>
        <w:spacing w:before="5"/>
        <w:rPr>
          <w:sz w:val="22"/>
        </w:rPr>
      </w:pPr>
    </w:p>
    <w:p>
      <w:pPr>
        <w:spacing w:before="0"/>
        <w:ind w:left="0" w:right="148" w:firstLine="0"/>
        <w:jc w:val="center"/>
        <w:rPr>
          <w:sz w:val="21"/>
        </w:rPr>
      </w:pPr>
      <w:r>
        <w:rPr>
          <w:sz w:val="21"/>
        </w:rPr>
        <w:t xml:space="preserve">Fig1.4 Relationship between LED emission current and </w:t>
      </w:r>
      <w:r>
        <w:rPr>
          <w:spacing w:val="-2"/>
          <w:sz w:val="21"/>
        </w:rPr>
        <w:t>temperature</w:t>
      </w:r>
    </w:p>
    <w:p>
      <w:pPr>
        <w:spacing w:after="0"/>
        <w:jc w:val="center"/>
        <w:rPr>
          <w:sz w:val="21"/>
        </w:rPr>
        <w:sectPr>
          <w:type w:val="continuous"/>
          <w:pgSz w:w="11910" w:h="16840"/>
          <w:pgMar w:top="1700" w:right="680" w:bottom="280" w:left="1680" w:header="708" w:footer="708"/>
          <w:pgNumType w:start="9"/>
          <w:cols w:space="708"/>
        </w:sectPr>
      </w:pPr>
    </w:p>
    <w:p>
      <w:pPr>
        <w:pStyle w:val="BodyText"/>
        <w:ind w:left="2333"/>
        <w:rPr>
          <w:sz w:val="20"/>
        </w:rPr>
      </w:pPr>
      <w:r>
        <w:rPr>
          <w:sz w:val="20"/>
        </w:rPr>
        <w:drawing>
          <wp:inline distT="0" distB="0" distL="0" distR="0">
            <wp:extent cx="2377082" cy="1632203"/>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2377082" cy="1632203"/>
                    </a:xfrm>
                    <a:prstGeom prst="rect">
                      <a:avLst/>
                    </a:prstGeom>
                  </pic:spPr>
                </pic:pic>
              </a:graphicData>
            </a:graphic>
          </wp:inline>
        </w:drawing>
      </w:r>
    </w:p>
    <w:p>
      <w:pPr>
        <w:pStyle w:val="BodyText"/>
        <w:spacing w:before="1"/>
        <w:rPr>
          <w:sz w:val="16"/>
        </w:rPr>
      </w:pPr>
    </w:p>
    <w:p>
      <w:pPr>
        <w:spacing w:before="71"/>
        <w:ind w:left="0" w:right="148" w:firstLine="0"/>
        <w:jc w:val="center"/>
        <w:rPr>
          <w:sz w:val="21"/>
        </w:rPr>
      </w:pPr>
      <w:r>
        <w:rPr>
          <w:sz w:val="21"/>
        </w:rPr>
        <w:t>图1.5 LED</w:t>
      </w:r>
      <w:r>
        <w:rPr>
          <w:spacing w:val="-1"/>
          <w:sz w:val="21"/>
        </w:rPr>
        <w:t>光输出量与温度的关系曲线</w:t>
      </w:r>
    </w:p>
    <w:p>
      <w:pPr>
        <w:pStyle w:val="BodyText"/>
        <w:spacing w:before="5"/>
        <w:rPr>
          <w:sz w:val="22"/>
        </w:rPr>
      </w:pPr>
    </w:p>
    <w:p>
      <w:pPr>
        <w:spacing w:before="0"/>
        <w:ind w:left="0" w:right="148" w:firstLine="0"/>
        <w:jc w:val="center"/>
        <w:rPr>
          <w:sz w:val="21"/>
        </w:rPr>
      </w:pPr>
      <w:r>
        <w:rPr>
          <w:sz w:val="21"/>
        </w:rPr>
        <w:t xml:space="preserve">Fig1.5 Relationship between LED light output and </w:t>
      </w:r>
      <w:r>
        <w:rPr>
          <w:spacing w:val="-2"/>
          <w:sz w:val="21"/>
        </w:rPr>
        <w:t>temperature</w:t>
      </w:r>
    </w:p>
    <w:p>
      <w:pPr>
        <w:pStyle w:val="BodyText"/>
        <w:rPr>
          <w:sz w:val="20"/>
        </w:rPr>
      </w:pPr>
    </w:p>
    <w:p>
      <w:pPr>
        <w:pStyle w:val="ListParagraph"/>
        <w:numPr>
          <w:ilvl w:val="0"/>
          <w:numId w:val="13"/>
        </w:numPr>
        <w:tabs>
          <w:tab w:val="left" w:pos="1386"/>
        </w:tabs>
        <w:spacing w:before="0" w:after="0" w:line="312" w:lineRule="auto"/>
        <w:ind w:left="305" w:right="451" w:firstLine="480"/>
        <w:jc w:val="both"/>
        <w:rPr>
          <w:sz w:val="24"/>
        </w:rPr>
      </w:pPr>
      <w:r>
        <w:rPr>
          <w:spacing w:val="-2"/>
          <w:sz w:val="24"/>
        </w:rPr>
        <w:t>LED的时间响应特性。LED的时间响应特性是指LED随电信号变化启亮和熄</w:t>
      </w:r>
      <w:r>
        <w:rPr>
          <w:spacing w:val="-4"/>
          <w:sz w:val="24"/>
        </w:rPr>
        <w:t>灭的延迟特性，由响应时间来描述。响应时间涉及上升时间和下降时间，上升时间是</w:t>
      </w:r>
      <w:r>
        <w:rPr>
          <w:spacing w:val="-2"/>
          <w:sz w:val="24"/>
        </w:rPr>
        <w:t>从接通电源使LED的发光亮度达成正常的90％所经历的时间；下降时间取决于载流子</w:t>
      </w:r>
      <w:r>
        <w:rPr>
          <w:spacing w:val="-2"/>
          <w:sz w:val="24"/>
        </w:rPr>
        <w:t>寿命，与流过管子的电流的大小无关。不同种类的LED的响应时间是不同的，即使是</w:t>
      </w:r>
      <w:r>
        <w:rPr>
          <w:spacing w:val="-2"/>
          <w:sz w:val="24"/>
        </w:rPr>
        <w:t>同类的LED，其响应时间也有差别，最短的仅有几个ns。</w:t>
      </w:r>
    </w:p>
    <w:p>
      <w:pPr>
        <w:pStyle w:val="Heading2"/>
        <w:numPr>
          <w:ilvl w:val="1"/>
          <w:numId w:val="7"/>
        </w:numPr>
        <w:tabs>
          <w:tab w:val="left" w:pos="865"/>
        </w:tabs>
        <w:spacing w:before="118" w:after="0" w:line="240" w:lineRule="auto"/>
        <w:ind w:left="865" w:right="0" w:hanging="560"/>
        <w:jc w:val="left"/>
      </w:pPr>
      <w:bookmarkStart w:id="2" w:name="_TOC_250016"/>
      <w:r>
        <w:t>LED</w:t>
      </w:r>
      <w:bookmarkEnd w:id="2"/>
      <w:r>
        <w:rPr>
          <w:spacing w:val="-4"/>
        </w:rPr>
        <w:t>的分类</w:t>
      </w:r>
    </w:p>
    <w:p>
      <w:pPr>
        <w:pStyle w:val="BodyText"/>
        <w:spacing w:before="237" w:line="312" w:lineRule="auto"/>
        <w:ind w:left="305" w:right="451" w:firstLine="480"/>
        <w:jc w:val="both"/>
      </w:pPr>
      <w:r>
        <w:rPr>
          <w:spacing w:val="-4"/>
        </w:rPr>
        <w:t>若按发光管的发光颜色分，可分成红色、橙色、绿色、蓝色等，另外，有的发光</w:t>
      </w:r>
      <w:r>
        <w:rPr>
          <w:spacing w:val="-4"/>
        </w:rPr>
        <w:t>二极管中包含两种或三种颜色的芯片。根据发光二极管出光处掺或不掺散射剂，上述</w:t>
      </w:r>
      <w:r>
        <w:rPr>
          <w:spacing w:val="-4"/>
        </w:rPr>
        <w:t>多种颜色的发光二极管还能够分成有色透明、无色透明、有色散射和无色散射四种类</w:t>
      </w:r>
      <w:r>
        <w:rPr>
          <w:spacing w:val="-2"/>
        </w:rPr>
        <w:t>型。散射型发光二极管更加适合做批示灯用。</w:t>
      </w:r>
    </w:p>
    <w:p>
      <w:pPr>
        <w:pStyle w:val="BodyText"/>
        <w:spacing w:before="1" w:line="312" w:lineRule="auto"/>
        <w:ind w:left="305" w:right="451" w:firstLine="480"/>
        <w:jc w:val="both"/>
      </w:pPr>
      <w:r>
        <w:rPr>
          <w:spacing w:val="-4"/>
        </w:rPr>
        <w:t>若按发光管出光面特性分，可分成圆灯、方灯、矩形灯、面发光管、侧向管、表</w:t>
      </w:r>
      <w:r>
        <w:rPr>
          <w:spacing w:val="-3"/>
        </w:rPr>
        <w:t xml:space="preserve">面安装用微型管等。圆形灯按直径分为 </w:t>
      </w:r>
      <w:r>
        <w:rPr>
          <w:spacing w:val="-2"/>
        </w:rPr>
        <w:t>2mm、4.4mm、5mm、8mm、10mm、20mm</w:t>
      </w:r>
      <w:r>
        <w:rPr>
          <w:spacing w:val="-7"/>
        </w:rPr>
        <w:t xml:space="preserve"> 等。国</w:t>
      </w:r>
      <w:r>
        <w:rPr>
          <w:spacing w:val="-8"/>
        </w:rPr>
        <w:t xml:space="preserve">外普通把直径 </w:t>
      </w:r>
      <w:r>
        <w:t>3mm</w:t>
      </w:r>
      <w:r>
        <w:rPr>
          <w:spacing w:val="-13"/>
        </w:rPr>
        <w:t xml:space="preserve"> 的发光二级管记作 </w:t>
      </w:r>
      <w:r>
        <w:t>T-1，</w:t>
      </w:r>
      <w:r>
        <w:rPr>
          <w:spacing w:val="-14"/>
        </w:rPr>
        <w:t xml:space="preserve">把直径 </w:t>
      </w:r>
      <w:r>
        <w:t>5mm</w:t>
      </w:r>
      <w:r>
        <w:rPr>
          <w:spacing w:val="-22"/>
        </w:rPr>
        <w:t xml:space="preserve"> 的记作 </w:t>
      </w:r>
      <w:r>
        <w:t>T-</w:t>
      </w:r>
      <w:r>
        <w:rPr>
          <w:spacing w:val="17"/>
        </w:rPr>
        <w:t>1（3/4</w:t>
      </w:r>
      <w:r>
        <w:rPr>
          <w:spacing w:val="-103"/>
        </w:rPr>
        <w:t>）</w:t>
      </w:r>
      <w:r>
        <w:rPr>
          <w:spacing w:val="3"/>
        </w:rPr>
        <w:t>，把直径</w:t>
      </w:r>
    </w:p>
    <w:p>
      <w:pPr>
        <w:pStyle w:val="BodyText"/>
        <w:spacing w:before="1" w:line="312" w:lineRule="auto"/>
        <w:ind w:left="305" w:right="451"/>
      </w:pPr>
      <w:r>
        <w:rPr>
          <w:spacing w:val="-4"/>
        </w:rPr>
        <w:t>4.4mm</w:t>
      </w:r>
      <w:r>
        <w:rPr>
          <w:spacing w:val="-20"/>
        </w:rPr>
        <w:t xml:space="preserve"> 的记作 </w:t>
      </w:r>
      <w:r>
        <w:rPr>
          <w:spacing w:val="-4"/>
        </w:rPr>
        <w:t>T-</w:t>
      </w:r>
      <w:r>
        <w:rPr>
          <w:spacing w:val="16"/>
        </w:rPr>
        <w:t>1（1/4</w:t>
      </w:r>
      <w:r>
        <w:rPr>
          <w:spacing w:val="-104"/>
        </w:rPr>
        <w:t>）</w:t>
      </w:r>
      <w:r>
        <w:rPr>
          <w:spacing w:val="-4"/>
        </w:rPr>
        <w:t>。由半值角大小能够预计圆形发光强度角分布状况。从发光</w:t>
      </w:r>
      <w:r>
        <w:rPr>
          <w:spacing w:val="-2"/>
        </w:rPr>
        <w:t>强度角分布图来分有三类：（1）高指向型。普通为尖头环氧封装，或是带金属反射</w:t>
      </w:r>
      <w:r>
        <w:rPr>
          <w:spacing w:val="-6"/>
        </w:rPr>
        <w:t xml:space="preserve">腔封装，且不加散射剂。半值角为 </w:t>
      </w:r>
      <w:r>
        <w:rPr>
          <w:spacing w:val="-2"/>
        </w:rPr>
        <w:t>5°—20°或更小，含有很高的指向性，可做局部</w:t>
      </w:r>
      <w:r>
        <w:rPr>
          <w:spacing w:val="-9"/>
        </w:rPr>
        <w:t>照明光源用，或与光检出器联用以构成自动检测系统。</w:t>
      </w:r>
      <w:r>
        <w:rPr>
          <w:spacing w:val="-4"/>
        </w:rPr>
        <w:t>（2）原则型。通这一类的普通</w:t>
      </w:r>
      <w:r>
        <w:rPr>
          <w:spacing w:val="-3"/>
        </w:rPr>
        <w:t xml:space="preserve">都是用作批示灯，其半值角为 </w:t>
      </w:r>
      <w:r>
        <w:t>20°—45°</w:t>
      </w:r>
      <w:r>
        <w:rPr>
          <w:spacing w:val="-120"/>
        </w:rPr>
        <w:t>。</w:t>
      </w:r>
      <w:r>
        <w:t>（3）散射型。这是视角较大的批示灯，</w:t>
      </w:r>
      <w:r>
        <w:rPr>
          <w:spacing w:val="-9"/>
        </w:rPr>
        <w:t xml:space="preserve">半值角为 </w:t>
      </w:r>
      <w:r>
        <w:t>45°—90°或更大，散射剂的量较大。</w:t>
      </w:r>
    </w:p>
    <w:p>
      <w:pPr>
        <w:pStyle w:val="BodyText"/>
        <w:spacing w:before="1" w:line="312" w:lineRule="auto"/>
        <w:ind w:left="305" w:right="451" w:firstLine="480"/>
      </w:pPr>
      <w:r>
        <w:rPr>
          <w:spacing w:val="-4"/>
        </w:rPr>
        <w:t>若按发光二极管的构造分，可分成全环氧包封、金属底座环氧包封、陶瓷底座环</w:t>
      </w:r>
      <w:r>
        <w:rPr>
          <w:spacing w:val="-2"/>
        </w:rPr>
        <w:t>氧封装及玻璃封装等构造。</w:t>
      </w:r>
    </w:p>
    <w:p>
      <w:pPr>
        <w:pStyle w:val="BodyText"/>
        <w:spacing w:before="1"/>
        <w:ind w:left="785"/>
      </w:pPr>
      <w:r>
        <w:rPr>
          <w:spacing w:val="-18"/>
        </w:rPr>
        <w:t>除上述办法外，尚有按发光强度和工作电流、芯片材料分类及按功效分类的办法。</w:t>
      </w:r>
    </w:p>
    <w:p>
      <w:pPr>
        <w:spacing w:after="0"/>
        <w:sectPr>
          <w:pgSz w:w="11910" w:h="16840"/>
          <w:pgMar w:top="1920" w:right="680" w:bottom="280" w:left="1680" w:header="708" w:footer="708"/>
          <w:pgNumType w:start="10"/>
          <w:cols w:space="708"/>
        </w:sectPr>
      </w:pPr>
    </w:p>
    <w:p>
      <w:pPr>
        <w:pStyle w:val="Heading1"/>
        <w:spacing w:before="42"/>
        <w:ind w:left="1938" w:right="0"/>
        <w:jc w:val="left"/>
      </w:pPr>
      <w:bookmarkStart w:id="3" w:name="_TOC_250015"/>
      <w:r>
        <w:rPr>
          <w:spacing w:val="-40"/>
        </w:rPr>
        <w:t xml:space="preserve">第 </w:t>
      </w:r>
      <w:r>
        <w:t>2</w:t>
      </w:r>
      <w:r>
        <w:rPr>
          <w:spacing w:val="-27"/>
        </w:rPr>
        <w:t xml:space="preserve"> 章 </w:t>
      </w:r>
      <w:r>
        <w:t>LED</w:t>
      </w:r>
      <w:bookmarkEnd w:id="3"/>
      <w:r>
        <w:rPr>
          <w:spacing w:val="-10"/>
        </w:rPr>
        <w:t xml:space="preserve"> 光源在当今社会的应用现状</w:t>
      </w:r>
    </w:p>
    <w:p>
      <w:pPr>
        <w:pStyle w:val="Heading2"/>
        <w:numPr>
          <w:ilvl w:val="1"/>
          <w:numId w:val="5"/>
        </w:numPr>
        <w:tabs>
          <w:tab w:val="left" w:pos="865"/>
        </w:tabs>
        <w:spacing w:before="186" w:after="0" w:line="240" w:lineRule="auto"/>
        <w:ind w:left="865" w:right="0" w:hanging="560"/>
        <w:jc w:val="left"/>
      </w:pPr>
      <w:bookmarkStart w:id="4" w:name="_TOC_250014"/>
      <w:r>
        <w:t>国内LED</w:t>
      </w:r>
      <w:bookmarkEnd w:id="4"/>
      <w:r>
        <w:rPr>
          <w:spacing w:val="-2"/>
        </w:rPr>
        <w:t>光源的应用现状</w:t>
      </w:r>
    </w:p>
    <w:p>
      <w:pPr>
        <w:pStyle w:val="BodyText"/>
        <w:spacing w:before="237" w:line="312" w:lineRule="auto"/>
        <w:ind w:left="305" w:right="451" w:firstLine="480"/>
        <w:jc w:val="both"/>
      </w:pPr>
      <w:r>
        <w:rPr>
          <w:spacing w:val="-2"/>
        </w:rPr>
        <w:t>就现在的状况，基于我国的经济发展状况，LED光源还不能普遍的应用于照明，</w:t>
      </w:r>
      <w:r>
        <w:rPr>
          <w:spacing w:val="-4"/>
        </w:rPr>
        <w:t>长久以来，由LED光源的光效低，LED光源的应用重要集中于多种显示领域。随着超高</w:t>
      </w:r>
      <w:r>
        <w:rPr>
          <w:spacing w:val="-2"/>
        </w:rPr>
        <w:t>亮度LED(特别是白光LED)的出现，国内许多都市开始主动的用LED发光源（由于其能</w:t>
      </w:r>
      <w:r>
        <w:rPr>
          <w:spacing w:val="-4"/>
        </w:rPr>
        <w:t>耗小），政府也强调用LED路灯，让人们不停认识到使用LED光源的优势。据国际权威</w:t>
      </w:r>
      <w:r>
        <w:rPr>
          <w:spacing w:val="-4"/>
        </w:rPr>
        <w:t>机构预测，21世纪世界将进入以LED为代表的全新型的照明时代，LED光源被称为第四</w:t>
      </w:r>
      <w:r>
        <w:rPr>
          <w:spacing w:val="-2"/>
        </w:rPr>
        <w:t>代新光源。</w:t>
      </w:r>
    </w:p>
    <w:p>
      <w:pPr>
        <w:pStyle w:val="BodyText"/>
        <w:spacing w:before="1" w:line="312" w:lineRule="auto"/>
        <w:ind w:left="305" w:right="451" w:firstLine="480"/>
        <w:jc w:val="both"/>
      </w:pPr>
      <w:r>
        <w:rPr>
          <w:spacing w:val="-4"/>
        </w:rPr>
        <w:t>上世纪80年代末国外照明领域提出“绿色照明”的新概念，我国是于1996年才开</w:t>
      </w:r>
      <w:r>
        <w:rPr>
          <w:spacing w:val="-4"/>
        </w:rPr>
        <w:t>始实施“绿色照明工程”的。实现这一计划的重要环节就是要发展和推广高效、节能</w:t>
      </w:r>
      <w:r>
        <w:rPr>
          <w:spacing w:val="-4"/>
        </w:rPr>
        <w:t>照明器具，节省照明用电，减少环境及光污染，建立—个优质高效、经济舒适、安全</w:t>
      </w:r>
      <w:r>
        <w:rPr>
          <w:spacing w:val="-5"/>
        </w:rPr>
        <w:t>可靠、有益环境的照明系统。但是，我国距离“绿色照明”的规定还远远不够，开发</w:t>
      </w:r>
    </w:p>
    <w:p>
      <w:pPr>
        <w:pStyle w:val="BodyText"/>
        <w:spacing w:before="1" w:line="259" w:lineRule="auto"/>
        <w:ind w:left="305" w:right="480"/>
      </w:pPr>
      <w:r>
        <w:rPr>
          <w:spacing w:val="-2"/>
        </w:rPr>
        <w:t>和应用更高效、可靠、安全、耐用的新型光源势在必行，而LED光源恰恰符合了这些</w:t>
      </w:r>
      <w:r>
        <w:rPr>
          <w:spacing w:val="-2"/>
          <w:position w:val="-9"/>
        </w:rPr>
        <w:t>规定</w:t>
      </w:r>
      <w:r>
        <w:rPr>
          <w:spacing w:val="-2"/>
          <w:sz w:val="21"/>
        </w:rPr>
        <w:t>[1]</w:t>
      </w:r>
      <w:r>
        <w:rPr>
          <w:spacing w:val="-2"/>
          <w:position w:val="-9"/>
        </w:rPr>
        <w:t>。</w:t>
      </w:r>
    </w:p>
    <w:p>
      <w:pPr>
        <w:pStyle w:val="BodyText"/>
        <w:spacing w:before="66" w:line="312" w:lineRule="auto"/>
        <w:ind w:left="305" w:right="360" w:firstLine="480"/>
      </w:pPr>
      <w:r>
        <w:rPr>
          <w:spacing w:val="-2"/>
        </w:rPr>
        <w:t>纵观我国现在规模庞大的照明市场，由于国民经济水平以及科技水平等因素，和</w:t>
      </w:r>
      <w:r>
        <w:rPr>
          <w:spacing w:val="-2"/>
        </w:rPr>
        <w:t>某些欧美国家以及日本相比，即使规模庞大，但从整体水平来看，重要以经营传统灯</w:t>
      </w:r>
      <w:r>
        <w:t>具如白炽灯以及荧光灯为主，且在技术上还需进行加强。结合 年有关我国照明市场</w:t>
      </w:r>
      <w:r>
        <w:rPr>
          <w:spacing w:val="-2"/>
        </w:rPr>
        <w:t>灯具的调查，比例最大的当属用来替代白炽灯和节能灯的球泡灯，其比重高达41%，</w:t>
      </w:r>
      <w:r>
        <w:rPr>
          <w:spacing w:val="-2"/>
        </w:rPr>
        <w:t>紧邻其后的是射灯以及筒灯。LED重要涉及的照明灯具例如LED射灯、筒灯、球泡灯、</w:t>
      </w:r>
      <w:r>
        <w:rPr>
          <w:spacing w:val="-2"/>
        </w:rPr>
        <w:t>直管灯、平面灯、路灯、隧道灯等都有应用。整体来看，LED照明灯具的市场份额为</w:t>
      </w:r>
      <w:r>
        <w:rPr>
          <w:spacing w:val="-2"/>
        </w:rPr>
        <w:t xml:space="preserve"> </w:t>
      </w:r>
      <w:r>
        <w:t>0.4% ，再结合整个照明市场的供求现状来分析，处在下游状态的主力市场进入大尺</w:t>
      </w:r>
      <w:r>
        <w:rPr>
          <w:spacing w:val="-2"/>
        </w:rPr>
        <w:t>寸背光源拉动作用快速放缓，并且通用照明市场又尚未大规模启动，因此中间出现了</w:t>
      </w:r>
      <w:r>
        <w:rPr>
          <w:spacing w:val="-2"/>
        </w:rPr>
        <w:t>一种空档期，基于这种状况，LED中上游环节产能快速开出，LED市场出现构造性的供</w:t>
      </w:r>
      <w:r>
        <w:rPr>
          <w:spacing w:val="-2"/>
        </w:rPr>
        <w:t>不不大于求现状，平均价格大幅下滑，由此LED销售额的增加大幅回落。</w:t>
      </w:r>
    </w:p>
    <w:p>
      <w:pPr>
        <w:pStyle w:val="BodyText"/>
        <w:spacing w:before="3" w:line="312" w:lineRule="auto"/>
        <w:ind w:left="305" w:right="360" w:firstLine="600"/>
        <w:jc w:val="both"/>
      </w:pPr>
      <w:r>
        <w:t>年，我国有关LED</w:t>
      </w:r>
      <w:r>
        <w:rPr>
          <w:spacing w:val="-6"/>
        </w:rPr>
        <w:t xml:space="preserve"> 的应用，除开灯泡的更换，重要涉及商业、住宅的</w:t>
      </w:r>
      <w:r>
        <w:t>LED使用状况，大致为30亿美元。从某些研究数据进行分析，LED</w:t>
      </w:r>
      <w:r>
        <w:rPr>
          <w:spacing w:val="-6"/>
        </w:rPr>
        <w:t xml:space="preserve"> 含有乐观的发展前景，总体其</w:t>
      </w:r>
      <w:r>
        <w:t>市场将以20% 的增加率增加，其中预计今年高亮度LED的市场规模将达成120</w:t>
      </w:r>
      <w:r>
        <w:rPr>
          <w:spacing w:val="-3"/>
        </w:rPr>
        <w:t>亿美元，</w:t>
      </w:r>
    </w:p>
    <w:p>
      <w:pPr>
        <w:pStyle w:val="BodyText"/>
        <w:spacing w:line="259" w:lineRule="auto"/>
        <w:ind w:left="305" w:right="451"/>
      </w:pPr>
      <w:r>
        <w:rPr>
          <w:spacing w:val="-4"/>
        </w:rPr>
        <w:t>而预计达成LED增加率将高达30.6%，达成202亿美元的数据，由此可见LED市场发展之</w:t>
      </w:r>
      <w:r>
        <w:rPr>
          <w:spacing w:val="-2"/>
          <w:position w:val="-9"/>
        </w:rPr>
        <w:t>迅猛</w:t>
      </w:r>
      <w:r>
        <w:rPr>
          <w:spacing w:val="-2"/>
          <w:sz w:val="21"/>
        </w:rPr>
        <w:t>[2]</w:t>
      </w:r>
      <w:r>
        <w:rPr>
          <w:spacing w:val="-2"/>
          <w:position w:val="-9"/>
        </w:rPr>
        <w:t>。</w:t>
      </w:r>
    </w:p>
    <w:p>
      <w:pPr>
        <w:pStyle w:val="Heading2"/>
        <w:numPr>
          <w:ilvl w:val="1"/>
          <w:numId w:val="5"/>
        </w:numPr>
        <w:tabs>
          <w:tab w:val="left" w:pos="865"/>
        </w:tabs>
        <w:spacing w:before="182" w:after="0" w:line="240" w:lineRule="auto"/>
        <w:ind w:left="865" w:right="0" w:hanging="560"/>
        <w:jc w:val="left"/>
      </w:pPr>
      <w:bookmarkStart w:id="5" w:name="_TOC_250013"/>
      <w:r>
        <w:t>国外LED</w:t>
      </w:r>
      <w:bookmarkEnd w:id="5"/>
      <w:r>
        <w:rPr>
          <w:spacing w:val="-2"/>
        </w:rPr>
        <w:t>光源的应用现状</w:t>
      </w:r>
    </w:p>
    <w:p>
      <w:pPr>
        <w:pStyle w:val="BodyText"/>
        <w:spacing w:before="238" w:line="312" w:lineRule="auto"/>
        <w:ind w:left="305" w:right="480" w:firstLine="480"/>
        <w:jc w:val="both"/>
      </w:pPr>
      <w:r>
        <w:rPr>
          <w:spacing w:val="-2"/>
        </w:rPr>
        <w:t>LED产业自90年代以来在全球范畴内快速崛起并且高速发展。除了中国，美国、</w:t>
      </w:r>
      <w:r>
        <w:rPr>
          <w:spacing w:val="-2"/>
        </w:rPr>
        <w:t>日本、欧盟、韩国等国家和地区，均纷纷把LED照明技术作为“照亮将来的技术”，</w:t>
      </w:r>
      <w:r>
        <w:rPr>
          <w:spacing w:val="-2"/>
        </w:rPr>
        <w:t>并且先后启动固态照明计划，欲占领这一战略技术制高点。</w:t>
      </w:r>
    </w:p>
    <w:p>
      <w:pPr>
        <w:spacing w:after="0" w:line="312" w:lineRule="auto"/>
        <w:jc w:val="both"/>
        <w:sectPr>
          <w:pgSz w:w="11910" w:h="16840"/>
          <w:pgMar w:top="1380" w:right="680" w:bottom="280" w:left="1680" w:header="708" w:footer="708"/>
          <w:pgNumType w:start="11"/>
          <w:cols w:space="708"/>
        </w:sectPr>
      </w:pPr>
    </w:p>
    <w:p>
      <w:pPr>
        <w:pStyle w:val="BodyText"/>
        <w:spacing w:before="42" w:line="312" w:lineRule="auto"/>
        <w:ind w:left="305" w:right="451" w:firstLine="480"/>
        <w:jc w:val="both"/>
      </w:pPr>
      <w:r>
        <w:rPr>
          <w:spacing w:val="-2"/>
        </w:rPr>
        <w:t>日本LED产业构造，除含有完整产业链外，在核心材料的供应上，如外延、荧光</w:t>
      </w:r>
      <w:r>
        <w:rPr>
          <w:spacing w:val="-2"/>
        </w:rPr>
        <w:t>粉、封装材料等也都握有重要技术并为其它国家所望其项背。日本LED产业多聚集在</w:t>
      </w:r>
      <w:r>
        <w:rPr>
          <w:spacing w:val="-4"/>
        </w:rPr>
        <w:t>高附加值产品上，例如笔记本电脑的LED背光源使用的侧发光LED晶片，对亮度、均匀</w:t>
      </w:r>
      <w:r>
        <w:rPr>
          <w:spacing w:val="-2"/>
        </w:rPr>
        <w:t>性、稳定性等都有较高规定，再加上本身专利保护，能使产品维持在较高的单价。</w:t>
      </w:r>
    </w:p>
    <w:p>
      <w:pPr>
        <w:pStyle w:val="BodyText"/>
        <w:spacing w:before="1" w:line="312" w:lineRule="auto"/>
        <w:ind w:left="305" w:right="360" w:firstLine="480"/>
      </w:pPr>
      <w:r>
        <w:rPr>
          <w:spacing w:val="-2"/>
        </w:rPr>
        <w:t>韩国LED产业在上游衬底及荧光粉两项核心材料方面基础较弱，擅长于外延和封</w:t>
      </w:r>
      <w:r>
        <w:rPr>
          <w:spacing w:val="-2"/>
        </w:rPr>
        <w:t>装制造。韩国在大尺寸背光领域发展较快，拥有全球最大的面板产能与品牌出海口。</w:t>
      </w:r>
      <w:r>
        <w:rPr>
          <w:spacing w:val="-2"/>
        </w:rPr>
        <w:t>重要公司有三星、LG和首尔半导体等。前两者之产能多仅供集团内使用，较具外销规</w:t>
      </w:r>
      <w:r>
        <w:rPr>
          <w:spacing w:val="-2"/>
        </w:rPr>
        <w:t>模者仅首尔半导体。</w:t>
      </w:r>
    </w:p>
    <w:p>
      <w:pPr>
        <w:pStyle w:val="BodyText"/>
        <w:spacing w:before="1" w:line="312" w:lineRule="auto"/>
        <w:ind w:left="305" w:right="331" w:firstLine="480"/>
      </w:pPr>
      <w:r>
        <w:rPr>
          <w:spacing w:val="-4"/>
        </w:rPr>
        <w:t>相较于亚洲厂商多重视量产规模，欧美系LED厂商则在多方面布局，如技术发展、</w:t>
      </w:r>
      <w:r>
        <w:rPr>
          <w:spacing w:val="-2"/>
        </w:rPr>
        <w:t>产品开发或垂直整合等方面。欧美系LED厂商的量产规模不比日本、中国台湾，却掌</w:t>
      </w:r>
      <w:r>
        <w:rPr>
          <w:spacing w:val="-2"/>
        </w:rPr>
        <w:t>握部分LED的核心技术，在众多LED专利上都有完整的布局。特别是几大国际厂商如</w:t>
      </w:r>
      <w:r>
        <w:rPr>
          <w:spacing w:val="-2"/>
        </w:rPr>
        <w:t xml:space="preserve"> Philips、Cree等不仅拥有完整的产业供应链，在LED照明产业，更是全球前五之内。</w:t>
      </w:r>
    </w:p>
    <w:p>
      <w:pPr>
        <w:pStyle w:val="BodyText"/>
        <w:spacing w:before="1" w:line="312" w:lineRule="auto"/>
        <w:ind w:left="305" w:right="451" w:firstLine="480"/>
        <w:jc w:val="both"/>
      </w:pPr>
      <w:r>
        <w:rPr>
          <w:spacing w:val="-2"/>
        </w:rPr>
        <w:t>全球LED最大生产商日本的日亚公司近几年始终是LED</w:t>
      </w:r>
      <w:r>
        <w:rPr>
          <w:spacing w:val="-12"/>
        </w:rPr>
        <w:t>封装产值冠军，它有完整的</w:t>
      </w:r>
      <w:r>
        <w:rPr>
          <w:spacing w:val="-2"/>
        </w:rPr>
        <w:t xml:space="preserve"> </w:t>
      </w:r>
      <w:r>
        <w:rPr>
          <w:spacing w:val="-4"/>
        </w:rPr>
        <w:t>LED产业链，产量的70％为白光LED。同时，它还是以荧光粉为重要产品的规模最大的</w:t>
      </w:r>
      <w:r>
        <w:rPr>
          <w:spacing w:val="-2"/>
        </w:rPr>
        <w:t>精细化厂商。它的荧光粉生产在全球占36％的市场份额。日亚公司新增的LED生产线</w:t>
      </w:r>
      <w:r>
        <w:rPr>
          <w:spacing w:val="-2"/>
        </w:rPr>
        <w:t>初将投入使用，届时日亚的LED产量将增加3倍。</w:t>
      </w:r>
    </w:p>
    <w:p>
      <w:pPr>
        <w:pStyle w:val="BodyText"/>
        <w:spacing w:before="1" w:line="312" w:lineRule="auto"/>
        <w:ind w:left="305" w:right="480" w:firstLine="480"/>
        <w:jc w:val="both"/>
      </w:pPr>
      <w:r>
        <w:rPr>
          <w:spacing w:val="-2"/>
        </w:rPr>
        <w:t>引人注目的是三星LED，从的10名以外升到的第4名，成为全球成长最快速的</w:t>
      </w:r>
      <w:r>
        <w:rPr>
          <w:spacing w:val="-2"/>
        </w:rPr>
        <w:t>LED</w:t>
      </w:r>
      <w:r>
        <w:rPr>
          <w:spacing w:val="-2"/>
        </w:rPr>
        <w:t>厂商，这重要得益于大尺寸背光源市场。基于国内市场对LED背光模块强劲需求，公</w:t>
      </w:r>
      <w:r>
        <w:rPr>
          <w:spacing w:val="-2"/>
        </w:rPr>
        <w:t>司计划增加50台MOCVD设备，预计至底公司的MOCVD设备总量会达成150台。以下表是</w:t>
      </w:r>
      <w:r>
        <w:rPr>
          <w:spacing w:val="-2"/>
        </w:rPr>
        <w:t>全球高亮度LED封装厂的产值排名。</w:t>
      </w:r>
    </w:p>
    <w:p>
      <w:pPr>
        <w:spacing w:before="187"/>
        <w:ind w:left="3176" w:right="0" w:firstLine="0"/>
        <w:jc w:val="both"/>
        <w:rPr>
          <w:sz w:val="21"/>
        </w:rPr>
      </w:pPr>
      <w:r>
        <w:rPr>
          <w:sz w:val="21"/>
        </w:rPr>
        <w:t>表2.1 全球高亮度LED</w:t>
      </w:r>
      <w:r>
        <w:rPr>
          <w:spacing w:val="-2"/>
          <w:sz w:val="21"/>
        </w:rPr>
        <w:t>封装厂产值排名</w:t>
      </w:r>
    </w:p>
    <w:p>
      <w:pPr>
        <w:pStyle w:val="BodyText"/>
        <w:spacing w:before="5"/>
        <w:rPr>
          <w:sz w:val="22"/>
        </w:rPr>
      </w:pPr>
    </w:p>
    <w:p>
      <w:pPr>
        <w:tabs>
          <w:tab w:val="left" w:pos="2283"/>
        </w:tabs>
        <w:spacing w:before="0"/>
        <w:ind w:left="1128" w:right="0" w:firstLine="0"/>
        <w:jc w:val="left"/>
        <w:rPr>
          <w:sz w:val="21"/>
        </w:rPr>
      </w:pPr>
      <w:r>
        <w:rPr>
          <w:sz w:val="21"/>
        </w:rPr>
        <w:t xml:space="preserve">Tab2.1 </w:t>
      </w:r>
      <w:r>
        <w:rPr>
          <w:spacing w:val="-5"/>
          <w:sz w:val="21"/>
        </w:rPr>
        <w:t>In</w:t>
      </w:r>
      <w:r>
        <w:rPr>
          <w:sz w:val="21"/>
        </w:rPr>
        <w:tab/>
        <w:t xml:space="preserve">the global high brightness LED package factory output </w:t>
      </w:r>
      <w:r>
        <w:rPr>
          <w:spacing w:val="-2"/>
          <w:sz w:val="21"/>
        </w:rPr>
        <w:t>ranking</w:t>
      </w:r>
    </w:p>
    <w:p>
      <w:pPr>
        <w:pStyle w:val="BodyText"/>
        <w:spacing w:before="10"/>
        <w:rPr>
          <w:sz w:val="13"/>
        </w:rPr>
      </w:pPr>
    </w:p>
    <w:tbl>
      <w:tblPr>
        <w:tblStyle w:val="TableNormal0"/>
        <w:tblW w:w="0" w:type="auto"/>
        <w:jc w:val="left"/>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4"/>
        <w:gridCol w:w="1704"/>
        <w:gridCol w:w="1704"/>
        <w:gridCol w:w="1705"/>
        <w:gridCol w:w="1705"/>
      </w:tblGrid>
      <w:tr>
        <w:tblPrEx>
          <w:tblW w:w="0" w:type="auto"/>
          <w:jc w:val="left"/>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0"/>
          <w:jc w:val="left"/>
        </w:trPr>
        <w:tc>
          <w:tcPr>
            <w:tcW w:w="1704" w:type="dxa"/>
          </w:tcPr>
          <w:p>
            <w:pPr>
              <w:pStyle w:val="TableParagraph"/>
              <w:ind w:left="311" w:right="301"/>
              <w:rPr>
                <w:sz w:val="21"/>
              </w:rPr>
            </w:pPr>
            <w:r>
              <w:rPr>
                <w:spacing w:val="-5"/>
                <w:sz w:val="21"/>
              </w:rPr>
              <w:t>排名</w:t>
            </w:r>
          </w:p>
        </w:tc>
        <w:tc>
          <w:tcPr>
            <w:tcW w:w="1704" w:type="dxa"/>
          </w:tcPr>
          <w:p>
            <w:pPr>
              <w:pStyle w:val="TableParagraph"/>
              <w:ind w:left="311" w:right="302"/>
              <w:rPr>
                <w:sz w:val="21"/>
              </w:rPr>
            </w:pPr>
            <w:r>
              <w:rPr>
                <w:spacing w:val="-5"/>
                <w:sz w:val="21"/>
              </w:rPr>
              <w:t>厂商</w:t>
            </w:r>
          </w:p>
        </w:tc>
        <w:tc>
          <w:tcPr>
            <w:tcW w:w="1704" w:type="dxa"/>
          </w:tcPr>
          <w:p>
            <w:pPr>
              <w:pStyle w:val="TableParagraph"/>
              <w:spacing w:before="0"/>
              <w:jc w:val="left"/>
              <w:rPr>
                <w:rFonts w:ascii="Times New Roman"/>
                <w:sz w:val="22"/>
              </w:rPr>
            </w:pPr>
          </w:p>
        </w:tc>
        <w:tc>
          <w:tcPr>
            <w:tcW w:w="1705" w:type="dxa"/>
          </w:tcPr>
          <w:p>
            <w:pPr>
              <w:pStyle w:val="TableParagraph"/>
              <w:spacing w:before="0"/>
              <w:jc w:val="left"/>
              <w:rPr>
                <w:rFonts w:ascii="Times New Roman"/>
                <w:sz w:val="22"/>
              </w:rPr>
            </w:pPr>
          </w:p>
        </w:tc>
        <w:tc>
          <w:tcPr>
            <w:tcW w:w="1705" w:type="dxa"/>
          </w:tcPr>
          <w:p>
            <w:pPr>
              <w:pStyle w:val="TableParagraph"/>
              <w:ind w:left="418" w:right="408"/>
              <w:rPr>
                <w:sz w:val="21"/>
              </w:rPr>
            </w:pPr>
            <w:r>
              <w:rPr>
                <w:spacing w:val="-3"/>
                <w:sz w:val="21"/>
              </w:rPr>
              <w:t>年度变化</w:t>
            </w:r>
          </w:p>
        </w:tc>
      </w:tr>
      <w:tr>
        <w:tblPrEx>
          <w:tblW w:w="0" w:type="auto"/>
          <w:jc w:val="left"/>
          <w:tblInd w:w="442" w:type="dxa"/>
          <w:tblLayout w:type="fixed"/>
          <w:tblCellMar>
            <w:top w:w="0" w:type="dxa"/>
            <w:left w:w="0" w:type="dxa"/>
            <w:bottom w:w="0" w:type="dxa"/>
            <w:right w:w="0" w:type="dxa"/>
          </w:tblCellMar>
          <w:tblLook w:val="01E0"/>
        </w:tblPrEx>
        <w:trPr>
          <w:trHeight w:val="400"/>
          <w:jc w:val="left"/>
        </w:trPr>
        <w:tc>
          <w:tcPr>
            <w:tcW w:w="1704" w:type="dxa"/>
          </w:tcPr>
          <w:p>
            <w:pPr>
              <w:pStyle w:val="TableParagraph"/>
              <w:ind w:left="10"/>
              <w:rPr>
                <w:sz w:val="21"/>
              </w:rPr>
            </w:pPr>
            <w:r>
              <w:rPr>
                <w:sz w:val="21"/>
              </w:rPr>
              <w:t>1</w:t>
            </w:r>
          </w:p>
        </w:tc>
        <w:tc>
          <w:tcPr>
            <w:tcW w:w="1704" w:type="dxa"/>
          </w:tcPr>
          <w:p>
            <w:pPr>
              <w:pStyle w:val="TableParagraph"/>
              <w:ind w:left="311" w:right="302"/>
              <w:rPr>
                <w:sz w:val="21"/>
              </w:rPr>
            </w:pPr>
            <w:r>
              <w:rPr>
                <w:spacing w:val="-5"/>
                <w:sz w:val="21"/>
              </w:rPr>
              <w:t>日亚</w:t>
            </w:r>
          </w:p>
        </w:tc>
        <w:tc>
          <w:tcPr>
            <w:tcW w:w="1704" w:type="dxa"/>
          </w:tcPr>
          <w:p>
            <w:pPr>
              <w:pStyle w:val="TableParagraph"/>
              <w:ind w:left="311" w:right="302"/>
              <w:rPr>
                <w:sz w:val="21"/>
              </w:rPr>
            </w:pPr>
            <w:r>
              <w:rPr>
                <w:spacing w:val="-4"/>
                <w:sz w:val="21"/>
              </w:rPr>
              <w:t>1359</w:t>
            </w:r>
          </w:p>
        </w:tc>
        <w:tc>
          <w:tcPr>
            <w:tcW w:w="1705" w:type="dxa"/>
          </w:tcPr>
          <w:p>
            <w:pPr>
              <w:pStyle w:val="TableParagraph"/>
              <w:ind w:left="418" w:right="408"/>
              <w:rPr>
                <w:sz w:val="21"/>
              </w:rPr>
            </w:pPr>
            <w:r>
              <w:rPr>
                <w:spacing w:val="-4"/>
                <w:sz w:val="21"/>
              </w:rPr>
              <w:t>1219</w:t>
            </w:r>
          </w:p>
        </w:tc>
        <w:tc>
          <w:tcPr>
            <w:tcW w:w="1705" w:type="dxa"/>
          </w:tcPr>
          <w:p>
            <w:pPr>
              <w:pStyle w:val="TableParagraph"/>
              <w:ind w:left="418" w:right="408"/>
              <w:rPr>
                <w:sz w:val="21"/>
              </w:rPr>
            </w:pPr>
            <w:r>
              <w:rPr>
                <w:sz w:val="21"/>
              </w:rPr>
              <w:t>-</w:t>
            </w:r>
            <w:r>
              <w:rPr>
                <w:spacing w:val="-5"/>
                <w:sz w:val="21"/>
              </w:rPr>
              <w:t>10％</w:t>
            </w:r>
          </w:p>
        </w:tc>
      </w:tr>
      <w:tr>
        <w:tblPrEx>
          <w:tblW w:w="0" w:type="auto"/>
          <w:jc w:val="left"/>
          <w:tblInd w:w="442" w:type="dxa"/>
          <w:tblLayout w:type="fixed"/>
          <w:tblCellMar>
            <w:top w:w="0" w:type="dxa"/>
            <w:left w:w="0" w:type="dxa"/>
            <w:bottom w:w="0" w:type="dxa"/>
            <w:right w:w="0" w:type="dxa"/>
          </w:tblCellMar>
          <w:tblLook w:val="01E0"/>
        </w:tblPrEx>
        <w:trPr>
          <w:trHeight w:val="400"/>
          <w:jc w:val="left"/>
        </w:trPr>
        <w:tc>
          <w:tcPr>
            <w:tcW w:w="1704" w:type="dxa"/>
          </w:tcPr>
          <w:p>
            <w:pPr>
              <w:pStyle w:val="TableParagraph"/>
              <w:ind w:left="10"/>
              <w:rPr>
                <w:sz w:val="21"/>
              </w:rPr>
            </w:pPr>
            <w:r>
              <w:rPr>
                <w:sz w:val="21"/>
              </w:rPr>
              <w:t>2</w:t>
            </w:r>
          </w:p>
        </w:tc>
        <w:tc>
          <w:tcPr>
            <w:tcW w:w="1704" w:type="dxa"/>
          </w:tcPr>
          <w:p>
            <w:pPr>
              <w:pStyle w:val="TableParagraph"/>
              <w:ind w:left="311" w:right="302"/>
              <w:rPr>
                <w:sz w:val="21"/>
              </w:rPr>
            </w:pPr>
            <w:r>
              <w:rPr>
                <w:spacing w:val="-4"/>
                <w:sz w:val="21"/>
              </w:rPr>
              <w:t>欧司朗</w:t>
            </w:r>
          </w:p>
        </w:tc>
        <w:tc>
          <w:tcPr>
            <w:tcW w:w="1704" w:type="dxa"/>
          </w:tcPr>
          <w:p>
            <w:pPr>
              <w:pStyle w:val="TableParagraph"/>
              <w:ind w:left="311" w:right="302"/>
              <w:rPr>
                <w:sz w:val="21"/>
              </w:rPr>
            </w:pPr>
            <w:r>
              <w:rPr>
                <w:spacing w:val="-5"/>
                <w:sz w:val="21"/>
              </w:rPr>
              <w:t>805</w:t>
            </w:r>
          </w:p>
        </w:tc>
        <w:tc>
          <w:tcPr>
            <w:tcW w:w="1705" w:type="dxa"/>
          </w:tcPr>
          <w:p>
            <w:pPr>
              <w:pStyle w:val="TableParagraph"/>
              <w:ind w:left="418" w:right="408"/>
              <w:rPr>
                <w:sz w:val="21"/>
              </w:rPr>
            </w:pPr>
            <w:r>
              <w:rPr>
                <w:spacing w:val="-5"/>
                <w:sz w:val="21"/>
              </w:rPr>
              <w:t>724</w:t>
            </w:r>
          </w:p>
        </w:tc>
        <w:tc>
          <w:tcPr>
            <w:tcW w:w="1705" w:type="dxa"/>
          </w:tcPr>
          <w:p>
            <w:pPr>
              <w:pStyle w:val="TableParagraph"/>
              <w:ind w:left="418" w:right="408"/>
              <w:rPr>
                <w:sz w:val="21"/>
              </w:rPr>
            </w:pPr>
            <w:r>
              <w:rPr>
                <w:sz w:val="21"/>
              </w:rPr>
              <w:t>-</w:t>
            </w:r>
            <w:r>
              <w:rPr>
                <w:spacing w:val="-5"/>
                <w:sz w:val="21"/>
              </w:rPr>
              <w:t>10％</w:t>
            </w:r>
          </w:p>
        </w:tc>
      </w:tr>
      <w:tr>
        <w:tblPrEx>
          <w:tblW w:w="0" w:type="auto"/>
          <w:jc w:val="left"/>
          <w:tblInd w:w="442" w:type="dxa"/>
          <w:tblLayout w:type="fixed"/>
          <w:tblCellMar>
            <w:top w:w="0" w:type="dxa"/>
            <w:left w:w="0" w:type="dxa"/>
            <w:bottom w:w="0" w:type="dxa"/>
            <w:right w:w="0" w:type="dxa"/>
          </w:tblCellMar>
          <w:tblLook w:val="01E0"/>
        </w:tblPrEx>
        <w:trPr>
          <w:trHeight w:val="400"/>
          <w:jc w:val="left"/>
        </w:trPr>
        <w:tc>
          <w:tcPr>
            <w:tcW w:w="1704" w:type="dxa"/>
          </w:tcPr>
          <w:p>
            <w:pPr>
              <w:pStyle w:val="TableParagraph"/>
              <w:ind w:left="10"/>
              <w:rPr>
                <w:sz w:val="21"/>
              </w:rPr>
            </w:pPr>
            <w:r>
              <w:rPr>
                <w:sz w:val="21"/>
              </w:rPr>
              <w:t>3</w:t>
            </w:r>
          </w:p>
        </w:tc>
        <w:tc>
          <w:tcPr>
            <w:tcW w:w="1704" w:type="dxa"/>
          </w:tcPr>
          <w:p>
            <w:pPr>
              <w:pStyle w:val="TableParagraph"/>
              <w:ind w:left="311" w:right="302"/>
              <w:rPr>
                <w:sz w:val="21"/>
              </w:rPr>
            </w:pPr>
            <w:r>
              <w:rPr>
                <w:spacing w:val="-4"/>
                <w:sz w:val="21"/>
              </w:rPr>
              <w:t>Cree</w:t>
            </w:r>
          </w:p>
        </w:tc>
        <w:tc>
          <w:tcPr>
            <w:tcW w:w="1704" w:type="dxa"/>
          </w:tcPr>
          <w:p>
            <w:pPr>
              <w:pStyle w:val="TableParagraph"/>
              <w:ind w:left="311" w:right="302"/>
              <w:rPr>
                <w:sz w:val="21"/>
              </w:rPr>
            </w:pPr>
            <w:r>
              <w:rPr>
                <w:spacing w:val="-5"/>
                <w:sz w:val="21"/>
              </w:rPr>
              <w:t>495</w:t>
            </w:r>
          </w:p>
        </w:tc>
        <w:tc>
          <w:tcPr>
            <w:tcW w:w="1705" w:type="dxa"/>
          </w:tcPr>
          <w:p>
            <w:pPr>
              <w:pStyle w:val="TableParagraph"/>
              <w:ind w:left="418" w:right="408"/>
              <w:rPr>
                <w:sz w:val="21"/>
              </w:rPr>
            </w:pPr>
            <w:r>
              <w:rPr>
                <w:spacing w:val="-5"/>
                <w:sz w:val="21"/>
              </w:rPr>
              <w:t>616</w:t>
            </w:r>
          </w:p>
        </w:tc>
        <w:tc>
          <w:tcPr>
            <w:tcW w:w="1705" w:type="dxa"/>
          </w:tcPr>
          <w:p>
            <w:pPr>
              <w:pStyle w:val="TableParagraph"/>
              <w:ind w:left="418" w:right="408"/>
              <w:rPr>
                <w:sz w:val="21"/>
              </w:rPr>
            </w:pPr>
            <w:r>
              <w:rPr>
                <w:spacing w:val="-5"/>
                <w:sz w:val="21"/>
              </w:rPr>
              <w:t>24％</w:t>
            </w:r>
          </w:p>
        </w:tc>
      </w:tr>
      <w:tr>
        <w:tblPrEx>
          <w:tblW w:w="0" w:type="auto"/>
          <w:jc w:val="left"/>
          <w:tblInd w:w="442" w:type="dxa"/>
          <w:tblLayout w:type="fixed"/>
          <w:tblCellMar>
            <w:top w:w="0" w:type="dxa"/>
            <w:left w:w="0" w:type="dxa"/>
            <w:bottom w:w="0" w:type="dxa"/>
            <w:right w:w="0" w:type="dxa"/>
          </w:tblCellMar>
          <w:tblLook w:val="01E0"/>
        </w:tblPrEx>
        <w:trPr>
          <w:trHeight w:val="400"/>
          <w:jc w:val="left"/>
        </w:trPr>
        <w:tc>
          <w:tcPr>
            <w:tcW w:w="1704" w:type="dxa"/>
          </w:tcPr>
          <w:p>
            <w:pPr>
              <w:pStyle w:val="TableParagraph"/>
              <w:ind w:left="10"/>
              <w:rPr>
                <w:sz w:val="21"/>
              </w:rPr>
            </w:pPr>
            <w:r>
              <w:rPr>
                <w:sz w:val="21"/>
              </w:rPr>
              <w:t>4</w:t>
            </w:r>
          </w:p>
        </w:tc>
        <w:tc>
          <w:tcPr>
            <w:tcW w:w="1704" w:type="dxa"/>
          </w:tcPr>
          <w:p>
            <w:pPr>
              <w:pStyle w:val="TableParagraph"/>
              <w:ind w:left="311" w:right="302"/>
              <w:rPr>
                <w:sz w:val="21"/>
              </w:rPr>
            </w:pPr>
            <w:r>
              <w:rPr>
                <w:spacing w:val="-18"/>
                <w:sz w:val="21"/>
              </w:rPr>
              <w:t xml:space="preserve">三星 </w:t>
            </w:r>
            <w:r>
              <w:rPr>
                <w:spacing w:val="-5"/>
                <w:sz w:val="21"/>
              </w:rPr>
              <w:t>LED</w:t>
            </w:r>
          </w:p>
        </w:tc>
        <w:tc>
          <w:tcPr>
            <w:tcW w:w="1704" w:type="dxa"/>
          </w:tcPr>
          <w:p>
            <w:pPr>
              <w:pStyle w:val="TableParagraph"/>
              <w:ind w:left="311" w:right="302"/>
              <w:rPr>
                <w:sz w:val="21"/>
              </w:rPr>
            </w:pPr>
            <w:r>
              <w:rPr>
                <w:spacing w:val="-5"/>
                <w:sz w:val="21"/>
              </w:rPr>
              <w:t>188</w:t>
            </w:r>
          </w:p>
        </w:tc>
        <w:tc>
          <w:tcPr>
            <w:tcW w:w="1705" w:type="dxa"/>
          </w:tcPr>
          <w:p>
            <w:pPr>
              <w:pStyle w:val="TableParagraph"/>
              <w:ind w:left="418" w:right="408"/>
              <w:rPr>
                <w:sz w:val="21"/>
              </w:rPr>
            </w:pPr>
            <w:r>
              <w:rPr>
                <w:spacing w:val="-5"/>
                <w:sz w:val="21"/>
              </w:rPr>
              <w:t>516</w:t>
            </w:r>
          </w:p>
        </w:tc>
        <w:tc>
          <w:tcPr>
            <w:tcW w:w="1705" w:type="dxa"/>
          </w:tcPr>
          <w:p>
            <w:pPr>
              <w:pStyle w:val="TableParagraph"/>
              <w:ind w:left="418" w:right="408"/>
              <w:rPr>
                <w:sz w:val="21"/>
              </w:rPr>
            </w:pPr>
            <w:r>
              <w:rPr>
                <w:spacing w:val="-4"/>
                <w:sz w:val="21"/>
              </w:rPr>
              <w:t>175％</w:t>
            </w:r>
          </w:p>
        </w:tc>
      </w:tr>
      <w:tr>
        <w:tblPrEx>
          <w:tblW w:w="0" w:type="auto"/>
          <w:jc w:val="left"/>
          <w:tblInd w:w="442" w:type="dxa"/>
          <w:tblLayout w:type="fixed"/>
          <w:tblCellMar>
            <w:top w:w="0" w:type="dxa"/>
            <w:left w:w="0" w:type="dxa"/>
            <w:bottom w:w="0" w:type="dxa"/>
            <w:right w:w="0" w:type="dxa"/>
          </w:tblCellMar>
          <w:tblLook w:val="01E0"/>
        </w:tblPrEx>
        <w:trPr>
          <w:trHeight w:val="400"/>
          <w:jc w:val="left"/>
        </w:trPr>
        <w:tc>
          <w:tcPr>
            <w:tcW w:w="1704" w:type="dxa"/>
          </w:tcPr>
          <w:p>
            <w:pPr>
              <w:pStyle w:val="TableParagraph"/>
              <w:ind w:left="10"/>
              <w:rPr>
                <w:sz w:val="21"/>
              </w:rPr>
            </w:pPr>
            <w:r>
              <w:rPr>
                <w:sz w:val="21"/>
              </w:rPr>
              <w:t>5</w:t>
            </w:r>
          </w:p>
        </w:tc>
        <w:tc>
          <w:tcPr>
            <w:tcW w:w="1704" w:type="dxa"/>
          </w:tcPr>
          <w:p>
            <w:pPr>
              <w:pStyle w:val="TableParagraph"/>
              <w:ind w:left="311" w:right="302"/>
              <w:rPr>
                <w:sz w:val="21"/>
              </w:rPr>
            </w:pPr>
            <w:r>
              <w:rPr>
                <w:spacing w:val="-2"/>
                <w:sz w:val="21"/>
              </w:rPr>
              <w:t>Lunileds</w:t>
            </w:r>
          </w:p>
        </w:tc>
        <w:tc>
          <w:tcPr>
            <w:tcW w:w="1704" w:type="dxa"/>
          </w:tcPr>
          <w:p>
            <w:pPr>
              <w:pStyle w:val="TableParagraph"/>
              <w:ind w:left="311" w:right="302"/>
              <w:rPr>
                <w:sz w:val="21"/>
              </w:rPr>
            </w:pPr>
            <w:r>
              <w:rPr>
                <w:spacing w:val="-5"/>
                <w:sz w:val="21"/>
              </w:rPr>
              <w:t>426</w:t>
            </w:r>
          </w:p>
        </w:tc>
        <w:tc>
          <w:tcPr>
            <w:tcW w:w="1705" w:type="dxa"/>
          </w:tcPr>
          <w:p>
            <w:pPr>
              <w:pStyle w:val="TableParagraph"/>
              <w:ind w:left="418" w:right="408"/>
              <w:rPr>
                <w:sz w:val="21"/>
              </w:rPr>
            </w:pPr>
            <w:r>
              <w:rPr>
                <w:spacing w:val="-5"/>
                <w:sz w:val="21"/>
              </w:rPr>
              <w:t>420</w:t>
            </w:r>
          </w:p>
        </w:tc>
        <w:tc>
          <w:tcPr>
            <w:tcW w:w="1705" w:type="dxa"/>
          </w:tcPr>
          <w:p>
            <w:pPr>
              <w:pStyle w:val="TableParagraph"/>
              <w:ind w:left="418" w:right="408"/>
              <w:rPr>
                <w:sz w:val="21"/>
              </w:rPr>
            </w:pPr>
            <w:r>
              <w:rPr>
                <w:sz w:val="21"/>
              </w:rPr>
              <w:t>-</w:t>
            </w:r>
            <w:r>
              <w:rPr>
                <w:spacing w:val="-5"/>
                <w:sz w:val="21"/>
              </w:rPr>
              <w:t>1％</w:t>
            </w:r>
          </w:p>
        </w:tc>
      </w:tr>
      <w:tr>
        <w:tblPrEx>
          <w:tblW w:w="0" w:type="auto"/>
          <w:jc w:val="left"/>
          <w:tblInd w:w="442" w:type="dxa"/>
          <w:tblLayout w:type="fixed"/>
          <w:tblCellMar>
            <w:top w:w="0" w:type="dxa"/>
            <w:left w:w="0" w:type="dxa"/>
            <w:bottom w:w="0" w:type="dxa"/>
            <w:right w:w="0" w:type="dxa"/>
          </w:tblCellMar>
          <w:tblLook w:val="01E0"/>
        </w:tblPrEx>
        <w:trPr>
          <w:trHeight w:val="400"/>
          <w:jc w:val="left"/>
        </w:trPr>
        <w:tc>
          <w:tcPr>
            <w:tcW w:w="1704" w:type="dxa"/>
          </w:tcPr>
          <w:p>
            <w:pPr>
              <w:pStyle w:val="TableParagraph"/>
              <w:ind w:left="10"/>
              <w:rPr>
                <w:sz w:val="21"/>
              </w:rPr>
            </w:pPr>
            <w:r>
              <w:rPr>
                <w:sz w:val="21"/>
              </w:rPr>
              <w:t>6</w:t>
            </w:r>
          </w:p>
        </w:tc>
        <w:tc>
          <w:tcPr>
            <w:tcW w:w="1704" w:type="dxa"/>
          </w:tcPr>
          <w:p>
            <w:pPr>
              <w:pStyle w:val="TableParagraph"/>
              <w:ind w:left="311" w:right="302"/>
              <w:rPr>
                <w:sz w:val="21"/>
              </w:rPr>
            </w:pPr>
            <w:r>
              <w:rPr>
                <w:spacing w:val="-2"/>
                <w:sz w:val="21"/>
              </w:rPr>
              <w:t>首尔半导体</w:t>
            </w:r>
          </w:p>
        </w:tc>
        <w:tc>
          <w:tcPr>
            <w:tcW w:w="1704" w:type="dxa"/>
          </w:tcPr>
          <w:p>
            <w:pPr>
              <w:pStyle w:val="TableParagraph"/>
              <w:ind w:left="311" w:right="302"/>
              <w:rPr>
                <w:sz w:val="21"/>
              </w:rPr>
            </w:pPr>
            <w:r>
              <w:rPr>
                <w:spacing w:val="-5"/>
                <w:sz w:val="21"/>
              </w:rPr>
              <w:t>257</w:t>
            </w:r>
          </w:p>
        </w:tc>
        <w:tc>
          <w:tcPr>
            <w:tcW w:w="1705" w:type="dxa"/>
          </w:tcPr>
          <w:p>
            <w:pPr>
              <w:pStyle w:val="TableParagraph"/>
              <w:ind w:left="418" w:right="408"/>
              <w:rPr>
                <w:sz w:val="21"/>
              </w:rPr>
            </w:pPr>
            <w:r>
              <w:rPr>
                <w:spacing w:val="-5"/>
                <w:sz w:val="21"/>
              </w:rPr>
              <w:t>392</w:t>
            </w:r>
          </w:p>
        </w:tc>
        <w:tc>
          <w:tcPr>
            <w:tcW w:w="1705" w:type="dxa"/>
          </w:tcPr>
          <w:p>
            <w:pPr>
              <w:pStyle w:val="TableParagraph"/>
              <w:ind w:left="418" w:right="408"/>
              <w:rPr>
                <w:sz w:val="21"/>
              </w:rPr>
            </w:pPr>
            <w:r>
              <w:rPr>
                <w:spacing w:val="-5"/>
                <w:sz w:val="21"/>
              </w:rPr>
              <w:t>52％</w:t>
            </w:r>
          </w:p>
        </w:tc>
      </w:tr>
      <w:tr>
        <w:tblPrEx>
          <w:tblW w:w="0" w:type="auto"/>
          <w:jc w:val="left"/>
          <w:tblInd w:w="442" w:type="dxa"/>
          <w:tblLayout w:type="fixed"/>
          <w:tblCellMar>
            <w:top w:w="0" w:type="dxa"/>
            <w:left w:w="0" w:type="dxa"/>
            <w:bottom w:w="0" w:type="dxa"/>
            <w:right w:w="0" w:type="dxa"/>
          </w:tblCellMar>
          <w:tblLook w:val="01E0"/>
        </w:tblPrEx>
        <w:trPr>
          <w:trHeight w:val="400"/>
          <w:jc w:val="left"/>
        </w:trPr>
        <w:tc>
          <w:tcPr>
            <w:tcW w:w="1704" w:type="dxa"/>
          </w:tcPr>
          <w:p>
            <w:pPr>
              <w:pStyle w:val="TableParagraph"/>
              <w:ind w:left="10"/>
              <w:rPr>
                <w:sz w:val="21"/>
              </w:rPr>
            </w:pPr>
            <w:r>
              <w:rPr>
                <w:sz w:val="21"/>
              </w:rPr>
              <w:t>7</w:t>
            </w:r>
          </w:p>
        </w:tc>
        <w:tc>
          <w:tcPr>
            <w:tcW w:w="1704" w:type="dxa"/>
          </w:tcPr>
          <w:p>
            <w:pPr>
              <w:pStyle w:val="TableParagraph"/>
              <w:ind w:left="311" w:right="302"/>
              <w:rPr>
                <w:sz w:val="21"/>
              </w:rPr>
            </w:pPr>
            <w:r>
              <w:rPr>
                <w:spacing w:val="-2"/>
                <w:sz w:val="21"/>
              </w:rPr>
              <w:t>Stanely</w:t>
            </w:r>
          </w:p>
        </w:tc>
        <w:tc>
          <w:tcPr>
            <w:tcW w:w="1704" w:type="dxa"/>
          </w:tcPr>
          <w:p>
            <w:pPr>
              <w:pStyle w:val="TableParagraph"/>
              <w:ind w:left="311" w:right="302"/>
              <w:rPr>
                <w:sz w:val="21"/>
              </w:rPr>
            </w:pPr>
            <w:r>
              <w:rPr>
                <w:spacing w:val="-5"/>
                <w:sz w:val="21"/>
              </w:rPr>
              <w:t>300</w:t>
            </w:r>
          </w:p>
        </w:tc>
        <w:tc>
          <w:tcPr>
            <w:tcW w:w="1705" w:type="dxa"/>
          </w:tcPr>
          <w:p>
            <w:pPr>
              <w:pStyle w:val="TableParagraph"/>
              <w:ind w:left="418" w:right="408"/>
              <w:rPr>
                <w:sz w:val="21"/>
              </w:rPr>
            </w:pPr>
            <w:r>
              <w:rPr>
                <w:spacing w:val="-5"/>
                <w:sz w:val="21"/>
              </w:rPr>
              <w:t>346</w:t>
            </w:r>
          </w:p>
        </w:tc>
        <w:tc>
          <w:tcPr>
            <w:tcW w:w="1705" w:type="dxa"/>
          </w:tcPr>
          <w:p>
            <w:pPr>
              <w:pStyle w:val="TableParagraph"/>
              <w:ind w:left="418" w:right="408"/>
              <w:rPr>
                <w:sz w:val="21"/>
              </w:rPr>
            </w:pPr>
            <w:r>
              <w:rPr>
                <w:spacing w:val="-5"/>
                <w:sz w:val="21"/>
              </w:rPr>
              <w:t>15％</w:t>
            </w:r>
          </w:p>
        </w:tc>
      </w:tr>
      <w:tr>
        <w:tblPrEx>
          <w:tblW w:w="0" w:type="auto"/>
          <w:jc w:val="left"/>
          <w:tblInd w:w="442" w:type="dxa"/>
          <w:tblLayout w:type="fixed"/>
          <w:tblCellMar>
            <w:top w:w="0" w:type="dxa"/>
            <w:left w:w="0" w:type="dxa"/>
            <w:bottom w:w="0" w:type="dxa"/>
            <w:right w:w="0" w:type="dxa"/>
          </w:tblCellMar>
          <w:tblLook w:val="01E0"/>
        </w:tblPrEx>
        <w:trPr>
          <w:trHeight w:val="400"/>
          <w:jc w:val="left"/>
        </w:trPr>
        <w:tc>
          <w:tcPr>
            <w:tcW w:w="1704" w:type="dxa"/>
          </w:tcPr>
          <w:p>
            <w:pPr>
              <w:pStyle w:val="TableParagraph"/>
              <w:ind w:left="10"/>
              <w:rPr>
                <w:sz w:val="21"/>
              </w:rPr>
            </w:pPr>
            <w:r>
              <w:rPr>
                <w:sz w:val="21"/>
              </w:rPr>
              <w:t>8</w:t>
            </w:r>
          </w:p>
        </w:tc>
        <w:tc>
          <w:tcPr>
            <w:tcW w:w="1704" w:type="dxa"/>
          </w:tcPr>
          <w:p>
            <w:pPr>
              <w:pStyle w:val="TableParagraph"/>
              <w:ind w:left="311" w:right="302"/>
              <w:rPr>
                <w:sz w:val="21"/>
              </w:rPr>
            </w:pPr>
            <w:r>
              <w:rPr>
                <w:spacing w:val="-5"/>
                <w:sz w:val="21"/>
              </w:rPr>
              <w:t>亿光</w:t>
            </w:r>
          </w:p>
        </w:tc>
        <w:tc>
          <w:tcPr>
            <w:tcW w:w="1704" w:type="dxa"/>
          </w:tcPr>
          <w:p>
            <w:pPr>
              <w:pStyle w:val="TableParagraph"/>
              <w:ind w:left="311" w:right="302"/>
              <w:rPr>
                <w:sz w:val="21"/>
              </w:rPr>
            </w:pPr>
            <w:r>
              <w:rPr>
                <w:spacing w:val="-5"/>
                <w:sz w:val="21"/>
              </w:rPr>
              <w:t>351</w:t>
            </w:r>
          </w:p>
        </w:tc>
        <w:tc>
          <w:tcPr>
            <w:tcW w:w="1705" w:type="dxa"/>
          </w:tcPr>
          <w:p>
            <w:pPr>
              <w:pStyle w:val="TableParagraph"/>
              <w:ind w:left="418" w:right="408"/>
              <w:rPr>
                <w:sz w:val="21"/>
              </w:rPr>
            </w:pPr>
            <w:r>
              <w:rPr>
                <w:spacing w:val="-5"/>
                <w:sz w:val="21"/>
              </w:rPr>
              <w:t>342</w:t>
            </w:r>
          </w:p>
        </w:tc>
        <w:tc>
          <w:tcPr>
            <w:tcW w:w="1705" w:type="dxa"/>
          </w:tcPr>
          <w:p>
            <w:pPr>
              <w:pStyle w:val="TableParagraph"/>
              <w:ind w:left="418" w:right="408"/>
              <w:rPr>
                <w:sz w:val="21"/>
              </w:rPr>
            </w:pPr>
            <w:r>
              <w:rPr>
                <w:sz w:val="21"/>
              </w:rPr>
              <w:t>-</w:t>
            </w:r>
            <w:r>
              <w:rPr>
                <w:spacing w:val="-5"/>
                <w:sz w:val="21"/>
              </w:rPr>
              <w:t>2％</w:t>
            </w:r>
          </w:p>
        </w:tc>
      </w:tr>
      <w:tr>
        <w:tblPrEx>
          <w:tblW w:w="0" w:type="auto"/>
          <w:jc w:val="left"/>
          <w:tblInd w:w="442" w:type="dxa"/>
          <w:tblLayout w:type="fixed"/>
          <w:tblCellMar>
            <w:top w:w="0" w:type="dxa"/>
            <w:left w:w="0" w:type="dxa"/>
            <w:bottom w:w="0" w:type="dxa"/>
            <w:right w:w="0" w:type="dxa"/>
          </w:tblCellMar>
          <w:tblLook w:val="01E0"/>
        </w:tblPrEx>
        <w:trPr>
          <w:trHeight w:val="400"/>
          <w:jc w:val="left"/>
        </w:trPr>
        <w:tc>
          <w:tcPr>
            <w:tcW w:w="1704" w:type="dxa"/>
          </w:tcPr>
          <w:p>
            <w:pPr>
              <w:pStyle w:val="TableParagraph"/>
              <w:ind w:left="10"/>
              <w:rPr>
                <w:sz w:val="21"/>
              </w:rPr>
            </w:pPr>
            <w:r>
              <w:rPr>
                <w:sz w:val="21"/>
              </w:rPr>
              <w:t>9</w:t>
            </w:r>
          </w:p>
        </w:tc>
        <w:tc>
          <w:tcPr>
            <w:tcW w:w="1704" w:type="dxa"/>
          </w:tcPr>
          <w:p>
            <w:pPr>
              <w:pStyle w:val="TableParagraph"/>
              <w:ind w:left="311" w:right="302"/>
              <w:rPr>
                <w:sz w:val="21"/>
              </w:rPr>
            </w:pPr>
            <w:r>
              <w:rPr>
                <w:spacing w:val="-3"/>
                <w:sz w:val="21"/>
              </w:rPr>
              <w:t>丰田合成</w:t>
            </w:r>
          </w:p>
        </w:tc>
        <w:tc>
          <w:tcPr>
            <w:tcW w:w="1704" w:type="dxa"/>
          </w:tcPr>
          <w:p>
            <w:pPr>
              <w:pStyle w:val="TableParagraph"/>
              <w:ind w:left="311" w:right="302"/>
              <w:rPr>
                <w:sz w:val="21"/>
              </w:rPr>
            </w:pPr>
            <w:r>
              <w:rPr>
                <w:spacing w:val="-5"/>
                <w:sz w:val="21"/>
              </w:rPr>
              <w:t>214</w:t>
            </w:r>
          </w:p>
        </w:tc>
        <w:tc>
          <w:tcPr>
            <w:tcW w:w="1705" w:type="dxa"/>
          </w:tcPr>
          <w:p>
            <w:pPr>
              <w:pStyle w:val="TableParagraph"/>
              <w:ind w:left="418" w:right="408"/>
              <w:rPr>
                <w:sz w:val="21"/>
              </w:rPr>
            </w:pPr>
            <w:r>
              <w:rPr>
                <w:spacing w:val="-5"/>
                <w:sz w:val="21"/>
              </w:rPr>
              <w:t>322</w:t>
            </w:r>
          </w:p>
        </w:tc>
        <w:tc>
          <w:tcPr>
            <w:tcW w:w="1705" w:type="dxa"/>
          </w:tcPr>
          <w:p>
            <w:pPr>
              <w:pStyle w:val="TableParagraph"/>
              <w:ind w:left="418" w:right="408"/>
              <w:rPr>
                <w:sz w:val="21"/>
              </w:rPr>
            </w:pPr>
            <w:r>
              <w:rPr>
                <w:spacing w:val="-5"/>
                <w:sz w:val="21"/>
              </w:rPr>
              <w:t>50％</w:t>
            </w:r>
          </w:p>
        </w:tc>
      </w:tr>
      <w:tr>
        <w:tblPrEx>
          <w:tblW w:w="0" w:type="auto"/>
          <w:jc w:val="left"/>
          <w:tblInd w:w="442" w:type="dxa"/>
          <w:tblLayout w:type="fixed"/>
          <w:tblCellMar>
            <w:top w:w="0" w:type="dxa"/>
            <w:left w:w="0" w:type="dxa"/>
            <w:bottom w:w="0" w:type="dxa"/>
            <w:right w:w="0" w:type="dxa"/>
          </w:tblCellMar>
          <w:tblLook w:val="01E0"/>
        </w:tblPrEx>
        <w:trPr>
          <w:trHeight w:val="400"/>
          <w:jc w:val="left"/>
        </w:trPr>
        <w:tc>
          <w:tcPr>
            <w:tcW w:w="1704" w:type="dxa"/>
          </w:tcPr>
          <w:p>
            <w:pPr>
              <w:pStyle w:val="TableParagraph"/>
              <w:ind w:left="311" w:right="301"/>
              <w:rPr>
                <w:sz w:val="21"/>
              </w:rPr>
            </w:pPr>
            <w:r>
              <w:rPr>
                <w:spacing w:val="-5"/>
                <w:sz w:val="21"/>
              </w:rPr>
              <w:t>10</w:t>
            </w:r>
          </w:p>
        </w:tc>
        <w:tc>
          <w:tcPr>
            <w:tcW w:w="1704" w:type="dxa"/>
          </w:tcPr>
          <w:p>
            <w:pPr>
              <w:pStyle w:val="TableParagraph"/>
              <w:ind w:left="311" w:right="302"/>
              <w:rPr>
                <w:sz w:val="21"/>
              </w:rPr>
            </w:pPr>
            <w:r>
              <w:rPr>
                <w:sz w:val="21"/>
              </w:rPr>
              <w:t>Lite-</w:t>
            </w:r>
            <w:r>
              <w:rPr>
                <w:spacing w:val="-5"/>
                <w:sz w:val="21"/>
              </w:rPr>
              <w:t>on</w:t>
            </w:r>
          </w:p>
        </w:tc>
        <w:tc>
          <w:tcPr>
            <w:tcW w:w="1704" w:type="dxa"/>
          </w:tcPr>
          <w:p>
            <w:pPr>
              <w:pStyle w:val="TableParagraph"/>
              <w:ind w:left="311" w:right="302"/>
              <w:rPr>
                <w:sz w:val="21"/>
              </w:rPr>
            </w:pPr>
            <w:r>
              <w:rPr>
                <w:spacing w:val="-5"/>
                <w:sz w:val="21"/>
              </w:rPr>
              <w:t>336</w:t>
            </w:r>
          </w:p>
        </w:tc>
        <w:tc>
          <w:tcPr>
            <w:tcW w:w="1705" w:type="dxa"/>
          </w:tcPr>
          <w:p>
            <w:pPr>
              <w:pStyle w:val="TableParagraph"/>
              <w:ind w:left="418" w:right="408"/>
              <w:rPr>
                <w:sz w:val="21"/>
              </w:rPr>
            </w:pPr>
            <w:r>
              <w:rPr>
                <w:spacing w:val="-5"/>
                <w:sz w:val="21"/>
              </w:rPr>
              <w:t>303</w:t>
            </w:r>
          </w:p>
        </w:tc>
        <w:tc>
          <w:tcPr>
            <w:tcW w:w="1705" w:type="dxa"/>
          </w:tcPr>
          <w:p>
            <w:pPr>
              <w:pStyle w:val="TableParagraph"/>
              <w:ind w:left="418" w:right="408"/>
              <w:rPr>
                <w:sz w:val="21"/>
              </w:rPr>
            </w:pPr>
            <w:r>
              <w:rPr>
                <w:sz w:val="21"/>
              </w:rPr>
              <w:t>-</w:t>
            </w:r>
            <w:r>
              <w:rPr>
                <w:spacing w:val="-5"/>
                <w:sz w:val="21"/>
              </w:rPr>
              <w:t>10％</w:t>
            </w:r>
          </w:p>
        </w:tc>
      </w:tr>
    </w:tbl>
    <w:p>
      <w:pPr>
        <w:spacing w:after="0"/>
        <w:rPr>
          <w:sz w:val="21"/>
        </w:rPr>
        <w:sectPr>
          <w:pgSz w:w="11910" w:h="16840"/>
          <w:pgMar w:top="1460" w:right="680" w:bottom="280" w:left="1680" w:header="708" w:footer="708"/>
          <w:pgNumType w:start="12"/>
          <w:cols w:space="708"/>
        </w:sectPr>
      </w:pPr>
    </w:p>
    <w:p>
      <w:pPr>
        <w:pStyle w:val="Heading2"/>
        <w:numPr>
          <w:ilvl w:val="1"/>
          <w:numId w:val="5"/>
        </w:numPr>
        <w:tabs>
          <w:tab w:val="left" w:pos="865"/>
        </w:tabs>
        <w:spacing w:before="42" w:after="0" w:line="240" w:lineRule="auto"/>
        <w:ind w:left="865" w:right="0" w:hanging="560"/>
        <w:jc w:val="left"/>
      </w:pPr>
      <w:bookmarkStart w:id="6" w:name="_TOC_250012"/>
      <w:r>
        <w:t>分析国内外LED</w:t>
      </w:r>
      <w:bookmarkEnd w:id="6"/>
      <w:r>
        <w:rPr>
          <w:spacing w:val="-5"/>
        </w:rPr>
        <w:t>市场</w:t>
      </w:r>
    </w:p>
    <w:p>
      <w:pPr>
        <w:pStyle w:val="BodyText"/>
        <w:spacing w:before="237" w:line="312" w:lineRule="auto"/>
        <w:ind w:left="305" w:right="332" w:firstLine="480"/>
      </w:pPr>
      <w:r>
        <w:t>据统计，LED在的使用量约为2亿个，预计有6亿个的使用量，而 年使用量则大</w:t>
      </w:r>
      <w:r>
        <w:t xml:space="preserve"> 幅提高到12亿个。而产值部分，根据Strategies</w:t>
      </w:r>
      <w:r>
        <w:rPr>
          <w:spacing w:val="-4"/>
        </w:rPr>
        <w:t xml:space="preserve"> </w:t>
      </w:r>
      <w:r>
        <w:t>Un</w:t>
      </w:r>
      <w:r>
        <w:rPr>
          <w:spacing w:val="-2"/>
        </w:rPr>
        <w:t xml:space="preserve"> -</w:t>
      </w:r>
      <w:r>
        <w:t>limited的统计，日本大型车灯</w:t>
      </w:r>
      <w:r>
        <w:rPr>
          <w:spacing w:val="-40"/>
        </w:rPr>
        <w:t>厂小系</w:t>
      </w:r>
      <w:r>
        <w:rPr>
          <w:spacing w:val="11"/>
        </w:rPr>
        <w:t>（</w:t>
      </w:r>
      <w:r>
        <w:rPr>
          <w:spacing w:val="12"/>
        </w:rPr>
        <w:t>Koh</w:t>
      </w:r>
      <w:r>
        <w:rPr>
          <w:spacing w:val="11"/>
        </w:rPr>
        <w:t>i</w:t>
      </w:r>
      <w:r>
        <w:rPr>
          <w:spacing w:val="12"/>
        </w:rPr>
        <w:t>d</w:t>
      </w:r>
      <w:r>
        <w:rPr>
          <w:spacing w:val="11"/>
        </w:rPr>
        <w:t>o</w:t>
      </w:r>
      <w:r>
        <w:rPr>
          <w:spacing w:val="-103"/>
        </w:rPr>
        <w:t>）</w:t>
      </w:r>
      <w:r>
        <w:rPr>
          <w:spacing w:val="-14"/>
        </w:rPr>
        <w:t>预计，到全部的新车都会以</w:t>
      </w:r>
      <w:r>
        <w:rPr>
          <w:spacing w:val="-2"/>
        </w:rPr>
        <w:t>LED</w:t>
      </w:r>
      <w:r>
        <w:rPr>
          <w:spacing w:val="-20"/>
        </w:rPr>
        <w:t>作为车灯。在照明市场方面，根据</w:t>
      </w:r>
      <w:r>
        <w:rPr>
          <w:spacing w:val="-2"/>
        </w:rPr>
        <w:t>Frost Sullivan的预估，白炽灯泡及日光灯的全球市场规模约为43亿美元，每年的成长率约</w:t>
      </w:r>
      <w:r>
        <w:rPr>
          <w:spacing w:val="-2"/>
        </w:rPr>
        <w:t>为</w:t>
      </w:r>
      <w:r>
        <w:rPr>
          <w:spacing w:val="35"/>
        </w:rPr>
        <w:t>5%</w:t>
      </w:r>
      <w:r>
        <w:rPr>
          <w:spacing w:val="-14"/>
        </w:rPr>
        <w:t>，是全球可见光</w:t>
      </w:r>
      <w:r>
        <w:rPr>
          <w:spacing w:val="-2"/>
        </w:rPr>
        <w:t>LED市场规模的2.5</w:t>
      </w:r>
      <w:r>
        <w:rPr>
          <w:spacing w:val="-19"/>
        </w:rPr>
        <w:t>倍左右，照明市场的发展空间颇大。再根据</w:t>
      </w:r>
      <w:r>
        <w:rPr>
          <w:spacing w:val="-2"/>
        </w:rPr>
        <w:t xml:space="preserve">Reed </w:t>
      </w:r>
      <w:r>
        <w:t>Electronics Research统计，1999年全球白光LED市场有8800万美元的市场，则已成</w:t>
      </w:r>
      <w:r>
        <w:rPr>
          <w:spacing w:val="-2"/>
        </w:rPr>
        <w:t>长至1.18亿美元的规模，至皆会保持40%左右的成长速度，并可达成2.7亿美元的市场</w:t>
      </w:r>
      <w:r>
        <w:rPr>
          <w:spacing w:val="-2"/>
        </w:rPr>
        <w:t>规模，预估市场规模将成长至3.95亿美元，且年平均复合成长率达39.6%，显而易见</w:t>
      </w:r>
      <w:r>
        <w:rPr>
          <w:spacing w:val="-2"/>
        </w:rPr>
        <w:t>此照明市场含有相称大的成长空间。另外，富士总研办统计指出，全球白光LED生产</w:t>
      </w:r>
      <w:r>
        <w:t>个数达247</w:t>
      </w:r>
      <w:r>
        <w:rPr>
          <w:spacing w:val="-4"/>
        </w:rPr>
        <w:t xml:space="preserve"> </w:t>
      </w:r>
      <w:r>
        <w:t>000</w:t>
      </w:r>
      <w:r>
        <w:rPr>
          <w:spacing w:val="-2"/>
        </w:rPr>
        <w:t xml:space="preserve"> 千个，产值达</w:t>
      </w:r>
      <w:r>
        <w:t>154百万美元，产量年成长率则达成55.5%，产值年成长</w:t>
      </w:r>
      <w:r>
        <w:rPr>
          <w:spacing w:val="-2"/>
        </w:rPr>
        <w:t>率则为52.6%。依应用产品加以辨别，则高达94.7%是应用于移动电话外市场。而从今</w:t>
      </w:r>
      <w:r>
        <w:rPr>
          <w:spacing w:val="-4"/>
        </w:rPr>
        <w:t>年开始，全球白光LED亦会有明显成长，从去年的190亿日元增加到今年的254亿日元，</w:t>
      </w:r>
      <w:r>
        <w:rPr>
          <w:spacing w:val="-2"/>
        </w:rPr>
        <w:t>则会成长到350亿日元，达成480亿日元。平均单价则是呈现缓慢下滑，从去年的79日</w:t>
      </w:r>
      <w:r>
        <w:rPr>
          <w:spacing w:val="-2"/>
        </w:rPr>
        <w:t>元，到下降到68日元，约为蓝光LED价格的2倍。台湾在全球LED的产值方面，其下游</w:t>
      </w:r>
      <w:r>
        <w:rPr>
          <w:spacing w:val="-2"/>
        </w:rPr>
        <w:t>产值居全球市场占有率第一，中游则位居第二，但在上游方面，由于无法掌握核心技</w:t>
      </w:r>
      <w:r>
        <w:rPr>
          <w:spacing w:val="-2"/>
        </w:rPr>
        <w:t>术，因此在专利权上始终受制日商影响，居全球市场占有率较低，台湾在1997年成功</w:t>
      </w:r>
      <w:r>
        <w:rPr>
          <w:spacing w:val="-2"/>
        </w:rPr>
        <w:t>开发白光LED，近年来含有白光面光源等专利权33项，现在正在审查之专利计11项，</w:t>
      </w:r>
      <w:r>
        <w:rPr>
          <w:spacing w:val="-2"/>
        </w:rPr>
        <w:t>不仅突破日本长久掌握的白光LED专利权，其白光的品质及效果比起日亚来说，甚至</w:t>
      </w:r>
      <w:r>
        <w:rPr>
          <w:spacing w:val="-2"/>
        </w:rPr>
        <w:t>有过之无不及，对提高台湾光电产业的国际竞争力有重大奉献。</w:t>
      </w:r>
    </w:p>
    <w:p>
      <w:pPr>
        <w:pStyle w:val="BodyText"/>
        <w:spacing w:before="5" w:line="312" w:lineRule="auto"/>
        <w:ind w:left="305" w:right="331" w:firstLine="480"/>
      </w:pPr>
      <w:r>
        <w:rPr>
          <w:spacing w:val="-4"/>
        </w:rPr>
        <w:t>在全球能源短缺、环保规定不停提高的发展趋势下，凭借LED光源照明的亮度高、</w:t>
      </w:r>
      <w:r>
        <w:rPr>
          <w:spacing w:val="-2"/>
        </w:rPr>
        <w:t>使用寿命长、节能、绿色环保等明显优势，随着着LED技术的飞速发展，使LED成为普</w:t>
      </w:r>
      <w:r>
        <w:rPr>
          <w:spacing w:val="-2"/>
        </w:rPr>
        <w:t>通照明光源的时日越来越近，LED照明必将成为人类照明史上继自炽灯、荧光灯之后</w:t>
      </w:r>
      <w:r>
        <w:rPr>
          <w:spacing w:val="-2"/>
        </w:rPr>
        <w:t>新的照明革命。</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2"/>
        <w:rPr>
          <w:sz w:val="27"/>
        </w:rPr>
      </w:pPr>
    </w:p>
    <w:p>
      <w:pPr>
        <w:pStyle w:val="Heading1"/>
      </w:pPr>
      <w:bookmarkStart w:id="7" w:name="_TOC_250011"/>
      <w:r>
        <w:rPr>
          <w:spacing w:val="-40"/>
        </w:rPr>
        <w:t xml:space="preserve">第 </w:t>
      </w:r>
      <w:r>
        <w:t>3</w:t>
      </w:r>
      <w:r>
        <w:rPr>
          <w:spacing w:val="-27"/>
        </w:rPr>
        <w:t xml:space="preserve"> 章 </w:t>
      </w:r>
      <w:r>
        <w:t>LED</w:t>
      </w:r>
      <w:bookmarkEnd w:id="7"/>
      <w:r>
        <w:rPr>
          <w:spacing w:val="-10"/>
        </w:rPr>
        <w:t xml:space="preserve"> 光源与传统光源的对比</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https://d.book118.com/357021041064006045</w:t>
        </w:r>
      </w:hyperlink>
    </w:p>
    <w:p>
      <w:pPr>
        <w:spacing w:after="0"/>
      </w:pPr>
    </w:p>
    <w:sectPr>
      <w:pgSz w:w="11910" w:h="16840"/>
      <w:pgMar w:top="1420" w:right="680" w:bottom="280" w:left="1680" w:header="708" w:footer="708"/>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157DCF"/>
    <w:multiLevelType w:val="hybridMultilevel"/>
    <w:tmpl w:val="00000000"/>
    <w:lvl w:ilvl="0">
      <w:start w:val="3"/>
      <w:numFmt w:val="decimal"/>
      <w:lvlText w:val="（%1）"/>
      <w:lvlJc w:val="left"/>
      <w:pPr>
        <w:ind w:left="305" w:hanging="601"/>
        <w:jc w:val="left"/>
      </w:pPr>
      <w:rPr>
        <w:rFonts w:ascii="宋体" w:eastAsia="宋体" w:hAnsi="宋体" w:cs="宋体" w:hint="default"/>
        <w:b w:val="0"/>
        <w:bCs w:val="0"/>
        <w:i w:val="0"/>
        <w:iCs w:val="0"/>
        <w:w w:val="100"/>
        <w:sz w:val="22"/>
        <w:szCs w:val="22"/>
        <w:lang w:val="en-US" w:eastAsia="en-US" w:bidi="ar-SA"/>
      </w:rPr>
    </w:lvl>
    <w:lvl w:ilvl="1">
      <w:start w:val="0"/>
      <w:numFmt w:val="bullet"/>
      <w:lvlText w:val="•"/>
      <w:lvlJc w:val="left"/>
      <w:pPr>
        <w:ind w:left="1224" w:hanging="601"/>
      </w:pPr>
      <w:rPr>
        <w:rFonts w:hint="default"/>
        <w:lang w:val="en-US" w:eastAsia="en-US" w:bidi="ar-SA"/>
      </w:rPr>
    </w:lvl>
    <w:lvl w:ilvl="2">
      <w:start w:val="0"/>
      <w:numFmt w:val="bullet"/>
      <w:lvlText w:val="•"/>
      <w:lvlJc w:val="left"/>
      <w:pPr>
        <w:ind w:left="2149" w:hanging="601"/>
      </w:pPr>
      <w:rPr>
        <w:rFonts w:hint="default"/>
        <w:lang w:val="en-US" w:eastAsia="en-US" w:bidi="ar-SA"/>
      </w:rPr>
    </w:lvl>
    <w:lvl w:ilvl="3">
      <w:start w:val="0"/>
      <w:numFmt w:val="bullet"/>
      <w:lvlText w:val="•"/>
      <w:lvlJc w:val="left"/>
      <w:pPr>
        <w:ind w:left="3073" w:hanging="601"/>
      </w:pPr>
      <w:rPr>
        <w:rFonts w:hint="default"/>
        <w:lang w:val="en-US" w:eastAsia="en-US" w:bidi="ar-SA"/>
      </w:rPr>
    </w:lvl>
    <w:lvl w:ilvl="4">
      <w:start w:val="0"/>
      <w:numFmt w:val="bullet"/>
      <w:lvlText w:val="•"/>
      <w:lvlJc w:val="left"/>
      <w:pPr>
        <w:ind w:left="3998" w:hanging="601"/>
      </w:pPr>
      <w:rPr>
        <w:rFonts w:hint="default"/>
        <w:lang w:val="en-US" w:eastAsia="en-US" w:bidi="ar-SA"/>
      </w:rPr>
    </w:lvl>
    <w:lvl w:ilvl="5">
      <w:start w:val="0"/>
      <w:numFmt w:val="bullet"/>
      <w:lvlText w:val="•"/>
      <w:lvlJc w:val="left"/>
      <w:pPr>
        <w:ind w:left="4923" w:hanging="601"/>
      </w:pPr>
      <w:rPr>
        <w:rFonts w:hint="default"/>
        <w:lang w:val="en-US" w:eastAsia="en-US" w:bidi="ar-SA"/>
      </w:rPr>
    </w:lvl>
    <w:lvl w:ilvl="6">
      <w:start w:val="0"/>
      <w:numFmt w:val="bullet"/>
      <w:lvlText w:val="•"/>
      <w:lvlJc w:val="left"/>
      <w:pPr>
        <w:ind w:left="5847" w:hanging="601"/>
      </w:pPr>
      <w:rPr>
        <w:rFonts w:hint="default"/>
        <w:lang w:val="en-US" w:eastAsia="en-US" w:bidi="ar-SA"/>
      </w:rPr>
    </w:lvl>
    <w:lvl w:ilvl="7">
      <w:start w:val="0"/>
      <w:numFmt w:val="bullet"/>
      <w:lvlText w:val="•"/>
      <w:lvlJc w:val="left"/>
      <w:pPr>
        <w:ind w:left="6772" w:hanging="601"/>
      </w:pPr>
      <w:rPr>
        <w:rFonts w:hint="default"/>
        <w:lang w:val="en-US" w:eastAsia="en-US" w:bidi="ar-SA"/>
      </w:rPr>
    </w:lvl>
    <w:lvl w:ilvl="8">
      <w:start w:val="0"/>
      <w:numFmt w:val="bullet"/>
      <w:lvlText w:val="•"/>
      <w:lvlJc w:val="left"/>
      <w:pPr>
        <w:ind w:left="7696" w:hanging="601"/>
      </w:pPr>
      <w:rPr>
        <w:rFonts w:hint="default"/>
        <w:lang w:val="en-US" w:eastAsia="en-US" w:bidi="ar-SA"/>
      </w:rPr>
    </w:lvl>
  </w:abstractNum>
  <w:abstractNum w:abstractNumId="1">
    <w:nsid w:val="02613EBD"/>
    <w:multiLevelType w:val="hybridMultilevel"/>
    <w:tmpl w:val="00000000"/>
    <w:lvl w:ilvl="0">
      <w:start w:val="1"/>
      <w:numFmt w:val="decimal"/>
      <w:lvlText w:val="%1"/>
      <w:lvlJc w:val="left"/>
      <w:pPr>
        <w:ind w:left="970" w:hanging="455"/>
        <w:jc w:val="left"/>
      </w:pPr>
      <w:rPr>
        <w:rFonts w:hint="default"/>
        <w:lang w:val="en-US" w:eastAsia="en-US" w:bidi="ar-SA"/>
      </w:rPr>
    </w:lvl>
    <w:lvl w:ilvl="1">
      <w:start w:val="1"/>
      <w:numFmt w:val="decimal"/>
      <w:lvlText w:val="%1.%2"/>
      <w:lvlJc w:val="left"/>
      <w:pPr>
        <w:ind w:left="970" w:hanging="455"/>
        <w:jc w:val="left"/>
      </w:pPr>
      <w:rPr>
        <w:rFonts w:ascii="宋体" w:eastAsia="宋体" w:hAnsi="宋体" w:cs="宋体" w:hint="default"/>
        <w:b w:val="0"/>
        <w:bCs w:val="0"/>
        <w:i w:val="0"/>
        <w:iCs w:val="0"/>
        <w:w w:val="100"/>
        <w:sz w:val="24"/>
        <w:szCs w:val="24"/>
        <w:lang w:val="en-US" w:eastAsia="en-US" w:bidi="ar-SA"/>
      </w:rPr>
    </w:lvl>
    <w:lvl w:ilvl="2">
      <w:start w:val="0"/>
      <w:numFmt w:val="bullet"/>
      <w:lvlText w:val="•"/>
      <w:lvlJc w:val="left"/>
      <w:pPr>
        <w:ind w:left="2693" w:hanging="455"/>
      </w:pPr>
      <w:rPr>
        <w:rFonts w:hint="default"/>
        <w:lang w:val="en-US" w:eastAsia="en-US" w:bidi="ar-SA"/>
      </w:rPr>
    </w:lvl>
    <w:lvl w:ilvl="3">
      <w:start w:val="0"/>
      <w:numFmt w:val="bullet"/>
      <w:lvlText w:val="•"/>
      <w:lvlJc w:val="left"/>
      <w:pPr>
        <w:ind w:left="3549" w:hanging="455"/>
      </w:pPr>
      <w:rPr>
        <w:rFonts w:hint="default"/>
        <w:lang w:val="en-US" w:eastAsia="en-US" w:bidi="ar-SA"/>
      </w:rPr>
    </w:lvl>
    <w:lvl w:ilvl="4">
      <w:start w:val="0"/>
      <w:numFmt w:val="bullet"/>
      <w:lvlText w:val="•"/>
      <w:lvlJc w:val="left"/>
      <w:pPr>
        <w:ind w:left="4406" w:hanging="455"/>
      </w:pPr>
      <w:rPr>
        <w:rFonts w:hint="default"/>
        <w:lang w:val="en-US" w:eastAsia="en-US" w:bidi="ar-SA"/>
      </w:rPr>
    </w:lvl>
    <w:lvl w:ilvl="5">
      <w:start w:val="0"/>
      <w:numFmt w:val="bullet"/>
      <w:lvlText w:val="•"/>
      <w:lvlJc w:val="left"/>
      <w:pPr>
        <w:ind w:left="5263" w:hanging="455"/>
      </w:pPr>
      <w:rPr>
        <w:rFonts w:hint="default"/>
        <w:lang w:val="en-US" w:eastAsia="en-US" w:bidi="ar-SA"/>
      </w:rPr>
    </w:lvl>
    <w:lvl w:ilvl="6">
      <w:start w:val="0"/>
      <w:numFmt w:val="bullet"/>
      <w:lvlText w:val="•"/>
      <w:lvlJc w:val="left"/>
      <w:pPr>
        <w:ind w:left="6119" w:hanging="455"/>
      </w:pPr>
      <w:rPr>
        <w:rFonts w:hint="default"/>
        <w:lang w:val="en-US" w:eastAsia="en-US" w:bidi="ar-SA"/>
      </w:rPr>
    </w:lvl>
    <w:lvl w:ilvl="7">
      <w:start w:val="0"/>
      <w:numFmt w:val="bullet"/>
      <w:lvlText w:val="•"/>
      <w:lvlJc w:val="left"/>
      <w:pPr>
        <w:ind w:left="6976" w:hanging="455"/>
      </w:pPr>
      <w:rPr>
        <w:rFonts w:hint="default"/>
        <w:lang w:val="en-US" w:eastAsia="en-US" w:bidi="ar-SA"/>
      </w:rPr>
    </w:lvl>
    <w:lvl w:ilvl="8">
      <w:start w:val="0"/>
      <w:numFmt w:val="bullet"/>
      <w:lvlText w:val="•"/>
      <w:lvlJc w:val="left"/>
      <w:pPr>
        <w:ind w:left="7832" w:hanging="455"/>
      </w:pPr>
      <w:rPr>
        <w:rFonts w:hint="default"/>
        <w:lang w:val="en-US" w:eastAsia="en-US" w:bidi="ar-SA"/>
      </w:rPr>
    </w:lvl>
  </w:abstractNum>
  <w:abstractNum w:abstractNumId="2">
    <w:nsid w:val="13DA420E"/>
    <w:multiLevelType w:val="hybridMultilevel"/>
    <w:tmpl w:val="00000000"/>
    <w:lvl w:ilvl="0">
      <w:start w:val="1"/>
      <w:numFmt w:val="decimal"/>
      <w:lvlText w:val="%1"/>
      <w:lvlJc w:val="left"/>
      <w:pPr>
        <w:ind w:left="865" w:hanging="560"/>
        <w:jc w:val="left"/>
      </w:pPr>
      <w:rPr>
        <w:rFonts w:hint="default"/>
        <w:lang w:val="en-US" w:eastAsia="en-US" w:bidi="ar-SA"/>
      </w:rPr>
    </w:lvl>
    <w:lvl w:ilvl="1">
      <w:start w:val="1"/>
      <w:numFmt w:val="decimal"/>
      <w:lvlText w:val="%1.%2"/>
      <w:lvlJc w:val="left"/>
      <w:pPr>
        <w:ind w:left="865" w:hanging="560"/>
        <w:jc w:val="left"/>
      </w:pPr>
      <w:rPr>
        <w:rFonts w:ascii="黑体" w:eastAsia="黑体" w:hAnsi="黑体" w:cs="黑体" w:hint="default"/>
        <w:b w:val="0"/>
        <w:bCs w:val="0"/>
        <w:i w:val="0"/>
        <w:iCs w:val="0"/>
        <w:w w:val="100"/>
        <w:sz w:val="28"/>
        <w:szCs w:val="28"/>
        <w:lang w:val="en-US" w:eastAsia="en-US" w:bidi="ar-SA"/>
      </w:rPr>
    </w:lvl>
    <w:lvl w:ilvl="2">
      <w:start w:val="0"/>
      <w:numFmt w:val="bullet"/>
      <w:lvlText w:val="•"/>
      <w:lvlJc w:val="left"/>
      <w:pPr>
        <w:ind w:left="1225" w:hanging="560"/>
      </w:pPr>
      <w:rPr>
        <w:rFonts w:hint="default"/>
        <w:lang w:val="en-US" w:eastAsia="en-US" w:bidi="ar-SA"/>
      </w:rPr>
    </w:lvl>
    <w:lvl w:ilvl="3">
      <w:start w:val="0"/>
      <w:numFmt w:val="bullet"/>
      <w:lvlText w:val="•"/>
      <w:lvlJc w:val="left"/>
      <w:pPr>
        <w:ind w:left="1407" w:hanging="560"/>
      </w:pPr>
      <w:rPr>
        <w:rFonts w:hint="default"/>
        <w:lang w:val="en-US" w:eastAsia="en-US" w:bidi="ar-SA"/>
      </w:rPr>
    </w:lvl>
    <w:lvl w:ilvl="4">
      <w:start w:val="0"/>
      <w:numFmt w:val="bullet"/>
      <w:lvlText w:val="•"/>
      <w:lvlJc w:val="left"/>
      <w:pPr>
        <w:ind w:left="1590" w:hanging="560"/>
      </w:pPr>
      <w:rPr>
        <w:rFonts w:hint="default"/>
        <w:lang w:val="en-US" w:eastAsia="en-US" w:bidi="ar-SA"/>
      </w:rPr>
    </w:lvl>
    <w:lvl w:ilvl="5">
      <w:start w:val="0"/>
      <w:numFmt w:val="bullet"/>
      <w:lvlText w:val="•"/>
      <w:lvlJc w:val="left"/>
      <w:pPr>
        <w:ind w:left="1772" w:hanging="560"/>
      </w:pPr>
      <w:rPr>
        <w:rFonts w:hint="default"/>
        <w:lang w:val="en-US" w:eastAsia="en-US" w:bidi="ar-SA"/>
      </w:rPr>
    </w:lvl>
    <w:lvl w:ilvl="6">
      <w:start w:val="0"/>
      <w:numFmt w:val="bullet"/>
      <w:lvlText w:val="•"/>
      <w:lvlJc w:val="left"/>
      <w:pPr>
        <w:ind w:left="1955" w:hanging="560"/>
      </w:pPr>
      <w:rPr>
        <w:rFonts w:hint="default"/>
        <w:lang w:val="en-US" w:eastAsia="en-US" w:bidi="ar-SA"/>
      </w:rPr>
    </w:lvl>
    <w:lvl w:ilvl="7">
      <w:start w:val="0"/>
      <w:numFmt w:val="bullet"/>
      <w:lvlText w:val="•"/>
      <w:lvlJc w:val="left"/>
      <w:pPr>
        <w:ind w:left="2137" w:hanging="560"/>
      </w:pPr>
      <w:rPr>
        <w:rFonts w:hint="default"/>
        <w:lang w:val="en-US" w:eastAsia="en-US" w:bidi="ar-SA"/>
      </w:rPr>
    </w:lvl>
    <w:lvl w:ilvl="8">
      <w:start w:val="0"/>
      <w:numFmt w:val="bullet"/>
      <w:lvlText w:val="•"/>
      <w:lvlJc w:val="left"/>
      <w:pPr>
        <w:ind w:left="2320" w:hanging="560"/>
      </w:pPr>
      <w:rPr>
        <w:rFonts w:hint="default"/>
        <w:lang w:val="en-US" w:eastAsia="en-US" w:bidi="ar-SA"/>
      </w:rPr>
    </w:lvl>
  </w:abstractNum>
  <w:abstractNum w:abstractNumId="3">
    <w:nsid w:val="24DB9AA9"/>
    <w:multiLevelType w:val="hybridMultilevel"/>
    <w:tmpl w:val="00000000"/>
    <w:lvl w:ilvl="0">
      <w:start w:val="1"/>
      <w:numFmt w:val="decimal"/>
      <w:lvlText w:val="[%1]"/>
      <w:lvlJc w:val="left"/>
      <w:pPr>
        <w:ind w:left="725" w:hanging="420"/>
        <w:jc w:val="left"/>
      </w:pPr>
      <w:rPr>
        <w:rFonts w:ascii="宋体" w:eastAsia="宋体" w:hAnsi="宋体" w:cs="宋体" w:hint="default"/>
        <w:b w:val="0"/>
        <w:bCs w:val="0"/>
        <w:i w:val="0"/>
        <w:iCs w:val="0"/>
        <w:w w:val="100"/>
        <w:sz w:val="21"/>
        <w:szCs w:val="21"/>
        <w:lang w:val="en-US" w:eastAsia="en-US" w:bidi="ar-SA"/>
      </w:rPr>
    </w:lvl>
    <w:lvl w:ilvl="1">
      <w:start w:val="0"/>
      <w:numFmt w:val="bullet"/>
      <w:lvlText w:val="•"/>
      <w:lvlJc w:val="left"/>
      <w:pPr>
        <w:ind w:left="1602" w:hanging="420"/>
      </w:pPr>
      <w:rPr>
        <w:rFonts w:hint="default"/>
        <w:lang w:val="en-US" w:eastAsia="en-US" w:bidi="ar-SA"/>
      </w:rPr>
    </w:lvl>
    <w:lvl w:ilvl="2">
      <w:start w:val="0"/>
      <w:numFmt w:val="bullet"/>
      <w:lvlText w:val="•"/>
      <w:lvlJc w:val="left"/>
      <w:pPr>
        <w:ind w:left="2485" w:hanging="420"/>
      </w:pPr>
      <w:rPr>
        <w:rFonts w:hint="default"/>
        <w:lang w:val="en-US" w:eastAsia="en-US" w:bidi="ar-SA"/>
      </w:rPr>
    </w:lvl>
    <w:lvl w:ilvl="3">
      <w:start w:val="0"/>
      <w:numFmt w:val="bullet"/>
      <w:lvlText w:val="•"/>
      <w:lvlJc w:val="left"/>
      <w:pPr>
        <w:ind w:left="3367" w:hanging="420"/>
      </w:pPr>
      <w:rPr>
        <w:rFonts w:hint="default"/>
        <w:lang w:val="en-US" w:eastAsia="en-US" w:bidi="ar-SA"/>
      </w:rPr>
    </w:lvl>
    <w:lvl w:ilvl="4">
      <w:start w:val="0"/>
      <w:numFmt w:val="bullet"/>
      <w:lvlText w:val="•"/>
      <w:lvlJc w:val="left"/>
      <w:pPr>
        <w:ind w:left="4250" w:hanging="420"/>
      </w:pPr>
      <w:rPr>
        <w:rFonts w:hint="default"/>
        <w:lang w:val="en-US" w:eastAsia="en-US" w:bidi="ar-SA"/>
      </w:rPr>
    </w:lvl>
    <w:lvl w:ilvl="5">
      <w:start w:val="0"/>
      <w:numFmt w:val="bullet"/>
      <w:lvlText w:val="•"/>
      <w:lvlJc w:val="left"/>
      <w:pPr>
        <w:ind w:left="5133" w:hanging="420"/>
      </w:pPr>
      <w:rPr>
        <w:rFonts w:hint="default"/>
        <w:lang w:val="en-US" w:eastAsia="en-US" w:bidi="ar-SA"/>
      </w:rPr>
    </w:lvl>
    <w:lvl w:ilvl="6">
      <w:start w:val="0"/>
      <w:numFmt w:val="bullet"/>
      <w:lvlText w:val="•"/>
      <w:lvlJc w:val="left"/>
      <w:pPr>
        <w:ind w:left="6015" w:hanging="420"/>
      </w:pPr>
      <w:rPr>
        <w:rFonts w:hint="default"/>
        <w:lang w:val="en-US" w:eastAsia="en-US" w:bidi="ar-SA"/>
      </w:rPr>
    </w:lvl>
    <w:lvl w:ilvl="7">
      <w:start w:val="0"/>
      <w:numFmt w:val="bullet"/>
      <w:lvlText w:val="•"/>
      <w:lvlJc w:val="left"/>
      <w:pPr>
        <w:ind w:left="6898" w:hanging="420"/>
      </w:pPr>
      <w:rPr>
        <w:rFonts w:hint="default"/>
        <w:lang w:val="en-US" w:eastAsia="en-US" w:bidi="ar-SA"/>
      </w:rPr>
    </w:lvl>
    <w:lvl w:ilvl="8">
      <w:start w:val="0"/>
      <w:numFmt w:val="bullet"/>
      <w:lvlText w:val="•"/>
      <w:lvlJc w:val="left"/>
      <w:pPr>
        <w:ind w:left="7780" w:hanging="420"/>
      </w:pPr>
      <w:rPr>
        <w:rFonts w:hint="default"/>
        <w:lang w:val="en-US" w:eastAsia="en-US" w:bidi="ar-SA"/>
      </w:rPr>
    </w:lvl>
  </w:abstractNum>
  <w:abstractNum w:abstractNumId="4">
    <w:nsid w:val="276BCE9E"/>
    <w:multiLevelType w:val="hybridMultilevel"/>
    <w:tmpl w:val="00000000"/>
    <w:lvl w:ilvl="0">
      <w:start w:val="4"/>
      <w:numFmt w:val="decimal"/>
      <w:lvlText w:val="%1"/>
      <w:lvlJc w:val="left"/>
      <w:pPr>
        <w:ind w:left="865" w:hanging="560"/>
        <w:jc w:val="left"/>
      </w:pPr>
      <w:rPr>
        <w:rFonts w:hint="default"/>
        <w:lang w:val="en-US" w:eastAsia="en-US" w:bidi="ar-SA"/>
      </w:rPr>
    </w:lvl>
    <w:lvl w:ilvl="1">
      <w:start w:val="1"/>
      <w:numFmt w:val="decimal"/>
      <w:lvlText w:val="%1.%2"/>
      <w:lvlJc w:val="left"/>
      <w:pPr>
        <w:ind w:left="865" w:hanging="560"/>
        <w:jc w:val="left"/>
      </w:pPr>
      <w:rPr>
        <w:rFonts w:ascii="黑体" w:eastAsia="黑体" w:hAnsi="黑体" w:cs="黑体" w:hint="default"/>
        <w:b w:val="0"/>
        <w:bCs w:val="0"/>
        <w:i w:val="0"/>
        <w:iCs w:val="0"/>
        <w:w w:val="100"/>
        <w:sz w:val="28"/>
        <w:szCs w:val="28"/>
        <w:lang w:val="en-US" w:eastAsia="en-US" w:bidi="ar-SA"/>
      </w:rPr>
    </w:lvl>
    <w:lvl w:ilvl="2">
      <w:start w:val="1"/>
      <w:numFmt w:val="decimal"/>
      <w:lvlText w:val="(%3)"/>
      <w:lvlJc w:val="left"/>
      <w:pPr>
        <w:ind w:left="305" w:hanging="361"/>
        <w:jc w:val="right"/>
      </w:pPr>
      <w:rPr>
        <w:rFonts w:ascii="宋体" w:eastAsia="宋体" w:hAnsi="宋体" w:cs="宋体" w:hint="default"/>
        <w:b w:val="0"/>
        <w:bCs w:val="0"/>
        <w:i w:val="0"/>
        <w:iCs w:val="0"/>
        <w:w w:val="100"/>
        <w:sz w:val="22"/>
        <w:szCs w:val="22"/>
        <w:lang w:val="en-US" w:eastAsia="en-US" w:bidi="ar-SA"/>
      </w:rPr>
    </w:lvl>
    <w:lvl w:ilvl="3">
      <w:start w:val="0"/>
      <w:numFmt w:val="bullet"/>
      <w:lvlText w:val="•"/>
      <w:lvlJc w:val="left"/>
      <w:pPr>
        <w:ind w:left="2790" w:hanging="361"/>
      </w:pPr>
      <w:rPr>
        <w:rFonts w:hint="default"/>
        <w:lang w:val="en-US" w:eastAsia="en-US" w:bidi="ar-SA"/>
      </w:rPr>
    </w:lvl>
    <w:lvl w:ilvl="4">
      <w:start w:val="0"/>
      <w:numFmt w:val="bullet"/>
      <w:lvlText w:val="•"/>
      <w:lvlJc w:val="left"/>
      <w:pPr>
        <w:ind w:left="3755" w:hanging="361"/>
      </w:pPr>
      <w:rPr>
        <w:rFonts w:hint="default"/>
        <w:lang w:val="en-US" w:eastAsia="en-US" w:bidi="ar-SA"/>
      </w:rPr>
    </w:lvl>
    <w:lvl w:ilvl="5">
      <w:start w:val="0"/>
      <w:numFmt w:val="bullet"/>
      <w:lvlText w:val="•"/>
      <w:lvlJc w:val="left"/>
      <w:pPr>
        <w:ind w:left="4720" w:hanging="361"/>
      </w:pPr>
      <w:rPr>
        <w:rFonts w:hint="default"/>
        <w:lang w:val="en-US" w:eastAsia="en-US" w:bidi="ar-SA"/>
      </w:rPr>
    </w:lvl>
    <w:lvl w:ilvl="6">
      <w:start w:val="0"/>
      <w:numFmt w:val="bullet"/>
      <w:lvlText w:val="•"/>
      <w:lvlJc w:val="left"/>
      <w:pPr>
        <w:ind w:left="5685" w:hanging="361"/>
      </w:pPr>
      <w:rPr>
        <w:rFonts w:hint="default"/>
        <w:lang w:val="en-US" w:eastAsia="en-US" w:bidi="ar-SA"/>
      </w:rPr>
    </w:lvl>
    <w:lvl w:ilvl="7">
      <w:start w:val="0"/>
      <w:numFmt w:val="bullet"/>
      <w:lvlText w:val="•"/>
      <w:lvlJc w:val="left"/>
      <w:pPr>
        <w:ind w:left="6650" w:hanging="361"/>
      </w:pPr>
      <w:rPr>
        <w:rFonts w:hint="default"/>
        <w:lang w:val="en-US" w:eastAsia="en-US" w:bidi="ar-SA"/>
      </w:rPr>
    </w:lvl>
    <w:lvl w:ilvl="8">
      <w:start w:val="0"/>
      <w:numFmt w:val="bullet"/>
      <w:lvlText w:val="•"/>
      <w:lvlJc w:val="left"/>
      <w:pPr>
        <w:ind w:left="7615" w:hanging="361"/>
      </w:pPr>
      <w:rPr>
        <w:rFonts w:hint="default"/>
        <w:lang w:val="en-US" w:eastAsia="en-US" w:bidi="ar-SA"/>
      </w:rPr>
    </w:lvl>
  </w:abstractNum>
  <w:abstractNum w:abstractNumId="5">
    <w:nsid w:val="3AFFD202"/>
    <w:multiLevelType w:val="hybridMultilevel"/>
    <w:tmpl w:val="00000000"/>
    <w:lvl w:ilvl="0">
      <w:start w:val="3"/>
      <w:numFmt w:val="decimal"/>
      <w:lvlText w:val="（%1）"/>
      <w:lvlJc w:val="left"/>
      <w:pPr>
        <w:ind w:left="305" w:hanging="601"/>
        <w:jc w:val="left"/>
      </w:pPr>
      <w:rPr>
        <w:rFonts w:ascii="宋体" w:eastAsia="宋体" w:hAnsi="宋体" w:cs="宋体" w:hint="default"/>
        <w:b w:val="0"/>
        <w:bCs w:val="0"/>
        <w:i w:val="0"/>
        <w:iCs w:val="0"/>
        <w:w w:val="100"/>
        <w:sz w:val="22"/>
        <w:szCs w:val="22"/>
        <w:lang w:val="en-US" w:eastAsia="en-US" w:bidi="ar-SA"/>
      </w:rPr>
    </w:lvl>
    <w:lvl w:ilvl="1">
      <w:start w:val="0"/>
      <w:numFmt w:val="bullet"/>
      <w:lvlText w:val="•"/>
      <w:lvlJc w:val="left"/>
      <w:pPr>
        <w:ind w:left="1224" w:hanging="601"/>
      </w:pPr>
      <w:rPr>
        <w:rFonts w:hint="default"/>
        <w:lang w:val="en-US" w:eastAsia="en-US" w:bidi="ar-SA"/>
      </w:rPr>
    </w:lvl>
    <w:lvl w:ilvl="2">
      <w:start w:val="0"/>
      <w:numFmt w:val="bullet"/>
      <w:lvlText w:val="•"/>
      <w:lvlJc w:val="left"/>
      <w:pPr>
        <w:ind w:left="2149" w:hanging="601"/>
      </w:pPr>
      <w:rPr>
        <w:rFonts w:hint="default"/>
        <w:lang w:val="en-US" w:eastAsia="en-US" w:bidi="ar-SA"/>
      </w:rPr>
    </w:lvl>
    <w:lvl w:ilvl="3">
      <w:start w:val="0"/>
      <w:numFmt w:val="bullet"/>
      <w:lvlText w:val="•"/>
      <w:lvlJc w:val="left"/>
      <w:pPr>
        <w:ind w:left="3073" w:hanging="601"/>
      </w:pPr>
      <w:rPr>
        <w:rFonts w:hint="default"/>
        <w:lang w:val="en-US" w:eastAsia="en-US" w:bidi="ar-SA"/>
      </w:rPr>
    </w:lvl>
    <w:lvl w:ilvl="4">
      <w:start w:val="0"/>
      <w:numFmt w:val="bullet"/>
      <w:lvlText w:val="•"/>
      <w:lvlJc w:val="left"/>
      <w:pPr>
        <w:ind w:left="3998" w:hanging="601"/>
      </w:pPr>
      <w:rPr>
        <w:rFonts w:hint="default"/>
        <w:lang w:val="en-US" w:eastAsia="en-US" w:bidi="ar-SA"/>
      </w:rPr>
    </w:lvl>
    <w:lvl w:ilvl="5">
      <w:start w:val="0"/>
      <w:numFmt w:val="bullet"/>
      <w:lvlText w:val="•"/>
      <w:lvlJc w:val="left"/>
      <w:pPr>
        <w:ind w:left="4923" w:hanging="601"/>
      </w:pPr>
      <w:rPr>
        <w:rFonts w:hint="default"/>
        <w:lang w:val="en-US" w:eastAsia="en-US" w:bidi="ar-SA"/>
      </w:rPr>
    </w:lvl>
    <w:lvl w:ilvl="6">
      <w:start w:val="0"/>
      <w:numFmt w:val="bullet"/>
      <w:lvlText w:val="•"/>
      <w:lvlJc w:val="left"/>
      <w:pPr>
        <w:ind w:left="5847" w:hanging="601"/>
      </w:pPr>
      <w:rPr>
        <w:rFonts w:hint="default"/>
        <w:lang w:val="en-US" w:eastAsia="en-US" w:bidi="ar-SA"/>
      </w:rPr>
    </w:lvl>
    <w:lvl w:ilvl="7">
      <w:start w:val="0"/>
      <w:numFmt w:val="bullet"/>
      <w:lvlText w:val="•"/>
      <w:lvlJc w:val="left"/>
      <w:pPr>
        <w:ind w:left="6772" w:hanging="601"/>
      </w:pPr>
      <w:rPr>
        <w:rFonts w:hint="default"/>
        <w:lang w:val="en-US" w:eastAsia="en-US" w:bidi="ar-SA"/>
      </w:rPr>
    </w:lvl>
    <w:lvl w:ilvl="8">
      <w:start w:val="0"/>
      <w:numFmt w:val="bullet"/>
      <w:lvlText w:val="•"/>
      <w:lvlJc w:val="left"/>
      <w:pPr>
        <w:ind w:left="7696" w:hanging="601"/>
      </w:pPr>
      <w:rPr>
        <w:rFonts w:hint="default"/>
        <w:lang w:val="en-US" w:eastAsia="en-US" w:bidi="ar-SA"/>
      </w:rPr>
    </w:lvl>
  </w:abstractNum>
  <w:abstractNum w:abstractNumId="6">
    <w:nsid w:val="3DF4315C"/>
    <w:multiLevelType w:val="hybridMultilevel"/>
    <w:tmpl w:val="00000000"/>
    <w:lvl w:ilvl="0">
      <w:start w:val="1"/>
      <w:numFmt w:val="decimal"/>
      <w:lvlText w:val="%1"/>
      <w:lvlJc w:val="left"/>
      <w:pPr>
        <w:ind w:left="970" w:hanging="455"/>
        <w:jc w:val="left"/>
      </w:pPr>
      <w:rPr>
        <w:rFonts w:hint="default"/>
        <w:lang w:val="en-US" w:eastAsia="en-US" w:bidi="ar-SA"/>
      </w:rPr>
    </w:lvl>
    <w:lvl w:ilvl="1">
      <w:start w:val="1"/>
      <w:numFmt w:val="decimal"/>
      <w:lvlText w:val="%1.%2"/>
      <w:lvlJc w:val="left"/>
      <w:pPr>
        <w:ind w:left="970" w:hanging="455"/>
        <w:jc w:val="left"/>
      </w:pPr>
      <w:rPr>
        <w:rFonts w:ascii="宋体" w:eastAsia="宋体" w:hAnsi="宋体" w:cs="宋体" w:hint="default"/>
        <w:b w:val="0"/>
        <w:bCs w:val="0"/>
        <w:i w:val="0"/>
        <w:iCs w:val="0"/>
        <w:w w:val="100"/>
        <w:sz w:val="24"/>
        <w:szCs w:val="24"/>
        <w:lang w:val="en-US" w:eastAsia="en-US" w:bidi="ar-SA"/>
      </w:rPr>
    </w:lvl>
    <w:lvl w:ilvl="2">
      <w:start w:val="0"/>
      <w:numFmt w:val="bullet"/>
      <w:lvlText w:val="•"/>
      <w:lvlJc w:val="left"/>
      <w:pPr>
        <w:ind w:left="2693" w:hanging="455"/>
      </w:pPr>
      <w:rPr>
        <w:rFonts w:hint="default"/>
        <w:lang w:val="en-US" w:eastAsia="en-US" w:bidi="ar-SA"/>
      </w:rPr>
    </w:lvl>
    <w:lvl w:ilvl="3">
      <w:start w:val="0"/>
      <w:numFmt w:val="bullet"/>
      <w:lvlText w:val="•"/>
      <w:lvlJc w:val="left"/>
      <w:pPr>
        <w:ind w:left="3549" w:hanging="455"/>
      </w:pPr>
      <w:rPr>
        <w:rFonts w:hint="default"/>
        <w:lang w:val="en-US" w:eastAsia="en-US" w:bidi="ar-SA"/>
      </w:rPr>
    </w:lvl>
    <w:lvl w:ilvl="4">
      <w:start w:val="0"/>
      <w:numFmt w:val="bullet"/>
      <w:lvlText w:val="•"/>
      <w:lvlJc w:val="left"/>
      <w:pPr>
        <w:ind w:left="4406" w:hanging="455"/>
      </w:pPr>
      <w:rPr>
        <w:rFonts w:hint="default"/>
        <w:lang w:val="en-US" w:eastAsia="en-US" w:bidi="ar-SA"/>
      </w:rPr>
    </w:lvl>
    <w:lvl w:ilvl="5">
      <w:start w:val="0"/>
      <w:numFmt w:val="bullet"/>
      <w:lvlText w:val="•"/>
      <w:lvlJc w:val="left"/>
      <w:pPr>
        <w:ind w:left="5263" w:hanging="455"/>
      </w:pPr>
      <w:rPr>
        <w:rFonts w:hint="default"/>
        <w:lang w:val="en-US" w:eastAsia="en-US" w:bidi="ar-SA"/>
      </w:rPr>
    </w:lvl>
    <w:lvl w:ilvl="6">
      <w:start w:val="0"/>
      <w:numFmt w:val="bullet"/>
      <w:lvlText w:val="•"/>
      <w:lvlJc w:val="left"/>
      <w:pPr>
        <w:ind w:left="6119" w:hanging="455"/>
      </w:pPr>
      <w:rPr>
        <w:rFonts w:hint="default"/>
        <w:lang w:val="en-US" w:eastAsia="en-US" w:bidi="ar-SA"/>
      </w:rPr>
    </w:lvl>
    <w:lvl w:ilvl="7">
      <w:start w:val="0"/>
      <w:numFmt w:val="bullet"/>
      <w:lvlText w:val="•"/>
      <w:lvlJc w:val="left"/>
      <w:pPr>
        <w:ind w:left="6976" w:hanging="455"/>
      </w:pPr>
      <w:rPr>
        <w:rFonts w:hint="default"/>
        <w:lang w:val="en-US" w:eastAsia="en-US" w:bidi="ar-SA"/>
      </w:rPr>
    </w:lvl>
    <w:lvl w:ilvl="8">
      <w:start w:val="0"/>
      <w:numFmt w:val="bullet"/>
      <w:lvlText w:val="•"/>
      <w:lvlJc w:val="left"/>
      <w:pPr>
        <w:ind w:left="7832" w:hanging="455"/>
      </w:pPr>
      <w:rPr>
        <w:rFonts w:hint="default"/>
        <w:lang w:val="en-US" w:eastAsia="en-US" w:bidi="ar-SA"/>
      </w:rPr>
    </w:lvl>
  </w:abstractNum>
  <w:abstractNum w:abstractNumId="7">
    <w:nsid w:val="3EA98BE9"/>
    <w:multiLevelType w:val="hybridMultilevel"/>
    <w:tmpl w:val="00000000"/>
    <w:lvl w:ilvl="0">
      <w:start w:val="4"/>
      <w:numFmt w:val="decimal"/>
      <w:lvlText w:val="%1"/>
      <w:lvlJc w:val="left"/>
      <w:pPr>
        <w:ind w:left="970" w:hanging="455"/>
        <w:jc w:val="left"/>
      </w:pPr>
      <w:rPr>
        <w:rFonts w:hint="default"/>
        <w:lang w:val="en-US" w:eastAsia="en-US" w:bidi="ar-SA"/>
      </w:rPr>
    </w:lvl>
    <w:lvl w:ilvl="1">
      <w:start w:val="1"/>
      <w:numFmt w:val="decimal"/>
      <w:lvlText w:val="%1.%2"/>
      <w:lvlJc w:val="left"/>
      <w:pPr>
        <w:ind w:left="970" w:hanging="455"/>
        <w:jc w:val="left"/>
      </w:pPr>
      <w:rPr>
        <w:rFonts w:ascii="宋体" w:eastAsia="宋体" w:hAnsi="宋体" w:cs="宋体" w:hint="default"/>
        <w:b w:val="0"/>
        <w:bCs w:val="0"/>
        <w:i w:val="0"/>
        <w:iCs w:val="0"/>
        <w:w w:val="100"/>
        <w:sz w:val="24"/>
        <w:szCs w:val="24"/>
        <w:lang w:val="en-US" w:eastAsia="en-US" w:bidi="ar-SA"/>
      </w:rPr>
    </w:lvl>
    <w:lvl w:ilvl="2">
      <w:start w:val="0"/>
      <w:numFmt w:val="bullet"/>
      <w:lvlText w:val="•"/>
      <w:lvlJc w:val="left"/>
      <w:pPr>
        <w:ind w:left="2693" w:hanging="455"/>
      </w:pPr>
      <w:rPr>
        <w:rFonts w:hint="default"/>
        <w:lang w:val="en-US" w:eastAsia="en-US" w:bidi="ar-SA"/>
      </w:rPr>
    </w:lvl>
    <w:lvl w:ilvl="3">
      <w:start w:val="0"/>
      <w:numFmt w:val="bullet"/>
      <w:lvlText w:val="•"/>
      <w:lvlJc w:val="left"/>
      <w:pPr>
        <w:ind w:left="3549" w:hanging="455"/>
      </w:pPr>
      <w:rPr>
        <w:rFonts w:hint="default"/>
        <w:lang w:val="en-US" w:eastAsia="en-US" w:bidi="ar-SA"/>
      </w:rPr>
    </w:lvl>
    <w:lvl w:ilvl="4">
      <w:start w:val="0"/>
      <w:numFmt w:val="bullet"/>
      <w:lvlText w:val="•"/>
      <w:lvlJc w:val="left"/>
      <w:pPr>
        <w:ind w:left="4406" w:hanging="455"/>
      </w:pPr>
      <w:rPr>
        <w:rFonts w:hint="default"/>
        <w:lang w:val="en-US" w:eastAsia="en-US" w:bidi="ar-SA"/>
      </w:rPr>
    </w:lvl>
    <w:lvl w:ilvl="5">
      <w:start w:val="0"/>
      <w:numFmt w:val="bullet"/>
      <w:lvlText w:val="•"/>
      <w:lvlJc w:val="left"/>
      <w:pPr>
        <w:ind w:left="5263" w:hanging="455"/>
      </w:pPr>
      <w:rPr>
        <w:rFonts w:hint="default"/>
        <w:lang w:val="en-US" w:eastAsia="en-US" w:bidi="ar-SA"/>
      </w:rPr>
    </w:lvl>
    <w:lvl w:ilvl="6">
      <w:start w:val="0"/>
      <w:numFmt w:val="bullet"/>
      <w:lvlText w:val="•"/>
      <w:lvlJc w:val="left"/>
      <w:pPr>
        <w:ind w:left="6119" w:hanging="455"/>
      </w:pPr>
      <w:rPr>
        <w:rFonts w:hint="default"/>
        <w:lang w:val="en-US" w:eastAsia="en-US" w:bidi="ar-SA"/>
      </w:rPr>
    </w:lvl>
    <w:lvl w:ilvl="7">
      <w:start w:val="0"/>
      <w:numFmt w:val="bullet"/>
      <w:lvlText w:val="•"/>
      <w:lvlJc w:val="left"/>
      <w:pPr>
        <w:ind w:left="6976" w:hanging="455"/>
      </w:pPr>
      <w:rPr>
        <w:rFonts w:hint="default"/>
        <w:lang w:val="en-US" w:eastAsia="en-US" w:bidi="ar-SA"/>
      </w:rPr>
    </w:lvl>
    <w:lvl w:ilvl="8">
      <w:start w:val="0"/>
      <w:numFmt w:val="bullet"/>
      <w:lvlText w:val="•"/>
      <w:lvlJc w:val="left"/>
      <w:pPr>
        <w:ind w:left="7832" w:hanging="455"/>
      </w:pPr>
      <w:rPr>
        <w:rFonts w:hint="default"/>
        <w:lang w:val="en-US" w:eastAsia="en-US" w:bidi="ar-SA"/>
      </w:rPr>
    </w:lvl>
  </w:abstractNum>
  <w:abstractNum w:abstractNumId="8">
    <w:nsid w:val="46F1F1D4"/>
    <w:multiLevelType w:val="hybridMultilevel"/>
    <w:tmpl w:val="00000000"/>
    <w:lvl w:ilvl="0">
      <w:start w:val="3"/>
      <w:numFmt w:val="decimal"/>
      <w:lvlText w:val="%1"/>
      <w:lvlJc w:val="left"/>
      <w:pPr>
        <w:ind w:left="970" w:hanging="455"/>
        <w:jc w:val="left"/>
      </w:pPr>
      <w:rPr>
        <w:rFonts w:hint="default"/>
        <w:lang w:val="en-US" w:eastAsia="en-US" w:bidi="ar-SA"/>
      </w:rPr>
    </w:lvl>
    <w:lvl w:ilvl="1">
      <w:start w:val="1"/>
      <w:numFmt w:val="decimal"/>
      <w:lvlText w:val="%1.%2"/>
      <w:lvlJc w:val="left"/>
      <w:pPr>
        <w:ind w:left="970" w:hanging="455"/>
        <w:jc w:val="left"/>
      </w:pPr>
      <w:rPr>
        <w:rFonts w:ascii="宋体" w:eastAsia="宋体" w:hAnsi="宋体" w:cs="宋体" w:hint="default"/>
        <w:b w:val="0"/>
        <w:bCs w:val="0"/>
        <w:i w:val="0"/>
        <w:iCs w:val="0"/>
        <w:w w:val="100"/>
        <w:sz w:val="24"/>
        <w:szCs w:val="24"/>
        <w:lang w:val="en-US" w:eastAsia="en-US" w:bidi="ar-SA"/>
      </w:rPr>
    </w:lvl>
    <w:lvl w:ilvl="2">
      <w:start w:val="0"/>
      <w:numFmt w:val="bullet"/>
      <w:lvlText w:val="•"/>
      <w:lvlJc w:val="left"/>
      <w:pPr>
        <w:ind w:left="2693" w:hanging="455"/>
      </w:pPr>
      <w:rPr>
        <w:rFonts w:hint="default"/>
        <w:lang w:val="en-US" w:eastAsia="en-US" w:bidi="ar-SA"/>
      </w:rPr>
    </w:lvl>
    <w:lvl w:ilvl="3">
      <w:start w:val="0"/>
      <w:numFmt w:val="bullet"/>
      <w:lvlText w:val="•"/>
      <w:lvlJc w:val="left"/>
      <w:pPr>
        <w:ind w:left="3549" w:hanging="455"/>
      </w:pPr>
      <w:rPr>
        <w:rFonts w:hint="default"/>
        <w:lang w:val="en-US" w:eastAsia="en-US" w:bidi="ar-SA"/>
      </w:rPr>
    </w:lvl>
    <w:lvl w:ilvl="4">
      <w:start w:val="0"/>
      <w:numFmt w:val="bullet"/>
      <w:lvlText w:val="•"/>
      <w:lvlJc w:val="left"/>
      <w:pPr>
        <w:ind w:left="4406" w:hanging="455"/>
      </w:pPr>
      <w:rPr>
        <w:rFonts w:hint="default"/>
        <w:lang w:val="en-US" w:eastAsia="en-US" w:bidi="ar-SA"/>
      </w:rPr>
    </w:lvl>
    <w:lvl w:ilvl="5">
      <w:start w:val="0"/>
      <w:numFmt w:val="bullet"/>
      <w:lvlText w:val="•"/>
      <w:lvlJc w:val="left"/>
      <w:pPr>
        <w:ind w:left="5263" w:hanging="455"/>
      </w:pPr>
      <w:rPr>
        <w:rFonts w:hint="default"/>
        <w:lang w:val="en-US" w:eastAsia="en-US" w:bidi="ar-SA"/>
      </w:rPr>
    </w:lvl>
    <w:lvl w:ilvl="6">
      <w:start w:val="0"/>
      <w:numFmt w:val="bullet"/>
      <w:lvlText w:val="•"/>
      <w:lvlJc w:val="left"/>
      <w:pPr>
        <w:ind w:left="6119" w:hanging="455"/>
      </w:pPr>
      <w:rPr>
        <w:rFonts w:hint="default"/>
        <w:lang w:val="en-US" w:eastAsia="en-US" w:bidi="ar-SA"/>
      </w:rPr>
    </w:lvl>
    <w:lvl w:ilvl="7">
      <w:start w:val="0"/>
      <w:numFmt w:val="bullet"/>
      <w:lvlText w:val="•"/>
      <w:lvlJc w:val="left"/>
      <w:pPr>
        <w:ind w:left="6976" w:hanging="455"/>
      </w:pPr>
      <w:rPr>
        <w:rFonts w:hint="default"/>
        <w:lang w:val="en-US" w:eastAsia="en-US" w:bidi="ar-SA"/>
      </w:rPr>
    </w:lvl>
    <w:lvl w:ilvl="8">
      <w:start w:val="0"/>
      <w:numFmt w:val="bullet"/>
      <w:lvlText w:val="•"/>
      <w:lvlJc w:val="left"/>
      <w:pPr>
        <w:ind w:left="7832" w:hanging="455"/>
      </w:pPr>
      <w:rPr>
        <w:rFonts w:hint="default"/>
        <w:lang w:val="en-US" w:eastAsia="en-US" w:bidi="ar-SA"/>
      </w:rPr>
    </w:lvl>
  </w:abstractNum>
  <w:abstractNum w:abstractNumId="9">
    <w:nsid w:val="478A47BE"/>
    <w:multiLevelType w:val="hybridMultilevel"/>
    <w:tmpl w:val="00000000"/>
    <w:lvl w:ilvl="0">
      <w:start w:val="3"/>
      <w:numFmt w:val="decimal"/>
      <w:lvlText w:val="%1"/>
      <w:lvlJc w:val="left"/>
      <w:pPr>
        <w:ind w:left="865" w:hanging="560"/>
        <w:jc w:val="left"/>
      </w:pPr>
      <w:rPr>
        <w:rFonts w:hint="default"/>
        <w:lang w:val="en-US" w:eastAsia="en-US" w:bidi="ar-SA"/>
      </w:rPr>
    </w:lvl>
    <w:lvl w:ilvl="1">
      <w:start w:val="1"/>
      <w:numFmt w:val="decimal"/>
      <w:lvlText w:val="%1.%2"/>
      <w:lvlJc w:val="left"/>
      <w:pPr>
        <w:ind w:left="865" w:hanging="560"/>
        <w:jc w:val="left"/>
      </w:pPr>
      <w:rPr>
        <w:rFonts w:ascii="黑体" w:eastAsia="黑体" w:hAnsi="黑体" w:cs="黑体" w:hint="default"/>
        <w:b w:val="0"/>
        <w:bCs w:val="0"/>
        <w:i w:val="0"/>
        <w:iCs w:val="0"/>
        <w:w w:val="100"/>
        <w:sz w:val="28"/>
        <w:szCs w:val="28"/>
        <w:lang w:val="en-US" w:eastAsia="en-US" w:bidi="ar-SA"/>
      </w:rPr>
    </w:lvl>
    <w:lvl w:ilvl="2">
      <w:start w:val="0"/>
      <w:numFmt w:val="bullet"/>
      <w:lvlText w:val="•"/>
      <w:lvlJc w:val="left"/>
      <w:pPr>
        <w:ind w:left="2597" w:hanging="560"/>
      </w:pPr>
      <w:rPr>
        <w:rFonts w:hint="default"/>
        <w:lang w:val="en-US" w:eastAsia="en-US" w:bidi="ar-SA"/>
      </w:rPr>
    </w:lvl>
    <w:lvl w:ilvl="3">
      <w:start w:val="0"/>
      <w:numFmt w:val="bullet"/>
      <w:lvlText w:val="•"/>
      <w:lvlJc w:val="left"/>
      <w:pPr>
        <w:ind w:left="3465" w:hanging="560"/>
      </w:pPr>
      <w:rPr>
        <w:rFonts w:hint="default"/>
        <w:lang w:val="en-US" w:eastAsia="en-US" w:bidi="ar-SA"/>
      </w:rPr>
    </w:lvl>
    <w:lvl w:ilvl="4">
      <w:start w:val="0"/>
      <w:numFmt w:val="bullet"/>
      <w:lvlText w:val="•"/>
      <w:lvlJc w:val="left"/>
      <w:pPr>
        <w:ind w:left="4334" w:hanging="560"/>
      </w:pPr>
      <w:rPr>
        <w:rFonts w:hint="default"/>
        <w:lang w:val="en-US" w:eastAsia="en-US" w:bidi="ar-SA"/>
      </w:rPr>
    </w:lvl>
    <w:lvl w:ilvl="5">
      <w:start w:val="0"/>
      <w:numFmt w:val="bullet"/>
      <w:lvlText w:val="•"/>
      <w:lvlJc w:val="left"/>
      <w:pPr>
        <w:ind w:left="5203" w:hanging="560"/>
      </w:pPr>
      <w:rPr>
        <w:rFonts w:hint="default"/>
        <w:lang w:val="en-US" w:eastAsia="en-US" w:bidi="ar-SA"/>
      </w:rPr>
    </w:lvl>
    <w:lvl w:ilvl="6">
      <w:start w:val="0"/>
      <w:numFmt w:val="bullet"/>
      <w:lvlText w:val="•"/>
      <w:lvlJc w:val="left"/>
      <w:pPr>
        <w:ind w:left="6071" w:hanging="560"/>
      </w:pPr>
      <w:rPr>
        <w:rFonts w:hint="default"/>
        <w:lang w:val="en-US" w:eastAsia="en-US" w:bidi="ar-SA"/>
      </w:rPr>
    </w:lvl>
    <w:lvl w:ilvl="7">
      <w:start w:val="0"/>
      <w:numFmt w:val="bullet"/>
      <w:lvlText w:val="•"/>
      <w:lvlJc w:val="left"/>
      <w:pPr>
        <w:ind w:left="6940" w:hanging="560"/>
      </w:pPr>
      <w:rPr>
        <w:rFonts w:hint="default"/>
        <w:lang w:val="en-US" w:eastAsia="en-US" w:bidi="ar-SA"/>
      </w:rPr>
    </w:lvl>
    <w:lvl w:ilvl="8">
      <w:start w:val="0"/>
      <w:numFmt w:val="bullet"/>
      <w:lvlText w:val="•"/>
      <w:lvlJc w:val="left"/>
      <w:pPr>
        <w:ind w:left="7808" w:hanging="560"/>
      </w:pPr>
      <w:rPr>
        <w:rFonts w:hint="default"/>
        <w:lang w:val="en-US" w:eastAsia="en-US" w:bidi="ar-SA"/>
      </w:rPr>
    </w:lvl>
  </w:abstractNum>
  <w:abstractNum w:abstractNumId="10">
    <w:nsid w:val="54C1125D"/>
    <w:multiLevelType w:val="hybridMultilevel"/>
    <w:tmpl w:val="00000000"/>
    <w:lvl w:ilvl="0">
      <w:start w:val="2"/>
      <w:numFmt w:val="decimal"/>
      <w:lvlText w:val="%1"/>
      <w:lvlJc w:val="left"/>
      <w:pPr>
        <w:ind w:left="970" w:hanging="455"/>
        <w:jc w:val="left"/>
      </w:pPr>
      <w:rPr>
        <w:rFonts w:hint="default"/>
        <w:lang w:val="en-US" w:eastAsia="en-US" w:bidi="ar-SA"/>
      </w:rPr>
    </w:lvl>
    <w:lvl w:ilvl="1">
      <w:start w:val="1"/>
      <w:numFmt w:val="decimal"/>
      <w:lvlText w:val="%1.%2"/>
      <w:lvlJc w:val="left"/>
      <w:pPr>
        <w:ind w:left="970" w:hanging="455"/>
        <w:jc w:val="left"/>
      </w:pPr>
      <w:rPr>
        <w:rFonts w:ascii="宋体" w:eastAsia="宋体" w:hAnsi="宋体" w:cs="宋体" w:hint="default"/>
        <w:b w:val="0"/>
        <w:bCs w:val="0"/>
        <w:i w:val="0"/>
        <w:iCs w:val="0"/>
        <w:w w:val="100"/>
        <w:sz w:val="24"/>
        <w:szCs w:val="24"/>
        <w:lang w:val="en-US" w:eastAsia="en-US" w:bidi="ar-SA"/>
      </w:rPr>
    </w:lvl>
    <w:lvl w:ilvl="2">
      <w:start w:val="0"/>
      <w:numFmt w:val="bullet"/>
      <w:lvlText w:val="•"/>
      <w:lvlJc w:val="left"/>
      <w:pPr>
        <w:ind w:left="2693" w:hanging="455"/>
      </w:pPr>
      <w:rPr>
        <w:rFonts w:hint="default"/>
        <w:lang w:val="en-US" w:eastAsia="en-US" w:bidi="ar-SA"/>
      </w:rPr>
    </w:lvl>
    <w:lvl w:ilvl="3">
      <w:start w:val="0"/>
      <w:numFmt w:val="bullet"/>
      <w:lvlText w:val="•"/>
      <w:lvlJc w:val="left"/>
      <w:pPr>
        <w:ind w:left="3549" w:hanging="455"/>
      </w:pPr>
      <w:rPr>
        <w:rFonts w:hint="default"/>
        <w:lang w:val="en-US" w:eastAsia="en-US" w:bidi="ar-SA"/>
      </w:rPr>
    </w:lvl>
    <w:lvl w:ilvl="4">
      <w:start w:val="0"/>
      <w:numFmt w:val="bullet"/>
      <w:lvlText w:val="•"/>
      <w:lvlJc w:val="left"/>
      <w:pPr>
        <w:ind w:left="4406" w:hanging="455"/>
      </w:pPr>
      <w:rPr>
        <w:rFonts w:hint="default"/>
        <w:lang w:val="en-US" w:eastAsia="en-US" w:bidi="ar-SA"/>
      </w:rPr>
    </w:lvl>
    <w:lvl w:ilvl="5">
      <w:start w:val="0"/>
      <w:numFmt w:val="bullet"/>
      <w:lvlText w:val="•"/>
      <w:lvlJc w:val="left"/>
      <w:pPr>
        <w:ind w:left="5263" w:hanging="455"/>
      </w:pPr>
      <w:rPr>
        <w:rFonts w:hint="default"/>
        <w:lang w:val="en-US" w:eastAsia="en-US" w:bidi="ar-SA"/>
      </w:rPr>
    </w:lvl>
    <w:lvl w:ilvl="6">
      <w:start w:val="0"/>
      <w:numFmt w:val="bullet"/>
      <w:lvlText w:val="•"/>
      <w:lvlJc w:val="left"/>
      <w:pPr>
        <w:ind w:left="6119" w:hanging="455"/>
      </w:pPr>
      <w:rPr>
        <w:rFonts w:hint="default"/>
        <w:lang w:val="en-US" w:eastAsia="en-US" w:bidi="ar-SA"/>
      </w:rPr>
    </w:lvl>
    <w:lvl w:ilvl="7">
      <w:start w:val="0"/>
      <w:numFmt w:val="bullet"/>
      <w:lvlText w:val="•"/>
      <w:lvlJc w:val="left"/>
      <w:pPr>
        <w:ind w:left="6976" w:hanging="455"/>
      </w:pPr>
      <w:rPr>
        <w:rFonts w:hint="default"/>
        <w:lang w:val="en-US" w:eastAsia="en-US" w:bidi="ar-SA"/>
      </w:rPr>
    </w:lvl>
    <w:lvl w:ilvl="8">
      <w:start w:val="0"/>
      <w:numFmt w:val="bullet"/>
      <w:lvlText w:val="•"/>
      <w:lvlJc w:val="left"/>
      <w:pPr>
        <w:ind w:left="7832" w:hanging="455"/>
      </w:pPr>
      <w:rPr>
        <w:rFonts w:hint="default"/>
        <w:lang w:val="en-US" w:eastAsia="en-US" w:bidi="ar-SA"/>
      </w:rPr>
    </w:lvl>
  </w:abstractNum>
  <w:abstractNum w:abstractNumId="11">
    <w:nsid w:val="5BBB1030"/>
    <w:multiLevelType w:val="hybridMultilevel"/>
    <w:tmpl w:val="00000000"/>
    <w:lvl w:ilvl="0">
      <w:start w:val="1"/>
      <w:numFmt w:val="decimal"/>
      <w:lvlText w:val="（%1）"/>
      <w:lvlJc w:val="left"/>
      <w:pPr>
        <w:ind w:left="1386" w:hanging="601"/>
        <w:jc w:val="left"/>
      </w:pPr>
      <w:rPr>
        <w:rFonts w:ascii="宋体" w:eastAsia="宋体" w:hAnsi="宋体" w:cs="宋体" w:hint="default"/>
        <w:b w:val="0"/>
        <w:bCs w:val="0"/>
        <w:i w:val="0"/>
        <w:iCs w:val="0"/>
        <w:color w:val="1A1A1A"/>
        <w:spacing w:val="-19"/>
        <w:w w:val="100"/>
        <w:sz w:val="22"/>
        <w:szCs w:val="22"/>
        <w:lang w:val="en-US" w:eastAsia="en-US" w:bidi="ar-SA"/>
      </w:rPr>
    </w:lvl>
    <w:lvl w:ilvl="1">
      <w:start w:val="0"/>
      <w:numFmt w:val="bullet"/>
      <w:lvlText w:val="•"/>
      <w:lvlJc w:val="left"/>
      <w:pPr>
        <w:ind w:left="2196" w:hanging="601"/>
      </w:pPr>
      <w:rPr>
        <w:rFonts w:hint="default"/>
        <w:lang w:val="en-US" w:eastAsia="en-US" w:bidi="ar-SA"/>
      </w:rPr>
    </w:lvl>
    <w:lvl w:ilvl="2">
      <w:start w:val="0"/>
      <w:numFmt w:val="bullet"/>
      <w:lvlText w:val="•"/>
      <w:lvlJc w:val="left"/>
      <w:pPr>
        <w:ind w:left="3013" w:hanging="601"/>
      </w:pPr>
      <w:rPr>
        <w:rFonts w:hint="default"/>
        <w:lang w:val="en-US" w:eastAsia="en-US" w:bidi="ar-SA"/>
      </w:rPr>
    </w:lvl>
    <w:lvl w:ilvl="3">
      <w:start w:val="0"/>
      <w:numFmt w:val="bullet"/>
      <w:lvlText w:val="•"/>
      <w:lvlJc w:val="left"/>
      <w:pPr>
        <w:ind w:left="3829" w:hanging="601"/>
      </w:pPr>
      <w:rPr>
        <w:rFonts w:hint="default"/>
        <w:lang w:val="en-US" w:eastAsia="en-US" w:bidi="ar-SA"/>
      </w:rPr>
    </w:lvl>
    <w:lvl w:ilvl="4">
      <w:start w:val="0"/>
      <w:numFmt w:val="bullet"/>
      <w:lvlText w:val="•"/>
      <w:lvlJc w:val="left"/>
      <w:pPr>
        <w:ind w:left="4646" w:hanging="601"/>
      </w:pPr>
      <w:rPr>
        <w:rFonts w:hint="default"/>
        <w:lang w:val="en-US" w:eastAsia="en-US" w:bidi="ar-SA"/>
      </w:rPr>
    </w:lvl>
    <w:lvl w:ilvl="5">
      <w:start w:val="0"/>
      <w:numFmt w:val="bullet"/>
      <w:lvlText w:val="•"/>
      <w:lvlJc w:val="left"/>
      <w:pPr>
        <w:ind w:left="5463" w:hanging="601"/>
      </w:pPr>
      <w:rPr>
        <w:rFonts w:hint="default"/>
        <w:lang w:val="en-US" w:eastAsia="en-US" w:bidi="ar-SA"/>
      </w:rPr>
    </w:lvl>
    <w:lvl w:ilvl="6">
      <w:start w:val="0"/>
      <w:numFmt w:val="bullet"/>
      <w:lvlText w:val="•"/>
      <w:lvlJc w:val="left"/>
      <w:pPr>
        <w:ind w:left="6279" w:hanging="601"/>
      </w:pPr>
      <w:rPr>
        <w:rFonts w:hint="default"/>
        <w:lang w:val="en-US" w:eastAsia="en-US" w:bidi="ar-SA"/>
      </w:rPr>
    </w:lvl>
    <w:lvl w:ilvl="7">
      <w:start w:val="0"/>
      <w:numFmt w:val="bullet"/>
      <w:lvlText w:val="•"/>
      <w:lvlJc w:val="left"/>
      <w:pPr>
        <w:ind w:left="7096" w:hanging="601"/>
      </w:pPr>
      <w:rPr>
        <w:rFonts w:hint="default"/>
        <w:lang w:val="en-US" w:eastAsia="en-US" w:bidi="ar-SA"/>
      </w:rPr>
    </w:lvl>
    <w:lvl w:ilvl="8">
      <w:start w:val="0"/>
      <w:numFmt w:val="bullet"/>
      <w:lvlText w:val="•"/>
      <w:lvlJc w:val="left"/>
      <w:pPr>
        <w:ind w:left="7912" w:hanging="601"/>
      </w:pPr>
      <w:rPr>
        <w:rFonts w:hint="default"/>
        <w:lang w:val="en-US" w:eastAsia="en-US" w:bidi="ar-SA"/>
      </w:rPr>
    </w:lvl>
  </w:abstractNum>
  <w:abstractNum w:abstractNumId="12">
    <w:nsid w:val="7B7F9020"/>
    <w:multiLevelType w:val="hybridMultilevel"/>
    <w:tmpl w:val="00000000"/>
    <w:lvl w:ilvl="0">
      <w:start w:val="2"/>
      <w:numFmt w:val="decimal"/>
      <w:lvlText w:val="%1"/>
      <w:lvlJc w:val="left"/>
      <w:pPr>
        <w:ind w:left="865" w:hanging="560"/>
        <w:jc w:val="left"/>
      </w:pPr>
      <w:rPr>
        <w:rFonts w:hint="default"/>
        <w:lang w:val="en-US" w:eastAsia="en-US" w:bidi="ar-SA"/>
      </w:rPr>
    </w:lvl>
    <w:lvl w:ilvl="1">
      <w:start w:val="1"/>
      <w:numFmt w:val="decimal"/>
      <w:lvlText w:val="%1.%2"/>
      <w:lvlJc w:val="left"/>
      <w:pPr>
        <w:ind w:left="865" w:hanging="560"/>
        <w:jc w:val="left"/>
      </w:pPr>
      <w:rPr>
        <w:rFonts w:ascii="黑体" w:eastAsia="黑体" w:hAnsi="黑体" w:cs="黑体" w:hint="default"/>
        <w:b w:val="0"/>
        <w:bCs w:val="0"/>
        <w:i w:val="0"/>
        <w:iCs w:val="0"/>
        <w:w w:val="100"/>
        <w:sz w:val="28"/>
        <w:szCs w:val="28"/>
        <w:lang w:val="en-US" w:eastAsia="en-US" w:bidi="ar-SA"/>
      </w:rPr>
    </w:lvl>
    <w:lvl w:ilvl="2">
      <w:start w:val="0"/>
      <w:numFmt w:val="bullet"/>
      <w:lvlText w:val="•"/>
      <w:lvlJc w:val="left"/>
      <w:pPr>
        <w:ind w:left="2597" w:hanging="560"/>
      </w:pPr>
      <w:rPr>
        <w:rFonts w:hint="default"/>
        <w:lang w:val="en-US" w:eastAsia="en-US" w:bidi="ar-SA"/>
      </w:rPr>
    </w:lvl>
    <w:lvl w:ilvl="3">
      <w:start w:val="0"/>
      <w:numFmt w:val="bullet"/>
      <w:lvlText w:val="•"/>
      <w:lvlJc w:val="left"/>
      <w:pPr>
        <w:ind w:left="3465" w:hanging="560"/>
      </w:pPr>
      <w:rPr>
        <w:rFonts w:hint="default"/>
        <w:lang w:val="en-US" w:eastAsia="en-US" w:bidi="ar-SA"/>
      </w:rPr>
    </w:lvl>
    <w:lvl w:ilvl="4">
      <w:start w:val="0"/>
      <w:numFmt w:val="bullet"/>
      <w:lvlText w:val="•"/>
      <w:lvlJc w:val="left"/>
      <w:pPr>
        <w:ind w:left="4334" w:hanging="560"/>
      </w:pPr>
      <w:rPr>
        <w:rFonts w:hint="default"/>
        <w:lang w:val="en-US" w:eastAsia="en-US" w:bidi="ar-SA"/>
      </w:rPr>
    </w:lvl>
    <w:lvl w:ilvl="5">
      <w:start w:val="0"/>
      <w:numFmt w:val="bullet"/>
      <w:lvlText w:val="•"/>
      <w:lvlJc w:val="left"/>
      <w:pPr>
        <w:ind w:left="5203" w:hanging="560"/>
      </w:pPr>
      <w:rPr>
        <w:rFonts w:hint="default"/>
        <w:lang w:val="en-US" w:eastAsia="en-US" w:bidi="ar-SA"/>
      </w:rPr>
    </w:lvl>
    <w:lvl w:ilvl="6">
      <w:start w:val="0"/>
      <w:numFmt w:val="bullet"/>
      <w:lvlText w:val="•"/>
      <w:lvlJc w:val="left"/>
      <w:pPr>
        <w:ind w:left="6071" w:hanging="560"/>
      </w:pPr>
      <w:rPr>
        <w:rFonts w:hint="default"/>
        <w:lang w:val="en-US" w:eastAsia="en-US" w:bidi="ar-SA"/>
      </w:rPr>
    </w:lvl>
    <w:lvl w:ilvl="7">
      <w:start w:val="0"/>
      <w:numFmt w:val="bullet"/>
      <w:lvlText w:val="•"/>
      <w:lvlJc w:val="left"/>
      <w:pPr>
        <w:ind w:left="6940" w:hanging="560"/>
      </w:pPr>
      <w:rPr>
        <w:rFonts w:hint="default"/>
        <w:lang w:val="en-US" w:eastAsia="en-US" w:bidi="ar-SA"/>
      </w:rPr>
    </w:lvl>
    <w:lvl w:ilvl="8">
      <w:start w:val="0"/>
      <w:numFmt w:val="bullet"/>
      <w:lvlText w:val="•"/>
      <w:lvlJc w:val="left"/>
      <w:pPr>
        <w:ind w:left="7808" w:hanging="560"/>
      </w:pPr>
      <w:rPr>
        <w:rFonts w:hint="default"/>
        <w:lang w:val="en-US" w:eastAsia="en-US" w:bidi="ar-SA"/>
      </w:rPr>
    </w:lvl>
  </w:abstractNum>
  <w:num w:numId="1">
    <w:abstractNumId w:val="3"/>
  </w:num>
  <w:num w:numId="2">
    <w:abstractNumId w:val="11"/>
  </w:num>
  <w:num w:numId="3">
    <w:abstractNumId w:val="4"/>
  </w:num>
  <w:num w:numId="4">
    <w:abstractNumId w:val="9"/>
  </w:num>
  <w:num w:numId="5">
    <w:abstractNumId w:val="12"/>
  </w:num>
  <w:num w:numId="6">
    <w:abstractNumId w:val="0"/>
  </w:num>
  <w:num w:numId="7">
    <w:abstractNumId w:val="2"/>
  </w:num>
  <w:num w:numId="8">
    <w:abstractNumId w:val="7"/>
  </w:num>
  <w:num w:numId="9">
    <w:abstractNumId w:val="8"/>
  </w:num>
  <w:num w:numId="10">
    <w:abstractNumId w:val="10"/>
  </w:num>
  <w:num w:numId="11">
    <w:abstractNumId w:val="6"/>
  </w:num>
  <w:num w:numId="12">
    <w:abstractNumId w:val="1"/>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ind w:right="148"/>
      <w:jc w:val="center"/>
      <w:outlineLvl w:val="0"/>
    </w:pPr>
    <w:rPr>
      <w:rFonts w:ascii="黑体" w:eastAsia="黑体" w:hAnsi="黑体" w:cs="黑体"/>
      <w:sz w:val="32"/>
      <w:szCs w:val="32"/>
      <w:lang w:val="en-US" w:eastAsia="en-US" w:bidi="ar-SA"/>
    </w:rPr>
  </w:style>
  <w:style w:type="paragraph" w:styleId="Heading2">
    <w:name w:val="heading 2"/>
    <w:basedOn w:val="Normal"/>
    <w:uiPriority w:val="1"/>
    <w:qFormat/>
    <w:pPr>
      <w:spacing w:before="42"/>
      <w:ind w:left="865" w:hanging="560"/>
      <w:outlineLvl w:val="1"/>
    </w:pPr>
    <w:rPr>
      <w:rFonts w:ascii="黑体" w:eastAsia="黑体" w:hAnsi="黑体" w:cs="黑体"/>
      <w:sz w:val="28"/>
      <w:szCs w:val="28"/>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72"/>
      <w:ind w:right="146"/>
      <w:jc w:val="center"/>
    </w:pPr>
    <w:rPr>
      <w:rFonts w:ascii="黑体" w:eastAsia="黑体" w:hAnsi="黑体" w:cs="黑体"/>
      <w:sz w:val="28"/>
      <w:szCs w:val="28"/>
      <w:lang w:val="en-US" w:eastAsia="en-US" w:bidi="ar-SA"/>
    </w:rPr>
  </w:style>
  <w:style w:type="paragraph" w:styleId="TOC2">
    <w:name w:val="toc 2"/>
    <w:basedOn w:val="Normal"/>
    <w:uiPriority w:val="1"/>
    <w:qFormat/>
    <w:pPr>
      <w:spacing w:before="161"/>
      <w:ind w:right="146"/>
      <w:jc w:val="center"/>
    </w:pPr>
    <w:rPr>
      <w:rFonts w:ascii="黑体" w:eastAsia="黑体" w:hAnsi="黑体" w:cs="黑体"/>
      <w:b/>
      <w:bCs/>
      <w:i/>
      <w:iCs/>
      <w:lang w:val="en-US" w:eastAsia="en-US" w:bidi="ar-SA"/>
    </w:rPr>
  </w:style>
  <w:style w:type="paragraph" w:styleId="TOC3">
    <w:name w:val="toc 3"/>
    <w:basedOn w:val="Normal"/>
    <w:uiPriority w:val="1"/>
    <w:qFormat/>
    <w:pPr>
      <w:spacing w:before="93"/>
      <w:ind w:left="970" w:hanging="455"/>
    </w:pPr>
    <w:rPr>
      <w:rFonts w:ascii="宋体" w:eastAsia="宋体" w:hAnsi="宋体" w:cs="宋体"/>
      <w:i/>
      <w:iCs/>
      <w:sz w:val="24"/>
      <w:szCs w:val="24"/>
      <w:lang w:val="en-US" w:eastAsia="en-US" w:bidi="ar-SA"/>
    </w:rPr>
  </w:style>
  <w:style w:type="paragraph" w:styleId="TOC4">
    <w:name w:val="toc 4"/>
    <w:basedOn w:val="Normal"/>
    <w:uiPriority w:val="1"/>
    <w:qFormat/>
    <w:pPr>
      <w:spacing w:before="92"/>
      <w:ind w:left="970" w:hanging="455"/>
    </w:pPr>
    <w:rPr>
      <w:rFonts w:ascii="宋体" w:eastAsia="宋体" w:hAnsi="宋体" w:cs="宋体"/>
      <w:b/>
      <w:bCs/>
      <w:i/>
      <w:iCs/>
      <w:lang w:val="en-US" w:eastAsia="en-US" w:bidi="ar-SA"/>
    </w:rPr>
  </w:style>
  <w:style w:type="paragraph" w:styleId="BodyText">
    <w:name w:val="Body Text"/>
    <w:basedOn w:val="Normal"/>
    <w:uiPriority w:val="1"/>
    <w:qFormat/>
    <w:rPr>
      <w:rFonts w:ascii="宋体" w:eastAsia="宋体" w:hAnsi="宋体" w:cs="宋体"/>
      <w:sz w:val="24"/>
      <w:szCs w:val="24"/>
      <w:lang w:val="en-US" w:eastAsia="en-US" w:bidi="ar-SA"/>
    </w:rPr>
  </w:style>
  <w:style w:type="paragraph" w:styleId="ListParagraph">
    <w:name w:val="List Paragraph"/>
    <w:basedOn w:val="Normal"/>
    <w:uiPriority w:val="1"/>
    <w:qFormat/>
    <w:pPr>
      <w:ind w:left="305" w:hanging="560"/>
    </w:pPr>
    <w:rPr>
      <w:rFonts w:ascii="宋体" w:eastAsia="宋体" w:hAnsi="宋体" w:cs="宋体"/>
      <w:lang w:val="en-US" w:eastAsia="en-US" w:bidi="ar-SA"/>
    </w:rPr>
  </w:style>
  <w:style w:type="paragraph" w:customStyle="1" w:styleId="TableParagraph">
    <w:name w:val="Table Paragraph"/>
    <w:basedOn w:val="Normal"/>
    <w:uiPriority w:val="1"/>
    <w:qFormat/>
    <w:pPr>
      <w:spacing w:before="110"/>
      <w:jc w:val="center"/>
    </w:pPr>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yperlink" Target="https://d.book118.com/357021041064006045"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2024-02-29T01:11:50Z</dcterms:created>
  <dcterms:modified xsi:type="dcterms:W3CDTF">2024-02-29T01:11:50Z</dcterms:modified>
</cp:coreProperties>
</file>