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DF71E2" w:rsidP="00DF71E2" w14:paraId="2B2A20A0" w14:textId="77777777">
      <w:pPr>
        <w:spacing w:before="48" w:beforeLines="20" w:after="360" w:afterLines="150" w:line="360" w:lineRule="auto"/>
        <w:jc w:val="center"/>
        <w:rPr>
          <w:rFonts w:ascii="华文中宋" w:eastAsia="华文中宋" w:hAnsi="华文中宋"/>
          <w:b/>
          <w:sz w:val="30"/>
        </w:rPr>
      </w:pPr>
      <w:r w:rsidRPr="00DF71E2">
        <w:rPr>
          <w:rFonts w:ascii="华文中宋" w:eastAsia="华文中宋" w:hAnsi="华文中宋"/>
          <w:b/>
          <w:sz w:val="30"/>
        </w:rPr>
        <w:t>2024</w:t>
      </w:r>
      <w:r w:rsidRPr="00DF71E2">
        <w:rPr>
          <w:rFonts w:ascii="华文中宋" w:eastAsia="华文中宋" w:hAnsi="华文中宋"/>
          <w:b/>
          <w:sz w:val="30"/>
        </w:rPr>
        <w:t>年沈阳燃气有限公司人员招聘考试题库及答案解析</w:t>
      </w:r>
    </w:p>
    <w:p w:rsidR="00A77B3E" w14:paraId="0A32765E" w14:textId="77777777">
      <w:pPr>
        <w:spacing w:after="260" w:line="360" w:lineRule="auto"/>
        <w:jc w:val="center"/>
        <w:rPr>
          <w:sz w:val="21"/>
        </w:rPr>
      </w:pPr>
      <w:r>
        <w:rPr>
          <w:rFonts w:eastAsia="微软雅黑"/>
        </w:rPr>
        <w:t>毕业院校：</w:t>
      </w:r>
      <w:r>
        <w:rPr>
          <w:rFonts w:eastAsia="微软雅黑"/>
        </w:rPr>
        <w:t xml:space="preserve">__________ </w:t>
      </w:r>
      <w:r>
        <w:rPr>
          <w:rFonts w:eastAsia="微软雅黑"/>
        </w:rPr>
        <w:t>姓名：</w:t>
      </w:r>
      <w:r>
        <w:rPr>
          <w:rFonts w:eastAsia="微软雅黑"/>
        </w:rPr>
        <w:t xml:space="preserve">__________ </w:t>
      </w:r>
      <w:r>
        <w:rPr>
          <w:rFonts w:eastAsia="微软雅黑"/>
        </w:rPr>
        <w:t>考场：</w:t>
      </w:r>
      <w:r>
        <w:rPr>
          <w:rFonts w:eastAsia="微软雅黑"/>
        </w:rPr>
        <w:t xml:space="preserve">__________ </w:t>
      </w:r>
      <w:r>
        <w:rPr>
          <w:rFonts w:eastAsia="微软雅黑"/>
        </w:rPr>
        <w:t>考号：</w:t>
      </w:r>
      <w:r>
        <w:rPr>
          <w:rFonts w:eastAsia="微软雅黑"/>
        </w:rPr>
        <w:t>__________</w:t>
      </w:r>
    </w:p>
    <w:p w:rsidR="00A77B3E" w14:paraId="4CF39843" w14:textId="77777777">
      <w:pPr>
        <w:spacing w:after="260" w:line="360" w:lineRule="auto"/>
      </w:pPr>
      <w:r>
        <w:rPr>
          <w:rFonts w:eastAsia="微软雅黑" w:cs="宋体"/>
          <w:b/>
        </w:rPr>
        <w:t>一、言语理解与表达</w:t>
      </w:r>
    </w:p>
    <w:p w:rsidR="003F588C" w14:paraId="3825314F"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color w:val="0000FF"/>
          <w:szCs w:val="18"/>
        </w:rPr>
        <w:t>1</w:t>
      </w:r>
      <w:r w:rsidRPr="003F588C">
        <w:rPr>
          <w:rFonts w:ascii="Times New Roman" w:eastAsia="微软雅黑" w:hAnsi="微软雅黑" w:cs="宋体" w:hint="eastAsia"/>
          <w:color w:val="0000FF"/>
          <w:szCs w:val="18"/>
        </w:rPr>
        <w:t>．</w:t>
      </w:r>
      <w:r w:rsidRPr="003F588C">
        <w:rPr>
          <w:rFonts w:ascii="Times New Roman" w:eastAsia="微软雅黑" w:hAnsi="微软雅黑" w:cs="宋体" w:hint="eastAsia"/>
          <w:szCs w:val="18"/>
        </w:rPr>
        <w:t>要想走近历史的“原生态”，首要的是要深入发掘一手的可靠的原始史料，要真正读懂历史文本，在史学分析时也应重视解释、追寻研究对象的原貌。尽可能地不作</w:t>
      </w:r>
      <w:r w:rsidRPr="003F588C">
        <w:rPr>
          <w:rFonts w:ascii="Times New Roman" w:eastAsia="微软雅黑" w:hAnsi="微软雅黑" w:cs="宋体" w:hint="eastAsia"/>
          <w:szCs w:val="18"/>
        </w:rPr>
        <w:t>________</w:t>
      </w:r>
      <w:r w:rsidRPr="003F588C">
        <w:rPr>
          <w:rFonts w:ascii="Times New Roman" w:eastAsia="微软雅黑" w:hAnsi="微软雅黑" w:cs="宋体" w:hint="eastAsia"/>
          <w:szCs w:val="18"/>
        </w:rPr>
        <w:t>的评论，不带任何偏见。</w:t>
      </w:r>
    </w:p>
    <w:p w:rsidR="003F588C" w14:paraId="05E17DEB"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填入划横线部分最恰当的一项是</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w:t>
      </w:r>
    </w:p>
    <w:p w:rsidR="003F588C" w14:paraId="36A84829"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A</w:t>
      </w:r>
      <w:r w:rsidRPr="003F588C">
        <w:rPr>
          <w:rFonts w:ascii="Times New Roman" w:eastAsia="微软雅黑" w:hAnsi="微软雅黑" w:cs="宋体" w:hint="eastAsia"/>
          <w:szCs w:val="18"/>
        </w:rPr>
        <w:t>、陈词滥调</w:t>
      </w:r>
    </w:p>
    <w:p w:rsidR="003F588C" w14:paraId="70E511AD"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B</w:t>
      </w:r>
      <w:r w:rsidRPr="003F588C">
        <w:rPr>
          <w:rFonts w:ascii="Times New Roman" w:eastAsia="微软雅黑" w:hAnsi="微软雅黑" w:cs="宋体" w:hint="eastAsia"/>
          <w:szCs w:val="18"/>
        </w:rPr>
        <w:t>、夸夸其谈</w:t>
      </w:r>
    </w:p>
    <w:p w:rsidR="003F588C" w14:paraId="1EE41050"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C</w:t>
      </w:r>
      <w:r w:rsidRPr="003F588C">
        <w:rPr>
          <w:rFonts w:ascii="Times New Roman" w:eastAsia="微软雅黑" w:hAnsi="微软雅黑" w:cs="宋体" w:hint="eastAsia"/>
          <w:szCs w:val="18"/>
        </w:rPr>
        <w:t>、不着边际</w:t>
      </w:r>
    </w:p>
    <w:p w:rsidR="003F588C" w14:paraId="2E528748"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D</w:t>
      </w:r>
      <w:r w:rsidRPr="003F588C">
        <w:rPr>
          <w:rFonts w:ascii="Times New Roman" w:eastAsia="微软雅黑" w:hAnsi="微软雅黑" w:cs="宋体" w:hint="eastAsia"/>
          <w:szCs w:val="18"/>
        </w:rPr>
        <w:t>、信口开河</w:t>
      </w:r>
    </w:p>
    <w:p w:rsidR="003F588C" w14:paraId="2F1CB42B"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b/>
          <w:color w:val="228B22"/>
          <w:szCs w:val="18"/>
        </w:rPr>
        <w:t>答案：</w:t>
      </w:r>
      <w:r w:rsidRPr="003F588C">
        <w:rPr>
          <w:rFonts w:ascii="Times New Roman" w:eastAsia="微软雅黑" w:hAnsi="微软雅黑" w:cs="宋体" w:hint="eastAsia"/>
          <w:szCs w:val="18"/>
        </w:rPr>
        <w:t>C</w:t>
      </w:r>
    </w:p>
    <w:p w:rsidR="003F588C" w14:paraId="7B389562" w14:textId="77777777">
      <w:pPr>
        <w:pStyle w:val="NormalWeb"/>
        <w:widowControl/>
        <w:spacing w:beforeAutospacing="0" w:after="260" w:afterAutospacing="0" w:line="360" w:lineRule="auto"/>
        <w:rPr>
          <w:rFonts w:ascii="微软雅黑" w:eastAsia="微软雅黑" w:hAnsi="微软雅黑" w:cs="微软雅黑"/>
          <w:b/>
          <w:color w:val="4066F4"/>
          <w:szCs w:val="18"/>
        </w:rPr>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3F588C">
        <w:rPr>
          <w:rFonts w:ascii="Times New Roman" w:eastAsia="微软雅黑" w:hAnsi="微软雅黑" w:cs="宋体" w:hint="eastAsia"/>
          <w:color w:val="228B22"/>
          <w:szCs w:val="18"/>
        </w:rPr>
        <w:t>解析：</w:t>
      </w:r>
      <w:r w:rsidRPr="003F588C">
        <w:rPr>
          <w:rFonts w:ascii="Times New Roman" w:eastAsia="微软雅黑" w:hAnsi="微软雅黑" w:cs="宋体" w:hint="eastAsia"/>
          <w:szCs w:val="18"/>
        </w:rPr>
        <w:t>A</w:t>
      </w:r>
      <w:r w:rsidRPr="003F588C">
        <w:rPr>
          <w:rFonts w:ascii="Times New Roman" w:eastAsia="微软雅黑" w:hAnsi="微软雅黑" w:cs="宋体" w:hint="eastAsia"/>
          <w:szCs w:val="18"/>
        </w:rPr>
        <w:t>项错误，“陈词滥调”是指陈腐、空泛的论调，一般作宾语，不能作定语，而题中需要填入一个定语。</w:t>
      </w:r>
      <w:r w:rsidRPr="003F588C">
        <w:rPr>
          <w:rFonts w:ascii="Times New Roman" w:eastAsia="微软雅黑" w:hAnsi="微软雅黑" w:cs="宋体" w:hint="eastAsia"/>
          <w:szCs w:val="18"/>
        </w:rPr>
        <w:t>BD</w:t>
      </w:r>
      <w:r w:rsidRPr="003F588C">
        <w:rPr>
          <w:rFonts w:ascii="Times New Roman" w:eastAsia="微软雅黑" w:hAnsi="微软雅黑" w:cs="宋体" w:hint="eastAsia"/>
          <w:szCs w:val="18"/>
        </w:rPr>
        <w:t>两项错误，“夸夸其谈”是指说话或写文章浮夸、不切实际。“信口开河”是指不加思索地随口乱说。历史研究难免存在推测的成分，也难以完全杜绝偏见，而“夸夸其谈”和“信口开河”都是完全可以避免的。不着边际是形容空泛、不切实际，符合题意。故选</w:t>
      </w:r>
      <w:r w:rsidRPr="003F588C">
        <w:rPr>
          <w:rFonts w:ascii="Times New Roman" w:eastAsia="微软雅黑" w:hAnsi="微软雅黑" w:cs="宋体" w:hint="eastAsia"/>
          <w:szCs w:val="18"/>
        </w:rPr>
        <w:t>C</w:t>
      </w:r>
      <w:r w:rsidRPr="003F588C">
        <w:rPr>
          <w:rFonts w:ascii="Times New Roman" w:eastAsia="微软雅黑" w:hAnsi="微软雅黑" w:cs="宋体" w:hint="eastAsia"/>
          <w:szCs w:val="18"/>
        </w:rPr>
        <w:t>。</w:t>
      </w:r>
    </w:p>
    <w:p w:rsidR="003F588C" w14:paraId="44C7C08B"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color w:val="0000FF"/>
          <w:szCs w:val="18"/>
        </w:rPr>
        <w:t>2</w:t>
      </w:r>
      <w:r w:rsidRPr="003F588C">
        <w:rPr>
          <w:rFonts w:ascii="Times New Roman" w:eastAsia="微软雅黑" w:hAnsi="微软雅黑" w:cs="宋体" w:hint="eastAsia"/>
          <w:color w:val="0000FF"/>
          <w:szCs w:val="18"/>
        </w:rPr>
        <w:t>．</w:t>
      </w:r>
      <w:r w:rsidRPr="003F588C">
        <w:rPr>
          <w:rFonts w:ascii="Times New Roman" w:eastAsia="微软雅黑" w:hAnsi="微软雅黑" w:cs="宋体" w:hint="eastAsia"/>
          <w:szCs w:val="18"/>
        </w:rPr>
        <w:t>一直以来，公立医院</w:t>
      </w:r>
      <w:r w:rsidRPr="003F588C">
        <w:rPr>
          <w:rFonts w:ascii="Times New Roman" w:eastAsia="微软雅黑" w:hAnsi="微软雅黑" w:cs="宋体" w:hint="eastAsia"/>
          <w:szCs w:val="18"/>
        </w:rPr>
        <w:t>15%</w:t>
      </w:r>
      <w:r w:rsidRPr="003F588C">
        <w:rPr>
          <w:rFonts w:ascii="Times New Roman" w:eastAsia="微软雅黑" w:hAnsi="微软雅黑" w:cs="宋体" w:hint="eastAsia"/>
          <w:szCs w:val="18"/>
        </w:rPr>
        <w:t>“药品加成”政策已被固化为“以药养医”顽疾，甚至滋生出“以药腐医”乱象，取消“以药养医”成为新医改的重头戏之一。国务院出台的“十二五”医改意见已经明确，取消药品加成政策之后，将公立医院补偿由服务收费、药品加成收入和财政补助三个渠道改为服务收费和财政补助两个渠道。作者认为“以药养医”是</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w:t>
      </w:r>
    </w:p>
    <w:p w:rsidR="003F588C" w14:paraId="3E327CB9"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A</w:t>
      </w:r>
      <w:r w:rsidRPr="003F588C">
        <w:rPr>
          <w:rFonts w:ascii="Times New Roman" w:eastAsia="微软雅黑" w:hAnsi="微软雅黑" w:cs="宋体" w:hint="eastAsia"/>
          <w:szCs w:val="18"/>
        </w:rPr>
        <w:t>、政府对公立医院的特殊政策</w:t>
      </w:r>
    </w:p>
    <w:p w:rsidR="003F588C" w14:paraId="31E79216"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B</w:t>
      </w:r>
      <w:r w:rsidRPr="003F588C">
        <w:rPr>
          <w:rFonts w:ascii="Times New Roman" w:eastAsia="微软雅黑" w:hAnsi="微软雅黑" w:cs="宋体" w:hint="eastAsia"/>
          <w:szCs w:val="18"/>
        </w:rPr>
        <w:t>、医疗价格虚高的原因</w:t>
      </w:r>
    </w:p>
    <w:p w:rsidR="003F588C" w14:paraId="1BDC1768"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C</w:t>
      </w:r>
      <w:r w:rsidRPr="003F588C">
        <w:rPr>
          <w:rFonts w:ascii="Times New Roman" w:eastAsia="微软雅黑" w:hAnsi="微软雅黑" w:cs="宋体" w:hint="eastAsia"/>
          <w:szCs w:val="18"/>
        </w:rPr>
        <w:t>、“以药腐医”的原因</w:t>
      </w:r>
    </w:p>
    <w:p w:rsidR="003F588C" w14:paraId="657ABA36"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D</w:t>
      </w:r>
      <w:r w:rsidRPr="003F588C">
        <w:rPr>
          <w:rFonts w:ascii="Times New Roman" w:eastAsia="微软雅黑" w:hAnsi="微软雅黑" w:cs="宋体" w:hint="eastAsia"/>
          <w:szCs w:val="18"/>
        </w:rPr>
        <w:t>、“药品加成”政策的结果</w:t>
      </w:r>
    </w:p>
    <w:p w:rsidR="003F588C" w14:paraId="304683C2"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b/>
          <w:color w:val="228B22"/>
          <w:szCs w:val="18"/>
        </w:rPr>
        <w:t>答案：</w:t>
      </w:r>
      <w:r w:rsidRPr="003F588C">
        <w:rPr>
          <w:rFonts w:ascii="Times New Roman" w:eastAsia="微软雅黑" w:hAnsi="微软雅黑" w:cs="宋体" w:hint="eastAsia"/>
          <w:szCs w:val="18"/>
        </w:rPr>
        <w:t>D</w:t>
      </w:r>
    </w:p>
    <w:p w:rsidR="003F588C" w14:paraId="1C3970A9" w14:textId="77777777">
      <w:pPr>
        <w:pStyle w:val="NormalWeb"/>
        <w:widowControl/>
        <w:spacing w:beforeAutospacing="0" w:after="260" w:afterAutospacing="0" w:line="360" w:lineRule="auto"/>
        <w:rPr>
          <w:rFonts w:ascii="微软雅黑" w:eastAsia="微软雅黑" w:hAnsi="微软雅黑" w:cs="微软雅黑"/>
          <w:b/>
          <w:color w:val="4066F4"/>
          <w:szCs w:val="18"/>
        </w:rPr>
      </w:pPr>
      <w:r w:rsidRPr="003F588C">
        <w:rPr>
          <w:rFonts w:ascii="Times New Roman" w:eastAsia="微软雅黑" w:hAnsi="微软雅黑" w:cs="宋体" w:hint="eastAsia"/>
          <w:color w:val="228B22"/>
          <w:szCs w:val="18"/>
        </w:rPr>
        <w:t>解析：</w:t>
      </w:r>
      <w:r w:rsidRPr="003F588C">
        <w:rPr>
          <w:rFonts w:ascii="Times New Roman" w:eastAsia="微软雅黑" w:hAnsi="微软雅黑" w:cs="宋体" w:hint="eastAsia"/>
          <w:szCs w:val="18"/>
        </w:rPr>
        <w:t>第一步，分析文段。找到作者论述“以药养医”的关键信息。文段开始便强调“公立医院</w:t>
      </w:r>
      <w:r w:rsidRPr="003F588C">
        <w:rPr>
          <w:rFonts w:ascii="Times New Roman" w:eastAsia="微软雅黑" w:hAnsi="微软雅黑" w:cs="宋体" w:hint="eastAsia"/>
          <w:szCs w:val="18"/>
        </w:rPr>
        <w:t>15%</w:t>
      </w:r>
      <w:r w:rsidRPr="003F588C">
        <w:rPr>
          <w:rFonts w:ascii="Times New Roman" w:eastAsia="微软雅黑" w:hAnsi="微软雅黑" w:cs="宋体" w:hint="eastAsia"/>
          <w:szCs w:val="18"/>
        </w:rPr>
        <w:t>‘药品加成’政策已被固化为‘以药养医’顽疾”，接着论述国务院出台的医改意见。作者对“以药养医”的论述只在首句，根据首句内容可知，“以药养医”是“药品加成”政策导致的结果。第二步，对比选项。</w:t>
      </w:r>
      <w:r w:rsidRPr="003F588C">
        <w:rPr>
          <w:rFonts w:ascii="Times New Roman" w:eastAsia="微软雅黑" w:hAnsi="微软雅黑" w:cs="宋体" w:hint="eastAsia"/>
          <w:szCs w:val="18"/>
        </w:rPr>
        <w:t>D</w:t>
      </w:r>
      <w:r w:rsidRPr="003F588C">
        <w:rPr>
          <w:rFonts w:ascii="Times New Roman" w:eastAsia="微软雅黑" w:hAnsi="微软雅黑" w:cs="宋体" w:hint="eastAsia"/>
          <w:szCs w:val="18"/>
        </w:rPr>
        <w:t>项符合作者的看法。故选</w:t>
      </w:r>
      <w:r w:rsidRPr="003F588C">
        <w:rPr>
          <w:rFonts w:ascii="Times New Roman" w:eastAsia="微软雅黑" w:hAnsi="微软雅黑" w:cs="宋体" w:hint="eastAsia"/>
          <w:szCs w:val="18"/>
        </w:rPr>
        <w:t>D</w:t>
      </w:r>
      <w:r w:rsidRPr="003F588C">
        <w:rPr>
          <w:rFonts w:ascii="Times New Roman" w:eastAsia="微软雅黑" w:hAnsi="微软雅黑" w:cs="宋体" w:hint="eastAsia"/>
          <w:szCs w:val="18"/>
        </w:rPr>
        <w:t>。</w:t>
      </w:r>
    </w:p>
    <w:p w:rsidR="003F588C" w14:paraId="62A3CC4C" w14:textId="77777777">
      <w:pPr>
        <w:pStyle w:val="NormalWeb"/>
        <w:widowControl/>
        <w:spacing w:beforeAutospacing="0" w:after="260" w:afterAutospacing="0" w:line="360" w:lineRule="auto"/>
        <w:rPr>
          <w:rFonts w:ascii="微软雅黑" w:eastAsia="微软雅黑" w:hAnsi="微软雅黑" w:cs="微软雅黑"/>
          <w:szCs w:val="18"/>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3F588C">
        <w:rPr>
          <w:rFonts w:ascii="Times New Roman" w:eastAsia="微软雅黑" w:hAnsi="微软雅黑" w:cs="宋体" w:hint="eastAsia"/>
          <w:color w:val="0000FF"/>
          <w:szCs w:val="18"/>
        </w:rPr>
        <w:t>3</w:t>
      </w:r>
      <w:r w:rsidRPr="003F588C">
        <w:rPr>
          <w:rFonts w:ascii="Times New Roman" w:eastAsia="微软雅黑" w:hAnsi="微软雅黑" w:cs="宋体" w:hint="eastAsia"/>
          <w:color w:val="0000FF"/>
          <w:szCs w:val="18"/>
        </w:rPr>
        <w:t>．</w:t>
      </w:r>
      <w:r w:rsidRPr="003F588C">
        <w:rPr>
          <w:rFonts w:ascii="Times New Roman" w:eastAsia="微软雅黑" w:hAnsi="微软雅黑" w:cs="宋体" w:hint="eastAsia"/>
          <w:szCs w:val="18"/>
        </w:rPr>
        <w:t>独立学院的办学成本，是指学校在培训学生知识、技能、技巧以及各种综合素质过程中所发生的各种耗费。具体包括学院教职员工的工资性支出、学院各部门的行政事业经费支出、学院保证教学活动的正常进行所需要的各种业务支出、校园校舍维护修缮支出、固定资产构建与使用费等内容。对办学成本进行适当的分类，一方面可以</w:t>
      </w:r>
    </w:p>
    <w:p w:rsidR="003F588C"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为办学成本核算提供具体的成本核算指标要求，另一方面也为对办学成本进行全面系统的有效控制提供更为有用的信息指标体系。</w:t>
      </w:r>
    </w:p>
    <w:p w:rsidR="003F588C" w14:paraId="40E175B2"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作者接下来最有可能介绍的是</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w:t>
      </w:r>
    </w:p>
    <w:p w:rsidR="003F588C" w14:paraId="246D11B2"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A</w:t>
      </w:r>
      <w:r w:rsidRPr="003F588C">
        <w:rPr>
          <w:rFonts w:ascii="Times New Roman" w:eastAsia="微软雅黑" w:hAnsi="微软雅黑" w:cs="宋体" w:hint="eastAsia"/>
          <w:szCs w:val="18"/>
        </w:rPr>
        <w:t>、独立学院的特点</w:t>
      </w:r>
    </w:p>
    <w:p w:rsidR="003F588C" w14:paraId="074C9FF3"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B</w:t>
      </w:r>
      <w:r w:rsidRPr="003F588C">
        <w:rPr>
          <w:rFonts w:ascii="Times New Roman" w:eastAsia="微软雅黑" w:hAnsi="微软雅黑" w:cs="宋体" w:hint="eastAsia"/>
          <w:szCs w:val="18"/>
        </w:rPr>
        <w:t>、独立学院办学成本控制的有效途径</w:t>
      </w:r>
    </w:p>
    <w:p w:rsidR="003F588C" w14:paraId="21A0EF4B"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C</w:t>
      </w:r>
      <w:r w:rsidRPr="003F588C">
        <w:rPr>
          <w:rFonts w:ascii="Times New Roman" w:eastAsia="微软雅黑" w:hAnsi="微软雅黑" w:cs="宋体" w:hint="eastAsia"/>
          <w:szCs w:val="18"/>
        </w:rPr>
        <w:t>、独立学院办学成本的分类</w:t>
      </w:r>
    </w:p>
    <w:p w:rsidR="003F588C" w14:paraId="3608C4B2"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D</w:t>
      </w:r>
      <w:r w:rsidRPr="003F588C">
        <w:rPr>
          <w:rFonts w:ascii="Times New Roman" w:eastAsia="微软雅黑" w:hAnsi="微软雅黑" w:cs="宋体" w:hint="eastAsia"/>
          <w:szCs w:val="18"/>
        </w:rPr>
        <w:t>、独立学院办学成本怎样核算</w:t>
      </w:r>
    </w:p>
    <w:p w:rsidR="003F588C" w14:paraId="096EC034"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b/>
          <w:color w:val="228B22"/>
          <w:szCs w:val="18"/>
        </w:rPr>
        <w:t>答案：</w:t>
      </w:r>
      <w:r w:rsidRPr="003F588C">
        <w:rPr>
          <w:rFonts w:ascii="Times New Roman" w:eastAsia="微软雅黑" w:hAnsi="微软雅黑" w:cs="宋体" w:hint="eastAsia"/>
          <w:szCs w:val="18"/>
        </w:rPr>
        <w:t>C</w:t>
      </w:r>
    </w:p>
    <w:p w:rsidR="003F588C" w14:paraId="78D02EB4" w14:textId="77777777">
      <w:pPr>
        <w:pStyle w:val="NormalWeb"/>
        <w:widowControl/>
        <w:spacing w:beforeAutospacing="0" w:after="260" w:afterAutospacing="0" w:line="360" w:lineRule="auto"/>
        <w:rPr>
          <w:rFonts w:ascii="微软雅黑" w:eastAsia="微软雅黑" w:hAnsi="微软雅黑" w:cs="微软雅黑"/>
          <w:b/>
          <w:color w:val="4066F4"/>
          <w:szCs w:val="18"/>
        </w:rPr>
      </w:pPr>
      <w:r w:rsidRPr="003F588C">
        <w:rPr>
          <w:rFonts w:ascii="Times New Roman" w:eastAsia="微软雅黑" w:hAnsi="微软雅黑" w:cs="宋体" w:hint="eastAsia"/>
          <w:color w:val="228B22"/>
          <w:szCs w:val="18"/>
        </w:rPr>
        <w:t>解析：</w:t>
      </w:r>
      <w:r w:rsidRPr="003F588C">
        <w:rPr>
          <w:rFonts w:ascii="Times New Roman" w:eastAsia="微软雅黑" w:hAnsi="微软雅黑" w:cs="宋体" w:hint="eastAsia"/>
          <w:szCs w:val="18"/>
        </w:rPr>
        <w:t>重点看文段最后一句话的主体，“对办学成本进行适当分类”，“一方面”、“另一方面”并列结构提出了适当分类的好处。接下来理所当然应该进一步介绍如何分类，</w:t>
      </w:r>
      <w:r w:rsidRPr="003F588C">
        <w:rPr>
          <w:rFonts w:ascii="Times New Roman" w:eastAsia="微软雅黑" w:hAnsi="微软雅黑" w:cs="宋体" w:hint="eastAsia"/>
          <w:szCs w:val="18"/>
        </w:rPr>
        <w:t>C</w:t>
      </w:r>
      <w:r w:rsidRPr="003F588C">
        <w:rPr>
          <w:rFonts w:ascii="Times New Roman" w:eastAsia="微软雅黑" w:hAnsi="微软雅黑" w:cs="宋体" w:hint="eastAsia"/>
          <w:szCs w:val="18"/>
        </w:rPr>
        <w:t>选项合适。因此，结合选项应该选择</w:t>
      </w:r>
      <w:r w:rsidRPr="003F588C">
        <w:rPr>
          <w:rFonts w:ascii="Times New Roman" w:eastAsia="微软雅黑" w:hAnsi="微软雅黑" w:cs="宋体" w:hint="eastAsia"/>
          <w:szCs w:val="18"/>
        </w:rPr>
        <w:t>C</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A</w:t>
      </w:r>
      <w:r w:rsidRPr="003F588C">
        <w:rPr>
          <w:rFonts w:ascii="Times New Roman" w:eastAsia="微软雅黑" w:hAnsi="微软雅黑" w:cs="宋体" w:hint="eastAsia"/>
          <w:szCs w:val="18"/>
        </w:rPr>
        <w:t>项主体不对，先排除</w:t>
      </w:r>
      <w:r w:rsidRPr="003F588C">
        <w:rPr>
          <w:rFonts w:ascii="Times New Roman" w:eastAsia="微软雅黑" w:hAnsi="微软雅黑" w:cs="宋体" w:hint="eastAsia"/>
          <w:szCs w:val="18"/>
        </w:rPr>
        <w:t>;B</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D</w:t>
      </w:r>
      <w:r w:rsidRPr="003F588C">
        <w:rPr>
          <w:rFonts w:ascii="Times New Roman" w:eastAsia="微软雅黑" w:hAnsi="微软雅黑" w:cs="宋体" w:hint="eastAsia"/>
          <w:szCs w:val="18"/>
        </w:rPr>
        <w:t>项成本“怎样核算”和“控制途径”与文章叙述的意思相差太远。故选</w:t>
      </w:r>
      <w:r w:rsidRPr="003F588C">
        <w:rPr>
          <w:rFonts w:ascii="Times New Roman" w:eastAsia="微软雅黑" w:hAnsi="微软雅黑" w:cs="宋体" w:hint="eastAsia"/>
          <w:szCs w:val="18"/>
        </w:rPr>
        <w:t>C</w:t>
      </w:r>
      <w:r w:rsidRPr="003F588C">
        <w:rPr>
          <w:rFonts w:ascii="Times New Roman" w:eastAsia="微软雅黑" w:hAnsi="微软雅黑" w:cs="宋体" w:hint="eastAsia"/>
          <w:szCs w:val="18"/>
        </w:rPr>
        <w:t>。</w:t>
      </w:r>
    </w:p>
    <w:p w:rsidR="003F588C" w14:paraId="659CA8D9"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color w:val="0000FF"/>
          <w:szCs w:val="18"/>
        </w:rPr>
        <w:t>4</w:t>
      </w:r>
      <w:r w:rsidRPr="003F588C">
        <w:rPr>
          <w:rFonts w:ascii="Times New Roman" w:eastAsia="微软雅黑" w:hAnsi="微软雅黑" w:cs="宋体" w:hint="eastAsia"/>
          <w:color w:val="0000FF"/>
          <w:szCs w:val="18"/>
        </w:rPr>
        <w:t>．</w:t>
      </w:r>
      <w:r w:rsidRPr="003F588C">
        <w:rPr>
          <w:rFonts w:ascii="Times New Roman" w:eastAsia="微软雅黑" w:hAnsi="微软雅黑" w:cs="宋体" w:hint="eastAsia"/>
          <w:szCs w:val="18"/>
        </w:rPr>
        <w:t>相对于其他作品，史书有太多芜杂的琐碎记载，把主线</w:t>
      </w:r>
      <w:r w:rsidRPr="003F588C">
        <w:rPr>
          <w:rFonts w:ascii="Times New Roman" w:eastAsia="微软雅黑" w:hAnsi="微软雅黑" w:cs="宋体" w:hint="eastAsia"/>
          <w:szCs w:val="18"/>
        </w:rPr>
        <w:t>_____</w:t>
      </w:r>
      <w:r w:rsidRPr="003F588C">
        <w:rPr>
          <w:rFonts w:ascii="Times New Roman" w:eastAsia="微软雅黑" w:hAnsi="微软雅黑" w:cs="宋体" w:hint="eastAsia"/>
          <w:szCs w:val="18"/>
        </w:rPr>
        <w:t>得有些模糊不清。然而细节有细节的</w:t>
      </w:r>
      <w:r w:rsidRPr="003F588C">
        <w:rPr>
          <w:rFonts w:ascii="Times New Roman" w:eastAsia="微软雅黑" w:hAnsi="微软雅黑" w:cs="宋体" w:hint="eastAsia"/>
          <w:szCs w:val="18"/>
        </w:rPr>
        <w:t>_____</w:t>
      </w:r>
      <w:r w:rsidRPr="003F588C">
        <w:rPr>
          <w:rFonts w:ascii="Times New Roman" w:eastAsia="微软雅黑" w:hAnsi="微软雅黑" w:cs="宋体" w:hint="eastAsia"/>
          <w:szCs w:val="18"/>
        </w:rPr>
        <w:t>之处，因为虽然撰写史书的史官司难免受到某些思维导向的影响，有意无意地隐此扬彼，但所谓“细节之中有魔鬼”，某个历史人物的性格总会在一些细节之中</w:t>
      </w:r>
      <w:r w:rsidRPr="003F588C">
        <w:rPr>
          <w:rFonts w:ascii="Times New Roman" w:eastAsia="微软雅黑" w:hAnsi="微软雅黑" w:cs="宋体" w:hint="eastAsia"/>
          <w:szCs w:val="18"/>
        </w:rPr>
        <w:t>________</w:t>
      </w:r>
      <w:r w:rsidRPr="003F588C">
        <w:rPr>
          <w:rFonts w:ascii="Times New Roman" w:eastAsia="微软雅黑" w:hAnsi="微软雅黑" w:cs="宋体" w:hint="eastAsia"/>
          <w:szCs w:val="18"/>
        </w:rPr>
        <w:t>。</w:t>
      </w:r>
    </w:p>
    <w:p w:rsidR="003F588C" w14:paraId="4606779B"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依次填入横线部分最恰当的一项是</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w:t>
      </w:r>
    </w:p>
    <w:p w:rsidR="003F588C" w14:paraId="012748EF"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A</w:t>
      </w:r>
      <w:r w:rsidRPr="003F588C">
        <w:rPr>
          <w:rFonts w:ascii="Times New Roman" w:eastAsia="微软雅黑" w:hAnsi="微软雅黑" w:cs="宋体" w:hint="eastAsia"/>
          <w:szCs w:val="18"/>
        </w:rPr>
        <w:t>、遮蔽</w:t>
      </w:r>
      <w:r w:rsidRPr="003F588C">
        <w:rPr>
          <w:rFonts w:ascii="Times New Roman" w:eastAsia="微软雅黑" w:hAnsi="微软雅黑" w:cs="宋体" w:hint="eastAsia"/>
          <w:szCs w:val="18"/>
        </w:rPr>
        <w:t xml:space="preserve"> </w:t>
      </w:r>
      <w:r w:rsidRPr="003F588C">
        <w:rPr>
          <w:rFonts w:ascii="Times New Roman" w:eastAsia="微软雅黑" w:hAnsi="微软雅黑" w:cs="宋体" w:hint="eastAsia"/>
          <w:szCs w:val="18"/>
        </w:rPr>
        <w:t>精妙</w:t>
      </w:r>
      <w:r w:rsidRPr="003F588C">
        <w:rPr>
          <w:rFonts w:ascii="Times New Roman" w:eastAsia="微软雅黑" w:hAnsi="微软雅黑" w:cs="宋体" w:hint="eastAsia"/>
          <w:szCs w:val="18"/>
        </w:rPr>
        <w:t xml:space="preserve"> </w:t>
      </w:r>
      <w:r w:rsidRPr="003F588C">
        <w:rPr>
          <w:rFonts w:ascii="Times New Roman" w:eastAsia="微软雅黑" w:hAnsi="微软雅黑" w:cs="宋体" w:hint="eastAsia"/>
          <w:szCs w:val="18"/>
        </w:rPr>
        <w:t>若隐若现</w:t>
      </w:r>
    </w:p>
    <w:p w:rsidR="003F588C" w14:paraId="5B25A136"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B</w:t>
      </w:r>
      <w:r w:rsidRPr="003F588C">
        <w:rPr>
          <w:rFonts w:ascii="Times New Roman" w:eastAsia="微软雅黑" w:hAnsi="微软雅黑" w:cs="宋体" w:hint="eastAsia"/>
          <w:szCs w:val="18"/>
        </w:rPr>
        <w:t>、隐藏</w:t>
      </w:r>
      <w:r w:rsidRPr="003F588C">
        <w:rPr>
          <w:rFonts w:ascii="Times New Roman" w:eastAsia="微软雅黑" w:hAnsi="微软雅黑" w:cs="宋体" w:hint="eastAsia"/>
          <w:szCs w:val="18"/>
        </w:rPr>
        <w:t xml:space="preserve"> </w:t>
      </w:r>
      <w:r w:rsidRPr="003F588C">
        <w:rPr>
          <w:rFonts w:ascii="Times New Roman" w:eastAsia="微软雅黑" w:hAnsi="微软雅黑" w:cs="宋体" w:hint="eastAsia"/>
          <w:szCs w:val="18"/>
        </w:rPr>
        <w:t>奇巧</w:t>
      </w:r>
      <w:r w:rsidRPr="003F588C">
        <w:rPr>
          <w:rFonts w:ascii="Times New Roman" w:eastAsia="微软雅黑" w:hAnsi="微软雅黑" w:cs="宋体" w:hint="eastAsia"/>
          <w:szCs w:val="18"/>
        </w:rPr>
        <w:t xml:space="preserve"> </w:t>
      </w:r>
      <w:r w:rsidRPr="003F588C">
        <w:rPr>
          <w:rFonts w:ascii="Times New Roman" w:eastAsia="微软雅黑" w:hAnsi="微软雅黑" w:cs="宋体" w:hint="eastAsia"/>
          <w:szCs w:val="18"/>
        </w:rPr>
        <w:t>跃然纸上</w:t>
      </w:r>
      <w:r>
        <w:rPr>
          <w:rFonts w:ascii="微软雅黑" w:eastAsia="微软雅黑" w:hAnsi="微软雅黑" w:cs="微软雅黑"/>
          <w:szCs w:val="18"/>
        </w:rPr>
        <w:br/>
      </w:r>
      <w:r>
        <w:rPr>
          <w:rFonts w:ascii="微软雅黑" w:eastAsia="微软雅黑" w:hAnsi="微软雅黑" w:cs="微软雅黑"/>
          <w:szCs w:val="18"/>
        </w:rP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https://d.book118.com/357043136066006031</w:t>
        </w:r>
      </w:hyperlink>
    </w:p>
    <w:p w:rsidR="003F588C">
      <w:pPr>
        <w:pStyle w:val="NormalWeb"/>
        <w:widowControl/>
        <w:spacing w:beforeAutospacing="0" w:after="260" w:afterAutospacing="0" w:line="360" w:lineRule="auto"/>
        <w:rPr>
          <w:rFonts w:ascii="微软雅黑" w:eastAsia="微软雅黑" w:hAnsi="微软雅黑" w:cs="微软雅黑"/>
          <w:szCs w:val="18"/>
        </w:rPr>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1E2" w:rsidP="00A66124" w14:paraId="77E1EF9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F71E2" w14:paraId="46D5E1F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1E2" w:rsidP="00A66124" w14:paraId="31B1FBC1" w14:textId="73B2499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DF71E2" w14:paraId="3F30FFC2"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1E2" w14:paraId="51F44809"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1E2" w:rsidP="00A6612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F71E2"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1E2" w:rsidP="00A66124" w14:textId="73B2499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DF71E2"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1E2"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1E2" w:rsidP="00A6612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F71E2"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1E2" w:rsidP="00A66124" w14:textId="73B2499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DF71E2"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1E2"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1E2" w14:paraId="385EE8A0"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1E2" w14:paraId="5BEA0D4F"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1E2" w14:paraId="3ADDC1B4"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1E2"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1E2"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1E2"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1E2"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1E2"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71E2"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3F588C"/>
    <w:rsid w:val="00541498"/>
    <w:rsid w:val="007675BD"/>
    <w:rsid w:val="009C641C"/>
    <w:rsid w:val="00A66124"/>
    <w:rsid w:val="00A77B3E"/>
    <w:rsid w:val="00A95C3D"/>
    <w:rsid w:val="00B23397"/>
    <w:rsid w:val="00CA2A55"/>
    <w:rsid w:val="00DF71E2"/>
    <w:rsid w:val="00E0697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0572E2E1"/>
  <w15:docId w15:val="{41584DBE-8B03-4224-BBBD-38CD9BECB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正文1"/>
    <w:qFormat/>
    <w:pPr>
      <w:widowControl w:val="0"/>
      <w:jc w:val="both"/>
    </w:pPr>
    <w:rPr>
      <w:kern w:val="2"/>
      <w:sz w:val="21"/>
      <w:szCs w:val="22"/>
      <w:lang w:eastAsia="zh-CN"/>
    </w:rPr>
  </w:style>
  <w:style w:type="paragraph" w:styleId="NormalWeb">
    <w:name w:val="Normal (Web)"/>
    <w:basedOn w:val="1"/>
    <w:rsid w:val="00A95C3D"/>
    <w:pPr>
      <w:spacing w:beforeAutospacing="1" w:afterAutospacing="1"/>
      <w:jc w:val="left"/>
    </w:pPr>
    <w:rPr>
      <w:rFonts w:ascii="等线" w:eastAsia="等线" w:hAnsi="等线"/>
      <w:kern w:val="0"/>
      <w:sz w:val="24"/>
      <w:szCs w:val="24"/>
    </w:rPr>
  </w:style>
  <w:style w:type="paragraph" w:styleId="Header">
    <w:name w:val="header"/>
    <w:basedOn w:val="Normal"/>
    <w:link w:val="a"/>
    <w:rsid w:val="00DF71E2"/>
    <w:pPr>
      <w:tabs>
        <w:tab w:val="center" w:pos="4153"/>
        <w:tab w:val="right" w:pos="8306"/>
      </w:tabs>
      <w:snapToGrid w:val="0"/>
      <w:jc w:val="center"/>
    </w:pPr>
    <w:rPr>
      <w:sz w:val="18"/>
      <w:szCs w:val="18"/>
    </w:rPr>
  </w:style>
  <w:style w:type="character" w:customStyle="1" w:styleId="a">
    <w:name w:val="页眉 字符"/>
    <w:basedOn w:val="DefaultParagraphFont"/>
    <w:link w:val="Header"/>
    <w:rsid w:val="00DF71E2"/>
    <w:rPr>
      <w:sz w:val="18"/>
      <w:szCs w:val="18"/>
    </w:rPr>
  </w:style>
  <w:style w:type="paragraph" w:styleId="Footer">
    <w:name w:val="footer"/>
    <w:basedOn w:val="Normal"/>
    <w:link w:val="a0"/>
    <w:rsid w:val="00DF71E2"/>
    <w:pPr>
      <w:tabs>
        <w:tab w:val="center" w:pos="4153"/>
        <w:tab w:val="right" w:pos="8306"/>
      </w:tabs>
      <w:snapToGrid w:val="0"/>
    </w:pPr>
    <w:rPr>
      <w:sz w:val="18"/>
      <w:szCs w:val="18"/>
    </w:rPr>
  </w:style>
  <w:style w:type="character" w:customStyle="1" w:styleId="a0">
    <w:name w:val="页脚 字符"/>
    <w:basedOn w:val="DefaultParagraphFont"/>
    <w:link w:val="Footer"/>
    <w:rsid w:val="00DF71E2"/>
    <w:rPr>
      <w:sz w:val="18"/>
      <w:szCs w:val="18"/>
    </w:rPr>
  </w:style>
  <w:style w:type="character" w:styleId="PageNumber">
    <w:name w:val="page number"/>
    <w:basedOn w:val="DefaultParagraphFont"/>
    <w:rsid w:val="00DF71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357043136066006031"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3757</Words>
  <Characters>21419</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2024-01-14T10:27:00Z</dcterms:created>
  <dcterms:modified xsi:type="dcterms:W3CDTF">2024-01-14T10:27:00Z</dcterms:modified>
</cp:coreProperties>
</file>