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0"/>
        <w:ind w:left="1178"/>
        <w:rPr>
          <w:rFonts w:ascii="黑体"/>
        </w:rPr>
      </w:pPr>
      <w:r>
        <w:rPr>
          <w:rFonts w:ascii="黑体"/>
        </w:rPr>
        <w:t>ICS 91.040.30</w:t>
      </w:r>
    </w:p>
    <w:p>
      <w:pPr>
        <w:pStyle w:val="BodyText"/>
        <w:spacing w:before="43"/>
        <w:ind w:left="1200"/>
        <w:rPr>
          <w:rFonts w:ascii="黑体"/>
        </w:rPr>
      </w:pPr>
      <w:r>
        <w:rPr>
          <w:rFonts w:ascii="黑体"/>
        </w:rPr>
        <w:t>P 30</w:t>
      </w:r>
    </w:p>
    <w:p>
      <w:pPr>
        <w:pStyle w:val="Title"/>
      </w:pPr>
      <w:r>
        <w:rPr>
          <w:b w:val="0"/>
        </w:rPr>
        <w:br w:type="column"/>
      </w:r>
      <w:r>
        <w:rPr>
          <w:w w:val="130"/>
        </w:rPr>
        <w:t>DB4201</w:t>
      </w:r>
    </w:p>
    <w:p>
      <w:pPr>
        <w:spacing w:after="0"/>
        <w:sectPr>
          <w:type w:val="continuous"/>
          <w:pgSz w:w="11910" w:h="16840"/>
          <w:pgMar w:top="520" w:right="260" w:bottom="280" w:left="240" w:header="708" w:footer="708"/>
          <w:cols w:num="2" w:space="708" w:equalWidth="0">
            <w:col w:w="2587" w:space="2539"/>
            <w:col w:w="6284" w:space="0"/>
          </w:cols>
        </w:sectPr>
      </w:pPr>
    </w:p>
    <w:p>
      <w:pPr>
        <w:pStyle w:val="BodyText"/>
        <w:spacing w:before="6"/>
        <w:rPr>
          <w:rFonts w:ascii="Times New Roman"/>
          <w:b/>
          <w:sz w:val="18"/>
        </w:rPr>
      </w:pPr>
      <w:r>
        <w:pict>
          <v:line id="_x0000_s1025" style="mso-position-horizontal-relative:page;mso-position-vertical-relative:page;position:absolute;z-index:251658240" from="70.85pt,728.5pt" to="552.75pt,728.5pt" stroked="t" strokecolor="black" strokeweight="0.75pt">
            <v:stroke dashstyle="solid"/>
          </v:line>
        </w:pict>
      </w:r>
    </w:p>
    <w:p>
      <w:pPr>
        <w:tabs>
          <w:tab w:val="left" w:pos="2211"/>
          <w:tab w:val="left" w:pos="3751"/>
          <w:tab w:val="left" w:pos="5292"/>
          <w:tab w:val="left" w:pos="6833"/>
          <w:tab w:val="left" w:pos="8374"/>
          <w:tab w:val="left" w:pos="9910"/>
        </w:tabs>
        <w:spacing w:before="33"/>
        <w:ind w:left="670" w:right="0" w:firstLine="0"/>
        <w:jc w:val="center"/>
        <w:rPr>
          <w:rFonts w:ascii="黑体" w:eastAsia="黑体" w:hint="eastAsia"/>
          <w:sz w:val="48"/>
        </w:rPr>
      </w:pPr>
      <w:r>
        <w:rPr>
          <w:rFonts w:ascii="黑体" w:eastAsia="黑体" w:hint="eastAsia"/>
          <w:sz w:val="48"/>
        </w:rPr>
        <w:t>武</w:t>
        <w:tab/>
        <w:t>汉</w:t>
        <w:tab/>
        <w:t>市</w:t>
        <w:tab/>
        <w:t>地</w:t>
        <w:tab/>
        <w:t>方</w:t>
        <w:tab/>
        <w:t>标</w:t>
        <w:tab/>
        <w:t>准</w:t>
      </w:r>
    </w:p>
    <w:p>
      <w:pPr>
        <w:spacing w:before="307"/>
        <w:ind w:left="0" w:right="859" w:firstLine="0"/>
        <w:jc w:val="right"/>
        <w:rPr>
          <w:rFonts w:ascii="黑体" w:hAnsi="黑体"/>
          <w:sz w:val="28"/>
        </w:rPr>
      </w:pPr>
      <w:r>
        <w:rPr>
          <w:rFonts w:ascii="黑体" w:hAnsi="黑体"/>
          <w:sz w:val="28"/>
        </w:rPr>
        <w:t>DB4201/T 537—2018</w:t>
      </w:r>
    </w:p>
    <w:p>
      <w:pPr>
        <w:pStyle w:val="BodyText"/>
        <w:rPr>
          <w:rFonts w:ascii="黑体"/>
          <w:sz w:val="20"/>
        </w:rPr>
      </w:pPr>
    </w:p>
    <w:p>
      <w:pPr>
        <w:pStyle w:val="BodyText"/>
        <w:spacing w:before="4"/>
        <w:rPr>
          <w:rFonts w:ascii="黑体"/>
          <w:sz w:val="27"/>
        </w:rPr>
      </w:pPr>
      <w:r>
        <w:pict>
          <v:shape id="_x0000_s1026" style="width:481.9pt;height:0.1pt;margin-top:19.89pt;margin-left:73.45pt;mso-position-horizontal-relative:page;mso-wrap-distance-left:0;mso-wrap-distance-right:0;position:absolute;z-index:-251656192" coordorigin="1469,398" coordsize="9638,0" path="m1469,398l11107,398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4"/>
        <w:rPr>
          <w:rFonts w:ascii="黑体"/>
          <w:sz w:val="28"/>
        </w:rPr>
      </w:pPr>
    </w:p>
    <w:p>
      <w:pPr>
        <w:spacing w:before="0"/>
        <w:ind w:left="588" w:right="0" w:firstLine="0"/>
        <w:jc w:val="center"/>
        <w:rPr>
          <w:rFonts w:ascii="黑体" w:eastAsia="黑体" w:hint="eastAsia"/>
          <w:sz w:val="52"/>
        </w:rPr>
      </w:pPr>
      <w:r>
        <w:rPr>
          <w:rFonts w:ascii="黑体" w:eastAsia="黑体" w:hint="eastAsia"/>
          <w:sz w:val="52"/>
        </w:rPr>
        <w:t>武汉市房屋安全鉴定技术规程</w:t>
      </w:r>
    </w:p>
    <w:p>
      <w:pPr>
        <w:spacing w:before="44"/>
        <w:ind w:left="588" w:right="0" w:firstLine="0"/>
        <w:jc w:val="center"/>
        <w:rPr>
          <w:rFonts w:ascii="Times New Roman"/>
          <w:sz w:val="28"/>
        </w:rPr>
      </w:pPr>
      <w:r>
        <w:drawing>
          <wp:anchor distT="0" distB="0" distL="0" distR="0" simplePos="0" relativeHeight="251659264" behindDoc="0" locked="0" layoutInCell="1" allowOverlap="1">
            <wp:simplePos x="0" y="0"/>
            <wp:positionH relativeFrom="page">
              <wp:posOffset>215900</wp:posOffset>
            </wp:positionH>
            <wp:positionV relativeFrom="paragraph">
              <wp:posOffset>747144</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sz w:val="28"/>
        </w:rPr>
        <w:t>Wuhan technical specification for building safety appraisal</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r>
        <w:pict>
          <v:group id="_x0000_s1027" style="width:484.4pt;height:80.9pt;margin-top:18.98pt;margin-left:70.92pt;mso-position-horizontal-relative:page;mso-wrap-distance-left:0;mso-wrap-distance-right:0;position:absolute;z-index:-251655168" coordorigin="1418,380" coordsize="9688,1618">
            <v:shapetype id="_x0000_t202" coordsize="21600,21600" o:spt="202" path="m,l,21600r21600,l21600,xe">
              <v:stroke joinstyle="miter"/>
              <v:path gradientshapeok="t" o:connecttype="rect"/>
            </v:shapetype>
            <v:shape id="_x0000_s1028" type="#_x0000_t202" style="width:2053;height:281;left:1418;position:absolute;top:379"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2018-04-12</w:t>
                    </w:r>
                    <w:r>
                      <w:rPr>
                        <w:rFonts w:ascii="黑体" w:eastAsia="黑体" w:hint="eastAsia"/>
                        <w:spacing w:val="-25"/>
                        <w:sz w:val="28"/>
                      </w:rPr>
                      <w:t xml:space="preserve"> 发布</w:t>
                    </w:r>
                  </w:p>
                </w:txbxContent>
              </v:textbox>
            </v:shape>
            <v:shape id="_x0000_s1029" type="#_x0000_t202" style="width:2053;height:281;left:9052;position:absolute;top:379"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2018-05-14</w:t>
                    </w:r>
                    <w:r>
                      <w:rPr>
                        <w:rFonts w:ascii="黑体" w:eastAsia="黑体" w:hint="eastAsia"/>
                        <w:spacing w:val="-25"/>
                        <w:sz w:val="28"/>
                      </w:rPr>
                      <w:t xml:space="preserve"> 实施</w:t>
                    </w:r>
                  </w:p>
                </w:txbxContent>
              </v:textbox>
            </v:shape>
            <v:shape id="_x0000_s1030" type="#_x0000_t202" style="width:4913;height:648;left:3432;position:absolute;top:1349" filled="f" stroked="f">
              <v:textbox inset="0,0,0,0">
                <w:txbxContent>
                  <w:p>
                    <w:pPr>
                      <w:spacing w:before="0" w:line="320" w:lineRule="exact"/>
                      <w:ind w:left="0" w:right="0" w:firstLine="0"/>
                      <w:jc w:val="left"/>
                      <w:rPr>
                        <w:rFonts w:ascii="黑体" w:eastAsia="黑体" w:hint="eastAsia"/>
                        <w:sz w:val="28"/>
                      </w:rPr>
                    </w:pPr>
                    <w:r>
                      <w:rPr>
                        <w:rFonts w:ascii="黑体" w:eastAsia="黑体" w:hint="eastAsia"/>
                        <w:spacing w:val="-36"/>
                        <w:w w:val="135"/>
                        <w:sz w:val="28"/>
                      </w:rPr>
                      <w:t>武 汉 市 质 量 技 术 监 督 局</w:t>
                    </w:r>
                  </w:p>
                  <w:p>
                    <w:pPr>
                      <w:spacing w:before="8" w:line="319" w:lineRule="exact"/>
                      <w:ind w:left="0" w:right="0" w:firstLine="0"/>
                      <w:jc w:val="left"/>
                      <w:rPr>
                        <w:rFonts w:ascii="黑体" w:eastAsia="黑体" w:hint="eastAsia"/>
                        <w:sz w:val="28"/>
                      </w:rPr>
                    </w:pPr>
                    <w:r>
                      <w:rPr>
                        <w:rFonts w:ascii="黑体" w:eastAsia="黑体" w:hint="eastAsia"/>
                        <w:spacing w:val="-1"/>
                        <w:w w:val="130"/>
                        <w:sz w:val="28"/>
                      </w:rPr>
                      <w:t>武汉市住房保障和房屋管理局</w:t>
                    </w:r>
                  </w:p>
                </w:txbxContent>
              </v:textbox>
            </v:shape>
            <v:shape id="_x0000_s1031" type="#_x0000_t202" style="width:724;height:281;left:8772;position:absolute;top:1545"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发 布</w:t>
                    </w:r>
                  </w:p>
                </w:txbxContent>
              </v:textbox>
            </v:shape>
            <w10:wrap type="topAndBottom"/>
          </v:group>
        </w:pict>
      </w:r>
    </w:p>
    <w:p>
      <w:pPr>
        <w:spacing w:after="0"/>
        <w:rPr>
          <w:rFonts w:ascii="Times New Roman"/>
          <w:sz w:val="29"/>
        </w:rPr>
        <w:sectPr>
          <w:type w:val="continuous"/>
          <w:pgSz w:w="11910" w:h="16840"/>
          <w:pgMar w:top="520" w:right="260" w:bottom="280" w:left="240" w:header="708" w:footer="708"/>
          <w:pgNumType w:start="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pgSz w:w="11910" w:h="16840"/>
          <w:pgMar w:top="1580" w:right="260" w:bottom="280" w:left="240" w:header="708" w:footer="708"/>
          <w:pgNumType w:start="3"/>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6"/>
        </w:rPr>
      </w:pPr>
    </w:p>
    <w:p>
      <w:pPr>
        <w:pStyle w:val="Heading1"/>
        <w:tabs>
          <w:tab w:val="left" w:pos="1258"/>
        </w:tabs>
      </w:pPr>
      <w:bookmarkStart w:id="0" w:name="目  次"/>
      <w:bookmarkEnd w:id="0"/>
      <w:r>
        <w:t>目</w:t>
        <w:tab/>
        <w:t>次</w:t>
      </w:r>
    </w:p>
    <w:p>
      <w:pPr>
        <w:pStyle w:val="BodyText"/>
        <w:spacing w:before="7"/>
        <w:rPr>
          <w:rFonts w:ascii="黑体"/>
          <w:sz w:val="45"/>
        </w:rPr>
      </w:pPr>
    </w:p>
    <w:p>
      <w:pPr>
        <w:pStyle w:val="BodyText"/>
        <w:tabs>
          <w:tab w:val="left" w:pos="1809"/>
          <w:tab w:val="left" w:leader="dot" w:pos="10257"/>
        </w:tabs>
        <w:ind w:left="1178"/>
      </w:pPr>
      <w:r>
        <w:rPr>
          <w:position w:val="1"/>
        </w:rPr>
        <w:t>前</w:t>
        <w:tab/>
      </w:r>
      <w:r>
        <w:t>言</w:t>
      </w:r>
      <w:r>
        <w:rPr>
          <w:rFonts w:ascii="Times New Roman" w:eastAsia="Times New Roman" w:hAnsi="Times New Roman"/>
        </w:rPr>
        <w:tab/>
      </w:r>
      <w:r>
        <w:t>Ⅲ</w:t>
      </w:r>
    </w:p>
    <w:p>
      <w:pPr>
        <w:pStyle w:val="ListParagraph"/>
        <w:numPr>
          <w:ilvl w:val="0"/>
          <w:numId w:val="18"/>
        </w:numPr>
        <w:tabs>
          <w:tab w:val="left" w:pos="1496"/>
          <w:tab w:val="right" w:leader="dot" w:pos="10418"/>
        </w:tabs>
        <w:spacing w:before="112" w:after="0" w:line="240" w:lineRule="auto"/>
        <w:ind w:left="1495"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18"/>
        </w:numPr>
        <w:tabs>
          <w:tab w:val="left" w:pos="1496"/>
          <w:tab w:val="right" w:leader="dot" w:pos="10418"/>
        </w:tabs>
        <w:spacing w:before="122" w:after="0" w:line="240" w:lineRule="auto"/>
        <w:ind w:left="1495" w:right="0" w:hanging="318"/>
        <w:jc w:val="left"/>
        <w:rPr>
          <w:sz w:val="21"/>
        </w:rPr>
      </w:pPr>
      <w:r>
        <w:rPr>
          <w:spacing w:val="-3"/>
          <w:sz w:val="21"/>
        </w:rPr>
        <w:t>规</w:t>
      </w:r>
      <w:r>
        <w:rPr>
          <w:sz w:val="21"/>
        </w:rPr>
        <w:t>范</w:t>
      </w:r>
      <w:r>
        <w:rPr>
          <w:spacing w:val="-3"/>
          <w:sz w:val="21"/>
        </w:rPr>
        <w:t>性</w:t>
      </w:r>
      <w:r>
        <w:rPr>
          <w:sz w:val="21"/>
        </w:rPr>
        <w:t>引</w:t>
      </w:r>
      <w:r>
        <w:rPr>
          <w:spacing w:val="-3"/>
          <w:sz w:val="21"/>
        </w:rPr>
        <w:t>用</w:t>
      </w:r>
      <w:r>
        <w:rPr>
          <w:sz w:val="21"/>
        </w:rPr>
        <w:t>文件</w:t>
      </w:r>
      <w:r>
        <w:rPr>
          <w:rFonts w:ascii="Times New Roman" w:eastAsia="Times New Roman"/>
          <w:sz w:val="21"/>
        </w:rPr>
        <w:tab/>
      </w:r>
      <w:r>
        <w:rPr>
          <w:sz w:val="21"/>
        </w:rPr>
        <w:t>1</w:t>
      </w:r>
    </w:p>
    <w:p>
      <w:pPr>
        <w:pStyle w:val="ListParagraph"/>
        <w:numPr>
          <w:ilvl w:val="0"/>
          <w:numId w:val="18"/>
        </w:numPr>
        <w:tabs>
          <w:tab w:val="left" w:pos="1496"/>
          <w:tab w:val="right" w:leader="dot" w:pos="10418"/>
        </w:tabs>
        <w:spacing w:before="120" w:after="0" w:line="240" w:lineRule="auto"/>
        <w:ind w:left="1495" w:right="0" w:hanging="318"/>
        <w:jc w:val="left"/>
        <w:rPr>
          <w:sz w:val="21"/>
        </w:rPr>
      </w:pPr>
      <w:r>
        <w:rPr>
          <w:spacing w:val="-3"/>
          <w:sz w:val="21"/>
        </w:rPr>
        <w:t>术</w:t>
      </w:r>
      <w:r>
        <w:rPr>
          <w:sz w:val="21"/>
        </w:rPr>
        <w:t>语</w:t>
      </w:r>
      <w:r>
        <w:rPr>
          <w:spacing w:val="-3"/>
          <w:sz w:val="21"/>
        </w:rPr>
        <w:t>和</w:t>
      </w:r>
      <w:r>
        <w:rPr>
          <w:sz w:val="21"/>
        </w:rPr>
        <w:t>定义</w:t>
      </w:r>
      <w:r>
        <w:rPr>
          <w:rFonts w:ascii="Times New Roman" w:eastAsia="Times New Roman"/>
          <w:sz w:val="21"/>
        </w:rPr>
        <w:tab/>
      </w:r>
      <w:r>
        <w:rPr>
          <w:sz w:val="21"/>
        </w:rPr>
        <w:t>1</w:t>
      </w:r>
    </w:p>
    <w:p>
      <w:pPr>
        <w:pStyle w:val="ListParagraph"/>
        <w:numPr>
          <w:ilvl w:val="0"/>
          <w:numId w:val="18"/>
        </w:numPr>
        <w:tabs>
          <w:tab w:val="left" w:pos="1496"/>
          <w:tab w:val="right" w:leader="dot" w:pos="10418"/>
        </w:tabs>
        <w:spacing w:before="122" w:after="0" w:line="240" w:lineRule="auto"/>
        <w:ind w:left="1495" w:right="0" w:hanging="318"/>
        <w:jc w:val="left"/>
        <w:rPr>
          <w:sz w:val="21"/>
        </w:rPr>
      </w:pPr>
      <w:r>
        <w:rPr>
          <w:spacing w:val="-3"/>
          <w:sz w:val="21"/>
        </w:rPr>
        <w:t>符号</w:t>
      </w:r>
      <w:r>
        <w:rPr>
          <w:rFonts w:ascii="Times New Roman" w:eastAsia="Times New Roman"/>
          <w:spacing w:val="-3"/>
          <w:sz w:val="21"/>
        </w:rPr>
        <w:tab/>
      </w:r>
      <w:r>
        <w:rPr>
          <w:sz w:val="21"/>
        </w:rPr>
        <w:t>3</w:t>
      </w:r>
    </w:p>
    <w:p>
      <w:pPr>
        <w:pStyle w:val="ListParagraph"/>
        <w:numPr>
          <w:ilvl w:val="0"/>
          <w:numId w:val="18"/>
        </w:numPr>
        <w:tabs>
          <w:tab w:val="left" w:pos="1496"/>
          <w:tab w:val="right" w:leader="dot" w:pos="10418"/>
        </w:tabs>
        <w:spacing w:before="119" w:after="0" w:line="240" w:lineRule="auto"/>
        <w:ind w:left="1495" w:right="0" w:hanging="318"/>
        <w:jc w:val="left"/>
        <w:rPr>
          <w:sz w:val="21"/>
        </w:rPr>
      </w:pPr>
      <w:r>
        <w:rPr>
          <w:spacing w:val="-3"/>
          <w:sz w:val="21"/>
        </w:rPr>
        <w:t>基</w:t>
      </w:r>
      <w:r>
        <w:rPr>
          <w:sz w:val="21"/>
        </w:rPr>
        <w:t>本</w:t>
      </w:r>
      <w:r>
        <w:rPr>
          <w:spacing w:val="-3"/>
          <w:sz w:val="21"/>
        </w:rPr>
        <w:t>规定</w:t>
      </w:r>
      <w:r>
        <w:rPr>
          <w:rFonts w:ascii="Times New Roman" w:eastAsia="Times New Roman"/>
          <w:spacing w:val="-3"/>
          <w:sz w:val="21"/>
        </w:rPr>
        <w:tab/>
      </w:r>
      <w:r>
        <w:rPr>
          <w:sz w:val="21"/>
        </w:rPr>
        <w:t>5</w:t>
      </w:r>
    </w:p>
    <w:p>
      <w:pPr>
        <w:pStyle w:val="ListParagraph"/>
        <w:numPr>
          <w:ilvl w:val="1"/>
          <w:numId w:val="18"/>
        </w:numPr>
        <w:tabs>
          <w:tab w:val="left" w:pos="1916"/>
          <w:tab w:val="right" w:leader="dot" w:pos="10418"/>
        </w:tabs>
        <w:spacing w:before="122" w:after="0" w:line="240" w:lineRule="auto"/>
        <w:ind w:left="1915" w:right="0" w:hanging="527"/>
        <w:jc w:val="left"/>
        <w:rPr>
          <w:sz w:val="21"/>
        </w:rPr>
      </w:pPr>
      <w:r>
        <w:rPr>
          <w:sz w:val="21"/>
        </w:rPr>
        <w:t>鉴</w:t>
      </w:r>
      <w:r>
        <w:rPr>
          <w:spacing w:val="-3"/>
          <w:sz w:val="21"/>
        </w:rPr>
        <w:t>定</w:t>
      </w:r>
      <w:r>
        <w:rPr>
          <w:sz w:val="21"/>
        </w:rPr>
        <w:t>分类</w:t>
      </w:r>
      <w:r>
        <w:rPr>
          <w:rFonts w:ascii="Times New Roman" w:eastAsia="Times New Roman"/>
          <w:sz w:val="21"/>
        </w:rPr>
        <w:tab/>
      </w:r>
      <w:r>
        <w:rPr>
          <w:sz w:val="21"/>
        </w:rPr>
        <w:t>5</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rPr>
          <w:sz w:val="21"/>
        </w:rPr>
        <w:t>鉴</w:t>
      </w:r>
      <w:r>
        <w:rPr>
          <w:spacing w:val="-3"/>
          <w:sz w:val="21"/>
        </w:rPr>
        <w:t>定</w:t>
      </w:r>
      <w:r>
        <w:rPr>
          <w:sz w:val="21"/>
        </w:rPr>
        <w:t>程序</w:t>
      </w:r>
      <w:r>
        <w:rPr>
          <w:rFonts w:ascii="Times New Roman" w:eastAsia="Times New Roman"/>
          <w:sz w:val="21"/>
        </w:rPr>
        <w:tab/>
      </w:r>
      <w:r>
        <w:rPr>
          <w:sz w:val="21"/>
        </w:rPr>
        <w:t>5</w:t>
      </w:r>
    </w:p>
    <w:p>
      <w:pPr>
        <w:pStyle w:val="ListParagraph"/>
        <w:numPr>
          <w:ilvl w:val="0"/>
          <w:numId w:val="18"/>
        </w:numPr>
        <w:tabs>
          <w:tab w:val="left" w:pos="1496"/>
          <w:tab w:val="right" w:leader="dot" w:pos="10418"/>
        </w:tabs>
        <w:spacing w:before="120" w:after="0" w:line="240" w:lineRule="auto"/>
        <w:ind w:left="1495" w:right="0" w:hanging="318"/>
        <w:jc w:val="left"/>
        <w:rPr>
          <w:sz w:val="21"/>
        </w:rPr>
      </w:pPr>
      <w:r>
        <w:rPr>
          <w:spacing w:val="-3"/>
          <w:sz w:val="21"/>
        </w:rPr>
        <w:t>鉴</w:t>
      </w:r>
      <w:r>
        <w:rPr>
          <w:sz w:val="21"/>
        </w:rPr>
        <w:t>定</w:t>
      </w:r>
      <w:r>
        <w:rPr>
          <w:spacing w:val="-3"/>
          <w:sz w:val="21"/>
        </w:rPr>
        <w:t>基</w:t>
      </w:r>
      <w:r>
        <w:rPr>
          <w:sz w:val="21"/>
        </w:rPr>
        <w:t>本</w:t>
      </w:r>
      <w:r>
        <w:rPr>
          <w:spacing w:val="-3"/>
          <w:sz w:val="21"/>
        </w:rPr>
        <w:t>要求</w:t>
      </w:r>
      <w:r>
        <w:rPr>
          <w:rFonts w:ascii="Times New Roman" w:eastAsia="Times New Roman"/>
          <w:spacing w:val="-3"/>
          <w:sz w:val="21"/>
        </w:rPr>
        <w:tab/>
      </w:r>
      <w:r>
        <w:rPr>
          <w:sz w:val="21"/>
        </w:rPr>
        <w:t>6</w:t>
      </w:r>
    </w:p>
    <w:p>
      <w:pPr>
        <w:pStyle w:val="ListParagraph"/>
        <w:numPr>
          <w:ilvl w:val="1"/>
          <w:numId w:val="18"/>
        </w:numPr>
        <w:tabs>
          <w:tab w:val="left" w:pos="1916"/>
          <w:tab w:val="right" w:leader="dot" w:pos="10418"/>
        </w:tabs>
        <w:spacing w:before="122" w:after="0" w:line="240" w:lineRule="auto"/>
        <w:ind w:left="1915" w:right="0" w:hanging="527"/>
        <w:jc w:val="left"/>
        <w:rPr>
          <w:sz w:val="21"/>
        </w:rPr>
      </w:pPr>
      <w:r>
        <w:rPr>
          <w:sz w:val="21"/>
        </w:rPr>
        <w:t>受</w:t>
      </w:r>
      <w:r>
        <w:rPr>
          <w:spacing w:val="-3"/>
          <w:sz w:val="21"/>
        </w:rPr>
        <w:t>理</w:t>
      </w:r>
      <w:r>
        <w:rPr>
          <w:sz w:val="21"/>
        </w:rPr>
        <w:t>委托</w:t>
      </w:r>
      <w:r>
        <w:rPr>
          <w:rFonts w:ascii="Times New Roman" w:eastAsia="Times New Roman"/>
          <w:sz w:val="21"/>
        </w:rPr>
        <w:tab/>
      </w:r>
      <w:r>
        <w:rPr>
          <w:sz w:val="21"/>
        </w:rPr>
        <w:t>6</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rPr>
          <w:sz w:val="21"/>
        </w:rPr>
        <w:t>调</w:t>
      </w:r>
      <w:r>
        <w:rPr>
          <w:spacing w:val="-3"/>
          <w:sz w:val="21"/>
        </w:rPr>
        <w:t>查</w:t>
      </w:r>
      <w:r>
        <w:rPr>
          <w:sz w:val="21"/>
        </w:rPr>
        <w:t>查勘</w:t>
      </w:r>
      <w:r>
        <w:rPr>
          <w:rFonts w:ascii="Times New Roman" w:eastAsia="Times New Roman"/>
          <w:sz w:val="21"/>
        </w:rPr>
        <w:tab/>
      </w:r>
      <w:r>
        <w:rPr>
          <w:sz w:val="21"/>
        </w:rPr>
        <w:t>6</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rPr>
          <w:sz w:val="21"/>
        </w:rPr>
        <w:t>鉴</w:t>
      </w:r>
      <w:r>
        <w:rPr>
          <w:spacing w:val="-3"/>
          <w:sz w:val="21"/>
        </w:rPr>
        <w:t>定</w:t>
      </w:r>
      <w:r>
        <w:rPr>
          <w:sz w:val="21"/>
        </w:rPr>
        <w:t>方案</w:t>
      </w:r>
      <w:r>
        <w:rPr>
          <w:rFonts w:ascii="Times New Roman" w:eastAsia="Times New Roman"/>
          <w:sz w:val="21"/>
        </w:rPr>
        <w:tab/>
      </w:r>
      <w:r>
        <w:rPr>
          <w:sz w:val="21"/>
        </w:rPr>
        <w:t>7</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rPr>
          <w:sz w:val="21"/>
        </w:rPr>
        <w:t>检</w:t>
      </w:r>
      <w:r>
        <w:rPr>
          <w:spacing w:val="-3"/>
          <w:sz w:val="21"/>
        </w:rPr>
        <w:t>测</w:t>
      </w:r>
      <w:r>
        <w:rPr>
          <w:sz w:val="21"/>
        </w:rPr>
        <w:t>验算</w:t>
      </w:r>
      <w:r>
        <w:rPr>
          <w:rFonts w:ascii="Times New Roman" w:eastAsia="Times New Roman"/>
          <w:sz w:val="21"/>
        </w:rPr>
        <w:tab/>
      </w:r>
      <w:r>
        <w:rPr>
          <w:sz w:val="21"/>
        </w:rPr>
        <w:t>8</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drawing>
          <wp:anchor distT="0" distB="0" distL="0" distR="0" simplePos="0" relativeHeight="251662336" behindDoc="0" locked="0" layoutInCell="1" allowOverlap="1">
            <wp:simplePos x="0" y="0"/>
            <wp:positionH relativeFrom="page">
              <wp:posOffset>215900</wp:posOffset>
            </wp:positionH>
            <wp:positionV relativeFrom="paragraph">
              <wp:posOffset>17679</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1"/>
        </w:rPr>
        <w:t>鉴</w:t>
      </w:r>
      <w:r>
        <w:rPr>
          <w:spacing w:val="-3"/>
          <w:sz w:val="21"/>
        </w:rPr>
        <w:t>定</w:t>
      </w:r>
      <w:r>
        <w:rPr>
          <w:sz w:val="21"/>
        </w:rPr>
        <w:t>评级</w:t>
      </w:r>
      <w:r>
        <w:rPr>
          <w:rFonts w:ascii="Times New Roman" w:eastAsia="Times New Roman"/>
          <w:sz w:val="21"/>
        </w:rPr>
        <w:tab/>
      </w:r>
      <w:r>
        <w:rPr>
          <w:sz w:val="21"/>
        </w:rPr>
        <w:t>8</w:t>
      </w:r>
    </w:p>
    <w:p>
      <w:pPr>
        <w:pStyle w:val="ListParagraph"/>
        <w:numPr>
          <w:ilvl w:val="1"/>
          <w:numId w:val="18"/>
        </w:numPr>
        <w:tabs>
          <w:tab w:val="left" w:pos="1916"/>
          <w:tab w:val="right" w:leader="dot" w:pos="10418"/>
        </w:tabs>
        <w:spacing w:before="43" w:after="0" w:line="240" w:lineRule="auto"/>
        <w:ind w:left="1915" w:right="0" w:hanging="527"/>
        <w:jc w:val="left"/>
        <w:rPr>
          <w:sz w:val="21"/>
        </w:rPr>
      </w:pPr>
      <w:r>
        <w:rPr>
          <w:sz w:val="21"/>
        </w:rPr>
        <w:t>鉴</w:t>
      </w:r>
      <w:r>
        <w:rPr>
          <w:spacing w:val="-3"/>
          <w:sz w:val="21"/>
        </w:rPr>
        <w:t>定</w:t>
      </w:r>
      <w:r>
        <w:rPr>
          <w:sz w:val="21"/>
        </w:rPr>
        <w:t>书</w:t>
      </w:r>
      <w:r>
        <w:rPr>
          <w:spacing w:val="-3"/>
          <w:sz w:val="21"/>
        </w:rPr>
        <w:t>签</w:t>
      </w:r>
      <w:r>
        <w:rPr>
          <w:sz w:val="21"/>
        </w:rPr>
        <w:t>发</w:t>
      </w:r>
      <w:r>
        <w:rPr>
          <w:spacing w:val="-3"/>
          <w:sz w:val="21"/>
        </w:rPr>
        <w:t>及</w:t>
      </w:r>
      <w:r>
        <w:rPr>
          <w:sz w:val="21"/>
        </w:rPr>
        <w:t>备案</w:t>
      </w:r>
      <w:r>
        <w:rPr>
          <w:rFonts w:ascii="Times New Roman" w:eastAsia="Times New Roman"/>
          <w:sz w:val="21"/>
        </w:rPr>
        <w:tab/>
      </w:r>
      <w:r>
        <w:rPr>
          <w:sz w:val="21"/>
        </w:rPr>
        <w:t>9</w:t>
      </w:r>
    </w:p>
    <w:p>
      <w:pPr>
        <w:pStyle w:val="ListParagraph"/>
        <w:numPr>
          <w:ilvl w:val="0"/>
          <w:numId w:val="18"/>
        </w:numPr>
        <w:tabs>
          <w:tab w:val="left" w:pos="1496"/>
          <w:tab w:val="right" w:leader="dot" w:pos="10418"/>
        </w:tabs>
        <w:spacing w:before="119" w:after="0" w:line="240" w:lineRule="auto"/>
        <w:ind w:left="1495" w:right="0" w:hanging="318"/>
        <w:jc w:val="left"/>
        <w:rPr>
          <w:sz w:val="21"/>
        </w:rPr>
      </w:pPr>
      <w:r>
        <w:rPr>
          <w:spacing w:val="-3"/>
          <w:sz w:val="21"/>
        </w:rPr>
        <w:t>地</w:t>
      </w:r>
      <w:r>
        <w:rPr>
          <w:sz w:val="21"/>
        </w:rPr>
        <w:t>基</w:t>
      </w:r>
      <w:r>
        <w:rPr>
          <w:spacing w:val="-3"/>
          <w:sz w:val="21"/>
        </w:rPr>
        <w:t>危</w:t>
      </w:r>
      <w:r>
        <w:rPr>
          <w:sz w:val="21"/>
        </w:rPr>
        <w:t>险</w:t>
      </w:r>
      <w:r>
        <w:rPr>
          <w:spacing w:val="-3"/>
          <w:sz w:val="21"/>
        </w:rPr>
        <w:t>性</w:t>
      </w:r>
      <w:r>
        <w:rPr>
          <w:sz w:val="21"/>
        </w:rPr>
        <w:t>鉴定</w:t>
      </w:r>
      <w:r>
        <w:rPr>
          <w:rFonts w:ascii="Times New Roman" w:eastAsia="Times New Roman"/>
          <w:sz w:val="21"/>
        </w:rPr>
        <w:tab/>
      </w:r>
      <w:r>
        <w:rPr>
          <w:sz w:val="21"/>
        </w:rPr>
        <w:t>10</w:t>
      </w:r>
    </w:p>
    <w:p>
      <w:pPr>
        <w:pStyle w:val="ListParagraph"/>
        <w:numPr>
          <w:ilvl w:val="1"/>
          <w:numId w:val="18"/>
        </w:numPr>
        <w:tabs>
          <w:tab w:val="left" w:pos="1916"/>
          <w:tab w:val="right" w:leader="dot" w:pos="10418"/>
        </w:tabs>
        <w:spacing w:before="122" w:after="0" w:line="240" w:lineRule="auto"/>
        <w:ind w:left="1915" w:right="0" w:hanging="526"/>
        <w:jc w:val="left"/>
        <w:rPr>
          <w:sz w:val="21"/>
        </w:rPr>
      </w:pPr>
      <w:r>
        <w:rPr>
          <w:sz w:val="21"/>
        </w:rPr>
        <w:t>一</w:t>
      </w:r>
      <w:r>
        <w:rPr>
          <w:spacing w:val="-3"/>
          <w:sz w:val="21"/>
        </w:rPr>
        <w:t>般</w:t>
      </w:r>
      <w:r>
        <w:rPr>
          <w:sz w:val="21"/>
        </w:rPr>
        <w:t>规定</w:t>
      </w:r>
      <w:r>
        <w:rPr>
          <w:rFonts w:ascii="Times New Roman" w:eastAsia="Times New Roman"/>
          <w:sz w:val="21"/>
        </w:rPr>
        <w:tab/>
      </w:r>
      <w:r>
        <w:rPr>
          <w:sz w:val="21"/>
        </w:rPr>
        <w:t>10</w:t>
      </w:r>
    </w:p>
    <w:p>
      <w:pPr>
        <w:pStyle w:val="ListParagraph"/>
        <w:numPr>
          <w:ilvl w:val="1"/>
          <w:numId w:val="18"/>
        </w:numPr>
        <w:tabs>
          <w:tab w:val="left" w:pos="1916"/>
          <w:tab w:val="right" w:leader="dot" w:pos="10418"/>
        </w:tabs>
        <w:spacing w:before="43" w:after="0" w:line="240" w:lineRule="auto"/>
        <w:ind w:left="1915" w:right="0" w:hanging="526"/>
        <w:jc w:val="left"/>
        <w:rPr>
          <w:sz w:val="21"/>
        </w:rPr>
      </w:pPr>
      <w:r>
        <w:rPr>
          <w:sz w:val="21"/>
        </w:rPr>
        <w:t>评</w:t>
      </w:r>
      <w:r>
        <w:rPr>
          <w:spacing w:val="-3"/>
          <w:sz w:val="21"/>
        </w:rPr>
        <w:t>定</w:t>
      </w:r>
      <w:r>
        <w:rPr>
          <w:sz w:val="21"/>
        </w:rPr>
        <w:t>方法</w:t>
      </w:r>
      <w:r>
        <w:rPr>
          <w:rFonts w:ascii="Times New Roman" w:eastAsia="Times New Roman"/>
          <w:sz w:val="21"/>
        </w:rPr>
        <w:tab/>
      </w:r>
      <w:r>
        <w:rPr>
          <w:sz w:val="21"/>
        </w:rPr>
        <w:t>11</w:t>
      </w:r>
    </w:p>
    <w:p>
      <w:pPr>
        <w:pStyle w:val="ListParagraph"/>
        <w:numPr>
          <w:ilvl w:val="0"/>
          <w:numId w:val="18"/>
        </w:numPr>
        <w:tabs>
          <w:tab w:val="left" w:pos="1496"/>
          <w:tab w:val="right" w:leader="dot" w:pos="10418"/>
        </w:tabs>
        <w:spacing w:before="120" w:after="0" w:line="240" w:lineRule="auto"/>
        <w:ind w:left="1495" w:right="0" w:hanging="318"/>
        <w:jc w:val="left"/>
        <w:rPr>
          <w:sz w:val="21"/>
        </w:rPr>
      </w:pPr>
      <w:r>
        <w:rPr>
          <w:spacing w:val="-3"/>
          <w:sz w:val="21"/>
        </w:rPr>
        <w:t>构</w:t>
      </w:r>
      <w:r>
        <w:rPr>
          <w:sz w:val="21"/>
        </w:rPr>
        <w:t>件</w:t>
      </w:r>
      <w:r>
        <w:rPr>
          <w:spacing w:val="-3"/>
          <w:sz w:val="21"/>
        </w:rPr>
        <w:t>危</w:t>
      </w:r>
      <w:r>
        <w:rPr>
          <w:sz w:val="21"/>
        </w:rPr>
        <w:t>险</w:t>
      </w:r>
      <w:r>
        <w:rPr>
          <w:spacing w:val="-3"/>
          <w:sz w:val="21"/>
        </w:rPr>
        <w:t>性</w:t>
      </w:r>
      <w:r>
        <w:rPr>
          <w:sz w:val="21"/>
        </w:rPr>
        <w:t>鉴定</w:t>
      </w:r>
      <w:r>
        <w:rPr>
          <w:rFonts w:ascii="Times New Roman" w:eastAsia="Times New Roman"/>
          <w:sz w:val="21"/>
        </w:rPr>
        <w:tab/>
      </w:r>
      <w:r>
        <w:rPr>
          <w:sz w:val="21"/>
        </w:rPr>
        <w:t>12</w:t>
      </w:r>
    </w:p>
    <w:p>
      <w:pPr>
        <w:pStyle w:val="ListParagraph"/>
        <w:numPr>
          <w:ilvl w:val="1"/>
          <w:numId w:val="18"/>
        </w:numPr>
        <w:tabs>
          <w:tab w:val="left" w:pos="1916"/>
          <w:tab w:val="right" w:leader="dot" w:pos="10418"/>
        </w:tabs>
        <w:spacing w:before="122" w:after="0" w:line="240" w:lineRule="auto"/>
        <w:ind w:left="1915" w:right="0" w:hanging="526"/>
        <w:jc w:val="left"/>
        <w:rPr>
          <w:sz w:val="21"/>
        </w:rPr>
      </w:pPr>
      <w:r>
        <w:rPr>
          <w:sz w:val="21"/>
        </w:rPr>
        <w:t>一</w:t>
      </w:r>
      <w:r>
        <w:rPr>
          <w:spacing w:val="-3"/>
          <w:sz w:val="21"/>
        </w:rPr>
        <w:t>般</w:t>
      </w:r>
      <w:r>
        <w:rPr>
          <w:sz w:val="21"/>
        </w:rPr>
        <w:t>规定</w:t>
      </w:r>
      <w:r>
        <w:rPr>
          <w:rFonts w:ascii="Times New Roman" w:eastAsia="Times New Roman"/>
          <w:sz w:val="21"/>
        </w:rPr>
        <w:tab/>
      </w:r>
      <w:r>
        <w:rPr>
          <w:sz w:val="21"/>
        </w:rPr>
        <w:t>12</w:t>
      </w:r>
    </w:p>
    <w:p>
      <w:pPr>
        <w:pStyle w:val="ListParagraph"/>
        <w:numPr>
          <w:ilvl w:val="1"/>
          <w:numId w:val="18"/>
        </w:numPr>
        <w:tabs>
          <w:tab w:val="left" w:pos="1916"/>
          <w:tab w:val="right" w:leader="dot" w:pos="10418"/>
        </w:tabs>
        <w:spacing w:before="43" w:after="0" w:line="240" w:lineRule="auto"/>
        <w:ind w:left="1915" w:right="0" w:hanging="526"/>
        <w:jc w:val="left"/>
        <w:rPr>
          <w:sz w:val="21"/>
        </w:rPr>
      </w:pPr>
      <w:r>
        <w:rPr>
          <w:sz w:val="21"/>
        </w:rPr>
        <w:t>基</w:t>
      </w:r>
      <w:r>
        <w:rPr>
          <w:spacing w:val="-3"/>
          <w:sz w:val="21"/>
        </w:rPr>
        <w:t>础</w:t>
      </w:r>
      <w:r>
        <w:rPr>
          <w:sz w:val="21"/>
        </w:rPr>
        <w:t>构件</w:t>
      </w:r>
      <w:r>
        <w:rPr>
          <w:rFonts w:ascii="Times New Roman" w:eastAsia="Times New Roman"/>
          <w:sz w:val="21"/>
        </w:rPr>
        <w:tab/>
      </w:r>
      <w:r>
        <w:rPr>
          <w:sz w:val="21"/>
        </w:rPr>
        <w:t>13</w:t>
      </w:r>
    </w:p>
    <w:p>
      <w:pPr>
        <w:pStyle w:val="ListParagraph"/>
        <w:numPr>
          <w:ilvl w:val="1"/>
          <w:numId w:val="18"/>
        </w:numPr>
        <w:tabs>
          <w:tab w:val="left" w:pos="1916"/>
          <w:tab w:val="right" w:leader="dot" w:pos="10418"/>
        </w:tabs>
        <w:spacing w:before="43" w:after="0" w:line="240" w:lineRule="auto"/>
        <w:ind w:left="1915" w:right="0" w:hanging="526"/>
        <w:jc w:val="left"/>
        <w:rPr>
          <w:sz w:val="21"/>
        </w:rPr>
      </w:pPr>
      <w:r>
        <w:rPr>
          <w:sz w:val="21"/>
        </w:rPr>
        <w:t>砌</w:t>
      </w:r>
      <w:r>
        <w:rPr>
          <w:spacing w:val="-3"/>
          <w:sz w:val="21"/>
        </w:rPr>
        <w:t>体</w:t>
      </w:r>
      <w:r>
        <w:rPr>
          <w:sz w:val="21"/>
        </w:rPr>
        <w:t>结</w:t>
      </w:r>
      <w:r>
        <w:rPr>
          <w:spacing w:val="-3"/>
          <w:sz w:val="21"/>
        </w:rPr>
        <w:t>构</w:t>
      </w:r>
      <w:r>
        <w:rPr>
          <w:sz w:val="21"/>
        </w:rPr>
        <w:t>构件</w:t>
      </w:r>
      <w:r>
        <w:rPr>
          <w:rFonts w:ascii="Times New Roman" w:eastAsia="Times New Roman"/>
          <w:sz w:val="21"/>
        </w:rPr>
        <w:tab/>
      </w:r>
      <w:r>
        <w:rPr>
          <w:sz w:val="21"/>
        </w:rPr>
        <w:t>14</w:t>
      </w:r>
    </w:p>
    <w:p>
      <w:pPr>
        <w:pStyle w:val="ListParagraph"/>
        <w:numPr>
          <w:ilvl w:val="1"/>
          <w:numId w:val="18"/>
        </w:numPr>
        <w:tabs>
          <w:tab w:val="left" w:pos="1916"/>
          <w:tab w:val="right" w:leader="dot" w:pos="10418"/>
        </w:tabs>
        <w:spacing w:before="43" w:after="0" w:line="240" w:lineRule="auto"/>
        <w:ind w:left="1915" w:right="0" w:hanging="526"/>
        <w:jc w:val="left"/>
        <w:rPr>
          <w:sz w:val="21"/>
        </w:rPr>
      </w:pPr>
      <w:r>
        <w:rPr>
          <w:sz w:val="21"/>
        </w:rPr>
        <w:t>混</w:t>
      </w:r>
      <w:r>
        <w:rPr>
          <w:spacing w:val="-3"/>
          <w:sz w:val="21"/>
        </w:rPr>
        <w:t>凝</w:t>
      </w:r>
      <w:r>
        <w:rPr>
          <w:sz w:val="21"/>
        </w:rPr>
        <w:t>土</w:t>
      </w:r>
      <w:r>
        <w:rPr>
          <w:spacing w:val="-3"/>
          <w:sz w:val="21"/>
        </w:rPr>
        <w:t>结</w:t>
      </w:r>
      <w:r>
        <w:rPr>
          <w:sz w:val="21"/>
        </w:rPr>
        <w:t>构</w:t>
      </w:r>
      <w:r>
        <w:rPr>
          <w:spacing w:val="-3"/>
          <w:sz w:val="21"/>
        </w:rPr>
        <w:t>构件</w:t>
      </w:r>
      <w:r>
        <w:rPr>
          <w:rFonts w:ascii="Times New Roman" w:eastAsia="Times New Roman"/>
          <w:spacing w:val="-3"/>
          <w:sz w:val="21"/>
        </w:rPr>
        <w:tab/>
      </w:r>
      <w:r>
        <w:rPr>
          <w:sz w:val="21"/>
        </w:rPr>
        <w:t>15</w:t>
      </w:r>
    </w:p>
    <w:p>
      <w:pPr>
        <w:pStyle w:val="ListParagraph"/>
        <w:numPr>
          <w:ilvl w:val="1"/>
          <w:numId w:val="18"/>
        </w:numPr>
        <w:tabs>
          <w:tab w:val="left" w:pos="1916"/>
          <w:tab w:val="right" w:leader="dot" w:pos="10418"/>
        </w:tabs>
        <w:spacing w:before="43" w:after="0" w:line="240" w:lineRule="auto"/>
        <w:ind w:left="1915" w:right="0" w:hanging="526"/>
        <w:jc w:val="left"/>
        <w:rPr>
          <w:sz w:val="21"/>
        </w:rPr>
      </w:pPr>
      <w:r>
        <w:rPr>
          <w:sz w:val="21"/>
        </w:rPr>
        <w:t>木</w:t>
      </w:r>
      <w:r>
        <w:rPr>
          <w:spacing w:val="-3"/>
          <w:sz w:val="21"/>
        </w:rPr>
        <w:t>结</w:t>
      </w:r>
      <w:r>
        <w:rPr>
          <w:sz w:val="21"/>
        </w:rPr>
        <w:t>构</w:t>
      </w:r>
      <w:r>
        <w:rPr>
          <w:spacing w:val="-3"/>
          <w:sz w:val="21"/>
        </w:rPr>
        <w:t>构件</w:t>
      </w:r>
      <w:r>
        <w:rPr>
          <w:rFonts w:ascii="Times New Roman" w:eastAsia="Times New Roman"/>
          <w:spacing w:val="-3"/>
          <w:sz w:val="21"/>
        </w:rPr>
        <w:tab/>
      </w:r>
      <w:r>
        <w:rPr>
          <w:sz w:val="21"/>
        </w:rPr>
        <w:t>16</w:t>
      </w:r>
    </w:p>
    <w:p>
      <w:pPr>
        <w:pStyle w:val="ListParagraph"/>
        <w:numPr>
          <w:ilvl w:val="1"/>
          <w:numId w:val="18"/>
        </w:numPr>
        <w:tabs>
          <w:tab w:val="left" w:pos="1916"/>
          <w:tab w:val="right" w:leader="dot" w:pos="10418"/>
        </w:tabs>
        <w:spacing w:before="42" w:after="0" w:line="240" w:lineRule="auto"/>
        <w:ind w:left="1915" w:right="0" w:hanging="526"/>
        <w:jc w:val="left"/>
        <w:rPr>
          <w:sz w:val="21"/>
        </w:rPr>
      </w:pPr>
      <w:r>
        <w:rPr>
          <w:sz w:val="21"/>
        </w:rPr>
        <w:t>钢</w:t>
      </w:r>
      <w:r>
        <w:rPr>
          <w:spacing w:val="-3"/>
          <w:sz w:val="21"/>
        </w:rPr>
        <w:t>结</w:t>
      </w:r>
      <w:r>
        <w:rPr>
          <w:sz w:val="21"/>
        </w:rPr>
        <w:t>构</w:t>
      </w:r>
      <w:r>
        <w:rPr>
          <w:spacing w:val="-3"/>
          <w:sz w:val="21"/>
        </w:rPr>
        <w:t>构件</w:t>
      </w:r>
      <w:r>
        <w:rPr>
          <w:rFonts w:ascii="Times New Roman" w:eastAsia="Times New Roman"/>
          <w:spacing w:val="-3"/>
          <w:sz w:val="21"/>
        </w:rPr>
        <w:tab/>
      </w:r>
      <w:r>
        <w:rPr>
          <w:sz w:val="21"/>
        </w:rPr>
        <w:t>17</w:t>
      </w:r>
    </w:p>
    <w:p>
      <w:pPr>
        <w:pStyle w:val="ListParagraph"/>
        <w:numPr>
          <w:ilvl w:val="1"/>
          <w:numId w:val="18"/>
        </w:numPr>
        <w:tabs>
          <w:tab w:val="left" w:pos="1916"/>
          <w:tab w:val="right" w:leader="dot" w:pos="10419"/>
        </w:tabs>
        <w:spacing w:before="43" w:after="0" w:line="240" w:lineRule="auto"/>
        <w:ind w:left="1915" w:right="0" w:hanging="526"/>
        <w:jc w:val="left"/>
        <w:rPr>
          <w:sz w:val="21"/>
        </w:rPr>
      </w:pPr>
      <w:r>
        <w:rPr>
          <w:sz w:val="21"/>
        </w:rPr>
        <w:t>围</w:t>
      </w:r>
      <w:r>
        <w:rPr>
          <w:spacing w:val="-3"/>
          <w:sz w:val="21"/>
        </w:rPr>
        <w:t>护</w:t>
      </w:r>
      <w:r>
        <w:rPr>
          <w:sz w:val="21"/>
        </w:rPr>
        <w:t>结</w:t>
      </w:r>
      <w:r>
        <w:rPr>
          <w:spacing w:val="-3"/>
          <w:sz w:val="21"/>
        </w:rPr>
        <w:t>构</w:t>
      </w:r>
      <w:r>
        <w:rPr>
          <w:sz w:val="21"/>
        </w:rPr>
        <w:t>承</w:t>
      </w:r>
      <w:r>
        <w:rPr>
          <w:spacing w:val="-3"/>
          <w:sz w:val="21"/>
        </w:rPr>
        <w:t>重</w:t>
      </w:r>
      <w:r>
        <w:rPr>
          <w:sz w:val="21"/>
        </w:rPr>
        <w:t>构件</w:t>
      </w:r>
      <w:r>
        <w:rPr>
          <w:rFonts w:ascii="Times New Roman" w:eastAsia="Times New Roman"/>
          <w:sz w:val="21"/>
        </w:rPr>
        <w:tab/>
      </w:r>
      <w:r>
        <w:rPr>
          <w:sz w:val="21"/>
        </w:rPr>
        <w:t>18</w:t>
      </w:r>
    </w:p>
    <w:p>
      <w:pPr>
        <w:pStyle w:val="ListParagraph"/>
        <w:numPr>
          <w:ilvl w:val="0"/>
          <w:numId w:val="18"/>
        </w:numPr>
        <w:tabs>
          <w:tab w:val="left" w:pos="1497"/>
          <w:tab w:val="right" w:leader="dot" w:pos="10419"/>
        </w:tabs>
        <w:spacing w:before="120" w:after="0" w:line="240" w:lineRule="auto"/>
        <w:ind w:left="1496" w:right="0" w:hanging="318"/>
        <w:jc w:val="left"/>
        <w:rPr>
          <w:sz w:val="21"/>
        </w:rPr>
      </w:pPr>
      <w:r>
        <w:rPr>
          <w:spacing w:val="-3"/>
          <w:sz w:val="21"/>
        </w:rPr>
        <w:t>房</w:t>
      </w:r>
      <w:r>
        <w:rPr>
          <w:sz w:val="21"/>
        </w:rPr>
        <w:t>屋</w:t>
      </w:r>
      <w:r>
        <w:rPr>
          <w:spacing w:val="-3"/>
          <w:sz w:val="21"/>
        </w:rPr>
        <w:t>危</w:t>
      </w:r>
      <w:r>
        <w:rPr>
          <w:sz w:val="21"/>
        </w:rPr>
        <w:t>险</w:t>
      </w:r>
      <w:r>
        <w:rPr>
          <w:spacing w:val="-3"/>
          <w:sz w:val="21"/>
        </w:rPr>
        <w:t>性</w:t>
      </w:r>
      <w:r>
        <w:rPr>
          <w:sz w:val="21"/>
        </w:rPr>
        <w:t>鉴定</w:t>
      </w:r>
      <w:r>
        <w:rPr>
          <w:rFonts w:ascii="Times New Roman" w:eastAsia="Times New Roman"/>
          <w:sz w:val="21"/>
        </w:rPr>
        <w:tab/>
      </w:r>
      <w:r>
        <w:rPr>
          <w:sz w:val="21"/>
        </w:rPr>
        <w:t>18</w:t>
      </w:r>
    </w:p>
    <w:p>
      <w:pPr>
        <w:pStyle w:val="ListParagraph"/>
        <w:numPr>
          <w:ilvl w:val="1"/>
          <w:numId w:val="18"/>
        </w:numPr>
        <w:tabs>
          <w:tab w:val="left" w:pos="1917"/>
          <w:tab w:val="right" w:leader="dot" w:pos="10419"/>
        </w:tabs>
        <w:spacing w:before="122" w:after="0" w:line="240" w:lineRule="auto"/>
        <w:ind w:left="1916" w:right="0" w:hanging="527"/>
        <w:jc w:val="left"/>
        <w:rPr>
          <w:sz w:val="21"/>
        </w:rPr>
      </w:pPr>
      <w:r>
        <w:rPr>
          <w:sz w:val="21"/>
        </w:rPr>
        <w:t>一</w:t>
      </w:r>
      <w:r>
        <w:rPr>
          <w:spacing w:val="-3"/>
          <w:sz w:val="21"/>
        </w:rPr>
        <w:t>般</w:t>
      </w:r>
      <w:r>
        <w:rPr>
          <w:sz w:val="21"/>
        </w:rPr>
        <w:t>规定</w:t>
      </w:r>
      <w:r>
        <w:rPr>
          <w:rFonts w:ascii="Times New Roman" w:eastAsia="Times New Roman"/>
          <w:sz w:val="21"/>
        </w:rPr>
        <w:tab/>
      </w:r>
      <w:r>
        <w:rPr>
          <w:sz w:val="21"/>
        </w:rPr>
        <w:t>18</w:t>
      </w:r>
    </w:p>
    <w:p>
      <w:pPr>
        <w:pStyle w:val="ListParagraph"/>
        <w:numPr>
          <w:ilvl w:val="1"/>
          <w:numId w:val="18"/>
        </w:numPr>
        <w:tabs>
          <w:tab w:val="left" w:pos="1917"/>
          <w:tab w:val="right" w:leader="dot" w:pos="10419"/>
        </w:tabs>
        <w:spacing w:before="43" w:after="0" w:line="240" w:lineRule="auto"/>
        <w:ind w:left="1916" w:right="0" w:hanging="527"/>
        <w:jc w:val="left"/>
        <w:rPr>
          <w:sz w:val="21"/>
        </w:rPr>
      </w:pPr>
      <w:r>
        <w:rPr>
          <w:sz w:val="21"/>
        </w:rPr>
        <w:t>综</w:t>
      </w:r>
      <w:r>
        <w:rPr>
          <w:spacing w:val="-3"/>
          <w:sz w:val="21"/>
        </w:rPr>
        <w:t>合</w:t>
      </w:r>
      <w:r>
        <w:rPr>
          <w:sz w:val="21"/>
        </w:rPr>
        <w:t>评</w:t>
      </w:r>
      <w:r>
        <w:rPr>
          <w:spacing w:val="-3"/>
          <w:sz w:val="21"/>
        </w:rPr>
        <w:t>定</w:t>
      </w:r>
      <w:r>
        <w:rPr>
          <w:sz w:val="21"/>
        </w:rPr>
        <w:t>原则</w:t>
      </w:r>
      <w:r>
        <w:rPr>
          <w:rFonts w:ascii="Times New Roman" w:eastAsia="Times New Roman"/>
          <w:sz w:val="21"/>
        </w:rPr>
        <w:tab/>
      </w:r>
      <w:r>
        <w:rPr>
          <w:sz w:val="21"/>
        </w:rPr>
        <w:t>19</w:t>
      </w:r>
    </w:p>
    <w:p>
      <w:pPr>
        <w:pStyle w:val="ListParagraph"/>
        <w:numPr>
          <w:ilvl w:val="1"/>
          <w:numId w:val="18"/>
        </w:numPr>
        <w:tabs>
          <w:tab w:val="left" w:pos="1916"/>
          <w:tab w:val="right" w:leader="dot" w:pos="10418"/>
        </w:tabs>
        <w:spacing w:before="44" w:after="0" w:line="240" w:lineRule="auto"/>
        <w:ind w:left="1915" w:right="0" w:hanging="527"/>
        <w:jc w:val="left"/>
        <w:rPr>
          <w:sz w:val="21"/>
        </w:rPr>
      </w:pPr>
      <w:r>
        <w:rPr>
          <w:sz w:val="21"/>
        </w:rPr>
        <w:t>综</w:t>
      </w:r>
      <w:r>
        <w:rPr>
          <w:spacing w:val="-3"/>
          <w:sz w:val="21"/>
        </w:rPr>
        <w:t>合</w:t>
      </w:r>
      <w:r>
        <w:rPr>
          <w:sz w:val="21"/>
        </w:rPr>
        <w:t>评</w:t>
      </w:r>
      <w:r>
        <w:rPr>
          <w:spacing w:val="-3"/>
          <w:sz w:val="21"/>
        </w:rPr>
        <w:t>定</w:t>
      </w:r>
      <w:r>
        <w:rPr>
          <w:sz w:val="21"/>
        </w:rPr>
        <w:t>方法</w:t>
      </w:r>
      <w:r>
        <w:rPr>
          <w:rFonts w:ascii="Times New Roman" w:eastAsia="Times New Roman"/>
          <w:sz w:val="21"/>
        </w:rPr>
        <w:tab/>
      </w:r>
      <w:r>
        <w:rPr>
          <w:sz w:val="21"/>
        </w:rPr>
        <w:t>19</w:t>
      </w:r>
    </w:p>
    <w:p>
      <w:pPr>
        <w:pStyle w:val="BodyText"/>
        <w:tabs>
          <w:tab w:val="right" w:leader="dot" w:pos="10418"/>
        </w:tabs>
        <w:spacing w:before="120"/>
        <w:ind w:left="1178"/>
      </w:pPr>
      <w:r>
        <w:t>附录</w:t>
      </w:r>
      <w:r>
        <w:rPr>
          <w:spacing w:val="-53"/>
        </w:rPr>
        <w:t xml:space="preserve"> </w:t>
      </w:r>
      <w:r>
        <w:t>A（</w:t>
      </w:r>
      <w:r>
        <w:rPr>
          <w:spacing w:val="-3"/>
        </w:rPr>
        <w:t>规</w:t>
      </w:r>
      <w:r>
        <w:t>范</w:t>
      </w:r>
      <w:r>
        <w:rPr>
          <w:spacing w:val="-3"/>
        </w:rPr>
        <w:t>性</w:t>
      </w:r>
      <w:r>
        <w:t>附</w:t>
      </w:r>
      <w:r>
        <w:rPr>
          <w:spacing w:val="-3"/>
        </w:rPr>
        <w:t>录</w:t>
      </w:r>
      <w:r>
        <w:t>）</w:t>
      </w:r>
      <w:r>
        <w:rPr>
          <w:spacing w:val="104"/>
        </w:rPr>
        <w:t xml:space="preserve"> </w:t>
      </w:r>
      <w:r>
        <w:t>房屋</w:t>
      </w:r>
      <w:r>
        <w:rPr>
          <w:spacing w:val="-3"/>
        </w:rPr>
        <w:t>安</w:t>
      </w:r>
      <w:r>
        <w:t>全</w:t>
      </w:r>
      <w:r>
        <w:rPr>
          <w:spacing w:val="-3"/>
        </w:rPr>
        <w:t>鉴</w:t>
      </w:r>
      <w:r>
        <w:t>定</w:t>
      </w:r>
      <w:r>
        <w:rPr>
          <w:spacing w:val="-3"/>
        </w:rPr>
        <w:t>现</w:t>
      </w:r>
      <w:r>
        <w:t>场</w:t>
      </w:r>
      <w:r>
        <w:rPr>
          <w:spacing w:val="-3"/>
        </w:rPr>
        <w:t>查</w:t>
      </w:r>
      <w:r>
        <w:t>勘</w:t>
      </w:r>
      <w:r>
        <w:rPr>
          <w:spacing w:val="-3"/>
        </w:rPr>
        <w:t>表</w:t>
      </w:r>
      <w:r>
        <w:t>样</w:t>
      </w:r>
      <w:r>
        <w:rPr>
          <w:rFonts w:ascii="Times New Roman" w:eastAsia="Times New Roman"/>
        </w:rPr>
        <w:tab/>
      </w:r>
      <w:r>
        <w:t>22</w:t>
      </w:r>
    </w:p>
    <w:p>
      <w:pPr>
        <w:pStyle w:val="BodyText"/>
        <w:tabs>
          <w:tab w:val="right" w:leader="dot" w:pos="10418"/>
        </w:tabs>
        <w:spacing w:before="122"/>
        <w:ind w:left="1178"/>
      </w:pPr>
      <w:r>
        <w:t>附录</w:t>
      </w:r>
      <w:r>
        <w:rPr>
          <w:spacing w:val="-53"/>
        </w:rPr>
        <w:t xml:space="preserve"> </w:t>
      </w:r>
      <w:r>
        <w:t>B（</w:t>
      </w:r>
      <w:r>
        <w:rPr>
          <w:spacing w:val="-3"/>
        </w:rPr>
        <w:t>规</w:t>
      </w:r>
      <w:r>
        <w:t>范</w:t>
      </w:r>
      <w:r>
        <w:rPr>
          <w:spacing w:val="-3"/>
        </w:rPr>
        <w:t>性</w:t>
      </w:r>
      <w:r>
        <w:t>附</w:t>
      </w:r>
      <w:r>
        <w:rPr>
          <w:spacing w:val="-3"/>
        </w:rPr>
        <w:t>录</w:t>
      </w:r>
      <w:r>
        <w:t>）</w:t>
      </w:r>
      <w:r>
        <w:rPr>
          <w:spacing w:val="104"/>
        </w:rPr>
        <w:t xml:space="preserve"> </w:t>
      </w:r>
      <w:r>
        <w:t>《房</w:t>
      </w:r>
      <w:r>
        <w:rPr>
          <w:spacing w:val="-3"/>
        </w:rPr>
        <w:t>屋</w:t>
      </w:r>
      <w:r>
        <w:t>安</w:t>
      </w:r>
      <w:r>
        <w:rPr>
          <w:spacing w:val="-3"/>
        </w:rPr>
        <w:t>全</w:t>
      </w:r>
      <w:r>
        <w:t>鉴</w:t>
      </w:r>
      <w:r>
        <w:rPr>
          <w:spacing w:val="-3"/>
        </w:rPr>
        <w:t>定</w:t>
      </w:r>
      <w:r>
        <w:t>书</w:t>
      </w:r>
      <w:r>
        <w:rPr>
          <w:spacing w:val="-3"/>
        </w:rPr>
        <w:t>》</w:t>
      </w:r>
      <w:r>
        <w:t>范</w:t>
      </w:r>
      <w:r>
        <w:rPr>
          <w:spacing w:val="-3"/>
        </w:rPr>
        <w:t>本</w:t>
      </w:r>
      <w:r>
        <w:t>图示</w:t>
      </w:r>
      <w:r>
        <w:rPr>
          <w:rFonts w:ascii="Times New Roman" w:eastAsia="Times New Roman"/>
        </w:rPr>
        <w:tab/>
      </w:r>
      <w:r>
        <w:t>25</w:t>
      </w:r>
    </w:p>
    <w:p>
      <w:pPr>
        <w:spacing w:before="502"/>
        <w:ind w:left="0" w:right="1082" w:firstLine="0"/>
        <w:jc w:val="right"/>
        <w:rPr>
          <w:rFonts w:ascii="Times New Roman"/>
          <w:sz w:val="18"/>
        </w:rPr>
      </w:pPr>
      <w:r>
        <w:rPr>
          <w:rFonts w:ascii="Times New Roman"/>
          <w:w w:val="99"/>
          <w:sz w:val="18"/>
        </w:rPr>
        <w:t>I</w:t>
      </w:r>
    </w:p>
    <w:p>
      <w:pPr>
        <w:spacing w:after="0"/>
        <w:jc w:val="right"/>
        <w:rPr>
          <w:rFonts w:ascii="Times New Roman"/>
          <w:sz w:val="18"/>
        </w:rPr>
        <w:sectPr>
          <w:headerReference w:type="default" r:id="rId6"/>
          <w:pgSz w:w="11910" w:h="16840"/>
          <w:pgMar w:top="1640" w:right="260" w:bottom="280" w:left="240" w:header="1448" w:footer="0"/>
          <w:pgNumType w:start="4"/>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headerReference w:type="even" r:id="rId7"/>
          <w:headerReference w:type="default" r:id="rId8"/>
          <w:pgSz w:w="11910" w:h="16840"/>
          <w:pgMar w:top="1580" w:right="260" w:bottom="280" w:left="240" w:header="0" w:footer="0"/>
          <w:pgNumType w:start="5"/>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rPr>
      </w:pPr>
    </w:p>
    <w:p>
      <w:pPr>
        <w:pStyle w:val="Heading1"/>
        <w:tabs>
          <w:tab w:val="left" w:pos="1258"/>
        </w:tabs>
      </w:pPr>
      <w:bookmarkStart w:id="1" w:name="前  言"/>
      <w:bookmarkEnd w:id="1"/>
      <w:r>
        <w:t>前</w:t>
        <w:tab/>
        <w:t>言</w:t>
      </w:r>
    </w:p>
    <w:p>
      <w:pPr>
        <w:pStyle w:val="BodyText"/>
        <w:rPr>
          <w:rFonts w:ascii="黑体"/>
          <w:sz w:val="32"/>
        </w:rPr>
      </w:pPr>
    </w:p>
    <w:p>
      <w:pPr>
        <w:pStyle w:val="BodyText"/>
        <w:spacing w:before="281" w:line="278" w:lineRule="auto"/>
        <w:ind w:left="1598" w:right="875"/>
      </w:pPr>
      <w:r>
        <w:rPr>
          <w:spacing w:val="-2"/>
        </w:rPr>
        <w:t>本规程按照</w:t>
      </w:r>
      <w:r>
        <w:t>GB/T</w:t>
      </w:r>
      <w:r>
        <w:rPr>
          <w:spacing w:val="8"/>
        </w:rPr>
        <w:t xml:space="preserve"> </w:t>
      </w:r>
      <w:r>
        <w:t>1.1-2009 《标准化工作导则 第</w:t>
      </w:r>
      <w:r>
        <w:rPr>
          <w:spacing w:val="-3"/>
        </w:rPr>
        <w:t>1部分：标准的结构和编写》给出的规则起草。本规程由武汉市住房保障和房屋管理局提出。</w:t>
      </w:r>
    </w:p>
    <w:p>
      <w:pPr>
        <w:pStyle w:val="BodyText"/>
        <w:spacing w:line="269" w:lineRule="exact"/>
        <w:ind w:left="1598"/>
      </w:pPr>
      <w:r>
        <w:rPr>
          <w:spacing w:val="-3"/>
        </w:rPr>
        <w:t>本规程由武汉市住房保障和房屋管理局归口。</w:t>
      </w:r>
    </w:p>
    <w:p>
      <w:pPr>
        <w:pStyle w:val="BodyText"/>
        <w:spacing w:before="43"/>
        <w:ind w:left="1598"/>
      </w:pPr>
      <w:r>
        <w:t>本规程主编单位：武汉市住房保障和房屋管理局、武汉地震工程研究院有限公司。</w:t>
      </w:r>
    </w:p>
    <w:p>
      <w:pPr>
        <w:pStyle w:val="BodyText"/>
        <w:spacing w:before="43" w:line="278" w:lineRule="auto"/>
        <w:ind w:left="1178" w:right="870" w:firstLine="420"/>
        <w:jc w:val="both"/>
      </w:pPr>
      <w:r>
        <w:rPr>
          <w:spacing w:val="-10"/>
        </w:rPr>
        <w:t>本规程参编单位：华中科技大学、武汉市房屋安全管理中心、武汉市民用建筑设计研究院、湖北省</w:t>
      </w:r>
      <w:r>
        <w:rPr>
          <w:spacing w:val="-8"/>
        </w:rPr>
        <w:t>建筑工程质量监督检验测试中心、武汉九方工程技术有限责任公司、武汉市江汉区住房保障和房屋管理</w:t>
      </w:r>
      <w:r>
        <w:rPr>
          <w:spacing w:val="-3"/>
        </w:rPr>
        <w:t>局、武汉市汉阳区住房保障和房屋管理局、武汉市房屋安全鉴定行业协会。</w:t>
      </w:r>
    </w:p>
    <w:p>
      <w:pPr>
        <w:pStyle w:val="BodyText"/>
        <w:spacing w:line="278" w:lineRule="auto"/>
        <w:ind w:left="1179" w:right="869" w:firstLine="419"/>
        <w:jc w:val="both"/>
      </w:pPr>
      <w:r>
        <w:drawing>
          <wp:anchor distT="0" distB="0" distL="0" distR="0" simplePos="0" relativeHeight="251663360" behindDoc="0" locked="0" layoutInCell="1" allowOverlap="1">
            <wp:simplePos x="0" y="0"/>
            <wp:positionH relativeFrom="page">
              <wp:posOffset>215900</wp:posOffset>
            </wp:positionH>
            <wp:positionV relativeFrom="paragraph">
              <wp:posOffset>1471678</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1"/>
        </w:rPr>
        <w:t>本规程主要起草人：黄立、于雪松、冯谦、张四维、张仲先、李跃、曾汉武、谭杰、刘士清、张彦</w:t>
      </w:r>
      <w:r>
        <w:rPr>
          <w:spacing w:val="-10"/>
        </w:rPr>
        <w:t>君、江健、漆昌明、张骥、唐棣、彭汉林、肖亦文、刘远达、梁亚斌、雷静雅、李恒、马露、刘元、罗袤。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3"/>
        </w:rPr>
      </w:pPr>
      <w:r>
        <w:pict>
          <v:shape id="_x0000_s1032" type="#_x0000_t202" style="width:10pt;height:10pt;margin-top:10.79pt;margin-left:519.12pt;mso-position-horizontal-relative:page;mso-wrap-distance-left:0;mso-wrap-distance-right:0;position:absolute;z-index:-251652096" filled="f" stroked="f">
            <v:textbox inset="0,0,0,0">
              <w:txbxContent>
                <w:p>
                  <w:pPr>
                    <w:spacing w:before="0" w:line="199" w:lineRule="exact"/>
                    <w:ind w:left="0" w:right="0" w:firstLine="0"/>
                    <w:jc w:val="left"/>
                    <w:rPr>
                      <w:rFonts w:ascii="Times New Roman"/>
                      <w:sz w:val="18"/>
                    </w:rPr>
                  </w:pPr>
                  <w:r>
                    <w:rPr>
                      <w:rFonts w:ascii="Times New Roman"/>
                      <w:sz w:val="18"/>
                    </w:rPr>
                    <w:t>III</w:t>
                  </w:r>
                </w:p>
              </w:txbxContent>
            </v:textbox>
            <w10:wrap type="topAndBottom"/>
          </v:shape>
        </w:pict>
      </w:r>
    </w:p>
    <w:p>
      <w:pPr>
        <w:spacing w:after="0"/>
        <w:rPr>
          <w:sz w:val="13"/>
        </w:rPr>
        <w:sectPr>
          <w:headerReference w:type="even" r:id="rId9"/>
          <w:headerReference w:type="default" r:id="rId10"/>
          <w:pgSz w:w="11910" w:h="16840"/>
          <w:pgMar w:top="1640" w:right="260" w:bottom="280" w:left="240" w:header="1448" w:footer="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11"/>
          <w:headerReference w:type="default" r:id="rId12"/>
          <w:pgSz w:w="11910" w:h="16840"/>
          <w:pgMar w:top="1580" w:right="260" w:bottom="280" w:left="240" w:header="0" w:footer="0"/>
          <w:pgNumType w:start="7"/>
          <w:cols w:space="708"/>
        </w:sectPr>
      </w:pPr>
    </w:p>
    <w:p>
      <w:pPr>
        <w:pStyle w:val="BodyText"/>
        <w:spacing w:before="61"/>
        <w:ind w:right="870"/>
        <w:jc w:val="right"/>
        <w:rPr>
          <w:rFonts w:ascii="黑体" w:hAnsi="黑体"/>
        </w:rPr>
      </w:pPr>
      <w:r>
        <w:pict>
          <v:group id="_x0000_s1033" style="width:595.5pt;height:842.15pt;margin-top:-0.09pt;margin-left:-0.09pt;mso-position-horizontal-relative:page;mso-position-vertical-relative:page;position:absolute;z-index:-251651072" coordorigin="-2,-2" coordsize="11910,168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6067;height:8051;left:2650;position:absolute;top:4649" stroked="f">
              <v:imagedata r:id="rId13" o:title=""/>
            </v:shape>
            <v:rect id="_x0000_s1035" style="width:11906;height:16838;position:absolute" filled="f" stroked="t" strokecolor="#231916" strokeweight="0.22pt">
              <v:stroke dashstyle="solid"/>
            </v:rect>
            <v:shape id="_x0000_s1036" type="#_x0000_t75" style="width:11200;height:7680;left:340;position:absolute;top:8258" stroked="f">
              <v:imagedata r:id="rId4" o:title=""/>
            </v:shape>
          </v:group>
        </w:pict>
      </w:r>
      <w:r>
        <w:rPr>
          <w:rFonts w:ascii="黑体" w:hAnsi="黑体"/>
        </w:rPr>
        <w:t>DB4201/T 537—2018</w:t>
      </w:r>
    </w:p>
    <w:p>
      <w:pPr>
        <w:pStyle w:val="BodyText"/>
        <w:rPr>
          <w:rFonts w:ascii="黑体"/>
          <w:sz w:val="20"/>
        </w:rPr>
      </w:pPr>
    </w:p>
    <w:p>
      <w:pPr>
        <w:pStyle w:val="BodyText"/>
        <w:rPr>
          <w:rFonts w:ascii="黑体"/>
          <w:sz w:val="20"/>
        </w:rPr>
      </w:pPr>
    </w:p>
    <w:p>
      <w:pPr>
        <w:pStyle w:val="BodyText"/>
        <w:spacing w:before="10"/>
        <w:rPr>
          <w:rFonts w:ascii="黑体"/>
          <w:sz w:val="26"/>
        </w:rPr>
      </w:pPr>
    </w:p>
    <w:p>
      <w:pPr>
        <w:pStyle w:val="Heading1"/>
        <w:spacing w:before="54"/>
        <w:ind w:left="190"/>
      </w:pPr>
      <w:bookmarkStart w:id="2" w:name="武汉市房屋安全鉴定技术规程"/>
      <w:bookmarkEnd w:id="2"/>
      <w:r>
        <w:t>武汉市房屋安全鉴定技术规程</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16"/>
        </w:rPr>
      </w:pPr>
    </w:p>
    <w:p>
      <w:pPr>
        <w:pStyle w:val="ListParagraph"/>
        <w:numPr>
          <w:ilvl w:val="0"/>
          <w:numId w:val="19"/>
        </w:numPr>
        <w:tabs>
          <w:tab w:val="left" w:pos="1493"/>
        </w:tabs>
        <w:spacing w:before="0" w:after="0" w:line="240" w:lineRule="auto"/>
        <w:ind w:left="1492" w:right="0" w:hanging="315"/>
        <w:jc w:val="left"/>
        <w:rPr>
          <w:rFonts w:ascii="黑体" w:eastAsia="黑体" w:hint="eastAsia"/>
          <w:sz w:val="21"/>
        </w:rPr>
      </w:pPr>
      <w:bookmarkStart w:id="3" w:name="1　 范围"/>
      <w:bookmarkEnd w:id="3"/>
      <w:r>
        <w:rPr>
          <w:rFonts w:ascii="黑体" w:eastAsia="黑体" w:hint="eastAsia"/>
          <w:sz w:val="21"/>
        </w:rPr>
        <w:t>范围</w:t>
      </w:r>
    </w:p>
    <w:p>
      <w:pPr>
        <w:pStyle w:val="BodyText"/>
        <w:spacing w:before="9"/>
        <w:rPr>
          <w:rFonts w:ascii="黑体"/>
          <w:sz w:val="27"/>
        </w:rPr>
      </w:pPr>
    </w:p>
    <w:p>
      <w:pPr>
        <w:pStyle w:val="BodyText"/>
        <w:spacing w:line="278" w:lineRule="auto"/>
        <w:ind w:left="1178" w:right="981" w:firstLine="420"/>
      </w:pPr>
      <w:bookmarkStart w:id="4" w:name="本规程规定了武汉市房屋安全鉴定的基本规定、基本要求、地基危险性鉴定、构件危险性鉴"/>
      <w:bookmarkEnd w:id="4"/>
      <w:r>
        <w:rPr>
          <w:spacing w:val="-3"/>
        </w:rPr>
        <w:t>本规程规定了武汉市房屋安全鉴定的基本规定、基本要求、地基危险性鉴定、构件危险性鉴定、房屋危险性鉴定等内容。</w:t>
      </w:r>
    </w:p>
    <w:p>
      <w:pPr>
        <w:pStyle w:val="BodyText"/>
        <w:spacing w:line="278" w:lineRule="auto"/>
        <w:ind w:left="1178" w:right="875" w:firstLine="419"/>
      </w:pPr>
      <w:bookmarkStart w:id="5" w:name="本规程适用于武汉市行政区域内高度不超过100 m的既有房屋的安全鉴定。其他房屋的"/>
      <w:bookmarkEnd w:id="5"/>
      <w:r>
        <w:rPr>
          <w:spacing w:val="-5"/>
        </w:rPr>
        <w:t xml:space="preserve">本规程适用于武汉市行政区域内高度不超过 </w:t>
      </w:r>
      <w:r>
        <w:t>100</w:t>
      </w:r>
      <w:r>
        <w:rPr>
          <w:spacing w:val="-39"/>
        </w:rPr>
        <w:t xml:space="preserve"> </w:t>
      </w:r>
      <w:r>
        <w:t>m</w:t>
      </w:r>
      <w:r>
        <w:rPr>
          <w:spacing w:val="-12"/>
        </w:rPr>
        <w:t xml:space="preserve"> 的既有房屋的安全鉴定。其他房屋的安全鉴定， </w:t>
      </w:r>
      <w:r>
        <w:rPr>
          <w:spacing w:val="-6"/>
        </w:rPr>
        <w:t>可参照本规程。</w:t>
      </w:r>
    </w:p>
    <w:p>
      <w:pPr>
        <w:pStyle w:val="BodyText"/>
        <w:spacing w:before="6"/>
        <w:rPr>
          <w:sz w:val="24"/>
        </w:rPr>
      </w:pPr>
    </w:p>
    <w:p>
      <w:pPr>
        <w:pStyle w:val="ListParagraph"/>
        <w:numPr>
          <w:ilvl w:val="0"/>
          <w:numId w:val="19"/>
        </w:numPr>
        <w:tabs>
          <w:tab w:val="left" w:pos="1493"/>
        </w:tabs>
        <w:spacing w:before="1" w:after="0" w:line="240" w:lineRule="auto"/>
        <w:ind w:left="1492" w:right="0" w:hanging="315"/>
        <w:jc w:val="left"/>
        <w:rPr>
          <w:rFonts w:ascii="黑体" w:eastAsia="黑体" w:hint="eastAsia"/>
          <w:sz w:val="21"/>
        </w:rPr>
      </w:pPr>
      <w:bookmarkStart w:id="6" w:name="2　 规范性引用文件"/>
      <w:bookmarkEnd w:id="6"/>
      <w:r>
        <w:rPr>
          <w:rFonts w:ascii="黑体" w:eastAsia="黑体" w:hint="eastAsia"/>
          <w:spacing w:val="-2"/>
          <w:sz w:val="21"/>
        </w:rPr>
        <w:t>规范性引用文件</w:t>
      </w:r>
    </w:p>
    <w:p>
      <w:pPr>
        <w:pStyle w:val="BodyText"/>
        <w:spacing w:before="6"/>
        <w:rPr>
          <w:rFonts w:ascii="黑体"/>
          <w:sz w:val="27"/>
        </w:rPr>
      </w:pPr>
    </w:p>
    <w:p>
      <w:pPr>
        <w:pStyle w:val="BodyText"/>
        <w:spacing w:line="278" w:lineRule="auto"/>
        <w:ind w:left="1178" w:right="982" w:firstLine="420"/>
      </w:pPr>
      <w:r>
        <w:t>下列文件对于本文件的应用是必不可少的，凡是注日期的引用文件，仅注日期的版本适用于本文件。凡是不注日期的引用文件，其最新版本（包括所有的修改单）适用于本文件。</w:t>
      </w:r>
    </w:p>
    <w:p>
      <w:pPr>
        <w:pStyle w:val="BodyText"/>
        <w:ind w:left="1598"/>
      </w:pPr>
      <w:r>
        <w:pict>
          <v:group id="_x0000_s1037" style="width:458.15pt;height:292.85pt;margin-top:110.6pt;margin-left:70.92pt;mso-position-horizontal-relative:page;position:absolute;z-index:-251650048" coordorigin="1418,2212" coordsize="9163,5857">
            <v:shape id="_x0000_s1038" type="#_x0000_t202" style="width:3592;height:524;left:1838;position:absolute;top:2212" filled="f" stroked="f">
              <v:textbox inset="0,0,0,0">
                <w:txbxContent>
                  <w:p>
                    <w:pPr>
                      <w:spacing w:before="0" w:line="241" w:lineRule="exact"/>
                      <w:ind w:left="0" w:right="0" w:firstLine="0"/>
                      <w:jc w:val="left"/>
                      <w:rPr>
                        <w:sz w:val="21"/>
                      </w:rPr>
                    </w:pPr>
                    <w:r>
                      <w:rPr>
                        <w:sz w:val="21"/>
                      </w:rPr>
                      <w:t>GB/T 50152 混凝土结构试验方法标准</w:t>
                    </w:r>
                  </w:p>
                  <w:p>
                    <w:pPr>
                      <w:spacing w:before="43" w:line="240" w:lineRule="exact"/>
                      <w:ind w:left="0" w:right="0" w:firstLine="0"/>
                      <w:jc w:val="left"/>
                      <w:rPr>
                        <w:sz w:val="21"/>
                      </w:rPr>
                    </w:pPr>
                    <w:r>
                      <w:rPr>
                        <w:sz w:val="21"/>
                      </w:rPr>
                      <w:t>GB 50292 民用建筑可靠性鉴定标准</w:t>
                    </w:r>
                  </w:p>
                </w:txbxContent>
              </v:textbox>
            </v:shape>
            <v:shape id="_x0000_s1039" type="#_x0000_t202" style="width:4749;height:836;left:1838;position:absolute;top:3771" filled="f" stroked="f">
              <v:textbox inset="0,0,0,0">
                <w:txbxContent>
                  <w:p>
                    <w:pPr>
                      <w:spacing w:before="0" w:line="241" w:lineRule="exact"/>
                      <w:ind w:left="0" w:right="0" w:firstLine="0"/>
                      <w:jc w:val="left"/>
                      <w:rPr>
                        <w:sz w:val="21"/>
                      </w:rPr>
                    </w:pPr>
                    <w:r>
                      <w:rPr>
                        <w:sz w:val="21"/>
                      </w:rPr>
                      <w:t>JGJ 8 建筑变形测量规范</w:t>
                    </w:r>
                  </w:p>
                  <w:p>
                    <w:pPr>
                      <w:spacing w:before="43"/>
                      <w:ind w:left="0" w:right="0" w:firstLine="0"/>
                      <w:jc w:val="left"/>
                      <w:rPr>
                        <w:sz w:val="21"/>
                      </w:rPr>
                    </w:pPr>
                    <w:r>
                      <w:rPr>
                        <w:sz w:val="21"/>
                      </w:rPr>
                      <w:t>JGJ 125 危险房屋鉴定标准</w:t>
                    </w:r>
                  </w:p>
                  <w:p>
                    <w:pPr>
                      <w:spacing w:before="42" w:line="240" w:lineRule="exact"/>
                      <w:ind w:left="0" w:right="0" w:firstLine="0"/>
                      <w:jc w:val="left"/>
                      <w:rPr>
                        <w:sz w:val="21"/>
                      </w:rPr>
                    </w:pPr>
                    <w:r>
                      <w:rPr>
                        <w:sz w:val="21"/>
                      </w:rPr>
                      <w:t>建设部城住字[84]第678号 房屋完损等级评定标准</w:t>
                    </w:r>
                  </w:p>
                </w:txbxContent>
              </v:textbox>
            </v:shape>
            <v:shape id="_x0000_s1040" type="#_x0000_t202" style="width:1389;height:212;left:1418;position:absolute;top:5022" filled="f" stroked="f">
              <v:textbox inset="0,0,0,0">
                <w:txbxContent>
                  <w:p>
                    <w:pPr>
                      <w:spacing w:before="0" w:line="211" w:lineRule="exact"/>
                      <w:ind w:left="0" w:right="0" w:firstLine="0"/>
                      <w:jc w:val="left"/>
                      <w:rPr>
                        <w:rFonts w:ascii="黑体" w:eastAsia="黑体" w:hint="eastAsia"/>
                        <w:sz w:val="21"/>
                      </w:rPr>
                    </w:pPr>
                    <w:bookmarkStart w:id="7" w:name="3　 术语和定义"/>
                    <w:bookmarkEnd w:id="7"/>
                    <w:r>
                      <w:rPr>
                        <w:rFonts w:ascii="黑体" w:eastAsia="黑体" w:hint="eastAsia"/>
                        <w:sz w:val="21"/>
                      </w:rPr>
                      <w:t>3 术语和定义</w:t>
                    </w:r>
                  </w:p>
                </w:txbxContent>
              </v:textbox>
            </v:shape>
            <v:shape id="_x0000_s1041" type="#_x0000_t202" style="width:2965;height:212;left:1898;position:absolute;top:5644" filled="f" stroked="f">
              <v:textbox inset="0,0,0,0">
                <w:txbxContent>
                  <w:p>
                    <w:pPr>
                      <w:spacing w:before="0" w:line="211" w:lineRule="exact"/>
                      <w:ind w:left="0" w:right="0" w:firstLine="0"/>
                      <w:jc w:val="left"/>
                      <w:rPr>
                        <w:sz w:val="21"/>
                      </w:rPr>
                    </w:pPr>
                    <w:r>
                      <w:rPr>
                        <w:sz w:val="21"/>
                      </w:rPr>
                      <w:t>下列术语和定义适用于本文件。</w:t>
                    </w:r>
                  </w:p>
                </w:txbxContent>
              </v:textbox>
            </v:shape>
            <v:shape id="_x0000_s1042" type="#_x0000_t202" style="width:337;height:212;left:1418;position:absolute;top:6112" filled="f" stroked="f">
              <v:textbox inset="0,0,0,0">
                <w:txbxContent>
                  <w:p>
                    <w:pPr>
                      <w:spacing w:before="0" w:line="211" w:lineRule="exact"/>
                      <w:ind w:left="0" w:right="0" w:firstLine="0"/>
                      <w:jc w:val="left"/>
                      <w:rPr>
                        <w:rFonts w:ascii="黑体"/>
                        <w:sz w:val="21"/>
                      </w:rPr>
                    </w:pPr>
                    <w:bookmarkStart w:id="8" w:name="3.1"/>
                    <w:bookmarkEnd w:id="8"/>
                    <w:r>
                      <w:rPr>
                        <w:rFonts w:ascii="黑体"/>
                        <w:sz w:val="21"/>
                      </w:rPr>
                      <w:t>3.1</w:t>
                    </w:r>
                  </w:p>
                </w:txbxContent>
              </v:textbox>
            </v:shape>
            <v:shape id="_x0000_s1043" type="#_x0000_t202" style="width:4225;height:680;left:1838;position:absolute;top:6580" filled="f" stroked="f">
              <v:textbox inset="0,0,0,0">
                <w:txbxContent>
                  <w:p>
                    <w:pPr>
                      <w:spacing w:before="0" w:line="241" w:lineRule="exact"/>
                      <w:ind w:left="0" w:right="0" w:firstLine="0"/>
                      <w:jc w:val="left"/>
                      <w:rPr>
                        <w:rFonts w:ascii="黑体" w:eastAsia="黑体" w:hint="eastAsia"/>
                        <w:sz w:val="21"/>
                      </w:rPr>
                    </w:pPr>
                    <w:bookmarkStart w:id="9" w:name="房屋安全鉴定  building safety appraisal"/>
                    <w:bookmarkEnd w:id="9"/>
                    <w:r>
                      <w:rPr>
                        <w:rFonts w:ascii="黑体" w:eastAsia="黑体" w:hint="eastAsia"/>
                        <w:sz w:val="21"/>
                      </w:rPr>
                      <w:t>房屋安全鉴定 building safety appraisal</w:t>
                    </w:r>
                  </w:p>
                  <w:p>
                    <w:pPr>
                      <w:spacing w:before="6" w:line="240" w:lineRule="auto"/>
                      <w:rPr>
                        <w:rFonts w:ascii="黑体"/>
                        <w:sz w:val="15"/>
                      </w:rPr>
                    </w:pPr>
                  </w:p>
                  <w:p>
                    <w:pPr>
                      <w:spacing w:before="0" w:line="240" w:lineRule="exact"/>
                      <w:ind w:left="0" w:right="0" w:firstLine="0"/>
                      <w:jc w:val="left"/>
                      <w:rPr>
                        <w:sz w:val="21"/>
                      </w:rPr>
                    </w:pPr>
                    <w:r>
                      <w:rPr>
                        <w:sz w:val="21"/>
                      </w:rPr>
                      <w:t>为确定既有房屋结构安全状况所进行的鉴定。</w:t>
                    </w:r>
                  </w:p>
                </w:txbxContent>
              </v:textbox>
            </v:shape>
            <v:shape id="_x0000_s1044" type="#_x0000_t202" style="width:337;height:212;left:1418;position:absolute;top:7516" filled="f" stroked="f">
              <v:textbox inset="0,0,0,0">
                <w:txbxContent>
                  <w:p>
                    <w:pPr>
                      <w:spacing w:before="0" w:line="211" w:lineRule="exact"/>
                      <w:ind w:left="0" w:right="0" w:firstLine="0"/>
                      <w:jc w:val="left"/>
                      <w:rPr>
                        <w:rFonts w:ascii="黑体"/>
                        <w:sz w:val="21"/>
                      </w:rPr>
                    </w:pPr>
                    <w:bookmarkStart w:id="10" w:name="3.2"/>
                    <w:bookmarkEnd w:id="10"/>
                    <w:r>
                      <w:rPr>
                        <w:rFonts w:ascii="黑体"/>
                        <w:sz w:val="21"/>
                      </w:rPr>
                      <w:t>3.2</w:t>
                    </w:r>
                  </w:p>
                </w:txbxContent>
              </v:textbox>
            </v:shape>
            <v:shape id="_x0000_s1045" type="#_x0000_t202" style="width:110;height:200;left:10471;position:absolute;top:7868" filled="f" stroked="f">
              <v:textbox inset="0,0,0,0">
                <w:txbxContent>
                  <w:p>
                    <w:pPr>
                      <w:spacing w:before="0" w:line="199" w:lineRule="exact"/>
                      <w:ind w:left="0" w:right="0" w:firstLine="0"/>
                      <w:jc w:val="left"/>
                      <w:rPr>
                        <w:rFonts w:ascii="Times New Roman"/>
                        <w:sz w:val="18"/>
                      </w:rPr>
                    </w:pPr>
                    <w:r>
                      <w:rPr>
                        <w:rFonts w:ascii="Times New Roman"/>
                        <w:sz w:val="18"/>
                      </w:rPr>
                      <w:t>1</w:t>
                    </w:r>
                  </w:p>
                </w:txbxContent>
              </v:textbox>
            </v:shape>
          </v:group>
        </w:pict>
      </w:r>
      <w:r>
        <w:t xml:space="preserve">GB/T 228（所有部分） </w:t>
      </w:r>
      <w:r>
        <w:rPr>
          <w:shd w:val="clear" w:color="auto" w:fill="FFFFFF"/>
        </w:rPr>
        <w:t>金属材料拉伸试验</w:t>
      </w:r>
    </w:p>
    <w:p>
      <w:pPr>
        <w:pStyle w:val="BodyText"/>
        <w:spacing w:before="7"/>
        <w:rPr>
          <w:sz w:val="5"/>
        </w:rPr>
      </w:pPr>
    </w:p>
    <w:tbl>
      <w:tblPr>
        <w:tblStyle w:val="TableNormal0"/>
        <w:tblW w:w="0" w:type="auto"/>
        <w:jc w:val="left"/>
        <w:tblInd w:w="1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4"/>
        <w:gridCol w:w="683"/>
        <w:gridCol w:w="2257"/>
      </w:tblGrid>
      <w:tr>
        <w:tblPrEx>
          <w:tblW w:w="0" w:type="auto"/>
          <w:jc w:val="left"/>
          <w:tblInd w:w="1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1"/>
          <w:jc w:val="left"/>
        </w:trPr>
        <w:tc>
          <w:tcPr>
            <w:tcW w:w="314" w:type="dxa"/>
          </w:tcPr>
          <w:p>
            <w:pPr>
              <w:pStyle w:val="TableParagraph"/>
              <w:spacing w:line="241" w:lineRule="exact"/>
              <w:ind w:right="50"/>
              <w:jc w:val="right"/>
              <w:rPr>
                <w:sz w:val="21"/>
              </w:rPr>
            </w:pPr>
            <w:r>
              <w:rPr>
                <w:sz w:val="21"/>
              </w:rPr>
              <w:t>GB</w:t>
            </w:r>
          </w:p>
        </w:tc>
        <w:tc>
          <w:tcPr>
            <w:tcW w:w="683" w:type="dxa"/>
          </w:tcPr>
          <w:p>
            <w:pPr>
              <w:pStyle w:val="TableParagraph"/>
              <w:spacing w:line="241" w:lineRule="exact"/>
              <w:ind w:left="34" w:right="83"/>
              <w:jc w:val="center"/>
              <w:rPr>
                <w:sz w:val="21"/>
              </w:rPr>
            </w:pPr>
            <w:r>
              <w:rPr>
                <w:sz w:val="21"/>
              </w:rPr>
              <w:t>50003</w:t>
            </w:r>
          </w:p>
        </w:tc>
        <w:tc>
          <w:tcPr>
            <w:tcW w:w="2257" w:type="dxa"/>
          </w:tcPr>
          <w:p>
            <w:pPr>
              <w:pStyle w:val="TableParagraph"/>
              <w:spacing w:line="241" w:lineRule="exact"/>
              <w:ind w:left="104"/>
              <w:rPr>
                <w:sz w:val="21"/>
              </w:rPr>
            </w:pPr>
            <w:r>
              <w:rPr>
                <w:sz w:val="21"/>
              </w:rPr>
              <w:t>砌体结构设计规范</w:t>
            </w:r>
          </w:p>
        </w:tc>
      </w:tr>
      <w:tr>
        <w:tblPrEx>
          <w:tblW w:w="0" w:type="auto"/>
          <w:jc w:val="left"/>
          <w:tblInd w:w="1556" w:type="dxa"/>
          <w:tblLayout w:type="fixed"/>
          <w:tblCellMar>
            <w:top w:w="0" w:type="dxa"/>
            <w:left w:w="0" w:type="dxa"/>
            <w:bottom w:w="0" w:type="dxa"/>
            <w:right w:w="0" w:type="dxa"/>
          </w:tblCellMar>
          <w:tblLook w:val="01E0"/>
        </w:tblPrEx>
        <w:trPr>
          <w:trHeight w:val="311"/>
          <w:jc w:val="left"/>
        </w:trPr>
        <w:tc>
          <w:tcPr>
            <w:tcW w:w="314" w:type="dxa"/>
          </w:tcPr>
          <w:p>
            <w:pPr>
              <w:pStyle w:val="TableParagraph"/>
              <w:spacing w:before="22"/>
              <w:ind w:right="50"/>
              <w:jc w:val="right"/>
              <w:rPr>
                <w:sz w:val="21"/>
              </w:rPr>
            </w:pPr>
            <w:r>
              <w:rPr>
                <w:sz w:val="21"/>
              </w:rPr>
              <w:t>GB</w:t>
            </w:r>
          </w:p>
        </w:tc>
        <w:tc>
          <w:tcPr>
            <w:tcW w:w="683" w:type="dxa"/>
          </w:tcPr>
          <w:p>
            <w:pPr>
              <w:pStyle w:val="TableParagraph"/>
              <w:spacing w:before="22"/>
              <w:ind w:left="34" w:right="83"/>
              <w:jc w:val="center"/>
              <w:rPr>
                <w:sz w:val="21"/>
              </w:rPr>
            </w:pPr>
            <w:r>
              <w:rPr>
                <w:sz w:val="21"/>
              </w:rPr>
              <w:t>50005</w:t>
            </w:r>
          </w:p>
        </w:tc>
        <w:tc>
          <w:tcPr>
            <w:tcW w:w="2257" w:type="dxa"/>
          </w:tcPr>
          <w:p>
            <w:pPr>
              <w:pStyle w:val="TableParagraph"/>
              <w:spacing w:before="22"/>
              <w:ind w:left="104"/>
              <w:rPr>
                <w:sz w:val="21"/>
              </w:rPr>
            </w:pPr>
            <w:r>
              <w:rPr>
                <w:sz w:val="21"/>
              </w:rPr>
              <w:t>木结构设计规范</w:t>
            </w:r>
          </w:p>
        </w:tc>
      </w:tr>
      <w:tr>
        <w:tblPrEx>
          <w:tblW w:w="0" w:type="auto"/>
          <w:jc w:val="left"/>
          <w:tblInd w:w="1556" w:type="dxa"/>
          <w:tblLayout w:type="fixed"/>
          <w:tblCellMar>
            <w:top w:w="0" w:type="dxa"/>
            <w:left w:w="0" w:type="dxa"/>
            <w:bottom w:w="0" w:type="dxa"/>
            <w:right w:w="0" w:type="dxa"/>
          </w:tblCellMar>
          <w:tblLook w:val="01E0"/>
        </w:tblPrEx>
        <w:trPr>
          <w:trHeight w:val="311"/>
          <w:jc w:val="left"/>
        </w:trPr>
        <w:tc>
          <w:tcPr>
            <w:tcW w:w="314" w:type="dxa"/>
          </w:tcPr>
          <w:p>
            <w:pPr>
              <w:pStyle w:val="TableParagraph"/>
              <w:spacing w:before="22"/>
              <w:ind w:right="50"/>
              <w:jc w:val="right"/>
              <w:rPr>
                <w:sz w:val="21"/>
              </w:rPr>
            </w:pPr>
            <w:r>
              <w:rPr>
                <w:sz w:val="21"/>
              </w:rPr>
              <w:t>GB</w:t>
            </w:r>
          </w:p>
        </w:tc>
        <w:tc>
          <w:tcPr>
            <w:tcW w:w="683" w:type="dxa"/>
          </w:tcPr>
          <w:p>
            <w:pPr>
              <w:pStyle w:val="TableParagraph"/>
              <w:spacing w:before="22"/>
              <w:ind w:left="34" w:right="83"/>
              <w:jc w:val="center"/>
              <w:rPr>
                <w:sz w:val="21"/>
              </w:rPr>
            </w:pPr>
            <w:r>
              <w:rPr>
                <w:sz w:val="21"/>
              </w:rPr>
              <w:t>50007</w:t>
            </w:r>
          </w:p>
        </w:tc>
        <w:tc>
          <w:tcPr>
            <w:tcW w:w="2257" w:type="dxa"/>
          </w:tcPr>
          <w:p>
            <w:pPr>
              <w:pStyle w:val="TableParagraph"/>
              <w:spacing w:before="22"/>
              <w:ind w:left="104"/>
              <w:rPr>
                <w:sz w:val="21"/>
              </w:rPr>
            </w:pPr>
            <w:r>
              <w:rPr>
                <w:sz w:val="21"/>
              </w:rPr>
              <w:t>建筑地基基础设计规范</w:t>
            </w:r>
          </w:p>
        </w:tc>
      </w:tr>
      <w:tr>
        <w:tblPrEx>
          <w:tblW w:w="0" w:type="auto"/>
          <w:jc w:val="left"/>
          <w:tblInd w:w="1556" w:type="dxa"/>
          <w:tblLayout w:type="fixed"/>
          <w:tblCellMar>
            <w:top w:w="0" w:type="dxa"/>
            <w:left w:w="0" w:type="dxa"/>
            <w:bottom w:w="0" w:type="dxa"/>
            <w:right w:w="0" w:type="dxa"/>
          </w:tblCellMar>
          <w:tblLook w:val="01E0"/>
        </w:tblPrEx>
        <w:trPr>
          <w:trHeight w:val="311"/>
          <w:jc w:val="left"/>
        </w:trPr>
        <w:tc>
          <w:tcPr>
            <w:tcW w:w="314" w:type="dxa"/>
          </w:tcPr>
          <w:p>
            <w:pPr>
              <w:pStyle w:val="TableParagraph"/>
              <w:spacing w:before="22"/>
              <w:ind w:right="50"/>
              <w:jc w:val="right"/>
              <w:rPr>
                <w:sz w:val="21"/>
              </w:rPr>
            </w:pPr>
            <w:r>
              <w:rPr>
                <w:sz w:val="21"/>
              </w:rPr>
              <w:t>GB</w:t>
            </w:r>
          </w:p>
        </w:tc>
        <w:tc>
          <w:tcPr>
            <w:tcW w:w="683" w:type="dxa"/>
          </w:tcPr>
          <w:p>
            <w:pPr>
              <w:pStyle w:val="TableParagraph"/>
              <w:spacing w:before="22"/>
              <w:ind w:left="34" w:right="83"/>
              <w:jc w:val="center"/>
              <w:rPr>
                <w:sz w:val="21"/>
              </w:rPr>
            </w:pPr>
            <w:r>
              <w:rPr>
                <w:sz w:val="21"/>
              </w:rPr>
              <w:t>50009</w:t>
            </w:r>
          </w:p>
        </w:tc>
        <w:tc>
          <w:tcPr>
            <w:tcW w:w="2257" w:type="dxa"/>
          </w:tcPr>
          <w:p>
            <w:pPr>
              <w:pStyle w:val="TableParagraph"/>
              <w:spacing w:before="22"/>
              <w:ind w:left="104"/>
              <w:rPr>
                <w:sz w:val="21"/>
              </w:rPr>
            </w:pPr>
            <w:r>
              <w:rPr>
                <w:sz w:val="21"/>
              </w:rPr>
              <w:t>建筑结构荷载规范</w:t>
            </w:r>
          </w:p>
        </w:tc>
      </w:tr>
      <w:tr>
        <w:tblPrEx>
          <w:tblW w:w="0" w:type="auto"/>
          <w:jc w:val="left"/>
          <w:tblInd w:w="1556" w:type="dxa"/>
          <w:tblLayout w:type="fixed"/>
          <w:tblCellMar>
            <w:top w:w="0" w:type="dxa"/>
            <w:left w:w="0" w:type="dxa"/>
            <w:bottom w:w="0" w:type="dxa"/>
            <w:right w:w="0" w:type="dxa"/>
          </w:tblCellMar>
          <w:tblLook w:val="01E0"/>
        </w:tblPrEx>
        <w:trPr>
          <w:trHeight w:val="311"/>
          <w:jc w:val="left"/>
        </w:trPr>
        <w:tc>
          <w:tcPr>
            <w:tcW w:w="314" w:type="dxa"/>
          </w:tcPr>
          <w:p>
            <w:pPr>
              <w:pStyle w:val="TableParagraph"/>
              <w:spacing w:before="22"/>
              <w:ind w:right="50"/>
              <w:jc w:val="right"/>
              <w:rPr>
                <w:sz w:val="21"/>
              </w:rPr>
            </w:pPr>
            <w:r>
              <w:rPr>
                <w:sz w:val="21"/>
              </w:rPr>
              <w:t>GB</w:t>
            </w:r>
          </w:p>
        </w:tc>
        <w:tc>
          <w:tcPr>
            <w:tcW w:w="683" w:type="dxa"/>
          </w:tcPr>
          <w:p>
            <w:pPr>
              <w:pStyle w:val="TableParagraph"/>
              <w:spacing w:before="22"/>
              <w:ind w:left="34" w:right="83"/>
              <w:jc w:val="center"/>
              <w:rPr>
                <w:sz w:val="21"/>
              </w:rPr>
            </w:pPr>
            <w:r>
              <w:rPr>
                <w:sz w:val="21"/>
              </w:rPr>
              <w:t>50010</w:t>
            </w:r>
          </w:p>
        </w:tc>
        <w:tc>
          <w:tcPr>
            <w:tcW w:w="2257" w:type="dxa"/>
          </w:tcPr>
          <w:p>
            <w:pPr>
              <w:pStyle w:val="TableParagraph"/>
              <w:spacing w:before="22"/>
              <w:ind w:left="104"/>
              <w:rPr>
                <w:sz w:val="21"/>
              </w:rPr>
            </w:pPr>
            <w:r>
              <w:rPr>
                <w:sz w:val="21"/>
              </w:rPr>
              <w:t>混凝土结构设计规范</w:t>
            </w:r>
          </w:p>
        </w:tc>
      </w:tr>
      <w:tr>
        <w:tblPrEx>
          <w:tblW w:w="0" w:type="auto"/>
          <w:jc w:val="left"/>
          <w:tblInd w:w="1556" w:type="dxa"/>
          <w:tblLayout w:type="fixed"/>
          <w:tblCellMar>
            <w:top w:w="0" w:type="dxa"/>
            <w:left w:w="0" w:type="dxa"/>
            <w:bottom w:w="0" w:type="dxa"/>
            <w:right w:w="0" w:type="dxa"/>
          </w:tblCellMar>
          <w:tblLook w:val="01E0"/>
        </w:tblPrEx>
        <w:trPr>
          <w:trHeight w:val="261"/>
          <w:jc w:val="left"/>
        </w:trPr>
        <w:tc>
          <w:tcPr>
            <w:tcW w:w="314" w:type="dxa"/>
          </w:tcPr>
          <w:p>
            <w:pPr>
              <w:pStyle w:val="TableParagraph"/>
              <w:spacing w:before="22" w:line="220" w:lineRule="exact"/>
              <w:ind w:right="50"/>
              <w:jc w:val="right"/>
              <w:rPr>
                <w:sz w:val="21"/>
              </w:rPr>
            </w:pPr>
            <w:r>
              <w:rPr>
                <w:sz w:val="21"/>
              </w:rPr>
              <w:t>GB</w:t>
            </w:r>
          </w:p>
        </w:tc>
        <w:tc>
          <w:tcPr>
            <w:tcW w:w="683" w:type="dxa"/>
          </w:tcPr>
          <w:p>
            <w:pPr>
              <w:pStyle w:val="TableParagraph"/>
              <w:spacing w:before="22" w:line="220" w:lineRule="exact"/>
              <w:ind w:left="34" w:right="83"/>
              <w:jc w:val="center"/>
              <w:rPr>
                <w:sz w:val="21"/>
              </w:rPr>
            </w:pPr>
            <w:r>
              <w:rPr>
                <w:sz w:val="21"/>
              </w:rPr>
              <w:t>50017</w:t>
            </w:r>
          </w:p>
        </w:tc>
        <w:tc>
          <w:tcPr>
            <w:tcW w:w="2257" w:type="dxa"/>
          </w:tcPr>
          <w:p>
            <w:pPr>
              <w:pStyle w:val="TableParagraph"/>
              <w:spacing w:before="22" w:line="220" w:lineRule="exact"/>
              <w:ind w:left="104"/>
              <w:rPr>
                <w:sz w:val="21"/>
              </w:rPr>
            </w:pPr>
            <w:r>
              <w:rPr>
                <w:sz w:val="21"/>
              </w:rPr>
              <w:t>钢结构设计规范</w:t>
            </w:r>
          </w:p>
        </w:tc>
      </w:tr>
    </w:tbl>
    <w:p>
      <w:pPr>
        <w:pStyle w:val="BodyText"/>
        <w:rPr>
          <w:sz w:val="20"/>
        </w:rPr>
      </w:pPr>
    </w:p>
    <w:p>
      <w:pPr>
        <w:pStyle w:val="BodyText"/>
        <w:rPr>
          <w:sz w:val="20"/>
        </w:rPr>
      </w:pPr>
    </w:p>
    <w:p>
      <w:pPr>
        <w:pStyle w:val="BodyText"/>
        <w:spacing w:before="7" w:after="1"/>
        <w:rPr>
          <w:sz w:val="16"/>
        </w:rPr>
      </w:pPr>
    </w:p>
    <w:tbl>
      <w:tblPr>
        <w:tblStyle w:val="TableNormal0"/>
        <w:tblW w:w="0" w:type="auto"/>
        <w:jc w:val="left"/>
        <w:tblInd w:w="1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5"/>
        <w:gridCol w:w="683"/>
        <w:gridCol w:w="2884"/>
      </w:tblGrid>
      <w:tr>
        <w:tblPrEx>
          <w:tblW w:w="0" w:type="auto"/>
          <w:jc w:val="left"/>
          <w:tblInd w:w="1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1"/>
          <w:jc w:val="left"/>
        </w:trPr>
        <w:tc>
          <w:tcPr>
            <w:tcW w:w="525" w:type="dxa"/>
          </w:tcPr>
          <w:p>
            <w:pPr>
              <w:pStyle w:val="TableParagraph"/>
              <w:spacing w:line="241" w:lineRule="exact"/>
              <w:ind w:left="32" w:right="32"/>
              <w:jc w:val="center"/>
              <w:rPr>
                <w:sz w:val="21"/>
              </w:rPr>
            </w:pPr>
            <w:r>
              <w:rPr>
                <w:sz w:val="21"/>
              </w:rPr>
              <w:t>GB/T</w:t>
            </w:r>
          </w:p>
        </w:tc>
        <w:tc>
          <w:tcPr>
            <w:tcW w:w="683" w:type="dxa"/>
          </w:tcPr>
          <w:p>
            <w:pPr>
              <w:pStyle w:val="TableParagraph"/>
              <w:spacing w:line="241" w:lineRule="exact"/>
              <w:ind w:left="34" w:right="83"/>
              <w:jc w:val="center"/>
              <w:rPr>
                <w:sz w:val="21"/>
              </w:rPr>
            </w:pPr>
            <w:r>
              <w:rPr>
                <w:sz w:val="21"/>
              </w:rPr>
              <w:t>50344</w:t>
            </w:r>
          </w:p>
        </w:tc>
        <w:tc>
          <w:tcPr>
            <w:tcW w:w="2884" w:type="dxa"/>
          </w:tcPr>
          <w:p>
            <w:pPr>
              <w:pStyle w:val="TableParagraph"/>
              <w:spacing w:line="241" w:lineRule="exact"/>
              <w:ind w:left="104"/>
              <w:rPr>
                <w:sz w:val="21"/>
              </w:rPr>
            </w:pPr>
            <w:r>
              <w:rPr>
                <w:sz w:val="21"/>
              </w:rPr>
              <w:t>建筑结构检测技术标准</w:t>
            </w:r>
          </w:p>
        </w:tc>
      </w:tr>
      <w:tr>
        <w:tblPrEx>
          <w:tblW w:w="0" w:type="auto"/>
          <w:jc w:val="left"/>
          <w:tblInd w:w="1556" w:type="dxa"/>
          <w:tblLayout w:type="fixed"/>
          <w:tblCellMar>
            <w:top w:w="0" w:type="dxa"/>
            <w:left w:w="0" w:type="dxa"/>
            <w:bottom w:w="0" w:type="dxa"/>
            <w:right w:w="0" w:type="dxa"/>
          </w:tblCellMar>
          <w:tblLook w:val="01E0"/>
        </w:tblPrEx>
        <w:trPr>
          <w:trHeight w:val="311"/>
          <w:jc w:val="left"/>
        </w:trPr>
        <w:tc>
          <w:tcPr>
            <w:tcW w:w="525" w:type="dxa"/>
          </w:tcPr>
          <w:p>
            <w:pPr>
              <w:pStyle w:val="TableParagraph"/>
              <w:spacing w:before="22"/>
              <w:ind w:left="32" w:right="32"/>
              <w:jc w:val="center"/>
              <w:rPr>
                <w:sz w:val="21"/>
              </w:rPr>
            </w:pPr>
            <w:r>
              <w:rPr>
                <w:sz w:val="21"/>
              </w:rPr>
              <w:t>GB/T</w:t>
            </w:r>
          </w:p>
        </w:tc>
        <w:tc>
          <w:tcPr>
            <w:tcW w:w="683" w:type="dxa"/>
          </w:tcPr>
          <w:p>
            <w:pPr>
              <w:pStyle w:val="TableParagraph"/>
              <w:spacing w:before="22"/>
              <w:ind w:left="34" w:right="83"/>
              <w:jc w:val="center"/>
              <w:rPr>
                <w:sz w:val="21"/>
              </w:rPr>
            </w:pPr>
            <w:r>
              <w:rPr>
                <w:sz w:val="21"/>
              </w:rPr>
              <w:t>50315</w:t>
            </w:r>
          </w:p>
        </w:tc>
        <w:tc>
          <w:tcPr>
            <w:tcW w:w="2884" w:type="dxa"/>
          </w:tcPr>
          <w:p>
            <w:pPr>
              <w:pStyle w:val="TableParagraph"/>
              <w:spacing w:before="22"/>
              <w:ind w:left="104"/>
              <w:rPr>
                <w:sz w:val="21"/>
              </w:rPr>
            </w:pPr>
            <w:r>
              <w:rPr>
                <w:sz w:val="21"/>
              </w:rPr>
              <w:t>砌体工程现场检测技术标准</w:t>
            </w:r>
          </w:p>
        </w:tc>
      </w:tr>
      <w:tr>
        <w:tblPrEx>
          <w:tblW w:w="0" w:type="auto"/>
          <w:jc w:val="left"/>
          <w:tblInd w:w="1556" w:type="dxa"/>
          <w:tblLayout w:type="fixed"/>
          <w:tblCellMar>
            <w:top w:w="0" w:type="dxa"/>
            <w:left w:w="0" w:type="dxa"/>
            <w:bottom w:w="0" w:type="dxa"/>
            <w:right w:w="0" w:type="dxa"/>
          </w:tblCellMar>
          <w:tblLook w:val="01E0"/>
        </w:tblPrEx>
        <w:trPr>
          <w:trHeight w:val="261"/>
          <w:jc w:val="left"/>
        </w:trPr>
        <w:tc>
          <w:tcPr>
            <w:tcW w:w="525" w:type="dxa"/>
          </w:tcPr>
          <w:p>
            <w:pPr>
              <w:pStyle w:val="TableParagraph"/>
              <w:spacing w:before="22" w:line="220" w:lineRule="exact"/>
              <w:ind w:left="32" w:right="32"/>
              <w:jc w:val="center"/>
              <w:rPr>
                <w:sz w:val="21"/>
              </w:rPr>
            </w:pPr>
            <w:r>
              <w:rPr>
                <w:sz w:val="21"/>
              </w:rPr>
              <w:t>GB/T</w:t>
            </w:r>
          </w:p>
        </w:tc>
        <w:tc>
          <w:tcPr>
            <w:tcW w:w="683" w:type="dxa"/>
          </w:tcPr>
          <w:p>
            <w:pPr>
              <w:pStyle w:val="TableParagraph"/>
              <w:spacing w:before="22" w:line="220" w:lineRule="exact"/>
              <w:ind w:left="34" w:right="83"/>
              <w:jc w:val="center"/>
              <w:rPr>
                <w:sz w:val="21"/>
              </w:rPr>
            </w:pPr>
            <w:r>
              <w:rPr>
                <w:sz w:val="21"/>
              </w:rPr>
              <w:t>50784</w:t>
            </w:r>
          </w:p>
        </w:tc>
        <w:tc>
          <w:tcPr>
            <w:tcW w:w="2884" w:type="dxa"/>
          </w:tcPr>
          <w:p>
            <w:pPr>
              <w:pStyle w:val="TableParagraph"/>
              <w:spacing w:before="22" w:line="220" w:lineRule="exact"/>
              <w:ind w:left="104"/>
              <w:rPr>
                <w:sz w:val="21"/>
              </w:rPr>
            </w:pPr>
            <w:r>
              <w:rPr>
                <w:sz w:val="21"/>
              </w:rPr>
              <w:t>混凝土结构现场检测技术标准</w:t>
            </w:r>
          </w:p>
        </w:tc>
      </w:tr>
    </w:tbl>
    <w:p>
      <w:pPr>
        <w:spacing w:after="0" w:line="220" w:lineRule="exact"/>
        <w:rPr>
          <w:sz w:val="21"/>
        </w:rPr>
        <w:sectPr>
          <w:headerReference w:type="even" r:id="rId14"/>
          <w:headerReference w:type="default" r:id="rId15"/>
          <w:pgSz w:w="11910" w:h="16840"/>
          <w:pgMar w:top="1340" w:right="260" w:bottom="280" w:left="240" w:header="0" w:footer="0"/>
          <w:pgNumType w:start="8"/>
          <w:cols w:space="708"/>
        </w:sectPr>
      </w:pPr>
    </w:p>
    <w:p>
      <w:pPr>
        <w:pStyle w:val="BodyText"/>
        <w:spacing w:before="10"/>
        <w:rPr>
          <w:sz w:val="15"/>
        </w:rPr>
      </w:pPr>
    </w:p>
    <w:p>
      <w:pPr>
        <w:pStyle w:val="BodyText"/>
        <w:spacing w:before="71"/>
        <w:ind w:left="1598"/>
        <w:rPr>
          <w:rFonts w:ascii="黑体" w:eastAsia="黑体" w:hint="eastAsia"/>
        </w:rPr>
      </w:pPr>
      <w:bookmarkStart w:id="11" w:name="既有房屋  existing building"/>
      <w:bookmarkEnd w:id="11"/>
      <w:r>
        <w:rPr>
          <w:rFonts w:ascii="黑体" w:eastAsia="黑体" w:hint="eastAsia"/>
        </w:rPr>
        <w:t>既有房屋 existing building</w:t>
      </w:r>
    </w:p>
    <w:p>
      <w:pPr>
        <w:pStyle w:val="BodyText"/>
        <w:spacing w:before="7"/>
        <w:rPr>
          <w:rFonts w:ascii="黑体"/>
          <w:sz w:val="15"/>
        </w:rPr>
      </w:pPr>
    </w:p>
    <w:p>
      <w:pPr>
        <w:pStyle w:val="BodyText"/>
        <w:ind w:left="1598"/>
      </w:pPr>
      <w:r>
        <w:t>建成两年以上且已投入使用的房屋。</w:t>
      </w:r>
    </w:p>
    <w:p>
      <w:pPr>
        <w:pStyle w:val="BodyText"/>
        <w:spacing w:before="12"/>
        <w:rPr>
          <w:sz w:val="9"/>
        </w:rPr>
      </w:pPr>
    </w:p>
    <w:p>
      <w:pPr>
        <w:pStyle w:val="BodyText"/>
        <w:spacing w:before="72"/>
        <w:ind w:left="1178"/>
        <w:rPr>
          <w:rFonts w:ascii="黑体"/>
        </w:rPr>
      </w:pPr>
      <w:bookmarkStart w:id="12" w:name="3.3"/>
      <w:bookmarkEnd w:id="12"/>
      <w:r>
        <w:rPr>
          <w:rFonts w:ascii="黑体"/>
        </w:rPr>
        <w:t>3.3</w:t>
      </w:r>
    </w:p>
    <w:p>
      <w:pPr>
        <w:pStyle w:val="BodyText"/>
        <w:spacing w:before="12"/>
        <w:rPr>
          <w:rFonts w:ascii="黑体"/>
          <w:sz w:val="9"/>
        </w:rPr>
      </w:pPr>
    </w:p>
    <w:p>
      <w:pPr>
        <w:pStyle w:val="BodyText"/>
        <w:spacing w:before="71"/>
        <w:ind w:left="1598"/>
        <w:rPr>
          <w:rFonts w:ascii="黑体" w:eastAsia="黑体" w:hint="eastAsia"/>
        </w:rPr>
      </w:pPr>
      <w:bookmarkStart w:id="13" w:name="危险性鉴定  dangerous appraisal"/>
      <w:bookmarkEnd w:id="13"/>
      <w:r>
        <w:rPr>
          <w:rFonts w:ascii="黑体" w:eastAsia="黑体" w:hint="eastAsia"/>
        </w:rPr>
        <w:t>危险性鉴定 dangerous appraisal</w:t>
      </w:r>
    </w:p>
    <w:p>
      <w:pPr>
        <w:pStyle w:val="BodyText"/>
        <w:spacing w:before="175"/>
        <w:ind w:left="1598"/>
        <w:rPr>
          <w:sz w:val="28"/>
        </w:rPr>
      </w:pPr>
      <w:r>
        <w:t>实施判定房屋危险程度的一组工作活动</w:t>
      </w:r>
      <w:r>
        <w:rPr>
          <w:sz w:val="28"/>
        </w:rPr>
        <w:t>。</w:t>
      </w:r>
    </w:p>
    <w:p>
      <w:pPr>
        <w:pStyle w:val="BodyText"/>
        <w:rPr>
          <w:sz w:val="23"/>
        </w:rPr>
      </w:pPr>
    </w:p>
    <w:p>
      <w:pPr>
        <w:pStyle w:val="BodyText"/>
        <w:spacing w:before="72"/>
        <w:ind w:left="1178"/>
        <w:rPr>
          <w:rFonts w:ascii="黑体"/>
        </w:rPr>
      </w:pPr>
      <w:bookmarkStart w:id="14" w:name="3.4"/>
      <w:bookmarkEnd w:id="14"/>
      <w:r>
        <w:rPr>
          <w:rFonts w:ascii="黑体"/>
        </w:rPr>
        <w:t>3.4</w:t>
      </w:r>
    </w:p>
    <w:p>
      <w:pPr>
        <w:pStyle w:val="BodyText"/>
        <w:spacing w:before="12"/>
        <w:rPr>
          <w:rFonts w:ascii="黑体"/>
          <w:sz w:val="9"/>
        </w:rPr>
      </w:pPr>
    </w:p>
    <w:p>
      <w:pPr>
        <w:pStyle w:val="BodyText"/>
        <w:spacing w:before="71"/>
        <w:ind w:left="1598"/>
        <w:rPr>
          <w:rFonts w:ascii="黑体" w:eastAsia="黑体" w:hint="eastAsia"/>
        </w:rPr>
      </w:pPr>
      <w:bookmarkStart w:id="15" w:name="危险构件  dangerous member"/>
      <w:bookmarkEnd w:id="15"/>
      <w:r>
        <w:rPr>
          <w:rFonts w:ascii="黑体" w:eastAsia="黑体" w:hint="eastAsia"/>
        </w:rPr>
        <w:t>危险构件 dangerous member</w:t>
      </w:r>
    </w:p>
    <w:p>
      <w:pPr>
        <w:pStyle w:val="BodyText"/>
        <w:spacing w:before="7"/>
        <w:rPr>
          <w:rFonts w:ascii="黑体"/>
          <w:sz w:val="15"/>
        </w:rPr>
      </w:pPr>
    </w:p>
    <w:p>
      <w:pPr>
        <w:pStyle w:val="BodyText"/>
        <w:spacing w:line="278" w:lineRule="auto"/>
        <w:ind w:left="1178" w:right="981" w:firstLine="420"/>
      </w:pPr>
      <w:r>
        <w:t>承载能力、连接构造等性能及裂缝、变形、腐蚀或蛀蚀等损伤指标不能满足安全使用要求的结构构件。</w:t>
      </w:r>
    </w:p>
    <w:p>
      <w:pPr>
        <w:pStyle w:val="BodyText"/>
        <w:spacing w:before="156"/>
        <w:ind w:left="1178"/>
        <w:rPr>
          <w:rFonts w:ascii="黑体"/>
        </w:rPr>
      </w:pPr>
      <w:bookmarkStart w:id="16" w:name="3.5"/>
      <w:bookmarkEnd w:id="16"/>
      <w:r>
        <w:rPr>
          <w:rFonts w:ascii="黑体"/>
        </w:rPr>
        <w:t>3.5</w:t>
      </w:r>
    </w:p>
    <w:p>
      <w:pPr>
        <w:pStyle w:val="BodyText"/>
        <w:spacing w:before="6"/>
        <w:rPr>
          <w:rFonts w:ascii="黑体"/>
          <w:sz w:val="15"/>
        </w:rPr>
      </w:pPr>
    </w:p>
    <w:p>
      <w:pPr>
        <w:pStyle w:val="BodyText"/>
        <w:spacing w:before="1"/>
        <w:ind w:left="1598"/>
        <w:rPr>
          <w:rFonts w:ascii="黑体" w:eastAsia="黑体" w:hint="eastAsia"/>
        </w:rPr>
      </w:pPr>
      <w:bookmarkStart w:id="17" w:name="危险点  dangerous point"/>
      <w:bookmarkEnd w:id="17"/>
      <w:r>
        <w:rPr>
          <w:rFonts w:ascii="黑体" w:eastAsia="黑体" w:hint="eastAsia"/>
        </w:rPr>
        <w:t>危险点 dangerous point</w:t>
      </w:r>
    </w:p>
    <w:p>
      <w:pPr>
        <w:pStyle w:val="BodyText"/>
        <w:spacing w:before="6"/>
        <w:rPr>
          <w:rFonts w:ascii="黑体"/>
          <w:sz w:val="15"/>
        </w:rPr>
      </w:pPr>
    </w:p>
    <w:p>
      <w:pPr>
        <w:pStyle w:val="BodyText"/>
        <w:ind w:left="1598"/>
      </w:pPr>
      <w:r>
        <w:t>房屋结构体系中评定为危险构件的结构构件。</w:t>
      </w:r>
    </w:p>
    <w:p>
      <w:pPr>
        <w:pStyle w:val="BodyText"/>
        <w:spacing w:before="7"/>
        <w:rPr>
          <w:sz w:val="15"/>
        </w:rPr>
      </w:pPr>
    </w:p>
    <w:p>
      <w:pPr>
        <w:pStyle w:val="BodyText"/>
        <w:ind w:left="1178"/>
        <w:rPr>
          <w:rFonts w:ascii="黑体"/>
        </w:rPr>
      </w:pPr>
      <w:r>
        <w:drawing>
          <wp:anchor distT="0" distB="0" distL="0" distR="0" simplePos="0" relativeHeight="251667456" behindDoc="0" locked="0" layoutInCell="1" allowOverlap="1">
            <wp:simplePos x="0" y="0"/>
            <wp:positionH relativeFrom="page">
              <wp:posOffset>215900</wp:posOffset>
            </wp:positionH>
            <wp:positionV relativeFrom="paragraph">
              <wp:posOffset>401573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8" w:name="3.6"/>
      <w:bookmarkEnd w:id="18"/>
      <w:r>
        <w:rPr>
          <w:rFonts w:ascii="黑体"/>
        </w:rPr>
        <w:t>3.6</w:t>
      </w:r>
    </w:p>
    <w:p>
      <w:pPr>
        <w:pStyle w:val="BodyText"/>
        <w:spacing w:before="9"/>
        <w:rPr>
          <w:rFonts w:ascii="黑体"/>
          <w:sz w:val="14"/>
        </w:rPr>
      </w:pPr>
      <w:r>
        <w:pict>
          <v:group id="_x0000_s1046" style="width:468.35pt;height:368.55pt;margin-top:11.39pt;margin-left:70.92pt;mso-position-horizontal-relative:page;mso-wrap-distance-left:0;mso-wrap-distance-right:0;position:absolute;z-index:-251648000" coordorigin="1418,228" coordsize="9367,7371">
            <v:shape id="_x0000_s1047" type="#_x0000_t202" style="width:9367;height:6452;left:1418;position:absolute;top:227" filled="f" stroked="f">
              <v:textbox inset="0,0,0,0">
                <w:txbxContent>
                  <w:p>
                    <w:pPr>
                      <w:spacing w:before="0" w:line="241" w:lineRule="exact"/>
                      <w:ind w:left="420" w:right="0" w:firstLine="0"/>
                      <w:jc w:val="left"/>
                      <w:rPr>
                        <w:rFonts w:ascii="黑体" w:eastAsia="黑体" w:hint="eastAsia"/>
                        <w:sz w:val="21"/>
                      </w:rPr>
                    </w:pPr>
                    <w:bookmarkStart w:id="19" w:name="房屋安全隐患  building safety potential danger"/>
                    <w:bookmarkEnd w:id="19"/>
                    <w:r>
                      <w:rPr>
                        <w:rFonts w:ascii="黑体" w:eastAsia="黑体" w:hint="eastAsia"/>
                        <w:sz w:val="21"/>
                      </w:rPr>
                      <w:t>房屋安全隐患 building safety potential danger</w:t>
                    </w:r>
                  </w:p>
                  <w:p>
                    <w:pPr>
                      <w:spacing w:before="6" w:line="240" w:lineRule="auto"/>
                      <w:rPr>
                        <w:rFonts w:ascii="黑体"/>
                        <w:sz w:val="15"/>
                      </w:rPr>
                    </w:pPr>
                  </w:p>
                  <w:p>
                    <w:pPr>
                      <w:spacing w:before="0"/>
                      <w:ind w:left="420" w:right="0" w:firstLine="0"/>
                      <w:jc w:val="left"/>
                      <w:rPr>
                        <w:sz w:val="21"/>
                      </w:rPr>
                    </w:pPr>
                    <w:r>
                      <w:rPr>
                        <w:sz w:val="21"/>
                      </w:rPr>
                      <w:t>在房屋使用过程中，存在可能导致房屋结构不安全的事件或事故发生的不利因素。</w:t>
                    </w:r>
                  </w:p>
                  <w:p>
                    <w:pPr>
                      <w:spacing w:before="7" w:line="240" w:lineRule="auto"/>
                      <w:rPr>
                        <w:sz w:val="15"/>
                      </w:rPr>
                    </w:pPr>
                  </w:p>
                  <w:p>
                    <w:pPr>
                      <w:spacing w:before="0"/>
                      <w:ind w:left="0" w:right="0" w:firstLine="0"/>
                      <w:jc w:val="left"/>
                      <w:rPr>
                        <w:rFonts w:ascii="黑体"/>
                        <w:sz w:val="21"/>
                      </w:rPr>
                    </w:pPr>
                    <w:bookmarkStart w:id="20" w:name="3.7"/>
                    <w:bookmarkEnd w:id="20"/>
                    <w:r>
                      <w:rPr>
                        <w:rFonts w:ascii="黑体"/>
                        <w:sz w:val="21"/>
                      </w:rPr>
                      <w:t>3.7</w:t>
                    </w:r>
                  </w:p>
                  <w:p>
                    <w:pPr>
                      <w:spacing w:before="7" w:line="240" w:lineRule="auto"/>
                      <w:rPr>
                        <w:rFonts w:ascii="黑体"/>
                        <w:sz w:val="15"/>
                      </w:rPr>
                    </w:pPr>
                  </w:p>
                  <w:p>
                    <w:pPr>
                      <w:spacing w:before="0"/>
                      <w:ind w:left="420" w:right="0" w:firstLine="0"/>
                      <w:jc w:val="left"/>
                      <w:rPr>
                        <w:rFonts w:ascii="黑体" w:eastAsia="黑体" w:hint="eastAsia"/>
                        <w:sz w:val="21"/>
                      </w:rPr>
                    </w:pPr>
                    <w:bookmarkStart w:id="21" w:name="危险房屋  dangerous building"/>
                    <w:bookmarkEnd w:id="21"/>
                    <w:r>
                      <w:rPr>
                        <w:rFonts w:ascii="黑体" w:eastAsia="黑体" w:hint="eastAsia"/>
                        <w:sz w:val="21"/>
                      </w:rPr>
                      <w:t>危险房屋 dangerous building</w:t>
                    </w:r>
                  </w:p>
                  <w:p>
                    <w:pPr>
                      <w:spacing w:before="7" w:line="240" w:lineRule="auto"/>
                      <w:rPr>
                        <w:rFonts w:ascii="黑体"/>
                        <w:sz w:val="15"/>
                      </w:rPr>
                    </w:pPr>
                  </w:p>
                  <w:p>
                    <w:pPr>
                      <w:spacing w:before="0"/>
                      <w:ind w:left="420" w:right="0" w:firstLine="0"/>
                      <w:jc w:val="left"/>
                      <w:rPr>
                        <w:sz w:val="21"/>
                      </w:rPr>
                    </w:pPr>
                    <w:r>
                      <w:rPr>
                        <w:spacing w:val="-8"/>
                        <w:sz w:val="21"/>
                      </w:rPr>
                      <w:t>房屋结构体系中存在承重构件被评定为危险构件，导致局部或整体不能满足安全使用要求的房屋。</w:t>
                    </w:r>
                  </w:p>
                  <w:p>
                    <w:pPr>
                      <w:spacing w:before="6" w:line="240" w:lineRule="auto"/>
                      <w:rPr>
                        <w:sz w:val="15"/>
                      </w:rPr>
                    </w:pPr>
                  </w:p>
                  <w:p>
                    <w:pPr>
                      <w:spacing w:before="1"/>
                      <w:ind w:left="0" w:right="0" w:firstLine="0"/>
                      <w:jc w:val="left"/>
                      <w:rPr>
                        <w:rFonts w:ascii="黑体"/>
                        <w:sz w:val="21"/>
                      </w:rPr>
                    </w:pPr>
                    <w:bookmarkStart w:id="22" w:name="3.8"/>
                    <w:bookmarkEnd w:id="22"/>
                    <w:r>
                      <w:rPr>
                        <w:rFonts w:ascii="黑体"/>
                        <w:sz w:val="21"/>
                      </w:rPr>
                      <w:t>3.8</w:t>
                    </w:r>
                  </w:p>
                  <w:p>
                    <w:pPr>
                      <w:spacing w:before="6" w:line="240" w:lineRule="auto"/>
                      <w:rPr>
                        <w:rFonts w:ascii="黑体"/>
                        <w:sz w:val="15"/>
                      </w:rPr>
                    </w:pPr>
                  </w:p>
                  <w:p>
                    <w:pPr>
                      <w:spacing w:before="0"/>
                      <w:ind w:left="420" w:right="0" w:firstLine="0"/>
                      <w:jc w:val="left"/>
                      <w:rPr>
                        <w:rFonts w:ascii="黑体" w:eastAsia="黑体" w:hint="eastAsia"/>
                        <w:sz w:val="21"/>
                      </w:rPr>
                    </w:pPr>
                    <w:bookmarkStart w:id="23" w:name="局部安全鉴定  local safety appraisal"/>
                    <w:bookmarkEnd w:id="23"/>
                    <w:r>
                      <w:rPr>
                        <w:rFonts w:ascii="黑体" w:eastAsia="黑体" w:hint="eastAsia"/>
                        <w:sz w:val="21"/>
                      </w:rPr>
                      <w:t>局部安全鉴定 local safety appraisal</w:t>
                    </w:r>
                  </w:p>
                  <w:p>
                    <w:pPr>
                      <w:spacing w:before="7" w:line="240" w:lineRule="auto"/>
                      <w:rPr>
                        <w:rFonts w:ascii="黑体"/>
                        <w:sz w:val="15"/>
                      </w:rPr>
                    </w:pPr>
                  </w:p>
                  <w:p>
                    <w:pPr>
                      <w:spacing w:before="0" w:line="278" w:lineRule="auto"/>
                      <w:ind w:left="0" w:right="120" w:firstLine="420"/>
                      <w:jc w:val="left"/>
                      <w:rPr>
                        <w:sz w:val="21"/>
                      </w:rPr>
                    </w:pPr>
                    <w:r>
                      <w:rPr>
                        <w:sz w:val="21"/>
                      </w:rPr>
                      <w:t>为评定房屋局部区域或特定结构构件对房屋安全的影响，仅对整幢房屋局部区域或特定的结构构件进行的安全鉴定。</w:t>
                    </w:r>
                  </w:p>
                  <w:p>
                    <w:pPr>
                      <w:spacing w:before="156"/>
                      <w:ind w:left="0" w:right="0" w:firstLine="0"/>
                      <w:jc w:val="left"/>
                      <w:rPr>
                        <w:rFonts w:ascii="黑体"/>
                        <w:sz w:val="21"/>
                      </w:rPr>
                    </w:pPr>
                    <w:bookmarkStart w:id="24" w:name="3.9"/>
                    <w:bookmarkEnd w:id="24"/>
                    <w:r>
                      <w:rPr>
                        <w:rFonts w:ascii="黑体"/>
                        <w:sz w:val="21"/>
                      </w:rPr>
                      <w:t>3.9</w:t>
                    </w:r>
                  </w:p>
                  <w:p>
                    <w:pPr>
                      <w:spacing w:before="6" w:line="240" w:lineRule="auto"/>
                      <w:rPr>
                        <w:rFonts w:ascii="黑体"/>
                        <w:sz w:val="15"/>
                      </w:rPr>
                    </w:pPr>
                  </w:p>
                  <w:p>
                    <w:pPr>
                      <w:spacing w:before="1"/>
                      <w:ind w:left="420" w:right="0" w:firstLine="0"/>
                      <w:jc w:val="left"/>
                      <w:rPr>
                        <w:rFonts w:ascii="黑体" w:eastAsia="黑体" w:hint="eastAsia"/>
                        <w:sz w:val="21"/>
                      </w:rPr>
                    </w:pPr>
                    <w:bookmarkStart w:id="25" w:name="应急鉴定  emergency appraisal"/>
                    <w:bookmarkEnd w:id="25"/>
                    <w:r>
                      <w:rPr>
                        <w:rFonts w:ascii="黑体" w:eastAsia="黑体" w:hint="eastAsia"/>
                        <w:sz w:val="21"/>
                      </w:rPr>
                      <w:t>应急鉴定 emergency appraisal</w:t>
                    </w:r>
                  </w:p>
                  <w:p>
                    <w:pPr>
                      <w:spacing w:before="6" w:line="240" w:lineRule="auto"/>
                      <w:rPr>
                        <w:rFonts w:ascii="黑体"/>
                        <w:sz w:val="15"/>
                      </w:rPr>
                    </w:pPr>
                  </w:p>
                  <w:p>
                    <w:pPr>
                      <w:spacing w:before="0" w:line="278" w:lineRule="auto"/>
                      <w:ind w:left="0" w:right="118" w:firstLine="420"/>
                      <w:jc w:val="left"/>
                      <w:rPr>
                        <w:sz w:val="21"/>
                      </w:rPr>
                    </w:pPr>
                    <w:r>
                      <w:rPr>
                        <w:sz w:val="21"/>
                      </w:rPr>
                      <w:t>因灾害或突发事件等导致房屋受损，可能危及人员生命及财产安全，对房屋险情进行快速判断， 为及时进行后续应急处置提供依据的安全鉴定。</w:t>
                    </w:r>
                  </w:p>
                  <w:p>
                    <w:pPr>
                      <w:spacing w:before="156"/>
                      <w:ind w:left="0" w:right="0" w:firstLine="0"/>
                      <w:jc w:val="left"/>
                      <w:rPr>
                        <w:rFonts w:ascii="黑体"/>
                        <w:sz w:val="21"/>
                      </w:rPr>
                    </w:pPr>
                    <w:bookmarkStart w:id="26" w:name="3.10"/>
                    <w:bookmarkEnd w:id="26"/>
                    <w:r>
                      <w:rPr>
                        <w:rFonts w:ascii="黑体"/>
                        <w:sz w:val="21"/>
                      </w:rPr>
                      <w:t>3.10</w:t>
                    </w:r>
                  </w:p>
                  <w:p>
                    <w:pPr>
                      <w:spacing w:before="7" w:line="240" w:lineRule="auto"/>
                      <w:rPr>
                        <w:rFonts w:ascii="黑体"/>
                        <w:sz w:val="15"/>
                      </w:rPr>
                    </w:pPr>
                  </w:p>
                  <w:p>
                    <w:pPr>
                      <w:spacing w:before="0" w:line="240" w:lineRule="exact"/>
                      <w:ind w:left="420" w:right="0" w:firstLine="0"/>
                      <w:jc w:val="left"/>
                      <w:rPr>
                        <w:rFonts w:ascii="黑体" w:eastAsia="黑体" w:hint="eastAsia"/>
                        <w:sz w:val="21"/>
                      </w:rPr>
                    </w:pPr>
                    <w:bookmarkStart w:id="27" w:name="房屋安全利害关系人  building safety interested pe"/>
                    <w:bookmarkEnd w:id="27"/>
                    <w:r>
                      <w:rPr>
                        <w:rFonts w:ascii="黑体" w:eastAsia="黑体" w:hint="eastAsia"/>
                        <w:sz w:val="21"/>
                      </w:rPr>
                      <w:t>房屋安全利害关系人 building safety interested person</w:t>
                    </w:r>
                  </w:p>
                </w:txbxContent>
              </v:textbox>
            </v:shape>
            <v:shape id="_x0000_s1048" type="#_x0000_t202" style="width:110;height:200;left:1418;position:absolute;top:7398" filled="f" stroked="f">
              <v:textbox inset="0,0,0,0">
                <w:txbxContent>
                  <w:p>
                    <w:pPr>
                      <w:spacing w:before="0" w:line="199" w:lineRule="exact"/>
                      <w:ind w:left="0" w:right="0" w:firstLine="0"/>
                      <w:jc w:val="left"/>
                      <w:rPr>
                        <w:rFonts w:ascii="Times New Roman"/>
                        <w:sz w:val="18"/>
                      </w:rPr>
                    </w:pPr>
                    <w:r>
                      <w:rPr>
                        <w:rFonts w:ascii="Times New Roman"/>
                        <w:sz w:val="18"/>
                      </w:rPr>
                      <w:t>2</w:t>
                    </w:r>
                  </w:p>
                </w:txbxContent>
              </v:textbox>
            </v:shape>
            <w10:wrap type="topAndBottom"/>
          </v:group>
        </w:pict>
      </w:r>
    </w:p>
    <w:p>
      <w:pPr>
        <w:spacing w:after="0"/>
        <w:rPr>
          <w:rFonts w:ascii="黑体"/>
          <w:sz w:val="14"/>
        </w:rPr>
        <w:sectPr>
          <w:headerReference w:type="even" r:id="rId16"/>
          <w:headerReference w:type="default" r:id="rId17"/>
          <w:pgSz w:w="11910" w:h="16840"/>
          <w:pgMar w:top="1640" w:right="260" w:bottom="280" w:left="240" w:header="1448" w:footer="0"/>
          <w:pgNumType w:start="9"/>
          <w:cols w:space="708"/>
        </w:sectPr>
      </w:pPr>
    </w:p>
    <w:p>
      <w:pPr>
        <w:pStyle w:val="BodyText"/>
        <w:spacing w:before="61"/>
        <w:ind w:right="870"/>
        <w:jc w:val="right"/>
        <w:rPr>
          <w:rFonts w:ascii="黑体" w:hAnsi="黑体"/>
        </w:rPr>
      </w:pPr>
      <w:r>
        <w:pict>
          <v:group id="_x0000_s1049" style="width:595.5pt;height:842.15pt;margin-top:-0.09pt;margin-left:-0.09pt;mso-position-horizontal-relative:page;mso-position-vertical-relative:page;position:absolute;z-index:-251646976" coordorigin="-2,-2" coordsize="11910,16843">
            <v:shape id="_x0000_s1050" type="#_x0000_t75" style="width:6067;height:8051;left:2650;position:absolute;top:4649" stroked="f">
              <v:imagedata r:id="rId13" o:title=""/>
            </v:shape>
            <v:rect id="_x0000_s1051" style="width:11906;height:16838;position:absolute" filled="f" stroked="t" strokecolor="#231916" strokeweight="0.22pt">
              <v:stroke dashstyle="solid"/>
            </v:rect>
            <v:shape id="_x0000_s1052" type="#_x0000_t75" style="width:11200;height:7680;left:340;position:absolute;top:8258" stroked="f">
              <v:imagedata r:id="rId4" o:title=""/>
            </v:shape>
          </v:group>
        </w:pict>
      </w:r>
      <w:r>
        <w:rPr>
          <w:rFonts w:ascii="黑体" w:hAnsi="黑体"/>
        </w:rPr>
        <w:t>DB4201/T 537—2018</w:t>
      </w:r>
    </w:p>
    <w:p>
      <w:pPr>
        <w:pStyle w:val="BodyText"/>
        <w:spacing w:before="6"/>
        <w:rPr>
          <w:rFonts w:ascii="黑体"/>
          <w:sz w:val="13"/>
        </w:rPr>
      </w:pPr>
    </w:p>
    <w:p>
      <w:pPr>
        <w:pStyle w:val="BodyText"/>
        <w:spacing w:before="72" w:line="278" w:lineRule="auto"/>
        <w:ind w:left="1178" w:right="983" w:firstLine="420"/>
      </w:pPr>
      <w:r>
        <w:t>既有房屋可能危及其人身及财产安全，或者在房屋安全管理中，合法权益受到侵害的群体，包括房屋使用人、管理人、经营管理单位以及相邻人等。</w:t>
      </w:r>
    </w:p>
    <w:p>
      <w:pPr>
        <w:pStyle w:val="BodyText"/>
        <w:spacing w:before="156"/>
        <w:ind w:left="1178"/>
        <w:rPr>
          <w:rFonts w:ascii="黑体"/>
        </w:rPr>
      </w:pPr>
      <w:bookmarkStart w:id="28" w:name="3.11"/>
      <w:bookmarkEnd w:id="28"/>
      <w:r>
        <w:rPr>
          <w:rFonts w:ascii="黑体"/>
        </w:rPr>
        <w:t>3.11</w:t>
      </w:r>
    </w:p>
    <w:p>
      <w:pPr>
        <w:pStyle w:val="BodyText"/>
        <w:spacing w:before="6"/>
        <w:rPr>
          <w:rFonts w:ascii="黑体"/>
          <w:sz w:val="15"/>
        </w:rPr>
      </w:pPr>
    </w:p>
    <w:p>
      <w:pPr>
        <w:pStyle w:val="BodyText"/>
        <w:ind w:left="1598"/>
        <w:rPr>
          <w:rFonts w:ascii="黑体" w:eastAsia="黑体" w:hint="eastAsia"/>
        </w:rPr>
      </w:pPr>
      <w:bookmarkStart w:id="29" w:name="结构性裂缝  structural crack"/>
      <w:bookmarkEnd w:id="29"/>
      <w:r>
        <w:rPr>
          <w:rFonts w:ascii="黑体" w:eastAsia="黑体" w:hint="eastAsia"/>
        </w:rPr>
        <w:t>结构性裂缝 structural crack</w:t>
      </w:r>
    </w:p>
    <w:p>
      <w:pPr>
        <w:pStyle w:val="BodyText"/>
        <w:spacing w:before="7"/>
        <w:rPr>
          <w:rFonts w:ascii="黑体"/>
          <w:sz w:val="15"/>
        </w:rPr>
      </w:pPr>
    </w:p>
    <w:p>
      <w:pPr>
        <w:pStyle w:val="BodyText"/>
        <w:ind w:left="1598"/>
      </w:pPr>
      <w:r>
        <w:t>结构构件因地基沉降以及其他外部作用产生的具有一定规律性的裂缝。</w:t>
      </w:r>
    </w:p>
    <w:p>
      <w:pPr>
        <w:pStyle w:val="BodyText"/>
        <w:spacing w:before="7"/>
        <w:rPr>
          <w:sz w:val="15"/>
        </w:rPr>
      </w:pPr>
    </w:p>
    <w:p>
      <w:pPr>
        <w:pStyle w:val="BodyText"/>
        <w:ind w:left="1178"/>
        <w:rPr>
          <w:rFonts w:ascii="黑体"/>
        </w:rPr>
      </w:pPr>
      <w:bookmarkStart w:id="30" w:name="3.12"/>
      <w:bookmarkEnd w:id="30"/>
      <w:r>
        <w:rPr>
          <w:rFonts w:ascii="黑体"/>
        </w:rPr>
        <w:t>3.12</w:t>
      </w:r>
    </w:p>
    <w:p>
      <w:pPr>
        <w:pStyle w:val="BodyText"/>
        <w:spacing w:before="6"/>
        <w:rPr>
          <w:rFonts w:ascii="黑体"/>
          <w:sz w:val="15"/>
        </w:rPr>
      </w:pPr>
    </w:p>
    <w:p>
      <w:pPr>
        <w:pStyle w:val="BodyText"/>
        <w:spacing w:before="1"/>
        <w:ind w:left="1598"/>
        <w:rPr>
          <w:rFonts w:ascii="黑体" w:eastAsia="黑体" w:hint="eastAsia"/>
        </w:rPr>
      </w:pPr>
      <w:bookmarkStart w:id="31" w:name="荷载检验  load test"/>
      <w:bookmarkEnd w:id="31"/>
      <w:r>
        <w:rPr>
          <w:rFonts w:ascii="黑体" w:eastAsia="黑体" w:hint="eastAsia"/>
        </w:rPr>
        <w:t>荷载检验 load test</w:t>
      </w:r>
    </w:p>
    <w:p>
      <w:pPr>
        <w:pStyle w:val="BodyText"/>
        <w:spacing w:before="6"/>
        <w:rPr>
          <w:rFonts w:ascii="黑体"/>
          <w:sz w:val="15"/>
        </w:rPr>
      </w:pPr>
    </w:p>
    <w:p>
      <w:pPr>
        <w:pStyle w:val="BodyText"/>
        <w:ind w:left="1598"/>
      </w:pPr>
      <w:r>
        <w:t>通过施加作用力以检验构件的承载力、刚度、抗裂度或裂缝宽度等参数为目的的检测。</w:t>
      </w:r>
    </w:p>
    <w:p>
      <w:pPr>
        <w:pStyle w:val="BodyText"/>
        <w:spacing w:before="7"/>
        <w:rPr>
          <w:sz w:val="15"/>
        </w:rPr>
      </w:pPr>
    </w:p>
    <w:p>
      <w:pPr>
        <w:pStyle w:val="BodyText"/>
        <w:ind w:left="1178"/>
        <w:rPr>
          <w:rFonts w:ascii="黑体"/>
        </w:rPr>
      </w:pPr>
      <w:bookmarkStart w:id="32" w:name="3.13"/>
      <w:bookmarkEnd w:id="32"/>
      <w:r>
        <w:rPr>
          <w:rFonts w:ascii="黑体"/>
        </w:rPr>
        <w:t>3.13</w:t>
      </w:r>
    </w:p>
    <w:p>
      <w:pPr>
        <w:pStyle w:val="BodyText"/>
        <w:spacing w:before="7"/>
        <w:rPr>
          <w:rFonts w:ascii="黑体"/>
          <w:sz w:val="15"/>
        </w:rPr>
      </w:pPr>
    </w:p>
    <w:p>
      <w:pPr>
        <w:pStyle w:val="BodyText"/>
        <w:ind w:left="1598"/>
        <w:rPr>
          <w:rFonts w:ascii="黑体" w:eastAsia="黑体" w:hint="eastAsia"/>
        </w:rPr>
      </w:pPr>
      <w:bookmarkStart w:id="33" w:name="动力性能测试  test of structural dynamic param"/>
      <w:bookmarkEnd w:id="33"/>
      <w:r>
        <w:rPr>
          <w:rFonts w:ascii="黑体" w:eastAsia="黑体" w:hint="eastAsia"/>
        </w:rPr>
        <w:t>动力性能测试 test of structural dynamic parameters</w:t>
      </w:r>
    </w:p>
    <w:p>
      <w:pPr>
        <w:pStyle w:val="BodyText"/>
        <w:spacing w:before="7"/>
        <w:rPr>
          <w:rFonts w:ascii="黑体"/>
          <w:sz w:val="15"/>
        </w:rPr>
      </w:pPr>
    </w:p>
    <w:p>
      <w:pPr>
        <w:pStyle w:val="BodyText"/>
        <w:ind w:left="1598"/>
      </w:pPr>
      <w:r>
        <w:t>对结构的动力特性参数和动力荷载效应进行测试的试验。</w:t>
      </w:r>
    </w:p>
    <w:p>
      <w:pPr>
        <w:pStyle w:val="BodyText"/>
        <w:spacing w:before="11"/>
        <w:rPr>
          <w:sz w:val="27"/>
        </w:rPr>
      </w:pPr>
    </w:p>
    <w:p>
      <w:pPr>
        <w:pStyle w:val="ListParagraph"/>
        <w:numPr>
          <w:ilvl w:val="0"/>
          <w:numId w:val="16"/>
        </w:numPr>
        <w:tabs>
          <w:tab w:val="left" w:pos="1494"/>
        </w:tabs>
        <w:spacing w:before="0" w:after="0" w:line="240" w:lineRule="auto"/>
        <w:ind w:left="1493" w:right="0" w:hanging="316"/>
        <w:jc w:val="left"/>
        <w:rPr>
          <w:rFonts w:ascii="黑体" w:eastAsia="黑体" w:hint="eastAsia"/>
          <w:sz w:val="21"/>
        </w:rPr>
      </w:pPr>
      <w:bookmarkStart w:id="34" w:name="4　 符号"/>
      <w:bookmarkEnd w:id="34"/>
      <w:r>
        <w:rPr>
          <w:rFonts w:ascii="黑体" w:eastAsia="黑体" w:hint="eastAsia"/>
          <w:sz w:val="21"/>
        </w:rPr>
        <w:t>符号</w:t>
      </w:r>
    </w:p>
    <w:p>
      <w:pPr>
        <w:pStyle w:val="BodyText"/>
        <w:spacing w:before="7"/>
        <w:rPr>
          <w:rFonts w:ascii="黑体"/>
          <w:sz w:val="27"/>
        </w:rPr>
      </w:pPr>
    </w:p>
    <w:p>
      <w:pPr>
        <w:pStyle w:val="BodyText"/>
        <w:ind w:left="1658"/>
      </w:pPr>
      <w:r>
        <w:t>下列符号适用于本文件。</w:t>
      </w:r>
    </w:p>
    <w:p>
      <w:pPr>
        <w:pStyle w:val="BodyText"/>
        <w:spacing w:before="9"/>
        <w:rPr>
          <w:sz w:val="14"/>
        </w:rPr>
      </w:pPr>
      <w:r>
        <w:pict>
          <v:group id="_x0000_s1053" style="width:458.15pt;height:364.55pt;margin-top:11.38pt;margin-left:70.92pt;mso-position-horizontal-relative:page;mso-wrap-distance-left:0;mso-wrap-distance-right:0;position:absolute;z-index:-251645952" coordorigin="1418,228" coordsize="9163,7291">
            <v:shape id="_x0000_s1054" type="#_x0000_t202" style="width:4657;height:6528;left:1418;position:absolute;top:227" filled="f" stroked="f">
              <v:textbox inset="0,0,0,0">
                <w:txbxContent>
                  <w:p>
                    <w:pPr>
                      <w:numPr>
                        <w:ilvl w:val="1"/>
                        <w:numId w:val="15"/>
                      </w:numPr>
                      <w:tabs>
                        <w:tab w:val="left" w:pos="526"/>
                      </w:tabs>
                      <w:spacing w:before="0" w:line="241" w:lineRule="exact"/>
                      <w:ind w:left="525" w:right="0" w:hanging="526"/>
                      <w:jc w:val="left"/>
                      <w:rPr>
                        <w:rFonts w:ascii="黑体" w:eastAsia="黑体" w:hint="eastAsia"/>
                        <w:sz w:val="21"/>
                      </w:rPr>
                    </w:pPr>
                    <w:bookmarkStart w:id="35" w:name="4.1　 构件危险性鉴定"/>
                    <w:bookmarkEnd w:id="35"/>
                    <w:r>
                      <w:rPr>
                        <w:rFonts w:ascii="黑体" w:eastAsia="黑体" w:hint="eastAsia"/>
                        <w:spacing w:val="-2"/>
                        <w:sz w:val="21"/>
                      </w:rPr>
                      <w:t>构件危险性鉴定</w:t>
                    </w:r>
                  </w:p>
                  <w:p>
                    <w:pPr>
                      <w:spacing w:before="8" w:line="240" w:lineRule="auto"/>
                      <w:rPr>
                        <w:rFonts w:ascii="黑体"/>
                        <w:sz w:val="24"/>
                      </w:rPr>
                    </w:pPr>
                  </w:p>
                  <w:p>
                    <w:pPr>
                      <w:spacing w:before="0"/>
                      <w:ind w:left="461" w:right="0" w:firstLine="0"/>
                      <w:jc w:val="left"/>
                      <w:rPr>
                        <w:sz w:val="21"/>
                      </w:rPr>
                    </w:pPr>
                    <w:r>
                      <w:rPr>
                        <w:rFonts w:ascii="Times New Roman" w:eastAsia="Times New Roman" w:hAnsi="Times New Roman"/>
                        <w:i/>
                        <w:position w:val="12"/>
                        <w:sz w:val="20"/>
                      </w:rPr>
                      <w:t>H</w:t>
                    </w:r>
                    <w:r>
                      <w:rPr>
                        <w:rFonts w:ascii="Times New Roman" w:eastAsia="Times New Roman" w:hAnsi="Times New Roman"/>
                        <w:i/>
                        <w:position w:val="7"/>
                        <w:sz w:val="12"/>
                      </w:rPr>
                      <w:t xml:space="preserve">g </w:t>
                    </w:r>
                    <w:r>
                      <w:rPr>
                        <w:rFonts w:ascii="Times New Roman" w:eastAsia="Times New Roman" w:hAnsi="Times New Roman"/>
                        <w:sz w:val="21"/>
                      </w:rPr>
                      <w:t>——</w:t>
                    </w:r>
                    <w:r>
                      <w:rPr>
                        <w:sz w:val="21"/>
                      </w:rPr>
                      <w:t>自室外地面起算的建筑物高度（m）；</w:t>
                    </w:r>
                  </w:p>
                  <w:p>
                    <w:pPr>
                      <w:spacing w:before="261" w:line="482" w:lineRule="auto"/>
                      <w:ind w:left="444" w:right="1755" w:firstLine="11"/>
                      <w:jc w:val="left"/>
                      <w:rPr>
                        <w:sz w:val="21"/>
                      </w:rPr>
                    </w:pPr>
                    <w:r>
                      <w:rPr>
                        <w:rFonts w:ascii="Times New Roman" w:eastAsia="Times New Roman" w:hAnsi="Times New Roman"/>
                        <w:i/>
                        <w:position w:val="6"/>
                        <w:sz w:val="23"/>
                      </w:rPr>
                      <w:t>h</w:t>
                    </w:r>
                    <w:r>
                      <w:rPr>
                        <w:rFonts w:ascii="Times New Roman" w:eastAsia="Times New Roman" w:hAnsi="Times New Roman"/>
                        <w:i/>
                        <w:spacing w:val="19"/>
                        <w:position w:val="6"/>
                        <w:sz w:val="23"/>
                      </w:rPr>
                      <w:t xml:space="preserve"> </w:t>
                    </w:r>
                    <w:r>
                      <w:rPr>
                        <w:rFonts w:ascii="Times New Roman" w:eastAsia="Times New Roman" w:hAnsi="Times New Roman"/>
                        <w:sz w:val="21"/>
                      </w:rPr>
                      <w:t>——</w:t>
                    </w:r>
                    <w:r>
                      <w:rPr>
                        <w:spacing w:val="-3"/>
                        <w:sz w:val="21"/>
                      </w:rPr>
                      <w:t xml:space="preserve">墙、柱计算高度； </w:t>
                    </w:r>
                    <w:r>
                      <w:rPr>
                        <w:rFonts w:ascii="Times New Roman" w:eastAsia="Times New Roman" w:hAnsi="Times New Roman"/>
                        <w:i/>
                        <w:position w:val="11"/>
                        <w:sz w:val="22"/>
                      </w:rPr>
                      <w:t>l</w:t>
                    </w:r>
                    <w:r>
                      <w:rPr>
                        <w:rFonts w:ascii="Times New Roman" w:eastAsia="Times New Roman" w:hAnsi="Times New Roman"/>
                        <w:position w:val="5"/>
                        <w:sz w:val="12"/>
                      </w:rPr>
                      <w:t>0</w:t>
                    </w:r>
                    <w:r>
                      <w:rPr>
                        <w:rFonts w:ascii="Times New Roman" w:eastAsia="Times New Roman" w:hAnsi="Times New Roman"/>
                        <w:spacing w:val="1"/>
                        <w:position w:val="5"/>
                        <w:sz w:val="12"/>
                      </w:rPr>
                      <w:t xml:space="preserve"> </w:t>
                    </w:r>
                    <w:r>
                      <w:rPr>
                        <w:rFonts w:ascii="Times New Roman" w:eastAsia="Times New Roman" w:hAnsi="Times New Roman"/>
                        <w:sz w:val="21"/>
                      </w:rPr>
                      <w:t>——</w:t>
                    </w:r>
                    <w:r>
                      <w:rPr>
                        <w:spacing w:val="-5"/>
                        <w:sz w:val="21"/>
                      </w:rPr>
                      <w:t xml:space="preserve">结构构件计算长度； </w:t>
                    </w:r>
                    <w:r>
                      <w:rPr>
                        <w:rFonts w:ascii="Times New Roman" w:eastAsia="Times New Roman" w:hAnsi="Times New Roman"/>
                        <w:i/>
                        <w:position w:val="4"/>
                        <w:sz w:val="23"/>
                      </w:rPr>
                      <w:t>R</w:t>
                    </w:r>
                    <w:r>
                      <w:rPr>
                        <w:rFonts w:ascii="Times New Roman" w:eastAsia="Times New Roman" w:hAnsi="Times New Roman"/>
                        <w:i/>
                        <w:spacing w:val="-4"/>
                        <w:position w:val="4"/>
                        <w:sz w:val="23"/>
                      </w:rPr>
                      <w:t xml:space="preserve"> </w:t>
                    </w:r>
                    <w:r>
                      <w:rPr>
                        <w:rFonts w:ascii="Times New Roman" w:eastAsia="Times New Roman" w:hAnsi="Times New Roman"/>
                        <w:sz w:val="21"/>
                      </w:rPr>
                      <w:t>——</w:t>
                    </w:r>
                    <w:r>
                      <w:rPr>
                        <w:spacing w:val="-3"/>
                        <w:sz w:val="21"/>
                      </w:rPr>
                      <w:t>结构构件抗力；</w:t>
                    </w:r>
                  </w:p>
                  <w:p>
                    <w:pPr>
                      <w:spacing w:before="35"/>
                      <w:ind w:left="461" w:right="0" w:firstLine="0"/>
                      <w:jc w:val="left"/>
                      <w:rPr>
                        <w:sz w:val="21"/>
                      </w:rPr>
                    </w:pPr>
                    <w:r>
                      <w:rPr>
                        <w:rFonts w:ascii="Times New Roman" w:eastAsia="Times New Roman" w:hAnsi="Times New Roman"/>
                        <w:i/>
                        <w:position w:val="6"/>
                        <w:sz w:val="23"/>
                      </w:rPr>
                      <w:t xml:space="preserve">S </w:t>
                    </w:r>
                    <w:r>
                      <w:rPr>
                        <w:rFonts w:ascii="Times New Roman" w:eastAsia="Times New Roman" w:hAnsi="Times New Roman"/>
                        <w:sz w:val="21"/>
                      </w:rPr>
                      <w:t>——</w:t>
                    </w:r>
                    <w:r>
                      <w:rPr>
                        <w:sz w:val="21"/>
                      </w:rPr>
                      <w:t>结构构件作用效应；</w:t>
                    </w:r>
                  </w:p>
                  <w:p>
                    <w:pPr>
                      <w:spacing w:before="253"/>
                      <w:ind w:left="437" w:right="0" w:firstLine="0"/>
                      <w:jc w:val="left"/>
                      <w:rPr>
                        <w:sz w:val="21"/>
                      </w:rPr>
                    </w:pPr>
                    <w:r>
                      <w:rPr>
                        <w:rFonts w:ascii="Symbol" w:eastAsia="Symbol" w:hAnsi="Symbol"/>
                        <w:i/>
                        <w:position w:val="11"/>
                        <w:sz w:val="23"/>
                      </w:rPr>
                      <w:sym w:font="Symbol" w:char="F066"/>
                    </w:r>
                    <w:r>
                      <w:rPr>
                        <w:rFonts w:ascii="Times New Roman" w:eastAsia="Times New Roman" w:hAnsi="Times New Roman"/>
                        <w:i/>
                        <w:position w:val="11"/>
                        <w:sz w:val="23"/>
                      </w:rPr>
                      <w:t xml:space="preserve"> </w:t>
                    </w:r>
                    <w:r>
                      <w:rPr>
                        <w:rFonts w:ascii="Times New Roman" w:eastAsia="Times New Roman" w:hAnsi="Times New Roman"/>
                        <w:sz w:val="21"/>
                      </w:rPr>
                      <w:t>——</w:t>
                    </w:r>
                    <w:r>
                      <w:rPr>
                        <w:sz w:val="21"/>
                      </w:rPr>
                      <w:t>结构构件抗力与效应之比调整系数；</w:t>
                    </w:r>
                  </w:p>
                  <w:p>
                    <w:pPr>
                      <w:spacing w:before="223"/>
                      <w:ind w:left="442" w:right="0" w:firstLine="0"/>
                      <w:jc w:val="left"/>
                      <w:rPr>
                        <w:sz w:val="21"/>
                      </w:rPr>
                    </w:pPr>
                    <w:r>
                      <w:rPr>
                        <w:rFonts w:ascii="Symbol" w:eastAsia="Symbol" w:hAnsi="Symbol"/>
                        <w:i/>
                        <w:position w:val="11"/>
                        <w:sz w:val="23"/>
                      </w:rPr>
                      <w:sym w:font="Symbol" w:char="F067"/>
                    </w:r>
                    <w:r>
                      <w:rPr>
                        <w:rFonts w:ascii="Times New Roman" w:eastAsia="Times New Roman" w:hAnsi="Times New Roman"/>
                        <w:i/>
                        <w:position w:val="11"/>
                        <w:sz w:val="23"/>
                      </w:rPr>
                      <w:t xml:space="preserve"> </w:t>
                    </w:r>
                    <w:r>
                      <w:rPr>
                        <w:rFonts w:ascii="Times New Roman" w:eastAsia="Times New Roman" w:hAnsi="Times New Roman"/>
                        <w:position w:val="5"/>
                        <w:sz w:val="12"/>
                      </w:rPr>
                      <w:t xml:space="preserve">0 </w:t>
                    </w:r>
                    <w:r>
                      <w:rPr>
                        <w:rFonts w:ascii="Times New Roman" w:eastAsia="Times New Roman" w:hAnsi="Times New Roman"/>
                        <w:sz w:val="21"/>
                      </w:rPr>
                      <w:t>——</w:t>
                    </w:r>
                    <w:r>
                      <w:rPr>
                        <w:sz w:val="21"/>
                      </w:rPr>
                      <w:t>结构构件重要性系数；</w:t>
                    </w:r>
                  </w:p>
                  <w:p>
                    <w:pPr>
                      <w:spacing w:before="175"/>
                      <w:ind w:left="467" w:right="0" w:firstLine="0"/>
                      <w:jc w:val="left"/>
                      <w:rPr>
                        <w:sz w:val="21"/>
                      </w:rPr>
                    </w:pPr>
                    <w:r>
                      <w:rPr>
                        <w:rFonts w:ascii="Symbol" w:eastAsia="Symbol" w:hAnsi="Symbol"/>
                        <w:i/>
                        <w:position w:val="10"/>
                        <w:sz w:val="25"/>
                      </w:rPr>
                      <w:sym w:font="Symbol" w:char="F072"/>
                    </w:r>
                    <w:r>
                      <w:rPr>
                        <w:rFonts w:ascii="Times New Roman" w:eastAsia="Times New Roman" w:hAnsi="Times New Roman"/>
                        <w:i/>
                        <w:position w:val="10"/>
                        <w:sz w:val="25"/>
                      </w:rPr>
                      <w:t xml:space="preserve"> </w:t>
                    </w:r>
                    <w:r>
                      <w:rPr>
                        <w:rFonts w:ascii="Times New Roman" w:eastAsia="Times New Roman" w:hAnsi="Times New Roman"/>
                        <w:sz w:val="21"/>
                      </w:rPr>
                      <w:t>——</w:t>
                    </w:r>
                    <w:r>
                      <w:rPr>
                        <w:sz w:val="21"/>
                      </w:rPr>
                      <w:t>木材斜纹理或斜裂缝的斜率。</w:t>
                    </w:r>
                  </w:p>
                  <w:p>
                    <w:pPr>
                      <w:numPr>
                        <w:ilvl w:val="1"/>
                        <w:numId w:val="15"/>
                      </w:numPr>
                      <w:tabs>
                        <w:tab w:val="left" w:pos="526"/>
                      </w:tabs>
                      <w:spacing w:before="336"/>
                      <w:ind w:left="525" w:right="0" w:hanging="526"/>
                      <w:jc w:val="left"/>
                      <w:rPr>
                        <w:rFonts w:ascii="黑体" w:eastAsia="黑体" w:hint="eastAsia"/>
                        <w:sz w:val="21"/>
                      </w:rPr>
                    </w:pPr>
                    <w:bookmarkStart w:id="36" w:name="4.2　 房屋危险性鉴定"/>
                    <w:bookmarkEnd w:id="36"/>
                    <w:r>
                      <w:rPr>
                        <w:rFonts w:ascii="黑体" w:eastAsia="黑体" w:hint="eastAsia"/>
                        <w:spacing w:val="-2"/>
                        <w:sz w:val="21"/>
                      </w:rPr>
                      <w:t>房屋危险性鉴定</w:t>
                    </w:r>
                  </w:p>
                  <w:p>
                    <w:pPr>
                      <w:spacing w:before="4" w:line="240" w:lineRule="auto"/>
                      <w:rPr>
                        <w:rFonts w:ascii="黑体"/>
                        <w:sz w:val="27"/>
                      </w:rPr>
                    </w:pPr>
                  </w:p>
                  <w:p>
                    <w:pPr>
                      <w:spacing w:before="0" w:line="320" w:lineRule="exact"/>
                      <w:ind w:left="479" w:right="0" w:firstLine="0"/>
                      <w:jc w:val="left"/>
                      <w:rPr>
                        <w:sz w:val="21"/>
                      </w:rPr>
                    </w:pPr>
                    <w:r>
                      <w:rPr>
                        <w:rFonts w:ascii="Times New Roman" w:eastAsia="Times New Roman" w:hAnsi="Times New Roman"/>
                        <w:i/>
                        <w:position w:val="4"/>
                        <w:sz w:val="23"/>
                      </w:rPr>
                      <w:t xml:space="preserve">A </w:t>
                    </w:r>
                    <w:r>
                      <w:rPr>
                        <w:sz w:val="21"/>
                      </w:rPr>
                      <w:t xml:space="preserve">、 </w:t>
                    </w:r>
                    <w:r>
                      <w:rPr>
                        <w:rFonts w:ascii="Times New Roman" w:eastAsia="Times New Roman" w:hAnsi="Times New Roman"/>
                        <w:i/>
                        <w:position w:val="4"/>
                        <w:sz w:val="23"/>
                      </w:rPr>
                      <w:t xml:space="preserve">B </w:t>
                    </w:r>
                    <w:r>
                      <w:rPr>
                        <w:sz w:val="21"/>
                      </w:rPr>
                      <w:t>、</w:t>
                    </w:r>
                    <w:r>
                      <w:rPr>
                        <w:rFonts w:ascii="Times New Roman" w:eastAsia="Times New Roman" w:hAnsi="Times New Roman"/>
                        <w:i/>
                        <w:position w:val="6"/>
                        <w:sz w:val="23"/>
                      </w:rPr>
                      <w:t xml:space="preserve">C </w:t>
                    </w:r>
                    <w:r>
                      <w:rPr>
                        <w:sz w:val="21"/>
                      </w:rPr>
                      <w:t xml:space="preserve">、 </w:t>
                    </w:r>
                    <w:r>
                      <w:rPr>
                        <w:rFonts w:ascii="Times New Roman" w:eastAsia="Times New Roman" w:hAnsi="Times New Roman"/>
                        <w:i/>
                        <w:position w:val="4"/>
                        <w:sz w:val="23"/>
                      </w:rPr>
                      <w:t xml:space="preserve">D </w:t>
                    </w:r>
                    <w:r>
                      <w:rPr>
                        <w:rFonts w:ascii="Times New Roman" w:eastAsia="Times New Roman" w:hAnsi="Times New Roman"/>
                        <w:sz w:val="21"/>
                      </w:rPr>
                      <w:t>——</w:t>
                    </w:r>
                    <w:r>
                      <w:rPr>
                        <w:sz w:val="21"/>
                      </w:rPr>
                      <w:t>房屋危险性等级；</w:t>
                    </w:r>
                  </w:p>
                </w:txbxContent>
              </v:textbox>
            </v:shape>
            <v:shape id="_x0000_s1055" type="#_x0000_t202" style="width:110;height:200;left:10471;position:absolute;top:7318" filled="f" stroked="f">
              <v:textbox inset="0,0,0,0">
                <w:txbxContent>
                  <w:p>
                    <w:pPr>
                      <w:spacing w:before="0" w:line="199" w:lineRule="exact"/>
                      <w:ind w:left="0" w:right="0" w:firstLine="0"/>
                      <w:jc w:val="left"/>
                      <w:rPr>
                        <w:rFonts w:ascii="Times New Roman"/>
                        <w:sz w:val="18"/>
                      </w:rPr>
                    </w:pPr>
                    <w:r>
                      <w:rPr>
                        <w:rFonts w:ascii="Times New Roman"/>
                        <w:sz w:val="18"/>
                      </w:rPr>
                      <w:t>3</w:t>
                    </w:r>
                  </w:p>
                </w:txbxContent>
              </v:textbox>
            </v:shape>
            <w10:wrap type="topAndBottom"/>
          </v:group>
        </w:pict>
      </w:r>
    </w:p>
    <w:p>
      <w:pPr>
        <w:spacing w:after="0"/>
        <w:rPr>
          <w:sz w:val="14"/>
        </w:rPr>
        <w:sectPr>
          <w:headerReference w:type="even" r:id="rId18"/>
          <w:headerReference w:type="default" r:id="rId19"/>
          <w:pgSz w:w="11910" w:h="16840"/>
          <w:pgMar w:top="1340" w:right="260" w:bottom="280" w:left="240" w:header="0" w:footer="0"/>
          <w:pgNumType w:start="10"/>
          <w:cols w:space="708"/>
        </w:sectPr>
      </w:pPr>
    </w:p>
    <w:p>
      <w:pPr>
        <w:pStyle w:val="BodyText"/>
        <w:spacing w:before="12"/>
        <w:rPr>
          <w:sz w:val="22"/>
        </w:rPr>
      </w:pPr>
    </w:p>
    <w:p>
      <w:pPr>
        <w:spacing w:before="90"/>
        <w:ind w:left="1649" w:right="0" w:firstLine="0"/>
        <w:jc w:val="both"/>
        <w:rPr>
          <w:sz w:val="21"/>
        </w:rPr>
      </w:pPr>
      <w:r>
        <w:rPr>
          <w:rFonts w:ascii="Times New Roman" w:eastAsia="Times New Roman" w:hAnsi="Times New Roman"/>
          <w:i/>
          <w:position w:val="11"/>
          <w:sz w:val="22"/>
        </w:rPr>
        <w:t>A</w:t>
      </w:r>
      <w:r>
        <w:rPr>
          <w:rFonts w:ascii="Times New Roman" w:eastAsia="Times New Roman" w:hAnsi="Times New Roman"/>
          <w:i/>
          <w:position w:val="5"/>
          <w:sz w:val="12"/>
        </w:rPr>
        <w:t xml:space="preserve">u </w:t>
      </w:r>
      <w:r>
        <w:rPr>
          <w:sz w:val="21"/>
        </w:rPr>
        <w:t xml:space="preserve">、 </w:t>
      </w:r>
      <w:r>
        <w:rPr>
          <w:rFonts w:ascii="Times New Roman" w:eastAsia="Times New Roman" w:hAnsi="Times New Roman"/>
          <w:i/>
          <w:position w:val="11"/>
          <w:sz w:val="22"/>
        </w:rPr>
        <w:t>B</w:t>
      </w:r>
      <w:r>
        <w:rPr>
          <w:rFonts w:ascii="Times New Roman" w:eastAsia="Times New Roman" w:hAnsi="Times New Roman"/>
          <w:i/>
          <w:position w:val="5"/>
          <w:sz w:val="12"/>
        </w:rPr>
        <w:t xml:space="preserve">u </w:t>
      </w:r>
      <w:r>
        <w:rPr>
          <w:sz w:val="21"/>
        </w:rPr>
        <w:t>、</w:t>
      </w:r>
      <w:r>
        <w:rPr>
          <w:rFonts w:ascii="Times New Roman" w:eastAsia="Times New Roman" w:hAnsi="Times New Roman"/>
          <w:i/>
          <w:position w:val="11"/>
          <w:sz w:val="22"/>
        </w:rPr>
        <w:t>C</w:t>
      </w:r>
      <w:r>
        <w:rPr>
          <w:rFonts w:ascii="Times New Roman" w:eastAsia="Times New Roman" w:hAnsi="Times New Roman"/>
          <w:i/>
          <w:position w:val="5"/>
          <w:sz w:val="12"/>
        </w:rPr>
        <w:t xml:space="preserve">u </w:t>
      </w:r>
      <w:r>
        <w:rPr>
          <w:sz w:val="21"/>
        </w:rPr>
        <w:t xml:space="preserve">、 </w:t>
      </w:r>
      <w:r>
        <w:rPr>
          <w:rFonts w:ascii="Times New Roman" w:eastAsia="Times New Roman" w:hAnsi="Times New Roman"/>
          <w:i/>
          <w:position w:val="11"/>
          <w:sz w:val="22"/>
        </w:rPr>
        <w:t>D</w:t>
      </w:r>
      <w:r>
        <w:rPr>
          <w:rFonts w:ascii="Times New Roman" w:eastAsia="Times New Roman" w:hAnsi="Times New Roman"/>
          <w:i/>
          <w:position w:val="5"/>
          <w:sz w:val="12"/>
        </w:rPr>
        <w:t xml:space="preserve">u </w:t>
      </w:r>
      <w:r>
        <w:rPr>
          <w:rFonts w:ascii="Times New Roman" w:eastAsia="Times New Roman" w:hAnsi="Times New Roman"/>
          <w:sz w:val="21"/>
        </w:rPr>
        <w:t>——</w:t>
      </w:r>
      <w:r>
        <w:rPr>
          <w:sz w:val="21"/>
        </w:rPr>
        <w:t>基础及楼层危险性等级；</w:t>
      </w:r>
    </w:p>
    <w:p>
      <w:pPr>
        <w:pStyle w:val="BodyText"/>
        <w:spacing w:before="246"/>
        <w:ind w:left="1645"/>
      </w:pPr>
      <w:r>
        <w:rPr>
          <w:rFonts w:ascii="Times New Roman" w:eastAsia="Times New Roman" w:hAnsi="Times New Roman"/>
          <w:i/>
          <w:position w:val="4"/>
          <w:sz w:val="23"/>
        </w:rPr>
        <w:t xml:space="preserve">B </w:t>
      </w:r>
      <w:r>
        <w:rPr>
          <w:rFonts w:ascii="Times New Roman" w:eastAsia="Times New Roman" w:hAnsi="Times New Roman"/>
        </w:rPr>
        <w:t>——</w:t>
      </w:r>
      <w:r>
        <w:t>地下室结构层数；</w:t>
      </w:r>
    </w:p>
    <w:p>
      <w:pPr>
        <w:pStyle w:val="BodyText"/>
        <w:spacing w:before="248"/>
        <w:ind w:left="1642"/>
      </w:pPr>
      <w:r>
        <w:rPr>
          <w:rFonts w:ascii="Times New Roman" w:eastAsia="Times New Roman" w:hAnsi="Times New Roman"/>
          <w:i/>
          <w:position w:val="4"/>
          <w:sz w:val="23"/>
        </w:rPr>
        <w:t>F</w:t>
      </w:r>
      <w:r>
        <w:rPr>
          <w:rFonts w:ascii="Times New Roman" w:eastAsia="Times New Roman" w:hAnsi="Times New Roman"/>
          <w:i/>
          <w:spacing w:val="23"/>
          <w:position w:val="4"/>
          <w:sz w:val="23"/>
        </w:rPr>
        <w:t xml:space="preserve"> </w:t>
      </w:r>
      <w:r>
        <w:rPr>
          <w:rFonts w:ascii="Times New Roman" w:eastAsia="Times New Roman" w:hAnsi="Times New Roman"/>
        </w:rPr>
        <w:t>——</w:t>
      </w:r>
      <w:r>
        <w:rPr>
          <w:spacing w:val="-3"/>
        </w:rPr>
        <w:t>上部结构层数；</w:t>
      </w:r>
    </w:p>
    <w:p>
      <w:pPr>
        <w:pStyle w:val="BodyText"/>
        <w:spacing w:before="176"/>
        <w:ind w:left="1685"/>
        <w:jc w:val="both"/>
      </w:pPr>
      <w:r>
        <w:rPr>
          <w:rFonts w:ascii="Times New Roman" w:eastAsia="Times New Roman" w:hAnsi="Times New Roman"/>
          <w:i/>
          <w:position w:val="10"/>
          <w:sz w:val="24"/>
        </w:rPr>
        <w:t>f</w:t>
      </w:r>
      <w:r>
        <w:rPr>
          <w:rFonts w:ascii="Times New Roman" w:eastAsia="Times New Roman" w:hAnsi="Times New Roman"/>
          <w:i/>
          <w:spacing w:val="50"/>
          <w:position w:val="10"/>
          <w:sz w:val="24"/>
        </w:rPr>
        <w:t xml:space="preserve"> </w:t>
      </w:r>
      <w:r>
        <w:rPr>
          <w:rFonts w:ascii="Times New Roman" w:eastAsia="Times New Roman" w:hAnsi="Times New Roman"/>
        </w:rPr>
        <w:t>——</w:t>
      </w:r>
      <w:r>
        <w:rPr>
          <w:spacing w:val="-3"/>
        </w:rPr>
        <w:t>基础结构层数；</w:t>
      </w:r>
    </w:p>
    <w:p>
      <w:pPr>
        <w:spacing w:before="193"/>
        <w:ind w:left="1632" w:right="0" w:firstLine="0"/>
        <w:jc w:val="left"/>
        <w:rPr>
          <w:sz w:val="21"/>
        </w:rPr>
      </w:pPr>
      <w:r>
        <w:rPr>
          <w:rFonts w:ascii="Times New Roman" w:eastAsia="Times New Roman" w:hAnsi="Times New Roman"/>
          <w:i/>
          <w:position w:val="12"/>
          <w:sz w:val="20"/>
        </w:rPr>
        <w:t>n</w:t>
      </w:r>
      <w:r>
        <w:rPr>
          <w:rFonts w:ascii="Times New Roman" w:eastAsia="Times New Roman" w:hAnsi="Times New Roman"/>
          <w:i/>
          <w:position w:val="7"/>
          <w:sz w:val="12"/>
        </w:rPr>
        <w:t xml:space="preserve">df </w:t>
      </w:r>
      <w:r>
        <w:rPr>
          <w:rFonts w:ascii="Times New Roman" w:eastAsia="Times New Roman" w:hAnsi="Times New Roman"/>
          <w:sz w:val="21"/>
        </w:rPr>
        <w:t>——</w:t>
      </w:r>
      <w:r>
        <w:rPr>
          <w:sz w:val="21"/>
        </w:rPr>
        <w:t>基础危险构件数量；</w:t>
      </w:r>
    </w:p>
    <w:p>
      <w:pPr>
        <w:spacing w:before="196"/>
        <w:ind w:left="1632" w:right="0" w:firstLine="0"/>
        <w:jc w:val="both"/>
        <w:rPr>
          <w:sz w:val="21"/>
        </w:rPr>
      </w:pPr>
      <w:r>
        <w:rPr>
          <w:rFonts w:ascii="Times New Roman" w:eastAsia="Times New Roman" w:hAnsi="Times New Roman"/>
          <w:i/>
          <w:position w:val="12"/>
          <w:sz w:val="20"/>
        </w:rPr>
        <w:t>n</w:t>
      </w:r>
      <w:r>
        <w:rPr>
          <w:rFonts w:ascii="Times New Roman" w:eastAsia="Times New Roman" w:hAnsi="Times New Roman"/>
          <w:i/>
          <w:position w:val="7"/>
          <w:sz w:val="12"/>
        </w:rPr>
        <w:t xml:space="preserve">f </w:t>
      </w:r>
      <w:r>
        <w:rPr>
          <w:rFonts w:ascii="Times New Roman" w:eastAsia="Times New Roman" w:hAnsi="Times New Roman"/>
          <w:sz w:val="21"/>
        </w:rPr>
        <w:t>——</w:t>
      </w:r>
      <w:r>
        <w:rPr>
          <w:sz w:val="21"/>
        </w:rPr>
        <w:t>基础构件数量；</w:t>
      </w:r>
    </w:p>
    <w:p>
      <w:pPr>
        <w:spacing w:before="193" w:line="403" w:lineRule="auto"/>
        <w:ind w:left="1630" w:right="6532" w:firstLine="2"/>
        <w:jc w:val="both"/>
        <w:rPr>
          <w:sz w:val="21"/>
        </w:rPr>
      </w:pPr>
      <w:r>
        <w:pict>
          <v:group id="_x0000_s1056" style="width:224pt;height:363.95pt;margin-top:149.74pt;margin-left:70.92pt;mso-position-horizontal-relative:page;mso-wrap-distance-left:0;mso-wrap-distance-right:0;position:absolute;z-index:-251643904" coordorigin="1418,2995" coordsize="4480,7279">
            <v:shape id="_x0000_s1057" type="#_x0000_t202" style="width:4028;height:6510;left:1870;position:absolute;top:2994" filled="f" stroked="f">
              <v:textbox inset="0,0,0,0">
                <w:txbxContent>
                  <w:p>
                    <w:pPr>
                      <w:spacing w:before="0" w:line="400" w:lineRule="auto"/>
                      <w:ind w:left="2" w:right="1279" w:firstLine="0"/>
                      <w:jc w:val="both"/>
                      <w:rPr>
                        <w:sz w:val="21"/>
                      </w:rPr>
                    </w:pPr>
                    <w:r>
                      <w:rPr>
                        <w:rFonts w:ascii="Times New Roman" w:eastAsia="Times New Roman" w:hAnsi="Times New Roman"/>
                        <w:i/>
                        <w:position w:val="11"/>
                        <w:sz w:val="22"/>
                      </w:rPr>
                      <w:t>n</w:t>
                    </w:r>
                    <w:r>
                      <w:rPr>
                        <w:rFonts w:ascii="Times New Roman" w:eastAsia="Times New Roman" w:hAnsi="Times New Roman"/>
                        <w:i/>
                        <w:position w:val="5"/>
                        <w:sz w:val="12"/>
                      </w:rPr>
                      <w:t>sci</w:t>
                    </w:r>
                    <w:r>
                      <w:rPr>
                        <w:rFonts w:ascii="Times New Roman" w:eastAsia="Times New Roman" w:hAnsi="Times New Roman"/>
                        <w:i/>
                        <w:spacing w:val="24"/>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9"/>
                        <w:position w:val="6"/>
                        <w:sz w:val="23"/>
                      </w:rPr>
                      <w:t xml:space="preserve"> </w:t>
                    </w:r>
                    <w:r>
                      <w:rPr>
                        <w:spacing w:val="-5"/>
                        <w:sz w:val="21"/>
                      </w:rPr>
                      <w:t xml:space="preserve">层边柱构件数量； </w:t>
                    </w:r>
                    <w:r>
                      <w:rPr>
                        <w:rFonts w:ascii="Times New Roman" w:eastAsia="Times New Roman" w:hAnsi="Times New Roman"/>
                        <w:i/>
                        <w:position w:val="11"/>
                        <w:sz w:val="22"/>
                      </w:rPr>
                      <w:t>n</w:t>
                    </w:r>
                    <w:r>
                      <w:rPr>
                        <w:rFonts w:ascii="Times New Roman" w:eastAsia="Times New Roman" w:hAnsi="Times New Roman"/>
                        <w:i/>
                        <w:position w:val="5"/>
                        <w:sz w:val="12"/>
                      </w:rPr>
                      <w:t>cci</w:t>
                    </w:r>
                    <w:r>
                      <w:rPr>
                        <w:rFonts w:ascii="Times New Roman" w:eastAsia="Times New Roman" w:hAnsi="Times New Roman"/>
                        <w:i/>
                        <w:spacing w:val="20"/>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0"/>
                        <w:position w:val="6"/>
                        <w:sz w:val="23"/>
                      </w:rPr>
                      <w:t xml:space="preserve"> </w:t>
                    </w:r>
                    <w:r>
                      <w:rPr>
                        <w:spacing w:val="-5"/>
                        <w:sz w:val="21"/>
                      </w:rPr>
                      <w:t xml:space="preserve">层角柱构件数量； </w:t>
                    </w:r>
                    <w:r>
                      <w:rPr>
                        <w:rFonts w:ascii="Times New Roman" w:eastAsia="Times New Roman" w:hAnsi="Times New Roman"/>
                        <w:i/>
                        <w:position w:val="11"/>
                        <w:sz w:val="22"/>
                      </w:rPr>
                      <w:t>n</w:t>
                    </w:r>
                    <w:r>
                      <w:rPr>
                        <w:rFonts w:ascii="Times New Roman" w:eastAsia="Times New Roman" w:hAnsi="Times New Roman"/>
                        <w:i/>
                        <w:position w:val="5"/>
                        <w:sz w:val="12"/>
                      </w:rPr>
                      <w:t>wi</w:t>
                    </w:r>
                    <w:r>
                      <w:rPr>
                        <w:rFonts w:ascii="Times New Roman" w:eastAsia="Times New Roman" w:hAnsi="Times New Roman"/>
                        <w:i/>
                        <w:spacing w:val="29"/>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7"/>
                        <w:position w:val="6"/>
                        <w:sz w:val="23"/>
                      </w:rPr>
                      <w:t xml:space="preserve"> </w:t>
                    </w:r>
                    <w:r>
                      <w:rPr>
                        <w:spacing w:val="-3"/>
                        <w:sz w:val="21"/>
                      </w:rPr>
                      <w:t>层墙体构件数量；</w:t>
                    </w:r>
                  </w:p>
                  <w:p>
                    <w:pPr>
                      <w:spacing w:before="6" w:line="405" w:lineRule="auto"/>
                      <w:ind w:left="2" w:right="541" w:firstLine="0"/>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drti</w:t>
                    </w:r>
                    <w:r>
                      <w:rPr>
                        <w:rFonts w:ascii="Times New Roman" w:eastAsia="Times New Roman" w:hAnsi="Times New Roman"/>
                        <w:i/>
                        <w:spacing w:val="18"/>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2"/>
                        <w:position w:val="6"/>
                        <w:sz w:val="23"/>
                      </w:rPr>
                      <w:t xml:space="preserve"> </w:t>
                    </w:r>
                    <w:r>
                      <w:rPr>
                        <w:spacing w:val="-3"/>
                        <w:sz w:val="21"/>
                      </w:rPr>
                      <w:t xml:space="preserve">层屋架危险构件数量； </w:t>
                    </w:r>
                    <w:r>
                      <w:rPr>
                        <w:rFonts w:ascii="Times New Roman" w:eastAsia="Times New Roman" w:hAnsi="Times New Roman"/>
                        <w:i/>
                        <w:spacing w:val="-3"/>
                        <w:position w:val="12"/>
                        <w:sz w:val="20"/>
                      </w:rPr>
                      <w:t>n</w:t>
                    </w:r>
                    <w:r>
                      <w:rPr>
                        <w:rFonts w:ascii="Times New Roman" w:eastAsia="Times New Roman" w:hAnsi="Times New Roman"/>
                        <w:i/>
                        <w:spacing w:val="-3"/>
                        <w:position w:val="7"/>
                        <w:sz w:val="12"/>
                      </w:rPr>
                      <w:t>dpmbi</w:t>
                    </w:r>
                    <w:r>
                      <w:rPr>
                        <w:rFonts w:ascii="Times New Roman" w:eastAsia="Times New Roman" w:hAnsi="Times New Roman"/>
                        <w:i/>
                        <w:spacing w:val="27"/>
                        <w:position w:val="7"/>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4"/>
                        <w:position w:val="6"/>
                        <w:sz w:val="23"/>
                      </w:rPr>
                      <w:t xml:space="preserve"> </w:t>
                    </w:r>
                    <w:r>
                      <w:rPr>
                        <w:spacing w:val="-4"/>
                        <w:sz w:val="21"/>
                      </w:rPr>
                      <w:t xml:space="preserve">层中梁危险构件数量； </w:t>
                    </w:r>
                    <w:r>
                      <w:rPr>
                        <w:rFonts w:ascii="Times New Roman" w:eastAsia="Times New Roman" w:hAnsi="Times New Roman"/>
                        <w:i/>
                        <w:position w:val="11"/>
                        <w:sz w:val="22"/>
                      </w:rPr>
                      <w:t>n</w:t>
                    </w:r>
                    <w:r>
                      <w:rPr>
                        <w:rFonts w:ascii="Times New Roman" w:eastAsia="Times New Roman" w:hAnsi="Times New Roman"/>
                        <w:i/>
                        <w:position w:val="5"/>
                        <w:sz w:val="12"/>
                      </w:rPr>
                      <w:t>dsmbi</w:t>
                    </w:r>
                    <w:r>
                      <w:rPr>
                        <w:rFonts w:ascii="Times New Roman" w:eastAsia="Times New Roman" w:hAnsi="Times New Roman"/>
                        <w:i/>
                        <w:spacing w:val="18"/>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
                        <w:position w:val="6"/>
                        <w:sz w:val="23"/>
                      </w:rPr>
                      <w:t xml:space="preserve"> </w:t>
                    </w:r>
                    <w:r>
                      <w:rPr>
                        <w:spacing w:val="-3"/>
                        <w:sz w:val="21"/>
                      </w:rPr>
                      <w:t xml:space="preserve">层边梁危险构件数量； </w:t>
                    </w:r>
                    <w:r>
                      <w:rPr>
                        <w:rFonts w:ascii="Times New Roman" w:eastAsia="Times New Roman" w:hAnsi="Times New Roman"/>
                        <w:i/>
                        <w:spacing w:val="-3"/>
                        <w:position w:val="11"/>
                        <w:sz w:val="22"/>
                      </w:rPr>
                      <w:t>n</w:t>
                    </w:r>
                    <w:r>
                      <w:rPr>
                        <w:rFonts w:ascii="Times New Roman" w:eastAsia="Times New Roman" w:hAnsi="Times New Roman"/>
                        <w:i/>
                        <w:spacing w:val="-3"/>
                        <w:position w:val="5"/>
                        <w:sz w:val="12"/>
                      </w:rPr>
                      <w:t>rti</w:t>
                    </w:r>
                    <w:r>
                      <w:rPr>
                        <w:rFonts w:ascii="Times New Roman" w:eastAsia="Times New Roman" w:hAnsi="Times New Roman"/>
                        <w:i/>
                        <w:spacing w:val="22"/>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5"/>
                        <w:position w:val="6"/>
                        <w:sz w:val="23"/>
                      </w:rPr>
                      <w:t xml:space="preserve"> </w:t>
                    </w:r>
                    <w:r>
                      <w:rPr>
                        <w:spacing w:val="-3"/>
                        <w:sz w:val="21"/>
                      </w:rPr>
                      <w:t>层屋架构件数量；</w:t>
                    </w:r>
                  </w:p>
                  <w:p>
                    <w:pPr>
                      <w:spacing w:before="16" w:line="403" w:lineRule="auto"/>
                      <w:ind w:left="0" w:right="824" w:firstLine="1"/>
                      <w:jc w:val="left"/>
                      <w:rPr>
                        <w:sz w:val="21"/>
                      </w:rPr>
                    </w:pPr>
                    <w:r>
                      <w:rPr>
                        <w:rFonts w:ascii="Times New Roman" w:eastAsia="Times New Roman" w:hAnsi="Times New Roman"/>
                        <w:i/>
                        <w:w w:val="105"/>
                        <w:position w:val="12"/>
                        <w:sz w:val="20"/>
                      </w:rPr>
                      <w:t>n</w:t>
                    </w:r>
                    <w:r>
                      <w:rPr>
                        <w:rFonts w:ascii="Times New Roman" w:eastAsia="Times New Roman" w:hAnsi="Times New Roman"/>
                        <w:i/>
                        <w:w w:val="105"/>
                        <w:position w:val="7"/>
                        <w:sz w:val="12"/>
                      </w:rPr>
                      <w:t>pmbi</w:t>
                    </w:r>
                    <w:r>
                      <w:rPr>
                        <w:rFonts w:ascii="Times New Roman" w:eastAsia="Times New Roman" w:hAnsi="Times New Roman"/>
                        <w:i/>
                        <w:spacing w:val="5"/>
                        <w:w w:val="105"/>
                        <w:position w:val="7"/>
                        <w:sz w:val="12"/>
                      </w:rPr>
                      <w:t xml:space="preserve"> </w:t>
                    </w:r>
                    <w:r>
                      <w:rPr>
                        <w:rFonts w:ascii="Times New Roman" w:eastAsia="Times New Roman" w:hAnsi="Times New Roman"/>
                        <w:w w:val="105"/>
                        <w:sz w:val="21"/>
                      </w:rPr>
                      <w:t>——</w:t>
                    </w:r>
                    <w:r>
                      <w:rPr>
                        <w:spacing w:val="26"/>
                        <w:w w:val="105"/>
                        <w:sz w:val="21"/>
                      </w:rPr>
                      <w:t>第</w:t>
                    </w:r>
                    <w:r>
                      <w:rPr>
                        <w:rFonts w:ascii="Times New Roman" w:eastAsia="Times New Roman" w:hAnsi="Times New Roman"/>
                        <w:i/>
                        <w:w w:val="105"/>
                        <w:position w:val="6"/>
                        <w:sz w:val="23"/>
                      </w:rPr>
                      <w:t>i</w:t>
                    </w:r>
                    <w:r>
                      <w:rPr>
                        <w:rFonts w:ascii="Times New Roman" w:eastAsia="Times New Roman" w:hAnsi="Times New Roman"/>
                        <w:i/>
                        <w:spacing w:val="-28"/>
                        <w:w w:val="105"/>
                        <w:position w:val="6"/>
                        <w:sz w:val="23"/>
                      </w:rPr>
                      <w:t xml:space="preserve"> </w:t>
                    </w:r>
                    <w:r>
                      <w:rPr>
                        <w:spacing w:val="-3"/>
                        <w:w w:val="105"/>
                        <w:sz w:val="21"/>
                      </w:rPr>
                      <w:t xml:space="preserve">层中梁构件数量； </w:t>
                    </w:r>
                    <w:r>
                      <w:rPr>
                        <w:rFonts w:ascii="Times New Roman" w:eastAsia="Times New Roman" w:hAnsi="Times New Roman"/>
                        <w:i/>
                        <w:spacing w:val="-3"/>
                        <w:w w:val="105"/>
                        <w:position w:val="11"/>
                        <w:sz w:val="22"/>
                      </w:rPr>
                      <w:t>n</w:t>
                    </w:r>
                    <w:r>
                      <w:rPr>
                        <w:rFonts w:ascii="Times New Roman" w:eastAsia="Times New Roman" w:hAnsi="Times New Roman"/>
                        <w:i/>
                        <w:spacing w:val="-3"/>
                        <w:w w:val="105"/>
                        <w:position w:val="5"/>
                        <w:sz w:val="12"/>
                      </w:rPr>
                      <w:t>smbi</w:t>
                    </w:r>
                    <w:r>
                      <w:rPr>
                        <w:rFonts w:ascii="Times New Roman" w:eastAsia="Times New Roman" w:hAnsi="Times New Roman"/>
                        <w:i/>
                        <w:spacing w:val="2"/>
                        <w:w w:val="105"/>
                        <w:position w:val="5"/>
                        <w:sz w:val="12"/>
                      </w:rPr>
                      <w:t xml:space="preserve"> </w:t>
                    </w:r>
                    <w:r>
                      <w:rPr>
                        <w:rFonts w:ascii="Times New Roman" w:eastAsia="Times New Roman" w:hAnsi="Times New Roman"/>
                        <w:w w:val="105"/>
                        <w:sz w:val="21"/>
                      </w:rPr>
                      <w:t>——</w:t>
                    </w:r>
                    <w:r>
                      <w:rPr>
                        <w:spacing w:val="26"/>
                        <w:w w:val="105"/>
                        <w:sz w:val="21"/>
                      </w:rPr>
                      <w:t>第</w:t>
                    </w:r>
                    <w:r>
                      <w:rPr>
                        <w:rFonts w:ascii="Times New Roman" w:eastAsia="Times New Roman" w:hAnsi="Times New Roman"/>
                        <w:i/>
                        <w:w w:val="105"/>
                        <w:position w:val="6"/>
                        <w:sz w:val="23"/>
                      </w:rPr>
                      <w:t>i</w:t>
                    </w:r>
                    <w:r>
                      <w:rPr>
                        <w:rFonts w:ascii="Times New Roman" w:eastAsia="Times New Roman" w:hAnsi="Times New Roman"/>
                        <w:i/>
                        <w:spacing w:val="-27"/>
                        <w:w w:val="105"/>
                        <w:position w:val="6"/>
                        <w:sz w:val="23"/>
                      </w:rPr>
                      <w:t xml:space="preserve"> </w:t>
                    </w:r>
                    <w:r>
                      <w:rPr>
                        <w:spacing w:val="-3"/>
                        <w:w w:val="105"/>
                        <w:sz w:val="21"/>
                      </w:rPr>
                      <w:t xml:space="preserve">层边梁构件数量； </w:t>
                    </w:r>
                    <w:r>
                      <w:rPr>
                        <w:rFonts w:ascii="Times New Roman" w:eastAsia="Times New Roman" w:hAnsi="Times New Roman"/>
                        <w:i/>
                        <w:spacing w:val="-3"/>
                        <w:position w:val="11"/>
                        <w:sz w:val="22"/>
                      </w:rPr>
                      <w:t>n</w:t>
                    </w:r>
                    <w:r>
                      <w:rPr>
                        <w:rFonts w:ascii="Times New Roman" w:eastAsia="Times New Roman" w:hAnsi="Times New Roman"/>
                        <w:i/>
                        <w:spacing w:val="-3"/>
                        <w:position w:val="5"/>
                        <w:sz w:val="12"/>
                      </w:rPr>
                      <w:t>dsbi</w:t>
                    </w:r>
                    <w:r>
                      <w:rPr>
                        <w:rFonts w:ascii="Times New Roman" w:eastAsia="Times New Roman" w:hAnsi="Times New Roman"/>
                        <w:i/>
                        <w:spacing w:val="17"/>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6"/>
                        <w:position w:val="6"/>
                        <w:sz w:val="23"/>
                      </w:rPr>
                      <w:t xml:space="preserve"> </w:t>
                    </w:r>
                    <w:r>
                      <w:rPr>
                        <w:spacing w:val="-4"/>
                        <w:sz w:val="21"/>
                      </w:rPr>
                      <w:t>层次梁危险构件数量；</w:t>
                    </w:r>
                  </w:p>
                  <w:p>
                    <w:pPr>
                      <w:spacing w:before="8"/>
                      <w:ind w:left="2" w:right="0" w:firstLine="0"/>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 xml:space="preserve">dsi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层楼（屋）面板危险构件数量；</w:t>
                    </w:r>
                  </w:p>
                  <w:p>
                    <w:pPr>
                      <w:spacing w:before="185" w:line="361" w:lineRule="exact"/>
                      <w:ind w:left="2" w:right="0" w:firstLine="0"/>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 xml:space="preserve">sbi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层次梁数量；</w:t>
                    </w:r>
                  </w:p>
                </w:txbxContent>
              </v:textbox>
            </v:shape>
            <v:shape id="_x0000_s1058" type="#_x0000_t202" style="width:110;height:200;left:1418;position:absolute;top:10073" filled="f" stroked="f">
              <v:textbox inset="0,0,0,0">
                <w:txbxContent>
                  <w:p>
                    <w:pPr>
                      <w:spacing w:before="0" w:line="199" w:lineRule="exact"/>
                      <w:ind w:left="0" w:right="0" w:firstLine="0"/>
                      <w:jc w:val="left"/>
                      <w:rPr>
                        <w:rFonts w:ascii="Times New Roman"/>
                        <w:sz w:val="18"/>
                      </w:rPr>
                    </w:pPr>
                    <w:r>
                      <w:rPr>
                        <w:rFonts w:ascii="Times New Roman"/>
                        <w:sz w:val="18"/>
                      </w:rPr>
                      <w:t>4</w:t>
                    </w:r>
                  </w:p>
                </w:txbxContent>
              </v:textbox>
            </v:shape>
            <w10:wrap type="topAndBottom"/>
          </v:group>
        </w:pict>
      </w:r>
      <w:r>
        <w:drawing>
          <wp:anchor distT="0" distB="0" distL="0" distR="0" simplePos="0" relativeHeight="251671552" behindDoc="0" locked="0" layoutInCell="1" allowOverlap="1">
            <wp:simplePos x="0" y="0"/>
            <wp:positionH relativeFrom="page">
              <wp:posOffset>215900</wp:posOffset>
            </wp:positionH>
            <wp:positionV relativeFrom="paragraph">
              <wp:posOffset>1929713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eastAsia="Times New Roman" w:hAnsi="Times New Roman"/>
          <w:i/>
          <w:position w:val="12"/>
          <w:sz w:val="20"/>
        </w:rPr>
        <w:t>n</w:t>
      </w:r>
      <w:r>
        <w:rPr>
          <w:rFonts w:ascii="Times New Roman" w:eastAsia="Times New Roman" w:hAnsi="Times New Roman"/>
          <w:i/>
          <w:position w:val="7"/>
          <w:sz w:val="12"/>
        </w:rPr>
        <w:t xml:space="preserve">dpci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 xml:space="preserve">层中柱危险构件数量； </w:t>
      </w:r>
      <w:r>
        <w:rPr>
          <w:rFonts w:ascii="Times New Roman" w:eastAsia="Times New Roman" w:hAnsi="Times New Roman"/>
          <w:i/>
          <w:position w:val="11"/>
          <w:sz w:val="22"/>
        </w:rPr>
        <w:t>n</w:t>
      </w:r>
      <w:r>
        <w:rPr>
          <w:rFonts w:ascii="Times New Roman" w:eastAsia="Times New Roman" w:hAnsi="Times New Roman"/>
          <w:i/>
          <w:position w:val="5"/>
          <w:sz w:val="12"/>
        </w:rPr>
        <w:t xml:space="preserve">dsci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 xml:space="preserve">层边柱危险构件数量； </w:t>
      </w:r>
      <w:r>
        <w:rPr>
          <w:rFonts w:ascii="Times New Roman" w:eastAsia="Times New Roman" w:hAnsi="Times New Roman"/>
          <w:i/>
          <w:position w:val="11"/>
          <w:sz w:val="22"/>
        </w:rPr>
        <w:t>n</w:t>
      </w:r>
      <w:r>
        <w:rPr>
          <w:rFonts w:ascii="Times New Roman" w:eastAsia="Times New Roman" w:hAnsi="Times New Roman"/>
          <w:i/>
          <w:position w:val="5"/>
          <w:sz w:val="12"/>
        </w:rPr>
        <w:t xml:space="preserve">dcci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 xml:space="preserve">层角柱危险构件数量； </w:t>
      </w:r>
      <w:r>
        <w:rPr>
          <w:rFonts w:ascii="Times New Roman" w:eastAsia="Times New Roman" w:hAnsi="Times New Roman"/>
          <w:i/>
          <w:position w:val="11"/>
          <w:sz w:val="22"/>
        </w:rPr>
        <w:t>n</w:t>
      </w:r>
      <w:r>
        <w:rPr>
          <w:rFonts w:ascii="Times New Roman" w:eastAsia="Times New Roman" w:hAnsi="Times New Roman"/>
          <w:i/>
          <w:position w:val="5"/>
          <w:sz w:val="12"/>
        </w:rPr>
        <w:t xml:space="preserve">dwi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 xml:space="preserve">层墙体危险构件数量； </w:t>
      </w:r>
      <w:r>
        <w:rPr>
          <w:rFonts w:ascii="Times New Roman" w:eastAsia="Times New Roman" w:hAnsi="Times New Roman"/>
          <w:i/>
          <w:position w:val="12"/>
          <w:sz w:val="20"/>
        </w:rPr>
        <w:t>n</w:t>
      </w:r>
      <w:r>
        <w:rPr>
          <w:rFonts w:ascii="Times New Roman" w:eastAsia="Times New Roman" w:hAnsi="Times New Roman"/>
          <w:i/>
          <w:position w:val="7"/>
          <w:sz w:val="12"/>
        </w:rPr>
        <w:t xml:space="preserve">pci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层中柱构件数量；</w:t>
      </w:r>
    </w:p>
    <w:p>
      <w:pPr>
        <w:spacing w:after="0" w:line="403" w:lineRule="auto"/>
        <w:jc w:val="both"/>
        <w:rPr>
          <w:sz w:val="21"/>
        </w:rPr>
        <w:sectPr>
          <w:headerReference w:type="even" r:id="rId20"/>
          <w:headerReference w:type="default" r:id="rId21"/>
          <w:pgSz w:w="11910" w:h="16840"/>
          <w:pgMar w:top="1640" w:right="260" w:bottom="280" w:left="240" w:header="1448" w:footer="0"/>
          <w:pgNumType w:start="11"/>
          <w:cols w:space="708"/>
        </w:sectPr>
      </w:pPr>
    </w:p>
    <w:p>
      <w:pPr>
        <w:pStyle w:val="BodyText"/>
        <w:spacing w:before="61"/>
        <w:ind w:right="870"/>
        <w:jc w:val="right"/>
        <w:rPr>
          <w:rFonts w:ascii="黑体" w:hAnsi="黑体"/>
        </w:rPr>
      </w:pPr>
      <w:r>
        <w:pict>
          <v:shape id="_x0000_s1059" type="#_x0000_t202" style="width:52.7pt;height:10.6pt;margin-top:515.8pt;margin-left:243.6pt;mso-position-horizontal-relative:page;mso-position-vertical-relative:page;position:absolute;z-index:-251642880" filled="f" stroked="f">
            <v:textbox inset="0,0,0,0">
              <w:txbxContent>
                <w:p>
                  <w:pPr>
                    <w:pStyle w:val="BodyText"/>
                    <w:spacing w:line="211" w:lineRule="exact"/>
                  </w:pPr>
                  <w:r>
                    <w:t>调查与查勘</w:t>
                  </w:r>
                </w:p>
              </w:txbxContent>
            </v:textbox>
          </v:shape>
        </w:pict>
      </w:r>
      <w:r>
        <w:pict>
          <v:shape id="_x0000_s1060" type="#_x0000_t202" style="width:63.15pt;height:10.6pt;margin-top:556.36pt;margin-left:238.8pt;mso-position-horizontal-relative:page;mso-position-vertical-relative:page;position:absolute;z-index:-251641856" filled="f" stroked="f">
            <v:textbox inset="0,0,0,0">
              <w:txbxContent>
                <w:p>
                  <w:pPr>
                    <w:pStyle w:val="BodyText"/>
                    <w:spacing w:line="211" w:lineRule="exact"/>
                  </w:pPr>
                  <w:r>
                    <w:t>编制鉴定方案</w:t>
                  </w:r>
                </w:p>
              </w:txbxContent>
            </v:textbox>
          </v:shape>
        </w:pict>
      </w:r>
      <w:r>
        <w:pict>
          <v:shape id="_x0000_s1061" type="#_x0000_t202" style="width:52.7pt;height:10.6pt;margin-top:595.84pt;margin-left:243.36pt;mso-position-horizontal-relative:page;mso-position-vertical-relative:page;position:absolute;z-index:-251640832" filled="f" stroked="f">
            <v:textbox inset="0,0,0,0">
              <w:txbxContent>
                <w:p>
                  <w:pPr>
                    <w:pStyle w:val="BodyText"/>
                    <w:spacing w:line="211" w:lineRule="exact"/>
                  </w:pPr>
                  <w:r>
                    <w:t>检测与验算</w:t>
                  </w:r>
                </w:p>
              </w:txbxContent>
            </v:textbox>
          </v:shape>
        </w:pict>
      </w:r>
      <w:r>
        <w:pict>
          <v:shape id="_x0000_s1062" type="#_x0000_t202" style="width:42.15pt;height:10.6pt;margin-top:651.04pt;margin-left:248.64pt;mso-position-horizontal-relative:page;mso-position-vertical-relative:page;position:absolute;z-index:-251639808" filled="f" stroked="f">
            <v:textbox inset="0,0,0,0">
              <w:txbxContent>
                <w:p>
                  <w:pPr>
                    <w:pStyle w:val="BodyText"/>
                    <w:spacing w:line="211" w:lineRule="exact"/>
                  </w:pPr>
                  <w:r>
                    <w:t>综合评定</w:t>
                  </w:r>
                </w:p>
              </w:txbxContent>
            </v:textbox>
          </v:shape>
        </w:pict>
      </w:r>
      <w:r>
        <w:pict>
          <v:shape id="_x0000_s1063" type="#_x0000_t202" style="width:84.15pt;height:10.6pt;margin-top:691.12pt;margin-left:227.52pt;mso-position-horizontal-relative:page;mso-position-vertical-relative:page;position:absolute;z-index:-251638784" filled="f" stroked="f">
            <v:textbox inset="0,0,0,0">
              <w:txbxContent>
                <w:p>
                  <w:pPr>
                    <w:pStyle w:val="BodyText"/>
                    <w:spacing w:line="211" w:lineRule="exact"/>
                  </w:pPr>
                  <w:r>
                    <w:t>鉴定书签发、备案</w:t>
                  </w:r>
                </w:p>
              </w:txbxContent>
            </v:textbox>
          </v:shape>
        </w:pict>
      </w:r>
      <w:r>
        <w:pict>
          <v:shape id="_x0000_s1064" type="#_x0000_t202" style="width:24pt;height:12pt;margin-top:585.01pt;margin-left:341.88pt;mso-position-horizontal-relative:page;mso-position-vertical-relative:page;position:absolute;z-index:-251636736" filled="f" stroked="f">
            <v:textbox inset="0,0,0,0">
              <w:txbxContent>
                <w:p>
                  <w:pPr>
                    <w:spacing w:before="0" w:line="240" w:lineRule="exact"/>
                    <w:ind w:left="0" w:right="0" w:firstLine="0"/>
                    <w:jc w:val="left"/>
                    <w:rPr>
                      <w:sz w:val="24"/>
                    </w:rPr>
                  </w:pPr>
                  <w:r>
                    <w:rPr>
                      <w:sz w:val="24"/>
                    </w:rPr>
                    <w:t>补充</w:t>
                  </w:r>
                </w:p>
              </w:txbxContent>
            </v:textbox>
          </v:shape>
        </w:pict>
      </w:r>
      <w:r>
        <w:pict>
          <v:group id="_x0000_s1065" style="width:595.5pt;height:842.15pt;margin-top:-0.09pt;margin-left:-0.09pt;mso-position-horizontal-relative:page;mso-position-vertical-relative:page;position:absolute;z-index:-251635712" coordorigin="-2,-2" coordsize="11910,16843">
            <v:shape id="_x0000_s1066" type="#_x0000_t75" style="width:6067;height:8051;left:2650;position:absolute;top:4649" stroked="f">
              <v:imagedata r:id="rId13" o:title=""/>
            </v:shape>
            <v:rect id="_x0000_s1067" style="width:11906;height:16838;position:absolute" filled="f" stroked="t" strokecolor="#231916" strokeweight="0.22pt">
              <v:stroke dashstyle="solid"/>
            </v:rect>
            <v:shape id="_x0000_s1068" style="width:1849;height:4708;left:4467;position:absolute;top:9383" coordorigin="4467,9383" coordsize="1849,4708" path="m4781,10584l6014,10584,6014,10184,4781,10184,4781,10584xm4660,11396l6151,11396,6151,10995,4660,10995,4660,11396xm4775,12185l6008,12185,6008,11785,4775,11785,4775,12185xm4775,13290l6008,13290,6008,12890,4775,12890,4775,13290xm4467,14091l6316,14091,6316,13691,4467,13691,4467,14091xm4775,9783l6008,9783,6008,9383,4775,9383,4775,9783xe" filled="f" stroked="t" strokecolor="black" strokeweight="0.75pt">
              <v:stroke dashstyle="solid"/>
              <v:path arrowok="t"/>
            </v:shape>
            <v:line id="_x0000_s1069" style="position:absolute" from="5391,10584" to="5391,10911" stroked="t" strokecolor="black" strokeweight="1.04pt">
              <v:stroke dashstyle="solid"/>
            </v:line>
            <v:shape id="_x0000_s1070" style="width:120;height:121;left:5331;position:absolute;top:10880" coordorigin="5332,10881" coordsize="120,121" path="m5452,10881l5332,10881,5392,11001,5452,10881xe" filled="t" fillcolor="black" stroked="f">
              <v:fill type="solid"/>
              <v:path arrowok="t"/>
            </v:shape>
            <v:line id="_x0000_s1071" style="position:absolute" from="5392,9783" to="5392,10111" stroked="t" strokecolor="black" strokeweight="1.08pt">
              <v:stroke dashstyle="solid"/>
            </v:line>
            <v:shape id="_x0000_s1072" style="width:120;height:121;left:5332;position:absolute;top:10080" coordorigin="5332,10081" coordsize="120,121" path="m5452,10081l5332,10081,5393,10201,5452,10081xe" filled="t" fillcolor="black" stroked="f">
              <v:fill type="solid"/>
              <v:path arrowok="t"/>
            </v:shape>
            <v:line id="_x0000_s1073" style="position:absolute" from="5392,11396" to="5392,11712" stroked="t" strokecolor="black" strokeweight="1.08pt">
              <v:stroke dashstyle="solid"/>
            </v:line>
            <v:shape id="_x0000_s1074" style="width:120;height:121;left:5332;position:absolute;top:11681" coordorigin="5332,11682" coordsize="120,121" path="m5452,11682l5332,11682,5393,11802,5452,11682xe" filled="t" fillcolor="black" stroked="f">
              <v:fill type="solid"/>
              <v:path arrowok="t"/>
            </v:shape>
            <v:line id="_x0000_s1075" style="position:absolute" from="5392,12185" to="5392,12800" stroked="t" strokecolor="black" strokeweight="1.13pt">
              <v:stroke dashstyle="solid"/>
            </v:line>
            <v:shape id="_x0000_s1076" style="width:120;height:121;left:5333;position:absolute;top:12769" coordorigin="5333,12770" coordsize="120,121" path="m5453,12770l5333,12770,5394,12890,5453,12770xe" filled="t" fillcolor="black" stroked="f">
              <v:fill type="solid"/>
              <v:path arrowok="t"/>
            </v:shape>
            <v:line id="_x0000_s1077" style="position:absolute" from="5392,13290" to="5392,13618" stroked="t" strokecolor="black" strokeweight="1.08pt">
              <v:stroke dashstyle="solid"/>
            </v:line>
            <v:shape id="_x0000_s1078" style="width:120;height:121;left:5332;position:absolute;top:13587" coordorigin="5332,13588" coordsize="120,121" path="m5452,13588l5332,13588,5393,13708,5452,13588xe" filled="t" fillcolor="black" stroked="f">
              <v:fill type="solid"/>
              <v:path arrowok="t"/>
            </v:shape>
            <v:line id="_x0000_s1079" style="position:absolute" from="6114,10402" to="7092,10402" stroked="t" strokecolor="black" strokeweight="1pt">
              <v:stroke dashstyle="solid"/>
            </v:line>
            <v:shape id="_x0000_s1080" style="width:120;height:120;left:6014;position:absolute;top:10342" coordorigin="6014,10342" coordsize="120,120" path="m6134,10342l6014,10402,6134,10462,6134,10342xe" filled="t" fillcolor="black" stroked="f">
              <v:fill type="solid"/>
              <v:path arrowok="t"/>
            </v:shape>
            <v:line id="_x0000_s1081" style="position:absolute" from="7086,12185" to="7086,13096" stroked="t" strokecolor="black" strokeweight="1pt">
              <v:stroke dashstyle="solid"/>
            </v:line>
            <v:shape id="_x0000_s1082" style="width:120;height:121;left:7025;position:absolute;top:12085" coordorigin="7026,12085" coordsize="120,121" path="m7086,12085l7026,12205,7146,12205,7086,12085xe" filled="t" fillcolor="black" stroked="f">
              <v:fill type="solid"/>
              <v:path arrowok="t"/>
            </v:shape>
            <v:line id="_x0000_s1083" style="position:absolute" from="7086,10399" to="7086,11488" stroked="t" strokecolor="black" strokeweight="0.75pt">
              <v:stroke dashstyle="solid"/>
            </v:line>
            <v:line id="_x0000_s1084" style="position:absolute" from="6009,13096" to="7086,13096" stroked="t" strokecolor="black" strokeweight="0.75pt">
              <v:stroke dashstyle="solid"/>
            </v:line>
            <v:rect id="_x0000_s1085" style="width:1233;height:400;left:4781;position:absolute;top:10184" filled="t" fillcolor="white" stroked="f">
              <v:fill type="solid"/>
            </v:rect>
            <v:rect id="_x0000_s1086" style="width:1233;height:400;left:4781;position:absolute;top:10184" filled="f" stroked="t" strokecolor="black" strokeweight="0.75pt">
              <v:stroke dashstyle="solid"/>
            </v:rect>
            <v:rect id="_x0000_s1087" style="width:1491;height:401;left:4660;position:absolute;top:10995" filled="t" fillcolor="white" stroked="f">
              <v:fill type="solid"/>
            </v:rect>
            <v:rect id="_x0000_s1088" style="width:1491;height:401;left:4660;position:absolute;top:10995" filled="f" stroked="t" strokecolor="black" strokeweight="0.75pt">
              <v:stroke dashstyle="solid"/>
            </v:rect>
            <v:rect id="_x0000_s1089" style="width:1233;height:400;left:4775;position:absolute;top:11785" filled="t" fillcolor="white" stroked="f">
              <v:fill type="solid"/>
            </v:rect>
            <v:rect id="_x0000_s1090" style="width:1233;height:400;left:4775;position:absolute;top:11785" filled="f" stroked="t" strokecolor="black" strokeweight="0.75pt">
              <v:stroke dashstyle="solid"/>
            </v:rect>
            <v:rect id="_x0000_s1091" style="width:1233;height:400;left:4775;position:absolute;top:12890" filled="t" fillcolor="white" stroked="f">
              <v:fill type="solid"/>
            </v:rect>
            <v:rect id="_x0000_s1092" style="width:1233;height:400;left:4775;position:absolute;top:12890" filled="f" stroked="t" strokecolor="black" strokeweight="0.75pt">
              <v:stroke dashstyle="solid"/>
            </v:rect>
            <v:rect id="_x0000_s1093" style="width:1849;height:400;left:4467;position:absolute;top:13691" filled="t" fillcolor="white" stroked="f">
              <v:fill type="solid"/>
            </v:rect>
            <v:rect id="_x0000_s1094" style="width:1849;height:400;left:4467;position:absolute;top:13691" filled="f" stroked="t" strokecolor="black" strokeweight="0.75pt">
              <v:stroke dashstyle="solid"/>
            </v:rect>
            <v:rect id="_x0000_s1095" style="width:1233;height:400;left:4775;position:absolute;top:9383" filled="t" fillcolor="white" stroked="f">
              <v:fill type="solid"/>
            </v:rect>
            <v:rect id="_x0000_s1096" style="width:1233;height:400;left:4775;position:absolute;top:9383" filled="f" stroked="t" strokecolor="black" strokeweight="0.75pt">
              <v:stroke dashstyle="solid"/>
            </v:rect>
            <v:line id="_x0000_s1097" style="position:absolute" from="5391,10584" to="5392,10901" stroked="t" strokecolor="black" strokeweight="1pt">
              <v:stroke dashstyle="solid"/>
            </v:line>
            <v:shape id="_x0000_s1098" style="width:120;height:121;left:5331;position:absolute;top:10880" coordorigin="5332,10881" coordsize="120,121" path="m5452,10881l5332,10881,5392,11001,5452,10881xe" filled="t" fillcolor="black" stroked="f">
              <v:fill type="solid"/>
              <v:path arrowok="t"/>
            </v:shape>
            <v:line id="_x0000_s1099" style="position:absolute" from="5391,9783" to="5393,10101" stroked="t" strokecolor="black" strokeweight="1pt">
              <v:stroke dashstyle="solid"/>
            </v:line>
            <v:shape id="_x0000_s1100" style="width:120;height:121;left:5332;position:absolute;top:10080" coordorigin="5332,10081" coordsize="120,121" path="m5452,10081l5332,10081,5393,10201,5452,10081xe" filled="t" fillcolor="black" stroked="f">
              <v:fill type="solid"/>
              <v:path arrowok="t"/>
            </v:shape>
            <v:line id="_x0000_s1101" style="position:absolute" from="5391,11385" to="5393,11702" stroked="t" strokecolor="black" strokeweight="1pt">
              <v:stroke dashstyle="solid"/>
            </v:line>
            <v:shape id="_x0000_s1102" style="width:120;height:121;left:5332;position:absolute;top:11681" coordorigin="5332,11682" coordsize="120,121" path="m5452,11682l5332,11682,5393,11802,5452,11682xe" filled="t" fillcolor="black" stroked="f">
              <v:fill type="solid"/>
              <v:path arrowok="t"/>
            </v:shape>
            <v:line id="_x0000_s1103" style="position:absolute" from="5391,12185" to="5394,12790" stroked="t" strokecolor="black" strokeweight="1pt">
              <v:stroke dashstyle="solid"/>
            </v:line>
            <v:shape id="_x0000_s1104" style="width:120;height:121;left:5333;position:absolute;top:12769" coordorigin="5333,12770" coordsize="120,121" path="m5453,12770l5333,12770,5394,12890,5453,12770xe" filled="t" fillcolor="black" stroked="f">
              <v:fill type="solid"/>
              <v:path arrowok="t"/>
            </v:shape>
            <v:line id="_x0000_s1105" style="position:absolute" from="5391,13290" to="5393,13608" stroked="t" strokecolor="black" strokeweight="1pt">
              <v:stroke dashstyle="solid"/>
            </v:line>
            <v:shape id="_x0000_s1106" style="width:120;height:121;left:5332;position:absolute;top:13587" coordorigin="5332,13588" coordsize="120,121" path="m5452,13588l5332,13588,5393,13708,5452,13588xe" filled="t" fillcolor="black" stroked="f">
              <v:fill type="solid"/>
              <v:path arrowok="t"/>
            </v:shape>
            <v:line id="_x0000_s1107" style="position:absolute" from="6114,10402" to="7092,10402" stroked="t" strokecolor="black" strokeweight="1pt">
              <v:stroke dashstyle="solid"/>
            </v:line>
            <v:shape id="_x0000_s1108" style="width:120;height:120;left:6014;position:absolute;top:10342" coordorigin="6014,10342" coordsize="120,120" path="m6134,10342l6014,10402,6134,10462,6134,10342xe" filled="t" fillcolor="black" stroked="f">
              <v:fill type="solid"/>
              <v:path arrowok="t"/>
            </v:shape>
            <v:line id="_x0000_s1109" style="position:absolute" from="7086,12185" to="7086,13096" stroked="t" strokecolor="black" strokeweight="1pt">
              <v:stroke dashstyle="solid"/>
            </v:line>
            <v:shape id="_x0000_s1110" style="width:120;height:121;left:7025;position:absolute;top:12085" coordorigin="7026,12085" coordsize="120,121" path="m7086,12085l7026,12205,7146,12205,7086,12085xe" filled="t" fillcolor="black" stroked="f">
              <v:fill type="solid"/>
              <v:path arrowok="t"/>
            </v:shape>
            <v:rect id="_x0000_s1111" style="width:1387;height:401;left:6383;position:absolute;top:11586" filled="t" fillcolor="white" stroked="f">
              <v:fill type="solid"/>
            </v:rect>
            <v:line id="_x0000_s1112" style="position:absolute" from="7086,10399" to="7086,11488" stroked="t" strokecolor="black" strokeweight="0.75pt">
              <v:stroke dashstyle="solid"/>
            </v:line>
            <v:line id="_x0000_s1113" style="position:absolute" from="6009,13096" to="7086,13096" stroked="t" strokecolor="black" strokeweight="0.75pt">
              <v:stroke dashstyle="solid"/>
            </v:line>
            <v:shape id="_x0000_s1114" type="#_x0000_t75" style="width:11200;height:7680;left:340;position:absolute;top:8258" stroked="f">
              <v:imagedata r:id="rId4" o:title=""/>
            </v:shape>
          </v:group>
        </w:pict>
      </w:r>
      <w:r>
        <w:rPr>
          <w:rFonts w:ascii="黑体" w:hAnsi="黑体"/>
        </w:rPr>
        <w:t>DB4201/T 537—2018</w:t>
      </w:r>
    </w:p>
    <w:p>
      <w:pPr>
        <w:pStyle w:val="BodyText"/>
        <w:spacing w:before="8"/>
        <w:rPr>
          <w:rFonts w:ascii="黑体"/>
          <w:sz w:val="20"/>
        </w:rPr>
      </w:pPr>
    </w:p>
    <w:p>
      <w:pPr>
        <w:spacing w:before="91"/>
        <w:ind w:left="1632" w:right="0" w:firstLine="0"/>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 xml:space="preserve">si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层楼（屋）面板数量；</w:t>
      </w:r>
    </w:p>
    <w:p>
      <w:pPr>
        <w:spacing w:before="185"/>
        <w:ind w:left="1631" w:right="0" w:firstLine="0"/>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 xml:space="preserve">dsmi </w:t>
      </w:r>
      <w:r>
        <w:rPr>
          <w:rFonts w:ascii="Times New Roman" w:eastAsia="Times New Roman" w:hAnsi="Times New Roman"/>
          <w:sz w:val="21"/>
        </w:rPr>
        <w:t>——</w:t>
      </w:r>
      <w:r>
        <w:rPr>
          <w:sz w:val="21"/>
        </w:rPr>
        <w:t>第</w:t>
      </w:r>
      <w:r>
        <w:rPr>
          <w:rFonts w:ascii="Times New Roman" w:eastAsia="Times New Roman" w:hAnsi="Times New Roman"/>
          <w:i/>
          <w:position w:val="6"/>
          <w:sz w:val="23"/>
        </w:rPr>
        <w:t xml:space="preserve">i </w:t>
      </w:r>
      <w:r>
        <w:rPr>
          <w:sz w:val="21"/>
        </w:rPr>
        <w:t>层围护结构危险承重构件数量；</w:t>
      </w:r>
    </w:p>
    <w:p>
      <w:pPr>
        <w:spacing w:before="187" w:line="432" w:lineRule="auto"/>
        <w:ind w:left="1644" w:right="6187" w:hanging="14"/>
        <w:jc w:val="left"/>
        <w:rPr>
          <w:sz w:val="21"/>
        </w:rPr>
      </w:pPr>
      <w:r>
        <w:rPr>
          <w:rFonts w:ascii="Times New Roman" w:eastAsia="Times New Roman" w:hAnsi="Times New Roman"/>
          <w:i/>
          <w:position w:val="11"/>
          <w:sz w:val="22"/>
        </w:rPr>
        <w:t>n</w:t>
      </w:r>
      <w:r>
        <w:rPr>
          <w:rFonts w:ascii="Times New Roman" w:eastAsia="Times New Roman" w:hAnsi="Times New Roman"/>
          <w:i/>
          <w:position w:val="5"/>
          <w:sz w:val="12"/>
        </w:rPr>
        <w:t>smi</w:t>
      </w:r>
      <w:r>
        <w:rPr>
          <w:rFonts w:ascii="Times New Roman" w:eastAsia="Times New Roman" w:hAnsi="Times New Roman"/>
          <w:i/>
          <w:spacing w:val="18"/>
          <w:position w:val="5"/>
          <w:sz w:val="12"/>
        </w:rPr>
        <w:t xml:space="preserve"> </w:t>
      </w:r>
      <w:r>
        <w:rPr>
          <w:rFonts w:ascii="Times New Roman" w:eastAsia="Times New Roman" w:hAnsi="Times New Roman"/>
          <w:sz w:val="21"/>
        </w:rPr>
        <w:t>——</w:t>
      </w:r>
      <w:r>
        <w:rPr>
          <w:spacing w:val="26"/>
          <w:sz w:val="21"/>
        </w:rPr>
        <w:t>第</w:t>
      </w:r>
      <w:r>
        <w:rPr>
          <w:rFonts w:ascii="Times New Roman" w:eastAsia="Times New Roman" w:hAnsi="Times New Roman"/>
          <w:i/>
          <w:position w:val="6"/>
          <w:sz w:val="23"/>
        </w:rPr>
        <w:t>i</w:t>
      </w:r>
      <w:r>
        <w:rPr>
          <w:rFonts w:ascii="Times New Roman" w:eastAsia="Times New Roman" w:hAnsi="Times New Roman"/>
          <w:i/>
          <w:spacing w:val="-14"/>
          <w:position w:val="6"/>
          <w:sz w:val="23"/>
        </w:rPr>
        <w:t xml:space="preserve"> </w:t>
      </w:r>
      <w:r>
        <w:rPr>
          <w:spacing w:val="-3"/>
          <w:sz w:val="21"/>
        </w:rPr>
        <w:t xml:space="preserve">层围护结构承重构件数量； </w:t>
      </w:r>
      <w:r>
        <w:rPr>
          <w:rFonts w:ascii="Times New Roman" w:eastAsia="Times New Roman" w:hAnsi="Times New Roman"/>
          <w:i/>
          <w:position w:val="4"/>
          <w:sz w:val="23"/>
        </w:rPr>
        <w:t>R</w:t>
      </w:r>
      <w:r>
        <w:rPr>
          <w:rFonts w:ascii="Times New Roman" w:eastAsia="Times New Roman" w:hAnsi="Times New Roman"/>
          <w:i/>
          <w:spacing w:val="34"/>
          <w:position w:val="4"/>
          <w:sz w:val="23"/>
        </w:rPr>
        <w:t xml:space="preserve"> </w:t>
      </w:r>
      <w:r>
        <w:rPr>
          <w:rFonts w:ascii="Times New Roman" w:eastAsia="Times New Roman" w:hAnsi="Times New Roman"/>
          <w:sz w:val="21"/>
        </w:rPr>
        <w:t>——</w:t>
      </w:r>
      <w:r>
        <w:rPr>
          <w:spacing w:val="-3"/>
          <w:sz w:val="21"/>
        </w:rPr>
        <w:t xml:space="preserve">整体结构危险构件综合比例； </w:t>
      </w:r>
      <w:r>
        <w:rPr>
          <w:rFonts w:ascii="Times New Roman" w:eastAsia="Times New Roman" w:hAnsi="Times New Roman"/>
          <w:i/>
          <w:spacing w:val="9"/>
          <w:position w:val="12"/>
          <w:sz w:val="20"/>
        </w:rPr>
        <w:t>R</w:t>
      </w:r>
      <w:r>
        <w:rPr>
          <w:rFonts w:ascii="Times New Roman" w:eastAsia="Times New Roman" w:hAnsi="Times New Roman"/>
          <w:i/>
          <w:spacing w:val="9"/>
          <w:position w:val="7"/>
          <w:sz w:val="12"/>
        </w:rPr>
        <w:t>f</w:t>
      </w:r>
      <w:r>
        <w:rPr>
          <w:rFonts w:ascii="Times New Roman" w:eastAsia="Times New Roman" w:hAnsi="Times New Roman"/>
          <w:i/>
          <w:spacing w:val="13"/>
          <w:position w:val="7"/>
          <w:sz w:val="12"/>
        </w:rPr>
        <w:t xml:space="preserve"> </w:t>
      </w:r>
      <w:r>
        <w:rPr>
          <w:rFonts w:ascii="Times New Roman" w:eastAsia="Times New Roman" w:hAnsi="Times New Roman"/>
          <w:sz w:val="21"/>
        </w:rPr>
        <w:t>——</w:t>
      </w:r>
      <w:r>
        <w:rPr>
          <w:spacing w:val="-3"/>
          <w:sz w:val="21"/>
        </w:rPr>
        <w:t>基础层危险构件综合比例；</w:t>
      </w:r>
    </w:p>
    <w:p>
      <w:pPr>
        <w:spacing w:before="0" w:line="355" w:lineRule="exact"/>
        <w:ind w:left="1636" w:right="0" w:firstLine="0"/>
        <w:jc w:val="left"/>
        <w:rPr>
          <w:sz w:val="21"/>
        </w:rPr>
      </w:pPr>
      <w:r>
        <w:rPr>
          <w:rFonts w:ascii="Times New Roman" w:eastAsia="Times New Roman" w:hAnsi="Times New Roman"/>
          <w:i/>
          <w:position w:val="11"/>
          <w:sz w:val="22"/>
        </w:rPr>
        <w:t>R</w:t>
      </w:r>
      <w:r>
        <w:rPr>
          <w:rFonts w:ascii="Times New Roman" w:eastAsia="Times New Roman" w:hAnsi="Times New Roman"/>
          <w:i/>
          <w:position w:val="5"/>
          <w:sz w:val="12"/>
        </w:rPr>
        <w:t xml:space="preserve">si </w:t>
      </w:r>
      <w:r>
        <w:rPr>
          <w:rFonts w:ascii="Times New Roman" w:eastAsia="Times New Roman" w:hAnsi="Times New Roman"/>
          <w:sz w:val="21"/>
        </w:rPr>
        <w:t>——</w:t>
      </w:r>
      <w:r>
        <w:rPr>
          <w:sz w:val="21"/>
        </w:rPr>
        <w:t>上部结构（含地下室）第</w:t>
      </w:r>
      <w:r>
        <w:rPr>
          <w:rFonts w:ascii="Times New Roman" w:eastAsia="Times New Roman" w:hAnsi="Times New Roman"/>
          <w:i/>
          <w:position w:val="6"/>
          <w:sz w:val="23"/>
        </w:rPr>
        <w:t xml:space="preserve">i </w:t>
      </w:r>
      <w:r>
        <w:rPr>
          <w:sz w:val="21"/>
        </w:rPr>
        <w:t>层危险构件综合比例。</w:t>
      </w:r>
    </w:p>
    <w:p>
      <w:pPr>
        <w:pStyle w:val="BodyText"/>
        <w:spacing w:before="4"/>
        <w:rPr>
          <w:sz w:val="30"/>
        </w:rPr>
      </w:pPr>
    </w:p>
    <w:p>
      <w:pPr>
        <w:pStyle w:val="ListParagraph"/>
        <w:numPr>
          <w:ilvl w:val="0"/>
          <w:numId w:val="16"/>
        </w:numPr>
        <w:tabs>
          <w:tab w:val="left" w:pos="1493"/>
        </w:tabs>
        <w:spacing w:before="0" w:after="0" w:line="240" w:lineRule="auto"/>
        <w:ind w:left="1492" w:right="0" w:hanging="315"/>
        <w:jc w:val="left"/>
        <w:rPr>
          <w:rFonts w:ascii="黑体" w:eastAsia="黑体" w:hint="eastAsia"/>
          <w:sz w:val="21"/>
        </w:rPr>
      </w:pPr>
      <w:bookmarkStart w:id="37" w:name="5　 基本规定"/>
      <w:bookmarkEnd w:id="37"/>
      <w:r>
        <w:rPr>
          <w:rFonts w:ascii="黑体" w:eastAsia="黑体" w:hint="eastAsia"/>
          <w:spacing w:val="-1"/>
          <w:sz w:val="21"/>
        </w:rPr>
        <w:t>基本规定</w:t>
      </w:r>
    </w:p>
    <w:p>
      <w:pPr>
        <w:pStyle w:val="BodyText"/>
        <w:spacing w:before="6"/>
        <w:rPr>
          <w:rFonts w:ascii="黑体"/>
          <w:sz w:val="27"/>
        </w:rPr>
      </w:pPr>
    </w:p>
    <w:p>
      <w:pPr>
        <w:pStyle w:val="ListParagraph"/>
        <w:numPr>
          <w:ilvl w:val="1"/>
          <w:numId w:val="16"/>
        </w:numPr>
        <w:tabs>
          <w:tab w:val="left" w:pos="1705"/>
        </w:tabs>
        <w:spacing w:before="0" w:after="0" w:line="240" w:lineRule="auto"/>
        <w:ind w:left="1704" w:right="0" w:hanging="527"/>
        <w:jc w:val="left"/>
        <w:rPr>
          <w:rFonts w:ascii="黑体" w:eastAsia="黑体" w:hint="eastAsia"/>
          <w:sz w:val="21"/>
        </w:rPr>
      </w:pPr>
      <w:bookmarkStart w:id="38" w:name="5.1　 鉴定分类"/>
      <w:bookmarkEnd w:id="38"/>
      <w:r>
        <w:rPr>
          <w:rFonts w:ascii="黑体" w:eastAsia="黑体" w:hint="eastAsia"/>
          <w:spacing w:val="-1"/>
          <w:sz w:val="21"/>
        </w:rPr>
        <w:t>鉴定分类</w:t>
      </w:r>
    </w:p>
    <w:p>
      <w:pPr>
        <w:pStyle w:val="BodyText"/>
        <w:spacing w:before="7"/>
        <w:rPr>
          <w:rFonts w:ascii="黑体"/>
          <w:sz w:val="15"/>
        </w:rPr>
      </w:pPr>
    </w:p>
    <w:p>
      <w:pPr>
        <w:pStyle w:val="ListParagraph"/>
        <w:numPr>
          <w:ilvl w:val="2"/>
          <w:numId w:val="16"/>
        </w:numPr>
        <w:tabs>
          <w:tab w:val="left" w:pos="2018"/>
          <w:tab w:val="left" w:pos="2019"/>
        </w:tabs>
        <w:spacing w:before="0" w:after="0" w:line="278" w:lineRule="auto"/>
        <w:ind w:left="1178" w:right="981" w:hanging="1"/>
        <w:jc w:val="left"/>
        <w:rPr>
          <w:sz w:val="21"/>
        </w:rPr>
      </w:pPr>
      <w:bookmarkStart w:id="39" w:name="5.1.1 房屋安全鉴定按照鉴定的区域范围可分为整幢安全鉴定和局部安全鉴定，按照"/>
      <w:bookmarkEnd w:id="39"/>
      <w:r>
        <w:rPr>
          <w:spacing w:val="-3"/>
          <w:sz w:val="21"/>
        </w:rPr>
        <w:t>房屋安全鉴定按照鉴定的区域范围可分为整幢安全鉴定和局部安全鉴定，按照紧急程度可分</w:t>
      </w:r>
      <w:r>
        <w:rPr>
          <w:spacing w:val="-3"/>
          <w:sz w:val="21"/>
        </w:rPr>
        <w:t>为常规鉴定和应急鉴定。</w:t>
      </w:r>
    </w:p>
    <w:p>
      <w:pPr>
        <w:pStyle w:val="ListParagraph"/>
        <w:numPr>
          <w:ilvl w:val="2"/>
          <w:numId w:val="16"/>
        </w:numPr>
        <w:tabs>
          <w:tab w:val="left" w:pos="2018"/>
          <w:tab w:val="left" w:pos="2019"/>
        </w:tabs>
        <w:spacing w:before="0" w:after="0" w:line="278" w:lineRule="auto"/>
        <w:ind w:left="1178" w:right="982" w:hanging="1"/>
        <w:jc w:val="left"/>
        <w:rPr>
          <w:sz w:val="21"/>
        </w:rPr>
      </w:pPr>
      <w:bookmarkStart w:id="40" w:name="5.1.2 整幢安全鉴定是根据被鉴定房屋的结构体系和构造特点，将房屋划分成一个或"/>
      <w:bookmarkEnd w:id="40"/>
      <w:r>
        <w:rPr>
          <w:spacing w:val="-3"/>
          <w:sz w:val="21"/>
        </w:rPr>
        <w:t>整幢安全鉴定是根据被鉴定房屋的结构体系和构造特点，将房屋划分成一个或若干个传力体</w:t>
      </w:r>
      <w:r>
        <w:rPr>
          <w:spacing w:val="-3"/>
          <w:sz w:val="21"/>
        </w:rPr>
        <w:t>系独立的结构单体分别进行鉴定，每一个结构单体为一“幢”房屋。</w:t>
      </w:r>
    </w:p>
    <w:p>
      <w:pPr>
        <w:pStyle w:val="ListParagraph"/>
        <w:numPr>
          <w:ilvl w:val="2"/>
          <w:numId w:val="16"/>
        </w:numPr>
        <w:tabs>
          <w:tab w:val="left" w:pos="2018"/>
          <w:tab w:val="left" w:pos="2019"/>
        </w:tabs>
        <w:spacing w:before="0" w:after="0" w:line="269" w:lineRule="exact"/>
        <w:ind w:left="2018" w:right="0" w:hanging="841"/>
        <w:jc w:val="left"/>
        <w:rPr>
          <w:sz w:val="21"/>
        </w:rPr>
      </w:pPr>
      <w:r>
        <w:pict>
          <v:shape id="_x0000_s1115" type="#_x0000_t202" style="width:42.15pt;height:10.6pt;margin-top:78.46pt;margin-left:248.64pt;mso-position-horizontal-relative:page;position:absolute;z-index:-251637760" filled="f" stroked="f">
            <v:textbox inset="0,0,0,0">
              <w:txbxContent>
                <w:p>
                  <w:pPr>
                    <w:pStyle w:val="BodyText"/>
                    <w:spacing w:line="211" w:lineRule="exact"/>
                  </w:pPr>
                  <w:r>
                    <w:t>受理委托</w:t>
                  </w:r>
                </w:p>
              </w:txbxContent>
            </v:textbox>
          </v:shape>
        </w:pict>
      </w:r>
      <w:bookmarkStart w:id="41" w:name="5.1.3 局部安全鉴定应考虑与被鉴定区域相关联的结构对其产生的安全影响。"/>
      <w:bookmarkEnd w:id="41"/>
      <w:r>
        <w:rPr>
          <w:spacing w:val="-3"/>
          <w:sz w:val="21"/>
        </w:rPr>
        <w:t>局部安全鉴定应考虑与被鉴定区域相关联的结构对其产生的安全影响。</w:t>
      </w:r>
    </w:p>
    <w:p>
      <w:pPr>
        <w:pStyle w:val="BodyText"/>
        <w:spacing w:before="9"/>
        <w:rPr>
          <w:sz w:val="14"/>
        </w:rPr>
      </w:pPr>
      <w:r>
        <w:pict>
          <v:group id="_x0000_s1116" style="width:458.15pt;height:352.55pt;margin-top:11.37pt;margin-left:70.95pt;mso-position-horizontal-relative:page;mso-wrap-distance-left:0;mso-wrap-distance-right:0;position:absolute;z-index:-251634688" coordorigin="1419,227" coordsize="9163,7051">
            <v:shape id="_x0000_s1117" type="#_x0000_t202" style="width:4417;height:1285;left:1419;position:absolute;top:227" filled="f" stroked="f">
              <v:textbox inset="0,0,0,0">
                <w:txbxContent>
                  <w:p>
                    <w:pPr>
                      <w:numPr>
                        <w:ilvl w:val="1"/>
                        <w:numId w:val="14"/>
                      </w:numPr>
                      <w:tabs>
                        <w:tab w:val="left" w:pos="526"/>
                      </w:tabs>
                      <w:spacing w:before="0" w:line="241" w:lineRule="exact"/>
                      <w:ind w:left="525" w:right="0" w:hanging="526"/>
                      <w:jc w:val="left"/>
                      <w:rPr>
                        <w:rFonts w:ascii="黑体" w:eastAsia="黑体" w:hint="eastAsia"/>
                        <w:sz w:val="21"/>
                      </w:rPr>
                    </w:pPr>
                    <w:bookmarkStart w:id="42" w:name="5.2　 鉴定程序"/>
                    <w:bookmarkEnd w:id="42"/>
                    <w:r>
                      <w:rPr>
                        <w:rFonts w:ascii="黑体" w:eastAsia="黑体" w:hint="eastAsia"/>
                        <w:spacing w:val="-1"/>
                        <w:sz w:val="21"/>
                      </w:rPr>
                      <w:t>鉴定程序</w:t>
                    </w:r>
                  </w:p>
                  <w:p>
                    <w:pPr>
                      <w:spacing w:before="6" w:line="240" w:lineRule="auto"/>
                      <w:rPr>
                        <w:rFonts w:ascii="黑体"/>
                        <w:sz w:val="15"/>
                      </w:rPr>
                    </w:pPr>
                  </w:p>
                  <w:p>
                    <w:pPr>
                      <w:numPr>
                        <w:ilvl w:val="2"/>
                        <w:numId w:val="14"/>
                      </w:numPr>
                      <w:tabs>
                        <w:tab w:val="left" w:pos="632"/>
                      </w:tabs>
                      <w:spacing w:before="0"/>
                      <w:ind w:left="631" w:right="0" w:hanging="632"/>
                      <w:jc w:val="left"/>
                      <w:rPr>
                        <w:sz w:val="21"/>
                      </w:rPr>
                    </w:pPr>
                    <w:bookmarkStart w:id="43" w:name="5.2.1 房屋安全鉴定应按图1程序进行。"/>
                    <w:bookmarkEnd w:id="43"/>
                    <w:r>
                      <w:rPr>
                        <w:spacing w:val="-8"/>
                        <w:sz w:val="21"/>
                      </w:rPr>
                      <w:t xml:space="preserve">房屋安全鉴定应按图 </w:t>
                    </w:r>
                    <w:r>
                      <w:rPr>
                        <w:sz w:val="21"/>
                      </w:rPr>
                      <w:t>1</w:t>
                    </w:r>
                    <w:r>
                      <w:rPr>
                        <w:spacing w:val="-10"/>
                        <w:sz w:val="21"/>
                      </w:rPr>
                      <w:t xml:space="preserve"> 程序进行。</w:t>
                    </w:r>
                  </w:p>
                  <w:p>
                    <w:pPr>
                      <w:spacing w:before="3" w:line="240" w:lineRule="auto"/>
                      <w:rPr>
                        <w:sz w:val="26"/>
                      </w:rPr>
                    </w:pPr>
                  </w:p>
                  <w:p>
                    <w:pPr>
                      <w:spacing w:before="0" w:line="240" w:lineRule="exact"/>
                      <w:ind w:left="0" w:right="18" w:firstLine="0"/>
                      <w:jc w:val="right"/>
                      <w:rPr>
                        <w:sz w:val="21"/>
                      </w:rPr>
                    </w:pPr>
                    <w:r>
                      <w:rPr>
                        <w:spacing w:val="-1"/>
                        <w:sz w:val="21"/>
                      </w:rPr>
                      <w:t>受理委托</w:t>
                    </w:r>
                  </w:p>
                </w:txbxContent>
              </v:textbox>
            </v:shape>
            <v:shape id="_x0000_s1118" type="#_x0000_t202" style="width:1074;height:212;left:4872;position:absolute;top:2101" filled="f" stroked="f">
              <v:textbox inset="0,0,0,0">
                <w:txbxContent>
                  <w:p>
                    <w:pPr>
                      <w:spacing w:before="0" w:line="211" w:lineRule="exact"/>
                      <w:ind w:left="0" w:right="0" w:firstLine="0"/>
                      <w:jc w:val="left"/>
                      <w:rPr>
                        <w:sz w:val="21"/>
                      </w:rPr>
                    </w:pPr>
                    <w:r>
                      <w:rPr>
                        <w:sz w:val="21"/>
                      </w:rPr>
                      <w:t>调查与查勘</w:t>
                    </w:r>
                  </w:p>
                </w:txbxContent>
              </v:textbox>
            </v:shape>
            <v:shape id="_x0000_s1119" type="#_x0000_t202" style="width:1283;height:212;left:4776;position:absolute;top:2913" filled="f" stroked="f">
              <v:textbox inset="0,0,0,0">
                <w:txbxContent>
                  <w:p>
                    <w:pPr>
                      <w:spacing w:before="0" w:line="211" w:lineRule="exact"/>
                      <w:ind w:left="0" w:right="0" w:firstLine="0"/>
                      <w:jc w:val="left"/>
                      <w:rPr>
                        <w:sz w:val="21"/>
                      </w:rPr>
                    </w:pPr>
                    <w:r>
                      <w:rPr>
                        <w:sz w:val="21"/>
                      </w:rPr>
                      <w:t>编制鉴定方案</w:t>
                    </w:r>
                  </w:p>
                </w:txbxContent>
              </v:textbox>
            </v:shape>
            <v:shape id="_x0000_s1120" type="#_x0000_t202" style="width:443;height:212;left:6866;position:absolute;top:3424" filled="f" stroked="f">
              <v:textbox inset="0,0,0,0">
                <w:txbxContent>
                  <w:p>
                    <w:pPr>
                      <w:spacing w:before="0" w:line="211" w:lineRule="exact"/>
                      <w:ind w:left="0" w:right="0" w:firstLine="0"/>
                      <w:jc w:val="left"/>
                      <w:rPr>
                        <w:sz w:val="21"/>
                      </w:rPr>
                    </w:pPr>
                    <w:r>
                      <w:rPr>
                        <w:sz w:val="21"/>
                      </w:rPr>
                      <w:t>补充</w:t>
                    </w:r>
                  </w:p>
                </w:txbxContent>
              </v:textbox>
            </v:shape>
            <v:shape id="_x0000_s1121" type="#_x0000_t202" style="width:1074;height:212;left:4867;position:absolute;top:3702" filled="f" stroked="f">
              <v:textbox inset="0,0,0,0">
                <w:txbxContent>
                  <w:p>
                    <w:pPr>
                      <w:spacing w:before="0" w:line="211" w:lineRule="exact"/>
                      <w:ind w:left="0" w:right="0" w:firstLine="0"/>
                      <w:jc w:val="left"/>
                      <w:rPr>
                        <w:sz w:val="21"/>
                      </w:rPr>
                    </w:pPr>
                    <w:r>
                      <w:rPr>
                        <w:sz w:val="21"/>
                      </w:rPr>
                      <w:t>检测与验算</w:t>
                    </w:r>
                  </w:p>
                </w:txbxContent>
              </v:textbox>
            </v:shape>
            <v:shape id="_x0000_s1122" type="#_x0000_t202" style="width:863;height:212;left:4972;position:absolute;top:4806" filled="f" stroked="f">
              <v:textbox inset="0,0,0,0">
                <w:txbxContent>
                  <w:p>
                    <w:pPr>
                      <w:spacing w:before="0" w:line="211" w:lineRule="exact"/>
                      <w:ind w:left="0" w:right="0" w:firstLine="0"/>
                      <w:jc w:val="left"/>
                      <w:rPr>
                        <w:sz w:val="21"/>
                      </w:rPr>
                    </w:pPr>
                    <w:r>
                      <w:rPr>
                        <w:sz w:val="21"/>
                      </w:rPr>
                      <w:t>综合评定</w:t>
                    </w:r>
                  </w:p>
                </w:txbxContent>
              </v:textbox>
            </v:shape>
            <v:shape id="_x0000_s1123" type="#_x0000_t202" style="width:1703;height:212;left:4550;position:absolute;top:5608" filled="f" stroked="f">
              <v:textbox inset="0,0,0,0">
                <w:txbxContent>
                  <w:p>
                    <w:pPr>
                      <w:spacing w:before="0" w:line="211" w:lineRule="exact"/>
                      <w:ind w:left="0" w:right="0" w:firstLine="0"/>
                      <w:jc w:val="left"/>
                      <w:rPr>
                        <w:sz w:val="21"/>
                      </w:rPr>
                    </w:pPr>
                    <w:r>
                      <w:rPr>
                        <w:sz w:val="21"/>
                      </w:rPr>
                      <w:t>鉴定书签发、备案</w:t>
                    </w:r>
                  </w:p>
                </w:txbxContent>
              </v:textbox>
            </v:shape>
            <v:shape id="_x0000_s1124" type="#_x0000_t202" style="width:1389;height:212;left:5355;position:absolute;top:6312"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图1 鉴定程序</w:t>
                    </w:r>
                  </w:p>
                </w:txbxContent>
              </v:textbox>
            </v:shape>
            <v:shape id="_x0000_s1125" type="#_x0000_t202" style="width:110;height:200;left:10471;position:absolute;top:7079" filled="f" stroked="f">
              <v:textbox inset="0,0,0,0">
                <w:txbxContent>
                  <w:p>
                    <w:pPr>
                      <w:spacing w:before="0" w:line="199" w:lineRule="exact"/>
                      <w:ind w:left="0" w:right="0" w:firstLine="0"/>
                      <w:jc w:val="left"/>
                      <w:rPr>
                        <w:rFonts w:ascii="Times New Roman"/>
                        <w:sz w:val="18"/>
                      </w:rPr>
                    </w:pPr>
                    <w:r>
                      <w:rPr>
                        <w:rFonts w:ascii="Times New Roman"/>
                        <w:sz w:val="18"/>
                      </w:rPr>
                      <w:t>5</w:t>
                    </w:r>
                  </w:p>
                </w:txbxContent>
              </v:textbox>
            </v:shape>
            <w10:wrap type="topAndBottom"/>
          </v:group>
        </w:pict>
      </w:r>
    </w:p>
    <w:p>
      <w:pPr>
        <w:spacing w:after="0"/>
        <w:rPr>
          <w:sz w:val="14"/>
        </w:rPr>
        <w:sectPr>
          <w:headerReference w:type="even" r:id="rId22"/>
          <w:headerReference w:type="default" r:id="rId23"/>
          <w:pgSz w:w="11910" w:h="16840"/>
          <w:pgMar w:top="1340" w:right="260" w:bottom="280" w:left="240" w:header="0" w:footer="0"/>
          <w:pgNumType w:start="12"/>
          <w:cols w:space="708"/>
        </w:sectPr>
      </w:pPr>
    </w:p>
    <w:p>
      <w:pPr>
        <w:pStyle w:val="BodyText"/>
        <w:spacing w:before="12"/>
        <w:rPr>
          <w:sz w:val="15"/>
        </w:rPr>
      </w:pPr>
    </w:p>
    <w:p>
      <w:pPr>
        <w:pStyle w:val="ListParagraph"/>
        <w:numPr>
          <w:ilvl w:val="0"/>
          <w:numId w:val="16"/>
        </w:numPr>
        <w:tabs>
          <w:tab w:val="left" w:pos="1493"/>
        </w:tabs>
        <w:spacing w:before="72" w:after="0" w:line="240" w:lineRule="auto"/>
        <w:ind w:left="1492" w:right="0" w:hanging="315"/>
        <w:jc w:val="left"/>
        <w:rPr>
          <w:rFonts w:ascii="黑体" w:eastAsia="黑体" w:hint="eastAsia"/>
          <w:sz w:val="21"/>
        </w:rPr>
      </w:pPr>
      <w:bookmarkStart w:id="44" w:name="6　 鉴定基本要求"/>
      <w:bookmarkEnd w:id="44"/>
      <w:r>
        <w:rPr>
          <w:rFonts w:ascii="黑体" w:eastAsia="黑体" w:hint="eastAsia"/>
          <w:spacing w:val="-2"/>
          <w:sz w:val="21"/>
        </w:rPr>
        <w:t>鉴定基本要求</w:t>
      </w:r>
    </w:p>
    <w:p>
      <w:pPr>
        <w:pStyle w:val="BodyText"/>
        <w:spacing w:before="6"/>
        <w:rPr>
          <w:rFonts w:ascii="黑体"/>
          <w:sz w:val="27"/>
        </w:rPr>
      </w:pPr>
    </w:p>
    <w:p>
      <w:pPr>
        <w:pStyle w:val="ListParagraph"/>
        <w:numPr>
          <w:ilvl w:val="1"/>
          <w:numId w:val="16"/>
        </w:numPr>
        <w:tabs>
          <w:tab w:val="left" w:pos="1705"/>
        </w:tabs>
        <w:spacing w:before="0" w:after="0" w:line="240" w:lineRule="auto"/>
        <w:ind w:left="1704" w:right="0" w:hanging="527"/>
        <w:jc w:val="left"/>
        <w:rPr>
          <w:rFonts w:ascii="黑体" w:eastAsia="黑体" w:hint="eastAsia"/>
          <w:sz w:val="21"/>
        </w:rPr>
      </w:pPr>
      <w:bookmarkStart w:id="45" w:name="6.1　 受理委托"/>
      <w:bookmarkEnd w:id="45"/>
      <w:r>
        <w:rPr>
          <w:rFonts w:ascii="黑体" w:eastAsia="黑体" w:hint="eastAsia"/>
          <w:spacing w:val="-1"/>
          <w:sz w:val="21"/>
        </w:rPr>
        <w:t>受理委托</w:t>
      </w:r>
    </w:p>
    <w:p>
      <w:pPr>
        <w:pStyle w:val="BodyText"/>
        <w:spacing w:before="7"/>
        <w:rPr>
          <w:rFonts w:ascii="黑体"/>
          <w:sz w:val="15"/>
        </w:rPr>
      </w:pPr>
    </w:p>
    <w:p>
      <w:pPr>
        <w:pStyle w:val="ListParagraph"/>
        <w:numPr>
          <w:ilvl w:val="2"/>
          <w:numId w:val="16"/>
        </w:numPr>
        <w:tabs>
          <w:tab w:val="left" w:pos="2018"/>
          <w:tab w:val="left" w:pos="2019"/>
        </w:tabs>
        <w:spacing w:before="0" w:after="0" w:line="240" w:lineRule="auto"/>
        <w:ind w:left="2018" w:right="0" w:hanging="841"/>
        <w:jc w:val="left"/>
        <w:rPr>
          <w:sz w:val="21"/>
        </w:rPr>
      </w:pPr>
      <w:bookmarkStart w:id="46" w:name="6.1.1 鉴定单位应受理以下单位和个人的房屋安全鉴定委托："/>
      <w:bookmarkEnd w:id="46"/>
      <w:r>
        <w:rPr>
          <w:spacing w:val="-3"/>
          <w:sz w:val="21"/>
        </w:rPr>
        <w:t>鉴定单位应受理以下单位和个人的房屋安全鉴定委托：</w:t>
      </w:r>
    </w:p>
    <w:p>
      <w:pPr>
        <w:pStyle w:val="ListParagraph"/>
        <w:numPr>
          <w:ilvl w:val="3"/>
          <w:numId w:val="16"/>
        </w:numPr>
        <w:tabs>
          <w:tab w:val="left" w:pos="2019"/>
        </w:tabs>
        <w:spacing w:before="43" w:after="0" w:line="240" w:lineRule="auto"/>
        <w:ind w:left="2018" w:right="0" w:hanging="414"/>
        <w:jc w:val="left"/>
        <w:rPr>
          <w:sz w:val="21"/>
        </w:rPr>
      </w:pPr>
      <w:bookmarkStart w:id="47" w:name="a) 房屋所有人；"/>
      <w:bookmarkEnd w:id="47"/>
      <w:r>
        <w:rPr>
          <w:spacing w:val="-2"/>
          <w:sz w:val="21"/>
        </w:rPr>
        <w:t>房屋所有人；</w:t>
      </w:r>
    </w:p>
    <w:p>
      <w:pPr>
        <w:pStyle w:val="ListParagraph"/>
        <w:numPr>
          <w:ilvl w:val="3"/>
          <w:numId w:val="16"/>
        </w:numPr>
        <w:tabs>
          <w:tab w:val="left" w:pos="2019"/>
        </w:tabs>
        <w:spacing w:before="43" w:after="0" w:line="240" w:lineRule="auto"/>
        <w:ind w:left="2018" w:right="0" w:hanging="414"/>
        <w:jc w:val="left"/>
        <w:rPr>
          <w:sz w:val="21"/>
        </w:rPr>
      </w:pPr>
      <w:bookmarkStart w:id="48" w:name="b) 相邻人、使用人、管理人等房屋安全利害关系人；"/>
      <w:bookmarkEnd w:id="48"/>
      <w:r>
        <w:rPr>
          <w:spacing w:val="-3"/>
          <w:sz w:val="21"/>
        </w:rPr>
        <w:t>相邻人、使用人、管理人等房屋安全利害关系人；</w:t>
      </w:r>
    </w:p>
    <w:p>
      <w:pPr>
        <w:pStyle w:val="ListParagraph"/>
        <w:numPr>
          <w:ilvl w:val="3"/>
          <w:numId w:val="16"/>
        </w:numPr>
        <w:tabs>
          <w:tab w:val="left" w:pos="2019"/>
        </w:tabs>
        <w:spacing w:before="43" w:after="0" w:line="240" w:lineRule="auto"/>
        <w:ind w:left="2018" w:right="0" w:hanging="414"/>
        <w:jc w:val="left"/>
        <w:rPr>
          <w:sz w:val="21"/>
        </w:rPr>
      </w:pPr>
      <w:bookmarkStart w:id="49" w:name="c) 建设单位、施工企业（仅对施工区域周边房屋）；"/>
      <w:bookmarkEnd w:id="49"/>
      <w:r>
        <w:rPr>
          <w:spacing w:val="-3"/>
          <w:sz w:val="21"/>
        </w:rPr>
        <w:t>建设单位、施工企业</w:t>
      </w:r>
      <w:r>
        <w:rPr>
          <w:sz w:val="21"/>
        </w:rPr>
        <w:t>（</w:t>
      </w:r>
      <w:r>
        <w:rPr>
          <w:spacing w:val="-3"/>
          <w:sz w:val="21"/>
        </w:rPr>
        <w:t>仅对施工区域周边房屋</w:t>
      </w:r>
      <w:r>
        <w:rPr>
          <w:sz w:val="21"/>
        </w:rPr>
        <w:t>）；</w:t>
      </w:r>
    </w:p>
    <w:p>
      <w:pPr>
        <w:pStyle w:val="ListParagraph"/>
        <w:numPr>
          <w:ilvl w:val="3"/>
          <w:numId w:val="16"/>
        </w:numPr>
        <w:tabs>
          <w:tab w:val="left" w:pos="2019"/>
        </w:tabs>
        <w:spacing w:before="43" w:after="0" w:line="240" w:lineRule="auto"/>
        <w:ind w:left="2018" w:right="0" w:hanging="414"/>
        <w:jc w:val="left"/>
        <w:rPr>
          <w:sz w:val="21"/>
        </w:rPr>
      </w:pPr>
      <w:bookmarkStart w:id="50" w:name="d) 住宅小区的业主委员会、社区居民委员会或村民委员会（仅对所在小区或辖区的房屋"/>
      <w:bookmarkEnd w:id="50"/>
      <w:r>
        <w:rPr>
          <w:spacing w:val="-3"/>
          <w:sz w:val="21"/>
        </w:rPr>
        <w:t>住宅小区的业主委员会、社区居民委员会或村民委员会</w:t>
      </w:r>
      <w:r>
        <w:rPr>
          <w:spacing w:val="-3"/>
          <w:sz w:val="21"/>
        </w:rPr>
        <w:t>（仅对所在小区或辖区的房屋</w:t>
      </w:r>
      <w:r>
        <w:rPr>
          <w:sz w:val="21"/>
        </w:rPr>
        <w:t>）；</w:t>
      </w:r>
    </w:p>
    <w:p>
      <w:pPr>
        <w:pStyle w:val="ListParagraph"/>
        <w:numPr>
          <w:ilvl w:val="3"/>
          <w:numId w:val="16"/>
        </w:numPr>
        <w:tabs>
          <w:tab w:val="left" w:pos="2019"/>
        </w:tabs>
        <w:spacing w:before="43" w:after="0" w:line="240" w:lineRule="auto"/>
        <w:ind w:left="2018" w:right="0" w:hanging="414"/>
        <w:jc w:val="left"/>
        <w:rPr>
          <w:sz w:val="21"/>
        </w:rPr>
      </w:pPr>
      <w:bookmarkStart w:id="51" w:name="e) 房屋征收主管部门（仅对拟征收的房屋）。"/>
      <w:bookmarkEnd w:id="51"/>
      <w:r>
        <w:rPr>
          <w:spacing w:val="-3"/>
          <w:sz w:val="21"/>
        </w:rPr>
        <w:t>房屋征收主管部门</w:t>
      </w:r>
      <w:r>
        <w:rPr>
          <w:spacing w:val="-3"/>
          <w:sz w:val="21"/>
        </w:rPr>
        <w:t>（仅对拟征收的房屋）</w:t>
      </w:r>
      <w:r>
        <w:rPr>
          <w:sz w:val="21"/>
        </w:rPr>
        <w:t>。</w:t>
      </w:r>
    </w:p>
    <w:p>
      <w:pPr>
        <w:pStyle w:val="ListParagraph"/>
        <w:numPr>
          <w:ilvl w:val="2"/>
          <w:numId w:val="16"/>
        </w:numPr>
        <w:tabs>
          <w:tab w:val="left" w:pos="2018"/>
          <w:tab w:val="left" w:pos="2019"/>
        </w:tabs>
        <w:spacing w:before="42" w:after="0" w:line="240" w:lineRule="auto"/>
        <w:ind w:left="2018" w:right="0" w:hanging="841"/>
        <w:jc w:val="left"/>
        <w:rPr>
          <w:sz w:val="21"/>
        </w:rPr>
      </w:pPr>
      <w:bookmarkStart w:id="52" w:name="6.1.2 鉴定单位在受理鉴定委托时，应收集委托人下列合法证件、资料，并归档其复"/>
      <w:bookmarkEnd w:id="52"/>
      <w:r>
        <w:rPr>
          <w:spacing w:val="-3"/>
          <w:sz w:val="21"/>
        </w:rPr>
        <w:t>鉴定单位在受理鉴定委托时，应收集委托人下列合法证件、资料，并归档其复印件：</w:t>
      </w:r>
    </w:p>
    <w:p>
      <w:pPr>
        <w:pStyle w:val="ListParagraph"/>
        <w:numPr>
          <w:ilvl w:val="3"/>
          <w:numId w:val="16"/>
        </w:numPr>
        <w:tabs>
          <w:tab w:val="left" w:pos="2020"/>
        </w:tabs>
        <w:spacing w:before="43" w:after="0" w:line="240" w:lineRule="auto"/>
        <w:ind w:left="2019" w:right="0" w:hanging="414"/>
        <w:jc w:val="left"/>
        <w:rPr>
          <w:sz w:val="21"/>
        </w:rPr>
      </w:pPr>
      <w:bookmarkStart w:id="53" w:name="a) 房屋权属证明材料；"/>
      <w:bookmarkEnd w:id="53"/>
      <w:r>
        <w:rPr>
          <w:spacing w:val="-3"/>
          <w:sz w:val="21"/>
        </w:rPr>
        <w:t>房屋权属证明材料；</w:t>
      </w:r>
    </w:p>
    <w:p>
      <w:pPr>
        <w:pStyle w:val="ListParagraph"/>
        <w:numPr>
          <w:ilvl w:val="3"/>
          <w:numId w:val="16"/>
        </w:numPr>
        <w:tabs>
          <w:tab w:val="left" w:pos="2020"/>
        </w:tabs>
        <w:spacing w:before="43" w:after="0" w:line="240" w:lineRule="auto"/>
        <w:ind w:left="2019" w:right="0" w:hanging="414"/>
        <w:jc w:val="left"/>
        <w:rPr>
          <w:sz w:val="21"/>
        </w:rPr>
      </w:pPr>
      <w:bookmarkStart w:id="54" w:name="b) 委托人身份证或其他有效证件（含营业执照）；"/>
      <w:bookmarkEnd w:id="54"/>
      <w:r>
        <w:rPr>
          <w:spacing w:val="-3"/>
          <w:sz w:val="21"/>
        </w:rPr>
        <w:t>委托人身份证或其他有效证件</w:t>
      </w:r>
      <w:r>
        <w:rPr>
          <w:spacing w:val="-3"/>
          <w:sz w:val="21"/>
        </w:rPr>
        <w:t>（含营业执照</w:t>
      </w:r>
      <w:r>
        <w:rPr>
          <w:sz w:val="21"/>
        </w:rPr>
        <w:t>）；</w:t>
      </w:r>
    </w:p>
    <w:p>
      <w:pPr>
        <w:pStyle w:val="ListParagraph"/>
        <w:numPr>
          <w:ilvl w:val="3"/>
          <w:numId w:val="16"/>
        </w:numPr>
        <w:tabs>
          <w:tab w:val="left" w:pos="2020"/>
        </w:tabs>
        <w:spacing w:before="43" w:after="0" w:line="240" w:lineRule="auto"/>
        <w:ind w:left="2019" w:right="0" w:hanging="414"/>
        <w:jc w:val="left"/>
        <w:rPr>
          <w:sz w:val="21"/>
        </w:rPr>
      </w:pPr>
      <w:bookmarkStart w:id="55" w:name="c) 房屋相关勘察、设计、施工、验收、改造、鉴定等资料。"/>
      <w:bookmarkEnd w:id="55"/>
      <w:r>
        <w:rPr>
          <w:spacing w:val="-3"/>
          <w:sz w:val="21"/>
        </w:rPr>
        <w:t>房屋相关勘察、设计、施工、验收、改造、鉴定等资料。</w:t>
      </w:r>
    </w:p>
    <w:p>
      <w:pPr>
        <w:pStyle w:val="ListParagraph"/>
        <w:numPr>
          <w:ilvl w:val="2"/>
          <w:numId w:val="16"/>
        </w:numPr>
        <w:tabs>
          <w:tab w:val="left" w:pos="2019"/>
          <w:tab w:val="left" w:pos="2020"/>
        </w:tabs>
        <w:spacing w:before="43" w:after="0" w:line="240" w:lineRule="auto"/>
        <w:ind w:left="2019" w:right="0" w:hanging="841"/>
        <w:jc w:val="left"/>
        <w:rPr>
          <w:sz w:val="21"/>
        </w:rPr>
      </w:pPr>
      <w:bookmarkStart w:id="56" w:name="6.1.3 涉及农村危房改造的鉴定，还应收集："/>
      <w:bookmarkEnd w:id="56"/>
      <w:r>
        <w:rPr>
          <w:spacing w:val="-3"/>
          <w:sz w:val="21"/>
        </w:rPr>
        <w:t>涉及农村危房改造的鉴定，还应收集：</w:t>
      </w:r>
    </w:p>
    <w:p>
      <w:pPr>
        <w:pStyle w:val="ListParagraph"/>
        <w:numPr>
          <w:ilvl w:val="3"/>
          <w:numId w:val="16"/>
        </w:numPr>
        <w:tabs>
          <w:tab w:val="left" w:pos="2020"/>
        </w:tabs>
        <w:spacing w:before="43" w:after="0" w:line="240" w:lineRule="auto"/>
        <w:ind w:left="2019" w:right="0" w:hanging="414"/>
        <w:jc w:val="left"/>
        <w:rPr>
          <w:sz w:val="21"/>
        </w:rPr>
      </w:pPr>
      <w:bookmarkStart w:id="57" w:name="a) 相关部门出具的鉴定委托书，委托书要注明为农村危房改造；"/>
      <w:bookmarkEnd w:id="57"/>
      <w:r>
        <w:rPr>
          <w:spacing w:val="-3"/>
          <w:sz w:val="21"/>
        </w:rPr>
        <w:t>相关部门出具的鉴定委托书，委托书要注明为农村危房改造；</w:t>
      </w:r>
    </w:p>
    <w:p>
      <w:pPr>
        <w:pStyle w:val="ListParagraph"/>
        <w:numPr>
          <w:ilvl w:val="3"/>
          <w:numId w:val="16"/>
        </w:numPr>
        <w:tabs>
          <w:tab w:val="left" w:pos="2020"/>
        </w:tabs>
        <w:spacing w:before="43" w:after="0" w:line="240" w:lineRule="auto"/>
        <w:ind w:left="2019" w:right="0" w:hanging="414"/>
        <w:jc w:val="left"/>
        <w:rPr>
          <w:sz w:val="21"/>
        </w:rPr>
      </w:pPr>
      <w:bookmarkStart w:id="58" w:name="b) 建档立卡的贫困户证明资料；"/>
      <w:bookmarkEnd w:id="58"/>
      <w:r>
        <w:rPr>
          <w:spacing w:val="-3"/>
          <w:sz w:val="21"/>
        </w:rPr>
        <w:t>建档立卡的贫困户证明资料；</w:t>
      </w:r>
    </w:p>
    <w:p>
      <w:pPr>
        <w:pStyle w:val="ListParagraph"/>
        <w:numPr>
          <w:ilvl w:val="3"/>
          <w:numId w:val="16"/>
        </w:numPr>
        <w:tabs>
          <w:tab w:val="left" w:pos="2021"/>
        </w:tabs>
        <w:spacing w:before="43" w:after="0" w:line="240" w:lineRule="auto"/>
        <w:ind w:left="2020" w:right="0" w:hanging="414"/>
        <w:jc w:val="left"/>
        <w:rPr>
          <w:sz w:val="21"/>
        </w:rPr>
      </w:pPr>
      <w:bookmarkStart w:id="59" w:name="c) 街道、乡镇或村民委员会出具的为本村村民且为唯一宅基地证明资料。"/>
      <w:bookmarkEnd w:id="59"/>
      <w:r>
        <w:rPr>
          <w:spacing w:val="-3"/>
          <w:sz w:val="21"/>
        </w:rPr>
        <w:t>街道、乡镇或村民委员会出具的为本村村民且为唯一宅基地证明资料。</w:t>
      </w:r>
    </w:p>
    <w:p>
      <w:pPr>
        <w:pStyle w:val="ListParagraph"/>
        <w:numPr>
          <w:ilvl w:val="2"/>
          <w:numId w:val="16"/>
        </w:numPr>
        <w:tabs>
          <w:tab w:val="left" w:pos="2020"/>
          <w:tab w:val="left" w:pos="2021"/>
        </w:tabs>
        <w:spacing w:before="42" w:after="0" w:line="278" w:lineRule="auto"/>
        <w:ind w:left="1180" w:right="979" w:hanging="1"/>
        <w:jc w:val="left"/>
        <w:rPr>
          <w:sz w:val="21"/>
        </w:rPr>
      </w:pPr>
      <w:bookmarkStart w:id="60" w:name="6.1.4 鉴定单位在接受鉴定委托时，应与委托人签订《房屋安全鉴定合同》，与委托"/>
      <w:bookmarkEnd w:id="60"/>
      <w:r>
        <w:rPr>
          <w:spacing w:val="-3"/>
          <w:sz w:val="21"/>
        </w:rPr>
        <w:t>鉴定单位在接受鉴定委托时，应与委托人签订《房屋安全鉴定合同》，与委托人约定现场查</w:t>
      </w:r>
      <w:r>
        <w:rPr>
          <w:spacing w:val="-3"/>
          <w:sz w:val="21"/>
        </w:rPr>
        <w:t>勘日期，并告知准备事项。</w:t>
      </w:r>
    </w:p>
    <w:p>
      <w:pPr>
        <w:pStyle w:val="ListParagraph"/>
        <w:numPr>
          <w:ilvl w:val="2"/>
          <w:numId w:val="16"/>
        </w:numPr>
        <w:tabs>
          <w:tab w:val="left" w:pos="2020"/>
          <w:tab w:val="left" w:pos="2021"/>
        </w:tabs>
        <w:spacing w:before="0" w:after="0" w:line="269" w:lineRule="exact"/>
        <w:ind w:left="2020" w:right="0" w:hanging="841"/>
        <w:jc w:val="left"/>
        <w:rPr>
          <w:sz w:val="21"/>
        </w:rPr>
      </w:pPr>
      <w:r>
        <w:drawing>
          <wp:anchor distT="0" distB="0" distL="0" distR="0" simplePos="0" relativeHeight="251682816" behindDoc="0" locked="0" layoutInCell="1" allowOverlap="1">
            <wp:simplePos x="0" y="0"/>
            <wp:positionH relativeFrom="page">
              <wp:posOffset>215900</wp:posOffset>
            </wp:positionH>
            <wp:positionV relativeFrom="paragraph">
              <wp:posOffset>153543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61" w:name="6.1.5 对于应急鉴定的委托，鉴定单位不得因资料提交不全等原因而推诿。"/>
      <w:bookmarkEnd w:id="61"/>
      <w:r>
        <w:rPr>
          <w:spacing w:val="-3"/>
          <w:sz w:val="21"/>
        </w:rPr>
        <w:t>对于应急鉴定的委托，鉴定单位不得因资料提交不全等原因而推诿。</w:t>
      </w:r>
    </w:p>
    <w:p>
      <w:pPr>
        <w:pStyle w:val="BodyText"/>
        <w:spacing w:before="7"/>
        <w:rPr>
          <w:sz w:val="15"/>
        </w:rPr>
      </w:pPr>
    </w:p>
    <w:p>
      <w:pPr>
        <w:pStyle w:val="ListParagraph"/>
        <w:numPr>
          <w:ilvl w:val="1"/>
          <w:numId w:val="16"/>
        </w:numPr>
        <w:tabs>
          <w:tab w:val="left" w:pos="1707"/>
        </w:tabs>
        <w:spacing w:before="0" w:after="0" w:line="240" w:lineRule="auto"/>
        <w:ind w:left="1706" w:right="0" w:hanging="527"/>
        <w:jc w:val="left"/>
        <w:rPr>
          <w:rFonts w:ascii="黑体" w:eastAsia="黑体" w:hint="eastAsia"/>
          <w:sz w:val="21"/>
        </w:rPr>
      </w:pPr>
      <w:bookmarkStart w:id="62" w:name="6.2　 调查查勘"/>
      <w:bookmarkEnd w:id="62"/>
      <w:r>
        <w:rPr>
          <w:rFonts w:ascii="黑体" w:eastAsia="黑体" w:hint="eastAsia"/>
          <w:spacing w:val="-1"/>
          <w:sz w:val="21"/>
        </w:rPr>
        <w:t>调查查勘</w:t>
      </w:r>
    </w:p>
    <w:p>
      <w:pPr>
        <w:pStyle w:val="BodyText"/>
        <w:spacing w:before="7"/>
        <w:rPr>
          <w:rFonts w:ascii="黑体"/>
          <w:sz w:val="15"/>
        </w:rPr>
      </w:pPr>
    </w:p>
    <w:p>
      <w:pPr>
        <w:pStyle w:val="ListParagraph"/>
        <w:numPr>
          <w:ilvl w:val="2"/>
          <w:numId w:val="16"/>
        </w:numPr>
        <w:tabs>
          <w:tab w:val="left" w:pos="2021"/>
        </w:tabs>
        <w:spacing w:before="0" w:after="0" w:line="240" w:lineRule="auto"/>
        <w:ind w:left="2020" w:right="0" w:hanging="841"/>
        <w:jc w:val="both"/>
        <w:rPr>
          <w:sz w:val="21"/>
        </w:rPr>
      </w:pPr>
      <w:bookmarkStart w:id="63" w:name="6.2.1 调查查勘应包括图纸资料调查、房屋历史情况调查和现场查勘。"/>
      <w:bookmarkEnd w:id="63"/>
      <w:r>
        <w:rPr>
          <w:spacing w:val="-3"/>
          <w:sz w:val="21"/>
        </w:rPr>
        <w:t>调查查勘应包括图纸资料调查、房屋历史情况调查和现场查勘。</w:t>
      </w:r>
    </w:p>
    <w:p>
      <w:pPr>
        <w:pStyle w:val="ListParagraph"/>
        <w:numPr>
          <w:ilvl w:val="2"/>
          <w:numId w:val="16"/>
        </w:numPr>
        <w:tabs>
          <w:tab w:val="left" w:pos="2021"/>
        </w:tabs>
        <w:spacing w:before="43" w:after="0" w:line="278" w:lineRule="auto"/>
        <w:ind w:left="1180" w:right="978" w:hanging="1"/>
        <w:jc w:val="both"/>
        <w:rPr>
          <w:sz w:val="21"/>
        </w:rPr>
      </w:pPr>
      <w:bookmarkStart w:id="64" w:name="6.2.2 图纸资料调查包括岩土工程勘察报告、施工图、设计变更记录、施工及施工变"/>
      <w:bookmarkEnd w:id="64"/>
      <w:r>
        <w:rPr>
          <w:spacing w:val="-3"/>
          <w:sz w:val="21"/>
        </w:rPr>
        <w:t>图纸资料调查包括岩土工程勘察报告、施工图、设计变更记录、施工及施工变更记录、竣工</w:t>
      </w:r>
      <w:r>
        <w:rPr>
          <w:spacing w:val="-3"/>
          <w:sz w:val="21"/>
        </w:rPr>
        <w:t>图、质检及验收文件(包括隐蔽工程验收记录)、房屋变形观测报告、事故处理报告、维修记录、历次加固改造图纸等。</w:t>
      </w:r>
    </w:p>
    <w:p>
      <w:pPr>
        <w:pStyle w:val="ListParagraph"/>
        <w:numPr>
          <w:ilvl w:val="2"/>
          <w:numId w:val="16"/>
        </w:numPr>
        <w:tabs>
          <w:tab w:val="left" w:pos="2022"/>
        </w:tabs>
        <w:spacing w:before="0" w:after="0" w:line="278" w:lineRule="auto"/>
        <w:ind w:left="1181" w:right="978" w:hanging="1"/>
        <w:jc w:val="both"/>
        <w:rPr>
          <w:sz w:val="21"/>
        </w:rPr>
      </w:pPr>
      <w:bookmarkStart w:id="65" w:name="6.2.3 房屋历史情况调查包括历次修缮、加固、改造、改建、用途变更、使用条件改"/>
      <w:bookmarkEnd w:id="65"/>
      <w:r>
        <w:rPr>
          <w:spacing w:val="-3"/>
          <w:sz w:val="21"/>
        </w:rPr>
        <w:t>房屋历史情况调查包括历次修缮、加固、改造、改建、用途变更、使用条件改变以及灾害等</w:t>
      </w:r>
      <w:r>
        <w:rPr>
          <w:spacing w:val="-3"/>
          <w:sz w:val="21"/>
        </w:rPr>
        <w:t>情况。</w:t>
      </w:r>
    </w:p>
    <w:p>
      <w:pPr>
        <w:pStyle w:val="ListParagraph"/>
        <w:numPr>
          <w:ilvl w:val="2"/>
          <w:numId w:val="16"/>
        </w:numPr>
        <w:tabs>
          <w:tab w:val="left" w:pos="2022"/>
        </w:tabs>
        <w:spacing w:before="0" w:after="0" w:line="269" w:lineRule="exact"/>
        <w:ind w:left="2021" w:right="0" w:hanging="841"/>
        <w:jc w:val="both"/>
        <w:rPr>
          <w:sz w:val="21"/>
        </w:rPr>
      </w:pPr>
      <w:bookmarkStart w:id="66" w:name="6.2.4 现场查勘应符合以下要求："/>
      <w:bookmarkEnd w:id="66"/>
      <w:r>
        <w:rPr>
          <w:spacing w:val="-3"/>
          <w:sz w:val="21"/>
        </w:rPr>
        <w:t>现场查勘应符合以下要求：</w:t>
      </w:r>
    </w:p>
    <w:p>
      <w:pPr>
        <w:pStyle w:val="ListParagraph"/>
        <w:numPr>
          <w:ilvl w:val="3"/>
          <w:numId w:val="16"/>
        </w:numPr>
        <w:tabs>
          <w:tab w:val="left" w:pos="2022"/>
        </w:tabs>
        <w:spacing w:before="42" w:after="0" w:line="240" w:lineRule="auto"/>
        <w:ind w:left="2021" w:right="0" w:hanging="414"/>
        <w:jc w:val="both"/>
        <w:rPr>
          <w:sz w:val="21"/>
        </w:rPr>
      </w:pPr>
      <w:bookmarkStart w:id="67" w:name="a) 现场查勘应准备必要的检测仪器，现场鉴定人员不应少于2名；"/>
      <w:bookmarkEnd w:id="67"/>
      <w:r>
        <w:rPr>
          <w:spacing w:val="-5"/>
          <w:sz w:val="21"/>
        </w:rPr>
        <w:t xml:space="preserve">现场查勘应准备必要的检测仪器，现场鉴定人员不应少于 </w:t>
      </w:r>
      <w:r>
        <w:rPr>
          <w:sz w:val="21"/>
        </w:rPr>
        <w:t>2</w:t>
      </w:r>
      <w:r>
        <w:rPr>
          <w:spacing w:val="-20"/>
          <w:sz w:val="21"/>
        </w:rPr>
        <w:t xml:space="preserve"> 名；</w:t>
      </w:r>
    </w:p>
    <w:p>
      <w:pPr>
        <w:pStyle w:val="ListParagraph"/>
        <w:numPr>
          <w:ilvl w:val="3"/>
          <w:numId w:val="16"/>
        </w:numPr>
        <w:tabs>
          <w:tab w:val="left" w:pos="2022"/>
        </w:tabs>
        <w:spacing w:before="43" w:after="0" w:line="278" w:lineRule="auto"/>
        <w:ind w:left="2028" w:right="979" w:hanging="421"/>
        <w:jc w:val="both"/>
        <w:rPr>
          <w:sz w:val="21"/>
        </w:rPr>
      </w:pPr>
      <w:bookmarkStart w:id="68" w:name="b) 现场查勘应按照先室外（包括周边环境、地下设施等）后室内，先下层后上层的原则"/>
      <w:bookmarkEnd w:id="68"/>
      <w:r>
        <w:rPr>
          <w:spacing w:val="-3"/>
          <w:sz w:val="21"/>
        </w:rPr>
        <w:t>现场查勘应按照先室外</w:t>
      </w:r>
      <w:r>
        <w:rPr>
          <w:spacing w:val="-3"/>
          <w:sz w:val="21"/>
        </w:rPr>
        <w:t>（包括周边环境、地下设施等</w:t>
      </w:r>
      <w:r>
        <w:rPr>
          <w:sz w:val="21"/>
        </w:rPr>
        <w:t>）</w:t>
      </w:r>
      <w:r>
        <w:rPr>
          <w:spacing w:val="-3"/>
          <w:sz w:val="21"/>
        </w:rPr>
        <w:t>后室内，先下层后上层的原则，对地基基础、墙、柱、梁、板、屋架、屋面等，逐层、逐间、逐项检查；</w:t>
      </w:r>
    </w:p>
    <w:p>
      <w:pPr>
        <w:pStyle w:val="ListParagraph"/>
        <w:numPr>
          <w:ilvl w:val="3"/>
          <w:numId w:val="16"/>
        </w:numPr>
        <w:tabs>
          <w:tab w:val="left" w:pos="2022"/>
        </w:tabs>
        <w:spacing w:before="0" w:after="0" w:line="278" w:lineRule="auto"/>
        <w:ind w:left="2028" w:right="978" w:hanging="421"/>
        <w:jc w:val="both"/>
        <w:rPr>
          <w:sz w:val="21"/>
        </w:rPr>
      </w:pPr>
      <w:bookmarkStart w:id="69" w:name="c) 现场查勘应绘制房屋平面图，并以编号和图例的形式在平面图上标记主要受损构件，"/>
      <w:bookmarkEnd w:id="69"/>
      <w:r>
        <w:rPr>
          <w:spacing w:val="-3"/>
          <w:sz w:val="21"/>
        </w:rPr>
        <w:t>现场查勘应绘制房屋平面图，并以编号和图例的形式在平面图上标记主要受损构件，在《房</w:t>
      </w:r>
      <w:r>
        <w:rPr>
          <w:spacing w:val="-3"/>
          <w:sz w:val="21"/>
        </w:rPr>
        <w:t>屋安全鉴定现场查勘表》</w:t>
      </w:r>
      <w:r>
        <w:rPr>
          <w:sz w:val="21"/>
        </w:rPr>
        <w:t>（</w:t>
      </w:r>
      <w:r>
        <w:rPr>
          <w:spacing w:val="7"/>
          <w:sz w:val="21"/>
        </w:rPr>
        <w:t xml:space="preserve">见附录 </w:t>
      </w:r>
      <w:r>
        <w:rPr>
          <w:sz w:val="21"/>
        </w:rPr>
        <w:t>A）</w:t>
      </w:r>
      <w:r>
        <w:rPr>
          <w:spacing w:val="-3"/>
          <w:sz w:val="21"/>
        </w:rPr>
        <w:t>中记录各种受损构件的类型、部位、程度及数量，并在查勘结束后由鉴定人员签字存档；</w:t>
      </w:r>
    </w:p>
    <w:p>
      <w:pPr>
        <w:pStyle w:val="ListParagraph"/>
        <w:numPr>
          <w:ilvl w:val="3"/>
          <w:numId w:val="16"/>
        </w:numPr>
        <w:tabs>
          <w:tab w:val="left" w:pos="2022"/>
        </w:tabs>
        <w:spacing w:before="0" w:after="0" w:line="269" w:lineRule="exact"/>
        <w:ind w:left="2021" w:right="0" w:hanging="414"/>
        <w:jc w:val="both"/>
        <w:rPr>
          <w:sz w:val="21"/>
        </w:rPr>
      </w:pPr>
      <w:bookmarkStart w:id="70" w:name="d) 对鉴定委托中提出和初始调查中确定的重点检查项目，应仔细查勘、详细记录；"/>
      <w:bookmarkEnd w:id="70"/>
      <w:r>
        <w:rPr>
          <w:spacing w:val="-3"/>
          <w:sz w:val="21"/>
        </w:rPr>
        <w:t>对鉴定委托中提出和初始调查中确定的重点检查项目，应仔细查勘、详细记录；</w:t>
      </w:r>
    </w:p>
    <w:p>
      <w:pPr>
        <w:pStyle w:val="ListParagraph"/>
        <w:numPr>
          <w:ilvl w:val="3"/>
          <w:numId w:val="16"/>
        </w:numPr>
        <w:tabs>
          <w:tab w:val="left" w:pos="2022"/>
        </w:tabs>
        <w:spacing w:before="43" w:after="0" w:line="278" w:lineRule="auto"/>
        <w:ind w:left="2028" w:right="978" w:hanging="421"/>
        <w:jc w:val="both"/>
        <w:rPr>
          <w:sz w:val="21"/>
        </w:rPr>
      </w:pPr>
      <w:bookmarkStart w:id="71" w:name="e) 对于图纸资料完整的房屋，应现场核对结构体系、构件布置及尺寸等是否与图纸资料"/>
      <w:bookmarkEnd w:id="71"/>
      <w:r>
        <w:rPr>
          <w:spacing w:val="-3"/>
          <w:sz w:val="21"/>
        </w:rPr>
        <w:t>对于图纸资料完整的房屋，应现场核对结构体系、构件布置及尺寸等是否与图纸资料一致。</w:t>
      </w:r>
      <w:r>
        <w:rPr>
          <w:spacing w:val="-3"/>
          <w:sz w:val="21"/>
        </w:rPr>
        <w:t>对于图纸资料不完善的房屋，可根据实际需要，检测并完善相关的图纸资料；</w:t>
      </w:r>
    </w:p>
    <w:p>
      <w:pPr>
        <w:pStyle w:val="ListParagraph"/>
        <w:numPr>
          <w:ilvl w:val="3"/>
          <w:numId w:val="16"/>
        </w:numPr>
        <w:tabs>
          <w:tab w:val="left" w:pos="2022"/>
        </w:tabs>
        <w:spacing w:before="0" w:after="0" w:line="278" w:lineRule="auto"/>
        <w:ind w:left="2028" w:right="978" w:hanging="421"/>
        <w:jc w:val="both"/>
        <w:rPr>
          <w:sz w:val="21"/>
        </w:rPr>
      </w:pPr>
      <w:bookmarkStart w:id="72" w:name="f) 现场查勘发现房屋结构情况复杂，有必要开展更多检测内容时，应根据需要进行二次"/>
      <w:bookmarkEnd w:id="72"/>
      <w:r>
        <w:rPr>
          <w:spacing w:val="-3"/>
          <w:sz w:val="21"/>
        </w:rPr>
        <w:t>现场查勘发现房屋结构情况复杂，有必要开展更多检测内容时，应根据需要进行二次查勘或</w:t>
      </w:r>
      <w:r>
        <w:rPr>
          <w:spacing w:val="-3"/>
          <w:sz w:val="21"/>
        </w:rPr>
        <w:t>多次查勘。</w:t>
      </w:r>
    </w:p>
    <w:p>
      <w:pPr>
        <w:pStyle w:val="ListParagraph"/>
        <w:numPr>
          <w:ilvl w:val="2"/>
          <w:numId w:val="16"/>
        </w:numPr>
        <w:tabs>
          <w:tab w:val="left" w:pos="2022"/>
        </w:tabs>
        <w:spacing w:before="0" w:after="0" w:line="269" w:lineRule="exact"/>
        <w:ind w:left="2021" w:right="0" w:hanging="841"/>
        <w:jc w:val="both"/>
        <w:rPr>
          <w:sz w:val="21"/>
        </w:rPr>
      </w:pPr>
      <w:bookmarkStart w:id="73" w:name="6.2.5 现场查勘应根据实际需要确定检查内容，一般包括但不限于以下内容："/>
      <w:bookmarkEnd w:id="73"/>
      <w:r>
        <w:rPr>
          <w:spacing w:val="-3"/>
          <w:sz w:val="21"/>
        </w:rPr>
        <w:t>现场查勘应根据实际需要确定检查内容，一般包括但不限于以下内容：</w:t>
      </w:r>
    </w:p>
    <w:p>
      <w:pPr>
        <w:pStyle w:val="ListParagraph"/>
        <w:numPr>
          <w:ilvl w:val="3"/>
          <w:numId w:val="16"/>
        </w:numPr>
        <w:tabs>
          <w:tab w:val="left" w:pos="2022"/>
        </w:tabs>
        <w:spacing w:before="42" w:after="0" w:line="240" w:lineRule="auto"/>
        <w:ind w:left="2021" w:right="0" w:hanging="414"/>
        <w:jc w:val="both"/>
        <w:rPr>
          <w:sz w:val="21"/>
        </w:rPr>
      </w:pPr>
      <w:bookmarkStart w:id="74" w:name="a) 场地及周边环境"/>
      <w:bookmarkEnd w:id="74"/>
      <w:r>
        <w:rPr>
          <w:spacing w:val="-2"/>
          <w:sz w:val="21"/>
        </w:rPr>
        <w:t>场地及周边环境</w:t>
      </w:r>
    </w:p>
    <w:p>
      <w:pPr>
        <w:spacing w:before="137"/>
        <w:ind w:left="1178" w:right="0" w:firstLine="0"/>
        <w:jc w:val="left"/>
        <w:rPr>
          <w:rFonts w:ascii="Times New Roman"/>
          <w:sz w:val="18"/>
        </w:rPr>
      </w:pPr>
      <w:r>
        <w:rPr>
          <w:rFonts w:ascii="Times New Roman"/>
          <w:sz w:val="18"/>
        </w:rPr>
        <w:t>6</w:t>
      </w:r>
    </w:p>
    <w:p>
      <w:pPr>
        <w:spacing w:after="0"/>
        <w:jc w:val="left"/>
        <w:rPr>
          <w:rFonts w:ascii="Times New Roman"/>
          <w:sz w:val="18"/>
        </w:rPr>
        <w:sectPr>
          <w:headerReference w:type="even" r:id="rId24"/>
          <w:headerReference w:type="default" r:id="rId25"/>
          <w:pgSz w:w="11910" w:h="16840"/>
          <w:pgMar w:top="1640" w:right="260" w:bottom="280" w:left="240" w:header="1448" w:footer="0"/>
          <w:pgNumType w:start="13"/>
          <w:cols w:space="708"/>
        </w:sectPr>
      </w:pPr>
    </w:p>
    <w:p>
      <w:pPr>
        <w:pStyle w:val="BodyText"/>
        <w:spacing w:before="61"/>
        <w:ind w:right="870"/>
        <w:jc w:val="right"/>
        <w:rPr>
          <w:rFonts w:ascii="黑体" w:hAnsi="黑体"/>
        </w:rPr>
      </w:pPr>
      <w:r>
        <w:pict>
          <v:group id="_x0000_s1126" style="width:595.5pt;height:842.15pt;margin-top:-0.09pt;margin-left:-0.09pt;mso-position-horizontal-relative:page;mso-position-vertical-relative:page;position:absolute;z-index:-251632640" coordorigin="-2,-2" coordsize="11910,16843">
            <v:shape id="_x0000_s1127" type="#_x0000_t75" style="width:6067;height:8051;left:2650;position:absolute;top:4649" stroked="f">
              <v:imagedata r:id="rId13" o:title=""/>
            </v:shape>
            <v:rect id="_x0000_s1128" style="width:11906;height:16838;position:absolute" filled="f" stroked="t" strokecolor="#231916" strokeweight="0.22pt">
              <v:stroke dashstyle="solid"/>
            </v:rect>
            <v:shape id="_x0000_s1129" type="#_x0000_t75" style="width:11200;height:7680;left:340;position:absolute;top:8258" stroked="f">
              <v:imagedata r:id="rId4" o:title=""/>
            </v:shape>
          </v:group>
        </w:pict>
      </w:r>
      <w:r>
        <w:rPr>
          <w:rFonts w:ascii="黑体" w:hAnsi="黑体"/>
        </w:rPr>
        <w:t>DB4201/T 537—2018</w:t>
      </w:r>
    </w:p>
    <w:p>
      <w:pPr>
        <w:pStyle w:val="BodyText"/>
        <w:spacing w:before="6"/>
        <w:rPr>
          <w:rFonts w:ascii="黑体"/>
          <w:sz w:val="13"/>
        </w:rPr>
      </w:pPr>
    </w:p>
    <w:p>
      <w:pPr>
        <w:pStyle w:val="BodyText"/>
        <w:tabs>
          <w:tab w:val="left" w:pos="2438"/>
        </w:tabs>
        <w:spacing w:before="72" w:line="278" w:lineRule="auto"/>
        <w:ind w:left="2455" w:right="875" w:hanging="704"/>
      </w:pPr>
      <w:bookmarkStart w:id="75" w:name="（1) 结合岩土工程勘察报告，检查房屋所处场地是否为不利、危险地段，如软弱土、液"/>
      <w:bookmarkEnd w:id="75"/>
      <w:r>
        <w:t>（1)</w:t>
        <w:tab/>
      </w:r>
      <w:r>
        <w:rPr>
          <w:spacing w:val="-9"/>
        </w:rPr>
        <w:t>结合岩土工程勘察报告，检查房屋所处场地是否为不利、危险地段，如软弱土、液化土、</w:t>
      </w:r>
      <w:r>
        <w:rPr>
          <w:spacing w:val="-5"/>
        </w:rPr>
        <w:t>陡坡、河岸和边坡的边缘等可能发生滑坡、崩塌、地陷、溶岩、地裂、泥石流等灾害的位置；</w:t>
      </w:r>
    </w:p>
    <w:p>
      <w:pPr>
        <w:pStyle w:val="BodyText"/>
        <w:tabs>
          <w:tab w:val="left" w:pos="2438"/>
        </w:tabs>
        <w:spacing w:line="278" w:lineRule="auto"/>
        <w:ind w:left="2455" w:right="982" w:hanging="704"/>
      </w:pPr>
      <w:bookmarkStart w:id="76" w:name="（2) 调查房屋外部环境，包括周边基坑开挖、施工降水、地基浸水、土壤腐蚀、施工振"/>
      <w:bookmarkEnd w:id="76"/>
      <w:r>
        <w:t>（2)</w:t>
        <w:tab/>
      </w:r>
      <w:r>
        <w:rPr>
          <w:spacing w:val="-3"/>
        </w:rPr>
        <w:t>调查房屋外部环境，包括周边基坑开挖、施工降水、地基浸水、土壤腐蚀、施工振动等影响因素。</w:t>
      </w:r>
    </w:p>
    <w:p>
      <w:pPr>
        <w:pStyle w:val="ListParagraph"/>
        <w:numPr>
          <w:ilvl w:val="3"/>
          <w:numId w:val="16"/>
        </w:numPr>
        <w:tabs>
          <w:tab w:val="left" w:pos="2019"/>
        </w:tabs>
        <w:spacing w:before="0" w:after="0" w:line="269" w:lineRule="exact"/>
        <w:ind w:left="2018" w:right="0" w:hanging="414"/>
        <w:jc w:val="left"/>
        <w:rPr>
          <w:sz w:val="21"/>
        </w:rPr>
      </w:pPr>
      <w:bookmarkStart w:id="77" w:name="b) 房屋使用现状"/>
      <w:bookmarkEnd w:id="77"/>
      <w:r>
        <w:rPr>
          <w:spacing w:val="-2"/>
          <w:sz w:val="21"/>
        </w:rPr>
        <w:t>房屋使用现状</w:t>
      </w:r>
    </w:p>
    <w:p>
      <w:pPr>
        <w:pStyle w:val="BodyText"/>
        <w:tabs>
          <w:tab w:val="left" w:pos="2438"/>
        </w:tabs>
        <w:spacing w:before="42"/>
        <w:ind w:left="1745"/>
      </w:pPr>
      <w:bookmarkStart w:id="78" w:name="（1) 使用用途：现用途是否与原设计用途一致；"/>
      <w:bookmarkEnd w:id="78"/>
      <w:r>
        <w:t>（1)</w:t>
        <w:tab/>
      </w:r>
      <w:r>
        <w:rPr>
          <w:spacing w:val="-3"/>
        </w:rPr>
        <w:t>使用用途：现用途是否与原设计用途一致；</w:t>
      </w:r>
    </w:p>
    <w:p>
      <w:pPr>
        <w:pStyle w:val="BodyText"/>
        <w:tabs>
          <w:tab w:val="left" w:pos="2438"/>
        </w:tabs>
        <w:spacing w:before="43"/>
        <w:ind w:left="1745"/>
      </w:pPr>
      <w:bookmarkStart w:id="79" w:name="（2) 荷载：是否有超过设计标准增大荷载、集中堆载等现象；"/>
      <w:bookmarkEnd w:id="79"/>
      <w:r>
        <w:t>（2)</w:t>
        <w:tab/>
      </w:r>
      <w:r>
        <w:rPr>
          <w:spacing w:val="-3"/>
        </w:rPr>
        <w:t>荷载：是否有超过设计标准增大荷载、集中堆载等现象；</w:t>
      </w:r>
    </w:p>
    <w:p>
      <w:pPr>
        <w:pStyle w:val="BodyText"/>
        <w:tabs>
          <w:tab w:val="left" w:pos="2438"/>
        </w:tabs>
        <w:spacing w:before="43"/>
        <w:ind w:left="1745"/>
      </w:pPr>
      <w:bookmarkStart w:id="80" w:name="（3) 使用环境：是否有腐蚀、浸水等情况；"/>
      <w:bookmarkEnd w:id="80"/>
      <w:r>
        <w:t>（3)</w:t>
        <w:tab/>
      </w:r>
      <w:r>
        <w:rPr>
          <w:spacing w:val="-3"/>
        </w:rPr>
        <w:t>使用环境：是否有腐蚀、浸水等情况；</w:t>
      </w:r>
    </w:p>
    <w:p>
      <w:pPr>
        <w:pStyle w:val="BodyText"/>
        <w:tabs>
          <w:tab w:val="left" w:pos="2438"/>
        </w:tabs>
        <w:spacing w:before="43"/>
        <w:ind w:left="1745"/>
      </w:pPr>
      <w:bookmarkStart w:id="81" w:name="（4) 房屋完整性：是否有拆改或损伤原结构、降低房屋地面标高、违章搭建等情况。"/>
      <w:bookmarkEnd w:id="81"/>
      <w:r>
        <w:t>（4)</w:t>
        <w:tab/>
      </w:r>
      <w:r>
        <w:rPr>
          <w:spacing w:val="-3"/>
        </w:rPr>
        <w:t>房屋完整性：是否有拆改或损伤原结构、降低房屋地面标高、违章搭建等情况。</w:t>
      </w:r>
    </w:p>
    <w:p>
      <w:pPr>
        <w:pStyle w:val="ListParagraph"/>
        <w:numPr>
          <w:ilvl w:val="3"/>
          <w:numId w:val="16"/>
        </w:numPr>
        <w:tabs>
          <w:tab w:val="left" w:pos="2019"/>
        </w:tabs>
        <w:spacing w:before="43" w:after="0" w:line="240" w:lineRule="auto"/>
        <w:ind w:left="2018" w:right="0" w:hanging="413"/>
        <w:jc w:val="left"/>
        <w:rPr>
          <w:sz w:val="21"/>
        </w:rPr>
      </w:pPr>
      <w:bookmarkStart w:id="82" w:name="c) 地基基础"/>
      <w:bookmarkEnd w:id="82"/>
      <w:r>
        <w:rPr>
          <w:spacing w:val="-1"/>
          <w:sz w:val="21"/>
        </w:rPr>
        <w:t>地基基础</w:t>
      </w:r>
    </w:p>
    <w:p>
      <w:pPr>
        <w:pStyle w:val="BodyText"/>
        <w:tabs>
          <w:tab w:val="left" w:pos="2438"/>
        </w:tabs>
        <w:spacing w:before="43"/>
        <w:ind w:left="1745"/>
      </w:pPr>
      <w:bookmarkStart w:id="83" w:name="（1) 上部结构（包括楼面）因不均匀沉降引起的裂缝和倾斜位移状况；"/>
      <w:bookmarkEnd w:id="83"/>
      <w:r>
        <w:t>（1)</w:t>
        <w:tab/>
      </w:r>
      <w:r>
        <w:rPr>
          <w:spacing w:val="-1"/>
        </w:rPr>
        <w:t>上部结构</w:t>
      </w:r>
      <w:r>
        <w:rPr>
          <w:spacing w:val="-3"/>
        </w:rPr>
        <w:t>（包括楼面</w:t>
      </w:r>
      <w:r>
        <w:t>）</w:t>
      </w:r>
      <w:r>
        <w:rPr>
          <w:spacing w:val="-3"/>
        </w:rPr>
        <w:t>因不均匀沉降引起的裂缝和倾斜位移状况；</w:t>
      </w:r>
    </w:p>
    <w:p>
      <w:pPr>
        <w:pStyle w:val="BodyText"/>
        <w:tabs>
          <w:tab w:val="left" w:pos="2438"/>
        </w:tabs>
        <w:spacing w:before="43"/>
        <w:ind w:left="1745"/>
      </w:pPr>
      <w:bookmarkStart w:id="84" w:name="（2) 地基不稳定滑移、特殊土质变形和地面开裂的状况；"/>
      <w:bookmarkEnd w:id="84"/>
      <w:r>
        <w:t>（2)</w:t>
        <w:tab/>
      </w:r>
      <w:r>
        <w:rPr>
          <w:spacing w:val="-3"/>
        </w:rPr>
        <w:t>地基不稳定滑移、特殊土质变形和地面开裂的状况；</w:t>
      </w:r>
    </w:p>
    <w:p>
      <w:pPr>
        <w:pStyle w:val="BodyText"/>
        <w:tabs>
          <w:tab w:val="left" w:pos="2438"/>
        </w:tabs>
        <w:spacing w:before="42"/>
        <w:ind w:left="1745"/>
      </w:pPr>
      <w:bookmarkStart w:id="85" w:name="（3) 基础老化、腐蚀、酥碎、折断导致上部结构出现的倾斜、位移、开裂、扭曲的状况"/>
      <w:bookmarkEnd w:id="85"/>
      <w:r>
        <w:t>（3)</w:t>
        <w:tab/>
      </w:r>
      <w:r>
        <w:rPr>
          <w:spacing w:val="-3"/>
        </w:rPr>
        <w:t>基础老化、腐蚀、酥碎、折断导致上部结构出现的倾斜、位移、开裂、扭曲的状况；</w:t>
      </w:r>
    </w:p>
    <w:p>
      <w:pPr>
        <w:pStyle w:val="BodyText"/>
        <w:tabs>
          <w:tab w:val="left" w:pos="2438"/>
        </w:tabs>
        <w:spacing w:before="43"/>
        <w:ind w:left="1745"/>
      </w:pPr>
      <w:bookmarkStart w:id="86" w:name="（4) 基础与承重砖墙连接处的水平、竖向和斜向阶梯形裂缝状况；"/>
      <w:bookmarkEnd w:id="86"/>
      <w:r>
        <w:t>（4)</w:t>
        <w:tab/>
      </w:r>
      <w:r>
        <w:rPr>
          <w:spacing w:val="-3"/>
        </w:rPr>
        <w:t>基础与承重砖墙连接处的水平、竖向和斜向阶梯形裂缝状况；</w:t>
      </w:r>
    </w:p>
    <w:p>
      <w:pPr>
        <w:pStyle w:val="BodyText"/>
        <w:tabs>
          <w:tab w:val="left" w:pos="2438"/>
        </w:tabs>
        <w:spacing w:before="43"/>
        <w:ind w:left="1745"/>
      </w:pPr>
      <w:bookmarkStart w:id="87" w:name="（5) 基础与框架柱根部连接处的水平裂缝状况等。"/>
      <w:bookmarkEnd w:id="87"/>
      <w:r>
        <w:t>（5)</w:t>
        <w:tab/>
      </w:r>
      <w:r>
        <w:rPr>
          <w:spacing w:val="-3"/>
        </w:rPr>
        <w:t>基础与框架柱根部连接处的水平裂缝状况等。</w:t>
      </w:r>
    </w:p>
    <w:p>
      <w:pPr>
        <w:pStyle w:val="ListParagraph"/>
        <w:numPr>
          <w:ilvl w:val="3"/>
          <w:numId w:val="16"/>
        </w:numPr>
        <w:tabs>
          <w:tab w:val="left" w:pos="2019"/>
        </w:tabs>
        <w:spacing w:before="43" w:after="0" w:line="240" w:lineRule="auto"/>
        <w:ind w:left="2018" w:right="0" w:hanging="413"/>
        <w:jc w:val="left"/>
        <w:rPr>
          <w:sz w:val="21"/>
        </w:rPr>
      </w:pPr>
      <w:bookmarkStart w:id="88" w:name="d) 上部结构、构件"/>
      <w:bookmarkEnd w:id="88"/>
      <w:r>
        <w:rPr>
          <w:spacing w:val="-2"/>
          <w:sz w:val="21"/>
        </w:rPr>
        <w:t>上部结构、构件</w:t>
      </w:r>
    </w:p>
    <w:p>
      <w:pPr>
        <w:pStyle w:val="BodyText"/>
        <w:tabs>
          <w:tab w:val="left" w:pos="2438"/>
        </w:tabs>
        <w:spacing w:before="43" w:line="278" w:lineRule="auto"/>
        <w:ind w:left="2455" w:right="982" w:hanging="711"/>
      </w:pPr>
      <w:bookmarkStart w:id="89" w:name="（1) 结构体系，包括房屋高度、层数和层高，竖向和水平承重构件布置，支撑（或其他"/>
      <w:bookmarkEnd w:id="89"/>
      <w:r>
        <w:t>（1)</w:t>
        <w:tab/>
      </w:r>
      <w:r>
        <w:rPr>
          <w:spacing w:val="-3"/>
        </w:rPr>
        <w:t>结构体系，包括房屋高度、层数和层高，竖向和水平承重构件布置，支撑（或其他抗侧</w:t>
      </w:r>
      <w:r>
        <w:rPr>
          <w:spacing w:val="-1"/>
        </w:rPr>
        <w:t>力体系</w:t>
      </w:r>
      <w:r>
        <w:t>）</w:t>
      </w:r>
      <w:r>
        <w:rPr>
          <w:spacing w:val="-3"/>
        </w:rPr>
        <w:t>布置等；</w:t>
      </w:r>
    </w:p>
    <w:p>
      <w:pPr>
        <w:pStyle w:val="BodyText"/>
        <w:tabs>
          <w:tab w:val="left" w:pos="2439"/>
        </w:tabs>
        <w:spacing w:line="269" w:lineRule="exact"/>
        <w:ind w:left="1745"/>
      </w:pPr>
      <w:bookmarkStart w:id="90" w:name="（2) 结构构件及其支承、连接，包括结构构件几何参数、材料强度、连接构造等；"/>
      <w:bookmarkEnd w:id="90"/>
      <w:r>
        <w:t>（2)</w:t>
        <w:tab/>
      </w:r>
      <w:r>
        <w:rPr>
          <w:spacing w:val="-3"/>
        </w:rPr>
        <w:t>结构构件及其支承、连接，包括结构构件几何参数、材料强度、连接构造等；</w:t>
      </w:r>
    </w:p>
    <w:p>
      <w:pPr>
        <w:pStyle w:val="BodyText"/>
        <w:tabs>
          <w:tab w:val="left" w:pos="2439"/>
        </w:tabs>
        <w:spacing w:before="43"/>
        <w:ind w:left="1745"/>
      </w:pPr>
      <w:bookmarkStart w:id="91" w:name="（3) 结构损伤、缺陷，包括材料和施工缺陷、结构构件及其连接节点的裂缝、损伤和腐"/>
      <w:bookmarkEnd w:id="91"/>
      <w:r>
        <w:t>（3)</w:t>
        <w:tab/>
      </w:r>
      <w:r>
        <w:rPr>
          <w:spacing w:val="-12"/>
        </w:rPr>
        <w:t>结构损伤、缺陷，包括材料和施工缺陷、结构构件及其连接节点的裂缝、损伤和腐蚀等；</w:t>
      </w:r>
    </w:p>
    <w:p>
      <w:pPr>
        <w:pStyle w:val="BodyText"/>
        <w:tabs>
          <w:tab w:val="left" w:pos="2439"/>
        </w:tabs>
        <w:spacing w:before="43" w:line="278" w:lineRule="auto"/>
        <w:ind w:left="2456" w:right="980" w:hanging="711"/>
      </w:pPr>
      <w:bookmarkStart w:id="92" w:name="（4) 结构位移和变形，包括结构顶点和层间位移，受弯构件的挠度与竖向构件的侧弯及"/>
      <w:bookmarkEnd w:id="92"/>
      <w:r>
        <w:t>（4)</w:t>
        <w:tab/>
      </w:r>
      <w:r>
        <w:rPr>
          <w:spacing w:val="-3"/>
        </w:rPr>
        <w:t>结构位移和变形，包括结构顶点和层间位移，受弯构件的挠度与竖向构件的侧弯及局部侧倾等。</w:t>
      </w:r>
    </w:p>
    <w:p>
      <w:pPr>
        <w:pStyle w:val="ListParagraph"/>
        <w:numPr>
          <w:ilvl w:val="3"/>
          <w:numId w:val="16"/>
        </w:numPr>
        <w:tabs>
          <w:tab w:val="left" w:pos="2020"/>
        </w:tabs>
        <w:spacing w:before="0" w:after="0" w:line="269" w:lineRule="exact"/>
        <w:ind w:left="2019" w:right="0" w:hanging="414"/>
        <w:jc w:val="both"/>
        <w:rPr>
          <w:sz w:val="21"/>
        </w:rPr>
      </w:pPr>
      <w:bookmarkStart w:id="93" w:name="e) 围护结构、装饰装修和附属设备等损坏状况，重点勘查因上部结构倾斜产生的开裂和"/>
      <w:bookmarkEnd w:id="93"/>
      <w:r>
        <w:rPr>
          <w:spacing w:val="-3"/>
          <w:sz w:val="21"/>
        </w:rPr>
        <w:t>围护结构、装饰装修和附属设备等损坏状况，重点勘查因上部结构倾斜产生的开裂和位移。</w:t>
      </w:r>
    </w:p>
    <w:p>
      <w:pPr>
        <w:pStyle w:val="ListParagraph"/>
        <w:numPr>
          <w:ilvl w:val="2"/>
          <w:numId w:val="16"/>
        </w:numPr>
        <w:tabs>
          <w:tab w:val="left" w:pos="2020"/>
        </w:tabs>
        <w:spacing w:before="43" w:after="0" w:line="278" w:lineRule="auto"/>
        <w:ind w:left="1179" w:right="979" w:hanging="1"/>
        <w:jc w:val="both"/>
        <w:rPr>
          <w:sz w:val="21"/>
        </w:rPr>
      </w:pPr>
      <w:bookmarkStart w:id="94" w:name="6.2.6 在对房屋裂缝进行调查时，应区分结构性裂缝和非结构性裂缝；危险性评定时"/>
      <w:bookmarkEnd w:id="94"/>
      <w:r>
        <w:rPr>
          <w:spacing w:val="-3"/>
          <w:sz w:val="21"/>
        </w:rPr>
        <w:t>在对房屋裂缝进行调查时，应区分结构性裂缝和非结构性裂缝；危险性评定时，只有当结构</w:t>
      </w:r>
      <w:r>
        <w:rPr>
          <w:spacing w:val="-3"/>
          <w:sz w:val="21"/>
        </w:rPr>
        <w:t>性裂缝达到危险点标准时，才可判定该构件为危险点。鉴定过程中，若难以判定裂缝性质，须开凿装饰面层，准确判断。</w:t>
      </w:r>
    </w:p>
    <w:p>
      <w:pPr>
        <w:pStyle w:val="ListParagraph"/>
        <w:numPr>
          <w:ilvl w:val="2"/>
          <w:numId w:val="16"/>
        </w:numPr>
        <w:tabs>
          <w:tab w:val="left" w:pos="2020"/>
        </w:tabs>
        <w:spacing w:before="0" w:after="0" w:line="278" w:lineRule="auto"/>
        <w:ind w:left="1179" w:right="979" w:hanging="1"/>
        <w:jc w:val="both"/>
        <w:rPr>
          <w:sz w:val="21"/>
        </w:rPr>
      </w:pPr>
      <w:bookmarkStart w:id="95" w:name="6.2.7 对房屋进行局部安全鉴定时，除对委托鉴定范围进行查勘外，尚应根据被鉴定"/>
      <w:bookmarkEnd w:id="95"/>
      <w:r>
        <w:rPr>
          <w:spacing w:val="-3"/>
          <w:sz w:val="21"/>
        </w:rPr>
        <w:t>对房屋进行局部安全鉴定时，除对委托鉴定范围进行查勘外，尚应根据被鉴定区域与整个结</w:t>
      </w:r>
      <w:r>
        <w:rPr>
          <w:spacing w:val="-3"/>
          <w:sz w:val="21"/>
        </w:rPr>
        <w:t>构体系的关联性，扩大查勘范围。若查勘发现存在危险构件，应根据危险构件的影响范围，提出扩大鉴定范围的建议，必要时可扩大到对整幢房屋进行鉴定。</w:t>
      </w:r>
    </w:p>
    <w:p>
      <w:pPr>
        <w:pStyle w:val="ListParagraph"/>
        <w:numPr>
          <w:ilvl w:val="2"/>
          <w:numId w:val="16"/>
        </w:numPr>
        <w:tabs>
          <w:tab w:val="left" w:pos="2021"/>
        </w:tabs>
        <w:spacing w:before="0" w:after="0" w:line="269" w:lineRule="exact"/>
        <w:ind w:left="2020" w:right="0" w:hanging="842"/>
        <w:jc w:val="both"/>
        <w:rPr>
          <w:sz w:val="21"/>
        </w:rPr>
      </w:pPr>
      <w:bookmarkStart w:id="96" w:name="6.2.8 对房屋进行局部安全鉴定时，重点查勘内容应包括但不限于："/>
      <w:bookmarkEnd w:id="96"/>
      <w:r>
        <w:rPr>
          <w:spacing w:val="-3"/>
          <w:sz w:val="21"/>
        </w:rPr>
        <w:t>对房屋进行局部安全鉴定时，重点查勘内容应包括但不限于：</w:t>
      </w:r>
    </w:p>
    <w:p>
      <w:pPr>
        <w:pStyle w:val="ListParagraph"/>
        <w:numPr>
          <w:ilvl w:val="3"/>
          <w:numId w:val="16"/>
        </w:numPr>
        <w:tabs>
          <w:tab w:val="left" w:pos="2021"/>
        </w:tabs>
        <w:spacing w:before="42" w:after="0" w:line="240" w:lineRule="auto"/>
        <w:ind w:left="2020" w:right="0" w:hanging="414"/>
        <w:jc w:val="left"/>
        <w:rPr>
          <w:sz w:val="21"/>
        </w:rPr>
      </w:pPr>
      <w:bookmarkStart w:id="97" w:name="a) 对鉴定区域荷载有影响的情况，包括增大使用荷载、改变使用用途等；"/>
      <w:bookmarkEnd w:id="97"/>
      <w:r>
        <w:rPr>
          <w:spacing w:val="-3"/>
          <w:sz w:val="21"/>
        </w:rPr>
        <w:t>对鉴定区域荷载有影响的情况，包括增大使用荷载、改变使用用途等；</w:t>
      </w:r>
    </w:p>
    <w:p>
      <w:pPr>
        <w:pStyle w:val="ListParagraph"/>
        <w:numPr>
          <w:ilvl w:val="3"/>
          <w:numId w:val="16"/>
        </w:numPr>
        <w:tabs>
          <w:tab w:val="left" w:pos="2021"/>
        </w:tabs>
        <w:spacing w:before="43" w:after="0" w:line="240" w:lineRule="auto"/>
        <w:ind w:left="2020" w:right="0" w:hanging="414"/>
        <w:jc w:val="left"/>
        <w:rPr>
          <w:sz w:val="21"/>
        </w:rPr>
      </w:pPr>
      <w:bookmarkStart w:id="98" w:name="b) 鉴定区域内破坏主体结构的情况，包括拆改或损伤结构、降低室内地面标高等；"/>
      <w:bookmarkEnd w:id="98"/>
      <w:r>
        <w:rPr>
          <w:spacing w:val="-3"/>
          <w:sz w:val="21"/>
        </w:rPr>
        <w:t>鉴定区域内破坏主体结构的情况，包括拆改或损伤结构、降低室内地面标高等；</w:t>
      </w:r>
    </w:p>
    <w:p>
      <w:pPr>
        <w:pStyle w:val="ListParagraph"/>
        <w:numPr>
          <w:ilvl w:val="3"/>
          <w:numId w:val="16"/>
        </w:numPr>
        <w:tabs>
          <w:tab w:val="left" w:pos="2021"/>
        </w:tabs>
        <w:spacing w:before="43" w:after="0" w:line="240" w:lineRule="auto"/>
        <w:ind w:left="2020" w:right="0" w:hanging="414"/>
        <w:jc w:val="left"/>
        <w:rPr>
          <w:sz w:val="21"/>
        </w:rPr>
      </w:pPr>
      <w:bookmarkStart w:id="99" w:name="c) 鉴定区域与周边构件的关联影响情况；"/>
      <w:bookmarkEnd w:id="99"/>
      <w:r>
        <w:rPr>
          <w:spacing w:val="-3"/>
          <w:sz w:val="21"/>
        </w:rPr>
        <w:t>鉴定区域与周边构件的关联影响情况；</w:t>
      </w:r>
    </w:p>
    <w:p>
      <w:pPr>
        <w:pStyle w:val="ListParagraph"/>
        <w:numPr>
          <w:ilvl w:val="3"/>
          <w:numId w:val="16"/>
        </w:numPr>
        <w:tabs>
          <w:tab w:val="left" w:pos="2021"/>
        </w:tabs>
        <w:spacing w:before="43" w:after="0" w:line="240" w:lineRule="auto"/>
        <w:ind w:left="2020" w:right="0" w:hanging="414"/>
        <w:jc w:val="left"/>
        <w:rPr>
          <w:sz w:val="21"/>
        </w:rPr>
      </w:pPr>
      <w:bookmarkStart w:id="100" w:name="d) 房屋地基基础受损状况；"/>
      <w:bookmarkEnd w:id="100"/>
      <w:r>
        <w:rPr>
          <w:spacing w:val="-3"/>
          <w:sz w:val="21"/>
        </w:rPr>
        <w:t>房屋地基基础受损状况；</w:t>
      </w:r>
    </w:p>
    <w:p>
      <w:pPr>
        <w:pStyle w:val="ListParagraph"/>
        <w:numPr>
          <w:ilvl w:val="3"/>
          <w:numId w:val="16"/>
        </w:numPr>
        <w:tabs>
          <w:tab w:val="left" w:pos="2021"/>
        </w:tabs>
        <w:spacing w:before="42" w:after="0" w:line="240" w:lineRule="auto"/>
        <w:ind w:left="2020" w:right="0" w:hanging="414"/>
        <w:jc w:val="left"/>
        <w:rPr>
          <w:sz w:val="21"/>
        </w:rPr>
      </w:pPr>
      <w:bookmarkStart w:id="101" w:name="e) 房屋实际使用环境。"/>
      <w:bookmarkEnd w:id="101"/>
      <w:r>
        <w:rPr>
          <w:spacing w:val="-3"/>
          <w:sz w:val="21"/>
        </w:rPr>
        <w:t>房屋实际使用环境。</w:t>
      </w:r>
    </w:p>
    <w:p>
      <w:pPr>
        <w:pStyle w:val="BodyText"/>
        <w:spacing w:before="7"/>
        <w:rPr>
          <w:sz w:val="15"/>
        </w:rPr>
      </w:pPr>
    </w:p>
    <w:p>
      <w:pPr>
        <w:pStyle w:val="ListParagraph"/>
        <w:numPr>
          <w:ilvl w:val="1"/>
          <w:numId w:val="16"/>
        </w:numPr>
        <w:tabs>
          <w:tab w:val="left" w:pos="1707"/>
        </w:tabs>
        <w:spacing w:before="0" w:after="0" w:line="240" w:lineRule="auto"/>
        <w:ind w:left="1706" w:right="0" w:hanging="527"/>
        <w:jc w:val="both"/>
        <w:rPr>
          <w:rFonts w:ascii="黑体" w:eastAsia="黑体" w:hint="eastAsia"/>
          <w:sz w:val="21"/>
        </w:rPr>
      </w:pPr>
      <w:bookmarkStart w:id="102" w:name="6.3　 鉴定方案"/>
      <w:bookmarkEnd w:id="102"/>
      <w:r>
        <w:rPr>
          <w:rFonts w:ascii="黑体" w:eastAsia="黑体" w:hint="eastAsia"/>
          <w:spacing w:val="-1"/>
          <w:sz w:val="21"/>
        </w:rPr>
        <w:t>鉴定方案</w:t>
      </w:r>
    </w:p>
    <w:p>
      <w:pPr>
        <w:pStyle w:val="BodyText"/>
        <w:spacing w:before="7"/>
        <w:rPr>
          <w:rFonts w:ascii="黑体"/>
          <w:sz w:val="15"/>
        </w:rPr>
      </w:pPr>
    </w:p>
    <w:p>
      <w:pPr>
        <w:pStyle w:val="ListParagraph"/>
        <w:numPr>
          <w:ilvl w:val="2"/>
          <w:numId w:val="16"/>
        </w:numPr>
        <w:tabs>
          <w:tab w:val="left" w:pos="2020"/>
          <w:tab w:val="left" w:pos="2021"/>
        </w:tabs>
        <w:spacing w:before="0" w:after="0" w:line="278" w:lineRule="auto"/>
        <w:ind w:left="1180" w:right="978" w:hanging="1"/>
        <w:jc w:val="left"/>
        <w:rPr>
          <w:sz w:val="21"/>
        </w:rPr>
      </w:pPr>
      <w:bookmarkStart w:id="103" w:name="6.3.1 鉴定方案应由鉴定人员在调查查勘的基础上，根据鉴定类型、范围、目的和相"/>
      <w:bookmarkEnd w:id="103"/>
      <w:r>
        <w:rPr>
          <w:spacing w:val="-3"/>
          <w:sz w:val="21"/>
        </w:rPr>
        <w:t>鉴定方案应由鉴定人员在调查查勘的基础上，根据鉴定类型、范围、目的和相关要求进行编</w:t>
      </w:r>
      <w:r>
        <w:rPr>
          <w:spacing w:val="-3"/>
          <w:sz w:val="21"/>
        </w:rPr>
        <w:t>制。</w:t>
      </w:r>
    </w:p>
    <w:p>
      <w:pPr>
        <w:pStyle w:val="ListParagraph"/>
        <w:numPr>
          <w:ilvl w:val="2"/>
          <w:numId w:val="16"/>
        </w:numPr>
        <w:tabs>
          <w:tab w:val="left" w:pos="2020"/>
          <w:tab w:val="left" w:pos="2021"/>
        </w:tabs>
        <w:spacing w:before="0" w:after="0" w:line="269" w:lineRule="exact"/>
        <w:ind w:left="2020" w:right="0" w:hanging="841"/>
        <w:jc w:val="left"/>
        <w:rPr>
          <w:sz w:val="21"/>
        </w:rPr>
      </w:pPr>
      <w:bookmarkStart w:id="104" w:name="6.3.2 鉴定方案应包括以下主要内容："/>
      <w:bookmarkEnd w:id="104"/>
      <w:r>
        <w:rPr>
          <w:spacing w:val="-3"/>
          <w:sz w:val="21"/>
        </w:rPr>
        <w:t>鉴定方案应包括以下主要内容：</w:t>
      </w:r>
    </w:p>
    <w:p>
      <w:pPr>
        <w:pStyle w:val="ListParagraph"/>
        <w:numPr>
          <w:ilvl w:val="3"/>
          <w:numId w:val="16"/>
        </w:numPr>
        <w:tabs>
          <w:tab w:val="left" w:pos="2022"/>
        </w:tabs>
        <w:spacing w:before="43" w:after="0" w:line="240" w:lineRule="auto"/>
        <w:ind w:left="2021" w:right="0" w:hanging="414"/>
        <w:jc w:val="left"/>
        <w:rPr>
          <w:sz w:val="21"/>
        </w:rPr>
      </w:pPr>
      <w:bookmarkStart w:id="105" w:name="a) 房屋概况；"/>
      <w:bookmarkEnd w:id="105"/>
      <w:r>
        <w:rPr>
          <w:spacing w:val="-1"/>
          <w:sz w:val="21"/>
        </w:rPr>
        <w:t>房屋概况；</w:t>
      </w:r>
    </w:p>
    <w:p>
      <w:pPr>
        <w:pStyle w:val="BodyText"/>
        <w:spacing w:before="9"/>
        <w:rPr>
          <w:sz w:val="15"/>
        </w:rPr>
      </w:pPr>
    </w:p>
    <w:p>
      <w:pPr>
        <w:spacing w:before="92"/>
        <w:ind w:left="0" w:right="1083" w:firstLine="0"/>
        <w:jc w:val="right"/>
        <w:rPr>
          <w:rFonts w:ascii="Times New Roman"/>
          <w:sz w:val="18"/>
        </w:rPr>
      </w:pPr>
      <w:r>
        <w:rPr>
          <w:rFonts w:ascii="Times New Roman"/>
          <w:sz w:val="18"/>
        </w:rPr>
        <w:t>7</w:t>
      </w:r>
    </w:p>
    <w:p>
      <w:pPr>
        <w:spacing w:after="0"/>
        <w:jc w:val="right"/>
        <w:rPr>
          <w:rFonts w:ascii="Times New Roman"/>
          <w:sz w:val="18"/>
        </w:rPr>
        <w:sectPr>
          <w:headerReference w:type="even" r:id="rId26"/>
          <w:headerReference w:type="default" r:id="rId27"/>
          <w:pgSz w:w="11910" w:h="16840"/>
          <w:pgMar w:top="1340" w:right="260" w:bottom="280" w:left="240" w:header="0" w:footer="0"/>
          <w:pgNumType w:start="14"/>
          <w:cols w:space="708"/>
        </w:sectPr>
      </w:pPr>
    </w:p>
    <w:p>
      <w:pPr>
        <w:pStyle w:val="BodyText"/>
        <w:spacing w:before="6"/>
        <w:rPr>
          <w:rFonts w:ascii="Times New Roman"/>
          <w:sz w:val="17"/>
        </w:rPr>
      </w:pPr>
    </w:p>
    <w:p>
      <w:pPr>
        <w:pStyle w:val="ListParagraph"/>
        <w:numPr>
          <w:ilvl w:val="3"/>
          <w:numId w:val="16"/>
        </w:numPr>
        <w:tabs>
          <w:tab w:val="left" w:pos="2019"/>
        </w:tabs>
        <w:spacing w:before="72" w:after="0" w:line="240" w:lineRule="auto"/>
        <w:ind w:left="2018" w:right="0" w:hanging="414"/>
        <w:jc w:val="left"/>
        <w:rPr>
          <w:sz w:val="21"/>
        </w:rPr>
      </w:pPr>
      <w:bookmarkStart w:id="106" w:name="b) 鉴定目的和范围；"/>
      <w:bookmarkEnd w:id="106"/>
      <w:r>
        <w:rPr>
          <w:spacing w:val="-3"/>
          <w:sz w:val="21"/>
        </w:rPr>
        <w:t>鉴定目的和范围；</w:t>
      </w:r>
    </w:p>
    <w:p>
      <w:pPr>
        <w:pStyle w:val="ListParagraph"/>
        <w:numPr>
          <w:ilvl w:val="3"/>
          <w:numId w:val="16"/>
        </w:numPr>
        <w:tabs>
          <w:tab w:val="left" w:pos="2019"/>
        </w:tabs>
        <w:spacing w:before="43" w:after="0" w:line="240" w:lineRule="auto"/>
        <w:ind w:left="2018" w:right="0" w:hanging="414"/>
        <w:jc w:val="left"/>
        <w:rPr>
          <w:sz w:val="21"/>
        </w:rPr>
      </w:pPr>
      <w:bookmarkStart w:id="107" w:name="c) 鉴定的工作内容（包括检测项目和数量）及依据；"/>
      <w:bookmarkEnd w:id="107"/>
      <w:r>
        <w:rPr>
          <w:spacing w:val="-3"/>
          <w:sz w:val="21"/>
        </w:rPr>
        <w:t>鉴定的工作内容</w:t>
      </w:r>
      <w:r>
        <w:rPr>
          <w:sz w:val="21"/>
        </w:rPr>
        <w:t>（</w:t>
      </w:r>
      <w:r>
        <w:rPr>
          <w:spacing w:val="-3"/>
          <w:sz w:val="21"/>
        </w:rPr>
        <w:t>包括检测项目和数量）</w:t>
      </w:r>
      <w:r>
        <w:rPr>
          <w:spacing w:val="-2"/>
          <w:sz w:val="21"/>
        </w:rPr>
        <w:t>及依据；</w:t>
      </w:r>
    </w:p>
    <w:p>
      <w:pPr>
        <w:pStyle w:val="ListParagraph"/>
        <w:numPr>
          <w:ilvl w:val="3"/>
          <w:numId w:val="16"/>
        </w:numPr>
        <w:tabs>
          <w:tab w:val="left" w:pos="2019"/>
        </w:tabs>
        <w:spacing w:before="43" w:after="0" w:line="240" w:lineRule="auto"/>
        <w:ind w:left="2018" w:right="0" w:hanging="414"/>
        <w:jc w:val="left"/>
        <w:rPr>
          <w:sz w:val="21"/>
        </w:rPr>
      </w:pPr>
      <w:bookmarkStart w:id="108" w:name="d) 检测用仪器设备；"/>
      <w:bookmarkEnd w:id="108"/>
      <w:r>
        <w:rPr>
          <w:spacing w:val="-3"/>
          <w:sz w:val="21"/>
        </w:rPr>
        <w:t>检测用仪器设备；</w:t>
      </w:r>
    </w:p>
    <w:p>
      <w:pPr>
        <w:pStyle w:val="ListParagraph"/>
        <w:numPr>
          <w:ilvl w:val="3"/>
          <w:numId w:val="16"/>
        </w:numPr>
        <w:tabs>
          <w:tab w:val="left" w:pos="2019"/>
        </w:tabs>
        <w:spacing w:before="43" w:after="0" w:line="240" w:lineRule="auto"/>
        <w:ind w:left="2018" w:right="0" w:hanging="413"/>
        <w:jc w:val="left"/>
        <w:rPr>
          <w:sz w:val="21"/>
        </w:rPr>
      </w:pPr>
      <w:bookmarkStart w:id="109" w:name="e) 工作进度安排；"/>
      <w:bookmarkEnd w:id="109"/>
      <w:r>
        <w:rPr>
          <w:spacing w:val="-2"/>
          <w:sz w:val="21"/>
        </w:rPr>
        <w:t>工作进度安排；</w:t>
      </w:r>
    </w:p>
    <w:p>
      <w:pPr>
        <w:pStyle w:val="ListParagraph"/>
        <w:numPr>
          <w:ilvl w:val="3"/>
          <w:numId w:val="16"/>
        </w:numPr>
        <w:tabs>
          <w:tab w:val="left" w:pos="2020"/>
        </w:tabs>
        <w:spacing w:before="43" w:after="0" w:line="240" w:lineRule="auto"/>
        <w:ind w:left="2019" w:right="0" w:hanging="414"/>
        <w:jc w:val="left"/>
        <w:rPr>
          <w:sz w:val="21"/>
        </w:rPr>
      </w:pPr>
      <w:bookmarkStart w:id="110" w:name="f) 需委托方配合的工作；"/>
      <w:bookmarkEnd w:id="110"/>
      <w:r>
        <w:rPr>
          <w:spacing w:val="-3"/>
          <w:sz w:val="21"/>
        </w:rPr>
        <w:t>需委托方配合的工作；</w:t>
      </w:r>
    </w:p>
    <w:p>
      <w:pPr>
        <w:pStyle w:val="ListParagraph"/>
        <w:numPr>
          <w:ilvl w:val="3"/>
          <w:numId w:val="16"/>
        </w:numPr>
        <w:tabs>
          <w:tab w:val="left" w:pos="2020"/>
        </w:tabs>
        <w:spacing w:before="43" w:after="0" w:line="240" w:lineRule="auto"/>
        <w:ind w:left="2019" w:right="0" w:hanging="414"/>
        <w:jc w:val="left"/>
        <w:rPr>
          <w:sz w:val="21"/>
        </w:rPr>
      </w:pPr>
      <w:bookmarkStart w:id="111" w:name="g) 检测鉴定中的安全保障和环保措施。"/>
      <w:bookmarkEnd w:id="111"/>
      <w:r>
        <w:rPr>
          <w:spacing w:val="-3"/>
          <w:sz w:val="21"/>
        </w:rPr>
        <w:t>检测鉴定中的安全保障和环保措施。</w:t>
      </w:r>
    </w:p>
    <w:p>
      <w:pPr>
        <w:pStyle w:val="ListParagraph"/>
        <w:numPr>
          <w:ilvl w:val="2"/>
          <w:numId w:val="16"/>
        </w:numPr>
        <w:tabs>
          <w:tab w:val="left" w:pos="2019"/>
          <w:tab w:val="left" w:pos="2020"/>
        </w:tabs>
        <w:spacing w:before="42" w:after="0" w:line="240" w:lineRule="auto"/>
        <w:ind w:left="2019" w:right="0" w:hanging="842"/>
        <w:jc w:val="left"/>
        <w:rPr>
          <w:sz w:val="21"/>
        </w:rPr>
      </w:pPr>
      <w:bookmarkStart w:id="112" w:name="6.3.3 方案中检测数量的确定，可参照现行国家相关规范、标准的要求执行。"/>
      <w:bookmarkEnd w:id="112"/>
      <w:r>
        <w:rPr>
          <w:spacing w:val="-3"/>
          <w:sz w:val="21"/>
        </w:rPr>
        <w:t>方案中检测数量的确定，可参照现行国家相关规范、标准的要求执行。</w:t>
      </w:r>
    </w:p>
    <w:p>
      <w:pPr>
        <w:pStyle w:val="ListParagraph"/>
        <w:numPr>
          <w:ilvl w:val="2"/>
          <w:numId w:val="16"/>
        </w:numPr>
        <w:tabs>
          <w:tab w:val="left" w:pos="2019"/>
          <w:tab w:val="left" w:pos="2020"/>
        </w:tabs>
        <w:spacing w:before="43" w:after="0" w:line="240" w:lineRule="auto"/>
        <w:ind w:left="2019" w:right="0" w:hanging="841"/>
        <w:jc w:val="left"/>
        <w:rPr>
          <w:sz w:val="21"/>
        </w:rPr>
      </w:pPr>
      <w:bookmarkStart w:id="113" w:name="6.3.4 编制鉴定方案应与委托方进行沟通，并书面告知。"/>
      <w:bookmarkEnd w:id="113"/>
      <w:r>
        <w:rPr>
          <w:spacing w:val="-3"/>
          <w:sz w:val="21"/>
        </w:rPr>
        <w:t>编制鉴定方案应与委托方进行沟通，并书面告知。</w:t>
      </w:r>
    </w:p>
    <w:p>
      <w:pPr>
        <w:pStyle w:val="BodyText"/>
        <w:spacing w:before="7"/>
        <w:rPr>
          <w:sz w:val="15"/>
        </w:rPr>
      </w:pPr>
    </w:p>
    <w:p>
      <w:pPr>
        <w:pStyle w:val="ListParagraph"/>
        <w:numPr>
          <w:ilvl w:val="1"/>
          <w:numId w:val="16"/>
        </w:numPr>
        <w:tabs>
          <w:tab w:val="left" w:pos="1705"/>
        </w:tabs>
        <w:spacing w:before="0" w:after="0" w:line="240" w:lineRule="auto"/>
        <w:ind w:left="1704" w:right="0" w:hanging="526"/>
        <w:jc w:val="left"/>
        <w:rPr>
          <w:rFonts w:ascii="黑体" w:eastAsia="黑体" w:hint="eastAsia"/>
          <w:sz w:val="21"/>
        </w:rPr>
      </w:pPr>
      <w:bookmarkStart w:id="114" w:name="6.4　 检测验算"/>
      <w:bookmarkEnd w:id="114"/>
      <w:r>
        <w:rPr>
          <w:rFonts w:ascii="黑体" w:eastAsia="黑体" w:hint="eastAsia"/>
          <w:spacing w:val="-1"/>
          <w:sz w:val="21"/>
        </w:rPr>
        <w:t>检测验算</w:t>
      </w:r>
    </w:p>
    <w:p>
      <w:pPr>
        <w:pStyle w:val="BodyText"/>
        <w:spacing w:before="7"/>
        <w:rPr>
          <w:rFonts w:ascii="黑体"/>
          <w:sz w:val="15"/>
        </w:rPr>
      </w:pPr>
    </w:p>
    <w:p>
      <w:pPr>
        <w:pStyle w:val="ListParagraph"/>
        <w:numPr>
          <w:ilvl w:val="2"/>
          <w:numId w:val="16"/>
        </w:numPr>
        <w:tabs>
          <w:tab w:val="left" w:pos="2019"/>
          <w:tab w:val="left" w:pos="2020"/>
        </w:tabs>
        <w:spacing w:before="0" w:after="0" w:line="278" w:lineRule="auto"/>
        <w:ind w:left="1179" w:right="877" w:hanging="1"/>
        <w:jc w:val="left"/>
        <w:rPr>
          <w:sz w:val="21"/>
        </w:rPr>
      </w:pPr>
      <w:bookmarkStart w:id="115" w:name="6.4.1 应根据鉴定方案，有针对性地对房屋现状进行现场检测。主要检测项目有：地"/>
      <w:bookmarkEnd w:id="115"/>
      <w:r>
        <w:rPr>
          <w:spacing w:val="-3"/>
          <w:sz w:val="21"/>
        </w:rPr>
        <w:t>应根据鉴定方案，有针对性地对房屋现状进行现场检测。主要检测项目有：地基变形；主体</w:t>
      </w:r>
      <w:r>
        <w:rPr>
          <w:spacing w:val="-5"/>
          <w:sz w:val="21"/>
        </w:rPr>
        <w:t>结构的外观质量</w:t>
      </w:r>
      <w:r>
        <w:rPr>
          <w:spacing w:val="-3"/>
          <w:sz w:val="21"/>
        </w:rPr>
        <w:t>（含裂缝</w:t>
      </w:r>
      <w:r>
        <w:rPr>
          <w:spacing w:val="-15"/>
          <w:sz w:val="21"/>
        </w:rPr>
        <w:t>）</w:t>
      </w:r>
      <w:r>
        <w:rPr>
          <w:spacing w:val="-11"/>
          <w:sz w:val="21"/>
        </w:rPr>
        <w:t>、变形、损伤、钢筋配置、轴线复核、尺寸与偏差、承重构件材料性能等。</w:t>
      </w:r>
    </w:p>
    <w:p>
      <w:pPr>
        <w:pStyle w:val="ListParagraph"/>
        <w:numPr>
          <w:ilvl w:val="2"/>
          <w:numId w:val="16"/>
        </w:numPr>
        <w:tabs>
          <w:tab w:val="left" w:pos="2019"/>
          <w:tab w:val="left" w:pos="2020"/>
        </w:tabs>
        <w:spacing w:before="0" w:after="0" w:line="269" w:lineRule="exact"/>
        <w:ind w:left="2019" w:right="0" w:hanging="841"/>
        <w:jc w:val="left"/>
        <w:rPr>
          <w:sz w:val="21"/>
        </w:rPr>
      </w:pPr>
      <w:bookmarkStart w:id="116" w:name="6.4.2 现场结构检测应提供真实、可靠、有效的检测数据和检测结论。对检测数据的"/>
      <w:bookmarkEnd w:id="116"/>
      <w:r>
        <w:rPr>
          <w:spacing w:val="-3"/>
          <w:sz w:val="21"/>
        </w:rPr>
        <w:t>现场结构检测应提供真实、可靠、有效的检测数据和检测结论。对检测数据的处理，应符合</w:t>
      </w:r>
    </w:p>
    <w:p>
      <w:pPr>
        <w:pStyle w:val="BodyText"/>
        <w:spacing w:before="43"/>
        <w:ind w:left="1179"/>
      </w:pPr>
      <w:r>
        <w:t>GB/T 50344 的相关要求。</w:t>
      </w:r>
    </w:p>
    <w:p>
      <w:pPr>
        <w:pStyle w:val="ListParagraph"/>
        <w:numPr>
          <w:ilvl w:val="2"/>
          <w:numId w:val="16"/>
        </w:numPr>
        <w:tabs>
          <w:tab w:val="left" w:pos="2019"/>
          <w:tab w:val="left" w:pos="2020"/>
        </w:tabs>
        <w:spacing w:before="43" w:after="0" w:line="240" w:lineRule="auto"/>
        <w:ind w:left="2019" w:right="0" w:hanging="841"/>
        <w:jc w:val="left"/>
        <w:rPr>
          <w:sz w:val="21"/>
        </w:rPr>
      </w:pPr>
      <w:bookmarkStart w:id="117" w:name="6.4.3 房屋存在如下情形时，应进行变形检测："/>
      <w:bookmarkEnd w:id="117"/>
      <w:r>
        <w:rPr>
          <w:spacing w:val="-3"/>
          <w:sz w:val="21"/>
        </w:rPr>
        <w:t>房屋存在如下情形时，应进行变形检测：</w:t>
      </w:r>
    </w:p>
    <w:p>
      <w:pPr>
        <w:pStyle w:val="ListParagraph"/>
        <w:numPr>
          <w:ilvl w:val="3"/>
          <w:numId w:val="16"/>
        </w:numPr>
        <w:tabs>
          <w:tab w:val="left" w:pos="2020"/>
        </w:tabs>
        <w:spacing w:before="42" w:after="0" w:line="240" w:lineRule="auto"/>
        <w:ind w:left="2019" w:right="0" w:hanging="414"/>
        <w:jc w:val="left"/>
        <w:rPr>
          <w:sz w:val="21"/>
        </w:rPr>
      </w:pPr>
      <w:bookmarkStart w:id="118" w:name="a) 周边进行隧道、基坑等建设工程施工作业；"/>
      <w:bookmarkEnd w:id="118"/>
      <w:r>
        <w:rPr>
          <w:spacing w:val="-3"/>
          <w:sz w:val="21"/>
        </w:rPr>
        <w:t>周边进行隧道、基坑等建设工程施工作业；</w:t>
      </w:r>
    </w:p>
    <w:p>
      <w:pPr>
        <w:pStyle w:val="ListParagraph"/>
        <w:numPr>
          <w:ilvl w:val="3"/>
          <w:numId w:val="16"/>
        </w:numPr>
        <w:tabs>
          <w:tab w:val="left" w:pos="2020"/>
        </w:tabs>
        <w:spacing w:before="43" w:after="0" w:line="240" w:lineRule="auto"/>
        <w:ind w:left="2019" w:right="0" w:hanging="413"/>
        <w:jc w:val="left"/>
        <w:rPr>
          <w:sz w:val="21"/>
        </w:rPr>
      </w:pPr>
      <w:bookmarkStart w:id="119" w:name="b) 墙、柱、屋架相对于房屋整体有较大局部倾斜变形；"/>
      <w:bookmarkEnd w:id="119"/>
      <w:r>
        <w:rPr>
          <w:spacing w:val="-3"/>
          <w:sz w:val="21"/>
        </w:rPr>
        <w:t>墙、柱、屋架相对于房屋整体有较大局部倾斜变形；</w:t>
      </w:r>
    </w:p>
    <w:p>
      <w:pPr>
        <w:pStyle w:val="ListParagraph"/>
        <w:numPr>
          <w:ilvl w:val="3"/>
          <w:numId w:val="16"/>
        </w:numPr>
        <w:tabs>
          <w:tab w:val="left" w:pos="2020"/>
        </w:tabs>
        <w:spacing w:before="43" w:after="0" w:line="240" w:lineRule="auto"/>
        <w:ind w:left="2019" w:right="0" w:hanging="413"/>
        <w:jc w:val="left"/>
        <w:rPr>
          <w:sz w:val="21"/>
        </w:rPr>
      </w:pPr>
      <w:bookmarkStart w:id="120" w:name="c) 梁、板、屋架等出现明显的弯曲、下挠变形。"/>
      <w:bookmarkEnd w:id="120"/>
      <w:r>
        <w:rPr>
          <w:spacing w:val="-3"/>
          <w:sz w:val="21"/>
        </w:rPr>
        <w:t>梁、板、屋架等出现明显的弯曲、下挠变形。</w:t>
      </w:r>
    </w:p>
    <w:p>
      <w:pPr>
        <w:pStyle w:val="ListParagraph"/>
        <w:numPr>
          <w:ilvl w:val="2"/>
          <w:numId w:val="16"/>
        </w:numPr>
        <w:tabs>
          <w:tab w:val="left" w:pos="2020"/>
          <w:tab w:val="left" w:pos="2021"/>
        </w:tabs>
        <w:spacing w:before="43" w:after="0" w:line="240" w:lineRule="auto"/>
        <w:ind w:left="2020" w:right="0" w:hanging="841"/>
        <w:jc w:val="left"/>
        <w:rPr>
          <w:sz w:val="21"/>
        </w:rPr>
      </w:pPr>
      <w:bookmarkStart w:id="121" w:name="6.4.4 房屋存在下列情形时，宜进行材料强度检测和结构承载能力验算："/>
      <w:bookmarkEnd w:id="121"/>
      <w:r>
        <w:rPr>
          <w:spacing w:val="-3"/>
          <w:sz w:val="21"/>
        </w:rPr>
        <w:t>房屋存在下列情形时，宜进行材料强度检测和结构承载能力验算：</w:t>
      </w:r>
    </w:p>
    <w:p>
      <w:pPr>
        <w:pStyle w:val="ListParagraph"/>
        <w:numPr>
          <w:ilvl w:val="3"/>
          <w:numId w:val="16"/>
        </w:numPr>
        <w:tabs>
          <w:tab w:val="left" w:pos="2021"/>
        </w:tabs>
        <w:spacing w:before="43" w:after="0" w:line="240" w:lineRule="auto"/>
        <w:ind w:left="2020" w:right="0" w:hanging="414"/>
        <w:jc w:val="left"/>
        <w:rPr>
          <w:sz w:val="21"/>
        </w:rPr>
      </w:pPr>
      <w:bookmarkStart w:id="122" w:name="a) 砌体承重墙或柱表面风化、剥落、砂浆粉化等，造成有效截面削弱；"/>
      <w:bookmarkEnd w:id="122"/>
      <w:r>
        <w:rPr>
          <w:spacing w:val="-3"/>
          <w:sz w:val="21"/>
        </w:rPr>
        <w:t>砌体承重墙或柱表面风化、剥落、砂浆粉化等，造成有效截面削弱；</w:t>
      </w:r>
    </w:p>
    <w:p>
      <w:pPr>
        <w:pStyle w:val="ListParagraph"/>
        <w:numPr>
          <w:ilvl w:val="3"/>
          <w:numId w:val="16"/>
        </w:numPr>
        <w:tabs>
          <w:tab w:val="left" w:pos="2021"/>
        </w:tabs>
        <w:spacing w:before="43" w:after="0" w:line="240" w:lineRule="auto"/>
        <w:ind w:left="2020" w:right="0" w:hanging="414"/>
        <w:jc w:val="left"/>
        <w:rPr>
          <w:sz w:val="21"/>
        </w:rPr>
      </w:pPr>
      <w:r>
        <w:drawing>
          <wp:anchor distT="0" distB="0" distL="0" distR="0" simplePos="0" relativeHeight="251684864" behindDoc="0" locked="0" layoutInCell="1" allowOverlap="1">
            <wp:simplePos x="0" y="0"/>
            <wp:positionH relativeFrom="page">
              <wp:posOffset>215900</wp:posOffset>
            </wp:positionH>
            <wp:positionV relativeFrom="paragraph">
              <wp:posOffset>82003</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23" w:name="b) 承重墙出现挠曲鼓闪等侧弯变形现象；"/>
      <w:bookmarkEnd w:id="123"/>
      <w:r>
        <w:rPr>
          <w:spacing w:val="-3"/>
          <w:sz w:val="21"/>
        </w:rPr>
        <w:t>承重墙出现挠曲鼓闪等侧弯变形现象；</w:t>
      </w:r>
    </w:p>
    <w:p>
      <w:pPr>
        <w:pStyle w:val="ListParagraph"/>
        <w:numPr>
          <w:ilvl w:val="3"/>
          <w:numId w:val="16"/>
        </w:numPr>
        <w:tabs>
          <w:tab w:val="left" w:pos="2021"/>
        </w:tabs>
        <w:spacing w:before="43" w:after="0" w:line="278" w:lineRule="auto"/>
        <w:ind w:left="2027" w:right="979" w:hanging="421"/>
        <w:jc w:val="left"/>
        <w:rPr>
          <w:sz w:val="21"/>
        </w:rPr>
      </w:pPr>
      <w:bookmarkStart w:id="124" w:name="c) 混凝土构件结构性裂缝、挠度超过设计规范限值、外观质量较差或表面有损伤；过梁"/>
      <w:bookmarkEnd w:id="124"/>
      <w:r>
        <w:rPr>
          <w:spacing w:val="-3"/>
          <w:sz w:val="21"/>
        </w:rPr>
        <w:t>混凝土构件结构性裂缝、挠度超过设计规范限值、外观质量较差或表面有损伤；过梁、悬挑</w:t>
      </w:r>
      <w:r>
        <w:rPr>
          <w:spacing w:val="-3"/>
          <w:sz w:val="21"/>
        </w:rPr>
        <w:t>构件有断裂、倾覆可能；</w:t>
      </w:r>
    </w:p>
    <w:p>
      <w:pPr>
        <w:pStyle w:val="ListParagraph"/>
        <w:numPr>
          <w:ilvl w:val="3"/>
          <w:numId w:val="16"/>
        </w:numPr>
        <w:tabs>
          <w:tab w:val="left" w:pos="2021"/>
        </w:tabs>
        <w:spacing w:before="0" w:after="0" w:line="269" w:lineRule="exact"/>
        <w:ind w:left="2020" w:right="0" w:hanging="414"/>
        <w:jc w:val="left"/>
        <w:rPr>
          <w:sz w:val="21"/>
        </w:rPr>
      </w:pPr>
      <w:bookmarkStart w:id="125" w:name="d) 承重结构遭受浸水、腐蚀、火灾等，可能导致材料强度下降；"/>
      <w:bookmarkEnd w:id="125"/>
      <w:r>
        <w:rPr>
          <w:spacing w:val="-3"/>
          <w:sz w:val="21"/>
        </w:rPr>
        <w:t>承重结构遭受浸水、腐蚀、火灾等，可能导致材料强度下降；</w:t>
      </w:r>
    </w:p>
    <w:p>
      <w:pPr>
        <w:pStyle w:val="ListParagraph"/>
        <w:numPr>
          <w:ilvl w:val="3"/>
          <w:numId w:val="16"/>
        </w:numPr>
        <w:tabs>
          <w:tab w:val="left" w:pos="2021"/>
        </w:tabs>
        <w:spacing w:before="43" w:after="0" w:line="240" w:lineRule="auto"/>
        <w:ind w:left="2020" w:right="0" w:hanging="414"/>
        <w:jc w:val="left"/>
        <w:rPr>
          <w:sz w:val="21"/>
        </w:rPr>
      </w:pPr>
      <w:bookmarkStart w:id="126" w:name="e) 房屋使用年限较长，对材料强度有怀疑；"/>
      <w:bookmarkEnd w:id="126"/>
      <w:r>
        <w:rPr>
          <w:spacing w:val="-3"/>
          <w:sz w:val="21"/>
        </w:rPr>
        <w:t>房屋使用年限较长，对材料强度有怀疑；</w:t>
      </w:r>
    </w:p>
    <w:p>
      <w:pPr>
        <w:pStyle w:val="ListParagraph"/>
        <w:numPr>
          <w:ilvl w:val="3"/>
          <w:numId w:val="16"/>
        </w:numPr>
        <w:tabs>
          <w:tab w:val="left" w:pos="2021"/>
        </w:tabs>
        <w:spacing w:before="42" w:after="0" w:line="240" w:lineRule="auto"/>
        <w:ind w:left="2020" w:right="0" w:hanging="414"/>
        <w:jc w:val="left"/>
        <w:rPr>
          <w:sz w:val="21"/>
        </w:rPr>
      </w:pPr>
      <w:bookmarkStart w:id="127" w:name="f) 结构连接构造或施工工艺明显不符合规范要求；"/>
      <w:bookmarkEnd w:id="127"/>
      <w:r>
        <w:rPr>
          <w:spacing w:val="-3"/>
          <w:sz w:val="21"/>
        </w:rPr>
        <w:t>结构连接构造或施工工艺明显不符合规范要求；</w:t>
      </w:r>
    </w:p>
    <w:p>
      <w:pPr>
        <w:pStyle w:val="ListParagraph"/>
        <w:numPr>
          <w:ilvl w:val="3"/>
          <w:numId w:val="16"/>
        </w:numPr>
        <w:tabs>
          <w:tab w:val="left" w:pos="2021"/>
        </w:tabs>
        <w:spacing w:before="43" w:after="0" w:line="278" w:lineRule="auto"/>
        <w:ind w:left="2027" w:right="978" w:hanging="421"/>
        <w:jc w:val="left"/>
        <w:rPr>
          <w:sz w:val="21"/>
        </w:rPr>
      </w:pPr>
      <w:bookmarkStart w:id="128" w:name="g) 对大跨度梁、预制板、屋架和底部框架抗震墙结构，当连接构造不符合要求或出现倾"/>
      <w:bookmarkEnd w:id="128"/>
      <w:r>
        <w:rPr>
          <w:spacing w:val="-3"/>
          <w:sz w:val="21"/>
        </w:rPr>
        <w:t>对大跨度梁、预制板、屋架和底部框架抗震墙结构，当连接构造不符合要求或出现倾斜、开</w:t>
      </w:r>
      <w:r>
        <w:rPr>
          <w:spacing w:val="-3"/>
          <w:sz w:val="21"/>
        </w:rPr>
        <w:t>裂等损坏时。</w:t>
      </w:r>
    </w:p>
    <w:p>
      <w:pPr>
        <w:pStyle w:val="ListParagraph"/>
        <w:numPr>
          <w:ilvl w:val="2"/>
          <w:numId w:val="16"/>
        </w:numPr>
        <w:tabs>
          <w:tab w:val="left" w:pos="2020"/>
          <w:tab w:val="left" w:pos="2021"/>
        </w:tabs>
        <w:spacing w:before="0" w:after="0" w:line="269" w:lineRule="exact"/>
        <w:ind w:left="2020" w:right="0" w:hanging="841"/>
        <w:jc w:val="left"/>
        <w:rPr>
          <w:sz w:val="21"/>
        </w:rPr>
      </w:pPr>
      <w:bookmarkStart w:id="129" w:name="6.4.5 房屋存在下列情形时，应进行材料强度检测和结构承载能力验算："/>
      <w:bookmarkEnd w:id="129"/>
      <w:r>
        <w:rPr>
          <w:spacing w:val="-3"/>
          <w:sz w:val="21"/>
        </w:rPr>
        <w:t>房屋存在下列情形时，应进行材料强度检测和结构承载能力验算：</w:t>
      </w:r>
    </w:p>
    <w:p>
      <w:pPr>
        <w:pStyle w:val="ListParagraph"/>
        <w:numPr>
          <w:ilvl w:val="3"/>
          <w:numId w:val="16"/>
        </w:numPr>
        <w:tabs>
          <w:tab w:val="left" w:pos="2021"/>
        </w:tabs>
        <w:spacing w:before="43" w:after="0" w:line="240" w:lineRule="auto"/>
        <w:ind w:left="2020" w:right="0" w:hanging="414"/>
        <w:jc w:val="left"/>
        <w:rPr>
          <w:sz w:val="21"/>
        </w:rPr>
      </w:pPr>
      <w:bookmarkStart w:id="130" w:name="a) 超过设计标准增大荷载；"/>
      <w:bookmarkEnd w:id="130"/>
      <w:r>
        <w:rPr>
          <w:spacing w:val="-3"/>
          <w:sz w:val="21"/>
        </w:rPr>
        <w:t>超过设计标准增大荷载；</w:t>
      </w:r>
    </w:p>
    <w:p>
      <w:pPr>
        <w:pStyle w:val="ListParagraph"/>
        <w:numPr>
          <w:ilvl w:val="3"/>
          <w:numId w:val="16"/>
        </w:numPr>
        <w:tabs>
          <w:tab w:val="left" w:pos="2021"/>
        </w:tabs>
        <w:spacing w:before="43" w:after="0" w:line="240" w:lineRule="auto"/>
        <w:ind w:left="2020" w:right="0" w:hanging="414"/>
        <w:jc w:val="left"/>
        <w:rPr>
          <w:sz w:val="21"/>
        </w:rPr>
      </w:pPr>
      <w:bookmarkStart w:id="131" w:name="b) 加层或者室内增设夹层；"/>
      <w:bookmarkEnd w:id="131"/>
      <w:r>
        <w:rPr>
          <w:spacing w:val="-3"/>
          <w:sz w:val="21"/>
        </w:rPr>
        <w:t>加层或者室内增设夹层；</w:t>
      </w:r>
    </w:p>
    <w:p>
      <w:pPr>
        <w:pStyle w:val="ListParagraph"/>
        <w:numPr>
          <w:ilvl w:val="3"/>
          <w:numId w:val="16"/>
        </w:numPr>
        <w:tabs>
          <w:tab w:val="left" w:pos="2021"/>
        </w:tabs>
        <w:spacing w:before="43" w:after="0" w:line="240" w:lineRule="auto"/>
        <w:ind w:left="2020" w:right="0" w:hanging="414"/>
        <w:jc w:val="left"/>
        <w:rPr>
          <w:sz w:val="21"/>
        </w:rPr>
      </w:pPr>
      <w:bookmarkStart w:id="132" w:name="c) 未经有相应资质等级的单位进行设计和施工，擅自拆改或损伤承重结构；"/>
      <w:bookmarkEnd w:id="132"/>
      <w:r>
        <w:rPr>
          <w:spacing w:val="-3"/>
          <w:sz w:val="21"/>
        </w:rPr>
        <w:t>未经有相应资质等级的单位进行设计和施工，擅自拆改或损伤承重结构；</w:t>
      </w:r>
    </w:p>
    <w:p>
      <w:pPr>
        <w:pStyle w:val="ListParagraph"/>
        <w:numPr>
          <w:ilvl w:val="3"/>
          <w:numId w:val="16"/>
        </w:numPr>
        <w:tabs>
          <w:tab w:val="left" w:pos="2022"/>
        </w:tabs>
        <w:spacing w:before="43" w:after="0" w:line="240" w:lineRule="auto"/>
        <w:ind w:left="2021" w:right="0" w:hanging="414"/>
        <w:jc w:val="left"/>
        <w:rPr>
          <w:sz w:val="21"/>
        </w:rPr>
      </w:pPr>
      <w:bookmarkStart w:id="133" w:name="d) 其他认为有必要的情况。"/>
      <w:bookmarkEnd w:id="133"/>
      <w:r>
        <w:rPr>
          <w:spacing w:val="-3"/>
          <w:sz w:val="21"/>
        </w:rPr>
        <w:t>其他认为有必要的情况。</w:t>
      </w:r>
    </w:p>
    <w:p>
      <w:pPr>
        <w:pStyle w:val="ListParagraph"/>
        <w:numPr>
          <w:ilvl w:val="2"/>
          <w:numId w:val="16"/>
        </w:numPr>
        <w:tabs>
          <w:tab w:val="left" w:pos="2021"/>
          <w:tab w:val="left" w:pos="2022"/>
        </w:tabs>
        <w:spacing w:before="43" w:after="0" w:line="278" w:lineRule="auto"/>
        <w:ind w:left="1181" w:right="979" w:firstLine="0"/>
        <w:jc w:val="left"/>
        <w:rPr>
          <w:sz w:val="21"/>
        </w:rPr>
      </w:pPr>
      <w:bookmarkStart w:id="134" w:name="6.4.6 当结构构件的破坏特征达到本规程第8章规定的危险点时，直接评定该构件为"/>
      <w:bookmarkEnd w:id="134"/>
      <w:r>
        <w:rPr>
          <w:spacing w:val="-5"/>
          <w:sz w:val="21"/>
        </w:rPr>
        <w:t xml:space="preserve">当结构构件的破坏特征达到本规程第 </w:t>
      </w:r>
      <w:r>
        <w:rPr>
          <w:sz w:val="21"/>
        </w:rPr>
        <w:t>8</w:t>
      </w:r>
      <w:r>
        <w:rPr>
          <w:spacing w:val="-7"/>
          <w:sz w:val="21"/>
        </w:rPr>
        <w:t xml:space="preserve"> 章规定的危险点时，直接评定该构件为危险构件，可</w:t>
      </w:r>
      <w:r>
        <w:rPr>
          <w:spacing w:val="-3"/>
          <w:sz w:val="21"/>
        </w:rPr>
        <w:t>不对该构件进行承载力验算。</w:t>
      </w:r>
    </w:p>
    <w:p>
      <w:pPr>
        <w:pStyle w:val="ListParagraph"/>
        <w:numPr>
          <w:ilvl w:val="2"/>
          <w:numId w:val="16"/>
        </w:numPr>
        <w:tabs>
          <w:tab w:val="left" w:pos="2021"/>
          <w:tab w:val="left" w:pos="2022"/>
        </w:tabs>
        <w:spacing w:before="0" w:after="0" w:line="278" w:lineRule="auto"/>
        <w:ind w:left="1181" w:right="978" w:hanging="1"/>
        <w:jc w:val="left"/>
        <w:rPr>
          <w:sz w:val="21"/>
        </w:rPr>
      </w:pPr>
      <w:bookmarkStart w:id="135" w:name="6.4.7 对房屋进行局部安全鉴定时，单个构件或部分构件的检测结论不宜扩大到未检"/>
      <w:bookmarkEnd w:id="135"/>
      <w:r>
        <w:rPr>
          <w:spacing w:val="-3"/>
          <w:sz w:val="21"/>
        </w:rPr>
        <w:t>对房屋进行局部安全鉴定时，单个构件或部分构件的检测结论不宜扩大到未检测的构件或范</w:t>
      </w:r>
      <w:r>
        <w:rPr>
          <w:spacing w:val="-3"/>
          <w:sz w:val="21"/>
        </w:rPr>
        <w:t>围。</w:t>
      </w:r>
    </w:p>
    <w:p>
      <w:pPr>
        <w:pStyle w:val="ListParagraph"/>
        <w:numPr>
          <w:ilvl w:val="1"/>
          <w:numId w:val="16"/>
        </w:numPr>
        <w:tabs>
          <w:tab w:val="left" w:pos="1707"/>
        </w:tabs>
        <w:spacing w:before="155" w:after="0" w:line="240" w:lineRule="auto"/>
        <w:ind w:left="1706" w:right="0" w:hanging="526"/>
        <w:jc w:val="left"/>
        <w:rPr>
          <w:rFonts w:ascii="黑体" w:eastAsia="黑体" w:hint="eastAsia"/>
          <w:sz w:val="21"/>
        </w:rPr>
      </w:pPr>
      <w:bookmarkStart w:id="136" w:name="6.5　 鉴定评级"/>
      <w:bookmarkEnd w:id="136"/>
      <w:r>
        <w:rPr>
          <w:rFonts w:ascii="黑体" w:eastAsia="黑体" w:hint="eastAsia"/>
          <w:spacing w:val="-1"/>
          <w:sz w:val="21"/>
        </w:rPr>
        <w:t>鉴定评级</w:t>
      </w:r>
    </w:p>
    <w:p>
      <w:pPr>
        <w:pStyle w:val="BodyText"/>
        <w:spacing w:before="7"/>
        <w:rPr>
          <w:rFonts w:ascii="黑体"/>
          <w:sz w:val="15"/>
        </w:rPr>
      </w:pPr>
    </w:p>
    <w:p>
      <w:pPr>
        <w:pStyle w:val="ListParagraph"/>
        <w:numPr>
          <w:ilvl w:val="2"/>
          <w:numId w:val="16"/>
        </w:numPr>
        <w:tabs>
          <w:tab w:val="left" w:pos="2021"/>
          <w:tab w:val="left" w:pos="2022"/>
        </w:tabs>
        <w:spacing w:before="0" w:after="0" w:line="240" w:lineRule="auto"/>
        <w:ind w:left="2021" w:right="0" w:hanging="841"/>
        <w:jc w:val="left"/>
        <w:rPr>
          <w:sz w:val="21"/>
        </w:rPr>
      </w:pPr>
      <w:bookmarkStart w:id="137" w:name="6.5.1 整幢房屋安全鉴定应按照本规程第9章的规定，划分为A级、B级、C级、D"/>
      <w:bookmarkEnd w:id="137"/>
      <w:r>
        <w:rPr>
          <w:spacing w:val="-7"/>
          <w:sz w:val="21"/>
        </w:rPr>
        <w:t xml:space="preserve">整幢房屋安全鉴定应按照本规程第 </w:t>
      </w:r>
      <w:r>
        <w:rPr>
          <w:sz w:val="21"/>
        </w:rPr>
        <w:t>9</w:t>
      </w:r>
      <w:r>
        <w:rPr>
          <w:spacing w:val="-13"/>
          <w:sz w:val="21"/>
        </w:rPr>
        <w:t xml:space="preserve"> 章的规定，划分为 </w:t>
      </w:r>
      <w:r>
        <w:rPr>
          <w:sz w:val="21"/>
        </w:rPr>
        <w:t>A</w:t>
      </w:r>
      <w:r>
        <w:rPr>
          <w:spacing w:val="-19"/>
          <w:sz w:val="21"/>
        </w:rPr>
        <w:t xml:space="preserve"> 级、</w:t>
      </w:r>
      <w:r>
        <w:rPr>
          <w:sz w:val="21"/>
        </w:rPr>
        <w:t>B</w:t>
      </w:r>
      <w:r>
        <w:rPr>
          <w:spacing w:val="-19"/>
          <w:sz w:val="21"/>
        </w:rPr>
        <w:t xml:space="preserve"> 级、</w:t>
      </w:r>
      <w:r>
        <w:rPr>
          <w:sz w:val="21"/>
        </w:rPr>
        <w:t>C</w:t>
      </w:r>
      <w:r>
        <w:rPr>
          <w:spacing w:val="-19"/>
          <w:sz w:val="21"/>
        </w:rPr>
        <w:t xml:space="preserve"> 级、</w:t>
      </w:r>
      <w:r>
        <w:rPr>
          <w:sz w:val="21"/>
        </w:rPr>
        <w:t>D</w:t>
      </w:r>
      <w:r>
        <w:rPr>
          <w:spacing w:val="-18"/>
          <w:sz w:val="21"/>
        </w:rPr>
        <w:t xml:space="preserve"> 级。</w:t>
      </w:r>
    </w:p>
    <w:p>
      <w:pPr>
        <w:pStyle w:val="ListParagraph"/>
        <w:numPr>
          <w:ilvl w:val="2"/>
          <w:numId w:val="16"/>
        </w:numPr>
        <w:tabs>
          <w:tab w:val="left" w:pos="2022"/>
          <w:tab w:val="left" w:pos="2023"/>
        </w:tabs>
        <w:spacing w:before="43" w:after="0" w:line="278" w:lineRule="auto"/>
        <w:ind w:left="1182" w:right="977" w:hanging="1"/>
        <w:jc w:val="left"/>
        <w:rPr>
          <w:sz w:val="21"/>
        </w:rPr>
      </w:pPr>
      <w:bookmarkStart w:id="138" w:name="6.5.2 局部房屋安全鉴定仅对被鉴定范围出具鉴定结论，明确鉴定范围内的结构构件"/>
      <w:bookmarkEnd w:id="138"/>
      <w:r>
        <w:rPr>
          <w:spacing w:val="-3"/>
          <w:sz w:val="21"/>
        </w:rPr>
        <w:t>局部房屋安全鉴定仅对被鉴定范围出具鉴定结论，明确鉴定范围内的结构构件安全状况，不</w:t>
      </w:r>
      <w:r>
        <w:rPr>
          <w:spacing w:val="-3"/>
          <w:sz w:val="21"/>
        </w:rPr>
        <w:t>对整幢房屋的危险性评定等级。</w:t>
      </w:r>
    </w:p>
    <w:p>
      <w:pPr>
        <w:pStyle w:val="BodyText"/>
        <w:spacing w:before="4"/>
        <w:rPr>
          <w:sz w:val="12"/>
        </w:rPr>
      </w:pPr>
    </w:p>
    <w:p>
      <w:pPr>
        <w:spacing w:before="92"/>
        <w:ind w:left="1178" w:right="0" w:firstLine="0"/>
        <w:jc w:val="left"/>
        <w:rPr>
          <w:rFonts w:ascii="Times New Roman"/>
          <w:sz w:val="18"/>
        </w:rPr>
      </w:pPr>
      <w:r>
        <w:rPr>
          <w:rFonts w:ascii="Times New Roman"/>
          <w:sz w:val="18"/>
        </w:rPr>
        <w:t>8</w:t>
      </w:r>
    </w:p>
    <w:p>
      <w:pPr>
        <w:spacing w:after="0"/>
        <w:jc w:val="left"/>
        <w:rPr>
          <w:rFonts w:ascii="Times New Roman"/>
          <w:sz w:val="18"/>
        </w:rPr>
        <w:sectPr>
          <w:headerReference w:type="even" r:id="rId28"/>
          <w:headerReference w:type="default" r:id="rId29"/>
          <w:pgSz w:w="11910" w:h="16840"/>
          <w:pgMar w:top="1640" w:right="260" w:bottom="280" w:left="240" w:header="1448" w:footer="0"/>
          <w:pgNumType w:start="15"/>
          <w:cols w:space="708"/>
        </w:sectPr>
      </w:pPr>
    </w:p>
    <w:p>
      <w:pPr>
        <w:pStyle w:val="BodyText"/>
        <w:spacing w:before="61"/>
        <w:ind w:right="870"/>
        <w:jc w:val="right"/>
        <w:rPr>
          <w:rFonts w:ascii="黑体" w:hAnsi="黑体"/>
        </w:rPr>
      </w:pPr>
      <w:r>
        <w:pict>
          <v:group id="_x0000_s1130" style="width:595.5pt;height:842.15pt;margin-top:-0.09pt;margin-left:-0.09pt;mso-position-horizontal-relative:page;mso-position-vertical-relative:page;position:absolute;z-index:-251630592" coordorigin="-2,-2" coordsize="11910,16843">
            <v:shape id="_x0000_s1131" type="#_x0000_t75" style="width:6067;height:8051;left:2650;position:absolute;top:4649" stroked="f">
              <v:imagedata r:id="rId13" o:title=""/>
            </v:shape>
            <v:rect id="_x0000_s1132" style="width:11906;height:16838;position:absolute" filled="f" stroked="t" strokecolor="#231916" strokeweight="0.22pt">
              <v:stroke dashstyle="solid"/>
            </v:rect>
            <v:shape id="_x0000_s1133" type="#_x0000_t75" style="width:11200;height:7680;left:340;position:absolute;top:8258" stroked="f">
              <v:imagedata r:id="rId4" o:title=""/>
            </v:shape>
          </v:group>
        </w:pict>
      </w:r>
      <w:r>
        <w:rPr>
          <w:rFonts w:ascii="黑体" w:hAnsi="黑体"/>
        </w:rPr>
        <w:t>DB4201/T 537—2018</w:t>
      </w:r>
    </w:p>
    <w:p>
      <w:pPr>
        <w:pStyle w:val="BodyText"/>
        <w:spacing w:before="6"/>
        <w:rPr>
          <w:rFonts w:ascii="黑体"/>
          <w:sz w:val="13"/>
        </w:rPr>
      </w:pPr>
    </w:p>
    <w:p>
      <w:pPr>
        <w:pStyle w:val="ListParagraph"/>
        <w:numPr>
          <w:ilvl w:val="2"/>
          <w:numId w:val="20"/>
        </w:numPr>
        <w:tabs>
          <w:tab w:val="left" w:pos="2019"/>
        </w:tabs>
        <w:spacing w:before="72" w:after="0" w:line="278" w:lineRule="auto"/>
        <w:ind w:left="1178" w:right="981" w:hanging="1"/>
        <w:jc w:val="both"/>
        <w:rPr>
          <w:sz w:val="21"/>
        </w:rPr>
      </w:pPr>
      <w:bookmarkStart w:id="139" w:name="6.5.3 经鉴定属于A级的，应按照《房屋完损等级评定标准》评定为完好房、基本完"/>
      <w:bookmarkEnd w:id="139"/>
      <w:r>
        <w:rPr>
          <w:spacing w:val="-8"/>
          <w:sz w:val="21"/>
        </w:rPr>
        <w:t xml:space="preserve">经鉴定属于 </w:t>
      </w:r>
      <w:r>
        <w:rPr>
          <w:sz w:val="21"/>
        </w:rPr>
        <w:t>A</w:t>
      </w:r>
      <w:r>
        <w:rPr>
          <w:spacing w:val="-7"/>
          <w:sz w:val="21"/>
        </w:rPr>
        <w:t xml:space="preserve"> 级的，应按照《房屋完损等级评定标准》评定为完好房、基本完好房、一般损</w:t>
      </w:r>
      <w:r>
        <w:rPr>
          <w:spacing w:val="-5"/>
          <w:sz w:val="21"/>
        </w:rPr>
        <w:t>坏房和严重损坏房，并在《房屋安全鉴定书》</w:t>
      </w:r>
      <w:r>
        <w:rPr>
          <w:sz w:val="21"/>
        </w:rPr>
        <w:t>（</w:t>
      </w:r>
      <w:r>
        <w:rPr>
          <w:spacing w:val="-10"/>
          <w:sz w:val="21"/>
        </w:rPr>
        <w:t xml:space="preserve">见附录 </w:t>
      </w:r>
      <w:r>
        <w:rPr>
          <w:sz w:val="21"/>
        </w:rPr>
        <w:t>B）</w:t>
      </w:r>
      <w:r>
        <w:rPr>
          <w:spacing w:val="-3"/>
          <w:sz w:val="21"/>
        </w:rPr>
        <w:t>上注明该房屋在正常使用条件下鉴定结论的有效时限，一般不超过一年。</w:t>
      </w:r>
    </w:p>
    <w:p>
      <w:pPr>
        <w:pStyle w:val="ListParagraph"/>
        <w:numPr>
          <w:ilvl w:val="2"/>
          <w:numId w:val="20"/>
        </w:numPr>
        <w:tabs>
          <w:tab w:val="left" w:pos="2019"/>
        </w:tabs>
        <w:spacing w:before="0" w:after="0" w:line="269" w:lineRule="exact"/>
        <w:ind w:left="2018" w:right="0" w:hanging="841"/>
        <w:jc w:val="both"/>
        <w:rPr>
          <w:sz w:val="21"/>
        </w:rPr>
      </w:pPr>
      <w:bookmarkStart w:id="140" w:name="6.5.4 在对被鉴定房屋提出处理建议时，应结合周边环境、经济条件等各类因素综合"/>
      <w:bookmarkEnd w:id="140"/>
      <w:r>
        <w:rPr>
          <w:spacing w:val="-3"/>
          <w:sz w:val="21"/>
        </w:rPr>
        <w:t>在对被鉴定房屋提出处理建议时，应结合周边环境、经济条件等各类因素综合考虑。</w:t>
      </w:r>
    </w:p>
    <w:p>
      <w:pPr>
        <w:pStyle w:val="ListParagraph"/>
        <w:numPr>
          <w:ilvl w:val="2"/>
          <w:numId w:val="20"/>
        </w:numPr>
        <w:tabs>
          <w:tab w:val="left" w:pos="2020"/>
        </w:tabs>
        <w:spacing w:before="43" w:after="0" w:line="240" w:lineRule="auto"/>
        <w:ind w:left="2019" w:right="0" w:hanging="841"/>
        <w:jc w:val="both"/>
        <w:rPr>
          <w:sz w:val="21"/>
        </w:rPr>
      </w:pPr>
      <w:bookmarkStart w:id="141" w:name="6.5.5 经鉴定属于A级的，可根据完损等级，提出以下处理意见："/>
      <w:bookmarkEnd w:id="141"/>
      <w:r>
        <w:rPr>
          <w:spacing w:val="-11"/>
          <w:sz w:val="21"/>
        </w:rPr>
        <w:t xml:space="preserve">经鉴定属于 </w:t>
      </w:r>
      <w:r>
        <w:rPr>
          <w:sz w:val="21"/>
        </w:rPr>
        <w:t>A</w:t>
      </w:r>
      <w:r>
        <w:rPr>
          <w:spacing w:val="-9"/>
          <w:sz w:val="21"/>
        </w:rPr>
        <w:t xml:space="preserve"> 级的，可根据完损等级，提出以下处理意见：</w:t>
      </w:r>
    </w:p>
    <w:p>
      <w:pPr>
        <w:pStyle w:val="ListParagraph"/>
        <w:numPr>
          <w:ilvl w:val="3"/>
          <w:numId w:val="20"/>
        </w:numPr>
        <w:tabs>
          <w:tab w:val="left" w:pos="2020"/>
        </w:tabs>
        <w:spacing w:before="43" w:after="0" w:line="240" w:lineRule="auto"/>
        <w:ind w:left="2019" w:right="0" w:hanging="414"/>
        <w:jc w:val="left"/>
        <w:rPr>
          <w:sz w:val="21"/>
        </w:rPr>
      </w:pPr>
      <w:bookmarkStart w:id="142" w:name="a) 完好房：正常使用；"/>
      <w:bookmarkEnd w:id="142"/>
      <w:r>
        <w:rPr>
          <w:spacing w:val="-3"/>
          <w:sz w:val="21"/>
        </w:rPr>
        <w:t>完好房：正常使用；</w:t>
      </w:r>
    </w:p>
    <w:p>
      <w:pPr>
        <w:pStyle w:val="ListParagraph"/>
        <w:numPr>
          <w:ilvl w:val="3"/>
          <w:numId w:val="20"/>
        </w:numPr>
        <w:tabs>
          <w:tab w:val="left" w:pos="2020"/>
        </w:tabs>
        <w:spacing w:before="43" w:after="0" w:line="240" w:lineRule="auto"/>
        <w:ind w:left="2019" w:right="0" w:hanging="414"/>
        <w:jc w:val="left"/>
        <w:rPr>
          <w:sz w:val="21"/>
        </w:rPr>
      </w:pPr>
      <w:bookmarkStart w:id="143" w:name="b) 基本完好房：正常使用并加强日常检查和维护；"/>
      <w:bookmarkEnd w:id="143"/>
      <w:r>
        <w:rPr>
          <w:spacing w:val="-3"/>
          <w:sz w:val="21"/>
        </w:rPr>
        <w:t>基本完好房：正常使用并加强日常检查和维护；</w:t>
      </w:r>
    </w:p>
    <w:p>
      <w:pPr>
        <w:pStyle w:val="ListParagraph"/>
        <w:numPr>
          <w:ilvl w:val="3"/>
          <w:numId w:val="20"/>
        </w:numPr>
        <w:tabs>
          <w:tab w:val="left" w:pos="2020"/>
        </w:tabs>
        <w:spacing w:before="42" w:after="0" w:line="240" w:lineRule="auto"/>
        <w:ind w:left="2019" w:right="0" w:hanging="414"/>
        <w:jc w:val="left"/>
        <w:rPr>
          <w:sz w:val="21"/>
        </w:rPr>
      </w:pPr>
      <w:bookmarkStart w:id="144" w:name="c) 一般损坏房和严重损坏房：对损坏部位进行维修、加固或更换。"/>
      <w:bookmarkEnd w:id="144"/>
      <w:r>
        <w:rPr>
          <w:spacing w:val="-3"/>
          <w:sz w:val="21"/>
        </w:rPr>
        <w:t>一般损坏房和严重损坏房：对损坏部位进行维修、加固或更换。</w:t>
      </w:r>
    </w:p>
    <w:p>
      <w:pPr>
        <w:pStyle w:val="ListParagraph"/>
        <w:numPr>
          <w:ilvl w:val="2"/>
          <w:numId w:val="20"/>
        </w:numPr>
        <w:tabs>
          <w:tab w:val="left" w:pos="2019"/>
          <w:tab w:val="left" w:pos="2020"/>
        </w:tabs>
        <w:spacing w:before="43" w:after="0" w:line="240" w:lineRule="auto"/>
        <w:ind w:left="2019" w:right="0" w:hanging="841"/>
        <w:jc w:val="left"/>
        <w:rPr>
          <w:sz w:val="21"/>
        </w:rPr>
      </w:pPr>
      <w:bookmarkStart w:id="145" w:name="6.5.6 经鉴定属于B级危险房屋的，可根据危险构件的破损程度和具体情况，提出以"/>
      <w:bookmarkEnd w:id="145"/>
      <w:r>
        <w:rPr>
          <w:spacing w:val="-11"/>
          <w:sz w:val="21"/>
        </w:rPr>
        <w:t xml:space="preserve">经鉴定属于 </w:t>
      </w:r>
      <w:r>
        <w:rPr>
          <w:sz w:val="21"/>
        </w:rPr>
        <w:t>B</w:t>
      </w:r>
      <w:r>
        <w:rPr>
          <w:spacing w:val="-9"/>
          <w:sz w:val="21"/>
        </w:rPr>
        <w:t xml:space="preserve"> 级危险房屋的，可根据危险构件的破损程度和具体情况，提出以下处理意见：</w:t>
      </w:r>
    </w:p>
    <w:p>
      <w:pPr>
        <w:pStyle w:val="ListParagraph"/>
        <w:numPr>
          <w:ilvl w:val="3"/>
          <w:numId w:val="20"/>
        </w:numPr>
        <w:tabs>
          <w:tab w:val="left" w:pos="2020"/>
        </w:tabs>
        <w:spacing w:before="43" w:after="0" w:line="240" w:lineRule="auto"/>
        <w:ind w:left="2019" w:right="0" w:hanging="414"/>
        <w:jc w:val="left"/>
        <w:rPr>
          <w:sz w:val="21"/>
        </w:rPr>
      </w:pPr>
      <w:bookmarkStart w:id="146" w:name="a) 减少使用荷载；"/>
      <w:bookmarkEnd w:id="146"/>
      <w:r>
        <w:rPr>
          <w:spacing w:val="-2"/>
          <w:sz w:val="21"/>
        </w:rPr>
        <w:t>减少使用荷载；</w:t>
      </w:r>
    </w:p>
    <w:p>
      <w:pPr>
        <w:pStyle w:val="ListParagraph"/>
        <w:numPr>
          <w:ilvl w:val="3"/>
          <w:numId w:val="20"/>
        </w:numPr>
        <w:tabs>
          <w:tab w:val="left" w:pos="2020"/>
        </w:tabs>
        <w:spacing w:before="43" w:after="0" w:line="240" w:lineRule="auto"/>
        <w:ind w:left="2019" w:right="0" w:hanging="414"/>
        <w:jc w:val="left"/>
        <w:rPr>
          <w:sz w:val="21"/>
        </w:rPr>
      </w:pPr>
      <w:bookmarkStart w:id="147" w:name="b) 加固、更换或拆除危险构件；"/>
      <w:bookmarkEnd w:id="147"/>
      <w:r>
        <w:rPr>
          <w:spacing w:val="-3"/>
          <w:sz w:val="21"/>
        </w:rPr>
        <w:t>加固、更换或拆除危险构件；</w:t>
      </w:r>
    </w:p>
    <w:p>
      <w:pPr>
        <w:pStyle w:val="ListParagraph"/>
        <w:numPr>
          <w:ilvl w:val="3"/>
          <w:numId w:val="20"/>
        </w:numPr>
        <w:tabs>
          <w:tab w:val="left" w:pos="2021"/>
        </w:tabs>
        <w:spacing w:before="43" w:after="0" w:line="240" w:lineRule="auto"/>
        <w:ind w:left="2020" w:right="0" w:hanging="414"/>
        <w:jc w:val="left"/>
        <w:rPr>
          <w:sz w:val="21"/>
        </w:rPr>
      </w:pPr>
      <w:bookmarkStart w:id="148" w:name="c) 针对危险构件，采取适当安全技术措施后观察使用；"/>
      <w:bookmarkEnd w:id="148"/>
      <w:r>
        <w:rPr>
          <w:spacing w:val="-3"/>
          <w:sz w:val="21"/>
        </w:rPr>
        <w:t>针对危险构件，采取适当安全技术措施后观察使用；</w:t>
      </w:r>
    </w:p>
    <w:p>
      <w:pPr>
        <w:pStyle w:val="ListParagraph"/>
        <w:numPr>
          <w:ilvl w:val="3"/>
          <w:numId w:val="20"/>
        </w:numPr>
        <w:tabs>
          <w:tab w:val="left" w:pos="2021"/>
        </w:tabs>
        <w:spacing w:before="43" w:after="0" w:line="240" w:lineRule="auto"/>
        <w:ind w:left="2020" w:right="0" w:hanging="414"/>
        <w:jc w:val="left"/>
        <w:rPr>
          <w:sz w:val="21"/>
        </w:rPr>
      </w:pPr>
      <w:bookmarkStart w:id="149" w:name="d) 局部停止使用（注明停止使用的区域范围）；"/>
      <w:bookmarkEnd w:id="149"/>
      <w:r>
        <w:rPr>
          <w:spacing w:val="-2"/>
          <w:sz w:val="21"/>
        </w:rPr>
        <w:t>局部停止使用</w:t>
      </w:r>
      <w:r>
        <w:rPr>
          <w:spacing w:val="-3"/>
          <w:sz w:val="21"/>
        </w:rPr>
        <w:t>（注明停止使用的区域范围</w:t>
      </w:r>
      <w:r>
        <w:rPr>
          <w:sz w:val="21"/>
        </w:rPr>
        <w:t>）；</w:t>
      </w:r>
    </w:p>
    <w:p>
      <w:pPr>
        <w:pStyle w:val="ListParagraph"/>
        <w:numPr>
          <w:ilvl w:val="3"/>
          <w:numId w:val="20"/>
        </w:numPr>
        <w:tabs>
          <w:tab w:val="left" w:pos="2021"/>
        </w:tabs>
        <w:spacing w:before="43" w:after="0" w:line="240" w:lineRule="auto"/>
        <w:ind w:left="2020" w:right="0" w:hanging="414"/>
        <w:jc w:val="left"/>
        <w:rPr>
          <w:sz w:val="21"/>
        </w:rPr>
      </w:pPr>
      <w:bookmarkStart w:id="150" w:name="e) 其他（自行填写）。"/>
      <w:bookmarkEnd w:id="150"/>
      <w:r>
        <w:rPr>
          <w:sz w:val="21"/>
        </w:rPr>
        <w:t>其他</w:t>
      </w:r>
      <w:r>
        <w:rPr>
          <w:spacing w:val="-3"/>
          <w:sz w:val="21"/>
        </w:rPr>
        <w:t>（自行填写</w:t>
      </w:r>
      <w:r>
        <w:rPr>
          <w:sz w:val="21"/>
        </w:rPr>
        <w:t>）。</w:t>
      </w:r>
    </w:p>
    <w:p>
      <w:pPr>
        <w:pStyle w:val="ListParagraph"/>
        <w:numPr>
          <w:ilvl w:val="2"/>
          <w:numId w:val="20"/>
        </w:numPr>
        <w:tabs>
          <w:tab w:val="left" w:pos="2020"/>
          <w:tab w:val="left" w:pos="2021"/>
        </w:tabs>
        <w:spacing w:before="43" w:after="0" w:line="240" w:lineRule="auto"/>
        <w:ind w:left="2020" w:right="0" w:hanging="841"/>
        <w:jc w:val="left"/>
        <w:rPr>
          <w:sz w:val="21"/>
        </w:rPr>
      </w:pPr>
      <w:bookmarkStart w:id="151" w:name="6.5.7 经鉴定属于C级、D级危险房屋的，可提出以下处理意见："/>
      <w:bookmarkEnd w:id="151"/>
      <w:r>
        <w:rPr>
          <w:spacing w:val="-11"/>
          <w:sz w:val="21"/>
        </w:rPr>
        <w:t xml:space="preserve">经鉴定属于 </w:t>
      </w:r>
      <w:r>
        <w:rPr>
          <w:sz w:val="21"/>
        </w:rPr>
        <w:t>C</w:t>
      </w:r>
      <w:r>
        <w:rPr>
          <w:spacing w:val="-19"/>
          <w:sz w:val="21"/>
        </w:rPr>
        <w:t xml:space="preserve"> 级、</w:t>
      </w:r>
      <w:r>
        <w:rPr>
          <w:sz w:val="21"/>
        </w:rPr>
        <w:t>D</w:t>
      </w:r>
      <w:r>
        <w:rPr>
          <w:spacing w:val="-9"/>
          <w:sz w:val="21"/>
        </w:rPr>
        <w:t xml:space="preserve"> 级危险房屋的，可提出以下处理意见：</w:t>
      </w:r>
    </w:p>
    <w:p>
      <w:pPr>
        <w:pStyle w:val="ListParagraph"/>
        <w:numPr>
          <w:ilvl w:val="3"/>
          <w:numId w:val="20"/>
        </w:numPr>
        <w:tabs>
          <w:tab w:val="left" w:pos="2021"/>
        </w:tabs>
        <w:spacing w:before="42" w:after="0" w:line="278" w:lineRule="auto"/>
        <w:ind w:left="2027" w:right="978" w:hanging="421"/>
        <w:jc w:val="left"/>
        <w:rPr>
          <w:sz w:val="21"/>
        </w:rPr>
      </w:pPr>
      <w:bookmarkStart w:id="152" w:name="a) 观察使用：适用于采取适当安全技术措施后，尚能短期使用，但需继续观察的房屋（"/>
      <w:bookmarkEnd w:id="152"/>
      <w:r>
        <w:rPr>
          <w:spacing w:val="-3"/>
          <w:sz w:val="21"/>
        </w:rPr>
        <w:t>观察使用：适用于采取适当安全技术措施后，尚能短期使用，但需继续观察的房屋</w:t>
      </w:r>
      <w:r>
        <w:rPr>
          <w:sz w:val="21"/>
        </w:rPr>
        <w:t>（</w:t>
      </w:r>
      <w:r>
        <w:rPr>
          <w:spacing w:val="-2"/>
          <w:sz w:val="21"/>
        </w:rPr>
        <w:t>不适用</w:t>
      </w:r>
      <w:r>
        <w:rPr>
          <w:spacing w:val="-28"/>
          <w:sz w:val="21"/>
        </w:rPr>
        <w:t xml:space="preserve">于 </w:t>
      </w:r>
      <w:r>
        <w:rPr>
          <w:sz w:val="21"/>
        </w:rPr>
        <w:t>D</w:t>
      </w:r>
      <w:r>
        <w:rPr>
          <w:spacing w:val="-11"/>
          <w:sz w:val="21"/>
        </w:rPr>
        <w:t xml:space="preserve"> 级危险房屋</w:t>
      </w:r>
      <w:r>
        <w:rPr>
          <w:sz w:val="21"/>
        </w:rPr>
        <w:t>）；</w:t>
      </w:r>
    </w:p>
    <w:p>
      <w:pPr>
        <w:pStyle w:val="ListParagraph"/>
        <w:numPr>
          <w:ilvl w:val="3"/>
          <w:numId w:val="20"/>
        </w:numPr>
        <w:tabs>
          <w:tab w:val="left" w:pos="2021"/>
        </w:tabs>
        <w:spacing w:before="0" w:after="0" w:line="269" w:lineRule="exact"/>
        <w:ind w:left="2020" w:right="0" w:hanging="414"/>
        <w:jc w:val="left"/>
        <w:rPr>
          <w:sz w:val="21"/>
        </w:rPr>
      </w:pPr>
      <w:bookmarkStart w:id="153" w:name="b) 处理使用：适用于采取适当技术措施后，可解除危险的房屋；"/>
      <w:bookmarkEnd w:id="153"/>
      <w:r>
        <w:rPr>
          <w:spacing w:val="-3"/>
          <w:sz w:val="21"/>
        </w:rPr>
        <w:t>处理使用：适用于采取适当技术措施后，可解除危险的房屋；</w:t>
      </w:r>
    </w:p>
    <w:p>
      <w:pPr>
        <w:pStyle w:val="ListParagraph"/>
        <w:numPr>
          <w:ilvl w:val="3"/>
          <w:numId w:val="20"/>
        </w:numPr>
        <w:tabs>
          <w:tab w:val="left" w:pos="2022"/>
        </w:tabs>
        <w:spacing w:before="43" w:after="0" w:line="240" w:lineRule="auto"/>
        <w:ind w:left="2021" w:right="0" w:hanging="414"/>
        <w:jc w:val="left"/>
        <w:rPr>
          <w:sz w:val="21"/>
        </w:rPr>
      </w:pPr>
      <w:bookmarkStart w:id="154" w:name="c) 停止使用：适用于已无修缮价值，暂时不便拆除，又不危及相邻建筑和影响他人安全"/>
      <w:bookmarkEnd w:id="154"/>
      <w:r>
        <w:rPr>
          <w:spacing w:val="-11"/>
          <w:sz w:val="21"/>
        </w:rPr>
        <w:t>停止使用：适用于已无修缮价值，暂时不便拆除，又不危及相邻建筑和影响他人安全的房屋；</w:t>
      </w:r>
    </w:p>
    <w:p>
      <w:pPr>
        <w:pStyle w:val="ListParagraph"/>
        <w:numPr>
          <w:ilvl w:val="3"/>
          <w:numId w:val="20"/>
        </w:numPr>
        <w:tabs>
          <w:tab w:val="left" w:pos="2022"/>
        </w:tabs>
        <w:spacing w:before="43" w:after="0" w:line="240" w:lineRule="auto"/>
        <w:ind w:left="2021" w:right="0" w:hanging="414"/>
        <w:jc w:val="left"/>
        <w:rPr>
          <w:sz w:val="21"/>
        </w:rPr>
      </w:pPr>
      <w:bookmarkStart w:id="155" w:name="d) 整体拆除：适用于整幢危险且无修缮价值，危及公共安全，需立即拆除的房屋；"/>
      <w:bookmarkEnd w:id="155"/>
      <w:r>
        <w:rPr>
          <w:spacing w:val="-3"/>
          <w:sz w:val="21"/>
        </w:rPr>
        <w:t>整体拆除：适用于整幢危险且无修缮价值，危及公共安全，需立即拆除的房屋；</w:t>
      </w:r>
    </w:p>
    <w:p>
      <w:pPr>
        <w:pStyle w:val="ListParagraph"/>
        <w:numPr>
          <w:ilvl w:val="3"/>
          <w:numId w:val="20"/>
        </w:numPr>
        <w:tabs>
          <w:tab w:val="left" w:pos="2022"/>
        </w:tabs>
        <w:spacing w:before="43" w:after="0" w:line="240" w:lineRule="auto"/>
        <w:ind w:left="2021" w:right="0" w:hanging="414"/>
        <w:jc w:val="left"/>
        <w:rPr>
          <w:sz w:val="21"/>
        </w:rPr>
      </w:pPr>
      <w:bookmarkStart w:id="156" w:name="e) 按相关规定处理：适用于有特殊规定的房屋，如文物建筑或历史保护建筑等重要建筑"/>
      <w:bookmarkEnd w:id="156"/>
      <w:r>
        <w:rPr>
          <w:spacing w:val="-3"/>
          <w:sz w:val="21"/>
        </w:rPr>
        <w:t>按相关规定处理：适用于有特殊规定的房屋，如文物建筑或历史保护建筑等重要建筑物。</w:t>
      </w:r>
    </w:p>
    <w:p>
      <w:pPr>
        <w:pStyle w:val="ListParagraph"/>
        <w:numPr>
          <w:ilvl w:val="2"/>
          <w:numId w:val="20"/>
        </w:numPr>
        <w:tabs>
          <w:tab w:val="left" w:pos="2021"/>
          <w:tab w:val="left" w:pos="2022"/>
        </w:tabs>
        <w:spacing w:before="43" w:after="0" w:line="278" w:lineRule="auto"/>
        <w:ind w:left="1181" w:right="978" w:hanging="1"/>
        <w:jc w:val="left"/>
        <w:rPr>
          <w:sz w:val="21"/>
        </w:rPr>
      </w:pPr>
      <w:bookmarkStart w:id="157" w:name="6.5.8 针对局部安全鉴定，可按照被鉴定部位是否存在房屋安全隐患和危险点来提出"/>
      <w:bookmarkEnd w:id="157"/>
      <w:r>
        <w:rPr>
          <w:spacing w:val="-3"/>
          <w:sz w:val="21"/>
        </w:rPr>
        <w:t>针对局部安全鉴定，可按照被鉴定部位是否存在房屋安全隐患和危险点来提出不同情况的处</w:t>
      </w:r>
      <w:r>
        <w:rPr>
          <w:spacing w:val="-3"/>
          <w:sz w:val="21"/>
        </w:rPr>
        <w:t>理意见：</w:t>
      </w:r>
    </w:p>
    <w:p>
      <w:pPr>
        <w:pStyle w:val="ListParagraph"/>
        <w:numPr>
          <w:ilvl w:val="3"/>
          <w:numId w:val="20"/>
        </w:numPr>
        <w:tabs>
          <w:tab w:val="left" w:pos="2022"/>
        </w:tabs>
        <w:spacing w:before="0" w:after="0" w:line="269" w:lineRule="exact"/>
        <w:ind w:left="2021" w:right="0" w:hanging="414"/>
        <w:jc w:val="left"/>
        <w:rPr>
          <w:sz w:val="21"/>
        </w:rPr>
      </w:pPr>
      <w:bookmarkStart w:id="158" w:name="a) 当被鉴定部位存在危险点时，可采用以下处理意见："/>
      <w:bookmarkEnd w:id="158"/>
      <w:r>
        <w:rPr>
          <w:spacing w:val="-3"/>
          <w:sz w:val="21"/>
        </w:rPr>
        <w:t>当被鉴定部位存在危险点时，可采用以下处理意见：</w:t>
      </w:r>
    </w:p>
    <w:p>
      <w:pPr>
        <w:pStyle w:val="BodyText"/>
        <w:tabs>
          <w:tab w:val="left" w:pos="2441"/>
        </w:tabs>
        <w:spacing w:before="43"/>
        <w:ind w:left="1748"/>
      </w:pPr>
      <w:bookmarkStart w:id="159" w:name="（1) 减少使用荷载；"/>
      <w:bookmarkEnd w:id="159"/>
      <w:r>
        <w:t>（1)</w:t>
        <w:tab/>
      </w:r>
      <w:r>
        <w:rPr>
          <w:spacing w:val="-2"/>
        </w:rPr>
        <w:t>减少使用荷载；</w:t>
      </w:r>
    </w:p>
    <w:p>
      <w:pPr>
        <w:pStyle w:val="BodyText"/>
        <w:tabs>
          <w:tab w:val="left" w:pos="2441"/>
        </w:tabs>
        <w:spacing w:before="43"/>
        <w:ind w:left="1748"/>
      </w:pPr>
      <w:bookmarkStart w:id="160" w:name="（2) 针对危险构件，采取适当安全技术措施后观察使用；"/>
      <w:bookmarkEnd w:id="160"/>
      <w:r>
        <w:t>（2)</w:t>
        <w:tab/>
      </w:r>
      <w:r>
        <w:rPr>
          <w:spacing w:val="-3"/>
        </w:rPr>
        <w:t>针对危险构件，采取适当安全技术措施后观察使用；</w:t>
      </w:r>
    </w:p>
    <w:p>
      <w:pPr>
        <w:pStyle w:val="BodyText"/>
        <w:tabs>
          <w:tab w:val="left" w:pos="2441"/>
        </w:tabs>
        <w:spacing w:before="43"/>
        <w:ind w:left="1748"/>
      </w:pPr>
      <w:bookmarkStart w:id="161" w:name="（3) 加固、更换或拆除危险构件；"/>
      <w:bookmarkEnd w:id="161"/>
      <w:r>
        <w:t>（3)</w:t>
        <w:tab/>
      </w:r>
      <w:r>
        <w:rPr>
          <w:spacing w:val="-3"/>
        </w:rPr>
        <w:t>加固、更换或拆除危险构件；</w:t>
      </w:r>
    </w:p>
    <w:p>
      <w:pPr>
        <w:pStyle w:val="BodyText"/>
        <w:tabs>
          <w:tab w:val="left" w:pos="2441"/>
        </w:tabs>
        <w:spacing w:before="42"/>
        <w:ind w:left="1748"/>
      </w:pPr>
      <w:bookmarkStart w:id="162" w:name="（4) 其他（自行填写）。"/>
      <w:bookmarkEnd w:id="162"/>
      <w:r>
        <w:t>（4)</w:t>
        <w:tab/>
        <w:t>其他</w:t>
      </w:r>
      <w:r>
        <w:rPr>
          <w:spacing w:val="-3"/>
        </w:rPr>
        <w:t>（自行填写</w:t>
      </w:r>
      <w:r>
        <w:t>）。</w:t>
      </w:r>
    </w:p>
    <w:p>
      <w:pPr>
        <w:pStyle w:val="ListParagraph"/>
        <w:numPr>
          <w:ilvl w:val="3"/>
          <w:numId w:val="20"/>
        </w:numPr>
        <w:tabs>
          <w:tab w:val="left" w:pos="2022"/>
        </w:tabs>
        <w:spacing w:before="43" w:after="0" w:line="240" w:lineRule="auto"/>
        <w:ind w:left="2021" w:right="0" w:hanging="414"/>
        <w:jc w:val="left"/>
        <w:rPr>
          <w:sz w:val="21"/>
        </w:rPr>
      </w:pPr>
      <w:bookmarkStart w:id="163" w:name="b) 当鉴定部位不存在危险点，但存在房屋安全隐患时，可采用以下处理意见："/>
      <w:bookmarkEnd w:id="163"/>
      <w:r>
        <w:rPr>
          <w:spacing w:val="-3"/>
          <w:sz w:val="21"/>
        </w:rPr>
        <w:t>当鉴定部位不存在危险点，但存在房屋安全隐患时，可采用以下处理意见：</w:t>
      </w:r>
    </w:p>
    <w:p>
      <w:pPr>
        <w:pStyle w:val="BodyText"/>
        <w:tabs>
          <w:tab w:val="left" w:pos="2441"/>
        </w:tabs>
        <w:spacing w:before="43"/>
        <w:ind w:left="1748"/>
      </w:pPr>
      <w:bookmarkStart w:id="164" w:name="（1) 加强日常维护、保养，修复损坏部位；"/>
      <w:bookmarkEnd w:id="164"/>
      <w:r>
        <w:t>（1)</w:t>
        <w:tab/>
      </w:r>
      <w:r>
        <w:rPr>
          <w:spacing w:val="-3"/>
        </w:rPr>
        <w:t>加强日常维护、保养，修复损坏部位；</w:t>
      </w:r>
    </w:p>
    <w:p>
      <w:pPr>
        <w:pStyle w:val="BodyText"/>
        <w:tabs>
          <w:tab w:val="left" w:pos="2441"/>
        </w:tabs>
        <w:spacing w:before="43"/>
        <w:ind w:left="1748"/>
      </w:pPr>
      <w:bookmarkStart w:id="165" w:name="（2) 加强构件的薄弱环节；"/>
      <w:bookmarkEnd w:id="165"/>
      <w:r>
        <w:t>（2)</w:t>
        <w:tab/>
      </w:r>
      <w:r>
        <w:rPr>
          <w:spacing w:val="-3"/>
        </w:rPr>
        <w:t>加强构件的薄弱环节；</w:t>
      </w:r>
    </w:p>
    <w:p>
      <w:pPr>
        <w:pStyle w:val="BodyText"/>
        <w:tabs>
          <w:tab w:val="left" w:pos="2441"/>
        </w:tabs>
        <w:spacing w:before="43"/>
        <w:ind w:left="1748"/>
      </w:pPr>
      <w:bookmarkStart w:id="166" w:name="（3) 采取适当的措施消除安全隐患；"/>
      <w:bookmarkEnd w:id="166"/>
      <w:r>
        <w:t>（3)</w:t>
        <w:tab/>
      </w:r>
      <w:r>
        <w:rPr>
          <w:spacing w:val="-3"/>
        </w:rPr>
        <w:t>采取适当的措施消除安全隐患；</w:t>
      </w:r>
    </w:p>
    <w:p>
      <w:pPr>
        <w:pStyle w:val="BodyText"/>
        <w:tabs>
          <w:tab w:val="left" w:pos="2441"/>
        </w:tabs>
        <w:spacing w:before="43"/>
        <w:ind w:left="1748"/>
      </w:pPr>
      <w:bookmarkStart w:id="167" w:name="（4) 加强检查巡查。"/>
      <w:bookmarkEnd w:id="167"/>
      <w:r>
        <w:t>（4)</w:t>
        <w:tab/>
      </w:r>
      <w:r>
        <w:rPr>
          <w:spacing w:val="-2"/>
        </w:rPr>
        <w:t>加强检查巡查。</w:t>
      </w:r>
    </w:p>
    <w:p>
      <w:pPr>
        <w:pStyle w:val="BodyText"/>
        <w:spacing w:before="6"/>
        <w:rPr>
          <w:sz w:val="15"/>
        </w:rPr>
      </w:pPr>
    </w:p>
    <w:p>
      <w:pPr>
        <w:pStyle w:val="ListParagraph"/>
        <w:numPr>
          <w:ilvl w:val="1"/>
          <w:numId w:val="20"/>
        </w:numPr>
        <w:tabs>
          <w:tab w:val="left" w:pos="1708"/>
        </w:tabs>
        <w:spacing w:before="1" w:after="0" w:line="240" w:lineRule="auto"/>
        <w:ind w:left="1707" w:right="0" w:hanging="527"/>
        <w:jc w:val="left"/>
        <w:rPr>
          <w:rFonts w:ascii="黑体" w:eastAsia="黑体" w:hint="eastAsia"/>
          <w:sz w:val="21"/>
        </w:rPr>
      </w:pPr>
      <w:bookmarkStart w:id="168" w:name="6.6　 鉴定书签发及备案"/>
      <w:bookmarkEnd w:id="168"/>
      <w:r>
        <w:rPr>
          <w:rFonts w:ascii="黑体" w:eastAsia="黑体" w:hint="eastAsia"/>
          <w:spacing w:val="-3"/>
          <w:sz w:val="21"/>
        </w:rPr>
        <w:t>鉴定书签发及备案</w:t>
      </w:r>
    </w:p>
    <w:p>
      <w:pPr>
        <w:pStyle w:val="BodyText"/>
        <w:spacing w:before="8"/>
        <w:rPr>
          <w:rFonts w:ascii="黑体"/>
          <w:sz w:val="15"/>
        </w:rPr>
      </w:pPr>
    </w:p>
    <w:p>
      <w:pPr>
        <w:pStyle w:val="ListParagraph"/>
        <w:numPr>
          <w:ilvl w:val="2"/>
          <w:numId w:val="20"/>
        </w:numPr>
        <w:tabs>
          <w:tab w:val="left" w:pos="2022"/>
          <w:tab w:val="left" w:pos="2023"/>
        </w:tabs>
        <w:spacing w:before="0" w:after="0" w:line="240" w:lineRule="auto"/>
        <w:ind w:left="2022" w:right="0" w:hanging="842"/>
        <w:jc w:val="left"/>
        <w:rPr>
          <w:sz w:val="21"/>
        </w:rPr>
      </w:pPr>
      <w:bookmarkStart w:id="169" w:name="6.6.1 《房屋安全鉴定书》宜按附录B中模板内容及格式进行编写，包括但不限于下"/>
      <w:bookmarkEnd w:id="169"/>
      <w:r>
        <w:rPr>
          <w:sz w:val="21"/>
        </w:rPr>
        <w:t>《房屋安全鉴定书》宜按附录</w:t>
      </w:r>
      <w:r>
        <w:rPr>
          <w:sz w:val="21"/>
        </w:rPr>
        <w:t>B</w:t>
      </w:r>
      <w:r>
        <w:rPr>
          <w:spacing w:val="-9"/>
          <w:sz w:val="21"/>
        </w:rPr>
        <w:t xml:space="preserve"> 中模板内容及格式进行编写，包括但不限于下列内容：</w:t>
      </w:r>
    </w:p>
    <w:p>
      <w:pPr>
        <w:pStyle w:val="ListParagraph"/>
        <w:numPr>
          <w:ilvl w:val="3"/>
          <w:numId w:val="20"/>
        </w:numPr>
        <w:tabs>
          <w:tab w:val="left" w:pos="2019"/>
        </w:tabs>
        <w:spacing w:before="43" w:after="0" w:line="240" w:lineRule="auto"/>
        <w:ind w:left="2018" w:right="0" w:hanging="414"/>
        <w:jc w:val="left"/>
        <w:rPr>
          <w:sz w:val="21"/>
        </w:rPr>
      </w:pPr>
      <w:bookmarkStart w:id="170" w:name="a) 房屋概况以及使用历史、维修情况等；"/>
      <w:bookmarkEnd w:id="170"/>
      <w:r>
        <w:rPr>
          <w:spacing w:val="-3"/>
          <w:sz w:val="21"/>
        </w:rPr>
        <w:t>房屋概况以及使用历史、维修情况等；</w:t>
      </w:r>
    </w:p>
    <w:p>
      <w:pPr>
        <w:pStyle w:val="ListParagraph"/>
        <w:numPr>
          <w:ilvl w:val="3"/>
          <w:numId w:val="20"/>
        </w:numPr>
        <w:tabs>
          <w:tab w:val="left" w:pos="2019"/>
        </w:tabs>
        <w:spacing w:before="43" w:after="0" w:line="240" w:lineRule="auto"/>
        <w:ind w:left="2018" w:right="0" w:hanging="414"/>
        <w:jc w:val="left"/>
        <w:rPr>
          <w:sz w:val="21"/>
        </w:rPr>
      </w:pPr>
      <w:bookmarkStart w:id="171" w:name="b) 鉴定目的、内容、范围、依据及日期；"/>
      <w:bookmarkEnd w:id="171"/>
      <w:r>
        <w:rPr>
          <w:spacing w:val="-3"/>
          <w:sz w:val="21"/>
        </w:rPr>
        <w:t>鉴定目的、内容、范围、依据及日期；</w:t>
      </w:r>
    </w:p>
    <w:p>
      <w:pPr>
        <w:pStyle w:val="ListParagraph"/>
        <w:numPr>
          <w:ilvl w:val="3"/>
          <w:numId w:val="20"/>
        </w:numPr>
        <w:tabs>
          <w:tab w:val="left" w:pos="2019"/>
        </w:tabs>
        <w:spacing w:before="43" w:after="0" w:line="240" w:lineRule="auto"/>
        <w:ind w:left="2018" w:right="0" w:hanging="414"/>
        <w:jc w:val="left"/>
        <w:rPr>
          <w:sz w:val="21"/>
        </w:rPr>
      </w:pPr>
      <w:bookmarkStart w:id="172" w:name="c) 调查、检测、分析过程及结果；"/>
      <w:bookmarkEnd w:id="172"/>
      <w:r>
        <w:rPr>
          <w:spacing w:val="-3"/>
          <w:sz w:val="21"/>
        </w:rPr>
        <w:t>调查、检测、分析过程及结果；</w:t>
      </w:r>
    </w:p>
    <w:p>
      <w:pPr>
        <w:pStyle w:val="ListParagraph"/>
        <w:numPr>
          <w:ilvl w:val="3"/>
          <w:numId w:val="20"/>
        </w:numPr>
        <w:tabs>
          <w:tab w:val="left" w:pos="2019"/>
        </w:tabs>
        <w:spacing w:before="43" w:after="0" w:line="240" w:lineRule="auto"/>
        <w:ind w:left="2018" w:right="0" w:hanging="414"/>
        <w:jc w:val="left"/>
        <w:rPr>
          <w:sz w:val="21"/>
        </w:rPr>
      </w:pPr>
      <w:bookmarkStart w:id="173" w:name="d) 评定等级或评定结果；"/>
      <w:bookmarkEnd w:id="173"/>
      <w:r>
        <w:rPr>
          <w:spacing w:val="-3"/>
          <w:sz w:val="21"/>
        </w:rPr>
        <w:t>评定等级或评定结果；</w:t>
      </w:r>
    </w:p>
    <w:p>
      <w:pPr>
        <w:pStyle w:val="ListParagraph"/>
        <w:numPr>
          <w:ilvl w:val="3"/>
          <w:numId w:val="20"/>
        </w:numPr>
        <w:tabs>
          <w:tab w:val="left" w:pos="2019"/>
        </w:tabs>
        <w:spacing w:before="43" w:after="0" w:line="240" w:lineRule="auto"/>
        <w:ind w:left="2018" w:right="0" w:hanging="414"/>
        <w:jc w:val="left"/>
        <w:rPr>
          <w:sz w:val="21"/>
        </w:rPr>
      </w:pPr>
      <w:bookmarkStart w:id="174" w:name="e) 鉴定结论及建议；"/>
      <w:bookmarkEnd w:id="174"/>
      <w:r>
        <w:rPr>
          <w:spacing w:val="-3"/>
          <w:sz w:val="21"/>
        </w:rPr>
        <w:t>鉴定结论及建议；</w:t>
      </w:r>
    </w:p>
    <w:p>
      <w:pPr>
        <w:pStyle w:val="ListParagraph"/>
        <w:numPr>
          <w:ilvl w:val="3"/>
          <w:numId w:val="20"/>
        </w:numPr>
        <w:tabs>
          <w:tab w:val="left" w:pos="2020"/>
        </w:tabs>
        <w:spacing w:before="42" w:after="0" w:line="240" w:lineRule="auto"/>
        <w:ind w:left="2019" w:right="0" w:hanging="414"/>
        <w:jc w:val="left"/>
        <w:rPr>
          <w:sz w:val="21"/>
        </w:rPr>
      </w:pPr>
      <w:bookmarkStart w:id="175" w:name="f) 相关附件。"/>
      <w:bookmarkEnd w:id="175"/>
      <w:r>
        <w:rPr>
          <w:spacing w:val="-1"/>
          <w:sz w:val="21"/>
        </w:rPr>
        <w:t>相关附件。</w:t>
      </w:r>
    </w:p>
    <w:p>
      <w:pPr>
        <w:pStyle w:val="BodyText"/>
        <w:spacing w:before="7"/>
        <w:rPr>
          <w:sz w:val="15"/>
        </w:rPr>
      </w:pPr>
    </w:p>
    <w:p>
      <w:pPr>
        <w:spacing w:before="93"/>
        <w:ind w:left="0" w:right="1083" w:firstLine="0"/>
        <w:jc w:val="right"/>
        <w:rPr>
          <w:rFonts w:ascii="Times New Roman"/>
          <w:sz w:val="18"/>
        </w:rPr>
      </w:pPr>
      <w:r>
        <w:rPr>
          <w:rFonts w:ascii="Times New Roman"/>
          <w:sz w:val="18"/>
        </w:rPr>
        <w:t>9</w:t>
      </w:r>
    </w:p>
    <w:p>
      <w:pPr>
        <w:spacing w:after="0"/>
        <w:jc w:val="right"/>
        <w:rPr>
          <w:rFonts w:ascii="Times New Roman"/>
          <w:sz w:val="18"/>
        </w:rPr>
        <w:sectPr>
          <w:headerReference w:type="even" r:id="rId30"/>
          <w:headerReference w:type="default" r:id="rId31"/>
          <w:pgSz w:w="11910" w:h="16840"/>
          <w:pgMar w:top="1340" w:right="260" w:bottom="280" w:left="240" w:header="0" w:footer="0"/>
          <w:pgNumType w:start="16"/>
          <w:cols w:space="708"/>
        </w:sectPr>
      </w:pPr>
    </w:p>
    <w:p>
      <w:pPr>
        <w:pStyle w:val="BodyText"/>
        <w:spacing w:before="6"/>
        <w:rPr>
          <w:rFonts w:ascii="Times New Roman"/>
          <w:sz w:val="17"/>
        </w:rPr>
      </w:pPr>
    </w:p>
    <w:p>
      <w:pPr>
        <w:pStyle w:val="ListParagraph"/>
        <w:numPr>
          <w:ilvl w:val="2"/>
          <w:numId w:val="16"/>
        </w:numPr>
        <w:tabs>
          <w:tab w:val="left" w:pos="2019"/>
        </w:tabs>
        <w:spacing w:before="72" w:after="0" w:line="240" w:lineRule="auto"/>
        <w:ind w:left="2018" w:right="0" w:hanging="841"/>
        <w:jc w:val="both"/>
        <w:rPr>
          <w:sz w:val="21"/>
        </w:rPr>
      </w:pPr>
      <w:bookmarkStart w:id="176" w:name="6.6.2 《房屋安全鉴定书》应按以下程序进行制作、签发和备案："/>
      <w:bookmarkEnd w:id="176"/>
      <w:r>
        <w:rPr>
          <w:spacing w:val="-3"/>
          <w:sz w:val="21"/>
        </w:rPr>
        <w:t>《房屋安全鉴定书》应按以下程序进行制作、签发和备案：</w:t>
      </w:r>
    </w:p>
    <w:p>
      <w:pPr>
        <w:pStyle w:val="ListParagraph"/>
        <w:numPr>
          <w:ilvl w:val="3"/>
          <w:numId w:val="16"/>
        </w:numPr>
        <w:tabs>
          <w:tab w:val="left" w:pos="2019"/>
        </w:tabs>
        <w:spacing w:before="43" w:after="0" w:line="240" w:lineRule="auto"/>
        <w:ind w:left="2018" w:right="0" w:hanging="414"/>
        <w:jc w:val="both"/>
        <w:rPr>
          <w:sz w:val="21"/>
        </w:rPr>
      </w:pPr>
      <w:bookmarkStart w:id="177" w:name="a) 鉴定人员将鉴定书录入武汉房屋安全信息管理系统，确认无误后提交；"/>
      <w:bookmarkEnd w:id="177"/>
      <w:r>
        <w:rPr>
          <w:spacing w:val="-3"/>
          <w:sz w:val="21"/>
        </w:rPr>
        <w:t>鉴定人员将鉴定书录入武汉房屋安全信息管理系统，确认无误后提交；</w:t>
      </w:r>
    </w:p>
    <w:p>
      <w:pPr>
        <w:pStyle w:val="ListParagraph"/>
        <w:numPr>
          <w:ilvl w:val="3"/>
          <w:numId w:val="16"/>
        </w:numPr>
        <w:tabs>
          <w:tab w:val="left" w:pos="2019"/>
        </w:tabs>
        <w:spacing w:before="43" w:after="0" w:line="240" w:lineRule="auto"/>
        <w:ind w:left="2018" w:right="0" w:hanging="413"/>
        <w:jc w:val="both"/>
        <w:rPr>
          <w:sz w:val="21"/>
        </w:rPr>
      </w:pPr>
      <w:bookmarkStart w:id="178" w:name="b) 鉴定单位技术负责人对录入的鉴定书审核通过后，系统自动生成鉴定书编号及二维码"/>
      <w:bookmarkEnd w:id="178"/>
      <w:r>
        <w:rPr>
          <w:spacing w:val="-3"/>
          <w:sz w:val="21"/>
        </w:rPr>
        <w:t>鉴定单位技术负责人对录入的鉴定书审核通过后，系统自动生成鉴定书编号及二维码；</w:t>
      </w:r>
    </w:p>
    <w:p>
      <w:pPr>
        <w:pStyle w:val="ListParagraph"/>
        <w:numPr>
          <w:ilvl w:val="3"/>
          <w:numId w:val="16"/>
        </w:numPr>
        <w:tabs>
          <w:tab w:val="left" w:pos="2020"/>
        </w:tabs>
        <w:spacing w:before="43" w:after="0" w:line="278" w:lineRule="auto"/>
        <w:ind w:left="2026" w:right="980" w:hanging="421"/>
        <w:jc w:val="both"/>
        <w:rPr>
          <w:sz w:val="21"/>
        </w:rPr>
      </w:pPr>
      <w:r>
        <w:rPr>
          <w:spacing w:val="-3"/>
          <w:sz w:val="21"/>
        </w:rPr>
        <w:t>打印《房屋安全鉴定书》，签字、盖章后连同《房屋安全鉴定现场查勘表》和《结构检测报</w:t>
      </w:r>
      <w:r>
        <w:rPr>
          <w:spacing w:val="-4"/>
          <w:sz w:val="21"/>
        </w:rPr>
        <w:t>告》主要成果一起扫描上传至武汉房屋安全信息管理系统；经鉴定单位技术负责人审核确认</w:t>
      </w:r>
      <w:r>
        <w:rPr>
          <w:spacing w:val="-3"/>
          <w:sz w:val="21"/>
        </w:rPr>
        <w:t>扫描件后，提交上传。《房屋安全鉴定书》提交后不得擅自修改。</w:t>
      </w:r>
    </w:p>
    <w:p>
      <w:pPr>
        <w:pStyle w:val="ListParagraph"/>
        <w:numPr>
          <w:ilvl w:val="2"/>
          <w:numId w:val="16"/>
        </w:numPr>
        <w:tabs>
          <w:tab w:val="left" w:pos="2020"/>
        </w:tabs>
        <w:spacing w:before="0" w:after="0" w:line="278" w:lineRule="auto"/>
        <w:ind w:left="1179" w:right="980" w:hanging="1"/>
        <w:jc w:val="both"/>
        <w:rPr>
          <w:sz w:val="21"/>
        </w:rPr>
      </w:pPr>
      <w:bookmarkStart w:id="179" w:name="6.6.3 《房屋安全鉴定书》应当由鉴定人员、技术负责人、单位负责人（或委托代理"/>
      <w:bookmarkEnd w:id="179"/>
      <w:r>
        <w:rPr>
          <w:spacing w:val="-3"/>
          <w:sz w:val="21"/>
        </w:rPr>
        <w:t>《房屋安全鉴定书》应当由鉴定人员、技术负责人、单位负责人</w:t>
      </w:r>
      <w:r>
        <w:rPr>
          <w:spacing w:val="-3"/>
          <w:sz w:val="21"/>
        </w:rPr>
        <w:t>（或委托代理人）签字，加盖单位公章后方可生效。房屋安全鉴定单位及相关负责人对出具的鉴定书承担法律责任。</w:t>
      </w:r>
    </w:p>
    <w:p>
      <w:pPr>
        <w:pStyle w:val="ListParagraph"/>
        <w:numPr>
          <w:ilvl w:val="2"/>
          <w:numId w:val="16"/>
        </w:numPr>
        <w:tabs>
          <w:tab w:val="left" w:pos="2020"/>
        </w:tabs>
        <w:spacing w:before="0" w:after="0" w:line="278" w:lineRule="auto"/>
        <w:ind w:left="1179" w:right="979" w:hanging="1"/>
        <w:jc w:val="both"/>
        <w:rPr>
          <w:sz w:val="21"/>
        </w:rPr>
      </w:pPr>
      <w:bookmarkStart w:id="180" w:name="6.6.4 房屋安全鉴定单位应当及时向鉴定委托人出具《房屋安全鉴定书》，并将该鉴"/>
      <w:bookmarkEnd w:id="180"/>
      <w:r>
        <w:rPr>
          <w:spacing w:val="-3"/>
          <w:sz w:val="21"/>
        </w:rPr>
        <w:t>房屋安全鉴定单位应当及时向鉴定委托人出具《房屋安全鉴定书》，并将该鉴定书同时报房</w:t>
      </w:r>
      <w:r>
        <w:rPr>
          <w:spacing w:val="-3"/>
          <w:sz w:val="21"/>
        </w:rPr>
        <w:t>屋所在地的区房屋主管部门备案。鉴定结论为危险房屋的，房屋安全鉴定单位应当在作出鉴定结论后24</w:t>
      </w:r>
      <w:r>
        <w:rPr>
          <w:spacing w:val="-8"/>
          <w:sz w:val="21"/>
        </w:rPr>
        <w:t xml:space="preserve"> 小时内将鉴定书送达鉴定委托人。在鉴定过程中发现房屋存在重大险情的，要立即向房屋所在地的</w:t>
      </w:r>
      <w:r>
        <w:rPr>
          <w:spacing w:val="-5"/>
          <w:sz w:val="21"/>
        </w:rPr>
        <w:t>区房屋主管部门报告。</w:t>
      </w:r>
    </w:p>
    <w:p>
      <w:pPr>
        <w:pStyle w:val="ListParagraph"/>
        <w:numPr>
          <w:ilvl w:val="2"/>
          <w:numId w:val="16"/>
        </w:numPr>
        <w:tabs>
          <w:tab w:val="left" w:pos="2020"/>
        </w:tabs>
        <w:spacing w:before="0" w:after="0" w:line="278" w:lineRule="auto"/>
        <w:ind w:left="1180" w:right="981" w:hanging="1"/>
        <w:jc w:val="both"/>
        <w:rPr>
          <w:sz w:val="21"/>
        </w:rPr>
      </w:pPr>
      <w:bookmarkStart w:id="181" w:name="6.6.5 凡涉及房屋安全鉴定的原始资料，如：鉴定书、委托书、委托人及当事人资料"/>
      <w:bookmarkEnd w:id="181"/>
      <w:r>
        <w:rPr>
          <w:spacing w:val="-3"/>
          <w:sz w:val="21"/>
        </w:rPr>
        <w:t>凡涉及房屋安全鉴定的原始资料，如：鉴定书、委托书、委托人及当事人资料，图纸资料、</w:t>
      </w:r>
      <w:r>
        <w:rPr>
          <w:spacing w:val="-3"/>
          <w:sz w:val="21"/>
        </w:rPr>
        <w:t>图片影像资料、现场查勘表、检测原始记录等应归档留存，保证其具有可追溯性，且保存期限不少于</w:t>
      </w:r>
      <w:r>
        <w:rPr>
          <w:sz w:val="21"/>
        </w:rPr>
        <w:t>20</w:t>
      </w:r>
      <w:r>
        <w:rPr>
          <w:spacing w:val="-20"/>
          <w:sz w:val="21"/>
        </w:rPr>
        <w:t xml:space="preserve"> 年。</w:t>
      </w:r>
    </w:p>
    <w:p>
      <w:pPr>
        <w:pStyle w:val="BodyText"/>
        <w:spacing w:before="5"/>
        <w:rPr>
          <w:sz w:val="24"/>
        </w:rPr>
      </w:pPr>
    </w:p>
    <w:p>
      <w:pPr>
        <w:pStyle w:val="ListParagraph"/>
        <w:numPr>
          <w:ilvl w:val="0"/>
          <w:numId w:val="16"/>
        </w:numPr>
        <w:tabs>
          <w:tab w:val="left" w:pos="1495"/>
        </w:tabs>
        <w:spacing w:before="0" w:after="0" w:line="240" w:lineRule="auto"/>
        <w:ind w:left="1494" w:right="0" w:hanging="315"/>
        <w:jc w:val="both"/>
        <w:rPr>
          <w:rFonts w:ascii="黑体" w:eastAsia="黑体" w:hint="eastAsia"/>
          <w:sz w:val="21"/>
        </w:rPr>
      </w:pPr>
      <w:bookmarkStart w:id="182" w:name="7　 地基危险性鉴定"/>
      <w:bookmarkEnd w:id="182"/>
      <w:r>
        <w:rPr>
          <w:rFonts w:ascii="黑体" w:eastAsia="黑体" w:hint="eastAsia"/>
          <w:spacing w:val="-2"/>
          <w:sz w:val="21"/>
        </w:rPr>
        <w:t>地基危险性鉴定</w:t>
      </w:r>
    </w:p>
    <w:p>
      <w:pPr>
        <w:pStyle w:val="BodyText"/>
        <w:spacing w:before="6"/>
        <w:rPr>
          <w:rFonts w:ascii="黑体"/>
          <w:sz w:val="27"/>
        </w:rPr>
      </w:pPr>
    </w:p>
    <w:p>
      <w:pPr>
        <w:pStyle w:val="ListParagraph"/>
        <w:numPr>
          <w:ilvl w:val="1"/>
          <w:numId w:val="16"/>
        </w:numPr>
        <w:tabs>
          <w:tab w:val="left" w:pos="1706"/>
        </w:tabs>
        <w:spacing w:before="0" w:after="0" w:line="240" w:lineRule="auto"/>
        <w:ind w:left="1705" w:right="0" w:hanging="526"/>
        <w:jc w:val="both"/>
        <w:rPr>
          <w:rFonts w:ascii="黑体" w:eastAsia="黑体" w:hint="eastAsia"/>
          <w:sz w:val="21"/>
        </w:rPr>
      </w:pPr>
      <w:bookmarkStart w:id="183" w:name="7.1　 一般规定"/>
      <w:bookmarkEnd w:id="183"/>
      <w:r>
        <w:rPr>
          <w:rFonts w:ascii="黑体" w:eastAsia="黑体" w:hint="eastAsia"/>
          <w:spacing w:val="-1"/>
          <w:sz w:val="21"/>
        </w:rPr>
        <w:t>一般规定</w:t>
      </w:r>
    </w:p>
    <w:p>
      <w:pPr>
        <w:pStyle w:val="BodyText"/>
        <w:spacing w:before="7"/>
        <w:rPr>
          <w:rFonts w:ascii="黑体"/>
          <w:sz w:val="15"/>
        </w:rPr>
      </w:pPr>
    </w:p>
    <w:p>
      <w:pPr>
        <w:pStyle w:val="ListParagraph"/>
        <w:numPr>
          <w:ilvl w:val="2"/>
          <w:numId w:val="16"/>
        </w:numPr>
        <w:tabs>
          <w:tab w:val="left" w:pos="2021"/>
        </w:tabs>
        <w:spacing w:before="0" w:after="0" w:line="278" w:lineRule="auto"/>
        <w:ind w:left="1180" w:right="978" w:hanging="1"/>
        <w:jc w:val="both"/>
        <w:rPr>
          <w:sz w:val="21"/>
        </w:rPr>
      </w:pPr>
      <w:r>
        <w:drawing>
          <wp:anchor distT="0" distB="0" distL="0" distR="0" simplePos="0" relativeHeight="251686912" behindDoc="0" locked="0" layoutInCell="1" allowOverlap="1">
            <wp:simplePos x="0" y="0"/>
            <wp:positionH relativeFrom="page">
              <wp:posOffset>215900</wp:posOffset>
            </wp:positionH>
            <wp:positionV relativeFrom="paragraph">
              <wp:posOffset>153673</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84" w:name="7.1.1 地基的危险性鉴定，应根据地基承载能力、地基变形、土体位移以及地基变形"/>
      <w:bookmarkEnd w:id="184"/>
      <w:r>
        <w:rPr>
          <w:spacing w:val="-3"/>
          <w:sz w:val="21"/>
        </w:rPr>
        <w:t>地基的危险性鉴定，应根据地基承载能力、地基变形、土体位移以及地基变形引起的上部结</w:t>
      </w:r>
      <w:r>
        <w:rPr>
          <w:spacing w:val="-3"/>
          <w:sz w:val="21"/>
        </w:rPr>
        <w:t>构变形与损伤等状况，进行综合评价。对紧邻高切坡、挡土墙的房屋，还应考虑高切坡、挡土墙的稳</w:t>
      </w:r>
      <w:r>
        <w:rPr>
          <w:sz w:val="21"/>
        </w:rPr>
        <w:t>定性。</w:t>
      </w:r>
    </w:p>
    <w:p>
      <w:pPr>
        <w:pStyle w:val="ListParagraph"/>
        <w:numPr>
          <w:ilvl w:val="2"/>
          <w:numId w:val="16"/>
        </w:numPr>
        <w:tabs>
          <w:tab w:val="left" w:pos="2022"/>
        </w:tabs>
        <w:spacing w:before="0" w:after="0" w:line="269" w:lineRule="exact"/>
        <w:ind w:left="2021" w:right="0" w:hanging="842"/>
        <w:jc w:val="both"/>
        <w:rPr>
          <w:sz w:val="21"/>
        </w:rPr>
      </w:pPr>
      <w:bookmarkStart w:id="185" w:name="7.1.2 对地基进行危险性鉴定时，应重点考虑是否存在以下情况："/>
      <w:bookmarkEnd w:id="185"/>
      <w:r>
        <w:rPr>
          <w:spacing w:val="-3"/>
          <w:sz w:val="21"/>
        </w:rPr>
        <w:t>对地基进行危险性鉴定时，应重点考虑是否存在以下情况：</w:t>
      </w:r>
    </w:p>
    <w:p>
      <w:pPr>
        <w:pStyle w:val="ListParagraph"/>
        <w:numPr>
          <w:ilvl w:val="3"/>
          <w:numId w:val="16"/>
        </w:numPr>
        <w:tabs>
          <w:tab w:val="left" w:pos="2022"/>
        </w:tabs>
        <w:spacing w:before="43" w:after="0" w:line="240" w:lineRule="auto"/>
        <w:ind w:left="2021" w:right="0" w:hanging="414"/>
        <w:jc w:val="both"/>
        <w:rPr>
          <w:sz w:val="21"/>
        </w:rPr>
      </w:pPr>
      <w:bookmarkStart w:id="186" w:name="a) 结构构件中出现与地基变形有关的裂缝或倾斜现象，且仍在继续发展；"/>
      <w:bookmarkEnd w:id="186"/>
      <w:r>
        <w:rPr>
          <w:spacing w:val="-3"/>
          <w:sz w:val="21"/>
        </w:rPr>
        <w:t>结构构件中出现与地基变形有关的裂缝或倾斜现象，且仍在继续发展；</w:t>
      </w:r>
    </w:p>
    <w:p>
      <w:pPr>
        <w:pStyle w:val="ListParagraph"/>
        <w:numPr>
          <w:ilvl w:val="3"/>
          <w:numId w:val="16"/>
        </w:numPr>
        <w:tabs>
          <w:tab w:val="left" w:pos="2022"/>
        </w:tabs>
        <w:spacing w:before="43" w:after="0" w:line="278" w:lineRule="auto"/>
        <w:ind w:left="2028" w:right="874" w:hanging="421"/>
        <w:jc w:val="both"/>
        <w:rPr>
          <w:sz w:val="21"/>
        </w:rPr>
      </w:pPr>
      <w:bookmarkStart w:id="187" w:name="b) 处于湖泊、河道、水渠、山坡以及隧道、基坑等建设工程施工的周边或地质灾害影响"/>
      <w:bookmarkEnd w:id="187"/>
      <w:r>
        <w:rPr>
          <w:spacing w:val="-12"/>
          <w:sz w:val="21"/>
        </w:rPr>
        <w:t>处于湖泊、河道、水渠、山坡以及隧道、基坑等建设工程施工的周边或地质灾害影响范围内，</w:t>
      </w:r>
      <w:r>
        <w:rPr>
          <w:spacing w:val="-12"/>
          <w:sz w:val="21"/>
        </w:rPr>
        <w:t xml:space="preserve"> </w:t>
      </w:r>
      <w:r>
        <w:rPr>
          <w:spacing w:val="-3"/>
          <w:sz w:val="21"/>
        </w:rPr>
        <w:t>并出现结构构件损伤状况；</w:t>
      </w:r>
    </w:p>
    <w:p>
      <w:pPr>
        <w:pStyle w:val="ListParagraph"/>
        <w:numPr>
          <w:ilvl w:val="3"/>
          <w:numId w:val="16"/>
        </w:numPr>
        <w:tabs>
          <w:tab w:val="left" w:pos="2022"/>
        </w:tabs>
        <w:spacing w:before="0" w:after="0" w:line="278" w:lineRule="auto"/>
        <w:ind w:left="2028" w:right="875" w:hanging="421"/>
        <w:jc w:val="both"/>
        <w:rPr>
          <w:sz w:val="21"/>
        </w:rPr>
      </w:pPr>
      <w:bookmarkStart w:id="188" w:name="c) 当地下水位有较大变化，或土压力、水压力有显著改变，特别是地基基础经漫水长时"/>
      <w:bookmarkEnd w:id="188"/>
      <w:r>
        <w:rPr>
          <w:spacing w:val="-10"/>
          <w:sz w:val="21"/>
        </w:rPr>
        <w:t>当地下水位有较大变化，或土压力、水压力有显著改变，特别是地基基础经漫水长时间浸泡，</w:t>
      </w:r>
      <w:r>
        <w:rPr>
          <w:spacing w:val="-10"/>
          <w:sz w:val="21"/>
        </w:rPr>
        <w:t xml:space="preserve"> </w:t>
      </w:r>
      <w:r>
        <w:rPr>
          <w:spacing w:val="-3"/>
          <w:sz w:val="21"/>
        </w:rPr>
        <w:t>可能对房屋安全产生不利影响。</w:t>
      </w:r>
    </w:p>
    <w:p>
      <w:pPr>
        <w:pStyle w:val="ListParagraph"/>
        <w:numPr>
          <w:ilvl w:val="2"/>
          <w:numId w:val="16"/>
        </w:numPr>
        <w:tabs>
          <w:tab w:val="left" w:pos="2022"/>
        </w:tabs>
        <w:spacing w:before="0" w:after="0" w:line="269" w:lineRule="exact"/>
        <w:ind w:left="2021" w:right="0" w:hanging="841"/>
        <w:jc w:val="both"/>
        <w:rPr>
          <w:sz w:val="21"/>
        </w:rPr>
      </w:pPr>
      <w:bookmarkStart w:id="189" w:name="7.1.3 地基危险性鉴定宜包括下列内容:"/>
      <w:bookmarkEnd w:id="189"/>
      <w:r>
        <w:rPr>
          <w:spacing w:val="-3"/>
          <w:sz w:val="21"/>
        </w:rPr>
        <w:t>地基危险性鉴定宜包括下列内容:</w:t>
      </w:r>
    </w:p>
    <w:p>
      <w:pPr>
        <w:pStyle w:val="ListParagraph"/>
        <w:numPr>
          <w:ilvl w:val="3"/>
          <w:numId w:val="16"/>
        </w:numPr>
        <w:tabs>
          <w:tab w:val="left" w:pos="2023"/>
        </w:tabs>
        <w:spacing w:before="42" w:after="0" w:line="278" w:lineRule="auto"/>
        <w:ind w:left="2029" w:right="977" w:hanging="421"/>
        <w:jc w:val="left"/>
        <w:rPr>
          <w:sz w:val="21"/>
        </w:rPr>
      </w:pPr>
      <w:bookmarkStart w:id="190" w:name="a) 通过房屋的地质勘察报告等资料对地基进行分析和判断，包括土层分布及下卧层情况"/>
      <w:bookmarkEnd w:id="190"/>
      <w:r>
        <w:rPr>
          <w:spacing w:val="-3"/>
          <w:sz w:val="21"/>
        </w:rPr>
        <w:t>通过房屋的地质勘察报告等资料对地基进行分析和判断，包括土层分布及下卧层情况、稳定</w:t>
      </w:r>
      <w:r>
        <w:rPr>
          <w:spacing w:val="-3"/>
          <w:sz w:val="21"/>
        </w:rPr>
        <w:t>性等；</w:t>
      </w:r>
    </w:p>
    <w:p>
      <w:pPr>
        <w:pStyle w:val="ListParagraph"/>
        <w:numPr>
          <w:ilvl w:val="3"/>
          <w:numId w:val="16"/>
        </w:numPr>
        <w:tabs>
          <w:tab w:val="left" w:pos="2023"/>
        </w:tabs>
        <w:spacing w:before="0" w:after="0" w:line="278" w:lineRule="auto"/>
        <w:ind w:left="2029" w:right="875" w:hanging="421"/>
        <w:jc w:val="left"/>
        <w:rPr>
          <w:sz w:val="21"/>
        </w:rPr>
      </w:pPr>
      <w:bookmarkStart w:id="191" w:name="b) 检查地基变形，房屋结构的倾斜，楼、地面的水平度，以及室外散水、台阶与主体结"/>
      <w:bookmarkEnd w:id="191"/>
      <w:r>
        <w:rPr>
          <w:spacing w:val="-11"/>
          <w:sz w:val="21"/>
        </w:rPr>
        <w:t>检查地基变形，房屋结构的倾斜，楼、地面的水平度，以及室外散水、台阶与主体结构之间、</w:t>
      </w:r>
      <w:r>
        <w:rPr>
          <w:spacing w:val="-3"/>
          <w:sz w:val="21"/>
        </w:rPr>
        <w:t>主体结构或填充墙体中因地基不均匀沉降引起的裂缝、变形等现象；</w:t>
      </w:r>
    </w:p>
    <w:p>
      <w:pPr>
        <w:pStyle w:val="ListParagraph"/>
        <w:numPr>
          <w:ilvl w:val="3"/>
          <w:numId w:val="16"/>
        </w:numPr>
        <w:tabs>
          <w:tab w:val="left" w:pos="2023"/>
        </w:tabs>
        <w:spacing w:before="0" w:after="0" w:line="278" w:lineRule="auto"/>
        <w:ind w:left="2029" w:right="976" w:hanging="421"/>
        <w:jc w:val="left"/>
        <w:rPr>
          <w:sz w:val="21"/>
        </w:rPr>
      </w:pPr>
      <w:bookmarkStart w:id="192" w:name="c) 当房屋附近存在基坑开挖或管沟施工以及振动源等情况时，应对房屋的倾斜、结构构"/>
      <w:bookmarkEnd w:id="192"/>
      <w:r>
        <w:rPr>
          <w:spacing w:val="-3"/>
          <w:sz w:val="21"/>
        </w:rPr>
        <w:t>当房屋附近存在基坑开挖或管沟施工以及振动源等情况时，应对房屋的倾斜、结构构件开裂</w:t>
      </w:r>
      <w:r>
        <w:rPr>
          <w:spacing w:val="-3"/>
          <w:sz w:val="21"/>
        </w:rPr>
        <w:t>和不均匀沉降的情况进行检查；</w:t>
      </w:r>
    </w:p>
    <w:p>
      <w:pPr>
        <w:pStyle w:val="ListParagraph"/>
        <w:numPr>
          <w:ilvl w:val="3"/>
          <w:numId w:val="16"/>
        </w:numPr>
        <w:tabs>
          <w:tab w:val="left" w:pos="2023"/>
        </w:tabs>
        <w:spacing w:before="0" w:after="0" w:line="269" w:lineRule="exact"/>
        <w:ind w:left="2022" w:right="0" w:hanging="413"/>
        <w:jc w:val="left"/>
        <w:rPr>
          <w:sz w:val="21"/>
        </w:rPr>
      </w:pPr>
      <w:bookmarkStart w:id="193" w:name="d) 调查其它因素，如周边环境、地下水位变化、地基浸水等影响或作用。"/>
      <w:bookmarkEnd w:id="193"/>
      <w:r>
        <w:rPr>
          <w:spacing w:val="-3"/>
          <w:sz w:val="21"/>
        </w:rPr>
        <w:t>调查其它因素，如周边环境、地下水位变化、地基浸水等影响或作用。</w:t>
      </w:r>
    </w:p>
    <w:p>
      <w:pPr>
        <w:pStyle w:val="ListParagraph"/>
        <w:numPr>
          <w:ilvl w:val="2"/>
          <w:numId w:val="16"/>
        </w:numPr>
        <w:tabs>
          <w:tab w:val="left" w:pos="2023"/>
          <w:tab w:val="left" w:pos="2024"/>
        </w:tabs>
        <w:spacing w:before="43" w:after="0" w:line="240" w:lineRule="auto"/>
        <w:ind w:left="2023" w:right="0" w:hanging="841"/>
        <w:jc w:val="left"/>
        <w:rPr>
          <w:sz w:val="21"/>
        </w:rPr>
      </w:pPr>
      <w:bookmarkStart w:id="194" w:name="7.1.4 房屋存在下列情形时，宜进行地基承载能力验算："/>
      <w:bookmarkEnd w:id="194"/>
      <w:r>
        <w:rPr>
          <w:spacing w:val="-3"/>
          <w:sz w:val="21"/>
        </w:rPr>
        <w:t>房屋存在下列情形时，宜进行地基承载能力验算：</w:t>
      </w:r>
    </w:p>
    <w:p>
      <w:pPr>
        <w:pStyle w:val="ListParagraph"/>
        <w:numPr>
          <w:ilvl w:val="3"/>
          <w:numId w:val="16"/>
        </w:numPr>
        <w:tabs>
          <w:tab w:val="left" w:pos="2024"/>
        </w:tabs>
        <w:spacing w:before="42" w:after="0" w:line="240" w:lineRule="auto"/>
        <w:ind w:left="2023" w:right="0" w:hanging="414"/>
        <w:jc w:val="left"/>
        <w:rPr>
          <w:sz w:val="21"/>
        </w:rPr>
      </w:pPr>
      <w:bookmarkStart w:id="195" w:name="a) 大范围超过设计标准增大荷载；"/>
      <w:bookmarkEnd w:id="195"/>
      <w:r>
        <w:rPr>
          <w:spacing w:val="-3"/>
          <w:sz w:val="21"/>
        </w:rPr>
        <w:t>大范围超过设计标准增大荷载；</w:t>
      </w:r>
    </w:p>
    <w:p>
      <w:pPr>
        <w:pStyle w:val="ListParagraph"/>
        <w:numPr>
          <w:ilvl w:val="3"/>
          <w:numId w:val="16"/>
        </w:numPr>
        <w:tabs>
          <w:tab w:val="left" w:pos="2024"/>
        </w:tabs>
        <w:spacing w:before="43" w:after="0" w:line="240" w:lineRule="auto"/>
        <w:ind w:left="2023" w:right="0" w:hanging="414"/>
        <w:jc w:val="left"/>
        <w:rPr>
          <w:sz w:val="21"/>
        </w:rPr>
      </w:pPr>
      <w:bookmarkStart w:id="196" w:name="b) 擅自加层；"/>
      <w:bookmarkEnd w:id="196"/>
      <w:r>
        <w:rPr>
          <w:spacing w:val="-1"/>
          <w:sz w:val="21"/>
        </w:rPr>
        <w:t>擅自加层；</w:t>
      </w:r>
    </w:p>
    <w:p>
      <w:pPr>
        <w:pStyle w:val="ListParagraph"/>
        <w:numPr>
          <w:ilvl w:val="3"/>
          <w:numId w:val="16"/>
        </w:numPr>
        <w:tabs>
          <w:tab w:val="left" w:pos="2024"/>
        </w:tabs>
        <w:spacing w:before="43" w:after="0" w:line="240" w:lineRule="auto"/>
        <w:ind w:left="2023" w:right="0" w:hanging="414"/>
        <w:jc w:val="left"/>
        <w:rPr>
          <w:sz w:val="21"/>
        </w:rPr>
      </w:pPr>
      <w:bookmarkStart w:id="197" w:name="c) 降低地面地坪标高，可能降低地基承载能力；"/>
      <w:bookmarkEnd w:id="197"/>
      <w:r>
        <w:rPr>
          <w:spacing w:val="-3"/>
          <w:sz w:val="21"/>
        </w:rPr>
        <w:t>降低地面地坪标高，可能降低地基承载能力；</w:t>
      </w:r>
    </w:p>
    <w:p>
      <w:pPr>
        <w:pStyle w:val="ListParagraph"/>
        <w:numPr>
          <w:ilvl w:val="3"/>
          <w:numId w:val="16"/>
        </w:numPr>
        <w:tabs>
          <w:tab w:val="left" w:pos="2024"/>
        </w:tabs>
        <w:spacing w:before="43" w:after="0" w:line="240" w:lineRule="auto"/>
        <w:ind w:left="2023" w:right="0" w:hanging="414"/>
        <w:jc w:val="left"/>
        <w:rPr>
          <w:sz w:val="21"/>
        </w:rPr>
      </w:pPr>
      <w:bookmarkStart w:id="198" w:name="d) 其它认为有必要的情形。"/>
      <w:bookmarkEnd w:id="198"/>
      <w:r>
        <w:rPr>
          <w:spacing w:val="-3"/>
          <w:sz w:val="21"/>
        </w:rPr>
        <w:t>其它认为有必要的情形。</w:t>
      </w:r>
    </w:p>
    <w:p>
      <w:pPr>
        <w:pStyle w:val="BodyText"/>
        <w:spacing w:before="11"/>
        <w:rPr>
          <w:sz w:val="27"/>
        </w:rPr>
      </w:pPr>
    </w:p>
    <w:p>
      <w:pPr>
        <w:spacing w:before="92"/>
        <w:ind w:left="1178" w:right="0" w:firstLine="0"/>
        <w:jc w:val="left"/>
        <w:rPr>
          <w:rFonts w:ascii="Times New Roman"/>
          <w:sz w:val="18"/>
        </w:rPr>
      </w:pPr>
      <w:r>
        <w:rPr>
          <w:rFonts w:ascii="Times New Roman"/>
          <w:sz w:val="18"/>
        </w:rPr>
        <w:t>10</w:t>
      </w:r>
    </w:p>
    <w:p>
      <w:pPr>
        <w:spacing w:after="0"/>
        <w:jc w:val="left"/>
        <w:rPr>
          <w:rFonts w:ascii="Times New Roman"/>
          <w:sz w:val="18"/>
        </w:rPr>
        <w:sectPr>
          <w:headerReference w:type="even" r:id="rId32"/>
          <w:headerReference w:type="default" r:id="rId33"/>
          <w:pgSz w:w="11910" w:h="16840"/>
          <w:pgMar w:top="1640" w:right="260" w:bottom="280" w:left="240" w:header="1448" w:footer="0"/>
          <w:pgNumType w:start="17"/>
          <w:cols w:space="708"/>
        </w:sectPr>
      </w:pPr>
    </w:p>
    <w:p>
      <w:pPr>
        <w:pStyle w:val="BodyText"/>
        <w:spacing w:before="61"/>
        <w:ind w:right="870"/>
        <w:jc w:val="right"/>
        <w:rPr>
          <w:rFonts w:ascii="黑体" w:hAnsi="黑体"/>
        </w:rPr>
      </w:pPr>
      <w:r>
        <w:pict>
          <v:group id="_x0000_s1134" style="width:595.5pt;height:842.15pt;margin-top:-0.09pt;margin-left:-0.09pt;mso-position-horizontal-relative:page;mso-position-vertical-relative:page;position:absolute;z-index:-251628544" coordorigin="-2,-2" coordsize="11910,16843">
            <v:shape id="_x0000_s1135" type="#_x0000_t75" style="width:6067;height:8051;left:2650;position:absolute;top:4649" stroked="f">
              <v:imagedata r:id="rId13" o:title=""/>
            </v:shape>
            <v:rect id="_x0000_s1136" style="width:11906;height:16838;position:absolute" filled="f" stroked="t" strokecolor="#231916" strokeweight="0.22pt">
              <v:stroke dashstyle="solid"/>
            </v:rect>
            <v:shape id="_x0000_s1137" type="#_x0000_t75" style="width:11200;height:7680;left:340;position:absolute;top:8258" stroked="f">
              <v:imagedata r:id="rId4" o:title=""/>
            </v:shape>
          </v:group>
        </w:pict>
      </w:r>
      <w:r>
        <w:rPr>
          <w:rFonts w:ascii="黑体" w:hAnsi="黑体"/>
        </w:rPr>
        <w:t>DB4201/T 537—2018</w:t>
      </w:r>
    </w:p>
    <w:p>
      <w:pPr>
        <w:pStyle w:val="BodyText"/>
        <w:spacing w:before="6"/>
        <w:rPr>
          <w:rFonts w:ascii="黑体"/>
          <w:sz w:val="13"/>
        </w:rPr>
      </w:pPr>
    </w:p>
    <w:p>
      <w:pPr>
        <w:pStyle w:val="ListParagraph"/>
        <w:numPr>
          <w:ilvl w:val="1"/>
          <w:numId w:val="21"/>
        </w:numPr>
        <w:tabs>
          <w:tab w:val="left" w:pos="1705"/>
        </w:tabs>
        <w:spacing w:before="72" w:after="0" w:line="240" w:lineRule="auto"/>
        <w:ind w:left="1704" w:right="0" w:hanging="527"/>
        <w:jc w:val="both"/>
        <w:rPr>
          <w:rFonts w:ascii="黑体" w:eastAsia="黑体" w:hint="eastAsia"/>
          <w:sz w:val="21"/>
        </w:rPr>
      </w:pPr>
      <w:bookmarkStart w:id="199" w:name="7.2　 评定方法"/>
      <w:bookmarkEnd w:id="199"/>
      <w:r>
        <w:rPr>
          <w:rFonts w:ascii="黑体" w:eastAsia="黑体" w:hint="eastAsia"/>
          <w:spacing w:val="-1"/>
          <w:sz w:val="21"/>
        </w:rPr>
        <w:t>评定方法</w:t>
      </w:r>
    </w:p>
    <w:p>
      <w:pPr>
        <w:pStyle w:val="BodyText"/>
        <w:spacing w:before="6"/>
        <w:rPr>
          <w:rFonts w:ascii="黑体"/>
          <w:sz w:val="15"/>
        </w:rPr>
      </w:pPr>
    </w:p>
    <w:p>
      <w:pPr>
        <w:pStyle w:val="ListParagraph"/>
        <w:numPr>
          <w:ilvl w:val="2"/>
          <w:numId w:val="21"/>
        </w:numPr>
        <w:tabs>
          <w:tab w:val="left" w:pos="2019"/>
        </w:tabs>
        <w:spacing w:before="1" w:after="0" w:line="240" w:lineRule="auto"/>
        <w:ind w:left="2018" w:right="0" w:hanging="841"/>
        <w:jc w:val="both"/>
        <w:rPr>
          <w:sz w:val="21"/>
        </w:rPr>
      </w:pPr>
      <w:bookmarkStart w:id="200" w:name="7.2.1 地基承载力验算方法应符合GB 50007中的相关要求。"/>
      <w:bookmarkEnd w:id="200"/>
      <w:r>
        <w:rPr>
          <w:spacing w:val="-7"/>
          <w:sz w:val="21"/>
        </w:rPr>
        <w:t xml:space="preserve">地基承载力验算方法应符合 </w:t>
      </w:r>
      <w:r>
        <w:rPr>
          <w:sz w:val="21"/>
        </w:rPr>
        <w:t>GB</w:t>
      </w:r>
      <w:r>
        <w:rPr>
          <w:spacing w:val="-2"/>
          <w:sz w:val="21"/>
        </w:rPr>
        <w:t xml:space="preserve"> </w:t>
      </w:r>
      <w:r>
        <w:rPr>
          <w:sz w:val="21"/>
        </w:rPr>
        <w:t>50007</w:t>
      </w:r>
      <w:r>
        <w:rPr>
          <w:spacing w:val="-9"/>
          <w:sz w:val="21"/>
        </w:rPr>
        <w:t xml:space="preserve"> 中的相关要求。</w:t>
      </w:r>
    </w:p>
    <w:p>
      <w:pPr>
        <w:pStyle w:val="ListParagraph"/>
        <w:numPr>
          <w:ilvl w:val="2"/>
          <w:numId w:val="21"/>
        </w:numPr>
        <w:tabs>
          <w:tab w:val="left" w:pos="2019"/>
        </w:tabs>
        <w:spacing w:before="43" w:after="0" w:line="278" w:lineRule="auto"/>
        <w:ind w:left="1179" w:right="980" w:hanging="1"/>
        <w:jc w:val="both"/>
        <w:rPr>
          <w:sz w:val="21"/>
        </w:rPr>
      </w:pPr>
      <w:bookmarkStart w:id="201" w:name="7.2.2 需对地基进行承载力验算时，应通过地质勘察报告等资料来确定地基土层分布"/>
      <w:bookmarkEnd w:id="201"/>
      <w:r>
        <w:rPr>
          <w:spacing w:val="-3"/>
          <w:sz w:val="21"/>
        </w:rPr>
        <w:t>需对地基进行承载力验算时，应通过地质勘察报告等资料来确定地基土层分布及各土层的力</w:t>
      </w:r>
      <w:r>
        <w:rPr>
          <w:spacing w:val="-3"/>
          <w:sz w:val="21"/>
        </w:rPr>
        <w:t>学特性，如需要可补充地质勘查。同时宜考虑建造时间对地基承载力提高的影响，地基承载力提高系</w:t>
      </w:r>
      <w:r>
        <w:rPr>
          <w:spacing w:val="-10"/>
          <w:sz w:val="21"/>
        </w:rPr>
        <w:t xml:space="preserve">数，可参照表 </w:t>
      </w:r>
      <w:r>
        <w:rPr>
          <w:sz w:val="21"/>
        </w:rPr>
        <w:t>1</w:t>
      </w:r>
      <w:r>
        <w:rPr>
          <w:spacing w:val="-16"/>
          <w:sz w:val="21"/>
        </w:rPr>
        <w:t xml:space="preserve"> 取值。</w:t>
      </w:r>
    </w:p>
    <w:p>
      <w:pPr>
        <w:pStyle w:val="BodyText"/>
        <w:spacing w:before="155"/>
        <w:ind w:left="191"/>
        <w:jc w:val="center"/>
        <w:rPr>
          <w:rFonts w:ascii="黑体" w:eastAsia="黑体" w:hint="eastAsia"/>
        </w:rPr>
      </w:pPr>
      <w:r>
        <w:rPr>
          <w:rFonts w:ascii="黑体" w:eastAsia="黑体" w:hint="eastAsia"/>
        </w:rPr>
        <w:t>表1 地基土承载力长期压密提高系数</w:t>
      </w:r>
    </w:p>
    <w:p>
      <w:pPr>
        <w:pStyle w:val="BodyText"/>
        <w:spacing w:before="10"/>
        <w:rPr>
          <w:rFonts w:ascii="黑体"/>
          <w:sz w:val="13"/>
        </w:rPr>
      </w:pPr>
    </w:p>
    <w:tbl>
      <w:tblPr>
        <w:tblStyle w:val="TableNormal1"/>
        <w:tblW w:w="0" w:type="auto"/>
        <w:jc w:val="left"/>
        <w:tblInd w:w="1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40"/>
        <w:gridCol w:w="850"/>
        <w:gridCol w:w="843"/>
        <w:gridCol w:w="855"/>
        <w:gridCol w:w="855"/>
      </w:tblGrid>
      <w:tr>
        <w:tblPrEx>
          <w:tblW w:w="0" w:type="auto"/>
          <w:jc w:val="left"/>
          <w:tblInd w:w="1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6240" w:type="dxa"/>
            <w:vMerge w:val="restart"/>
          </w:tcPr>
          <w:p>
            <w:pPr>
              <w:pStyle w:val="TableParagraph"/>
              <w:rPr>
                <w:rFonts w:ascii="黑体"/>
                <w:sz w:val="18"/>
              </w:rPr>
            </w:pPr>
          </w:p>
          <w:p>
            <w:pPr>
              <w:pStyle w:val="TableParagraph"/>
              <w:rPr>
                <w:rFonts w:ascii="黑体"/>
                <w:sz w:val="22"/>
              </w:rPr>
            </w:pPr>
          </w:p>
          <w:p>
            <w:pPr>
              <w:pStyle w:val="TableParagraph"/>
              <w:spacing w:before="1"/>
              <w:ind w:left="1072" w:right="1065"/>
              <w:jc w:val="center"/>
              <w:rPr>
                <w:b/>
                <w:sz w:val="18"/>
              </w:rPr>
            </w:pPr>
            <w:r>
              <w:rPr>
                <w:b/>
                <w:sz w:val="18"/>
              </w:rPr>
              <w:t>年限与岩土类别</w:t>
            </w:r>
          </w:p>
        </w:tc>
        <w:tc>
          <w:tcPr>
            <w:tcW w:w="3403" w:type="dxa"/>
            <w:gridSpan w:val="4"/>
          </w:tcPr>
          <w:p>
            <w:pPr>
              <w:pStyle w:val="TableParagraph"/>
              <w:spacing w:before="117"/>
              <w:ind w:left="1500" w:right="1493"/>
              <w:jc w:val="center"/>
              <w:rPr>
                <w:sz w:val="9"/>
              </w:rPr>
            </w:pPr>
            <w:r>
              <w:rPr>
                <w:position w:val="1"/>
                <w:sz w:val="18"/>
              </w:rPr>
              <w:t>p</w:t>
            </w:r>
            <w:r>
              <w:rPr>
                <w:sz w:val="9"/>
              </w:rPr>
              <w:t>0</w:t>
            </w:r>
            <w:r>
              <w:rPr>
                <w:position w:val="1"/>
                <w:sz w:val="18"/>
              </w:rPr>
              <w:t>/f</w:t>
            </w:r>
            <w:r>
              <w:rPr>
                <w:sz w:val="9"/>
              </w:rPr>
              <w:t>a</w:t>
            </w:r>
          </w:p>
        </w:tc>
      </w:tr>
      <w:tr>
        <w:tblPrEx>
          <w:tblW w:w="0" w:type="auto"/>
          <w:jc w:val="left"/>
          <w:tblInd w:w="1039" w:type="dxa"/>
          <w:tblLayout w:type="fixed"/>
          <w:tblCellMar>
            <w:top w:w="0" w:type="dxa"/>
            <w:left w:w="0" w:type="dxa"/>
            <w:bottom w:w="0" w:type="dxa"/>
            <w:right w:w="0" w:type="dxa"/>
          </w:tblCellMar>
          <w:tblLook w:val="01E0"/>
        </w:tblPrEx>
        <w:trPr>
          <w:trHeight w:val="779"/>
          <w:jc w:val="left"/>
        </w:trPr>
        <w:tc>
          <w:tcPr>
            <w:tcW w:w="6240" w:type="dxa"/>
            <w:vMerge/>
            <w:tcBorders>
              <w:top w:val="nil"/>
            </w:tcBorders>
          </w:tcPr>
          <w:p>
            <w:pPr>
              <w:rPr>
                <w:sz w:val="2"/>
                <w:szCs w:val="2"/>
              </w:rPr>
            </w:pPr>
          </w:p>
        </w:tc>
        <w:tc>
          <w:tcPr>
            <w:tcW w:w="850" w:type="dxa"/>
          </w:tcPr>
          <w:p>
            <w:pPr>
              <w:pStyle w:val="TableParagraph"/>
              <w:spacing w:before="4"/>
              <w:rPr>
                <w:rFonts w:ascii="黑体"/>
                <w:sz w:val="21"/>
              </w:rPr>
            </w:pPr>
          </w:p>
          <w:p>
            <w:pPr>
              <w:pStyle w:val="TableParagraph"/>
              <w:ind w:left="287"/>
              <w:rPr>
                <w:sz w:val="18"/>
              </w:rPr>
            </w:pPr>
            <w:r>
              <w:rPr>
                <w:sz w:val="18"/>
              </w:rPr>
              <w:t>1.0</w:t>
            </w:r>
          </w:p>
        </w:tc>
        <w:tc>
          <w:tcPr>
            <w:tcW w:w="843" w:type="dxa"/>
          </w:tcPr>
          <w:p>
            <w:pPr>
              <w:pStyle w:val="TableParagraph"/>
              <w:spacing w:before="4"/>
              <w:rPr>
                <w:rFonts w:ascii="黑体"/>
                <w:sz w:val="21"/>
              </w:rPr>
            </w:pPr>
          </w:p>
          <w:p>
            <w:pPr>
              <w:pStyle w:val="TableParagraph"/>
              <w:ind w:left="285"/>
              <w:rPr>
                <w:sz w:val="18"/>
              </w:rPr>
            </w:pPr>
            <w:r>
              <w:rPr>
                <w:sz w:val="18"/>
              </w:rPr>
              <w:t>0.8</w:t>
            </w:r>
          </w:p>
        </w:tc>
        <w:tc>
          <w:tcPr>
            <w:tcW w:w="855" w:type="dxa"/>
          </w:tcPr>
          <w:p>
            <w:pPr>
              <w:pStyle w:val="TableParagraph"/>
              <w:spacing w:before="4"/>
              <w:rPr>
                <w:rFonts w:ascii="黑体"/>
                <w:sz w:val="21"/>
              </w:rPr>
            </w:pPr>
          </w:p>
          <w:p>
            <w:pPr>
              <w:pStyle w:val="TableParagraph"/>
              <w:ind w:left="270" w:right="263"/>
              <w:jc w:val="center"/>
              <w:rPr>
                <w:sz w:val="18"/>
              </w:rPr>
            </w:pPr>
            <w:r>
              <w:rPr>
                <w:sz w:val="18"/>
              </w:rPr>
              <w:t>0.4</w:t>
            </w:r>
          </w:p>
        </w:tc>
        <w:tc>
          <w:tcPr>
            <w:tcW w:w="855" w:type="dxa"/>
          </w:tcPr>
          <w:p>
            <w:pPr>
              <w:pStyle w:val="TableParagraph"/>
              <w:spacing w:before="4"/>
              <w:rPr>
                <w:rFonts w:ascii="黑体"/>
                <w:sz w:val="21"/>
              </w:rPr>
            </w:pPr>
          </w:p>
          <w:p>
            <w:pPr>
              <w:pStyle w:val="TableParagraph"/>
              <w:ind w:left="245"/>
              <w:rPr>
                <w:sz w:val="18"/>
              </w:rPr>
            </w:pPr>
            <w:r>
              <w:rPr>
                <w:sz w:val="18"/>
              </w:rPr>
              <w:t>&lt;0.4</w:t>
            </w:r>
          </w:p>
        </w:tc>
      </w:tr>
      <w:tr>
        <w:tblPrEx>
          <w:tblW w:w="0" w:type="auto"/>
          <w:jc w:val="left"/>
          <w:tblInd w:w="1039" w:type="dxa"/>
          <w:tblLayout w:type="fixed"/>
          <w:tblCellMar>
            <w:top w:w="0" w:type="dxa"/>
            <w:left w:w="0" w:type="dxa"/>
            <w:bottom w:w="0" w:type="dxa"/>
            <w:right w:w="0" w:type="dxa"/>
          </w:tblCellMar>
          <w:tblLook w:val="01E0"/>
        </w:tblPrEx>
        <w:trPr>
          <w:trHeight w:val="467"/>
          <w:jc w:val="left"/>
        </w:trPr>
        <w:tc>
          <w:tcPr>
            <w:tcW w:w="6240" w:type="dxa"/>
          </w:tcPr>
          <w:p>
            <w:pPr>
              <w:pStyle w:val="TableParagraph"/>
              <w:spacing w:before="117"/>
              <w:ind w:left="1074" w:right="1065"/>
              <w:jc w:val="center"/>
              <w:rPr>
                <w:sz w:val="18"/>
              </w:rPr>
            </w:pPr>
            <w:r>
              <w:rPr>
                <w:sz w:val="18"/>
              </w:rPr>
              <w:t>2 年以上的砾、粗、中、细、粉砂</w:t>
            </w:r>
          </w:p>
        </w:tc>
        <w:tc>
          <w:tcPr>
            <w:tcW w:w="850" w:type="dxa"/>
            <w:vMerge w:val="restart"/>
          </w:tcPr>
          <w:p>
            <w:pPr>
              <w:pStyle w:val="TableParagraph"/>
              <w:rPr>
                <w:rFonts w:ascii="黑体"/>
                <w:sz w:val="18"/>
              </w:rPr>
            </w:pPr>
          </w:p>
          <w:p>
            <w:pPr>
              <w:pStyle w:val="TableParagraph"/>
              <w:rPr>
                <w:rFonts w:ascii="黑体"/>
                <w:sz w:val="18"/>
              </w:rPr>
            </w:pPr>
          </w:p>
          <w:p>
            <w:pPr>
              <w:pStyle w:val="TableParagraph"/>
              <w:spacing w:before="136"/>
              <w:ind w:left="287"/>
              <w:rPr>
                <w:sz w:val="18"/>
              </w:rPr>
            </w:pPr>
            <w:r>
              <w:rPr>
                <w:sz w:val="18"/>
              </w:rPr>
              <w:t>1.2</w:t>
            </w:r>
          </w:p>
        </w:tc>
        <w:tc>
          <w:tcPr>
            <w:tcW w:w="843" w:type="dxa"/>
            <w:vMerge w:val="restart"/>
          </w:tcPr>
          <w:p>
            <w:pPr>
              <w:pStyle w:val="TableParagraph"/>
              <w:rPr>
                <w:rFonts w:ascii="黑体"/>
                <w:sz w:val="18"/>
              </w:rPr>
            </w:pPr>
          </w:p>
          <w:p>
            <w:pPr>
              <w:pStyle w:val="TableParagraph"/>
              <w:rPr>
                <w:rFonts w:ascii="黑体"/>
                <w:sz w:val="18"/>
              </w:rPr>
            </w:pPr>
          </w:p>
          <w:p>
            <w:pPr>
              <w:pStyle w:val="TableParagraph"/>
              <w:spacing w:before="136"/>
              <w:ind w:left="285"/>
              <w:rPr>
                <w:sz w:val="18"/>
              </w:rPr>
            </w:pPr>
            <w:r>
              <w:rPr>
                <w:sz w:val="18"/>
              </w:rPr>
              <w:t>1.1</w:t>
            </w:r>
          </w:p>
        </w:tc>
        <w:tc>
          <w:tcPr>
            <w:tcW w:w="855" w:type="dxa"/>
            <w:vMerge w:val="restart"/>
          </w:tcPr>
          <w:p>
            <w:pPr>
              <w:pStyle w:val="TableParagraph"/>
              <w:rPr>
                <w:rFonts w:ascii="黑体"/>
                <w:sz w:val="18"/>
              </w:rPr>
            </w:pPr>
          </w:p>
          <w:p>
            <w:pPr>
              <w:pStyle w:val="TableParagraph"/>
              <w:rPr>
                <w:rFonts w:ascii="黑体"/>
                <w:sz w:val="18"/>
              </w:rPr>
            </w:pPr>
          </w:p>
          <w:p>
            <w:pPr>
              <w:pStyle w:val="TableParagraph"/>
              <w:spacing w:before="136"/>
              <w:ind w:left="246"/>
              <w:rPr>
                <w:sz w:val="18"/>
              </w:rPr>
            </w:pPr>
            <w:r>
              <w:rPr>
                <w:sz w:val="18"/>
              </w:rPr>
              <w:t>1.05</w:t>
            </w:r>
          </w:p>
        </w:tc>
        <w:tc>
          <w:tcPr>
            <w:tcW w:w="855" w:type="dxa"/>
            <w:vMerge w:val="restart"/>
          </w:tcPr>
          <w:p>
            <w:pPr>
              <w:pStyle w:val="TableParagraph"/>
              <w:rPr>
                <w:rFonts w:ascii="黑体"/>
                <w:sz w:val="18"/>
              </w:rPr>
            </w:pPr>
          </w:p>
          <w:p>
            <w:pPr>
              <w:pStyle w:val="TableParagraph"/>
              <w:rPr>
                <w:rFonts w:ascii="黑体"/>
                <w:sz w:val="18"/>
              </w:rPr>
            </w:pPr>
          </w:p>
          <w:p>
            <w:pPr>
              <w:pStyle w:val="TableParagraph"/>
              <w:spacing w:before="136"/>
              <w:ind w:left="270" w:right="264"/>
              <w:jc w:val="center"/>
              <w:rPr>
                <w:sz w:val="18"/>
              </w:rPr>
            </w:pPr>
            <w:r>
              <w:rPr>
                <w:sz w:val="18"/>
              </w:rPr>
              <w:t>1.0</w:t>
            </w:r>
          </w:p>
        </w:tc>
      </w:tr>
      <w:tr>
        <w:tblPrEx>
          <w:tblW w:w="0" w:type="auto"/>
          <w:jc w:val="left"/>
          <w:tblInd w:w="1039" w:type="dxa"/>
          <w:tblLayout w:type="fixed"/>
          <w:tblCellMar>
            <w:top w:w="0" w:type="dxa"/>
            <w:left w:w="0" w:type="dxa"/>
            <w:bottom w:w="0" w:type="dxa"/>
            <w:right w:w="0" w:type="dxa"/>
          </w:tblCellMar>
          <w:tblLook w:val="01E0"/>
        </w:tblPrEx>
        <w:trPr>
          <w:trHeight w:val="470"/>
          <w:jc w:val="left"/>
        </w:trPr>
        <w:tc>
          <w:tcPr>
            <w:tcW w:w="6240" w:type="dxa"/>
          </w:tcPr>
          <w:p>
            <w:pPr>
              <w:pStyle w:val="TableParagraph"/>
              <w:spacing w:before="120"/>
              <w:ind w:left="1074" w:right="1065"/>
              <w:jc w:val="center"/>
              <w:rPr>
                <w:sz w:val="18"/>
              </w:rPr>
            </w:pPr>
            <w:r>
              <w:rPr>
                <w:sz w:val="18"/>
              </w:rPr>
              <w:t>5 年以上的粉土和粉质粘土</w:t>
            </w:r>
          </w:p>
        </w:tc>
        <w:tc>
          <w:tcPr>
            <w:tcW w:w="850" w:type="dxa"/>
            <w:vMerge/>
            <w:tcBorders>
              <w:top w:val="nil"/>
            </w:tcBorders>
          </w:tcPr>
          <w:p>
            <w:pPr>
              <w:rPr>
                <w:sz w:val="2"/>
                <w:szCs w:val="2"/>
              </w:rPr>
            </w:pPr>
          </w:p>
        </w:tc>
        <w:tc>
          <w:tcPr>
            <w:tcW w:w="843" w:type="dxa"/>
            <w:vMerge/>
            <w:tcBorders>
              <w:top w:val="nil"/>
            </w:tcBorders>
          </w:tcPr>
          <w:p>
            <w:pPr>
              <w:rPr>
                <w:sz w:val="2"/>
                <w:szCs w:val="2"/>
              </w:rPr>
            </w:pPr>
          </w:p>
        </w:tc>
        <w:tc>
          <w:tcPr>
            <w:tcW w:w="855" w:type="dxa"/>
            <w:vMerge/>
            <w:tcBorders>
              <w:top w:val="nil"/>
            </w:tcBorders>
          </w:tcPr>
          <w:p>
            <w:pPr>
              <w:rPr>
                <w:sz w:val="2"/>
                <w:szCs w:val="2"/>
              </w:rPr>
            </w:pPr>
          </w:p>
        </w:tc>
        <w:tc>
          <w:tcPr>
            <w:tcW w:w="855" w:type="dxa"/>
            <w:vMerge/>
            <w:tcBorders>
              <w:top w:val="nil"/>
            </w:tcBorders>
          </w:tcPr>
          <w:p>
            <w:pPr>
              <w:rPr>
                <w:sz w:val="2"/>
                <w:szCs w:val="2"/>
              </w:rPr>
            </w:pPr>
          </w:p>
        </w:tc>
      </w:tr>
      <w:tr>
        <w:tblPrEx>
          <w:tblW w:w="0" w:type="auto"/>
          <w:jc w:val="left"/>
          <w:tblInd w:w="1039" w:type="dxa"/>
          <w:tblLayout w:type="fixed"/>
          <w:tblCellMar>
            <w:top w:w="0" w:type="dxa"/>
            <w:left w:w="0" w:type="dxa"/>
            <w:bottom w:w="0" w:type="dxa"/>
            <w:right w:w="0" w:type="dxa"/>
          </w:tblCellMar>
          <w:tblLook w:val="01E0"/>
        </w:tblPrEx>
        <w:trPr>
          <w:trHeight w:val="467"/>
          <w:jc w:val="left"/>
        </w:trPr>
        <w:tc>
          <w:tcPr>
            <w:tcW w:w="6240" w:type="dxa"/>
          </w:tcPr>
          <w:p>
            <w:pPr>
              <w:pStyle w:val="TableParagraph"/>
              <w:spacing w:before="117"/>
              <w:ind w:left="1074" w:right="1065"/>
              <w:jc w:val="center"/>
              <w:rPr>
                <w:sz w:val="18"/>
              </w:rPr>
            </w:pPr>
            <w:r>
              <w:rPr>
                <w:sz w:val="18"/>
              </w:rPr>
              <w:t>8 年以上地基土承载力特征值大于 100 kPa 的粘土</w:t>
            </w:r>
          </w:p>
        </w:tc>
        <w:tc>
          <w:tcPr>
            <w:tcW w:w="850" w:type="dxa"/>
            <w:vMerge/>
            <w:tcBorders>
              <w:top w:val="nil"/>
            </w:tcBorders>
          </w:tcPr>
          <w:p>
            <w:pPr>
              <w:rPr>
                <w:sz w:val="2"/>
                <w:szCs w:val="2"/>
              </w:rPr>
            </w:pPr>
          </w:p>
        </w:tc>
        <w:tc>
          <w:tcPr>
            <w:tcW w:w="843" w:type="dxa"/>
            <w:vMerge/>
            <w:tcBorders>
              <w:top w:val="nil"/>
            </w:tcBorders>
          </w:tcPr>
          <w:p>
            <w:pPr>
              <w:rPr>
                <w:sz w:val="2"/>
                <w:szCs w:val="2"/>
              </w:rPr>
            </w:pPr>
          </w:p>
        </w:tc>
        <w:tc>
          <w:tcPr>
            <w:tcW w:w="855" w:type="dxa"/>
            <w:vMerge/>
            <w:tcBorders>
              <w:top w:val="nil"/>
            </w:tcBorders>
          </w:tcPr>
          <w:p>
            <w:pPr>
              <w:rPr>
                <w:sz w:val="2"/>
                <w:szCs w:val="2"/>
              </w:rPr>
            </w:pPr>
          </w:p>
        </w:tc>
        <w:tc>
          <w:tcPr>
            <w:tcW w:w="855" w:type="dxa"/>
            <w:vMerge/>
            <w:tcBorders>
              <w:top w:val="nil"/>
            </w:tcBorders>
          </w:tcPr>
          <w:p>
            <w:pPr>
              <w:rPr>
                <w:sz w:val="2"/>
                <w:szCs w:val="2"/>
              </w:rPr>
            </w:pPr>
          </w:p>
        </w:tc>
      </w:tr>
      <w:tr>
        <w:tblPrEx>
          <w:tblW w:w="0" w:type="auto"/>
          <w:jc w:val="left"/>
          <w:tblInd w:w="1039" w:type="dxa"/>
          <w:tblLayout w:type="fixed"/>
          <w:tblCellMar>
            <w:top w:w="0" w:type="dxa"/>
            <w:left w:w="0" w:type="dxa"/>
            <w:bottom w:w="0" w:type="dxa"/>
            <w:right w:w="0" w:type="dxa"/>
          </w:tblCellMar>
          <w:tblLook w:val="01E0"/>
        </w:tblPrEx>
        <w:trPr>
          <w:trHeight w:val="623"/>
          <w:jc w:val="left"/>
        </w:trPr>
        <w:tc>
          <w:tcPr>
            <w:tcW w:w="9643" w:type="dxa"/>
            <w:gridSpan w:val="5"/>
          </w:tcPr>
          <w:p>
            <w:pPr>
              <w:pStyle w:val="TableParagraph"/>
              <w:spacing w:before="38"/>
              <w:ind w:left="107"/>
              <w:rPr>
                <w:sz w:val="18"/>
              </w:rPr>
            </w:pPr>
            <w:r>
              <w:rPr>
                <w:position w:val="1"/>
                <w:sz w:val="18"/>
              </w:rPr>
              <w:t>注1： p</w:t>
            </w:r>
            <w:r>
              <w:rPr>
                <w:sz w:val="9"/>
              </w:rPr>
              <w:t>0</w:t>
            </w:r>
            <w:r>
              <w:rPr>
                <w:position w:val="1"/>
                <w:sz w:val="18"/>
              </w:rPr>
              <w:t>指基础底面实际平均压应力（kPa），fa指地基土承载力特征值（kPa）。</w:t>
            </w:r>
          </w:p>
          <w:p>
            <w:pPr>
              <w:pStyle w:val="TableParagraph"/>
              <w:spacing w:before="81"/>
              <w:ind w:left="107"/>
              <w:rPr>
                <w:sz w:val="18"/>
              </w:rPr>
            </w:pPr>
            <w:r>
              <w:rPr>
                <w:sz w:val="18"/>
              </w:rPr>
              <w:t>注2： 使用期不够或岩石、碎石土、其它软弱土，提高系数可取1.0。</w:t>
            </w:r>
          </w:p>
        </w:tc>
      </w:tr>
    </w:tbl>
    <w:p>
      <w:pPr>
        <w:pStyle w:val="BodyText"/>
        <w:spacing w:before="1"/>
        <w:rPr>
          <w:rFonts w:ascii="黑体"/>
          <w:sz w:val="26"/>
        </w:rPr>
      </w:pPr>
    </w:p>
    <w:p>
      <w:pPr>
        <w:pStyle w:val="ListParagraph"/>
        <w:numPr>
          <w:ilvl w:val="2"/>
          <w:numId w:val="21"/>
        </w:numPr>
        <w:tabs>
          <w:tab w:val="left" w:pos="2018"/>
          <w:tab w:val="left" w:pos="2019"/>
        </w:tabs>
        <w:spacing w:before="0" w:after="0" w:line="278" w:lineRule="auto"/>
        <w:ind w:left="1178" w:right="982" w:hanging="1"/>
        <w:jc w:val="left"/>
        <w:rPr>
          <w:sz w:val="21"/>
        </w:rPr>
      </w:pPr>
      <w:bookmarkStart w:id="202" w:name="7.2.3 根据地基基础资料与现场调查查勘、检测结果，若房屋在正常使用情况下，符"/>
      <w:bookmarkEnd w:id="202"/>
      <w:r>
        <w:rPr>
          <w:spacing w:val="-3"/>
          <w:sz w:val="21"/>
        </w:rPr>
        <w:t>根据地基基础资料与现场调查查勘、检测结果，若房屋在正常使用情况下，符合以下条件之</w:t>
      </w:r>
      <w:r>
        <w:rPr>
          <w:spacing w:val="-3"/>
          <w:sz w:val="21"/>
        </w:rPr>
        <w:t>一的，可直接评定地基为非危险状态：</w:t>
      </w:r>
    </w:p>
    <w:p>
      <w:pPr>
        <w:pStyle w:val="ListParagraph"/>
        <w:numPr>
          <w:ilvl w:val="3"/>
          <w:numId w:val="21"/>
        </w:numPr>
        <w:tabs>
          <w:tab w:val="left" w:pos="2019"/>
        </w:tabs>
        <w:spacing w:before="0" w:after="0" w:line="269" w:lineRule="exact"/>
        <w:ind w:left="2018" w:right="0" w:hanging="414"/>
        <w:jc w:val="left"/>
        <w:rPr>
          <w:sz w:val="21"/>
        </w:rPr>
      </w:pPr>
      <w:bookmarkStart w:id="203" w:name="a) 地基没有明显不均匀沉降，且不存在因地基不均匀沉降引起的裂缝、倾斜等问题；"/>
      <w:bookmarkEnd w:id="203"/>
      <w:r>
        <w:rPr>
          <w:spacing w:val="-3"/>
          <w:sz w:val="21"/>
        </w:rPr>
        <w:t>地基没有明显不均匀沉降，且不存在因地基不均匀沉降引起的裂缝、倾斜等问题；</w:t>
      </w:r>
    </w:p>
    <w:p>
      <w:pPr>
        <w:pStyle w:val="ListParagraph"/>
        <w:numPr>
          <w:ilvl w:val="3"/>
          <w:numId w:val="21"/>
        </w:numPr>
        <w:tabs>
          <w:tab w:val="left" w:pos="2019"/>
        </w:tabs>
        <w:spacing w:before="43" w:after="0" w:line="278" w:lineRule="auto"/>
        <w:ind w:left="2025" w:right="980" w:hanging="421"/>
        <w:jc w:val="left"/>
        <w:rPr>
          <w:sz w:val="21"/>
        </w:rPr>
      </w:pPr>
      <w:bookmarkStart w:id="204" w:name="b) 虽然存在因地基不均匀沉降引起的细微裂缝或倾斜情况，但均在本规程规定的允许范"/>
      <w:bookmarkEnd w:id="204"/>
      <w:r>
        <w:rPr>
          <w:spacing w:val="-3"/>
          <w:sz w:val="21"/>
        </w:rPr>
        <w:t>虽然存在因地基不均匀沉降引起的细微裂缝或倾斜情况，但均在本规程规定的允许范围内，</w:t>
      </w:r>
      <w:r>
        <w:rPr>
          <w:spacing w:val="-3"/>
          <w:sz w:val="21"/>
        </w:rPr>
        <w:t xml:space="preserve"> 且地基沉降已稳定。</w:t>
      </w:r>
    </w:p>
    <w:p>
      <w:pPr>
        <w:pStyle w:val="ListParagraph"/>
        <w:numPr>
          <w:ilvl w:val="2"/>
          <w:numId w:val="21"/>
        </w:numPr>
        <w:tabs>
          <w:tab w:val="left" w:pos="2018"/>
          <w:tab w:val="left" w:pos="2019"/>
        </w:tabs>
        <w:spacing w:before="0" w:after="0" w:line="269" w:lineRule="exact"/>
        <w:ind w:left="2018" w:right="0" w:hanging="841"/>
        <w:jc w:val="left"/>
        <w:rPr>
          <w:sz w:val="21"/>
        </w:rPr>
      </w:pPr>
      <w:bookmarkStart w:id="205" w:name="7.2.4 当单层或多层房屋地基出现下列现象之一时，应评定为危险状态："/>
      <w:bookmarkEnd w:id="205"/>
      <w:r>
        <w:rPr>
          <w:spacing w:val="-3"/>
          <w:sz w:val="21"/>
        </w:rPr>
        <w:t>当单层或多层房屋地基出现下列现象之一时，应评定为危险状态：</w:t>
      </w:r>
    </w:p>
    <w:p>
      <w:pPr>
        <w:pStyle w:val="ListParagraph"/>
        <w:numPr>
          <w:ilvl w:val="3"/>
          <w:numId w:val="21"/>
        </w:numPr>
        <w:tabs>
          <w:tab w:val="left" w:pos="2019"/>
        </w:tabs>
        <w:spacing w:before="43" w:after="0" w:line="278" w:lineRule="auto"/>
        <w:ind w:left="2026" w:right="876" w:hanging="421"/>
        <w:jc w:val="left"/>
        <w:rPr>
          <w:sz w:val="21"/>
        </w:rPr>
      </w:pPr>
      <w:bookmarkStart w:id="206" w:name="a) 当房屋处于自然状态时，地基沉降速率连续两个月大于4 mm/month，并且"/>
      <w:bookmarkEnd w:id="206"/>
      <w:r>
        <w:rPr>
          <w:spacing w:val="-9"/>
          <w:sz w:val="21"/>
        </w:rPr>
        <w:t xml:space="preserve">当房屋处于自然状态时，地基沉降速率连续两个月大于 </w:t>
      </w:r>
      <w:r>
        <w:rPr>
          <w:sz w:val="21"/>
        </w:rPr>
        <w:t>4</w:t>
      </w:r>
      <w:r>
        <w:rPr>
          <w:spacing w:val="-33"/>
          <w:sz w:val="21"/>
        </w:rPr>
        <w:t xml:space="preserve"> </w:t>
      </w:r>
      <w:r>
        <w:rPr>
          <w:spacing w:val="-7"/>
          <w:sz w:val="21"/>
        </w:rPr>
        <w:t>mm/month</w:t>
      </w:r>
      <w:r>
        <w:rPr>
          <w:spacing w:val="-4"/>
          <w:sz w:val="21"/>
        </w:rPr>
        <w:t xml:space="preserve">，并且短期内无收敛趋势； </w:t>
      </w:r>
      <w:r>
        <w:rPr>
          <w:spacing w:val="-6"/>
          <w:sz w:val="21"/>
        </w:rPr>
        <w:t xml:space="preserve">当房屋处于相邻地下工程或新建工程施工影响时，地基沉降速率大于 </w:t>
      </w:r>
      <w:r>
        <w:rPr>
          <w:sz w:val="21"/>
        </w:rPr>
        <w:t>2</w:t>
      </w:r>
      <w:r>
        <w:rPr>
          <w:spacing w:val="-46"/>
          <w:sz w:val="21"/>
        </w:rPr>
        <w:t xml:space="preserve"> </w:t>
      </w:r>
      <w:r>
        <w:rPr>
          <w:sz w:val="21"/>
        </w:rPr>
        <w:t>mm/d，</w:t>
      </w:r>
      <w:r>
        <w:rPr>
          <w:spacing w:val="-3"/>
          <w:sz w:val="21"/>
        </w:rPr>
        <w:t>并且短期内无</w:t>
      </w:r>
      <w:r>
        <w:rPr>
          <w:spacing w:val="-1"/>
          <w:sz w:val="21"/>
        </w:rPr>
        <w:t>收敛趋势；</w:t>
      </w:r>
    </w:p>
    <w:p>
      <w:pPr>
        <w:pStyle w:val="ListParagraph"/>
        <w:numPr>
          <w:ilvl w:val="3"/>
          <w:numId w:val="21"/>
        </w:numPr>
        <w:tabs>
          <w:tab w:val="left" w:pos="2020"/>
        </w:tabs>
        <w:spacing w:before="0" w:after="0" w:line="278" w:lineRule="auto"/>
        <w:ind w:left="2026" w:right="981" w:hanging="421"/>
        <w:jc w:val="left"/>
        <w:rPr>
          <w:sz w:val="21"/>
        </w:rPr>
      </w:pPr>
      <w:bookmarkStart w:id="207" w:name="b) 因地基变形引起砌体结构房屋承重墙体产生单条宽度大于10 mm的沉降裂缝，或"/>
      <w:bookmarkEnd w:id="207"/>
      <w:r>
        <w:rPr>
          <w:spacing w:val="-5"/>
          <w:sz w:val="21"/>
        </w:rPr>
        <w:t xml:space="preserve">因地基变形引起砌体结构房屋承重墙体产生单条宽度大于 </w:t>
      </w:r>
      <w:r>
        <w:rPr>
          <w:sz w:val="21"/>
        </w:rPr>
        <w:t>10</w:t>
      </w:r>
      <w:r>
        <w:rPr>
          <w:spacing w:val="19"/>
          <w:sz w:val="21"/>
        </w:rPr>
        <w:t xml:space="preserve"> </w:t>
      </w:r>
      <w:r>
        <w:rPr>
          <w:sz w:val="21"/>
        </w:rPr>
        <w:t>mm</w:t>
      </w:r>
      <w:r>
        <w:rPr>
          <w:spacing w:val="-8"/>
          <w:sz w:val="21"/>
        </w:rPr>
        <w:t xml:space="preserve"> 的沉降裂缝，或产生最大裂</w:t>
      </w:r>
      <w:r>
        <w:rPr>
          <w:spacing w:val="-11"/>
          <w:sz w:val="21"/>
        </w:rPr>
        <w:t xml:space="preserve">缝宽度大于 </w:t>
      </w:r>
      <w:r>
        <w:rPr>
          <w:sz w:val="21"/>
        </w:rPr>
        <w:t>5</w:t>
      </w:r>
      <w:r>
        <w:rPr>
          <w:spacing w:val="2"/>
          <w:sz w:val="21"/>
        </w:rPr>
        <w:t xml:space="preserve"> </w:t>
      </w:r>
      <w:r>
        <w:rPr>
          <w:sz w:val="21"/>
        </w:rPr>
        <w:t>mm</w:t>
      </w:r>
      <w:r>
        <w:rPr>
          <w:spacing w:val="-11"/>
          <w:sz w:val="21"/>
        </w:rPr>
        <w:t xml:space="preserve"> 的多条平行沉降裂缝，且房屋整体倾斜率大于 </w:t>
      </w:r>
      <w:r>
        <w:rPr>
          <w:sz w:val="21"/>
        </w:rPr>
        <w:t>10‰；</w:t>
      </w:r>
    </w:p>
    <w:p>
      <w:pPr>
        <w:pStyle w:val="ListParagraph"/>
        <w:numPr>
          <w:ilvl w:val="3"/>
          <w:numId w:val="21"/>
        </w:numPr>
        <w:tabs>
          <w:tab w:val="left" w:pos="2020"/>
        </w:tabs>
        <w:spacing w:before="0" w:after="0" w:line="269" w:lineRule="exact"/>
        <w:ind w:left="2019" w:right="0" w:hanging="414"/>
        <w:jc w:val="left"/>
        <w:rPr>
          <w:sz w:val="21"/>
        </w:rPr>
      </w:pPr>
      <w:bookmarkStart w:id="208" w:name="c) 因地基变形引起混凝土结构房屋框架梁、柱出现开裂，且房屋整体倾斜率大于10‰"/>
      <w:bookmarkEnd w:id="208"/>
      <w:r>
        <w:rPr>
          <w:spacing w:val="-4"/>
          <w:sz w:val="21"/>
        </w:rPr>
        <w:t xml:space="preserve">因地基变形引起混凝土结构房屋框架梁、柱出现开裂，且房屋整体倾斜率大于 </w:t>
      </w:r>
      <w:r>
        <w:rPr>
          <w:sz w:val="21"/>
        </w:rPr>
        <w:t>10‰；</w:t>
      </w:r>
    </w:p>
    <w:p>
      <w:pPr>
        <w:pStyle w:val="ListParagraph"/>
        <w:numPr>
          <w:ilvl w:val="3"/>
          <w:numId w:val="21"/>
        </w:numPr>
        <w:tabs>
          <w:tab w:val="left" w:pos="2021"/>
        </w:tabs>
        <w:spacing w:before="43" w:after="0" w:line="240" w:lineRule="auto"/>
        <w:ind w:left="2020" w:right="0" w:hanging="414"/>
        <w:jc w:val="left"/>
        <w:rPr>
          <w:sz w:val="21"/>
        </w:rPr>
      </w:pPr>
      <w:bookmarkStart w:id="209" w:name="d) 两层及两层以下房屋整体倾斜率超过30‰，三层及三层以上房屋整体倾斜率超过2"/>
      <w:bookmarkEnd w:id="209"/>
      <w:r>
        <w:rPr>
          <w:spacing w:val="-6"/>
          <w:sz w:val="21"/>
        </w:rPr>
        <w:t xml:space="preserve">两层及两层以下房屋整体倾斜率超过 </w:t>
      </w:r>
      <w:r>
        <w:rPr>
          <w:sz w:val="21"/>
        </w:rPr>
        <w:t>30</w:t>
      </w:r>
      <w:r>
        <w:rPr>
          <w:spacing w:val="-6"/>
          <w:sz w:val="21"/>
        </w:rPr>
        <w:t xml:space="preserve">‰，三层及三层以上房屋整体倾斜率超过 </w:t>
      </w:r>
      <w:r>
        <w:rPr>
          <w:spacing w:val="-3"/>
          <w:sz w:val="21"/>
        </w:rPr>
        <w:t>20‰；</w:t>
      </w:r>
    </w:p>
    <w:p>
      <w:pPr>
        <w:pStyle w:val="ListParagraph"/>
        <w:numPr>
          <w:ilvl w:val="3"/>
          <w:numId w:val="21"/>
        </w:numPr>
        <w:tabs>
          <w:tab w:val="left" w:pos="2021"/>
        </w:tabs>
        <w:spacing w:before="42" w:after="0" w:line="240" w:lineRule="auto"/>
        <w:ind w:left="2020" w:right="0" w:hanging="414"/>
        <w:jc w:val="left"/>
        <w:rPr>
          <w:sz w:val="21"/>
        </w:rPr>
      </w:pPr>
      <w:bookmarkStart w:id="210" w:name="e) 地基不稳定产生滑移，水平位移量大于10 mm，且仍有继续滑动迹象。"/>
      <w:bookmarkEnd w:id="210"/>
      <w:r>
        <w:rPr>
          <w:spacing w:val="-6"/>
          <w:sz w:val="21"/>
        </w:rPr>
        <w:t xml:space="preserve">地基不稳定产生滑移，水平位移量大于 </w:t>
      </w:r>
      <w:r>
        <w:rPr>
          <w:sz w:val="21"/>
        </w:rPr>
        <w:t>10</w:t>
      </w:r>
      <w:r>
        <w:rPr>
          <w:spacing w:val="1"/>
          <w:sz w:val="21"/>
        </w:rPr>
        <w:t xml:space="preserve"> </w:t>
      </w:r>
      <w:r>
        <w:rPr>
          <w:sz w:val="21"/>
        </w:rPr>
        <w:t>mm</w:t>
      </w:r>
      <w:r>
        <w:rPr>
          <w:spacing w:val="-3"/>
          <w:sz w:val="21"/>
        </w:rPr>
        <w:t>，且仍有继续滑动迹象。</w:t>
      </w:r>
    </w:p>
    <w:p>
      <w:pPr>
        <w:pStyle w:val="ListParagraph"/>
        <w:numPr>
          <w:ilvl w:val="2"/>
          <w:numId w:val="21"/>
        </w:numPr>
        <w:tabs>
          <w:tab w:val="left" w:pos="2020"/>
          <w:tab w:val="left" w:pos="2021"/>
        </w:tabs>
        <w:spacing w:before="43" w:after="0" w:line="240" w:lineRule="auto"/>
        <w:ind w:left="2020" w:right="0" w:hanging="841"/>
        <w:jc w:val="left"/>
        <w:rPr>
          <w:sz w:val="21"/>
        </w:rPr>
      </w:pPr>
      <w:bookmarkStart w:id="211" w:name="7.2.5 当高层房屋地基沉降出现下列现象之一时，应评定为危险状态："/>
      <w:bookmarkEnd w:id="211"/>
      <w:r>
        <w:rPr>
          <w:spacing w:val="-3"/>
          <w:sz w:val="21"/>
        </w:rPr>
        <w:t>当高层房屋地基沉降出现下列现象之一时，应评定为危险状态：</w:t>
      </w:r>
    </w:p>
    <w:p>
      <w:pPr>
        <w:pStyle w:val="ListParagraph"/>
        <w:numPr>
          <w:ilvl w:val="3"/>
          <w:numId w:val="21"/>
        </w:numPr>
        <w:tabs>
          <w:tab w:val="left" w:pos="2021"/>
        </w:tabs>
        <w:spacing w:before="43" w:after="0" w:line="240" w:lineRule="auto"/>
        <w:ind w:left="2020" w:right="0" w:hanging="414"/>
        <w:jc w:val="left"/>
        <w:rPr>
          <w:sz w:val="21"/>
        </w:rPr>
      </w:pPr>
      <w:bookmarkStart w:id="212" w:name="a) 不利于房屋整体稳定性的倾斜率增速连续两个月大于0.5‰/month，且短期"/>
      <w:bookmarkEnd w:id="212"/>
      <w:r>
        <w:rPr>
          <w:spacing w:val="-4"/>
          <w:sz w:val="21"/>
        </w:rPr>
        <w:t xml:space="preserve">不利于房屋整体稳定性的倾斜率增速连续两个月大于 </w:t>
      </w:r>
      <w:r>
        <w:rPr>
          <w:sz w:val="21"/>
        </w:rPr>
        <w:t>0.5‰/month</w:t>
      </w:r>
      <w:r>
        <w:rPr>
          <w:spacing w:val="-3"/>
          <w:sz w:val="21"/>
        </w:rPr>
        <w:t>，且短期内无收敛趋势；</w:t>
      </w:r>
    </w:p>
    <w:p>
      <w:pPr>
        <w:pStyle w:val="ListParagraph"/>
        <w:numPr>
          <w:ilvl w:val="3"/>
          <w:numId w:val="21"/>
        </w:numPr>
        <w:tabs>
          <w:tab w:val="left" w:pos="2021"/>
        </w:tabs>
        <w:spacing w:before="43" w:after="0" w:line="240" w:lineRule="auto"/>
        <w:ind w:left="2020" w:right="0" w:hanging="414"/>
        <w:jc w:val="left"/>
        <w:rPr>
          <w:sz w:val="21"/>
        </w:rPr>
      </w:pPr>
      <w:bookmarkStart w:id="213" w:name="b) 上部承重结构构件及连接节点因沉降变形产生裂缝，且房屋的开裂损坏趋势仍在继续"/>
      <w:bookmarkEnd w:id="213"/>
      <w:r>
        <w:rPr>
          <w:spacing w:val="-3"/>
          <w:sz w:val="21"/>
        </w:rPr>
        <w:t>上部承重结构构件及连接节点因沉降变形产生裂缝，且房屋的开裂损坏趋势仍在继续发展；</w:t>
      </w:r>
    </w:p>
    <w:p>
      <w:pPr>
        <w:pStyle w:val="ListParagraph"/>
        <w:numPr>
          <w:ilvl w:val="3"/>
          <w:numId w:val="21"/>
        </w:numPr>
        <w:tabs>
          <w:tab w:val="left" w:pos="2021"/>
        </w:tabs>
        <w:spacing w:before="43" w:after="0" w:line="240" w:lineRule="auto"/>
        <w:ind w:left="2020" w:right="0" w:hanging="414"/>
        <w:jc w:val="left"/>
        <w:rPr>
          <w:sz w:val="21"/>
        </w:rPr>
      </w:pPr>
      <w:bookmarkStart w:id="214" w:name="c) 当60 m＜Hg≤100 m时，房屋整体倾斜率超过0.5％；"/>
      <w:bookmarkEnd w:id="214"/>
      <w:r>
        <w:rPr>
          <w:spacing w:val="-27"/>
          <w:sz w:val="21"/>
        </w:rPr>
        <w:t xml:space="preserve">当 </w:t>
      </w:r>
      <w:r>
        <w:rPr>
          <w:sz w:val="21"/>
        </w:rPr>
        <w:t>60</w:t>
      </w:r>
      <w:r>
        <w:rPr>
          <w:spacing w:val="-2"/>
          <w:sz w:val="21"/>
        </w:rPr>
        <w:t xml:space="preserve"> </w:t>
      </w:r>
      <w:r>
        <w:rPr>
          <w:sz w:val="21"/>
        </w:rPr>
        <w:t>m＜Hg</w:t>
      </w:r>
      <w:r>
        <w:rPr>
          <w:rFonts w:ascii="Times New Roman" w:eastAsia="Times New Roman" w:hAnsi="Times New Roman"/>
          <w:sz w:val="21"/>
        </w:rPr>
        <w:t>≤</w:t>
      </w:r>
      <w:r>
        <w:rPr>
          <w:sz w:val="21"/>
        </w:rPr>
        <w:t>100</w:t>
      </w:r>
      <w:r>
        <w:rPr>
          <w:spacing w:val="-2"/>
          <w:sz w:val="21"/>
        </w:rPr>
        <w:t xml:space="preserve"> </w:t>
      </w:r>
      <w:r>
        <w:rPr>
          <w:sz w:val="21"/>
        </w:rPr>
        <w:t>m</w:t>
      </w:r>
      <w:r>
        <w:rPr>
          <w:spacing w:val="-12"/>
          <w:sz w:val="21"/>
        </w:rPr>
        <w:t xml:space="preserve"> 时，房屋整体倾斜率超过 </w:t>
      </w:r>
      <w:r>
        <w:rPr>
          <w:sz w:val="21"/>
        </w:rPr>
        <w:t>0.5％；</w:t>
      </w:r>
    </w:p>
    <w:p>
      <w:pPr>
        <w:pStyle w:val="ListParagraph"/>
        <w:numPr>
          <w:ilvl w:val="3"/>
          <w:numId w:val="21"/>
        </w:numPr>
        <w:tabs>
          <w:tab w:val="left" w:pos="2021"/>
        </w:tabs>
        <w:spacing w:before="43" w:after="0" w:line="240" w:lineRule="auto"/>
        <w:ind w:left="2020" w:right="0" w:hanging="414"/>
        <w:jc w:val="left"/>
        <w:rPr>
          <w:sz w:val="21"/>
        </w:rPr>
      </w:pPr>
      <w:bookmarkStart w:id="215" w:name="d) 当24 m＜Hg≤60 m时，房屋整体倾斜率超过0.7％，且同时出现以下情"/>
      <w:bookmarkEnd w:id="215"/>
      <w:r>
        <w:rPr>
          <w:spacing w:val="-27"/>
          <w:sz w:val="21"/>
        </w:rPr>
        <w:t xml:space="preserve">当 </w:t>
      </w:r>
      <w:r>
        <w:rPr>
          <w:sz w:val="21"/>
        </w:rPr>
        <w:t>24</w:t>
      </w:r>
      <w:r>
        <w:rPr>
          <w:spacing w:val="-1"/>
          <w:sz w:val="21"/>
        </w:rPr>
        <w:t xml:space="preserve"> </w:t>
      </w:r>
      <w:r>
        <w:rPr>
          <w:sz w:val="21"/>
        </w:rPr>
        <w:t>m＜Hg</w:t>
      </w:r>
      <w:r>
        <w:rPr>
          <w:rFonts w:ascii="Times New Roman" w:eastAsia="Times New Roman" w:hAnsi="Times New Roman"/>
          <w:sz w:val="21"/>
        </w:rPr>
        <w:t>≤</w:t>
      </w:r>
      <w:r>
        <w:rPr>
          <w:sz w:val="21"/>
        </w:rPr>
        <w:t>60 m</w:t>
      </w:r>
      <w:r>
        <w:rPr>
          <w:spacing w:val="-12"/>
          <w:sz w:val="21"/>
        </w:rPr>
        <w:t xml:space="preserve"> 时，房屋整体倾斜率超过 </w:t>
      </w:r>
      <w:r>
        <w:rPr>
          <w:sz w:val="21"/>
        </w:rPr>
        <w:t>0.7</w:t>
      </w:r>
      <w:r>
        <w:rPr>
          <w:spacing w:val="-3"/>
          <w:sz w:val="21"/>
        </w:rPr>
        <w:t>％，且同时出现以下情形之一：</w:t>
      </w:r>
    </w:p>
    <w:p>
      <w:pPr>
        <w:pStyle w:val="BodyText"/>
        <w:tabs>
          <w:tab w:val="left" w:pos="2440"/>
        </w:tabs>
        <w:spacing w:before="43"/>
        <w:ind w:left="1747"/>
      </w:pPr>
      <w:bookmarkStart w:id="216" w:name="（1) 根据结构现状，地基竖向承载能力验算结果不符合GB 50007的要求；"/>
      <w:bookmarkEnd w:id="216"/>
      <w:r>
        <w:t>（1)</w:t>
        <w:tab/>
      </w:r>
      <w:r>
        <w:rPr>
          <w:spacing w:val="-6"/>
        </w:rPr>
        <w:t xml:space="preserve">根据结构现状，地基竖向承载能力验算结果不符合 </w:t>
      </w:r>
      <w:r>
        <w:t>GB</w:t>
      </w:r>
      <w:r>
        <w:rPr>
          <w:spacing w:val="1"/>
        </w:rPr>
        <w:t xml:space="preserve"> </w:t>
      </w:r>
      <w:r>
        <w:t>50007</w:t>
      </w:r>
      <w:r>
        <w:rPr>
          <w:spacing w:val="-12"/>
        </w:rPr>
        <w:t xml:space="preserve"> 的要求；</w:t>
      </w:r>
    </w:p>
    <w:p>
      <w:pPr>
        <w:pStyle w:val="BodyText"/>
        <w:tabs>
          <w:tab w:val="left" w:pos="2440"/>
        </w:tabs>
        <w:spacing w:before="43"/>
        <w:ind w:left="1747"/>
      </w:pPr>
      <w:bookmarkStart w:id="217" w:name="（2) 房屋经沉降观测确定其地基处于非稳定状态，且短期内沉降速率无收敛趋势；"/>
      <w:bookmarkEnd w:id="217"/>
      <w:r>
        <w:t>（2)</w:t>
        <w:tab/>
      </w:r>
      <w:r>
        <w:rPr>
          <w:spacing w:val="-3"/>
        </w:rPr>
        <w:t>房屋经沉降观测确定其地基处于非稳定状态，且短期内沉降速率无收敛趋势；</w:t>
      </w:r>
    </w:p>
    <w:p>
      <w:pPr>
        <w:pStyle w:val="BodyText"/>
        <w:tabs>
          <w:tab w:val="left" w:pos="2440"/>
        </w:tabs>
        <w:spacing w:before="42"/>
        <w:ind w:left="1747"/>
      </w:pPr>
      <w:bookmarkStart w:id="218" w:name="（3) 临近边坡或基坑的房屋周边土层出现位移或裂缝，且与房屋倾斜相关联；"/>
      <w:bookmarkEnd w:id="218"/>
      <w:r>
        <w:t>（3)</w:t>
        <w:tab/>
      </w:r>
      <w:r>
        <w:rPr>
          <w:spacing w:val="-3"/>
        </w:rPr>
        <w:t>临近边坡或基坑的房屋周边土层出现位移或裂缝，且与房屋倾斜相关联；</w:t>
      </w:r>
    </w:p>
    <w:p>
      <w:pPr>
        <w:pStyle w:val="BodyText"/>
        <w:tabs>
          <w:tab w:val="left" w:pos="2440"/>
        </w:tabs>
        <w:spacing w:before="43"/>
        <w:ind w:left="1747"/>
      </w:pPr>
      <w:bookmarkStart w:id="219" w:name="（4) 存在其他危及房屋安全的情形。"/>
      <w:bookmarkEnd w:id="219"/>
      <w:r>
        <w:t>（4)</w:t>
        <w:tab/>
      </w:r>
      <w:r>
        <w:rPr>
          <w:spacing w:val="-3"/>
        </w:rPr>
        <w:t>存在其他危及房屋安全的情形。</w:t>
      </w:r>
    </w:p>
    <w:p>
      <w:pPr>
        <w:pStyle w:val="BodyText"/>
        <w:spacing w:before="3"/>
        <w:rPr>
          <w:sz w:val="10"/>
        </w:rPr>
      </w:pPr>
    </w:p>
    <w:p>
      <w:pPr>
        <w:spacing w:before="92"/>
        <w:ind w:left="0" w:right="1086" w:firstLine="0"/>
        <w:jc w:val="right"/>
        <w:rPr>
          <w:rFonts w:ascii="Times New Roman"/>
          <w:sz w:val="18"/>
        </w:rPr>
      </w:pPr>
      <w:r>
        <w:rPr>
          <w:rFonts w:ascii="Times New Roman"/>
          <w:sz w:val="18"/>
        </w:rPr>
        <w:t>11</w:t>
      </w:r>
    </w:p>
    <w:p>
      <w:pPr>
        <w:spacing w:after="0"/>
        <w:jc w:val="right"/>
        <w:rPr>
          <w:rFonts w:ascii="Times New Roman"/>
          <w:sz w:val="18"/>
        </w:rPr>
        <w:sectPr>
          <w:headerReference w:type="even" r:id="rId34"/>
          <w:headerReference w:type="default" r:id="rId35"/>
          <w:pgSz w:w="11910" w:h="16840"/>
          <w:pgMar w:top="1340" w:right="260" w:bottom="280" w:left="240" w:header="0" w:footer="0"/>
          <w:pgNumType w:start="18"/>
          <w:cols w:space="708"/>
        </w:sectPr>
      </w:pPr>
    </w:p>
    <w:p>
      <w:pPr>
        <w:pStyle w:val="BodyText"/>
        <w:spacing w:before="9"/>
        <w:rPr>
          <w:rFonts w:ascii="Times New Roman"/>
          <w:sz w:val="17"/>
        </w:rPr>
      </w:pPr>
    </w:p>
    <w:p>
      <w:pPr>
        <w:pStyle w:val="ListParagraph"/>
        <w:numPr>
          <w:ilvl w:val="0"/>
          <w:numId w:val="16"/>
        </w:numPr>
        <w:tabs>
          <w:tab w:val="left" w:pos="1493"/>
        </w:tabs>
        <w:spacing w:before="72" w:after="0" w:line="240" w:lineRule="auto"/>
        <w:ind w:left="1492" w:right="0" w:hanging="315"/>
        <w:jc w:val="left"/>
        <w:rPr>
          <w:rFonts w:ascii="黑体" w:eastAsia="黑体" w:hint="eastAsia"/>
          <w:sz w:val="21"/>
        </w:rPr>
      </w:pPr>
      <w:bookmarkStart w:id="220" w:name="8　 构件危险性鉴定"/>
      <w:bookmarkEnd w:id="220"/>
      <w:r>
        <w:rPr>
          <w:rFonts w:ascii="黑体" w:eastAsia="黑体" w:hint="eastAsia"/>
          <w:spacing w:val="-2"/>
          <w:sz w:val="21"/>
        </w:rPr>
        <w:t>构件危险性鉴定</w:t>
      </w:r>
    </w:p>
    <w:p>
      <w:pPr>
        <w:pStyle w:val="BodyText"/>
        <w:spacing w:before="6"/>
        <w:rPr>
          <w:rFonts w:ascii="黑体"/>
          <w:sz w:val="27"/>
        </w:rPr>
      </w:pPr>
    </w:p>
    <w:p>
      <w:pPr>
        <w:pStyle w:val="ListParagraph"/>
        <w:numPr>
          <w:ilvl w:val="1"/>
          <w:numId w:val="16"/>
        </w:numPr>
        <w:tabs>
          <w:tab w:val="left" w:pos="1705"/>
        </w:tabs>
        <w:spacing w:before="0" w:after="0" w:line="240" w:lineRule="auto"/>
        <w:ind w:left="1704" w:right="0" w:hanging="527"/>
        <w:jc w:val="left"/>
        <w:rPr>
          <w:rFonts w:ascii="黑体" w:eastAsia="黑体" w:hint="eastAsia"/>
          <w:sz w:val="21"/>
        </w:rPr>
      </w:pPr>
      <w:bookmarkStart w:id="221" w:name="8.1　 一般规定"/>
      <w:bookmarkEnd w:id="221"/>
      <w:r>
        <w:rPr>
          <w:rFonts w:ascii="黑体" w:eastAsia="黑体" w:hint="eastAsia"/>
          <w:spacing w:val="-1"/>
          <w:sz w:val="21"/>
        </w:rPr>
        <w:t>一般规定</w:t>
      </w:r>
    </w:p>
    <w:p>
      <w:pPr>
        <w:pStyle w:val="BodyText"/>
        <w:spacing w:before="7"/>
        <w:rPr>
          <w:rFonts w:ascii="黑体"/>
          <w:sz w:val="15"/>
        </w:rPr>
      </w:pPr>
    </w:p>
    <w:p>
      <w:pPr>
        <w:pStyle w:val="ListParagraph"/>
        <w:numPr>
          <w:ilvl w:val="2"/>
          <w:numId w:val="16"/>
        </w:numPr>
        <w:tabs>
          <w:tab w:val="left" w:pos="2018"/>
          <w:tab w:val="left" w:pos="2019"/>
        </w:tabs>
        <w:spacing w:before="0" w:after="0" w:line="240" w:lineRule="auto"/>
        <w:ind w:left="2018" w:right="0" w:hanging="841"/>
        <w:jc w:val="left"/>
        <w:rPr>
          <w:sz w:val="21"/>
        </w:rPr>
      </w:pPr>
      <w:bookmarkStart w:id="222" w:name="8.1.1 单个构件危险性的鉴定方法，应根据构件的不同种类，分别按8.2节至8."/>
      <w:bookmarkEnd w:id="222"/>
      <w:r>
        <w:rPr>
          <w:spacing w:val="-5"/>
          <w:sz w:val="21"/>
        </w:rPr>
        <w:t xml:space="preserve">单个构件危险性的鉴定方法，应根据构件的不同种类，分别按 </w:t>
      </w:r>
      <w:r>
        <w:rPr>
          <w:sz w:val="21"/>
        </w:rPr>
        <w:t>8.2</w:t>
      </w:r>
      <w:r>
        <w:rPr>
          <w:spacing w:val="-28"/>
          <w:sz w:val="21"/>
        </w:rPr>
        <w:t xml:space="preserve"> 节至 </w:t>
      </w:r>
      <w:r>
        <w:rPr>
          <w:sz w:val="21"/>
        </w:rPr>
        <w:t>8.7</w:t>
      </w:r>
      <w:r>
        <w:rPr>
          <w:spacing w:val="-10"/>
          <w:sz w:val="21"/>
        </w:rPr>
        <w:t xml:space="preserve"> 节的规定执行。</w:t>
      </w:r>
    </w:p>
    <w:p>
      <w:pPr>
        <w:pStyle w:val="ListParagraph"/>
        <w:numPr>
          <w:ilvl w:val="2"/>
          <w:numId w:val="16"/>
        </w:numPr>
        <w:tabs>
          <w:tab w:val="left" w:pos="2018"/>
          <w:tab w:val="left" w:pos="2019"/>
        </w:tabs>
        <w:spacing w:before="43" w:after="0" w:line="240" w:lineRule="auto"/>
        <w:ind w:left="2018" w:right="0" w:hanging="841"/>
        <w:jc w:val="left"/>
        <w:rPr>
          <w:sz w:val="21"/>
        </w:rPr>
      </w:pPr>
      <w:bookmarkStart w:id="223" w:name="8.1.2 单个构件的划分应符合下列规定："/>
      <w:bookmarkEnd w:id="223"/>
      <w:r>
        <w:rPr>
          <w:spacing w:val="-3"/>
          <w:sz w:val="21"/>
        </w:rPr>
        <w:t>单个构件的划分应符合下列规定：</w:t>
      </w:r>
    </w:p>
    <w:p>
      <w:pPr>
        <w:pStyle w:val="ListParagraph"/>
        <w:numPr>
          <w:ilvl w:val="3"/>
          <w:numId w:val="16"/>
        </w:numPr>
        <w:tabs>
          <w:tab w:val="left" w:pos="2019"/>
        </w:tabs>
        <w:spacing w:before="43" w:after="0" w:line="240" w:lineRule="auto"/>
        <w:ind w:left="2018" w:right="0" w:hanging="413"/>
        <w:jc w:val="left"/>
        <w:rPr>
          <w:sz w:val="21"/>
        </w:rPr>
      </w:pPr>
      <w:bookmarkStart w:id="224" w:name="a) 基础"/>
      <w:bookmarkEnd w:id="224"/>
      <w:r>
        <w:rPr>
          <w:sz w:val="21"/>
        </w:rPr>
        <w:t>基础</w:t>
      </w:r>
    </w:p>
    <w:p>
      <w:pPr>
        <w:pStyle w:val="BodyText"/>
        <w:tabs>
          <w:tab w:val="left" w:pos="2438"/>
        </w:tabs>
        <w:spacing w:before="42"/>
        <w:ind w:left="1745"/>
      </w:pPr>
      <w:bookmarkStart w:id="225" w:name="（1) 独立基础以一个基础为一个构件；"/>
      <w:bookmarkEnd w:id="225"/>
      <w:r>
        <w:t>（1)</w:t>
        <w:tab/>
      </w:r>
      <w:r>
        <w:rPr>
          <w:spacing w:val="-3"/>
        </w:rPr>
        <w:t>独立基础以一个基础为一个构件；</w:t>
      </w:r>
    </w:p>
    <w:p>
      <w:pPr>
        <w:pStyle w:val="BodyText"/>
        <w:tabs>
          <w:tab w:val="left" w:pos="2438"/>
        </w:tabs>
        <w:spacing w:before="43"/>
        <w:ind w:left="1745"/>
      </w:pPr>
      <w:bookmarkStart w:id="226" w:name="（2) 柱下条形基础以一个柱间的一轴线为一个构件；"/>
      <w:bookmarkEnd w:id="226"/>
      <w:r>
        <w:t>（2)</w:t>
        <w:tab/>
      </w:r>
      <w:r>
        <w:rPr>
          <w:spacing w:val="-3"/>
        </w:rPr>
        <w:t>柱下条形基础以一个柱间的一轴线为一个构件；</w:t>
      </w:r>
    </w:p>
    <w:p>
      <w:pPr>
        <w:pStyle w:val="BodyText"/>
        <w:tabs>
          <w:tab w:val="left" w:pos="2438"/>
        </w:tabs>
        <w:spacing w:before="43"/>
        <w:ind w:left="1745"/>
      </w:pPr>
      <w:bookmarkStart w:id="227" w:name="（3) 墙下条形基础以一个自然间的一轴线为一个构件；"/>
      <w:bookmarkEnd w:id="227"/>
      <w:r>
        <w:t>（3)</w:t>
        <w:tab/>
      </w:r>
      <w:r>
        <w:rPr>
          <w:spacing w:val="-3"/>
        </w:rPr>
        <w:t>墙下条形基础以一个自然间的一轴线为一个构件；</w:t>
      </w:r>
    </w:p>
    <w:p>
      <w:pPr>
        <w:pStyle w:val="BodyText"/>
        <w:tabs>
          <w:tab w:val="left" w:pos="2438"/>
        </w:tabs>
        <w:spacing w:before="43"/>
        <w:ind w:left="1745"/>
      </w:pPr>
      <w:bookmarkStart w:id="228" w:name="（4) 带壁柱墙下条形基础按计算单元的划分确定；"/>
      <w:bookmarkEnd w:id="228"/>
      <w:r>
        <w:t>（4)</w:t>
        <w:tab/>
      </w:r>
      <w:r>
        <w:rPr>
          <w:spacing w:val="-3"/>
        </w:rPr>
        <w:t>带壁柱墙下条形基础按计算单元的划分确定；</w:t>
      </w:r>
    </w:p>
    <w:p>
      <w:pPr>
        <w:pStyle w:val="BodyText"/>
        <w:tabs>
          <w:tab w:val="left" w:pos="2438"/>
        </w:tabs>
        <w:spacing w:before="43"/>
        <w:ind w:left="1745"/>
      </w:pPr>
      <w:bookmarkStart w:id="229" w:name="（5) 单桩以一根为一个构件；"/>
      <w:bookmarkEnd w:id="229"/>
      <w:r>
        <w:t>（5)</w:t>
        <w:tab/>
      </w:r>
      <w:r>
        <w:rPr>
          <w:spacing w:val="-3"/>
        </w:rPr>
        <w:t>单桩以一根为一个构件；</w:t>
      </w:r>
    </w:p>
    <w:p>
      <w:pPr>
        <w:pStyle w:val="BodyText"/>
        <w:tabs>
          <w:tab w:val="left" w:pos="2438"/>
        </w:tabs>
        <w:spacing w:before="43"/>
        <w:ind w:left="1745"/>
      </w:pPr>
      <w:bookmarkStart w:id="230" w:name="（6) 群桩以一个承台及其所含的基桩为一个构件；"/>
      <w:bookmarkEnd w:id="230"/>
      <w:r>
        <w:t>（6)</w:t>
        <w:tab/>
      </w:r>
      <w:r>
        <w:rPr>
          <w:spacing w:val="-3"/>
        </w:rPr>
        <w:t>群桩以一个承台及其所含的基桩为一个构件；</w:t>
      </w:r>
    </w:p>
    <w:p>
      <w:pPr>
        <w:pStyle w:val="BodyText"/>
        <w:tabs>
          <w:tab w:val="left" w:pos="2438"/>
        </w:tabs>
        <w:spacing w:before="43"/>
        <w:ind w:left="1745"/>
      </w:pPr>
      <w:bookmarkStart w:id="231" w:name="（7) 筏形基础和箱形基础以一个计算单元为一个构件。"/>
      <w:bookmarkEnd w:id="231"/>
      <w:r>
        <w:t>（7)</w:t>
        <w:tab/>
      </w:r>
      <w:r>
        <w:rPr>
          <w:spacing w:val="-3"/>
        </w:rPr>
        <w:t>筏形基础和箱形基础以一个计算单元为一个构件。</w:t>
      </w:r>
    </w:p>
    <w:p>
      <w:pPr>
        <w:pStyle w:val="ListParagraph"/>
        <w:numPr>
          <w:ilvl w:val="3"/>
          <w:numId w:val="16"/>
        </w:numPr>
        <w:tabs>
          <w:tab w:val="left" w:pos="2019"/>
        </w:tabs>
        <w:spacing w:before="43" w:after="0" w:line="240" w:lineRule="auto"/>
        <w:ind w:left="2018" w:right="0" w:hanging="414"/>
        <w:jc w:val="left"/>
        <w:rPr>
          <w:sz w:val="21"/>
        </w:rPr>
      </w:pPr>
      <w:bookmarkStart w:id="232" w:name="b) 墙体"/>
      <w:bookmarkEnd w:id="232"/>
      <w:r>
        <w:rPr>
          <w:sz w:val="21"/>
        </w:rPr>
        <w:t>墙体</w:t>
      </w:r>
    </w:p>
    <w:p>
      <w:pPr>
        <w:pStyle w:val="BodyText"/>
        <w:tabs>
          <w:tab w:val="left" w:pos="2438"/>
        </w:tabs>
        <w:spacing w:before="43"/>
        <w:ind w:left="1745"/>
      </w:pPr>
      <w:bookmarkStart w:id="233" w:name="（1) 砌筑的横墙以一层高、一自然间的一轴线为一个构件；"/>
      <w:bookmarkEnd w:id="233"/>
      <w:r>
        <w:t>（1)</w:t>
        <w:tab/>
      </w:r>
      <w:r>
        <w:rPr>
          <w:spacing w:val="-3"/>
        </w:rPr>
        <w:t>砌筑的横墙以一层高、一自然间的一轴线为一个构件；</w:t>
      </w:r>
    </w:p>
    <w:p>
      <w:pPr>
        <w:pStyle w:val="BodyText"/>
        <w:tabs>
          <w:tab w:val="left" w:pos="2438"/>
        </w:tabs>
        <w:spacing w:before="42"/>
        <w:ind w:left="1745"/>
      </w:pPr>
      <w:bookmarkStart w:id="234" w:name="（2) 砌筑的纵墙（不带壁柱）以一层高、一自然间的一轴线为一个构件；"/>
      <w:bookmarkEnd w:id="234"/>
      <w:r>
        <w:t>（2)</w:t>
        <w:tab/>
      </w:r>
      <w:r>
        <w:rPr>
          <w:spacing w:val="-2"/>
        </w:rPr>
        <w:t>砌筑的纵墙</w:t>
      </w:r>
      <w:r>
        <w:t>（</w:t>
      </w:r>
      <w:r>
        <w:rPr>
          <w:spacing w:val="-3"/>
        </w:rPr>
        <w:t>不带壁柱）以一层高、一自然间的一轴线为一个构件；</w:t>
      </w:r>
    </w:p>
    <w:p>
      <w:pPr>
        <w:pStyle w:val="BodyText"/>
        <w:tabs>
          <w:tab w:val="left" w:pos="2438"/>
        </w:tabs>
        <w:spacing w:before="43"/>
        <w:ind w:left="1745"/>
      </w:pPr>
      <w:bookmarkStart w:id="235" w:name="（3) 带壁柱的墙以按计算单元的划分确定；"/>
      <w:bookmarkEnd w:id="235"/>
      <w:r>
        <w:t>（3)</w:t>
        <w:tab/>
      </w:r>
      <w:r>
        <w:rPr>
          <w:spacing w:val="-3"/>
        </w:rPr>
        <w:t>带壁柱的墙以按计算单元的划分确定；</w:t>
      </w:r>
    </w:p>
    <w:p>
      <w:pPr>
        <w:pStyle w:val="BodyText"/>
        <w:tabs>
          <w:tab w:val="left" w:pos="2438"/>
        </w:tabs>
        <w:spacing w:before="43"/>
        <w:ind w:left="1745"/>
      </w:pPr>
      <w:bookmarkStart w:id="236" w:name="（4) 剪力墙以按计算单元的划分确定。"/>
      <w:bookmarkEnd w:id="236"/>
      <w:r>
        <w:t>（4)</w:t>
        <w:tab/>
      </w:r>
      <w:r>
        <w:rPr>
          <w:spacing w:val="-3"/>
        </w:rPr>
        <w:t>剪力墙以按计算单元的划分确定。</w:t>
      </w:r>
    </w:p>
    <w:p>
      <w:pPr>
        <w:pStyle w:val="ListParagraph"/>
        <w:numPr>
          <w:ilvl w:val="3"/>
          <w:numId w:val="16"/>
        </w:numPr>
        <w:tabs>
          <w:tab w:val="left" w:pos="2019"/>
        </w:tabs>
        <w:spacing w:before="43" w:after="0" w:line="240" w:lineRule="auto"/>
        <w:ind w:left="2018" w:right="0" w:hanging="414"/>
        <w:jc w:val="left"/>
        <w:rPr>
          <w:sz w:val="21"/>
        </w:rPr>
      </w:pPr>
      <w:bookmarkStart w:id="237" w:name="c) 柱"/>
      <w:bookmarkEnd w:id="237"/>
      <w:r>
        <w:rPr>
          <w:w w:val="100"/>
          <w:sz w:val="21"/>
        </w:rPr>
        <w:t>柱</w:t>
      </w:r>
    </w:p>
    <w:p>
      <w:pPr>
        <w:pStyle w:val="BodyText"/>
        <w:tabs>
          <w:tab w:val="left" w:pos="2438"/>
        </w:tabs>
        <w:spacing w:before="43"/>
        <w:ind w:left="1745"/>
      </w:pPr>
      <w:r>
        <w:drawing>
          <wp:anchor distT="0" distB="0" distL="0" distR="0" simplePos="0" relativeHeight="251688960" behindDoc="0" locked="0" layoutInCell="1" allowOverlap="1">
            <wp:simplePos x="0" y="0"/>
            <wp:positionH relativeFrom="page">
              <wp:posOffset>215900</wp:posOffset>
            </wp:positionH>
            <wp:positionV relativeFrom="paragraph">
              <wp:posOffset>181064</wp:posOffset>
            </wp:positionV>
            <wp:extent cx="71120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38" w:name="（1) 整截面柱以一层、一根为一个构件；"/>
      <w:bookmarkEnd w:id="238"/>
      <w:r>
        <w:t>（1)</w:t>
        <w:tab/>
      </w:r>
      <w:r>
        <w:rPr>
          <w:spacing w:val="-3"/>
        </w:rPr>
        <w:t>整截面柱以一层、一根为一个构件；</w:t>
      </w:r>
    </w:p>
    <w:p>
      <w:pPr>
        <w:pStyle w:val="BodyText"/>
        <w:tabs>
          <w:tab w:val="left" w:pos="2438"/>
        </w:tabs>
        <w:spacing w:before="43"/>
        <w:ind w:left="1745"/>
      </w:pPr>
      <w:bookmarkStart w:id="239" w:name="（2) 组合柱以层、整根（即含所有柱肢和缀板）为一个构件。"/>
      <w:bookmarkEnd w:id="239"/>
      <w:r>
        <w:t>（2)</w:t>
        <w:tab/>
      </w:r>
      <w:r>
        <w:rPr>
          <w:spacing w:val="-3"/>
        </w:rPr>
        <w:t>组合柱以层、整根（即含所有柱肢和缀板</w:t>
      </w:r>
      <w:r>
        <w:t>）</w:t>
      </w:r>
      <w:r>
        <w:rPr>
          <w:spacing w:val="-3"/>
        </w:rPr>
        <w:t>为一个构件。</w:t>
      </w:r>
    </w:p>
    <w:p>
      <w:pPr>
        <w:pStyle w:val="ListParagraph"/>
        <w:numPr>
          <w:ilvl w:val="3"/>
          <w:numId w:val="16"/>
        </w:numPr>
        <w:tabs>
          <w:tab w:val="left" w:pos="2019"/>
        </w:tabs>
        <w:spacing w:before="43" w:after="0" w:line="240" w:lineRule="auto"/>
        <w:ind w:left="2018" w:right="0" w:hanging="414"/>
        <w:jc w:val="left"/>
        <w:rPr>
          <w:sz w:val="21"/>
        </w:rPr>
      </w:pPr>
      <w:bookmarkStart w:id="240" w:name="d) 梁式构件应以一跨、一根为一个构件；若为连续梁时，可取一整根为一个构件。"/>
      <w:bookmarkEnd w:id="240"/>
      <w:r>
        <w:rPr>
          <w:spacing w:val="-3"/>
          <w:sz w:val="21"/>
        </w:rPr>
        <w:t>梁式构件应以一跨、一根为一个构件；若为连续梁时，可取一整根为一个构件。</w:t>
      </w:r>
    </w:p>
    <w:p>
      <w:pPr>
        <w:pStyle w:val="ListParagraph"/>
        <w:numPr>
          <w:ilvl w:val="3"/>
          <w:numId w:val="16"/>
        </w:numPr>
        <w:tabs>
          <w:tab w:val="left" w:pos="2019"/>
        </w:tabs>
        <w:spacing w:before="43" w:after="0" w:line="240" w:lineRule="auto"/>
        <w:ind w:left="2018" w:right="0" w:hanging="414"/>
        <w:jc w:val="left"/>
        <w:rPr>
          <w:sz w:val="21"/>
        </w:rPr>
      </w:pPr>
      <w:bookmarkStart w:id="241" w:name="e) 杆（包括支撑）应以仅承受拉力或压力的一根杆为一个构件。"/>
      <w:bookmarkEnd w:id="241"/>
      <w:r>
        <w:rPr>
          <w:sz w:val="21"/>
        </w:rPr>
        <w:t>杆</w:t>
      </w:r>
      <w:r>
        <w:rPr>
          <w:sz w:val="21"/>
        </w:rPr>
        <w:t>（</w:t>
      </w:r>
      <w:r>
        <w:rPr>
          <w:spacing w:val="-3"/>
          <w:sz w:val="21"/>
        </w:rPr>
        <w:t>包括支撑）应以仅承受拉力或压力的一根杆为一个构件。</w:t>
      </w:r>
    </w:p>
    <w:p>
      <w:pPr>
        <w:pStyle w:val="ListParagraph"/>
        <w:numPr>
          <w:ilvl w:val="3"/>
          <w:numId w:val="16"/>
        </w:numPr>
        <w:tabs>
          <w:tab w:val="left" w:pos="2019"/>
        </w:tabs>
        <w:spacing w:before="42" w:after="0" w:line="240" w:lineRule="auto"/>
        <w:ind w:left="2018" w:right="0" w:hanging="413"/>
        <w:jc w:val="left"/>
        <w:rPr>
          <w:sz w:val="21"/>
        </w:rPr>
      </w:pPr>
      <w:bookmarkStart w:id="242" w:name="f) 板"/>
      <w:bookmarkEnd w:id="242"/>
      <w:r>
        <w:rPr>
          <w:w w:val="100"/>
          <w:sz w:val="21"/>
        </w:rPr>
        <w:t>板</w:t>
      </w:r>
    </w:p>
    <w:p>
      <w:pPr>
        <w:pStyle w:val="BodyText"/>
        <w:tabs>
          <w:tab w:val="left" w:pos="2438"/>
        </w:tabs>
        <w:spacing w:before="43"/>
        <w:ind w:left="1745"/>
      </w:pPr>
      <w:bookmarkStart w:id="243" w:name="（1) 现浇板按计算单元的划分确定；"/>
      <w:bookmarkEnd w:id="243"/>
      <w:r>
        <w:t>（1)</w:t>
        <w:tab/>
      </w:r>
      <w:r>
        <w:rPr>
          <w:spacing w:val="-3"/>
        </w:rPr>
        <w:t>现浇板按计算单元的划分确定；</w:t>
      </w:r>
    </w:p>
    <w:p>
      <w:pPr>
        <w:pStyle w:val="BodyText"/>
        <w:tabs>
          <w:tab w:val="left" w:pos="2438"/>
        </w:tabs>
        <w:spacing w:before="43"/>
        <w:ind w:left="1745"/>
      </w:pPr>
      <w:bookmarkStart w:id="244" w:name="（2) 预制板以梁、墙、屋架等主要构件围合的一个区域为一个单元；"/>
      <w:bookmarkEnd w:id="244"/>
      <w:r>
        <w:t>（2)</w:t>
        <w:tab/>
      </w:r>
      <w:r>
        <w:rPr>
          <w:spacing w:val="-3"/>
        </w:rPr>
        <w:t>预制板以梁、墙、屋架等主要构件围合的一个区域为一个单元；</w:t>
      </w:r>
    </w:p>
    <w:p>
      <w:pPr>
        <w:pStyle w:val="BodyText"/>
        <w:tabs>
          <w:tab w:val="left" w:pos="2438"/>
        </w:tabs>
        <w:spacing w:before="43"/>
        <w:ind w:left="1745"/>
      </w:pPr>
      <w:bookmarkStart w:id="245" w:name="（3) 木楼板以一开间为一个构件。"/>
      <w:bookmarkEnd w:id="245"/>
      <w:r>
        <w:t>（3)</w:t>
        <w:tab/>
      </w:r>
      <w:r>
        <w:rPr>
          <w:spacing w:val="-3"/>
        </w:rPr>
        <w:t>木楼板以一开间为一个构件。</w:t>
      </w:r>
    </w:p>
    <w:p>
      <w:pPr>
        <w:pStyle w:val="ListParagraph"/>
        <w:numPr>
          <w:ilvl w:val="3"/>
          <w:numId w:val="16"/>
        </w:numPr>
        <w:tabs>
          <w:tab w:val="left" w:pos="2020"/>
        </w:tabs>
        <w:spacing w:before="43" w:after="0" w:line="240" w:lineRule="auto"/>
        <w:ind w:left="2019" w:right="0" w:hanging="414"/>
        <w:jc w:val="left"/>
        <w:rPr>
          <w:sz w:val="21"/>
        </w:rPr>
      </w:pPr>
      <w:bookmarkStart w:id="246" w:name="g) 桁架、拱架应以一榀为一个构件。"/>
      <w:bookmarkEnd w:id="246"/>
      <w:r>
        <w:rPr>
          <w:spacing w:val="-3"/>
          <w:sz w:val="21"/>
        </w:rPr>
        <w:t>桁架、拱架应以一榀为一个构件。</w:t>
      </w:r>
    </w:p>
    <w:p>
      <w:pPr>
        <w:pStyle w:val="ListParagraph"/>
        <w:numPr>
          <w:ilvl w:val="3"/>
          <w:numId w:val="16"/>
        </w:numPr>
        <w:tabs>
          <w:tab w:val="left" w:pos="2020"/>
        </w:tabs>
        <w:spacing w:before="43" w:after="0" w:line="240" w:lineRule="auto"/>
        <w:ind w:left="2019" w:right="0" w:hanging="414"/>
        <w:jc w:val="left"/>
        <w:rPr>
          <w:sz w:val="21"/>
        </w:rPr>
      </w:pPr>
      <w:bookmarkStart w:id="247" w:name="h) 网架、折板、壳应以一个计算单元为一个构件。"/>
      <w:bookmarkEnd w:id="247"/>
      <w:r>
        <w:rPr>
          <w:spacing w:val="-3"/>
          <w:sz w:val="21"/>
        </w:rPr>
        <w:t>网架、折板、壳应以一个计算单元为一个构件。</w:t>
      </w:r>
    </w:p>
    <w:p>
      <w:pPr>
        <w:pStyle w:val="ListParagraph"/>
        <w:numPr>
          <w:ilvl w:val="3"/>
          <w:numId w:val="16"/>
        </w:numPr>
        <w:tabs>
          <w:tab w:val="left" w:pos="2020"/>
        </w:tabs>
        <w:spacing w:before="43" w:after="0" w:line="240" w:lineRule="auto"/>
        <w:ind w:left="2019" w:right="0" w:hanging="414"/>
        <w:jc w:val="left"/>
        <w:rPr>
          <w:sz w:val="21"/>
        </w:rPr>
      </w:pPr>
      <w:bookmarkStart w:id="248" w:name="i) 柔性构件应以两个节点间仅承受拉力的一根连续的索、杆等为一个构件。"/>
      <w:bookmarkEnd w:id="248"/>
      <w:r>
        <w:rPr>
          <w:spacing w:val="-3"/>
          <w:sz w:val="21"/>
        </w:rPr>
        <w:t>柔性构件应以两个节点间仅承受拉力的一根连续的索、杆等为一个构件。</w:t>
      </w:r>
    </w:p>
    <w:p>
      <w:pPr>
        <w:pStyle w:val="ListParagraph"/>
        <w:numPr>
          <w:ilvl w:val="2"/>
          <w:numId w:val="16"/>
        </w:numPr>
        <w:tabs>
          <w:tab w:val="left" w:pos="2019"/>
          <w:tab w:val="left" w:pos="2020"/>
        </w:tabs>
        <w:spacing w:before="43" w:after="0" w:line="240" w:lineRule="auto"/>
        <w:ind w:left="2019" w:right="0" w:hanging="841"/>
        <w:jc w:val="left"/>
        <w:rPr>
          <w:sz w:val="21"/>
        </w:rPr>
      </w:pPr>
      <w:bookmarkStart w:id="249" w:name="8.1.3 构件的承载力验算及结构分析应符合下列规定："/>
      <w:bookmarkEnd w:id="249"/>
      <w:r>
        <w:rPr>
          <w:spacing w:val="-3"/>
          <w:sz w:val="21"/>
        </w:rPr>
        <w:t>构件的承载力验算及结构分析应符合下列规定：</w:t>
      </w:r>
    </w:p>
    <w:p>
      <w:pPr>
        <w:pStyle w:val="ListParagraph"/>
        <w:numPr>
          <w:ilvl w:val="3"/>
          <w:numId w:val="16"/>
        </w:numPr>
        <w:tabs>
          <w:tab w:val="left" w:pos="2020"/>
        </w:tabs>
        <w:spacing w:before="42" w:after="0" w:line="278" w:lineRule="auto"/>
        <w:ind w:left="2026" w:right="980" w:hanging="421"/>
        <w:jc w:val="left"/>
        <w:rPr>
          <w:sz w:val="21"/>
        </w:rPr>
      </w:pPr>
      <w:bookmarkStart w:id="250" w:name="a) 结构分析方法应考虑环境对材料、构件和结构性能的影响，以及结构累积损伤的影响"/>
      <w:bookmarkEnd w:id="250"/>
      <w:r>
        <w:rPr>
          <w:spacing w:val="-3"/>
          <w:sz w:val="21"/>
        </w:rPr>
        <w:t>结构分析方法应考虑环境对材料、构件和结构性能的影响，以及结构累积损伤的影响，应符</w:t>
      </w:r>
      <w:r>
        <w:rPr>
          <w:spacing w:val="-3"/>
          <w:sz w:val="21"/>
        </w:rPr>
        <w:t>合国家现行设计规范的规定。</w:t>
      </w:r>
    </w:p>
    <w:p>
      <w:pPr>
        <w:pStyle w:val="ListParagraph"/>
        <w:numPr>
          <w:ilvl w:val="3"/>
          <w:numId w:val="16"/>
        </w:numPr>
        <w:tabs>
          <w:tab w:val="left" w:pos="2020"/>
        </w:tabs>
        <w:spacing w:before="0" w:after="0" w:line="269" w:lineRule="exact"/>
        <w:ind w:left="2019" w:right="0" w:hanging="414"/>
        <w:jc w:val="left"/>
        <w:rPr>
          <w:sz w:val="21"/>
        </w:rPr>
      </w:pPr>
      <w:bookmarkStart w:id="251" w:name="b) 结构构件验算使用的计算模型，应符合其实际受力与构造状况。"/>
      <w:bookmarkEnd w:id="251"/>
      <w:r>
        <w:rPr>
          <w:spacing w:val="-3"/>
          <w:sz w:val="21"/>
        </w:rPr>
        <w:t>结构构件验算使用的计算模型，应符合其实际受力与构造状况。</w:t>
      </w:r>
    </w:p>
    <w:p>
      <w:pPr>
        <w:pStyle w:val="ListParagraph"/>
        <w:numPr>
          <w:ilvl w:val="3"/>
          <w:numId w:val="16"/>
        </w:numPr>
        <w:tabs>
          <w:tab w:val="left" w:pos="2019"/>
        </w:tabs>
        <w:spacing w:before="45" w:after="0" w:line="240" w:lineRule="auto"/>
        <w:ind w:left="2018" w:right="0" w:hanging="413"/>
        <w:jc w:val="left"/>
        <w:rPr>
          <w:sz w:val="21"/>
        </w:rPr>
      </w:pPr>
      <w:bookmarkStart w:id="252" w:name="c) 结构上的作用应经调查或检测核实，并参考GB 50292附录J取值。"/>
      <w:bookmarkEnd w:id="252"/>
      <w:r>
        <w:rPr>
          <w:spacing w:val="-6"/>
          <w:sz w:val="21"/>
        </w:rPr>
        <w:t xml:space="preserve">结构上的作用应经调查或检测核实，并参考 </w:t>
      </w:r>
      <w:r>
        <w:rPr>
          <w:sz w:val="21"/>
        </w:rPr>
        <w:t>GB</w:t>
      </w:r>
      <w:r>
        <w:rPr>
          <w:spacing w:val="1"/>
          <w:sz w:val="21"/>
        </w:rPr>
        <w:t xml:space="preserve"> </w:t>
      </w:r>
      <w:r>
        <w:rPr>
          <w:sz w:val="21"/>
        </w:rPr>
        <w:t>50292</w:t>
      </w:r>
      <w:r>
        <w:rPr>
          <w:spacing w:val="-28"/>
          <w:sz w:val="21"/>
        </w:rPr>
        <w:t xml:space="preserve"> 附录 </w:t>
      </w:r>
      <w:r>
        <w:rPr>
          <w:sz w:val="21"/>
        </w:rPr>
        <w:t>J</w:t>
      </w:r>
      <w:r>
        <w:rPr>
          <w:spacing w:val="-15"/>
          <w:sz w:val="21"/>
        </w:rPr>
        <w:t xml:space="preserve"> 取值。</w:t>
      </w:r>
    </w:p>
    <w:p>
      <w:pPr>
        <w:pStyle w:val="ListParagraph"/>
        <w:numPr>
          <w:ilvl w:val="3"/>
          <w:numId w:val="16"/>
        </w:numPr>
        <w:tabs>
          <w:tab w:val="left" w:pos="2019"/>
        </w:tabs>
        <w:spacing w:before="43" w:after="0" w:line="240" w:lineRule="auto"/>
        <w:ind w:left="2018" w:right="0" w:hanging="414"/>
        <w:jc w:val="left"/>
        <w:rPr>
          <w:sz w:val="21"/>
        </w:rPr>
      </w:pPr>
      <w:bookmarkStart w:id="253" w:name="d) 结构构件作用效应的确定，应符合下列要求："/>
      <w:bookmarkEnd w:id="253"/>
      <w:r>
        <w:rPr>
          <w:spacing w:val="-3"/>
          <w:sz w:val="21"/>
        </w:rPr>
        <w:t>结构构件作用效应的确定，应符合下列要求：</w:t>
      </w:r>
    </w:p>
    <w:p>
      <w:pPr>
        <w:pStyle w:val="BodyText"/>
        <w:spacing w:before="43"/>
        <w:ind w:left="1894"/>
      </w:pPr>
      <w:r>
        <w:t>（1) 作用的组合、作用的分项系数及组合值系数，应符合 GB 50009 的要求；</w:t>
      </w:r>
    </w:p>
    <w:p>
      <w:pPr>
        <w:pStyle w:val="BodyText"/>
        <w:spacing w:before="43"/>
        <w:ind w:left="1887"/>
      </w:pPr>
      <w:r>
        <w:t>（2) 当结构受到温度、变形等作用，且对其承载有显著影响时，应计入由之产生的附加内力。</w:t>
      </w:r>
    </w:p>
    <w:p>
      <w:pPr>
        <w:pStyle w:val="BodyText"/>
        <w:spacing w:before="17"/>
        <w:ind w:left="1887"/>
      </w:pPr>
      <w:r>
        <w:rPr>
          <w:position w:val="1"/>
        </w:rPr>
        <w:t>（3) 根据不同年代建造的房屋，其抗力与效应之比的调整系数</w:t>
      </w:r>
      <w:r>
        <w:rPr>
          <w:rFonts w:ascii="Symbol" w:eastAsia="Symbol" w:hAnsi="Symbol"/>
          <w:i/>
          <w:sz w:val="22"/>
        </w:rPr>
        <w:sym w:font="Symbol" w:char="F066"/>
      </w:r>
      <w:r>
        <w:rPr>
          <w:rFonts w:ascii="Times New Roman" w:eastAsia="Times New Roman" w:hAnsi="Times New Roman"/>
          <w:i/>
          <w:sz w:val="22"/>
        </w:rPr>
        <w:t xml:space="preserve"> </w:t>
      </w:r>
      <w:r>
        <w:rPr>
          <w:position w:val="1"/>
        </w:rPr>
        <w:t>应按表 2 取用。</w:t>
      </w:r>
    </w:p>
    <w:p>
      <w:pPr>
        <w:pStyle w:val="BodyText"/>
        <w:rPr>
          <w:sz w:val="20"/>
        </w:rPr>
      </w:pPr>
    </w:p>
    <w:p>
      <w:pPr>
        <w:pStyle w:val="BodyText"/>
        <w:rPr>
          <w:sz w:val="20"/>
        </w:rPr>
      </w:pPr>
    </w:p>
    <w:p>
      <w:pPr>
        <w:pStyle w:val="BodyText"/>
        <w:rPr>
          <w:sz w:val="20"/>
        </w:rPr>
      </w:pPr>
    </w:p>
    <w:p>
      <w:pPr>
        <w:pStyle w:val="BodyText"/>
        <w:spacing w:before="4"/>
        <w:rPr>
          <w:sz w:val="18"/>
        </w:rPr>
      </w:pPr>
    </w:p>
    <w:p>
      <w:pPr>
        <w:spacing w:before="93"/>
        <w:ind w:left="1178" w:right="0" w:firstLine="0"/>
        <w:jc w:val="left"/>
        <w:rPr>
          <w:rFonts w:ascii="Times New Roman"/>
          <w:sz w:val="18"/>
        </w:rPr>
      </w:pPr>
      <w:r>
        <w:rPr>
          <w:rFonts w:ascii="Times New Roman"/>
          <w:sz w:val="18"/>
        </w:rPr>
        <w:t>12</w:t>
      </w:r>
    </w:p>
    <w:p>
      <w:pPr>
        <w:spacing w:after="0"/>
        <w:jc w:val="left"/>
        <w:rPr>
          <w:rFonts w:ascii="Times New Roman"/>
          <w:sz w:val="18"/>
        </w:rPr>
        <w:sectPr>
          <w:headerReference w:type="even" r:id="rId36"/>
          <w:headerReference w:type="default" r:id="rId37"/>
          <w:pgSz w:w="11910" w:h="16840"/>
          <w:pgMar w:top="1640" w:right="260" w:bottom="280" w:left="240" w:header="1448" w:footer="0"/>
          <w:pgNumType w:start="19"/>
          <w:cols w:space="708"/>
        </w:sectPr>
      </w:pPr>
    </w:p>
    <w:p>
      <w:pPr>
        <w:pStyle w:val="BodyText"/>
        <w:spacing w:before="61"/>
        <w:ind w:right="870"/>
        <w:jc w:val="right"/>
        <w:rPr>
          <w:rFonts w:ascii="黑体" w:hAnsi="黑体"/>
        </w:rPr>
      </w:pPr>
      <w:r>
        <w:pict>
          <v:group id="_x0000_s1138" style="width:595.5pt;height:842.15pt;margin-top:-0.09pt;margin-left:-0.09pt;mso-position-horizontal-relative:page;mso-position-vertical-relative:page;position:absolute;z-index:-251625472" coordorigin="-2,-2" coordsize="11910,16843">
            <v:shape id="_x0000_s1139" type="#_x0000_t75" style="width:6067;height:8051;left:2650;position:absolute;top:4649" stroked="f">
              <v:imagedata r:id="rId13" o:title=""/>
            </v:shape>
            <v:rect id="_x0000_s1140" style="width:11906;height:16838;position:absolute" filled="f" stroked="t" strokecolor="#231916" strokeweight="0.22pt">
              <v:stroke dashstyle="solid"/>
            </v:rect>
          </v:group>
        </w:pict>
      </w:r>
      <w:r>
        <w:rPr>
          <w:rFonts w:ascii="黑体" w:hAnsi="黑体"/>
        </w:rPr>
        <w:t>DB4201/T 537—2018</w:t>
      </w:r>
    </w:p>
    <w:p>
      <w:pPr>
        <w:pStyle w:val="BodyText"/>
        <w:spacing w:before="2"/>
        <w:rPr>
          <w:rFonts w:ascii="黑体"/>
          <w:sz w:val="14"/>
        </w:rPr>
      </w:pPr>
    </w:p>
    <w:p>
      <w:pPr>
        <w:pStyle w:val="BodyText"/>
        <w:tabs>
          <w:tab w:val="left" w:pos="768"/>
        </w:tabs>
        <w:spacing w:before="98"/>
        <w:ind w:left="190"/>
        <w:jc w:val="center"/>
        <w:rPr>
          <w:rFonts w:ascii="黑体" w:eastAsia="黑体" w:hAnsi="黑体" w:hint="eastAsia"/>
        </w:rPr>
      </w:pPr>
      <w:r>
        <w:pict>
          <v:line id="_x0000_s1141" style="mso-position-horizontal-relative:page;position:absolute;z-index:-251624448" from="65.85pt,25.8pt" to="161.45pt,75.05pt" stroked="t" strokecolor="black" strokeweight="0.75pt">
            <v:stroke dashstyle="solid"/>
          </v:line>
        </w:pict>
      </w:r>
      <w:r>
        <w:rPr>
          <w:rFonts w:ascii="黑体" w:eastAsia="黑体" w:hAnsi="黑体" w:hint="eastAsia"/>
          <w:position w:val="1"/>
        </w:rPr>
        <w:t>表</w:t>
      </w:r>
      <w:r>
        <w:rPr>
          <w:rFonts w:ascii="黑体" w:eastAsia="黑体" w:hAnsi="黑体" w:hint="eastAsia"/>
          <w:spacing w:val="-53"/>
          <w:position w:val="1"/>
        </w:rPr>
        <w:t xml:space="preserve"> </w:t>
      </w:r>
      <w:r>
        <w:rPr>
          <w:rFonts w:ascii="Times New Roman" w:eastAsia="Times New Roman" w:hAnsi="Times New Roman"/>
          <w:position w:val="1"/>
        </w:rPr>
        <w:t>2</w:t>
        <w:tab/>
      </w:r>
      <w:r>
        <w:rPr>
          <w:rFonts w:ascii="黑体" w:eastAsia="黑体" w:hAnsi="黑体" w:hint="eastAsia"/>
          <w:position w:val="1"/>
        </w:rPr>
        <w:t>结</w:t>
      </w:r>
      <w:r>
        <w:rPr>
          <w:rFonts w:ascii="黑体" w:eastAsia="黑体" w:hAnsi="黑体" w:hint="eastAsia"/>
          <w:spacing w:val="-3"/>
          <w:position w:val="1"/>
        </w:rPr>
        <w:t>构</w:t>
      </w:r>
      <w:r>
        <w:rPr>
          <w:rFonts w:ascii="黑体" w:eastAsia="黑体" w:hAnsi="黑体" w:hint="eastAsia"/>
          <w:position w:val="1"/>
        </w:rPr>
        <w:t>构</w:t>
      </w:r>
      <w:r>
        <w:rPr>
          <w:rFonts w:ascii="黑体" w:eastAsia="黑体" w:hAnsi="黑体" w:hint="eastAsia"/>
          <w:spacing w:val="-3"/>
          <w:position w:val="1"/>
        </w:rPr>
        <w:t>件</w:t>
      </w:r>
      <w:r>
        <w:rPr>
          <w:rFonts w:ascii="黑体" w:eastAsia="黑体" w:hAnsi="黑体" w:hint="eastAsia"/>
          <w:position w:val="1"/>
        </w:rPr>
        <w:t>抗</w:t>
      </w:r>
      <w:r>
        <w:rPr>
          <w:rFonts w:ascii="黑体" w:eastAsia="黑体" w:hAnsi="黑体" w:hint="eastAsia"/>
          <w:spacing w:val="-3"/>
          <w:position w:val="1"/>
        </w:rPr>
        <w:t>力</w:t>
      </w:r>
      <w:r>
        <w:rPr>
          <w:rFonts w:ascii="黑体" w:eastAsia="黑体" w:hAnsi="黑体" w:hint="eastAsia"/>
          <w:position w:val="1"/>
        </w:rPr>
        <w:t>与</w:t>
      </w:r>
      <w:r>
        <w:rPr>
          <w:rFonts w:ascii="黑体" w:eastAsia="黑体" w:hAnsi="黑体" w:hint="eastAsia"/>
          <w:spacing w:val="-3"/>
          <w:position w:val="1"/>
        </w:rPr>
        <w:t>效</w:t>
      </w:r>
      <w:r>
        <w:rPr>
          <w:rFonts w:ascii="黑体" w:eastAsia="黑体" w:hAnsi="黑体" w:hint="eastAsia"/>
          <w:position w:val="1"/>
        </w:rPr>
        <w:t>应之</w:t>
      </w:r>
      <w:r>
        <w:rPr>
          <w:rFonts w:ascii="黑体" w:eastAsia="黑体" w:hAnsi="黑体" w:hint="eastAsia"/>
          <w:spacing w:val="-3"/>
          <w:position w:val="1"/>
        </w:rPr>
        <w:t>比</w:t>
      </w:r>
      <w:r>
        <w:rPr>
          <w:rFonts w:ascii="黑体" w:eastAsia="黑体" w:hAnsi="黑体" w:hint="eastAsia"/>
          <w:position w:val="1"/>
        </w:rPr>
        <w:t>调</w:t>
      </w:r>
      <w:r>
        <w:rPr>
          <w:rFonts w:ascii="黑体" w:eastAsia="黑体" w:hAnsi="黑体" w:hint="eastAsia"/>
          <w:spacing w:val="-3"/>
          <w:position w:val="1"/>
        </w:rPr>
        <w:t>整</w:t>
      </w:r>
      <w:r>
        <w:rPr>
          <w:rFonts w:ascii="黑体" w:eastAsia="黑体" w:hAnsi="黑体" w:hint="eastAsia"/>
          <w:position w:val="1"/>
        </w:rPr>
        <w:t>系</w:t>
      </w:r>
      <w:r>
        <w:rPr>
          <w:rFonts w:ascii="黑体" w:eastAsia="黑体" w:hAnsi="黑体" w:hint="eastAsia"/>
          <w:spacing w:val="-3"/>
          <w:position w:val="1"/>
        </w:rPr>
        <w:t>数</w:t>
      </w:r>
      <w:r>
        <w:rPr>
          <w:rFonts w:ascii="黑体" w:eastAsia="黑体" w:hAnsi="黑体" w:hint="eastAsia"/>
          <w:spacing w:val="7"/>
          <w:position w:val="1"/>
        </w:rPr>
        <w:t>（</w:t>
      </w:r>
      <w:r>
        <w:rPr>
          <w:rFonts w:ascii="Symbol" w:eastAsia="Symbol" w:hAnsi="Symbol"/>
          <w:i/>
          <w:spacing w:val="7"/>
          <w:sz w:val="24"/>
        </w:rPr>
        <w:sym w:font="Symbol" w:char="F066"/>
      </w:r>
      <w:r>
        <w:rPr>
          <w:rFonts w:ascii="Times New Roman" w:eastAsia="Times New Roman" w:hAnsi="Times New Roman"/>
          <w:i/>
          <w:spacing w:val="-6"/>
          <w:sz w:val="24"/>
        </w:rPr>
        <w:t xml:space="preserve"> </w:t>
      </w:r>
      <w:r>
        <w:rPr>
          <w:rFonts w:ascii="黑体" w:eastAsia="黑体" w:hAnsi="黑体" w:hint="eastAsia"/>
          <w:position w:val="1"/>
        </w:rPr>
        <w:t>）</w:t>
      </w:r>
    </w:p>
    <w:p>
      <w:pPr>
        <w:pStyle w:val="BodyText"/>
        <w:spacing w:before="1"/>
        <w:rPr>
          <w:rFonts w:ascii="黑体"/>
          <w:sz w:val="9"/>
        </w:rPr>
      </w:pPr>
    </w:p>
    <w:tbl>
      <w:tblPr>
        <w:tblStyle w:val="TableNormal2"/>
        <w:tblW w:w="0" w:type="auto"/>
        <w:jc w:val="left"/>
        <w:tblInd w:w="1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927"/>
        <w:gridCol w:w="1929"/>
        <w:gridCol w:w="1927"/>
        <w:gridCol w:w="1927"/>
        <w:gridCol w:w="1929"/>
      </w:tblGrid>
      <w:tr>
        <w:tblPrEx>
          <w:tblW w:w="0" w:type="auto"/>
          <w:jc w:val="left"/>
          <w:tblInd w:w="1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963"/>
          <w:jc w:val="left"/>
        </w:trPr>
        <w:tc>
          <w:tcPr>
            <w:tcW w:w="1927" w:type="dxa"/>
            <w:tcBorders>
              <w:bottom w:val="single" w:sz="6" w:space="0" w:color="000000"/>
              <w:right w:val="single" w:sz="6" w:space="0" w:color="000000"/>
            </w:tcBorders>
          </w:tcPr>
          <w:p>
            <w:pPr>
              <w:pStyle w:val="TableParagraph"/>
              <w:spacing w:line="489" w:lineRule="auto"/>
              <w:ind w:left="107" w:right="580" w:firstLine="494"/>
              <w:rPr>
                <w:sz w:val="18"/>
              </w:rPr>
            </w:pPr>
            <w:r>
              <w:rPr>
                <w:sz w:val="18"/>
              </w:rPr>
              <w:t>房屋类型构件类型</w:t>
            </w:r>
          </w:p>
        </w:tc>
        <w:tc>
          <w:tcPr>
            <w:tcW w:w="1929" w:type="dxa"/>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left="497" w:right="473"/>
              <w:jc w:val="center"/>
              <w:rPr>
                <w:sz w:val="18"/>
              </w:rPr>
            </w:pPr>
            <w:r>
              <w:rPr>
                <w:sz w:val="18"/>
              </w:rPr>
              <w:t>砌体构件</w:t>
            </w:r>
          </w:p>
        </w:tc>
        <w:tc>
          <w:tcPr>
            <w:tcW w:w="1927" w:type="dxa"/>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left="499" w:right="469"/>
              <w:jc w:val="center"/>
              <w:rPr>
                <w:sz w:val="18"/>
              </w:rPr>
            </w:pPr>
            <w:r>
              <w:rPr>
                <w:sz w:val="18"/>
              </w:rPr>
              <w:t>混凝土构件</w:t>
            </w:r>
          </w:p>
        </w:tc>
        <w:tc>
          <w:tcPr>
            <w:tcW w:w="1927" w:type="dxa"/>
            <w:tcBorders>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136"/>
              <w:ind w:left="499" w:right="468"/>
              <w:jc w:val="center"/>
              <w:rPr>
                <w:sz w:val="18"/>
              </w:rPr>
            </w:pPr>
            <w:r>
              <w:rPr>
                <w:sz w:val="18"/>
              </w:rPr>
              <w:t>木构件</w:t>
            </w:r>
          </w:p>
        </w:tc>
        <w:tc>
          <w:tcPr>
            <w:tcW w:w="1929" w:type="dxa"/>
            <w:tcBorders>
              <w:left w:val="single" w:sz="6" w:space="0" w:color="000000"/>
              <w:bottom w:val="single" w:sz="6" w:space="0" w:color="000000"/>
            </w:tcBorders>
          </w:tcPr>
          <w:p>
            <w:pPr>
              <w:pStyle w:val="TableParagraph"/>
              <w:rPr>
                <w:rFonts w:ascii="黑体"/>
                <w:sz w:val="18"/>
              </w:rPr>
            </w:pPr>
          </w:p>
          <w:p>
            <w:pPr>
              <w:pStyle w:val="TableParagraph"/>
              <w:spacing w:before="136"/>
              <w:ind w:left="681" w:right="644"/>
              <w:jc w:val="center"/>
              <w:rPr>
                <w:sz w:val="18"/>
              </w:rPr>
            </w:pPr>
            <w:r>
              <w:rPr>
                <w:sz w:val="18"/>
              </w:rPr>
              <w:t>钢构件</w:t>
            </w:r>
          </w:p>
        </w:tc>
      </w:tr>
      <w:tr>
        <w:tblPrEx>
          <w:tblW w:w="0" w:type="auto"/>
          <w:jc w:val="left"/>
          <w:tblInd w:w="1050" w:type="dxa"/>
          <w:tblLayout w:type="fixed"/>
          <w:tblCellMar>
            <w:top w:w="0" w:type="dxa"/>
            <w:left w:w="0" w:type="dxa"/>
            <w:bottom w:w="0" w:type="dxa"/>
            <w:right w:w="0" w:type="dxa"/>
          </w:tblCellMar>
          <w:tblLook w:val="01E0"/>
        </w:tblPrEx>
        <w:trPr>
          <w:trHeight w:val="438"/>
          <w:jc w:val="left"/>
        </w:trPr>
        <w:tc>
          <w:tcPr>
            <w:tcW w:w="1927" w:type="dxa"/>
            <w:tcBorders>
              <w:top w:val="single" w:sz="6" w:space="0" w:color="000000"/>
              <w:bottom w:val="single" w:sz="6" w:space="0" w:color="000000"/>
              <w:right w:val="single" w:sz="6" w:space="0" w:color="000000"/>
            </w:tcBorders>
          </w:tcPr>
          <w:p>
            <w:pPr>
              <w:pStyle w:val="TableParagraph"/>
              <w:spacing w:before="100"/>
              <w:ind w:right="895"/>
              <w:jc w:val="right"/>
              <w:rPr>
                <w:sz w:val="18"/>
              </w:rPr>
            </w:pPr>
            <w:r>
              <w:rPr>
                <w:w w:val="96"/>
                <w:sz w:val="18"/>
              </w:rPr>
              <w:t>I</w:t>
            </w:r>
          </w:p>
        </w:tc>
        <w:tc>
          <w:tcPr>
            <w:tcW w:w="1929" w:type="dxa"/>
            <w:tcBorders>
              <w:top w:val="single" w:sz="6" w:space="0" w:color="000000"/>
              <w:left w:val="single" w:sz="6" w:space="0" w:color="000000"/>
              <w:bottom w:val="single" w:sz="6" w:space="0" w:color="000000"/>
              <w:right w:val="single" w:sz="6" w:space="0" w:color="000000"/>
            </w:tcBorders>
          </w:tcPr>
          <w:p>
            <w:pPr>
              <w:pStyle w:val="TableParagraph"/>
              <w:spacing w:before="100"/>
              <w:ind w:left="501" w:right="473"/>
              <w:jc w:val="center"/>
              <w:rPr>
                <w:sz w:val="18"/>
              </w:rPr>
            </w:pPr>
            <w:r>
              <w:rPr>
                <w:sz w:val="18"/>
              </w:rPr>
              <w:t>1.15(1.10)</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0"/>
              <w:ind w:left="497" w:right="470"/>
              <w:jc w:val="center"/>
              <w:rPr>
                <w:sz w:val="18"/>
              </w:rPr>
            </w:pPr>
            <w:r>
              <w:rPr>
                <w:sz w:val="18"/>
              </w:rPr>
              <w:t>1.20(1.10)</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0"/>
              <w:ind w:left="499" w:right="467"/>
              <w:jc w:val="center"/>
              <w:rPr>
                <w:sz w:val="18"/>
              </w:rPr>
            </w:pPr>
            <w:r>
              <w:rPr>
                <w:sz w:val="18"/>
              </w:rPr>
              <w:t>1.15(1.10)</w:t>
            </w:r>
          </w:p>
        </w:tc>
        <w:tc>
          <w:tcPr>
            <w:tcW w:w="1929" w:type="dxa"/>
            <w:tcBorders>
              <w:top w:val="single" w:sz="6" w:space="0" w:color="000000"/>
              <w:left w:val="single" w:sz="6" w:space="0" w:color="000000"/>
              <w:bottom w:val="single" w:sz="6" w:space="0" w:color="000000"/>
            </w:tcBorders>
          </w:tcPr>
          <w:p>
            <w:pPr>
              <w:pStyle w:val="TableParagraph"/>
              <w:spacing w:before="100"/>
              <w:ind w:left="681" w:right="641"/>
              <w:jc w:val="center"/>
              <w:rPr>
                <w:sz w:val="18"/>
              </w:rPr>
            </w:pPr>
            <w:r>
              <w:rPr>
                <w:sz w:val="18"/>
              </w:rPr>
              <w:t>1.00</w:t>
            </w:r>
          </w:p>
        </w:tc>
      </w:tr>
      <w:tr>
        <w:tblPrEx>
          <w:tblW w:w="0" w:type="auto"/>
          <w:jc w:val="left"/>
          <w:tblInd w:w="1050" w:type="dxa"/>
          <w:tblLayout w:type="fixed"/>
          <w:tblCellMar>
            <w:top w:w="0" w:type="dxa"/>
            <w:left w:w="0" w:type="dxa"/>
            <w:bottom w:w="0" w:type="dxa"/>
            <w:right w:w="0" w:type="dxa"/>
          </w:tblCellMar>
          <w:tblLook w:val="01E0"/>
        </w:tblPrEx>
        <w:trPr>
          <w:trHeight w:val="438"/>
          <w:jc w:val="left"/>
        </w:trPr>
        <w:tc>
          <w:tcPr>
            <w:tcW w:w="1927" w:type="dxa"/>
            <w:tcBorders>
              <w:top w:val="single" w:sz="6" w:space="0" w:color="000000"/>
              <w:bottom w:val="single" w:sz="6" w:space="0" w:color="000000"/>
              <w:right w:val="single" w:sz="6" w:space="0" w:color="000000"/>
            </w:tcBorders>
          </w:tcPr>
          <w:p>
            <w:pPr>
              <w:pStyle w:val="TableParagraph"/>
              <w:spacing w:before="103"/>
              <w:ind w:right="851"/>
              <w:jc w:val="right"/>
              <w:rPr>
                <w:sz w:val="18"/>
              </w:rPr>
            </w:pPr>
            <w:r>
              <w:rPr>
                <w:sz w:val="18"/>
              </w:rPr>
              <w:t>II</w:t>
            </w:r>
          </w:p>
        </w:tc>
        <w:tc>
          <w:tcPr>
            <w:tcW w:w="1929" w:type="dxa"/>
            <w:tcBorders>
              <w:top w:val="single" w:sz="6" w:space="0" w:color="000000"/>
              <w:left w:val="single" w:sz="6" w:space="0" w:color="000000"/>
              <w:bottom w:val="single" w:sz="6" w:space="0" w:color="000000"/>
              <w:right w:val="single" w:sz="6" w:space="0" w:color="000000"/>
            </w:tcBorders>
          </w:tcPr>
          <w:p>
            <w:pPr>
              <w:pStyle w:val="TableParagraph"/>
              <w:spacing w:before="103"/>
              <w:ind w:left="501" w:right="473"/>
              <w:jc w:val="center"/>
              <w:rPr>
                <w:sz w:val="18"/>
              </w:rPr>
            </w:pPr>
            <w:r>
              <w:rPr>
                <w:sz w:val="18"/>
              </w:rPr>
              <w:t>1.05(1.00)</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3"/>
              <w:ind w:left="497" w:right="470"/>
              <w:jc w:val="center"/>
              <w:rPr>
                <w:sz w:val="18"/>
              </w:rPr>
            </w:pPr>
            <w:r>
              <w:rPr>
                <w:sz w:val="18"/>
              </w:rPr>
              <w:t>1.10(1.05)</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3"/>
              <w:ind w:left="499" w:right="467"/>
              <w:jc w:val="center"/>
              <w:rPr>
                <w:sz w:val="18"/>
              </w:rPr>
            </w:pPr>
            <w:r>
              <w:rPr>
                <w:sz w:val="18"/>
              </w:rPr>
              <w:t>1.05(1.00)</w:t>
            </w:r>
          </w:p>
        </w:tc>
        <w:tc>
          <w:tcPr>
            <w:tcW w:w="1929" w:type="dxa"/>
            <w:tcBorders>
              <w:top w:val="single" w:sz="6" w:space="0" w:color="000000"/>
              <w:left w:val="single" w:sz="6" w:space="0" w:color="000000"/>
              <w:bottom w:val="single" w:sz="6" w:space="0" w:color="000000"/>
            </w:tcBorders>
          </w:tcPr>
          <w:p>
            <w:pPr>
              <w:pStyle w:val="TableParagraph"/>
              <w:spacing w:before="103"/>
              <w:ind w:left="681" w:right="641"/>
              <w:jc w:val="center"/>
              <w:rPr>
                <w:sz w:val="18"/>
              </w:rPr>
            </w:pPr>
            <w:r>
              <w:rPr>
                <w:sz w:val="18"/>
              </w:rPr>
              <w:t>1.00</w:t>
            </w:r>
          </w:p>
        </w:tc>
      </w:tr>
      <w:tr>
        <w:tblPrEx>
          <w:tblW w:w="0" w:type="auto"/>
          <w:jc w:val="left"/>
          <w:tblInd w:w="1050" w:type="dxa"/>
          <w:tblLayout w:type="fixed"/>
          <w:tblCellMar>
            <w:top w:w="0" w:type="dxa"/>
            <w:left w:w="0" w:type="dxa"/>
            <w:bottom w:w="0" w:type="dxa"/>
            <w:right w:w="0" w:type="dxa"/>
          </w:tblCellMar>
          <w:tblLook w:val="01E0"/>
        </w:tblPrEx>
        <w:trPr>
          <w:trHeight w:val="438"/>
          <w:jc w:val="left"/>
        </w:trPr>
        <w:tc>
          <w:tcPr>
            <w:tcW w:w="1927" w:type="dxa"/>
            <w:tcBorders>
              <w:top w:val="single" w:sz="6" w:space="0" w:color="000000"/>
              <w:bottom w:val="single" w:sz="6" w:space="0" w:color="000000"/>
              <w:right w:val="single" w:sz="6" w:space="0" w:color="000000"/>
            </w:tcBorders>
          </w:tcPr>
          <w:p>
            <w:pPr>
              <w:pStyle w:val="TableParagraph"/>
              <w:spacing w:before="103"/>
              <w:ind w:right="811"/>
              <w:jc w:val="right"/>
              <w:rPr>
                <w:sz w:val="18"/>
              </w:rPr>
            </w:pPr>
            <w:r>
              <w:rPr>
                <w:sz w:val="18"/>
              </w:rPr>
              <w:t>III</w:t>
            </w:r>
          </w:p>
        </w:tc>
        <w:tc>
          <w:tcPr>
            <w:tcW w:w="1929" w:type="dxa"/>
            <w:tcBorders>
              <w:top w:val="single" w:sz="6" w:space="0" w:color="000000"/>
              <w:left w:val="single" w:sz="6" w:space="0" w:color="000000"/>
              <w:bottom w:val="single" w:sz="6" w:space="0" w:color="000000"/>
              <w:right w:val="single" w:sz="6" w:space="0" w:color="000000"/>
            </w:tcBorders>
          </w:tcPr>
          <w:p>
            <w:pPr>
              <w:pStyle w:val="TableParagraph"/>
              <w:spacing w:before="103"/>
              <w:ind w:left="501" w:right="470"/>
              <w:jc w:val="center"/>
              <w:rPr>
                <w:sz w:val="18"/>
              </w:rPr>
            </w:pPr>
            <w:r>
              <w:rPr>
                <w:sz w:val="18"/>
              </w:rPr>
              <w:t>1.00</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3"/>
              <w:ind w:left="499" w:right="470"/>
              <w:jc w:val="center"/>
              <w:rPr>
                <w:sz w:val="18"/>
              </w:rPr>
            </w:pPr>
            <w:r>
              <w:rPr>
                <w:sz w:val="18"/>
              </w:rPr>
              <w:t>1.00</w:t>
            </w:r>
          </w:p>
        </w:tc>
        <w:tc>
          <w:tcPr>
            <w:tcW w:w="1927" w:type="dxa"/>
            <w:tcBorders>
              <w:top w:val="single" w:sz="6" w:space="0" w:color="000000"/>
              <w:left w:val="single" w:sz="6" w:space="0" w:color="000000"/>
              <w:bottom w:val="single" w:sz="6" w:space="0" w:color="000000"/>
              <w:right w:val="single" w:sz="6" w:space="0" w:color="000000"/>
            </w:tcBorders>
          </w:tcPr>
          <w:p>
            <w:pPr>
              <w:pStyle w:val="TableParagraph"/>
              <w:spacing w:before="103"/>
              <w:ind w:left="499" w:right="465"/>
              <w:jc w:val="center"/>
              <w:rPr>
                <w:sz w:val="18"/>
              </w:rPr>
            </w:pPr>
            <w:r>
              <w:rPr>
                <w:sz w:val="18"/>
              </w:rPr>
              <w:t>1.00</w:t>
            </w:r>
          </w:p>
        </w:tc>
        <w:tc>
          <w:tcPr>
            <w:tcW w:w="1929" w:type="dxa"/>
            <w:tcBorders>
              <w:top w:val="single" w:sz="6" w:space="0" w:color="000000"/>
              <w:left w:val="single" w:sz="6" w:space="0" w:color="000000"/>
              <w:bottom w:val="single" w:sz="6" w:space="0" w:color="000000"/>
            </w:tcBorders>
          </w:tcPr>
          <w:p>
            <w:pPr>
              <w:pStyle w:val="TableParagraph"/>
              <w:spacing w:before="103"/>
              <w:ind w:left="681" w:right="641"/>
              <w:jc w:val="center"/>
              <w:rPr>
                <w:sz w:val="18"/>
              </w:rPr>
            </w:pPr>
            <w:r>
              <w:rPr>
                <w:sz w:val="18"/>
              </w:rPr>
              <w:t>1.00</w:t>
            </w:r>
          </w:p>
        </w:tc>
      </w:tr>
      <w:tr>
        <w:tblPrEx>
          <w:tblW w:w="0" w:type="auto"/>
          <w:jc w:val="left"/>
          <w:tblInd w:w="1050" w:type="dxa"/>
          <w:tblLayout w:type="fixed"/>
          <w:tblCellMar>
            <w:top w:w="0" w:type="dxa"/>
            <w:left w:w="0" w:type="dxa"/>
            <w:bottom w:w="0" w:type="dxa"/>
            <w:right w:w="0" w:type="dxa"/>
          </w:tblCellMar>
          <w:tblLook w:val="01E0"/>
        </w:tblPrEx>
        <w:trPr>
          <w:trHeight w:val="1263"/>
          <w:jc w:val="left"/>
        </w:trPr>
        <w:tc>
          <w:tcPr>
            <w:tcW w:w="9639" w:type="dxa"/>
            <w:gridSpan w:val="5"/>
            <w:tcBorders>
              <w:top w:val="single" w:sz="6" w:space="0" w:color="000000"/>
            </w:tcBorders>
          </w:tcPr>
          <w:p>
            <w:pPr>
              <w:pStyle w:val="TableParagraph"/>
              <w:spacing w:before="38"/>
              <w:ind w:left="301" w:right="-15"/>
              <w:rPr>
                <w:sz w:val="18"/>
              </w:rPr>
            </w:pPr>
            <w:r>
              <w:rPr>
                <w:sz w:val="18"/>
              </w:rPr>
              <w:t>注1： 房屋类型按建造年代进行分类，I类房屋指1989年以前建造的房屋，II类房屋指1989年～2002年间建造的房屋，</w:t>
            </w:r>
          </w:p>
          <w:p>
            <w:pPr>
              <w:pStyle w:val="TableParagraph"/>
              <w:spacing w:before="81"/>
              <w:ind w:left="28"/>
              <w:rPr>
                <w:sz w:val="18"/>
              </w:rPr>
            </w:pPr>
            <w:r>
              <w:rPr>
                <w:sz w:val="18"/>
              </w:rPr>
              <w:t>III类房屋是指2002年以后建造的房屋。</w:t>
            </w:r>
          </w:p>
          <w:p>
            <w:pPr>
              <w:pStyle w:val="TableParagraph"/>
              <w:spacing w:before="2" w:line="310" w:lineRule="atLeast"/>
              <w:ind w:left="28" w:right="-15" w:firstLine="273"/>
              <w:rPr>
                <w:sz w:val="18"/>
              </w:rPr>
            </w:pPr>
            <w:r>
              <w:rPr>
                <w:sz w:val="18"/>
              </w:rPr>
              <w:t>注2： 对楼面活荷载标准值在历次GB</w:t>
            </w:r>
            <w:r>
              <w:rPr>
                <w:spacing w:val="-44"/>
                <w:sz w:val="18"/>
              </w:rPr>
              <w:t xml:space="preserve"> </w:t>
            </w:r>
            <w:r>
              <w:rPr>
                <w:sz w:val="18"/>
              </w:rPr>
              <w:t>50009</w:t>
            </w:r>
            <w:r>
              <w:rPr>
                <w:spacing w:val="-3"/>
                <w:sz w:val="18"/>
              </w:rPr>
              <w:t>修订中未调高的试验室、阅览室、会议室、食堂、餐厅等民用建筑及工业建筑，采用括号内数值。</w:t>
            </w:r>
          </w:p>
        </w:tc>
      </w:tr>
    </w:tbl>
    <w:p>
      <w:pPr>
        <w:pStyle w:val="BodyText"/>
        <w:spacing w:before="1"/>
        <w:rPr>
          <w:rFonts w:ascii="黑体"/>
          <w:sz w:val="26"/>
        </w:rPr>
      </w:pPr>
    </w:p>
    <w:p>
      <w:pPr>
        <w:pStyle w:val="BodyText"/>
        <w:ind w:left="1886"/>
      </w:pPr>
      <w:r>
        <w:t>（4) 计算时可不计入地震作用。</w:t>
      </w:r>
    </w:p>
    <w:p>
      <w:pPr>
        <w:pStyle w:val="ListParagraph"/>
        <w:numPr>
          <w:ilvl w:val="3"/>
          <w:numId w:val="16"/>
        </w:numPr>
        <w:tabs>
          <w:tab w:val="left" w:pos="2019"/>
        </w:tabs>
        <w:spacing w:before="43" w:after="0" w:line="240" w:lineRule="auto"/>
        <w:ind w:left="2018" w:right="0" w:hanging="414"/>
        <w:jc w:val="left"/>
        <w:rPr>
          <w:sz w:val="21"/>
        </w:rPr>
      </w:pPr>
      <w:bookmarkStart w:id="254" w:name="e) 构件材料强度的标准值应根据结构的实际状态按下列原则确定："/>
      <w:bookmarkEnd w:id="254"/>
      <w:r>
        <w:rPr>
          <w:spacing w:val="-3"/>
          <w:sz w:val="21"/>
        </w:rPr>
        <w:t>构件材料强度的标准值应根据结构的实际状态按下列原则确定：</w:t>
      </w:r>
    </w:p>
    <w:p>
      <w:pPr>
        <w:pStyle w:val="BodyText"/>
        <w:spacing w:before="43" w:line="278" w:lineRule="auto"/>
        <w:ind w:left="2455" w:right="980" w:hanging="569"/>
      </w:pPr>
      <w:r>
        <w:t>（1) 若原设计文件有效，且不怀疑结构有严重的性能退化或设计、施工偏差，可采用原设计的标准值；</w:t>
      </w:r>
    </w:p>
    <w:p>
      <w:pPr>
        <w:pStyle w:val="BodyText"/>
        <w:spacing w:line="278" w:lineRule="auto"/>
        <w:ind w:left="2456" w:right="876" w:hanging="563"/>
      </w:pPr>
      <w:r>
        <w:t>（2)</w:t>
      </w:r>
      <w:r>
        <w:rPr>
          <w:spacing w:val="-3"/>
        </w:rPr>
        <w:t xml:space="preserve"> 若调查表明实际情况不符合上述</w:t>
      </w:r>
      <w:r>
        <w:t>(1</w:t>
      </w:r>
      <w:r>
        <w:rPr>
          <w:spacing w:val="-15"/>
        </w:rPr>
        <w:t xml:space="preserve">)的要求，应按 </w:t>
      </w:r>
      <w:r>
        <w:t>GB 50292</w:t>
      </w:r>
      <w:r>
        <w:rPr>
          <w:spacing w:val="-26"/>
        </w:rPr>
        <w:t xml:space="preserve"> 附录 </w:t>
      </w:r>
      <w:r>
        <w:t>L</w:t>
      </w:r>
      <w:r>
        <w:rPr>
          <w:spacing w:val="-9"/>
        </w:rPr>
        <w:t xml:space="preserve"> 的要求进行现场检测， </w:t>
      </w:r>
      <w:r>
        <w:rPr>
          <w:spacing w:val="-3"/>
        </w:rPr>
        <w:t>并确定其标准值。</w:t>
      </w:r>
    </w:p>
    <w:p>
      <w:pPr>
        <w:pStyle w:val="ListParagraph"/>
        <w:numPr>
          <w:ilvl w:val="3"/>
          <w:numId w:val="16"/>
        </w:numPr>
        <w:tabs>
          <w:tab w:val="left" w:pos="2020"/>
        </w:tabs>
        <w:spacing w:before="0" w:after="0" w:line="278" w:lineRule="auto"/>
        <w:ind w:left="2026" w:right="979" w:hanging="421"/>
        <w:jc w:val="left"/>
        <w:rPr>
          <w:sz w:val="21"/>
        </w:rPr>
      </w:pPr>
      <w:r>
        <w:drawing>
          <wp:anchor distT="0" distB="0" distL="0" distR="0" simplePos="0" relativeHeight="251689984" behindDoc="0" locked="0" layoutInCell="1" allowOverlap="1">
            <wp:simplePos x="0" y="0"/>
            <wp:positionH relativeFrom="page">
              <wp:posOffset>215900</wp:posOffset>
            </wp:positionH>
            <wp:positionV relativeFrom="paragraph">
              <wp:posOffset>7077</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55" w:name="f) 结构或构件的几何参数应采用实测值，并应计入锈蚀、腐蚀、腐朽、虫蛀、风化、裂"/>
      <w:bookmarkEnd w:id="255"/>
      <w:r>
        <w:rPr>
          <w:spacing w:val="-3"/>
          <w:sz w:val="21"/>
        </w:rPr>
        <w:t>结构或构件的几何参数应采用实测值，并应计入锈蚀、腐蚀、腐朽、虫蛀、风化、裂缝、缺</w:t>
      </w:r>
      <w:r>
        <w:rPr>
          <w:spacing w:val="-3"/>
          <w:sz w:val="21"/>
        </w:rPr>
        <w:t>陷、损伤以及施工偏差等的影响。</w:t>
      </w:r>
    </w:p>
    <w:p>
      <w:pPr>
        <w:pStyle w:val="ListParagraph"/>
        <w:numPr>
          <w:ilvl w:val="2"/>
          <w:numId w:val="16"/>
        </w:numPr>
        <w:tabs>
          <w:tab w:val="left" w:pos="2019"/>
          <w:tab w:val="left" w:pos="2020"/>
        </w:tabs>
        <w:spacing w:before="0" w:after="0" w:line="278" w:lineRule="auto"/>
        <w:ind w:left="1179" w:right="979" w:firstLine="0"/>
        <w:jc w:val="left"/>
        <w:rPr>
          <w:sz w:val="21"/>
        </w:rPr>
      </w:pPr>
      <w:bookmarkStart w:id="256" w:name="8.1.4 当检查一种构件的材料由于与时间有关的环境效应或其它均匀作用的因素引起"/>
      <w:bookmarkEnd w:id="256"/>
      <w:r>
        <w:rPr>
          <w:spacing w:val="-3"/>
          <w:sz w:val="21"/>
        </w:rPr>
        <w:t>当检查一种构件的材料由于与时间有关的环境效应或其它均匀作用的因素引起的性能变化</w:t>
      </w:r>
      <w:r>
        <w:rPr>
          <w:spacing w:val="-3"/>
          <w:sz w:val="21"/>
        </w:rPr>
        <w:t xml:space="preserve"> </w:t>
      </w:r>
      <w:r>
        <w:rPr>
          <w:spacing w:val="-5"/>
          <w:sz w:val="21"/>
        </w:rPr>
        <w:t xml:space="preserve">时，可采用随机抽样的方法，检测抽样数量按照 </w:t>
      </w:r>
      <w:r>
        <w:rPr>
          <w:sz w:val="21"/>
        </w:rPr>
        <w:t>GB/T</w:t>
      </w:r>
      <w:r>
        <w:rPr>
          <w:spacing w:val="12"/>
          <w:sz w:val="21"/>
        </w:rPr>
        <w:t xml:space="preserve"> </w:t>
      </w:r>
      <w:r>
        <w:rPr>
          <w:sz w:val="21"/>
        </w:rPr>
        <w:t>50344</w:t>
      </w:r>
      <w:r>
        <w:rPr>
          <w:spacing w:val="-33"/>
          <w:sz w:val="21"/>
        </w:rPr>
        <w:t xml:space="preserve"> 中 </w:t>
      </w:r>
      <w:r>
        <w:rPr>
          <w:sz w:val="21"/>
        </w:rPr>
        <w:t>3.3.13</w:t>
      </w:r>
      <w:r>
        <w:rPr>
          <w:spacing w:val="-9"/>
          <w:sz w:val="21"/>
        </w:rPr>
        <w:t xml:space="preserve"> 的要求进行，并按现行检测方</w:t>
      </w:r>
      <w:r>
        <w:rPr>
          <w:spacing w:val="-5"/>
          <w:sz w:val="21"/>
        </w:rPr>
        <w:t>法标准规定的从每一构件上切取的试件数或划定的测点数，测定其材料强度或其他力学性能，当构件</w:t>
      </w:r>
      <w:r>
        <w:rPr>
          <w:spacing w:val="-14"/>
          <w:sz w:val="21"/>
        </w:rPr>
        <w:t xml:space="preserve">总数少于 </w:t>
      </w:r>
      <w:r>
        <w:rPr>
          <w:sz w:val="21"/>
        </w:rPr>
        <w:t>5</w:t>
      </w:r>
      <w:r>
        <w:rPr>
          <w:spacing w:val="-8"/>
          <w:sz w:val="21"/>
        </w:rPr>
        <w:t xml:space="preserve"> 个时，应逐个进行检测。</w:t>
      </w:r>
    </w:p>
    <w:p>
      <w:pPr>
        <w:pStyle w:val="ListParagraph"/>
        <w:numPr>
          <w:ilvl w:val="2"/>
          <w:numId w:val="16"/>
        </w:numPr>
        <w:tabs>
          <w:tab w:val="left" w:pos="2019"/>
          <w:tab w:val="left" w:pos="2020"/>
        </w:tabs>
        <w:spacing w:before="0" w:after="0" w:line="268" w:lineRule="exact"/>
        <w:ind w:left="2019" w:right="0" w:hanging="841"/>
        <w:jc w:val="left"/>
        <w:rPr>
          <w:sz w:val="21"/>
        </w:rPr>
      </w:pPr>
      <w:bookmarkStart w:id="257" w:name="8.1.5 当房屋中的构件同时符合下列条件时，可直接评定为非危险构件："/>
      <w:bookmarkEnd w:id="257"/>
      <w:r>
        <w:rPr>
          <w:spacing w:val="-3"/>
          <w:sz w:val="21"/>
        </w:rPr>
        <w:t>当房屋中的构件同时符合下列条件时，可直接评定为非危险构件：</w:t>
      </w:r>
    </w:p>
    <w:p>
      <w:pPr>
        <w:pStyle w:val="ListParagraph"/>
        <w:numPr>
          <w:ilvl w:val="3"/>
          <w:numId w:val="16"/>
        </w:numPr>
        <w:tabs>
          <w:tab w:val="left" w:pos="2020"/>
        </w:tabs>
        <w:spacing w:before="42" w:after="0" w:line="240" w:lineRule="auto"/>
        <w:ind w:left="2019" w:right="0" w:hanging="414"/>
        <w:jc w:val="left"/>
        <w:rPr>
          <w:sz w:val="21"/>
        </w:rPr>
      </w:pPr>
      <w:bookmarkStart w:id="258" w:name="a) 构件未受结构性改变、修复或用途及使用条件改变的影响；"/>
      <w:bookmarkEnd w:id="258"/>
      <w:r>
        <w:rPr>
          <w:spacing w:val="-3"/>
          <w:sz w:val="21"/>
        </w:rPr>
        <w:t>构件未受结构性改变、修复或用途及使用条件改变的影响；</w:t>
      </w:r>
    </w:p>
    <w:p>
      <w:pPr>
        <w:pStyle w:val="ListParagraph"/>
        <w:numPr>
          <w:ilvl w:val="3"/>
          <w:numId w:val="16"/>
        </w:numPr>
        <w:tabs>
          <w:tab w:val="left" w:pos="2021"/>
        </w:tabs>
        <w:spacing w:before="43" w:after="0" w:line="240" w:lineRule="auto"/>
        <w:ind w:left="2020" w:right="0" w:hanging="414"/>
        <w:jc w:val="left"/>
        <w:rPr>
          <w:sz w:val="21"/>
        </w:rPr>
      </w:pPr>
      <w:bookmarkStart w:id="259" w:name="b) 构件无明显的开裂、变形等损坏；"/>
      <w:bookmarkEnd w:id="259"/>
      <w:r>
        <w:rPr>
          <w:spacing w:val="-3"/>
          <w:sz w:val="21"/>
        </w:rPr>
        <w:t>构件无明显的开裂、变形等损坏；</w:t>
      </w:r>
    </w:p>
    <w:p>
      <w:pPr>
        <w:pStyle w:val="ListParagraph"/>
        <w:numPr>
          <w:ilvl w:val="3"/>
          <w:numId w:val="16"/>
        </w:numPr>
        <w:tabs>
          <w:tab w:val="left" w:pos="2021"/>
        </w:tabs>
        <w:spacing w:before="43" w:after="0" w:line="240" w:lineRule="auto"/>
        <w:ind w:left="2020" w:right="0" w:hanging="414"/>
        <w:jc w:val="left"/>
        <w:rPr>
          <w:sz w:val="21"/>
        </w:rPr>
      </w:pPr>
      <w:bookmarkStart w:id="260" w:name="c) 构件工作正常，无安全性问题。"/>
      <w:bookmarkEnd w:id="260"/>
      <w:r>
        <w:rPr>
          <w:spacing w:val="-3"/>
          <w:sz w:val="21"/>
        </w:rPr>
        <w:t>构件工作正常，无安全性问题。</w:t>
      </w:r>
    </w:p>
    <w:p>
      <w:pPr>
        <w:pStyle w:val="BodyText"/>
        <w:spacing w:before="6"/>
        <w:rPr>
          <w:sz w:val="15"/>
        </w:rPr>
      </w:pPr>
    </w:p>
    <w:p>
      <w:pPr>
        <w:pStyle w:val="ListParagraph"/>
        <w:numPr>
          <w:ilvl w:val="1"/>
          <w:numId w:val="16"/>
        </w:numPr>
        <w:tabs>
          <w:tab w:val="left" w:pos="1706"/>
        </w:tabs>
        <w:spacing w:before="1" w:after="0" w:line="240" w:lineRule="auto"/>
        <w:ind w:left="1705" w:right="0" w:hanging="526"/>
        <w:jc w:val="left"/>
        <w:rPr>
          <w:rFonts w:ascii="黑体" w:eastAsia="黑体" w:hint="eastAsia"/>
          <w:sz w:val="21"/>
        </w:rPr>
      </w:pPr>
      <w:bookmarkStart w:id="261" w:name="8.2　 基础构件"/>
      <w:bookmarkEnd w:id="261"/>
      <w:r>
        <w:rPr>
          <w:rFonts w:ascii="黑体" w:eastAsia="黑体" w:hint="eastAsia"/>
          <w:spacing w:val="-1"/>
          <w:sz w:val="21"/>
        </w:rPr>
        <w:t>基础构件</w:t>
      </w:r>
    </w:p>
    <w:p>
      <w:pPr>
        <w:pStyle w:val="BodyText"/>
        <w:spacing w:before="6"/>
        <w:rPr>
          <w:rFonts w:ascii="黑体"/>
          <w:sz w:val="15"/>
        </w:rPr>
      </w:pPr>
    </w:p>
    <w:p>
      <w:pPr>
        <w:pStyle w:val="ListParagraph"/>
        <w:numPr>
          <w:ilvl w:val="2"/>
          <w:numId w:val="16"/>
        </w:numPr>
        <w:tabs>
          <w:tab w:val="left" w:pos="2020"/>
          <w:tab w:val="left" w:pos="2021"/>
        </w:tabs>
        <w:spacing w:before="0" w:after="0" w:line="240" w:lineRule="auto"/>
        <w:ind w:left="2020" w:right="0" w:hanging="841"/>
        <w:jc w:val="left"/>
        <w:rPr>
          <w:sz w:val="21"/>
        </w:rPr>
      </w:pPr>
      <w:bookmarkStart w:id="262" w:name="8.2.1 基础构件的危险性鉴定，应根据基础构件的承载能力、构造与连接、裂缝和变"/>
      <w:bookmarkEnd w:id="262"/>
      <w:r>
        <w:rPr>
          <w:spacing w:val="-9"/>
          <w:sz w:val="21"/>
        </w:rPr>
        <w:t>基础构件的危险性鉴定，应根据基础构件的承载能力、构造与连接、裂缝和变形等内容确定。</w:t>
      </w:r>
    </w:p>
    <w:p>
      <w:pPr>
        <w:pStyle w:val="ListParagraph"/>
        <w:numPr>
          <w:ilvl w:val="2"/>
          <w:numId w:val="16"/>
        </w:numPr>
        <w:tabs>
          <w:tab w:val="left" w:pos="2020"/>
          <w:tab w:val="left" w:pos="2021"/>
        </w:tabs>
        <w:spacing w:before="43" w:after="0" w:line="240" w:lineRule="auto"/>
        <w:ind w:left="2020" w:right="0" w:hanging="841"/>
        <w:jc w:val="left"/>
        <w:rPr>
          <w:sz w:val="21"/>
        </w:rPr>
      </w:pPr>
      <w:bookmarkStart w:id="263" w:name="8.2.2 基础构件的危险性鉴定应符合下列规定:"/>
      <w:bookmarkEnd w:id="263"/>
      <w:r>
        <w:rPr>
          <w:spacing w:val="-3"/>
          <w:sz w:val="21"/>
        </w:rPr>
        <w:t>基础构件的危险性鉴定应符合下列规定:</w:t>
      </w:r>
    </w:p>
    <w:p>
      <w:pPr>
        <w:pStyle w:val="ListParagraph"/>
        <w:numPr>
          <w:ilvl w:val="3"/>
          <w:numId w:val="16"/>
        </w:numPr>
        <w:tabs>
          <w:tab w:val="left" w:pos="2021"/>
        </w:tabs>
        <w:spacing w:before="43" w:after="0" w:line="278" w:lineRule="auto"/>
        <w:ind w:left="2032" w:right="979" w:hanging="421"/>
        <w:jc w:val="left"/>
        <w:rPr>
          <w:sz w:val="21"/>
        </w:rPr>
      </w:pPr>
      <w:bookmarkStart w:id="264" w:name="a) 通过分析房屋的近期沉降、倾斜观测资料和其因不均匀沉降引起上部结构反应的检测"/>
      <w:bookmarkEnd w:id="264"/>
      <w:r>
        <w:rPr>
          <w:spacing w:val="-3"/>
          <w:sz w:val="21"/>
        </w:rPr>
        <w:t>通过分析房屋的近期沉降、倾斜观测资料和其因不均匀沉降引起上部结构反应的检测结果进</w:t>
      </w:r>
      <w:r>
        <w:rPr>
          <w:spacing w:val="-3"/>
          <w:sz w:val="21"/>
        </w:rPr>
        <w:t>行判定；</w:t>
      </w:r>
    </w:p>
    <w:p>
      <w:pPr>
        <w:pStyle w:val="ListParagraph"/>
        <w:numPr>
          <w:ilvl w:val="3"/>
          <w:numId w:val="16"/>
        </w:numPr>
        <w:tabs>
          <w:tab w:val="left" w:pos="2021"/>
        </w:tabs>
        <w:spacing w:before="0" w:after="0" w:line="278" w:lineRule="auto"/>
        <w:ind w:left="2032" w:right="978" w:hanging="421"/>
        <w:jc w:val="left"/>
        <w:rPr>
          <w:sz w:val="21"/>
        </w:rPr>
      </w:pPr>
      <w:bookmarkStart w:id="265" w:name="b) 判定时，重点检查的内容主要有：基础与上部结构竖向承重构件(承重砖墙、剪力墙"/>
      <w:bookmarkEnd w:id="265"/>
      <w:r>
        <w:rPr>
          <w:spacing w:val="-10"/>
          <w:sz w:val="21"/>
        </w:rPr>
        <w:t>判定时，重点检查的内容主要有：基础与上部结构竖向承重构件(承重砖墙、剪力墙、混凝土</w:t>
      </w:r>
      <w:r>
        <w:rPr>
          <w:spacing w:val="-5"/>
          <w:sz w:val="21"/>
        </w:rPr>
        <w:t>柱、钢柱、木柱等)连接处的裂缝特征，房屋的整体倾斜和位移，房屋外墙根部和四周室外</w:t>
      </w:r>
      <w:r>
        <w:rPr>
          <w:spacing w:val="-3"/>
          <w:sz w:val="21"/>
        </w:rPr>
        <w:t>地坪的裂缝、地基稳定（</w:t>
      </w:r>
      <w:r>
        <w:rPr>
          <w:sz w:val="21"/>
        </w:rPr>
        <w:t>滑坡</w:t>
      </w:r>
      <w:r>
        <w:rPr>
          <w:spacing w:val="-5"/>
          <w:sz w:val="21"/>
        </w:rPr>
        <w:t>）</w:t>
      </w:r>
      <w:r>
        <w:rPr>
          <w:spacing w:val="-4"/>
          <w:sz w:val="21"/>
        </w:rPr>
        <w:t>、特殊土质变形和开裂状况，以及建筑物内部伸入地下土体</w:t>
      </w:r>
      <w:r>
        <w:rPr>
          <w:spacing w:val="-3"/>
          <w:sz w:val="21"/>
        </w:rPr>
        <w:t>内的管道设备的变形等情况；</w:t>
      </w:r>
    </w:p>
    <w:p>
      <w:pPr>
        <w:pStyle w:val="ListParagraph"/>
        <w:numPr>
          <w:ilvl w:val="3"/>
          <w:numId w:val="16"/>
        </w:numPr>
        <w:tabs>
          <w:tab w:val="left" w:pos="2021"/>
        </w:tabs>
        <w:spacing w:before="0" w:after="0" w:line="268" w:lineRule="exact"/>
        <w:ind w:left="2020" w:right="0" w:hanging="409"/>
        <w:jc w:val="left"/>
        <w:rPr>
          <w:sz w:val="21"/>
        </w:rPr>
      </w:pPr>
      <w:bookmarkStart w:id="266" w:name="c) 必要时，宜结合开挖方式对基础构件进行检测，通过验算承载力进行判定。"/>
      <w:bookmarkEnd w:id="266"/>
      <w:r>
        <w:rPr>
          <w:spacing w:val="-3"/>
          <w:sz w:val="21"/>
        </w:rPr>
        <w:t>必要时，宜结合开挖方式对基础构件进行检测，通过验算承载力进行判定。</w:t>
      </w:r>
    </w:p>
    <w:p>
      <w:pPr>
        <w:pStyle w:val="ListParagraph"/>
        <w:numPr>
          <w:ilvl w:val="2"/>
          <w:numId w:val="16"/>
        </w:numPr>
        <w:tabs>
          <w:tab w:val="left" w:pos="2021"/>
          <w:tab w:val="left" w:pos="2022"/>
        </w:tabs>
        <w:spacing w:before="43" w:after="0" w:line="240" w:lineRule="auto"/>
        <w:ind w:left="2021" w:right="0" w:hanging="842"/>
        <w:jc w:val="left"/>
        <w:rPr>
          <w:sz w:val="21"/>
        </w:rPr>
      </w:pPr>
      <w:bookmarkStart w:id="267" w:name="8.2.3 基础构件以及与基础相连的房屋上部结构的沉降、倾斜观测应按JGJ 8的"/>
      <w:bookmarkEnd w:id="267"/>
      <w:r>
        <w:rPr>
          <w:spacing w:val="-5"/>
          <w:sz w:val="21"/>
        </w:rPr>
        <w:t xml:space="preserve">基础构件以及与基础相连的房屋上部结构的沉降、倾斜观测应按 </w:t>
      </w:r>
      <w:r>
        <w:rPr>
          <w:sz w:val="21"/>
        </w:rPr>
        <w:t>JGJ</w:t>
      </w:r>
      <w:r>
        <w:rPr>
          <w:spacing w:val="3"/>
          <w:sz w:val="21"/>
        </w:rPr>
        <w:t xml:space="preserve"> </w:t>
      </w:r>
      <w:r>
        <w:rPr>
          <w:sz w:val="21"/>
        </w:rPr>
        <w:t>8</w:t>
      </w:r>
      <w:r>
        <w:rPr>
          <w:spacing w:val="-10"/>
          <w:sz w:val="21"/>
        </w:rPr>
        <w:t xml:space="preserve"> 的相关要求执行。</w:t>
      </w:r>
    </w:p>
    <w:p>
      <w:pPr>
        <w:pStyle w:val="BodyText"/>
        <w:spacing w:before="10"/>
        <w:rPr>
          <w:sz w:val="9"/>
        </w:rPr>
      </w:pPr>
    </w:p>
    <w:p>
      <w:pPr>
        <w:spacing w:before="93"/>
        <w:ind w:left="0" w:right="1079" w:firstLine="0"/>
        <w:jc w:val="right"/>
        <w:rPr>
          <w:rFonts w:ascii="Times New Roman"/>
          <w:sz w:val="18"/>
        </w:rPr>
      </w:pPr>
      <w:r>
        <w:rPr>
          <w:rFonts w:ascii="Times New Roman"/>
          <w:sz w:val="18"/>
        </w:rPr>
        <w:t>13</w:t>
      </w:r>
    </w:p>
    <w:p>
      <w:pPr>
        <w:spacing w:after="0"/>
        <w:jc w:val="right"/>
        <w:rPr>
          <w:rFonts w:ascii="Times New Roman"/>
          <w:sz w:val="18"/>
        </w:rPr>
        <w:sectPr>
          <w:headerReference w:type="even" r:id="rId38"/>
          <w:headerReference w:type="default" r:id="rId39"/>
          <w:pgSz w:w="11910" w:h="16840"/>
          <w:pgMar w:top="1340" w:right="260" w:bottom="280" w:left="240" w:header="0" w:footer="0"/>
          <w:pgNumType w:start="20"/>
          <w:cols w:space="708"/>
        </w:sectPr>
      </w:pPr>
    </w:p>
    <w:p>
      <w:pPr>
        <w:pStyle w:val="BodyText"/>
        <w:spacing w:before="6"/>
        <w:rPr>
          <w:rFonts w:ascii="Times New Roman"/>
          <w:sz w:val="17"/>
        </w:rPr>
      </w:pPr>
    </w:p>
    <w:p>
      <w:pPr>
        <w:pStyle w:val="ListParagraph"/>
        <w:numPr>
          <w:ilvl w:val="2"/>
          <w:numId w:val="16"/>
        </w:numPr>
        <w:tabs>
          <w:tab w:val="left" w:pos="2018"/>
          <w:tab w:val="left" w:pos="2019"/>
        </w:tabs>
        <w:spacing w:before="72" w:after="0" w:line="240" w:lineRule="auto"/>
        <w:ind w:left="2018" w:right="0" w:hanging="841"/>
        <w:jc w:val="left"/>
        <w:rPr>
          <w:sz w:val="21"/>
        </w:rPr>
      </w:pPr>
      <w:bookmarkStart w:id="268" w:name="8.2.4 基础构件承载力验算时，应按GB 50007的相关要求执行。"/>
      <w:bookmarkEnd w:id="268"/>
      <w:r>
        <w:rPr>
          <w:spacing w:val="-7"/>
          <w:sz w:val="21"/>
        </w:rPr>
        <w:t xml:space="preserve">基础构件承载力验算时，应按 </w:t>
      </w:r>
      <w:r>
        <w:rPr>
          <w:sz w:val="21"/>
        </w:rPr>
        <w:t>GB 50007</w:t>
      </w:r>
      <w:r>
        <w:rPr>
          <w:spacing w:val="-9"/>
          <w:sz w:val="21"/>
        </w:rPr>
        <w:t xml:space="preserve"> 的相关要求执行。</w:t>
      </w:r>
    </w:p>
    <w:p>
      <w:pPr>
        <w:pStyle w:val="ListParagraph"/>
        <w:numPr>
          <w:ilvl w:val="2"/>
          <w:numId w:val="16"/>
        </w:numPr>
        <w:tabs>
          <w:tab w:val="left" w:pos="2018"/>
          <w:tab w:val="left" w:pos="2019"/>
        </w:tabs>
        <w:spacing w:before="43" w:after="0" w:line="278" w:lineRule="auto"/>
        <w:ind w:left="1178" w:right="980" w:hanging="1"/>
        <w:jc w:val="left"/>
        <w:rPr>
          <w:sz w:val="21"/>
        </w:rPr>
      </w:pPr>
      <w:bookmarkStart w:id="269" w:name="8.2.5 当需对基础构件进行承载力验算时，应对构件材料强度及力学性能进行检测；"/>
      <w:bookmarkEnd w:id="269"/>
      <w:r>
        <w:rPr>
          <w:spacing w:val="-3"/>
          <w:sz w:val="21"/>
        </w:rPr>
        <w:t>当需对基础构件进行承载力验算时，应对构件材料强度及力学性能进行检测；所采用的截面</w:t>
      </w:r>
      <w:r>
        <w:rPr>
          <w:spacing w:val="-3"/>
          <w:sz w:val="21"/>
        </w:rPr>
        <w:t>计算值为扣除各种因素导致截面削弱后的有效值。</w:t>
      </w:r>
    </w:p>
    <w:p>
      <w:pPr>
        <w:pStyle w:val="ListParagraph"/>
        <w:numPr>
          <w:ilvl w:val="2"/>
          <w:numId w:val="16"/>
        </w:numPr>
        <w:tabs>
          <w:tab w:val="left" w:pos="2018"/>
          <w:tab w:val="left" w:pos="2019"/>
        </w:tabs>
        <w:spacing w:before="0" w:after="0" w:line="269" w:lineRule="exact"/>
        <w:ind w:left="2018" w:right="0" w:hanging="841"/>
        <w:jc w:val="left"/>
        <w:rPr>
          <w:sz w:val="21"/>
        </w:rPr>
      </w:pPr>
      <w:bookmarkStart w:id="270" w:name="8.2.6 当房屋基础构件有下列现象之一者，应评定为危险点："/>
      <w:bookmarkEnd w:id="270"/>
      <w:r>
        <w:rPr>
          <w:spacing w:val="-3"/>
          <w:sz w:val="21"/>
        </w:rPr>
        <w:t>当房屋基础构件有下列现象之一者，应评定为危险点：</w:t>
      </w:r>
    </w:p>
    <w:p>
      <w:pPr>
        <w:pStyle w:val="ListParagraph"/>
        <w:numPr>
          <w:ilvl w:val="3"/>
          <w:numId w:val="16"/>
        </w:numPr>
        <w:tabs>
          <w:tab w:val="left" w:pos="2019"/>
        </w:tabs>
        <w:spacing w:before="43" w:after="0" w:line="240" w:lineRule="auto"/>
        <w:ind w:left="2018" w:right="0" w:hanging="413"/>
        <w:jc w:val="left"/>
        <w:rPr>
          <w:sz w:val="21"/>
        </w:rPr>
      </w:pPr>
      <w:bookmarkStart w:id="271" w:name="a) 基础构件承载能力与其作用效应的比值不满足式（1）的要求："/>
      <w:bookmarkEnd w:id="271"/>
      <w:r>
        <w:rPr>
          <w:spacing w:val="-3"/>
          <w:sz w:val="21"/>
        </w:rPr>
        <w:t>基础构件承载能力与其作用效应的比值不满足式</w:t>
      </w:r>
      <w:r>
        <w:rPr>
          <w:sz w:val="21"/>
        </w:rPr>
        <w:t>（1）</w:t>
      </w:r>
      <w:r>
        <w:rPr>
          <w:spacing w:val="-2"/>
          <w:sz w:val="21"/>
        </w:rPr>
        <w:t>的要求：</w:t>
      </w:r>
    </w:p>
    <w:p>
      <w:pPr>
        <w:pStyle w:val="BodyText"/>
        <w:rPr>
          <w:sz w:val="25"/>
        </w:rPr>
      </w:pPr>
    </w:p>
    <w:p>
      <w:pPr>
        <w:spacing w:after="0"/>
        <w:rPr>
          <w:sz w:val="25"/>
        </w:rPr>
        <w:sectPr>
          <w:headerReference w:type="even" r:id="rId40"/>
          <w:headerReference w:type="default" r:id="rId41"/>
          <w:pgSz w:w="11910" w:h="16840"/>
          <w:pgMar w:top="1640" w:right="260" w:bottom="280" w:left="240" w:header="1448" w:footer="0"/>
          <w:pgNumType w:start="21"/>
          <w:cols w:space="708"/>
        </w:sectPr>
      </w:pPr>
    </w:p>
    <w:p>
      <w:pPr>
        <w:pStyle w:val="BodyText"/>
        <w:rPr>
          <w:sz w:val="20"/>
        </w:rPr>
      </w:pPr>
    </w:p>
    <w:p>
      <w:pPr>
        <w:pStyle w:val="BodyText"/>
        <w:rPr>
          <w:sz w:val="20"/>
        </w:rPr>
      </w:pPr>
    </w:p>
    <w:p>
      <w:pPr>
        <w:pStyle w:val="BodyText"/>
        <w:rPr>
          <w:sz w:val="20"/>
        </w:rPr>
      </w:pPr>
    </w:p>
    <w:p>
      <w:pPr>
        <w:pStyle w:val="BodyText"/>
        <w:spacing w:before="10"/>
        <w:rPr>
          <w:sz w:val="15"/>
        </w:rPr>
      </w:pPr>
    </w:p>
    <w:p>
      <w:pPr>
        <w:pStyle w:val="BodyText"/>
        <w:ind w:left="1605"/>
      </w:pPr>
      <w:bookmarkStart w:id="272" w:name="式中："/>
      <w:bookmarkEnd w:id="272"/>
      <w:r>
        <w:t>式中：</w:t>
      </w:r>
    </w:p>
    <w:p>
      <w:pPr>
        <w:pStyle w:val="ListParagraph"/>
        <w:numPr>
          <w:ilvl w:val="0"/>
          <w:numId w:val="13"/>
        </w:numPr>
        <w:tabs>
          <w:tab w:val="left" w:pos="1810"/>
        </w:tabs>
        <w:spacing w:before="33" w:after="0" w:line="240" w:lineRule="auto"/>
        <w:ind w:left="1809" w:right="0" w:hanging="212"/>
        <w:jc w:val="left"/>
        <w:rPr>
          <w:sz w:val="21"/>
        </w:rPr>
      </w:pPr>
      <w:r>
        <w:rPr>
          <w:spacing w:val="-3"/>
          <w:sz w:val="21"/>
        </w:rPr>
        <w:t>——结构构件抗力；</w:t>
      </w:r>
    </w:p>
    <w:p>
      <w:pPr>
        <w:pStyle w:val="ListParagraph"/>
        <w:numPr>
          <w:ilvl w:val="0"/>
          <w:numId w:val="13"/>
        </w:numPr>
        <w:tabs>
          <w:tab w:val="left" w:pos="1810"/>
        </w:tabs>
        <w:spacing w:before="30" w:after="0" w:line="278" w:lineRule="auto"/>
        <w:ind w:left="1598" w:right="0" w:hanging="1"/>
        <w:jc w:val="left"/>
        <w:rPr>
          <w:sz w:val="21"/>
        </w:rPr>
      </w:pPr>
      <w:r>
        <w:rPr>
          <w:spacing w:val="-3"/>
          <w:sz w:val="21"/>
        </w:rPr>
        <w:t xml:space="preserve">——结构构件作用效应； </w:t>
      </w:r>
      <w:r>
        <w:rPr>
          <w:position w:val="1"/>
          <w:sz w:val="21"/>
        </w:rPr>
        <w:t>γ</w:t>
      </w:r>
      <w:r>
        <w:rPr>
          <w:sz w:val="11"/>
        </w:rPr>
        <w:t>0</w:t>
      </w:r>
      <w:r>
        <w:rPr>
          <w:spacing w:val="12"/>
          <w:sz w:val="11"/>
        </w:rPr>
        <w:t xml:space="preserve"> </w:t>
      </w:r>
      <w:r>
        <w:rPr>
          <w:spacing w:val="-4"/>
          <w:position w:val="1"/>
          <w:sz w:val="21"/>
        </w:rPr>
        <w:t>——结构构件重要性系数。</w:t>
      </w:r>
    </w:p>
    <w:p>
      <w:pPr>
        <w:spacing w:before="88"/>
        <w:ind w:left="930" w:right="0" w:firstLine="0"/>
        <w:jc w:val="left"/>
        <w:rPr>
          <w:rFonts w:ascii="Times New Roman"/>
          <w:i/>
          <w:sz w:val="28"/>
        </w:rPr>
      </w:pPr>
      <w:r>
        <w:br w:type="column"/>
      </w:r>
      <w:r>
        <w:rPr>
          <w:rFonts w:ascii="Times New Roman"/>
          <w:i/>
          <w:sz w:val="28"/>
        </w:rPr>
        <w:t>R</w:t>
      </w:r>
    </w:p>
    <w:p>
      <w:pPr>
        <w:spacing w:before="44"/>
        <w:ind w:left="811" w:right="0" w:firstLine="0"/>
        <w:jc w:val="left"/>
        <w:rPr>
          <w:rFonts w:ascii="Times New Roman" w:hAnsi="Times New Roman"/>
          <w:i/>
          <w:sz w:val="28"/>
        </w:rPr>
      </w:pPr>
      <w:r>
        <w:pict>
          <v:line id="_x0000_s1142" style="mso-position-horizontal-relative:page;position:absolute;z-index:251693056" from="276.4pt,2.35pt" to="296.1pt,2.35pt" stroked="t" strokecolor="black" strokeweight="0.69pt">
            <v:stroke dashstyle="solid"/>
          </v:line>
        </w:pict>
      </w:r>
      <w:r>
        <w:rPr>
          <w:rFonts w:ascii="Symbol" w:hAnsi="Symbol"/>
          <w:i/>
          <w:sz w:val="29"/>
        </w:rPr>
        <w:sym w:font="Symbol" w:char="F067"/>
      </w:r>
      <w:r>
        <w:rPr>
          <w:rFonts w:ascii="Times New Roman" w:hAnsi="Times New Roman"/>
          <w:i/>
          <w:spacing w:val="-62"/>
          <w:sz w:val="29"/>
        </w:rPr>
        <w:t xml:space="preserve"> </w:t>
      </w:r>
      <w:r>
        <w:rPr>
          <w:rFonts w:ascii="Times New Roman" w:hAnsi="Times New Roman"/>
          <w:position w:val="-6"/>
          <w:sz w:val="16"/>
        </w:rPr>
        <w:t>0</w:t>
      </w:r>
      <w:r>
        <w:rPr>
          <w:rFonts w:ascii="Times New Roman" w:hAnsi="Times New Roman"/>
          <w:spacing w:val="-34"/>
          <w:position w:val="-6"/>
          <w:sz w:val="16"/>
        </w:rPr>
        <w:t xml:space="preserve"> </w:t>
      </w:r>
      <w:r>
        <w:rPr>
          <w:rFonts w:ascii="Times New Roman" w:hAnsi="Times New Roman"/>
          <w:i/>
          <w:spacing w:val="-18"/>
          <w:sz w:val="28"/>
        </w:rPr>
        <w:t>S</w:t>
      </w:r>
    </w:p>
    <w:p>
      <w:pPr>
        <w:spacing w:before="245"/>
        <w:ind w:left="56" w:right="0" w:firstLine="0"/>
        <w:jc w:val="left"/>
        <w:rPr>
          <w:rFonts w:ascii="Times New Roman" w:hAnsi="Times New Roman"/>
          <w:sz w:val="28"/>
        </w:rPr>
      </w:pPr>
      <w:r>
        <w:br w:type="column"/>
      </w:r>
      <w:r>
        <w:rPr>
          <w:rFonts w:ascii="Symbol" w:hAnsi="Symbol"/>
          <w:sz w:val="28"/>
        </w:rPr>
        <w:sym w:font="Symbol" w:char="F0B3"/>
      </w:r>
      <w:r>
        <w:rPr>
          <w:rFonts w:ascii="Times New Roman" w:hAnsi="Times New Roman"/>
          <w:spacing w:val="-51"/>
          <w:sz w:val="28"/>
        </w:rPr>
        <w:t xml:space="preserve"> </w:t>
      </w:r>
      <w:r>
        <w:rPr>
          <w:rFonts w:ascii="Times New Roman" w:hAnsi="Times New Roman"/>
          <w:spacing w:val="-5"/>
          <w:sz w:val="28"/>
        </w:rPr>
        <w:t>0.90</w:t>
      </w:r>
    </w:p>
    <w:p>
      <w:pPr>
        <w:pStyle w:val="BodyText"/>
        <w:spacing w:before="2"/>
        <w:rPr>
          <w:rFonts w:ascii="Times New Roman"/>
          <w:sz w:val="28"/>
        </w:rPr>
      </w:pPr>
      <w:r>
        <w:br w:type="column"/>
      </w:r>
    </w:p>
    <w:p>
      <w:pPr>
        <w:pStyle w:val="BodyText"/>
        <w:ind w:left="94"/>
      </w:pPr>
      <w:r>
        <w:rPr>
          <w:rFonts w:ascii="Arial Unicode MS" w:eastAsia="Arial Unicode MS" w:hAnsi="Arial Unicode MS" w:hint="eastAsia"/>
        </w:rPr>
        <w:t>…………………………………………</w:t>
      </w:r>
      <w:r>
        <w:t>（1）</w:t>
      </w:r>
    </w:p>
    <w:p>
      <w:pPr>
        <w:spacing w:after="0"/>
        <w:sectPr>
          <w:headerReference w:type="even" r:id="rId42"/>
          <w:headerReference w:type="default" r:id="rId43"/>
          <w:type w:val="continuous"/>
          <w:pgSz w:w="11910" w:h="16840"/>
          <w:pgMar w:top="520" w:right="260" w:bottom="280" w:left="240" w:header="708" w:footer="708"/>
          <w:pgNumType w:start="22"/>
          <w:cols w:num="4" w:space="708" w:equalWidth="0">
            <w:col w:w="4441" w:space="40"/>
            <w:col w:w="1170" w:space="39"/>
            <w:col w:w="707" w:space="39"/>
            <w:col w:w="4974" w:space="0"/>
          </w:cols>
        </w:sectPr>
      </w:pPr>
    </w:p>
    <w:p>
      <w:pPr>
        <w:pStyle w:val="ListParagraph"/>
        <w:numPr>
          <w:ilvl w:val="3"/>
          <w:numId w:val="16"/>
        </w:numPr>
        <w:tabs>
          <w:tab w:val="left" w:pos="2019"/>
        </w:tabs>
        <w:spacing w:before="0" w:after="0" w:line="278" w:lineRule="auto"/>
        <w:ind w:left="2025" w:right="980" w:hanging="421"/>
        <w:jc w:val="left"/>
        <w:rPr>
          <w:sz w:val="21"/>
        </w:rPr>
      </w:pPr>
      <w:bookmarkStart w:id="273" w:name="b) 因基础老化、腐蚀、酥碎、折断导致上部结构出现明显倾斜、位移、裂缝、扭曲等，"/>
      <w:bookmarkEnd w:id="273"/>
      <w:r>
        <w:rPr>
          <w:spacing w:val="-3"/>
          <w:sz w:val="21"/>
        </w:rPr>
        <w:t>因基础老化、腐蚀、酥碎、折断导致上部结构出现明显倾斜、位移、裂缝、扭曲等，或基础</w:t>
      </w:r>
      <w:r>
        <w:rPr>
          <w:spacing w:val="-5"/>
          <w:sz w:val="21"/>
        </w:rPr>
        <w:t xml:space="preserve">与上部结构承重构件连接处产生水平、竖向或阶梯形裂缝，且最大裂缝宽度大于 </w:t>
      </w:r>
      <w:r>
        <w:rPr>
          <w:sz w:val="21"/>
        </w:rPr>
        <w:t>10</w:t>
      </w:r>
      <w:r>
        <w:rPr>
          <w:spacing w:val="10"/>
          <w:sz w:val="21"/>
        </w:rPr>
        <w:t xml:space="preserve"> </w:t>
      </w:r>
      <w:r>
        <w:rPr>
          <w:sz w:val="21"/>
        </w:rPr>
        <w:t>mm；</w:t>
      </w:r>
    </w:p>
    <w:p>
      <w:pPr>
        <w:pStyle w:val="ListParagraph"/>
        <w:numPr>
          <w:ilvl w:val="3"/>
          <w:numId w:val="16"/>
        </w:numPr>
        <w:tabs>
          <w:tab w:val="left" w:pos="2020"/>
        </w:tabs>
        <w:spacing w:before="0" w:after="0" w:line="269" w:lineRule="exact"/>
        <w:ind w:left="2019" w:right="0" w:hanging="414"/>
        <w:jc w:val="left"/>
        <w:rPr>
          <w:sz w:val="21"/>
        </w:rPr>
      </w:pPr>
      <w:bookmarkStart w:id="274" w:name="c) 基础已有滑动，水平位移速度连续两个月大于2 mm/month，且在短期内无"/>
      <w:bookmarkEnd w:id="274"/>
      <w:r>
        <w:rPr>
          <w:spacing w:val="-6"/>
          <w:sz w:val="21"/>
        </w:rPr>
        <w:t xml:space="preserve">基础已有滑动，水平位移速度连续两个月大于 </w:t>
      </w:r>
      <w:r>
        <w:rPr>
          <w:sz w:val="21"/>
        </w:rPr>
        <w:t>2</w:t>
      </w:r>
      <w:r>
        <w:rPr>
          <w:spacing w:val="2"/>
          <w:sz w:val="21"/>
        </w:rPr>
        <w:t xml:space="preserve"> </w:t>
      </w:r>
      <w:r>
        <w:rPr>
          <w:sz w:val="21"/>
        </w:rPr>
        <w:t>mm/month</w:t>
      </w:r>
      <w:r>
        <w:rPr>
          <w:spacing w:val="-3"/>
          <w:sz w:val="21"/>
        </w:rPr>
        <w:t>，且在短期内无收敛趋势。</w:t>
      </w:r>
    </w:p>
    <w:p>
      <w:pPr>
        <w:pStyle w:val="BodyText"/>
        <w:spacing w:before="1"/>
        <w:rPr>
          <w:sz w:val="15"/>
        </w:rPr>
      </w:pPr>
    </w:p>
    <w:p>
      <w:pPr>
        <w:pStyle w:val="ListParagraph"/>
        <w:numPr>
          <w:ilvl w:val="1"/>
          <w:numId w:val="16"/>
        </w:numPr>
        <w:tabs>
          <w:tab w:val="left" w:pos="1705"/>
        </w:tabs>
        <w:spacing w:before="0" w:after="0" w:line="240" w:lineRule="auto"/>
        <w:ind w:left="1704" w:right="0" w:hanging="526"/>
        <w:jc w:val="left"/>
        <w:rPr>
          <w:rFonts w:ascii="黑体" w:eastAsia="黑体" w:hint="eastAsia"/>
          <w:sz w:val="21"/>
        </w:rPr>
      </w:pPr>
      <w:bookmarkStart w:id="275" w:name="8.3　 砌体结构构件"/>
      <w:bookmarkEnd w:id="275"/>
      <w:r>
        <w:rPr>
          <w:rFonts w:ascii="黑体" w:eastAsia="黑体" w:hint="eastAsia"/>
          <w:spacing w:val="-2"/>
          <w:sz w:val="21"/>
        </w:rPr>
        <w:t>砌体结构构件</w:t>
      </w:r>
    </w:p>
    <w:p>
      <w:pPr>
        <w:pStyle w:val="BodyText"/>
        <w:spacing w:before="7"/>
        <w:rPr>
          <w:rFonts w:ascii="黑体"/>
          <w:sz w:val="15"/>
        </w:rPr>
      </w:pPr>
    </w:p>
    <w:p>
      <w:pPr>
        <w:pStyle w:val="ListParagraph"/>
        <w:numPr>
          <w:ilvl w:val="2"/>
          <w:numId w:val="16"/>
        </w:numPr>
        <w:tabs>
          <w:tab w:val="left" w:pos="2019"/>
          <w:tab w:val="left" w:pos="2020"/>
        </w:tabs>
        <w:spacing w:before="0" w:after="0" w:line="278" w:lineRule="auto"/>
        <w:ind w:left="1179" w:right="980" w:hanging="1"/>
        <w:jc w:val="left"/>
        <w:rPr>
          <w:sz w:val="21"/>
        </w:rPr>
      </w:pPr>
      <w:bookmarkStart w:id="276" w:name="8.3.1 砌体结构构件的危险性鉴定应根据承载能力、构造与连接、裂缝和变形或其他"/>
      <w:bookmarkEnd w:id="276"/>
      <w:r>
        <w:rPr>
          <w:spacing w:val="-3"/>
          <w:sz w:val="21"/>
        </w:rPr>
        <w:t>砌体结构构件的危险性鉴定应根据承载能力、构造与连接、裂缝和变形或其他损伤等内容确</w:t>
      </w:r>
      <w:r>
        <w:rPr>
          <w:spacing w:val="-3"/>
          <w:sz w:val="21"/>
        </w:rPr>
        <w:t>定。</w:t>
      </w:r>
    </w:p>
    <w:p>
      <w:pPr>
        <w:pStyle w:val="ListParagraph"/>
        <w:numPr>
          <w:ilvl w:val="2"/>
          <w:numId w:val="16"/>
        </w:numPr>
        <w:tabs>
          <w:tab w:val="left" w:pos="2019"/>
          <w:tab w:val="left" w:pos="2020"/>
        </w:tabs>
        <w:spacing w:before="0" w:after="0" w:line="269" w:lineRule="exact"/>
        <w:ind w:left="2019" w:right="0" w:hanging="841"/>
        <w:jc w:val="left"/>
        <w:rPr>
          <w:sz w:val="21"/>
        </w:rPr>
      </w:pPr>
      <w:r>
        <w:drawing>
          <wp:anchor distT="0" distB="0" distL="0" distR="0" simplePos="0" relativeHeight="251694080" behindDoc="0" locked="0" layoutInCell="1" allowOverlap="1">
            <wp:simplePos x="0" y="0"/>
            <wp:positionH relativeFrom="page">
              <wp:posOffset>215900</wp:posOffset>
            </wp:positionH>
            <wp:positionV relativeFrom="paragraph">
              <wp:posOffset>54044</wp:posOffset>
            </wp:positionV>
            <wp:extent cx="71120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77" w:name="8.3.2 在进行砌体结构构件危险性鉴定时, 现场检查的内容应包括:"/>
      <w:bookmarkEnd w:id="277"/>
      <w:r>
        <w:rPr>
          <w:spacing w:val="-3"/>
          <w:sz w:val="21"/>
        </w:rPr>
        <w:t>在进行砌体结构构件危险性鉴定时, 现场检查的内容应包括:</w:t>
      </w:r>
    </w:p>
    <w:p>
      <w:pPr>
        <w:pStyle w:val="ListParagraph"/>
        <w:numPr>
          <w:ilvl w:val="3"/>
          <w:numId w:val="16"/>
        </w:numPr>
        <w:tabs>
          <w:tab w:val="left" w:pos="2020"/>
        </w:tabs>
        <w:spacing w:before="43" w:after="0" w:line="240" w:lineRule="auto"/>
        <w:ind w:left="2019" w:right="0" w:hanging="414"/>
        <w:jc w:val="left"/>
        <w:rPr>
          <w:sz w:val="21"/>
        </w:rPr>
      </w:pPr>
      <w:bookmarkStart w:id="278" w:name="a) 不同类型构件的构造连接部位状况；"/>
      <w:bookmarkEnd w:id="278"/>
      <w:r>
        <w:rPr>
          <w:spacing w:val="-3"/>
          <w:sz w:val="21"/>
        </w:rPr>
        <w:t>不同类型构件的构造连接部位状况；</w:t>
      </w:r>
    </w:p>
    <w:p>
      <w:pPr>
        <w:pStyle w:val="ListParagraph"/>
        <w:numPr>
          <w:ilvl w:val="3"/>
          <w:numId w:val="16"/>
        </w:numPr>
        <w:tabs>
          <w:tab w:val="left" w:pos="2020"/>
        </w:tabs>
        <w:spacing w:before="43" w:after="0" w:line="240" w:lineRule="auto"/>
        <w:ind w:left="2019" w:right="0" w:hanging="414"/>
        <w:jc w:val="left"/>
        <w:rPr>
          <w:sz w:val="21"/>
        </w:rPr>
      </w:pPr>
      <w:bookmarkStart w:id="279" w:name="b) 纵横墙交接处的斜向或竖向裂缝状况；"/>
      <w:bookmarkEnd w:id="279"/>
      <w:r>
        <w:rPr>
          <w:spacing w:val="-3"/>
          <w:sz w:val="21"/>
        </w:rPr>
        <w:t>纵横墙交接处的斜向或竖向裂缝状况；</w:t>
      </w:r>
    </w:p>
    <w:p>
      <w:pPr>
        <w:pStyle w:val="ListParagraph"/>
        <w:numPr>
          <w:ilvl w:val="3"/>
          <w:numId w:val="16"/>
        </w:numPr>
        <w:tabs>
          <w:tab w:val="left" w:pos="2020"/>
        </w:tabs>
        <w:spacing w:before="43" w:after="0" w:line="240" w:lineRule="auto"/>
        <w:ind w:left="2019" w:right="0" w:hanging="414"/>
        <w:jc w:val="left"/>
        <w:rPr>
          <w:sz w:val="21"/>
        </w:rPr>
      </w:pPr>
      <w:bookmarkStart w:id="280" w:name="c) 承重墙体的变形、裂缝和拆改状况；"/>
      <w:bookmarkEnd w:id="280"/>
      <w:r>
        <w:rPr>
          <w:spacing w:val="-3"/>
          <w:sz w:val="21"/>
        </w:rPr>
        <w:t>承重墙体的变形、裂缝和拆改状况；</w:t>
      </w:r>
    </w:p>
    <w:p>
      <w:pPr>
        <w:pStyle w:val="ListParagraph"/>
        <w:numPr>
          <w:ilvl w:val="3"/>
          <w:numId w:val="16"/>
        </w:numPr>
        <w:tabs>
          <w:tab w:val="left" w:pos="2020"/>
        </w:tabs>
        <w:spacing w:before="43" w:after="0" w:line="240" w:lineRule="auto"/>
        <w:ind w:left="2019" w:right="0" w:hanging="414"/>
        <w:jc w:val="left"/>
        <w:rPr>
          <w:sz w:val="21"/>
        </w:rPr>
      </w:pPr>
      <w:bookmarkStart w:id="281" w:name="d) 拱脚裂缝和位移状况，以及圈梁和构造柱的完损情况；"/>
      <w:bookmarkEnd w:id="281"/>
      <w:r>
        <w:rPr>
          <w:spacing w:val="-3"/>
          <w:sz w:val="21"/>
        </w:rPr>
        <w:t>拱脚裂缝和位移状况，以及圈梁和构造柱的完损情况；</w:t>
      </w:r>
    </w:p>
    <w:p>
      <w:pPr>
        <w:pStyle w:val="ListParagraph"/>
        <w:numPr>
          <w:ilvl w:val="3"/>
          <w:numId w:val="16"/>
        </w:numPr>
        <w:tabs>
          <w:tab w:val="left" w:pos="2020"/>
        </w:tabs>
        <w:spacing w:before="43" w:after="0" w:line="240" w:lineRule="auto"/>
        <w:ind w:left="2019" w:right="0" w:hanging="414"/>
        <w:jc w:val="left"/>
        <w:rPr>
          <w:sz w:val="21"/>
        </w:rPr>
      </w:pPr>
      <w:bookmarkStart w:id="282" w:name="e) 裂缝宽度、长度、深度、走向、数量及分布情况，并观测裂缝的发展趋势；"/>
      <w:bookmarkEnd w:id="282"/>
      <w:r>
        <w:rPr>
          <w:spacing w:val="-3"/>
          <w:sz w:val="21"/>
        </w:rPr>
        <w:t>裂缝宽度、长度、深度、走向、数量及分布情况，并观测裂缝的发展趋势；</w:t>
      </w:r>
    </w:p>
    <w:p>
      <w:pPr>
        <w:pStyle w:val="ListParagraph"/>
        <w:numPr>
          <w:ilvl w:val="3"/>
          <w:numId w:val="16"/>
        </w:numPr>
        <w:tabs>
          <w:tab w:val="left" w:pos="2020"/>
        </w:tabs>
        <w:spacing w:before="43" w:after="0" w:line="240" w:lineRule="auto"/>
        <w:ind w:left="2019" w:right="0" w:hanging="414"/>
        <w:jc w:val="left"/>
        <w:rPr>
          <w:sz w:val="21"/>
        </w:rPr>
      </w:pPr>
      <w:bookmarkStart w:id="283" w:name="f) 砌体结构房屋，重点检查项目包括："/>
      <w:bookmarkEnd w:id="283"/>
      <w:r>
        <w:rPr>
          <w:spacing w:val="-3"/>
          <w:sz w:val="21"/>
        </w:rPr>
        <w:t>砌体结构房屋，重点检查项目包括：</w:t>
      </w:r>
    </w:p>
    <w:p>
      <w:pPr>
        <w:pStyle w:val="BodyText"/>
        <w:spacing w:before="42"/>
        <w:ind w:left="1887"/>
      </w:pPr>
      <w:r>
        <w:t>（1) 砌体的高厚比；</w:t>
      </w:r>
    </w:p>
    <w:p>
      <w:pPr>
        <w:pStyle w:val="BodyText"/>
        <w:spacing w:before="43"/>
        <w:ind w:left="1895"/>
      </w:pPr>
      <w:r>
        <w:t>（2) 构造柱、圈梁、墙梁、过梁和梁垫布置、截面尺寸；</w:t>
      </w:r>
    </w:p>
    <w:p>
      <w:pPr>
        <w:pStyle w:val="BodyText"/>
        <w:spacing w:before="43"/>
        <w:ind w:left="1895"/>
      </w:pPr>
      <w:r>
        <w:t>（3) 预制板的支承长度；</w:t>
      </w:r>
    </w:p>
    <w:p>
      <w:pPr>
        <w:pStyle w:val="BodyText"/>
        <w:spacing w:before="43"/>
        <w:ind w:left="1895"/>
      </w:pPr>
      <w:r>
        <w:t>（4) 阳台及其他悬挑结构的抗倾覆性和稳定性；</w:t>
      </w:r>
    </w:p>
    <w:p>
      <w:pPr>
        <w:pStyle w:val="BodyText"/>
        <w:spacing w:before="43"/>
        <w:ind w:left="1888"/>
      </w:pPr>
      <w:r>
        <w:t>（5) 雨棚、檐口、女儿墙的连接构造等；</w:t>
      </w:r>
    </w:p>
    <w:p>
      <w:pPr>
        <w:pStyle w:val="BodyText"/>
        <w:spacing w:before="43"/>
        <w:ind w:left="1895"/>
      </w:pPr>
      <w:r>
        <w:t>（6) 空斗墙砌体结构房屋是否受到振动荷载影响；</w:t>
      </w:r>
    </w:p>
    <w:p>
      <w:pPr>
        <w:pStyle w:val="BodyText"/>
        <w:spacing w:before="43" w:line="278" w:lineRule="auto"/>
        <w:ind w:left="2457" w:right="980" w:hanging="562"/>
      </w:pPr>
      <w:r>
        <w:t>（7) 支承在墙、柱上的吊车梁、屋架及大跨度梁的端部是否设置有支承垫块，大跨度梁的支承处是否开裂、是否设置有扶壁柱或其他加强措施等。</w:t>
      </w:r>
    </w:p>
    <w:p>
      <w:pPr>
        <w:pStyle w:val="ListParagraph"/>
        <w:numPr>
          <w:ilvl w:val="2"/>
          <w:numId w:val="16"/>
        </w:numPr>
        <w:tabs>
          <w:tab w:val="left" w:pos="2020"/>
          <w:tab w:val="left" w:pos="2021"/>
        </w:tabs>
        <w:spacing w:before="155" w:after="0" w:line="240" w:lineRule="auto"/>
        <w:ind w:left="2020" w:right="0" w:hanging="841"/>
        <w:jc w:val="left"/>
        <w:rPr>
          <w:rFonts w:ascii="黑体" w:eastAsia="黑体" w:hint="eastAsia"/>
          <w:sz w:val="21"/>
        </w:rPr>
      </w:pPr>
      <w:bookmarkStart w:id="284" w:name="8.3.3 砌体结构构件承载能力验算"/>
      <w:bookmarkEnd w:id="284"/>
      <w:r>
        <w:rPr>
          <w:rFonts w:ascii="黑体" w:eastAsia="黑体" w:hint="eastAsia"/>
          <w:spacing w:val="-3"/>
          <w:sz w:val="21"/>
        </w:rPr>
        <w:t>砌体结构构件承载能力验算</w:t>
      </w:r>
    </w:p>
    <w:p>
      <w:pPr>
        <w:pStyle w:val="BodyText"/>
        <w:spacing w:before="7"/>
        <w:rPr>
          <w:rFonts w:ascii="黑体"/>
          <w:sz w:val="15"/>
        </w:rPr>
      </w:pPr>
    </w:p>
    <w:p>
      <w:pPr>
        <w:pStyle w:val="ListParagraph"/>
        <w:numPr>
          <w:ilvl w:val="3"/>
          <w:numId w:val="12"/>
        </w:numPr>
        <w:tabs>
          <w:tab w:val="left" w:pos="2127"/>
        </w:tabs>
        <w:spacing w:before="0" w:after="0" w:line="240" w:lineRule="auto"/>
        <w:ind w:left="2126" w:right="0" w:hanging="946"/>
        <w:jc w:val="left"/>
        <w:rPr>
          <w:sz w:val="21"/>
        </w:rPr>
      </w:pPr>
      <w:bookmarkStart w:id="285" w:name="8.3.3.1　 构件的承载能力应根据砌筑块材、砌筑砂浆以及砌体强度确定。"/>
      <w:bookmarkEnd w:id="285"/>
      <w:r>
        <w:rPr>
          <w:spacing w:val="-3"/>
          <w:sz w:val="21"/>
        </w:rPr>
        <w:t>构件的承载能力应根据砌筑块材、砌筑砂浆以及砌体强度确定。</w:t>
      </w:r>
    </w:p>
    <w:p>
      <w:pPr>
        <w:pStyle w:val="BodyText"/>
        <w:spacing w:before="43"/>
        <w:ind w:left="1600"/>
      </w:pPr>
      <w:r>
        <w:t>构件关于砌筑块材、砌筑砂浆以及砌体强度的检测应按照GB/T 50344 和GB/T 50315的要求执行。</w:t>
      </w:r>
    </w:p>
    <w:p>
      <w:pPr>
        <w:pStyle w:val="ListParagraph"/>
        <w:numPr>
          <w:ilvl w:val="3"/>
          <w:numId w:val="12"/>
        </w:numPr>
        <w:tabs>
          <w:tab w:val="left" w:pos="2127"/>
        </w:tabs>
        <w:spacing w:before="43" w:after="0" w:line="240" w:lineRule="auto"/>
        <w:ind w:left="2126" w:right="0" w:hanging="946"/>
        <w:jc w:val="left"/>
        <w:rPr>
          <w:sz w:val="21"/>
        </w:rPr>
      </w:pPr>
      <w:bookmarkStart w:id="286" w:name="8.3.3.2　 构件的承载力验算应按照GB 50003的要求执行。"/>
      <w:bookmarkEnd w:id="286"/>
      <w:r>
        <w:rPr>
          <w:spacing w:val="-8"/>
          <w:sz w:val="21"/>
        </w:rPr>
        <w:t xml:space="preserve">构件的承载力验算应按照 </w:t>
      </w:r>
      <w:r>
        <w:rPr>
          <w:sz w:val="21"/>
        </w:rPr>
        <w:t>GB 50003</w:t>
      </w:r>
      <w:r>
        <w:rPr>
          <w:spacing w:val="-10"/>
          <w:sz w:val="21"/>
        </w:rPr>
        <w:t xml:space="preserve"> 的要求执行。</w:t>
      </w:r>
    </w:p>
    <w:p>
      <w:pPr>
        <w:pStyle w:val="BodyText"/>
        <w:spacing w:before="7"/>
        <w:rPr>
          <w:sz w:val="15"/>
        </w:rPr>
      </w:pPr>
    </w:p>
    <w:p>
      <w:pPr>
        <w:pStyle w:val="ListParagraph"/>
        <w:numPr>
          <w:ilvl w:val="2"/>
          <w:numId w:val="16"/>
        </w:numPr>
        <w:tabs>
          <w:tab w:val="left" w:pos="2021"/>
          <w:tab w:val="left" w:pos="2022"/>
        </w:tabs>
        <w:spacing w:before="0" w:after="0" w:line="240" w:lineRule="auto"/>
        <w:ind w:left="2021" w:right="0" w:hanging="841"/>
        <w:jc w:val="left"/>
        <w:rPr>
          <w:rFonts w:ascii="黑体" w:eastAsia="黑体" w:hint="eastAsia"/>
          <w:sz w:val="21"/>
        </w:rPr>
      </w:pPr>
      <w:bookmarkStart w:id="287" w:name="8.3.4 构造与连接检测"/>
      <w:bookmarkEnd w:id="287"/>
      <w:r>
        <w:rPr>
          <w:rFonts w:ascii="黑体" w:eastAsia="黑体" w:hint="eastAsia"/>
          <w:spacing w:val="-2"/>
          <w:sz w:val="21"/>
        </w:rPr>
        <w:t>构造与连接检测</w:t>
      </w:r>
    </w:p>
    <w:p>
      <w:pPr>
        <w:pStyle w:val="BodyText"/>
        <w:spacing w:before="10"/>
        <w:rPr>
          <w:rFonts w:ascii="黑体"/>
          <w:sz w:val="27"/>
        </w:rPr>
      </w:pPr>
    </w:p>
    <w:p>
      <w:pPr>
        <w:spacing w:before="92"/>
        <w:ind w:left="1178" w:right="0" w:firstLine="0"/>
        <w:jc w:val="left"/>
        <w:rPr>
          <w:rFonts w:ascii="Times New Roman"/>
          <w:sz w:val="18"/>
        </w:rPr>
      </w:pPr>
      <w:r>
        <w:rPr>
          <w:rFonts w:ascii="Times New Roman"/>
          <w:sz w:val="18"/>
        </w:rPr>
        <w:t>14</w:t>
      </w:r>
    </w:p>
    <w:p>
      <w:pPr>
        <w:spacing w:after="0"/>
        <w:jc w:val="left"/>
        <w:rPr>
          <w:rFonts w:ascii="Times New Roman"/>
          <w:sz w:val="18"/>
        </w:rPr>
      </w:pPr>
      <w:r>
        <w:rPr>
          <w:rFonts w:ascii="Times New Roman"/>
          <w:sz w:val="18"/>
        </w:rPr>
        <w:br/>
      </w:r>
      <w:r>
        <w:rPr>
          <w:rFonts w:ascii="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https://d.book118.com/357105010032006034</w:t>
        </w:r>
      </w:hyperlink>
    </w:p>
    <w:p>
      <w:pPr>
        <w:spacing w:after="0"/>
        <w:jc w:val="left"/>
        <w:rPr>
          <w:rFonts w:ascii="Times New Roman"/>
          <w:sz w:val="18"/>
        </w:rPr>
      </w:pPr>
    </w:p>
    <w:sectPr>
      <w:headerReference w:type="even" r:id="rId45"/>
      <w:headerReference w:type="default" r:id="rId46"/>
      <w:type w:val="continuous"/>
      <w:pgSz w:w="11910" w:h="16840"/>
      <w:pgMar w:top="520" w:right="260" w:bottom="280" w:left="24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Unicode MS">
    <w:altName w:val="Arial Unicode MS"/>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6.6pt;height:12.6pt;margin-top:71.4pt;margin-left:443.12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6.6pt;height:12.6pt;margin-top:71.4pt;margin-left:443.12pt;mso-position-horizontal-relative:page;mso-position-vertical-relative:page;position:absolute;z-index:-251657216"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6.6pt;height:12.6pt;margin-top:71.4pt;margin-left:443.12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6.6pt;height:12.6pt;margin-top:71.4pt;margin-left:443.12pt;mso-position-horizontal-relative:page;mso-position-vertical-relative:page;position:absolute;z-index:-251655168"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6.7pt;height:12.6pt;margin-top:71.4pt;margin-left:69.92pt;mso-position-horizontal-relative:page;mso-position-vertical-relative:page;position:absolute;z-index:-251654144"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6.7pt;height:12.6pt;margin-top:71.4pt;margin-left:69.92pt;mso-position-horizontal-relative:page;mso-position-vertical-relative:page;position:absolute;z-index:-251653120"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6.7pt;height:12.6pt;margin-top:71.4pt;margin-left:69.92pt;mso-position-horizontal-relative:page;mso-position-vertical-relative:page;position:absolute;z-index:-251652096"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6.7pt;height:12.6pt;margin-top:71.4pt;margin-left:69.92pt;mso-position-horizontal-relative:page;mso-position-vertical-relative:page;position:absolute;z-index:-251651072"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6.7pt;height:12.6pt;margin-top:71.4pt;margin-left:69.92pt;mso-position-horizontal-relative:page;mso-position-vertical-relative:page;position:absolute;z-index:-251650048"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6.7pt;height:12.6pt;margin-top:71.4pt;margin-left:69.92pt;mso-position-horizontal-relative:page;mso-position-vertical-relative:page;position:absolute;z-index:-251649024"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6.7pt;height:12.6pt;margin-top:71.4pt;margin-left:69.92pt;mso-position-horizontal-relative:page;mso-position-vertical-relative:page;position:absolute;z-index:-251648000"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6.7pt;height:12.6pt;margin-top:71.4pt;margin-left:69.92pt;mso-position-horizontal-relative:page;mso-position-vertical-relative:page;position:absolute;z-index:-251646976"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6.7pt;height:12.6pt;margin-top:71.4pt;margin-left:69.92pt;mso-position-horizontal-relative:page;mso-position-vertical-relative:page;position:absolute;z-index:-251645952"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6.7pt;height:12.6pt;margin-top:71.4pt;margin-left:69.92pt;mso-position-horizontal-relative:page;mso-position-vertical-relative:page;position:absolute;z-index:-251644928"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6.7pt;height:12.6pt;margin-top:71.4pt;margin-left:69.92pt;mso-position-horizontal-relative:page;mso-position-vertical-relative:page;position:absolute;z-index:-251643904"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6.7pt;height:12.6pt;margin-top:71.4pt;margin-left:69.92pt;mso-position-horizontal-relative:page;mso-position-vertical-relative:page;position:absolute;z-index:-251642880"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6.7pt;height:12.6pt;margin-top:71.4pt;margin-left:69.92pt;mso-position-horizontal-relative:page;mso-position-vertical-relative:page;position:absolute;z-index:-251641856"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6.7pt;height:12.6pt;margin-top:71.4pt;margin-left:69.92pt;mso-position-horizontal-relative:page;mso-position-vertical-relative:page;position:absolute;z-index:-251640832"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6.7pt;height:12.6pt;margin-top:71.4pt;margin-left:69.92pt;mso-position-horizontal-relative:page;mso-position-vertical-relative:page;position:absolute;z-index:-251639808" filled="f" stroked="f">
          <v:textbox inset="0,0,0,0">
            <w:txbxContent>
              <w:p>
                <w:pPr>
                  <w:pStyle w:val="BodyText"/>
                  <w:spacing w:line="251" w:lineRule="exact"/>
                  <w:ind w:left="20"/>
                  <w:rPr>
                    <w:rFonts w:ascii="黑体" w:hAnsi="黑体"/>
                  </w:rPr>
                </w:pPr>
                <w:r>
                  <w:rPr>
                    <w:rFonts w:ascii="黑体" w:hAnsi="黑体"/>
                  </w:rPr>
                  <w:t>DB4201/T 537—2018</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A63FF"/>
    <w:multiLevelType w:val="hybridMultilevel"/>
    <w:tmpl w:val="00000000"/>
    <w:lvl w:ilvl="0">
      <w:start w:val="0"/>
      <w:numFmt w:val="bullet"/>
      <w:lvlText w:val=""/>
      <w:lvlJc w:val="left"/>
      <w:pPr>
        <w:ind w:left="238" w:hanging="176"/>
      </w:pPr>
      <w:rPr>
        <w:rFonts w:ascii="Symbol" w:eastAsia="Symbol" w:hAnsi="Symbol" w:cs="Symbol" w:hint="default"/>
        <w:w w:val="96"/>
        <w:position w:val="6"/>
        <w:sz w:val="26"/>
        <w:szCs w:val="26"/>
        <w:lang w:val="en-US" w:eastAsia="zh-CN" w:bidi="ar-SA"/>
      </w:rPr>
    </w:lvl>
    <w:lvl w:ilvl="1">
      <w:start w:val="0"/>
      <w:numFmt w:val="bullet"/>
      <w:lvlText w:val=""/>
      <w:lvlJc w:val="left"/>
      <w:pPr>
        <w:ind w:left="3425" w:hanging="185"/>
      </w:pPr>
      <w:rPr>
        <w:rFonts w:ascii="Symbol" w:eastAsia="Symbol" w:hAnsi="Symbol" w:cs="Symbol" w:hint="default"/>
        <w:w w:val="96"/>
        <w:position w:val="6"/>
        <w:sz w:val="26"/>
        <w:szCs w:val="26"/>
        <w:lang w:val="en-US" w:eastAsia="zh-CN" w:bidi="ar-SA"/>
      </w:rPr>
    </w:lvl>
    <w:lvl w:ilvl="2">
      <w:start w:val="0"/>
      <w:numFmt w:val="bullet"/>
      <w:lvlText w:val=""/>
      <w:lvlJc w:val="left"/>
      <w:pPr>
        <w:ind w:left="3587" w:hanging="205"/>
      </w:pPr>
      <w:rPr>
        <w:rFonts w:ascii="Symbol" w:eastAsia="Symbol" w:hAnsi="Symbol" w:cs="Symbol" w:hint="default"/>
        <w:w w:val="96"/>
        <w:position w:val="6"/>
        <w:sz w:val="26"/>
        <w:szCs w:val="26"/>
        <w:lang w:val="en-US" w:eastAsia="zh-CN" w:bidi="ar-SA"/>
      </w:rPr>
    </w:lvl>
    <w:lvl w:ilvl="3">
      <w:start w:val="0"/>
      <w:numFmt w:val="bullet"/>
      <w:lvlText w:val="•"/>
      <w:lvlJc w:val="left"/>
      <w:pPr>
        <w:ind w:left="3441" w:hanging="205"/>
      </w:pPr>
      <w:rPr>
        <w:rFonts w:hint="default"/>
        <w:lang w:val="en-US" w:eastAsia="zh-CN" w:bidi="ar-SA"/>
      </w:rPr>
    </w:lvl>
    <w:lvl w:ilvl="4">
      <w:start w:val="0"/>
      <w:numFmt w:val="bullet"/>
      <w:lvlText w:val="•"/>
      <w:lvlJc w:val="left"/>
      <w:pPr>
        <w:ind w:left="3303" w:hanging="205"/>
      </w:pPr>
      <w:rPr>
        <w:rFonts w:hint="default"/>
        <w:lang w:val="en-US" w:eastAsia="zh-CN" w:bidi="ar-SA"/>
      </w:rPr>
    </w:lvl>
    <w:lvl w:ilvl="5">
      <w:start w:val="0"/>
      <w:numFmt w:val="bullet"/>
      <w:lvlText w:val="•"/>
      <w:lvlJc w:val="left"/>
      <w:pPr>
        <w:ind w:left="3165" w:hanging="205"/>
      </w:pPr>
      <w:rPr>
        <w:rFonts w:hint="default"/>
        <w:lang w:val="en-US" w:eastAsia="zh-CN" w:bidi="ar-SA"/>
      </w:rPr>
    </w:lvl>
    <w:lvl w:ilvl="6">
      <w:start w:val="0"/>
      <w:numFmt w:val="bullet"/>
      <w:lvlText w:val="•"/>
      <w:lvlJc w:val="left"/>
      <w:pPr>
        <w:ind w:left="3026" w:hanging="205"/>
      </w:pPr>
      <w:rPr>
        <w:rFonts w:hint="default"/>
        <w:lang w:val="en-US" w:eastAsia="zh-CN" w:bidi="ar-SA"/>
      </w:rPr>
    </w:lvl>
    <w:lvl w:ilvl="7">
      <w:start w:val="0"/>
      <w:numFmt w:val="bullet"/>
      <w:lvlText w:val="•"/>
      <w:lvlJc w:val="left"/>
      <w:pPr>
        <w:ind w:left="2888" w:hanging="205"/>
      </w:pPr>
      <w:rPr>
        <w:rFonts w:hint="default"/>
        <w:lang w:val="en-US" w:eastAsia="zh-CN" w:bidi="ar-SA"/>
      </w:rPr>
    </w:lvl>
    <w:lvl w:ilvl="8">
      <w:start w:val="0"/>
      <w:numFmt w:val="bullet"/>
      <w:lvlText w:val="•"/>
      <w:lvlJc w:val="left"/>
      <w:pPr>
        <w:ind w:left="2750" w:hanging="205"/>
      </w:pPr>
      <w:rPr>
        <w:rFonts w:hint="default"/>
        <w:lang w:val="en-US" w:eastAsia="zh-CN" w:bidi="ar-SA"/>
      </w:rPr>
    </w:lvl>
  </w:abstractNum>
  <w:abstractNum w:abstractNumId="1">
    <w:nsid w:val="16753F3C"/>
    <w:multiLevelType w:val="hybridMultilevel"/>
    <w:tmpl w:val="00000000"/>
    <w:lvl w:ilvl="0">
      <w:start w:val="8"/>
      <w:numFmt w:val="decimal"/>
      <w:lvlText w:val="%1"/>
      <w:lvlJc w:val="left"/>
      <w:pPr>
        <w:ind w:left="2124" w:hanging="946"/>
        <w:jc w:val="left"/>
      </w:pPr>
      <w:rPr>
        <w:rFonts w:hint="default"/>
        <w:lang w:val="en-US" w:eastAsia="zh-CN" w:bidi="ar-SA"/>
      </w:rPr>
    </w:lvl>
    <w:lvl w:ilvl="1">
      <w:start w:val="4"/>
      <w:numFmt w:val="decimal"/>
      <w:lvlText w:val="%1.%2"/>
      <w:lvlJc w:val="left"/>
      <w:pPr>
        <w:ind w:left="2124" w:hanging="946"/>
        <w:jc w:val="left"/>
      </w:pPr>
      <w:rPr>
        <w:rFonts w:hint="default"/>
        <w:lang w:val="en-US" w:eastAsia="zh-CN" w:bidi="ar-SA"/>
      </w:rPr>
    </w:lvl>
    <w:lvl w:ilvl="2">
      <w:start w:val="3"/>
      <w:numFmt w:val="decimal"/>
      <w:lvlText w:val="%1.%2.%3"/>
      <w:lvlJc w:val="left"/>
      <w:pPr>
        <w:ind w:left="2124" w:hanging="946"/>
        <w:jc w:val="left"/>
      </w:pPr>
      <w:rPr>
        <w:rFonts w:hint="default"/>
        <w:lang w:val="en-US" w:eastAsia="zh-CN"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834" w:hanging="946"/>
      </w:pPr>
      <w:rPr>
        <w:rFonts w:hint="default"/>
        <w:lang w:val="en-US" w:eastAsia="zh-CN" w:bidi="ar-SA"/>
      </w:rPr>
    </w:lvl>
    <w:lvl w:ilvl="5">
      <w:start w:val="0"/>
      <w:numFmt w:val="bullet"/>
      <w:lvlText w:val="•"/>
      <w:lvlJc w:val="left"/>
      <w:pPr>
        <w:ind w:left="6763" w:hanging="946"/>
      </w:pPr>
      <w:rPr>
        <w:rFonts w:hint="default"/>
        <w:lang w:val="en-US" w:eastAsia="zh-CN" w:bidi="ar-SA"/>
      </w:rPr>
    </w:lvl>
    <w:lvl w:ilvl="6">
      <w:start w:val="0"/>
      <w:numFmt w:val="bullet"/>
      <w:lvlText w:val="•"/>
      <w:lvlJc w:val="left"/>
      <w:pPr>
        <w:ind w:left="7691" w:hanging="946"/>
      </w:pPr>
      <w:rPr>
        <w:rFonts w:hint="default"/>
        <w:lang w:val="en-US" w:eastAsia="zh-CN" w:bidi="ar-SA"/>
      </w:rPr>
    </w:lvl>
    <w:lvl w:ilvl="7">
      <w:start w:val="0"/>
      <w:numFmt w:val="bullet"/>
      <w:lvlText w:val="•"/>
      <w:lvlJc w:val="left"/>
      <w:pPr>
        <w:ind w:left="8620" w:hanging="946"/>
      </w:pPr>
      <w:rPr>
        <w:rFonts w:hint="default"/>
        <w:lang w:val="en-US" w:eastAsia="zh-CN" w:bidi="ar-SA"/>
      </w:rPr>
    </w:lvl>
    <w:lvl w:ilvl="8">
      <w:start w:val="0"/>
      <w:numFmt w:val="bullet"/>
      <w:lvlText w:val="•"/>
      <w:lvlJc w:val="left"/>
      <w:pPr>
        <w:ind w:left="9549" w:hanging="946"/>
      </w:pPr>
      <w:rPr>
        <w:rFonts w:hint="default"/>
        <w:lang w:val="en-US" w:eastAsia="zh-CN" w:bidi="ar-SA"/>
      </w:rPr>
    </w:lvl>
  </w:abstractNum>
  <w:abstractNum w:abstractNumId="2">
    <w:nsid w:val="182E0E55"/>
    <w:multiLevelType w:val="hybridMultilevel"/>
    <w:tmpl w:val="00000000"/>
    <w:lvl w:ilvl="0">
      <w:start w:val="5"/>
      <w:numFmt w:val="decimal"/>
      <w:lvlText w:val="%1"/>
      <w:lvlJc w:val="left"/>
      <w:pPr>
        <w:ind w:left="1874"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2086"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980" w:hanging="841"/>
        <w:jc w:val="left"/>
      </w:pPr>
      <w:rPr>
        <w:rFonts w:ascii="黑体" w:eastAsia="黑体" w:hAnsi="黑体" w:cs="黑体" w:hint="default"/>
        <w:w w:val="100"/>
        <w:sz w:val="21"/>
        <w:szCs w:val="21"/>
        <w:lang w:val="en-US" w:eastAsia="zh-CN" w:bidi="ar-SA"/>
      </w:rPr>
    </w:lvl>
    <w:lvl w:ilvl="3">
      <w:start w:val="0"/>
      <w:numFmt w:val="bullet"/>
      <w:lvlText w:val="•"/>
      <w:lvlJc w:val="left"/>
      <w:pPr>
        <w:ind w:left="2080" w:hanging="841"/>
      </w:pPr>
      <w:rPr>
        <w:rFonts w:hint="default"/>
        <w:lang w:val="en-US" w:eastAsia="zh-CN" w:bidi="ar-SA"/>
      </w:rPr>
    </w:lvl>
    <w:lvl w:ilvl="4">
      <w:start w:val="0"/>
      <w:numFmt w:val="bullet"/>
      <w:lvlText w:val="•"/>
      <w:lvlJc w:val="left"/>
      <w:pPr>
        <w:ind w:left="2300" w:hanging="841"/>
      </w:pPr>
      <w:rPr>
        <w:rFonts w:hint="default"/>
        <w:lang w:val="en-US" w:eastAsia="zh-CN" w:bidi="ar-SA"/>
      </w:rPr>
    </w:lvl>
    <w:lvl w:ilvl="5">
      <w:start w:val="0"/>
      <w:numFmt w:val="bullet"/>
      <w:lvlText w:val="•"/>
      <w:lvlJc w:val="left"/>
      <w:pPr>
        <w:ind w:left="3817" w:hanging="841"/>
      </w:pPr>
      <w:rPr>
        <w:rFonts w:hint="default"/>
        <w:lang w:val="en-US" w:eastAsia="zh-CN" w:bidi="ar-SA"/>
      </w:rPr>
    </w:lvl>
    <w:lvl w:ilvl="6">
      <w:start w:val="0"/>
      <w:numFmt w:val="bullet"/>
      <w:lvlText w:val="•"/>
      <w:lvlJc w:val="left"/>
      <w:pPr>
        <w:ind w:left="5335" w:hanging="841"/>
      </w:pPr>
      <w:rPr>
        <w:rFonts w:hint="default"/>
        <w:lang w:val="en-US" w:eastAsia="zh-CN" w:bidi="ar-SA"/>
      </w:rPr>
    </w:lvl>
    <w:lvl w:ilvl="7">
      <w:start w:val="0"/>
      <w:numFmt w:val="bullet"/>
      <w:lvlText w:val="•"/>
      <w:lvlJc w:val="left"/>
      <w:pPr>
        <w:ind w:left="6853" w:hanging="841"/>
      </w:pPr>
      <w:rPr>
        <w:rFonts w:hint="default"/>
        <w:lang w:val="en-US" w:eastAsia="zh-CN" w:bidi="ar-SA"/>
      </w:rPr>
    </w:lvl>
    <w:lvl w:ilvl="8">
      <w:start w:val="0"/>
      <w:numFmt w:val="bullet"/>
      <w:lvlText w:val="•"/>
      <w:lvlJc w:val="left"/>
      <w:pPr>
        <w:ind w:left="8370" w:hanging="841"/>
      </w:pPr>
      <w:rPr>
        <w:rFonts w:hint="default"/>
        <w:lang w:val="en-US" w:eastAsia="zh-CN" w:bidi="ar-SA"/>
      </w:rPr>
    </w:lvl>
  </w:abstractNum>
  <w:abstractNum w:abstractNumId="3">
    <w:nsid w:val="26E01855"/>
    <w:multiLevelType w:val="hybridMultilevel"/>
    <w:tmpl w:val="00000000"/>
    <w:lvl w:ilvl="0">
      <w:start w:val="8"/>
      <w:numFmt w:val="decimal"/>
      <w:lvlText w:val="%1"/>
      <w:lvlJc w:val="left"/>
      <w:pPr>
        <w:ind w:left="2126" w:hanging="946"/>
        <w:jc w:val="left"/>
      </w:pPr>
      <w:rPr>
        <w:rFonts w:hint="default"/>
        <w:lang w:val="en-US" w:eastAsia="zh-CN" w:bidi="ar-SA"/>
      </w:rPr>
    </w:lvl>
    <w:lvl w:ilvl="1">
      <w:start w:val="3"/>
      <w:numFmt w:val="decimal"/>
      <w:lvlText w:val="%1.%2"/>
      <w:lvlJc w:val="left"/>
      <w:pPr>
        <w:ind w:left="2126" w:hanging="946"/>
        <w:jc w:val="left"/>
      </w:pPr>
      <w:rPr>
        <w:rFonts w:hint="default"/>
        <w:lang w:val="en-US" w:eastAsia="zh-CN" w:bidi="ar-SA"/>
      </w:rPr>
    </w:lvl>
    <w:lvl w:ilvl="2">
      <w:start w:val="3"/>
      <w:numFmt w:val="decimal"/>
      <w:lvlText w:val="%1.%2.%3"/>
      <w:lvlJc w:val="left"/>
      <w:pPr>
        <w:ind w:left="2126" w:hanging="946"/>
        <w:jc w:val="left"/>
      </w:pPr>
      <w:rPr>
        <w:rFonts w:hint="default"/>
        <w:lang w:val="en-US" w:eastAsia="zh-CN" w:bidi="ar-SA"/>
      </w:rPr>
    </w:lvl>
    <w:lvl w:ilvl="3">
      <w:start w:val="1"/>
      <w:numFmt w:val="decimal"/>
      <w:lvlText w:val="%1.%2.%3.%4"/>
      <w:lvlJc w:val="left"/>
      <w:pPr>
        <w:ind w:left="2126"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834" w:hanging="946"/>
      </w:pPr>
      <w:rPr>
        <w:rFonts w:hint="default"/>
        <w:lang w:val="en-US" w:eastAsia="zh-CN" w:bidi="ar-SA"/>
      </w:rPr>
    </w:lvl>
    <w:lvl w:ilvl="5">
      <w:start w:val="0"/>
      <w:numFmt w:val="bullet"/>
      <w:lvlText w:val="•"/>
      <w:lvlJc w:val="left"/>
      <w:pPr>
        <w:ind w:left="6763" w:hanging="946"/>
      </w:pPr>
      <w:rPr>
        <w:rFonts w:hint="default"/>
        <w:lang w:val="en-US" w:eastAsia="zh-CN" w:bidi="ar-SA"/>
      </w:rPr>
    </w:lvl>
    <w:lvl w:ilvl="6">
      <w:start w:val="0"/>
      <w:numFmt w:val="bullet"/>
      <w:lvlText w:val="•"/>
      <w:lvlJc w:val="left"/>
      <w:pPr>
        <w:ind w:left="7691" w:hanging="946"/>
      </w:pPr>
      <w:rPr>
        <w:rFonts w:hint="default"/>
        <w:lang w:val="en-US" w:eastAsia="zh-CN" w:bidi="ar-SA"/>
      </w:rPr>
    </w:lvl>
    <w:lvl w:ilvl="7">
      <w:start w:val="0"/>
      <w:numFmt w:val="bullet"/>
      <w:lvlText w:val="•"/>
      <w:lvlJc w:val="left"/>
      <w:pPr>
        <w:ind w:left="8620" w:hanging="946"/>
      </w:pPr>
      <w:rPr>
        <w:rFonts w:hint="default"/>
        <w:lang w:val="en-US" w:eastAsia="zh-CN" w:bidi="ar-SA"/>
      </w:rPr>
    </w:lvl>
    <w:lvl w:ilvl="8">
      <w:start w:val="0"/>
      <w:numFmt w:val="bullet"/>
      <w:lvlText w:val="•"/>
      <w:lvlJc w:val="left"/>
      <w:pPr>
        <w:ind w:left="9549" w:hanging="946"/>
      </w:pPr>
      <w:rPr>
        <w:rFonts w:hint="default"/>
        <w:lang w:val="en-US" w:eastAsia="zh-CN" w:bidi="ar-SA"/>
      </w:rPr>
    </w:lvl>
  </w:abstractNum>
  <w:abstractNum w:abstractNumId="4">
    <w:nsid w:val="2A3241DE"/>
    <w:multiLevelType w:val="hybridMultilevel"/>
    <w:tmpl w:val="00000000"/>
    <w:lvl w:ilvl="0">
      <w:start w:val="18"/>
      <w:numFmt w:val="upperLetter"/>
      <w:lvlText w:val="%1"/>
      <w:lvlJc w:val="left"/>
      <w:pPr>
        <w:ind w:left="1809" w:hanging="212"/>
        <w:jc w:val="left"/>
      </w:pPr>
      <w:rPr>
        <w:rFonts w:ascii="宋体" w:eastAsia="宋体" w:hAnsi="宋体" w:cs="宋体" w:hint="default"/>
        <w:i/>
        <w:w w:val="96"/>
        <w:sz w:val="22"/>
        <w:szCs w:val="22"/>
        <w:lang w:val="en-US" w:eastAsia="zh-CN" w:bidi="ar-SA"/>
      </w:rPr>
    </w:lvl>
    <w:lvl w:ilvl="1">
      <w:start w:val="0"/>
      <w:numFmt w:val="bullet"/>
      <w:lvlText w:val="•"/>
      <w:lvlJc w:val="left"/>
      <w:pPr>
        <w:ind w:left="2064" w:hanging="212"/>
      </w:pPr>
      <w:rPr>
        <w:rFonts w:hint="default"/>
        <w:lang w:val="en-US" w:eastAsia="zh-CN" w:bidi="ar-SA"/>
      </w:rPr>
    </w:lvl>
    <w:lvl w:ilvl="2">
      <w:start w:val="0"/>
      <w:numFmt w:val="bullet"/>
      <w:lvlText w:val="•"/>
      <w:lvlJc w:val="left"/>
      <w:pPr>
        <w:ind w:left="2328" w:hanging="212"/>
      </w:pPr>
      <w:rPr>
        <w:rFonts w:hint="default"/>
        <w:lang w:val="en-US" w:eastAsia="zh-CN" w:bidi="ar-SA"/>
      </w:rPr>
    </w:lvl>
    <w:lvl w:ilvl="3">
      <w:start w:val="0"/>
      <w:numFmt w:val="bullet"/>
      <w:lvlText w:val="•"/>
      <w:lvlJc w:val="left"/>
      <w:pPr>
        <w:ind w:left="2592" w:hanging="212"/>
      </w:pPr>
      <w:rPr>
        <w:rFonts w:hint="default"/>
        <w:lang w:val="en-US" w:eastAsia="zh-CN" w:bidi="ar-SA"/>
      </w:rPr>
    </w:lvl>
    <w:lvl w:ilvl="4">
      <w:start w:val="0"/>
      <w:numFmt w:val="bullet"/>
      <w:lvlText w:val="•"/>
      <w:lvlJc w:val="left"/>
      <w:pPr>
        <w:ind w:left="2856" w:hanging="212"/>
      </w:pPr>
      <w:rPr>
        <w:rFonts w:hint="default"/>
        <w:lang w:val="en-US" w:eastAsia="zh-CN" w:bidi="ar-SA"/>
      </w:rPr>
    </w:lvl>
    <w:lvl w:ilvl="5">
      <w:start w:val="0"/>
      <w:numFmt w:val="bullet"/>
      <w:lvlText w:val="•"/>
      <w:lvlJc w:val="left"/>
      <w:pPr>
        <w:ind w:left="3120" w:hanging="212"/>
      </w:pPr>
      <w:rPr>
        <w:rFonts w:hint="default"/>
        <w:lang w:val="en-US" w:eastAsia="zh-CN" w:bidi="ar-SA"/>
      </w:rPr>
    </w:lvl>
    <w:lvl w:ilvl="6">
      <w:start w:val="0"/>
      <w:numFmt w:val="bullet"/>
      <w:lvlText w:val="•"/>
      <w:lvlJc w:val="left"/>
      <w:pPr>
        <w:ind w:left="3384" w:hanging="212"/>
      </w:pPr>
      <w:rPr>
        <w:rFonts w:hint="default"/>
        <w:lang w:val="en-US" w:eastAsia="zh-CN" w:bidi="ar-SA"/>
      </w:rPr>
    </w:lvl>
    <w:lvl w:ilvl="7">
      <w:start w:val="0"/>
      <w:numFmt w:val="bullet"/>
      <w:lvlText w:val="•"/>
      <w:lvlJc w:val="left"/>
      <w:pPr>
        <w:ind w:left="3648" w:hanging="212"/>
      </w:pPr>
      <w:rPr>
        <w:rFonts w:hint="default"/>
        <w:lang w:val="en-US" w:eastAsia="zh-CN" w:bidi="ar-SA"/>
      </w:rPr>
    </w:lvl>
    <w:lvl w:ilvl="8">
      <w:start w:val="0"/>
      <w:numFmt w:val="bullet"/>
      <w:lvlText w:val="•"/>
      <w:lvlJc w:val="left"/>
      <w:pPr>
        <w:ind w:left="3912" w:hanging="212"/>
      </w:pPr>
      <w:rPr>
        <w:rFonts w:hint="default"/>
        <w:lang w:val="en-US" w:eastAsia="zh-CN" w:bidi="ar-SA"/>
      </w:rPr>
    </w:lvl>
  </w:abstractNum>
  <w:abstractNum w:abstractNumId="5">
    <w:nsid w:val="2F584CE2"/>
    <w:multiLevelType w:val="hybridMultilevel"/>
    <w:tmpl w:val="00000000"/>
    <w:lvl w:ilvl="0">
      <w:start w:val="8"/>
      <w:numFmt w:val="decimal"/>
      <w:lvlText w:val="%1"/>
      <w:lvlJc w:val="left"/>
      <w:pPr>
        <w:ind w:left="2123" w:hanging="946"/>
        <w:jc w:val="left"/>
      </w:pPr>
      <w:rPr>
        <w:rFonts w:hint="default"/>
        <w:lang w:val="en-US" w:eastAsia="zh-CN" w:bidi="ar-SA"/>
      </w:rPr>
    </w:lvl>
    <w:lvl w:ilvl="1">
      <w:start w:val="3"/>
      <w:numFmt w:val="decimal"/>
      <w:lvlText w:val="%1.%2"/>
      <w:lvlJc w:val="left"/>
      <w:pPr>
        <w:ind w:left="2123" w:hanging="946"/>
        <w:jc w:val="left"/>
      </w:pPr>
      <w:rPr>
        <w:rFonts w:hint="default"/>
        <w:lang w:val="en-US" w:eastAsia="zh-CN" w:bidi="ar-SA"/>
      </w:rPr>
    </w:lvl>
    <w:lvl w:ilvl="2">
      <w:start w:val="4"/>
      <w:numFmt w:val="decimal"/>
      <w:lvlText w:val="%1.%2.%3"/>
      <w:lvlJc w:val="left"/>
      <w:pPr>
        <w:ind w:left="2123" w:hanging="946"/>
        <w:jc w:val="left"/>
      </w:pPr>
      <w:rPr>
        <w:rFonts w:hint="default"/>
        <w:lang w:val="en-US" w:eastAsia="zh-CN" w:bidi="ar-SA"/>
      </w:rPr>
    </w:lvl>
    <w:lvl w:ilvl="3">
      <w:start w:val="1"/>
      <w:numFmt w:val="decimal"/>
      <w:lvlText w:val="%1.%2.%3.%4"/>
      <w:lvlJc w:val="left"/>
      <w:pPr>
        <w:ind w:left="2123"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834" w:hanging="946"/>
      </w:pPr>
      <w:rPr>
        <w:rFonts w:hint="default"/>
        <w:lang w:val="en-US" w:eastAsia="zh-CN" w:bidi="ar-SA"/>
      </w:rPr>
    </w:lvl>
    <w:lvl w:ilvl="5">
      <w:start w:val="0"/>
      <w:numFmt w:val="bullet"/>
      <w:lvlText w:val="•"/>
      <w:lvlJc w:val="left"/>
      <w:pPr>
        <w:ind w:left="6763" w:hanging="946"/>
      </w:pPr>
      <w:rPr>
        <w:rFonts w:hint="default"/>
        <w:lang w:val="en-US" w:eastAsia="zh-CN" w:bidi="ar-SA"/>
      </w:rPr>
    </w:lvl>
    <w:lvl w:ilvl="6">
      <w:start w:val="0"/>
      <w:numFmt w:val="bullet"/>
      <w:lvlText w:val="•"/>
      <w:lvlJc w:val="left"/>
      <w:pPr>
        <w:ind w:left="7691" w:hanging="946"/>
      </w:pPr>
      <w:rPr>
        <w:rFonts w:hint="default"/>
        <w:lang w:val="en-US" w:eastAsia="zh-CN" w:bidi="ar-SA"/>
      </w:rPr>
    </w:lvl>
    <w:lvl w:ilvl="7">
      <w:start w:val="0"/>
      <w:numFmt w:val="bullet"/>
      <w:lvlText w:val="•"/>
      <w:lvlJc w:val="left"/>
      <w:pPr>
        <w:ind w:left="8620" w:hanging="946"/>
      </w:pPr>
      <w:rPr>
        <w:rFonts w:hint="default"/>
        <w:lang w:val="en-US" w:eastAsia="zh-CN" w:bidi="ar-SA"/>
      </w:rPr>
    </w:lvl>
    <w:lvl w:ilvl="8">
      <w:start w:val="0"/>
      <w:numFmt w:val="bullet"/>
      <w:lvlText w:val="•"/>
      <w:lvlJc w:val="left"/>
      <w:pPr>
        <w:ind w:left="9549" w:hanging="946"/>
      </w:pPr>
      <w:rPr>
        <w:rFonts w:hint="default"/>
        <w:lang w:val="en-US" w:eastAsia="zh-CN" w:bidi="ar-SA"/>
      </w:rPr>
    </w:lvl>
  </w:abstractNum>
  <w:abstractNum w:abstractNumId="6">
    <w:nsid w:val="353575AF"/>
    <w:multiLevelType w:val="hybridMultilevel"/>
    <w:tmpl w:val="00000000"/>
    <w:lvl w:ilvl="0">
      <w:start w:val="4"/>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178" w:hanging="841"/>
        <w:jc w:val="left"/>
      </w:pPr>
      <w:rPr>
        <w:rFonts w:ascii="黑体" w:eastAsia="黑体" w:hAnsi="黑体" w:cs="黑体" w:hint="default"/>
        <w:w w:val="100"/>
        <w:sz w:val="21"/>
        <w:szCs w:val="21"/>
        <w:lang w:val="en-US" w:eastAsia="zh-CN" w:bidi="ar-SA"/>
      </w:rPr>
    </w:lvl>
    <w:lvl w:ilvl="3">
      <w:start w:val="1"/>
      <w:numFmt w:val="lowerLetter"/>
      <w:lvlText w:val="%4)"/>
      <w:lvlJc w:val="left"/>
      <w:pPr>
        <w:ind w:left="2018" w:hanging="413"/>
        <w:jc w:val="left"/>
      </w:pPr>
      <w:rPr>
        <w:rFonts w:ascii="宋体" w:eastAsia="宋体" w:hAnsi="宋体" w:cs="宋体" w:hint="default"/>
        <w:w w:val="100"/>
        <w:sz w:val="21"/>
        <w:szCs w:val="21"/>
        <w:lang w:val="en-US" w:eastAsia="zh-CN" w:bidi="ar-SA"/>
      </w:rPr>
    </w:lvl>
    <w:lvl w:ilvl="4">
      <w:start w:val="0"/>
      <w:numFmt w:val="bullet"/>
      <w:lvlText w:val="•"/>
      <w:lvlJc w:val="left"/>
      <w:pPr>
        <w:ind w:left="2040" w:hanging="413"/>
      </w:pPr>
      <w:rPr>
        <w:rFonts w:hint="default"/>
        <w:lang w:val="en-US" w:eastAsia="zh-CN" w:bidi="ar-SA"/>
      </w:rPr>
    </w:lvl>
    <w:lvl w:ilvl="5">
      <w:start w:val="0"/>
      <w:numFmt w:val="bullet"/>
      <w:lvlText w:val="•"/>
      <w:lvlJc w:val="left"/>
      <w:pPr>
        <w:ind w:left="3601" w:hanging="413"/>
      </w:pPr>
      <w:rPr>
        <w:rFonts w:hint="default"/>
        <w:lang w:val="en-US" w:eastAsia="zh-CN" w:bidi="ar-SA"/>
      </w:rPr>
    </w:lvl>
    <w:lvl w:ilvl="6">
      <w:start w:val="0"/>
      <w:numFmt w:val="bullet"/>
      <w:lvlText w:val="•"/>
      <w:lvlJc w:val="left"/>
      <w:pPr>
        <w:ind w:left="5162" w:hanging="413"/>
      </w:pPr>
      <w:rPr>
        <w:rFonts w:hint="default"/>
        <w:lang w:val="en-US" w:eastAsia="zh-CN" w:bidi="ar-SA"/>
      </w:rPr>
    </w:lvl>
    <w:lvl w:ilvl="7">
      <w:start w:val="0"/>
      <w:numFmt w:val="bullet"/>
      <w:lvlText w:val="•"/>
      <w:lvlJc w:val="left"/>
      <w:pPr>
        <w:ind w:left="6723" w:hanging="413"/>
      </w:pPr>
      <w:rPr>
        <w:rFonts w:hint="default"/>
        <w:lang w:val="en-US" w:eastAsia="zh-CN" w:bidi="ar-SA"/>
      </w:rPr>
    </w:lvl>
    <w:lvl w:ilvl="8">
      <w:start w:val="0"/>
      <w:numFmt w:val="bullet"/>
      <w:lvlText w:val="•"/>
      <w:lvlJc w:val="left"/>
      <w:pPr>
        <w:ind w:left="8284" w:hanging="413"/>
      </w:pPr>
      <w:rPr>
        <w:rFonts w:hint="default"/>
        <w:lang w:val="en-US" w:eastAsia="zh-CN" w:bidi="ar-SA"/>
      </w:rPr>
    </w:lvl>
  </w:abstractNum>
  <w:abstractNum w:abstractNumId="7">
    <w:nsid w:val="3C2EFC32"/>
    <w:multiLevelType w:val="hybridMultilevel"/>
    <w:tmpl w:val="00000000"/>
    <w:lvl w:ilvl="0">
      <w:start w:val="5"/>
      <w:numFmt w:val="decimal"/>
      <w:lvlText w:val="%1"/>
      <w:lvlJc w:val="left"/>
      <w:pPr>
        <w:ind w:left="525" w:hanging="526"/>
        <w:jc w:val="left"/>
      </w:pPr>
      <w:rPr>
        <w:rFonts w:hint="default"/>
        <w:lang w:val="en-US" w:eastAsia="zh-CN" w:bidi="ar-SA"/>
      </w:rPr>
    </w:lvl>
    <w:lvl w:ilvl="1">
      <w:start w:val="2"/>
      <w:numFmt w:val="decimal"/>
      <w:lvlText w:val="%1.%2"/>
      <w:lvlJc w:val="left"/>
      <w:pPr>
        <w:ind w:left="525"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631" w:hanging="632"/>
        <w:jc w:val="left"/>
      </w:pPr>
      <w:rPr>
        <w:rFonts w:ascii="黑体" w:eastAsia="黑体" w:hAnsi="黑体" w:cs="黑体" w:hint="default"/>
        <w:w w:val="100"/>
        <w:sz w:val="21"/>
        <w:szCs w:val="21"/>
        <w:lang w:val="en-US" w:eastAsia="zh-CN" w:bidi="ar-SA"/>
      </w:rPr>
    </w:lvl>
    <w:lvl w:ilvl="3">
      <w:start w:val="0"/>
      <w:numFmt w:val="bullet"/>
      <w:lvlText w:val="•"/>
      <w:lvlJc w:val="left"/>
      <w:pPr>
        <w:ind w:left="1479" w:hanging="632"/>
      </w:pPr>
      <w:rPr>
        <w:rFonts w:hint="default"/>
        <w:lang w:val="en-US" w:eastAsia="zh-CN" w:bidi="ar-SA"/>
      </w:rPr>
    </w:lvl>
    <w:lvl w:ilvl="4">
      <w:start w:val="0"/>
      <w:numFmt w:val="bullet"/>
      <w:lvlText w:val="•"/>
      <w:lvlJc w:val="left"/>
      <w:pPr>
        <w:ind w:left="1898" w:hanging="632"/>
      </w:pPr>
      <w:rPr>
        <w:rFonts w:hint="default"/>
        <w:lang w:val="en-US" w:eastAsia="zh-CN" w:bidi="ar-SA"/>
      </w:rPr>
    </w:lvl>
    <w:lvl w:ilvl="5">
      <w:start w:val="0"/>
      <w:numFmt w:val="bullet"/>
      <w:lvlText w:val="•"/>
      <w:lvlJc w:val="left"/>
      <w:pPr>
        <w:ind w:left="2318" w:hanging="632"/>
      </w:pPr>
      <w:rPr>
        <w:rFonts w:hint="default"/>
        <w:lang w:val="en-US" w:eastAsia="zh-CN" w:bidi="ar-SA"/>
      </w:rPr>
    </w:lvl>
    <w:lvl w:ilvl="6">
      <w:start w:val="0"/>
      <w:numFmt w:val="bullet"/>
      <w:lvlText w:val="•"/>
      <w:lvlJc w:val="left"/>
      <w:pPr>
        <w:ind w:left="2737" w:hanging="632"/>
      </w:pPr>
      <w:rPr>
        <w:rFonts w:hint="default"/>
        <w:lang w:val="en-US" w:eastAsia="zh-CN" w:bidi="ar-SA"/>
      </w:rPr>
    </w:lvl>
    <w:lvl w:ilvl="7">
      <w:start w:val="0"/>
      <w:numFmt w:val="bullet"/>
      <w:lvlText w:val="•"/>
      <w:lvlJc w:val="left"/>
      <w:pPr>
        <w:ind w:left="3157" w:hanging="632"/>
      </w:pPr>
      <w:rPr>
        <w:rFonts w:hint="default"/>
        <w:lang w:val="en-US" w:eastAsia="zh-CN" w:bidi="ar-SA"/>
      </w:rPr>
    </w:lvl>
    <w:lvl w:ilvl="8">
      <w:start w:val="0"/>
      <w:numFmt w:val="bullet"/>
      <w:lvlText w:val="•"/>
      <w:lvlJc w:val="left"/>
      <w:pPr>
        <w:ind w:left="3577" w:hanging="632"/>
      </w:pPr>
      <w:rPr>
        <w:rFonts w:hint="default"/>
        <w:lang w:val="en-US" w:eastAsia="zh-CN" w:bidi="ar-SA"/>
      </w:rPr>
    </w:lvl>
  </w:abstractNum>
  <w:abstractNum w:abstractNumId="8">
    <w:nsid w:val="42E56487"/>
    <w:multiLevelType w:val="hybridMultilevel"/>
    <w:tmpl w:val="00000000"/>
    <w:lvl w:ilvl="0">
      <w:start w:val="4"/>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178" w:hanging="841"/>
        <w:jc w:val="left"/>
      </w:pPr>
      <w:rPr>
        <w:rFonts w:ascii="黑体" w:eastAsia="黑体" w:hAnsi="黑体" w:cs="黑体" w:hint="default"/>
        <w:w w:val="100"/>
        <w:sz w:val="21"/>
        <w:szCs w:val="21"/>
        <w:lang w:val="en-US" w:eastAsia="zh-CN" w:bidi="ar-SA"/>
      </w:rPr>
    </w:lvl>
    <w:lvl w:ilvl="3">
      <w:start w:val="1"/>
      <w:numFmt w:val="lowerLetter"/>
      <w:lvlText w:val="%4)"/>
      <w:lvlJc w:val="left"/>
      <w:pPr>
        <w:ind w:left="2018" w:hanging="413"/>
        <w:jc w:val="left"/>
      </w:pPr>
      <w:rPr>
        <w:rFonts w:ascii="宋体" w:eastAsia="宋体" w:hAnsi="宋体" w:cs="宋体" w:hint="default"/>
        <w:w w:val="100"/>
        <w:sz w:val="21"/>
        <w:szCs w:val="21"/>
        <w:lang w:val="en-US" w:eastAsia="zh-CN" w:bidi="ar-SA"/>
      </w:rPr>
    </w:lvl>
    <w:lvl w:ilvl="4">
      <w:start w:val="0"/>
      <w:numFmt w:val="bullet"/>
      <w:lvlText w:val="•"/>
      <w:lvlJc w:val="left"/>
      <w:pPr>
        <w:ind w:left="2040" w:hanging="413"/>
      </w:pPr>
      <w:rPr>
        <w:rFonts w:hint="default"/>
        <w:lang w:val="en-US" w:eastAsia="zh-CN" w:bidi="ar-SA"/>
      </w:rPr>
    </w:lvl>
    <w:lvl w:ilvl="5">
      <w:start w:val="0"/>
      <w:numFmt w:val="bullet"/>
      <w:lvlText w:val="•"/>
      <w:lvlJc w:val="left"/>
      <w:pPr>
        <w:ind w:left="3601" w:hanging="413"/>
      </w:pPr>
      <w:rPr>
        <w:rFonts w:hint="default"/>
        <w:lang w:val="en-US" w:eastAsia="zh-CN" w:bidi="ar-SA"/>
      </w:rPr>
    </w:lvl>
    <w:lvl w:ilvl="6">
      <w:start w:val="0"/>
      <w:numFmt w:val="bullet"/>
      <w:lvlText w:val="•"/>
      <w:lvlJc w:val="left"/>
      <w:pPr>
        <w:ind w:left="5162" w:hanging="413"/>
      </w:pPr>
      <w:rPr>
        <w:rFonts w:hint="default"/>
        <w:lang w:val="en-US" w:eastAsia="zh-CN" w:bidi="ar-SA"/>
      </w:rPr>
    </w:lvl>
    <w:lvl w:ilvl="7">
      <w:start w:val="0"/>
      <w:numFmt w:val="bullet"/>
      <w:lvlText w:val="•"/>
      <w:lvlJc w:val="left"/>
      <w:pPr>
        <w:ind w:left="6723" w:hanging="413"/>
      </w:pPr>
      <w:rPr>
        <w:rFonts w:hint="default"/>
        <w:lang w:val="en-US" w:eastAsia="zh-CN" w:bidi="ar-SA"/>
      </w:rPr>
    </w:lvl>
    <w:lvl w:ilvl="8">
      <w:start w:val="0"/>
      <w:numFmt w:val="bullet"/>
      <w:lvlText w:val="•"/>
      <w:lvlJc w:val="left"/>
      <w:pPr>
        <w:ind w:left="8284" w:hanging="413"/>
      </w:pPr>
      <w:rPr>
        <w:rFonts w:hint="default"/>
        <w:lang w:val="en-US" w:eastAsia="zh-CN" w:bidi="ar-SA"/>
      </w:rPr>
    </w:lvl>
  </w:abstractNum>
  <w:abstractNum w:abstractNumId="9">
    <w:nsid w:val="4455783F"/>
    <w:multiLevelType w:val="hybridMultilevel"/>
    <w:tmpl w:val="00000000"/>
    <w:lvl w:ilvl="0">
      <w:start w:val="8"/>
      <w:numFmt w:val="decimal"/>
      <w:lvlText w:val="%1"/>
      <w:lvlJc w:val="left"/>
      <w:pPr>
        <w:ind w:left="2124" w:hanging="946"/>
        <w:jc w:val="left"/>
      </w:pPr>
      <w:rPr>
        <w:rFonts w:hint="default"/>
        <w:lang w:val="en-US" w:eastAsia="zh-CN" w:bidi="ar-SA"/>
      </w:rPr>
    </w:lvl>
    <w:lvl w:ilvl="1">
      <w:start w:val="6"/>
      <w:numFmt w:val="decimal"/>
      <w:lvlText w:val="%1.%2"/>
      <w:lvlJc w:val="left"/>
      <w:pPr>
        <w:ind w:left="2124" w:hanging="946"/>
        <w:jc w:val="left"/>
      </w:pPr>
      <w:rPr>
        <w:rFonts w:hint="default"/>
        <w:lang w:val="en-US" w:eastAsia="zh-CN" w:bidi="ar-SA"/>
      </w:rPr>
    </w:lvl>
    <w:lvl w:ilvl="2">
      <w:start w:val="3"/>
      <w:numFmt w:val="decimal"/>
      <w:lvlText w:val="%1.%2.%3"/>
      <w:lvlJc w:val="left"/>
      <w:pPr>
        <w:ind w:left="2124" w:hanging="946"/>
        <w:jc w:val="left"/>
      </w:pPr>
      <w:rPr>
        <w:rFonts w:hint="default"/>
        <w:lang w:val="en-US" w:eastAsia="zh-CN"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834" w:hanging="946"/>
      </w:pPr>
      <w:rPr>
        <w:rFonts w:hint="default"/>
        <w:lang w:val="en-US" w:eastAsia="zh-CN" w:bidi="ar-SA"/>
      </w:rPr>
    </w:lvl>
    <w:lvl w:ilvl="5">
      <w:start w:val="0"/>
      <w:numFmt w:val="bullet"/>
      <w:lvlText w:val="•"/>
      <w:lvlJc w:val="left"/>
      <w:pPr>
        <w:ind w:left="6763" w:hanging="946"/>
      </w:pPr>
      <w:rPr>
        <w:rFonts w:hint="default"/>
        <w:lang w:val="en-US" w:eastAsia="zh-CN" w:bidi="ar-SA"/>
      </w:rPr>
    </w:lvl>
    <w:lvl w:ilvl="6">
      <w:start w:val="0"/>
      <w:numFmt w:val="bullet"/>
      <w:lvlText w:val="•"/>
      <w:lvlJc w:val="left"/>
      <w:pPr>
        <w:ind w:left="7691" w:hanging="946"/>
      </w:pPr>
      <w:rPr>
        <w:rFonts w:hint="default"/>
        <w:lang w:val="en-US" w:eastAsia="zh-CN" w:bidi="ar-SA"/>
      </w:rPr>
    </w:lvl>
    <w:lvl w:ilvl="7">
      <w:start w:val="0"/>
      <w:numFmt w:val="bullet"/>
      <w:lvlText w:val="•"/>
      <w:lvlJc w:val="left"/>
      <w:pPr>
        <w:ind w:left="8620" w:hanging="946"/>
      </w:pPr>
      <w:rPr>
        <w:rFonts w:hint="default"/>
        <w:lang w:val="en-US" w:eastAsia="zh-CN" w:bidi="ar-SA"/>
      </w:rPr>
    </w:lvl>
    <w:lvl w:ilvl="8">
      <w:start w:val="0"/>
      <w:numFmt w:val="bullet"/>
      <w:lvlText w:val="•"/>
      <w:lvlJc w:val="left"/>
      <w:pPr>
        <w:ind w:left="9549" w:hanging="946"/>
      </w:pPr>
      <w:rPr>
        <w:rFonts w:hint="default"/>
        <w:lang w:val="en-US" w:eastAsia="zh-CN" w:bidi="ar-SA"/>
      </w:rPr>
    </w:lvl>
  </w:abstractNum>
  <w:abstractNum w:abstractNumId="10">
    <w:nsid w:val="4BEED55D"/>
    <w:multiLevelType w:val="hybridMultilevel"/>
    <w:tmpl w:val="00000000"/>
    <w:lvl w:ilvl="0">
      <w:start w:val="9"/>
      <w:numFmt w:val="decimal"/>
      <w:lvlText w:val="%1"/>
      <w:lvlJc w:val="left"/>
      <w:pPr>
        <w:ind w:left="1560" w:hanging="737"/>
        <w:jc w:val="left"/>
      </w:pPr>
      <w:rPr>
        <w:rFonts w:hint="default"/>
        <w:lang w:val="en-US" w:eastAsia="zh-CN" w:bidi="ar-SA"/>
      </w:rPr>
    </w:lvl>
    <w:lvl w:ilvl="1">
      <w:start w:val="2"/>
      <w:numFmt w:val="decimal"/>
      <w:lvlText w:val="%1.%2"/>
      <w:lvlJc w:val="left"/>
      <w:pPr>
        <w:ind w:left="1560" w:hanging="737"/>
        <w:jc w:val="left"/>
      </w:pPr>
      <w:rPr>
        <w:rFonts w:hint="default"/>
        <w:lang w:val="en-US" w:eastAsia="zh-CN" w:bidi="ar-SA"/>
      </w:rPr>
    </w:lvl>
    <w:lvl w:ilvl="2">
      <w:start w:val="3"/>
      <w:numFmt w:val="decimal"/>
      <w:lvlText w:val="%1.%2.%3"/>
      <w:lvlJc w:val="left"/>
      <w:pPr>
        <w:ind w:left="1560" w:hanging="737"/>
        <w:jc w:val="left"/>
      </w:pPr>
      <w:rPr>
        <w:rFonts w:ascii="黑体" w:eastAsia="黑体" w:hAnsi="黑体" w:cs="黑体" w:hint="default"/>
        <w:w w:val="100"/>
        <w:sz w:val="21"/>
        <w:szCs w:val="21"/>
        <w:lang w:val="en-US" w:eastAsia="zh-CN" w:bidi="ar-SA"/>
      </w:rPr>
    </w:lvl>
    <w:lvl w:ilvl="3">
      <w:start w:val="0"/>
      <w:numFmt w:val="bullet"/>
      <w:lvlText w:val="•"/>
      <w:lvlJc w:val="left"/>
      <w:pPr>
        <w:ind w:left="4513" w:hanging="737"/>
      </w:pPr>
      <w:rPr>
        <w:rFonts w:hint="default"/>
        <w:lang w:val="en-US" w:eastAsia="zh-CN" w:bidi="ar-SA"/>
      </w:rPr>
    </w:lvl>
    <w:lvl w:ilvl="4">
      <w:start w:val="0"/>
      <w:numFmt w:val="bullet"/>
      <w:lvlText w:val="•"/>
      <w:lvlJc w:val="left"/>
      <w:pPr>
        <w:ind w:left="5498" w:hanging="737"/>
      </w:pPr>
      <w:rPr>
        <w:rFonts w:hint="default"/>
        <w:lang w:val="en-US" w:eastAsia="zh-CN" w:bidi="ar-SA"/>
      </w:rPr>
    </w:lvl>
    <w:lvl w:ilvl="5">
      <w:start w:val="0"/>
      <w:numFmt w:val="bullet"/>
      <w:lvlText w:val="•"/>
      <w:lvlJc w:val="left"/>
      <w:pPr>
        <w:ind w:left="6483" w:hanging="737"/>
      </w:pPr>
      <w:rPr>
        <w:rFonts w:hint="default"/>
        <w:lang w:val="en-US" w:eastAsia="zh-CN" w:bidi="ar-SA"/>
      </w:rPr>
    </w:lvl>
    <w:lvl w:ilvl="6">
      <w:start w:val="0"/>
      <w:numFmt w:val="bullet"/>
      <w:lvlText w:val="•"/>
      <w:lvlJc w:val="left"/>
      <w:pPr>
        <w:ind w:left="7467" w:hanging="737"/>
      </w:pPr>
      <w:rPr>
        <w:rFonts w:hint="default"/>
        <w:lang w:val="en-US" w:eastAsia="zh-CN" w:bidi="ar-SA"/>
      </w:rPr>
    </w:lvl>
    <w:lvl w:ilvl="7">
      <w:start w:val="0"/>
      <w:numFmt w:val="bullet"/>
      <w:lvlText w:val="•"/>
      <w:lvlJc w:val="left"/>
      <w:pPr>
        <w:ind w:left="8452" w:hanging="737"/>
      </w:pPr>
      <w:rPr>
        <w:rFonts w:hint="default"/>
        <w:lang w:val="en-US" w:eastAsia="zh-CN" w:bidi="ar-SA"/>
      </w:rPr>
    </w:lvl>
    <w:lvl w:ilvl="8">
      <w:start w:val="0"/>
      <w:numFmt w:val="bullet"/>
      <w:lvlText w:val="•"/>
      <w:lvlJc w:val="left"/>
      <w:pPr>
        <w:ind w:left="9437" w:hanging="737"/>
      </w:pPr>
      <w:rPr>
        <w:rFonts w:hint="default"/>
        <w:lang w:val="en-US" w:eastAsia="zh-CN" w:bidi="ar-SA"/>
      </w:rPr>
    </w:lvl>
  </w:abstractNum>
  <w:abstractNum w:abstractNumId="11">
    <w:nsid w:val="4F6A8F5F"/>
    <w:multiLevelType w:val="hybridMultilevel"/>
    <w:tmpl w:val="00000000"/>
    <w:lvl w:ilvl="0">
      <w:start w:val="8"/>
      <w:numFmt w:val="decimal"/>
      <w:lvlText w:val="%1"/>
      <w:lvlJc w:val="left"/>
      <w:pPr>
        <w:ind w:left="1704" w:hanging="526"/>
        <w:jc w:val="left"/>
      </w:pPr>
      <w:rPr>
        <w:rFonts w:hint="default"/>
        <w:lang w:val="en-US" w:eastAsia="zh-CN"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2019" w:hanging="841"/>
        <w:jc w:val="left"/>
      </w:pPr>
      <w:rPr>
        <w:rFonts w:ascii="黑体" w:eastAsia="黑体" w:hAnsi="黑体" w:cs="黑体" w:hint="default"/>
        <w:w w:val="100"/>
        <w:sz w:val="21"/>
        <w:szCs w:val="21"/>
        <w:lang w:val="en-US" w:eastAsia="zh-CN" w:bidi="ar-SA"/>
      </w:rPr>
    </w:lvl>
    <w:lvl w:ilvl="3">
      <w:start w:val="1"/>
      <w:numFmt w:val="lowerLetter"/>
      <w:lvlText w:val="%4)"/>
      <w:lvlJc w:val="left"/>
      <w:pPr>
        <w:ind w:left="2019" w:hanging="413"/>
        <w:jc w:val="left"/>
      </w:pPr>
      <w:rPr>
        <w:rFonts w:ascii="宋体" w:eastAsia="宋体" w:hAnsi="宋体" w:cs="宋体" w:hint="default"/>
        <w:w w:val="100"/>
        <w:sz w:val="21"/>
        <w:szCs w:val="21"/>
        <w:lang w:val="en-US" w:eastAsia="zh-CN" w:bidi="ar-SA"/>
      </w:rPr>
    </w:lvl>
    <w:lvl w:ilvl="4">
      <w:start w:val="0"/>
      <w:numFmt w:val="bullet"/>
      <w:lvlText w:val="•"/>
      <w:lvlJc w:val="left"/>
      <w:pPr>
        <w:ind w:left="2560" w:hanging="413"/>
      </w:pPr>
      <w:rPr>
        <w:rFonts w:hint="default"/>
        <w:lang w:val="en-US" w:eastAsia="zh-CN" w:bidi="ar-SA"/>
      </w:rPr>
    </w:lvl>
    <w:lvl w:ilvl="5">
      <w:start w:val="0"/>
      <w:numFmt w:val="bullet"/>
      <w:lvlText w:val="•"/>
      <w:lvlJc w:val="left"/>
      <w:pPr>
        <w:ind w:left="4034" w:hanging="413"/>
      </w:pPr>
      <w:rPr>
        <w:rFonts w:hint="default"/>
        <w:lang w:val="en-US" w:eastAsia="zh-CN" w:bidi="ar-SA"/>
      </w:rPr>
    </w:lvl>
    <w:lvl w:ilvl="6">
      <w:start w:val="0"/>
      <w:numFmt w:val="bullet"/>
      <w:lvlText w:val="•"/>
      <w:lvlJc w:val="left"/>
      <w:pPr>
        <w:ind w:left="5508" w:hanging="413"/>
      </w:pPr>
      <w:rPr>
        <w:rFonts w:hint="default"/>
        <w:lang w:val="en-US" w:eastAsia="zh-CN" w:bidi="ar-SA"/>
      </w:rPr>
    </w:lvl>
    <w:lvl w:ilvl="7">
      <w:start w:val="0"/>
      <w:numFmt w:val="bullet"/>
      <w:lvlText w:val="•"/>
      <w:lvlJc w:val="left"/>
      <w:pPr>
        <w:ind w:left="6983" w:hanging="413"/>
      </w:pPr>
      <w:rPr>
        <w:rFonts w:hint="default"/>
        <w:lang w:val="en-US" w:eastAsia="zh-CN" w:bidi="ar-SA"/>
      </w:rPr>
    </w:lvl>
    <w:lvl w:ilvl="8">
      <w:start w:val="0"/>
      <w:numFmt w:val="bullet"/>
      <w:lvlText w:val="•"/>
      <w:lvlJc w:val="left"/>
      <w:pPr>
        <w:ind w:left="8457" w:hanging="413"/>
      </w:pPr>
      <w:rPr>
        <w:rFonts w:hint="default"/>
        <w:lang w:val="en-US" w:eastAsia="zh-CN" w:bidi="ar-SA"/>
      </w:rPr>
    </w:lvl>
  </w:abstractNum>
  <w:abstractNum w:abstractNumId="12">
    <w:nsid w:val="56977F4E"/>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490" w:hanging="315"/>
      </w:pPr>
      <w:rPr>
        <w:rFonts w:hint="default"/>
        <w:lang w:val="en-US" w:eastAsia="zh-CN" w:bidi="ar-SA"/>
      </w:rPr>
    </w:lvl>
    <w:lvl w:ilvl="2">
      <w:start w:val="0"/>
      <w:numFmt w:val="bullet"/>
      <w:lvlText w:val="•"/>
      <w:lvlJc w:val="left"/>
      <w:pPr>
        <w:ind w:left="3481" w:hanging="315"/>
      </w:pPr>
      <w:rPr>
        <w:rFonts w:hint="default"/>
        <w:lang w:val="en-US" w:eastAsia="zh-CN" w:bidi="ar-SA"/>
      </w:rPr>
    </w:lvl>
    <w:lvl w:ilvl="3">
      <w:start w:val="0"/>
      <w:numFmt w:val="bullet"/>
      <w:lvlText w:val="•"/>
      <w:lvlJc w:val="left"/>
      <w:pPr>
        <w:ind w:left="4471" w:hanging="315"/>
      </w:pPr>
      <w:rPr>
        <w:rFonts w:hint="default"/>
        <w:lang w:val="en-US" w:eastAsia="zh-CN" w:bidi="ar-SA"/>
      </w:rPr>
    </w:lvl>
    <w:lvl w:ilvl="4">
      <w:start w:val="0"/>
      <w:numFmt w:val="bullet"/>
      <w:lvlText w:val="•"/>
      <w:lvlJc w:val="left"/>
      <w:pPr>
        <w:ind w:left="5462" w:hanging="315"/>
      </w:pPr>
      <w:rPr>
        <w:rFonts w:hint="default"/>
        <w:lang w:val="en-US" w:eastAsia="zh-CN" w:bidi="ar-SA"/>
      </w:rPr>
    </w:lvl>
    <w:lvl w:ilvl="5">
      <w:start w:val="0"/>
      <w:numFmt w:val="bullet"/>
      <w:lvlText w:val="•"/>
      <w:lvlJc w:val="left"/>
      <w:pPr>
        <w:ind w:left="6453" w:hanging="315"/>
      </w:pPr>
      <w:rPr>
        <w:rFonts w:hint="default"/>
        <w:lang w:val="en-US" w:eastAsia="zh-CN" w:bidi="ar-SA"/>
      </w:rPr>
    </w:lvl>
    <w:lvl w:ilvl="6">
      <w:start w:val="0"/>
      <w:numFmt w:val="bullet"/>
      <w:lvlText w:val="•"/>
      <w:lvlJc w:val="left"/>
      <w:pPr>
        <w:ind w:left="7443" w:hanging="315"/>
      </w:pPr>
      <w:rPr>
        <w:rFonts w:hint="default"/>
        <w:lang w:val="en-US" w:eastAsia="zh-CN" w:bidi="ar-SA"/>
      </w:rPr>
    </w:lvl>
    <w:lvl w:ilvl="7">
      <w:start w:val="0"/>
      <w:numFmt w:val="bullet"/>
      <w:lvlText w:val="•"/>
      <w:lvlJc w:val="left"/>
      <w:pPr>
        <w:ind w:left="8434" w:hanging="315"/>
      </w:pPr>
      <w:rPr>
        <w:rFonts w:hint="default"/>
        <w:lang w:val="en-US" w:eastAsia="zh-CN" w:bidi="ar-SA"/>
      </w:rPr>
    </w:lvl>
    <w:lvl w:ilvl="8">
      <w:start w:val="0"/>
      <w:numFmt w:val="bullet"/>
      <w:lvlText w:val="•"/>
      <w:lvlJc w:val="left"/>
      <w:pPr>
        <w:ind w:left="9425" w:hanging="315"/>
      </w:pPr>
      <w:rPr>
        <w:rFonts w:hint="default"/>
        <w:lang w:val="en-US" w:eastAsia="zh-CN" w:bidi="ar-SA"/>
      </w:rPr>
    </w:lvl>
  </w:abstractNum>
  <w:abstractNum w:abstractNumId="13">
    <w:nsid w:val="5730701F"/>
    <w:multiLevelType w:val="hybridMultilevel"/>
    <w:tmpl w:val="00000000"/>
    <w:lvl w:ilvl="0">
      <w:start w:val="9"/>
      <w:numFmt w:val="decimal"/>
      <w:lvlText w:val="%1"/>
      <w:lvlJc w:val="left"/>
      <w:pPr>
        <w:ind w:left="0" w:hanging="841"/>
        <w:jc w:val="left"/>
      </w:pPr>
      <w:rPr>
        <w:rFonts w:hint="default"/>
        <w:lang w:val="en-US" w:eastAsia="zh-CN" w:bidi="ar-SA"/>
      </w:rPr>
    </w:lvl>
    <w:lvl w:ilvl="1">
      <w:start w:val="3"/>
      <w:numFmt w:val="decimal"/>
      <w:lvlText w:val="%1.%2"/>
      <w:lvlJc w:val="left"/>
      <w:pPr>
        <w:ind w:left="0" w:hanging="841"/>
        <w:jc w:val="left"/>
      </w:pPr>
      <w:rPr>
        <w:rFonts w:hint="default"/>
        <w:lang w:val="en-US" w:eastAsia="zh-CN" w:bidi="ar-SA"/>
      </w:rPr>
    </w:lvl>
    <w:lvl w:ilvl="2">
      <w:start w:val="6"/>
      <w:numFmt w:val="decimal"/>
      <w:lvlText w:val="%1.%2.%3"/>
      <w:lvlJc w:val="left"/>
      <w:pPr>
        <w:ind w:left="0" w:hanging="841"/>
        <w:jc w:val="left"/>
      </w:pPr>
      <w:rPr>
        <w:rFonts w:ascii="黑体" w:eastAsia="黑体" w:hAnsi="黑体" w:cs="黑体" w:hint="default"/>
        <w:w w:val="100"/>
        <w:sz w:val="21"/>
        <w:szCs w:val="21"/>
        <w:lang w:val="en-US" w:eastAsia="zh-CN" w:bidi="ar-SA"/>
      </w:rPr>
    </w:lvl>
    <w:lvl w:ilvl="3">
      <w:start w:val="1"/>
      <w:numFmt w:val="lowerLetter"/>
      <w:lvlText w:val="%4)"/>
      <w:lvlJc w:val="left"/>
      <w:pPr>
        <w:ind w:left="840" w:hanging="409"/>
        <w:jc w:val="left"/>
      </w:pPr>
      <w:rPr>
        <w:rFonts w:ascii="宋体" w:eastAsia="宋体" w:hAnsi="宋体" w:cs="宋体" w:hint="default"/>
        <w:w w:val="100"/>
        <w:sz w:val="21"/>
        <w:szCs w:val="21"/>
        <w:lang w:val="en-US" w:eastAsia="zh-CN" w:bidi="ar-SA"/>
      </w:rPr>
    </w:lvl>
    <w:lvl w:ilvl="4">
      <w:start w:val="0"/>
      <w:numFmt w:val="bullet"/>
      <w:lvlText w:val="•"/>
      <w:lvlJc w:val="left"/>
      <w:pPr>
        <w:ind w:left="3648" w:hanging="409"/>
      </w:pPr>
      <w:rPr>
        <w:rFonts w:hint="default"/>
        <w:lang w:val="en-US" w:eastAsia="zh-CN" w:bidi="ar-SA"/>
      </w:rPr>
    </w:lvl>
    <w:lvl w:ilvl="5">
      <w:start w:val="0"/>
      <w:numFmt w:val="bullet"/>
      <w:lvlText w:val="•"/>
      <w:lvlJc w:val="left"/>
      <w:pPr>
        <w:ind w:left="4584" w:hanging="409"/>
      </w:pPr>
      <w:rPr>
        <w:rFonts w:hint="default"/>
        <w:lang w:val="en-US" w:eastAsia="zh-CN" w:bidi="ar-SA"/>
      </w:rPr>
    </w:lvl>
    <w:lvl w:ilvl="6">
      <w:start w:val="0"/>
      <w:numFmt w:val="bullet"/>
      <w:lvlText w:val="•"/>
      <w:lvlJc w:val="left"/>
      <w:pPr>
        <w:ind w:left="5520" w:hanging="409"/>
      </w:pPr>
      <w:rPr>
        <w:rFonts w:hint="default"/>
        <w:lang w:val="en-US" w:eastAsia="zh-CN" w:bidi="ar-SA"/>
      </w:rPr>
    </w:lvl>
    <w:lvl w:ilvl="7">
      <w:start w:val="0"/>
      <w:numFmt w:val="bullet"/>
      <w:lvlText w:val="•"/>
      <w:lvlJc w:val="left"/>
      <w:pPr>
        <w:ind w:left="6456" w:hanging="409"/>
      </w:pPr>
      <w:rPr>
        <w:rFonts w:hint="default"/>
        <w:lang w:val="en-US" w:eastAsia="zh-CN" w:bidi="ar-SA"/>
      </w:rPr>
    </w:lvl>
    <w:lvl w:ilvl="8">
      <w:start w:val="0"/>
      <w:numFmt w:val="bullet"/>
      <w:lvlText w:val="•"/>
      <w:lvlJc w:val="left"/>
      <w:pPr>
        <w:ind w:left="7393" w:hanging="409"/>
      </w:pPr>
      <w:rPr>
        <w:rFonts w:hint="default"/>
        <w:lang w:val="en-US" w:eastAsia="zh-CN" w:bidi="ar-SA"/>
      </w:rPr>
    </w:lvl>
  </w:abstractNum>
  <w:abstractNum w:abstractNumId="14">
    <w:nsid w:val="58C53BEE"/>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490" w:hanging="315"/>
      </w:pPr>
      <w:rPr>
        <w:rFonts w:hint="default"/>
        <w:lang w:val="en-US" w:eastAsia="zh-CN" w:bidi="ar-SA"/>
      </w:rPr>
    </w:lvl>
    <w:lvl w:ilvl="2">
      <w:start w:val="0"/>
      <w:numFmt w:val="bullet"/>
      <w:lvlText w:val="•"/>
      <w:lvlJc w:val="left"/>
      <w:pPr>
        <w:ind w:left="3481" w:hanging="315"/>
      </w:pPr>
      <w:rPr>
        <w:rFonts w:hint="default"/>
        <w:lang w:val="en-US" w:eastAsia="zh-CN" w:bidi="ar-SA"/>
      </w:rPr>
    </w:lvl>
    <w:lvl w:ilvl="3">
      <w:start w:val="0"/>
      <w:numFmt w:val="bullet"/>
      <w:lvlText w:val="•"/>
      <w:lvlJc w:val="left"/>
      <w:pPr>
        <w:ind w:left="4471" w:hanging="315"/>
      </w:pPr>
      <w:rPr>
        <w:rFonts w:hint="default"/>
        <w:lang w:val="en-US" w:eastAsia="zh-CN" w:bidi="ar-SA"/>
      </w:rPr>
    </w:lvl>
    <w:lvl w:ilvl="4">
      <w:start w:val="0"/>
      <w:numFmt w:val="bullet"/>
      <w:lvlText w:val="•"/>
      <w:lvlJc w:val="left"/>
      <w:pPr>
        <w:ind w:left="5462" w:hanging="315"/>
      </w:pPr>
      <w:rPr>
        <w:rFonts w:hint="default"/>
        <w:lang w:val="en-US" w:eastAsia="zh-CN" w:bidi="ar-SA"/>
      </w:rPr>
    </w:lvl>
    <w:lvl w:ilvl="5">
      <w:start w:val="0"/>
      <w:numFmt w:val="bullet"/>
      <w:lvlText w:val="•"/>
      <w:lvlJc w:val="left"/>
      <w:pPr>
        <w:ind w:left="6453" w:hanging="315"/>
      </w:pPr>
      <w:rPr>
        <w:rFonts w:hint="default"/>
        <w:lang w:val="en-US" w:eastAsia="zh-CN" w:bidi="ar-SA"/>
      </w:rPr>
    </w:lvl>
    <w:lvl w:ilvl="6">
      <w:start w:val="0"/>
      <w:numFmt w:val="bullet"/>
      <w:lvlText w:val="•"/>
      <w:lvlJc w:val="left"/>
      <w:pPr>
        <w:ind w:left="7443" w:hanging="315"/>
      </w:pPr>
      <w:rPr>
        <w:rFonts w:hint="default"/>
        <w:lang w:val="en-US" w:eastAsia="zh-CN" w:bidi="ar-SA"/>
      </w:rPr>
    </w:lvl>
    <w:lvl w:ilvl="7">
      <w:start w:val="0"/>
      <w:numFmt w:val="bullet"/>
      <w:lvlText w:val="•"/>
      <w:lvlJc w:val="left"/>
      <w:pPr>
        <w:ind w:left="8434" w:hanging="315"/>
      </w:pPr>
      <w:rPr>
        <w:rFonts w:hint="default"/>
        <w:lang w:val="en-US" w:eastAsia="zh-CN" w:bidi="ar-SA"/>
      </w:rPr>
    </w:lvl>
    <w:lvl w:ilvl="8">
      <w:start w:val="0"/>
      <w:numFmt w:val="bullet"/>
      <w:lvlText w:val="•"/>
      <w:lvlJc w:val="left"/>
      <w:pPr>
        <w:ind w:left="9425" w:hanging="315"/>
      </w:pPr>
      <w:rPr>
        <w:rFonts w:hint="default"/>
        <w:lang w:val="en-US" w:eastAsia="zh-CN" w:bidi="ar-SA"/>
      </w:rPr>
    </w:lvl>
  </w:abstractNum>
  <w:abstractNum w:abstractNumId="15">
    <w:nsid w:val="5C3F312B"/>
    <w:multiLevelType w:val="hybridMultilevel"/>
    <w:tmpl w:val="00000000"/>
    <w:lvl w:ilvl="0">
      <w:start w:val="1"/>
      <w:numFmt w:val="decimal"/>
      <w:lvlText w:val="%1"/>
      <w:lvlJc w:val="left"/>
      <w:pPr>
        <w:ind w:left="1495" w:hanging="317"/>
        <w:jc w:val="left"/>
      </w:pPr>
      <w:rPr>
        <w:rFonts w:ascii="宋体" w:eastAsia="宋体" w:hAnsi="宋体" w:cs="宋体" w:hint="default"/>
        <w:w w:val="100"/>
        <w:sz w:val="21"/>
        <w:szCs w:val="21"/>
        <w:lang w:val="en-US" w:eastAsia="zh-CN" w:bidi="ar-SA"/>
      </w:rPr>
    </w:lvl>
    <w:lvl w:ilvl="1">
      <w:start w:val="1"/>
      <w:numFmt w:val="decimal"/>
      <w:lvlText w:val="%1.%2"/>
      <w:lvlJc w:val="left"/>
      <w:pPr>
        <w:ind w:left="1915" w:hanging="526"/>
        <w:jc w:val="left"/>
      </w:pPr>
      <w:rPr>
        <w:rFonts w:ascii="宋体" w:eastAsia="宋体" w:hAnsi="宋体" w:cs="宋体" w:hint="default"/>
        <w:w w:val="100"/>
        <w:sz w:val="21"/>
        <w:szCs w:val="21"/>
        <w:lang w:val="en-US" w:eastAsia="zh-CN" w:bidi="ar-SA"/>
      </w:rPr>
    </w:lvl>
    <w:lvl w:ilvl="2">
      <w:start w:val="0"/>
      <w:numFmt w:val="bullet"/>
      <w:lvlText w:val="•"/>
      <w:lvlJc w:val="left"/>
      <w:pPr>
        <w:ind w:left="2974" w:hanging="526"/>
      </w:pPr>
      <w:rPr>
        <w:rFonts w:hint="default"/>
        <w:lang w:val="en-US" w:eastAsia="zh-CN" w:bidi="ar-SA"/>
      </w:rPr>
    </w:lvl>
    <w:lvl w:ilvl="3">
      <w:start w:val="0"/>
      <w:numFmt w:val="bullet"/>
      <w:lvlText w:val="•"/>
      <w:lvlJc w:val="left"/>
      <w:pPr>
        <w:ind w:left="4028" w:hanging="526"/>
      </w:pPr>
      <w:rPr>
        <w:rFonts w:hint="default"/>
        <w:lang w:val="en-US" w:eastAsia="zh-CN" w:bidi="ar-SA"/>
      </w:rPr>
    </w:lvl>
    <w:lvl w:ilvl="4">
      <w:start w:val="0"/>
      <w:numFmt w:val="bullet"/>
      <w:lvlText w:val="•"/>
      <w:lvlJc w:val="left"/>
      <w:pPr>
        <w:ind w:left="5082" w:hanging="526"/>
      </w:pPr>
      <w:rPr>
        <w:rFonts w:hint="default"/>
        <w:lang w:val="en-US" w:eastAsia="zh-CN" w:bidi="ar-SA"/>
      </w:rPr>
    </w:lvl>
    <w:lvl w:ilvl="5">
      <w:start w:val="0"/>
      <w:numFmt w:val="bullet"/>
      <w:lvlText w:val="•"/>
      <w:lvlJc w:val="left"/>
      <w:pPr>
        <w:ind w:left="6136" w:hanging="526"/>
      </w:pPr>
      <w:rPr>
        <w:rFonts w:hint="default"/>
        <w:lang w:val="en-US" w:eastAsia="zh-CN" w:bidi="ar-SA"/>
      </w:rPr>
    </w:lvl>
    <w:lvl w:ilvl="6">
      <w:start w:val="0"/>
      <w:numFmt w:val="bullet"/>
      <w:lvlText w:val="•"/>
      <w:lvlJc w:val="left"/>
      <w:pPr>
        <w:ind w:left="7190" w:hanging="526"/>
      </w:pPr>
      <w:rPr>
        <w:rFonts w:hint="default"/>
        <w:lang w:val="en-US" w:eastAsia="zh-CN" w:bidi="ar-SA"/>
      </w:rPr>
    </w:lvl>
    <w:lvl w:ilvl="7">
      <w:start w:val="0"/>
      <w:numFmt w:val="bullet"/>
      <w:lvlText w:val="•"/>
      <w:lvlJc w:val="left"/>
      <w:pPr>
        <w:ind w:left="8244" w:hanging="526"/>
      </w:pPr>
      <w:rPr>
        <w:rFonts w:hint="default"/>
        <w:lang w:val="en-US" w:eastAsia="zh-CN" w:bidi="ar-SA"/>
      </w:rPr>
    </w:lvl>
    <w:lvl w:ilvl="8">
      <w:start w:val="0"/>
      <w:numFmt w:val="bullet"/>
      <w:lvlText w:val="•"/>
      <w:lvlJc w:val="left"/>
      <w:pPr>
        <w:ind w:left="9298" w:hanging="526"/>
      </w:pPr>
      <w:rPr>
        <w:rFonts w:hint="default"/>
        <w:lang w:val="en-US" w:eastAsia="zh-CN" w:bidi="ar-SA"/>
      </w:rPr>
    </w:lvl>
  </w:abstractNum>
  <w:abstractNum w:abstractNumId="16">
    <w:nsid w:val="6ACC8E8F"/>
    <w:multiLevelType w:val="hybridMultilevel"/>
    <w:tmpl w:val="00000000"/>
    <w:lvl w:ilvl="0">
      <w:start w:val="4"/>
      <w:numFmt w:val="decimal"/>
      <w:lvlText w:val="%1"/>
      <w:lvlJc w:val="left"/>
      <w:pPr>
        <w:ind w:left="525" w:hanging="526"/>
        <w:jc w:val="left"/>
      </w:pPr>
      <w:rPr>
        <w:rFonts w:hint="default"/>
        <w:lang w:val="en-US" w:eastAsia="zh-CN"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1347" w:hanging="526"/>
      </w:pPr>
      <w:rPr>
        <w:rFonts w:hint="default"/>
        <w:lang w:val="en-US" w:eastAsia="zh-CN" w:bidi="ar-SA"/>
      </w:rPr>
    </w:lvl>
    <w:lvl w:ilvl="3">
      <w:start w:val="0"/>
      <w:numFmt w:val="bullet"/>
      <w:lvlText w:val="•"/>
      <w:lvlJc w:val="left"/>
      <w:pPr>
        <w:ind w:left="1761" w:hanging="526"/>
      </w:pPr>
      <w:rPr>
        <w:rFonts w:hint="default"/>
        <w:lang w:val="en-US" w:eastAsia="zh-CN" w:bidi="ar-SA"/>
      </w:rPr>
    </w:lvl>
    <w:lvl w:ilvl="4">
      <w:start w:val="0"/>
      <w:numFmt w:val="bullet"/>
      <w:lvlText w:val="•"/>
      <w:lvlJc w:val="left"/>
      <w:pPr>
        <w:ind w:left="2174" w:hanging="526"/>
      </w:pPr>
      <w:rPr>
        <w:rFonts w:hint="default"/>
        <w:lang w:val="en-US" w:eastAsia="zh-CN" w:bidi="ar-SA"/>
      </w:rPr>
    </w:lvl>
    <w:lvl w:ilvl="5">
      <w:start w:val="0"/>
      <w:numFmt w:val="bullet"/>
      <w:lvlText w:val="•"/>
      <w:lvlJc w:val="left"/>
      <w:pPr>
        <w:ind w:left="2588" w:hanging="526"/>
      </w:pPr>
      <w:rPr>
        <w:rFonts w:hint="default"/>
        <w:lang w:val="en-US" w:eastAsia="zh-CN" w:bidi="ar-SA"/>
      </w:rPr>
    </w:lvl>
    <w:lvl w:ilvl="6">
      <w:start w:val="0"/>
      <w:numFmt w:val="bullet"/>
      <w:lvlText w:val="•"/>
      <w:lvlJc w:val="left"/>
      <w:pPr>
        <w:ind w:left="3002" w:hanging="526"/>
      </w:pPr>
      <w:rPr>
        <w:rFonts w:hint="default"/>
        <w:lang w:val="en-US" w:eastAsia="zh-CN" w:bidi="ar-SA"/>
      </w:rPr>
    </w:lvl>
    <w:lvl w:ilvl="7">
      <w:start w:val="0"/>
      <w:numFmt w:val="bullet"/>
      <w:lvlText w:val="•"/>
      <w:lvlJc w:val="left"/>
      <w:pPr>
        <w:ind w:left="3415" w:hanging="526"/>
      </w:pPr>
      <w:rPr>
        <w:rFonts w:hint="default"/>
        <w:lang w:val="en-US" w:eastAsia="zh-CN" w:bidi="ar-SA"/>
      </w:rPr>
    </w:lvl>
    <w:lvl w:ilvl="8">
      <w:start w:val="0"/>
      <w:numFmt w:val="bullet"/>
      <w:lvlText w:val="•"/>
      <w:lvlJc w:val="left"/>
      <w:pPr>
        <w:ind w:left="3829" w:hanging="526"/>
      </w:pPr>
      <w:rPr>
        <w:rFonts w:hint="default"/>
        <w:lang w:val="en-US" w:eastAsia="zh-CN" w:bidi="ar-SA"/>
      </w:rPr>
    </w:lvl>
  </w:abstractNum>
  <w:abstractNum w:abstractNumId="17">
    <w:nsid w:val="6FD800BA"/>
    <w:multiLevelType w:val="hybridMultilevel"/>
    <w:tmpl w:val="00000000"/>
    <w:lvl w:ilvl="0">
      <w:start w:val="4"/>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178" w:hanging="841"/>
        <w:jc w:val="left"/>
      </w:pPr>
      <w:rPr>
        <w:rFonts w:ascii="黑体" w:eastAsia="黑体" w:hAnsi="黑体" w:cs="黑体" w:hint="default"/>
        <w:w w:val="100"/>
        <w:sz w:val="21"/>
        <w:szCs w:val="21"/>
        <w:lang w:val="en-US" w:eastAsia="zh-CN" w:bidi="ar-SA"/>
      </w:rPr>
    </w:lvl>
    <w:lvl w:ilvl="3">
      <w:start w:val="1"/>
      <w:numFmt w:val="lowerLetter"/>
      <w:lvlText w:val="%4)"/>
      <w:lvlJc w:val="left"/>
      <w:pPr>
        <w:ind w:left="2018" w:hanging="413"/>
        <w:jc w:val="left"/>
      </w:pPr>
      <w:rPr>
        <w:rFonts w:ascii="宋体" w:eastAsia="宋体" w:hAnsi="宋体" w:cs="宋体" w:hint="default"/>
        <w:w w:val="100"/>
        <w:sz w:val="21"/>
        <w:szCs w:val="21"/>
        <w:lang w:val="en-US" w:eastAsia="zh-CN" w:bidi="ar-SA"/>
      </w:rPr>
    </w:lvl>
    <w:lvl w:ilvl="4">
      <w:start w:val="0"/>
      <w:numFmt w:val="bullet"/>
      <w:lvlText w:val="•"/>
      <w:lvlJc w:val="left"/>
      <w:pPr>
        <w:ind w:left="2040" w:hanging="413"/>
      </w:pPr>
      <w:rPr>
        <w:rFonts w:hint="default"/>
        <w:lang w:val="en-US" w:eastAsia="zh-CN" w:bidi="ar-SA"/>
      </w:rPr>
    </w:lvl>
    <w:lvl w:ilvl="5">
      <w:start w:val="0"/>
      <w:numFmt w:val="bullet"/>
      <w:lvlText w:val="•"/>
      <w:lvlJc w:val="left"/>
      <w:pPr>
        <w:ind w:left="3601" w:hanging="413"/>
      </w:pPr>
      <w:rPr>
        <w:rFonts w:hint="default"/>
        <w:lang w:val="en-US" w:eastAsia="zh-CN" w:bidi="ar-SA"/>
      </w:rPr>
    </w:lvl>
    <w:lvl w:ilvl="6">
      <w:start w:val="0"/>
      <w:numFmt w:val="bullet"/>
      <w:lvlText w:val="•"/>
      <w:lvlJc w:val="left"/>
      <w:pPr>
        <w:ind w:left="5162" w:hanging="413"/>
      </w:pPr>
      <w:rPr>
        <w:rFonts w:hint="default"/>
        <w:lang w:val="en-US" w:eastAsia="zh-CN" w:bidi="ar-SA"/>
      </w:rPr>
    </w:lvl>
    <w:lvl w:ilvl="7">
      <w:start w:val="0"/>
      <w:numFmt w:val="bullet"/>
      <w:lvlText w:val="•"/>
      <w:lvlJc w:val="left"/>
      <w:pPr>
        <w:ind w:left="6723" w:hanging="413"/>
      </w:pPr>
      <w:rPr>
        <w:rFonts w:hint="default"/>
        <w:lang w:val="en-US" w:eastAsia="zh-CN" w:bidi="ar-SA"/>
      </w:rPr>
    </w:lvl>
    <w:lvl w:ilvl="8">
      <w:start w:val="0"/>
      <w:numFmt w:val="bullet"/>
      <w:lvlText w:val="•"/>
      <w:lvlJc w:val="left"/>
      <w:pPr>
        <w:ind w:left="8284" w:hanging="413"/>
      </w:pPr>
      <w:rPr>
        <w:rFonts w:hint="default"/>
        <w:lang w:val="en-US" w:eastAsia="zh-CN" w:bidi="ar-SA"/>
      </w:rPr>
    </w:lvl>
  </w:abstractNum>
  <w:abstractNum w:abstractNumId="18">
    <w:nsid w:val="728FE25B"/>
    <w:multiLevelType w:val="hybridMultilevel"/>
    <w:tmpl w:val="00000000"/>
    <w:lvl w:ilvl="0">
      <w:start w:val="1"/>
      <w:numFmt w:val="decimal"/>
      <w:lvlText w:val="%1"/>
      <w:lvlJc w:val="left"/>
      <w:pPr>
        <w:ind w:left="1874"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832" w:hanging="315"/>
      </w:pPr>
      <w:rPr>
        <w:rFonts w:hint="default"/>
        <w:lang w:val="en-US" w:eastAsia="zh-CN" w:bidi="ar-SA"/>
      </w:rPr>
    </w:lvl>
    <w:lvl w:ilvl="2">
      <w:start w:val="0"/>
      <w:numFmt w:val="bullet"/>
      <w:lvlText w:val="•"/>
      <w:lvlJc w:val="left"/>
      <w:pPr>
        <w:ind w:left="3785" w:hanging="315"/>
      </w:pPr>
      <w:rPr>
        <w:rFonts w:hint="default"/>
        <w:lang w:val="en-US" w:eastAsia="zh-CN" w:bidi="ar-SA"/>
      </w:rPr>
    </w:lvl>
    <w:lvl w:ilvl="3">
      <w:start w:val="0"/>
      <w:numFmt w:val="bullet"/>
      <w:lvlText w:val="•"/>
      <w:lvlJc w:val="left"/>
      <w:pPr>
        <w:ind w:left="4737" w:hanging="315"/>
      </w:pPr>
      <w:rPr>
        <w:rFonts w:hint="default"/>
        <w:lang w:val="en-US" w:eastAsia="zh-CN" w:bidi="ar-SA"/>
      </w:rPr>
    </w:lvl>
    <w:lvl w:ilvl="4">
      <w:start w:val="0"/>
      <w:numFmt w:val="bullet"/>
      <w:lvlText w:val="•"/>
      <w:lvlJc w:val="left"/>
      <w:pPr>
        <w:ind w:left="5690" w:hanging="315"/>
      </w:pPr>
      <w:rPr>
        <w:rFonts w:hint="default"/>
        <w:lang w:val="en-US" w:eastAsia="zh-CN" w:bidi="ar-SA"/>
      </w:rPr>
    </w:lvl>
    <w:lvl w:ilvl="5">
      <w:start w:val="0"/>
      <w:numFmt w:val="bullet"/>
      <w:lvlText w:val="•"/>
      <w:lvlJc w:val="left"/>
      <w:pPr>
        <w:ind w:left="6643" w:hanging="315"/>
      </w:pPr>
      <w:rPr>
        <w:rFonts w:hint="default"/>
        <w:lang w:val="en-US" w:eastAsia="zh-CN" w:bidi="ar-SA"/>
      </w:rPr>
    </w:lvl>
    <w:lvl w:ilvl="6">
      <w:start w:val="0"/>
      <w:numFmt w:val="bullet"/>
      <w:lvlText w:val="•"/>
      <w:lvlJc w:val="left"/>
      <w:pPr>
        <w:ind w:left="7595" w:hanging="315"/>
      </w:pPr>
      <w:rPr>
        <w:rFonts w:hint="default"/>
        <w:lang w:val="en-US" w:eastAsia="zh-CN" w:bidi="ar-SA"/>
      </w:rPr>
    </w:lvl>
    <w:lvl w:ilvl="7">
      <w:start w:val="0"/>
      <w:numFmt w:val="bullet"/>
      <w:lvlText w:val="•"/>
      <w:lvlJc w:val="left"/>
      <w:pPr>
        <w:ind w:left="8548" w:hanging="315"/>
      </w:pPr>
      <w:rPr>
        <w:rFonts w:hint="default"/>
        <w:lang w:val="en-US" w:eastAsia="zh-CN" w:bidi="ar-SA"/>
      </w:rPr>
    </w:lvl>
    <w:lvl w:ilvl="8">
      <w:start w:val="0"/>
      <w:numFmt w:val="bullet"/>
      <w:lvlText w:val="•"/>
      <w:lvlJc w:val="left"/>
      <w:pPr>
        <w:ind w:left="9501" w:hanging="315"/>
      </w:pPr>
      <w:rPr>
        <w:rFonts w:hint="default"/>
        <w:lang w:val="en-US" w:eastAsia="zh-CN" w:bidi="ar-SA"/>
      </w:rPr>
    </w:lvl>
  </w:abstractNum>
  <w:abstractNum w:abstractNumId="19">
    <w:nsid w:val="793ADE0F"/>
    <w:multiLevelType w:val="hybridMultilevel"/>
    <w:tmpl w:val="00000000"/>
    <w:lvl w:ilvl="0">
      <w:start w:val="1"/>
      <w:numFmt w:val="upperLetter"/>
      <w:lvlText w:val="%1"/>
      <w:lvlJc w:val="left"/>
      <w:pPr>
        <w:ind w:left="1704" w:hanging="526"/>
        <w:jc w:val="left"/>
      </w:pPr>
      <w:rPr>
        <w:rFonts w:hint="default"/>
        <w:lang w:val="en-US" w:eastAsia="zh-CN"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zh-CN" w:bidi="ar-SA"/>
      </w:rPr>
    </w:lvl>
    <w:lvl w:ilvl="2">
      <w:start w:val="1"/>
      <w:numFmt w:val="decimal"/>
      <w:lvlText w:val="%3"/>
      <w:lvlJc w:val="left"/>
      <w:pPr>
        <w:ind w:left="1771" w:hanging="212"/>
        <w:jc w:val="left"/>
      </w:pPr>
      <w:rPr>
        <w:rFonts w:ascii="Times New Roman" w:eastAsia="Times New Roman" w:hAnsi="Times New Roman" w:cs="Times New Roman" w:hint="default"/>
        <w:b/>
        <w:bCs/>
        <w:w w:val="100"/>
        <w:sz w:val="21"/>
        <w:szCs w:val="21"/>
        <w:lang w:val="en-US" w:eastAsia="zh-CN" w:bidi="ar-SA"/>
      </w:rPr>
    </w:lvl>
    <w:lvl w:ilvl="3">
      <w:start w:val="1"/>
      <w:numFmt w:val="decimal"/>
      <w:lvlText w:val="%4）"/>
      <w:lvlJc w:val="left"/>
      <w:pPr>
        <w:ind w:left="2089" w:hanging="318"/>
        <w:jc w:val="left"/>
      </w:pPr>
      <w:rPr>
        <w:rFonts w:ascii="Times New Roman" w:eastAsia="Times New Roman" w:hAnsi="Times New Roman" w:cs="Times New Roman" w:hint="default"/>
        <w:w w:val="100"/>
        <w:sz w:val="19"/>
        <w:szCs w:val="19"/>
        <w:lang w:val="en-US" w:eastAsia="zh-CN" w:bidi="ar-SA"/>
      </w:rPr>
    </w:lvl>
    <w:lvl w:ilvl="4">
      <w:start w:val="0"/>
      <w:numFmt w:val="bullet"/>
      <w:lvlText w:val="•"/>
      <w:lvlJc w:val="left"/>
      <w:pPr>
        <w:ind w:left="4411" w:hanging="318"/>
      </w:pPr>
      <w:rPr>
        <w:rFonts w:hint="default"/>
        <w:lang w:val="en-US" w:eastAsia="zh-CN" w:bidi="ar-SA"/>
      </w:rPr>
    </w:lvl>
    <w:lvl w:ilvl="5">
      <w:start w:val="0"/>
      <w:numFmt w:val="bullet"/>
      <w:lvlText w:val="•"/>
      <w:lvlJc w:val="left"/>
      <w:pPr>
        <w:ind w:left="5577" w:hanging="318"/>
      </w:pPr>
      <w:rPr>
        <w:rFonts w:hint="default"/>
        <w:lang w:val="en-US" w:eastAsia="zh-CN" w:bidi="ar-SA"/>
      </w:rPr>
    </w:lvl>
    <w:lvl w:ilvl="6">
      <w:start w:val="0"/>
      <w:numFmt w:val="bullet"/>
      <w:lvlText w:val="•"/>
      <w:lvlJc w:val="left"/>
      <w:pPr>
        <w:ind w:left="6743" w:hanging="318"/>
      </w:pPr>
      <w:rPr>
        <w:rFonts w:hint="default"/>
        <w:lang w:val="en-US" w:eastAsia="zh-CN" w:bidi="ar-SA"/>
      </w:rPr>
    </w:lvl>
    <w:lvl w:ilvl="7">
      <w:start w:val="0"/>
      <w:numFmt w:val="bullet"/>
      <w:lvlText w:val="•"/>
      <w:lvlJc w:val="left"/>
      <w:pPr>
        <w:ind w:left="7909" w:hanging="318"/>
      </w:pPr>
      <w:rPr>
        <w:rFonts w:hint="default"/>
        <w:lang w:val="en-US" w:eastAsia="zh-CN" w:bidi="ar-SA"/>
      </w:rPr>
    </w:lvl>
    <w:lvl w:ilvl="8">
      <w:start w:val="0"/>
      <w:numFmt w:val="bullet"/>
      <w:lvlText w:val="•"/>
      <w:lvlJc w:val="left"/>
      <w:pPr>
        <w:ind w:left="9074" w:hanging="318"/>
      </w:pPr>
      <w:rPr>
        <w:rFonts w:hint="default"/>
        <w:lang w:val="en-US" w:eastAsia="zh-CN" w:bidi="ar-SA"/>
      </w:rPr>
    </w:lvl>
  </w:abstractNum>
  <w:abstractNum w:abstractNumId="20">
    <w:nsid w:val="7CE962B4"/>
    <w:multiLevelType w:val="hybridMultilevel"/>
    <w:tmpl w:val="00000000"/>
    <w:lvl w:ilvl="0">
      <w:start w:val="0"/>
      <w:numFmt w:val="bullet"/>
      <w:lvlText w:val=""/>
      <w:lvlJc w:val="left"/>
      <w:pPr>
        <w:ind w:left="3636" w:hanging="205"/>
      </w:pPr>
      <w:rPr>
        <w:rFonts w:ascii="Symbol" w:eastAsia="Symbol" w:hAnsi="Symbol" w:cs="Symbol" w:hint="default"/>
        <w:w w:val="99"/>
        <w:sz w:val="28"/>
        <w:szCs w:val="28"/>
        <w:lang w:val="en-US" w:eastAsia="zh-CN" w:bidi="ar-SA"/>
      </w:rPr>
    </w:lvl>
    <w:lvl w:ilvl="1">
      <w:start w:val="0"/>
      <w:numFmt w:val="bullet"/>
      <w:lvlText w:val="•"/>
      <w:lvlJc w:val="left"/>
      <w:pPr>
        <w:ind w:left="4416" w:hanging="205"/>
      </w:pPr>
      <w:rPr>
        <w:rFonts w:hint="default"/>
        <w:lang w:val="en-US" w:eastAsia="zh-CN" w:bidi="ar-SA"/>
      </w:rPr>
    </w:lvl>
    <w:lvl w:ilvl="2">
      <w:start w:val="0"/>
      <w:numFmt w:val="bullet"/>
      <w:lvlText w:val="•"/>
      <w:lvlJc w:val="left"/>
      <w:pPr>
        <w:ind w:left="5193" w:hanging="205"/>
      </w:pPr>
      <w:rPr>
        <w:rFonts w:hint="default"/>
        <w:lang w:val="en-US" w:eastAsia="zh-CN" w:bidi="ar-SA"/>
      </w:rPr>
    </w:lvl>
    <w:lvl w:ilvl="3">
      <w:start w:val="0"/>
      <w:numFmt w:val="bullet"/>
      <w:lvlText w:val="•"/>
      <w:lvlJc w:val="left"/>
      <w:pPr>
        <w:ind w:left="5969" w:hanging="205"/>
      </w:pPr>
      <w:rPr>
        <w:rFonts w:hint="default"/>
        <w:lang w:val="en-US" w:eastAsia="zh-CN" w:bidi="ar-SA"/>
      </w:rPr>
    </w:lvl>
    <w:lvl w:ilvl="4">
      <w:start w:val="0"/>
      <w:numFmt w:val="bullet"/>
      <w:lvlText w:val="•"/>
      <w:lvlJc w:val="left"/>
      <w:pPr>
        <w:ind w:left="6746" w:hanging="205"/>
      </w:pPr>
      <w:rPr>
        <w:rFonts w:hint="default"/>
        <w:lang w:val="en-US" w:eastAsia="zh-CN" w:bidi="ar-SA"/>
      </w:rPr>
    </w:lvl>
    <w:lvl w:ilvl="5">
      <w:start w:val="0"/>
      <w:numFmt w:val="bullet"/>
      <w:lvlText w:val="•"/>
      <w:lvlJc w:val="left"/>
      <w:pPr>
        <w:ind w:left="7523" w:hanging="205"/>
      </w:pPr>
      <w:rPr>
        <w:rFonts w:hint="default"/>
        <w:lang w:val="en-US" w:eastAsia="zh-CN" w:bidi="ar-SA"/>
      </w:rPr>
    </w:lvl>
    <w:lvl w:ilvl="6">
      <w:start w:val="0"/>
      <w:numFmt w:val="bullet"/>
      <w:lvlText w:val="•"/>
      <w:lvlJc w:val="left"/>
      <w:pPr>
        <w:ind w:left="8299" w:hanging="205"/>
      </w:pPr>
      <w:rPr>
        <w:rFonts w:hint="default"/>
        <w:lang w:val="en-US" w:eastAsia="zh-CN" w:bidi="ar-SA"/>
      </w:rPr>
    </w:lvl>
    <w:lvl w:ilvl="7">
      <w:start w:val="0"/>
      <w:numFmt w:val="bullet"/>
      <w:lvlText w:val="•"/>
      <w:lvlJc w:val="left"/>
      <w:pPr>
        <w:ind w:left="9076" w:hanging="205"/>
      </w:pPr>
      <w:rPr>
        <w:rFonts w:hint="default"/>
        <w:lang w:val="en-US" w:eastAsia="zh-CN" w:bidi="ar-SA"/>
      </w:rPr>
    </w:lvl>
    <w:lvl w:ilvl="8">
      <w:start w:val="0"/>
      <w:numFmt w:val="bullet"/>
      <w:lvlText w:val="•"/>
      <w:lvlJc w:val="left"/>
      <w:pPr>
        <w:ind w:left="9853" w:hanging="205"/>
      </w:pPr>
      <w:rPr>
        <w:rFonts w:hint="default"/>
        <w:lang w:val="en-US" w:eastAsia="zh-CN" w:bidi="ar-SA"/>
      </w:rPr>
    </w:lvl>
  </w:abstractNum>
  <w:num w:numId="1">
    <w:abstractNumId w:val="10"/>
  </w:num>
  <w:num w:numId="2">
    <w:abstractNumId w:val="2"/>
  </w:num>
  <w:num w:numId="3">
    <w:abstractNumId w:val="18"/>
  </w:num>
  <w:num w:numId="4">
    <w:abstractNumId w:val="19"/>
  </w:num>
  <w:num w:numId="5">
    <w:abstractNumId w:val="13"/>
  </w:num>
  <w:num w:numId="6">
    <w:abstractNumId w:val="0"/>
  </w:num>
  <w:num w:numId="7">
    <w:abstractNumId w:val="20"/>
  </w:num>
  <w:num w:numId="8">
    <w:abstractNumId w:val="9"/>
  </w:num>
  <w:num w:numId="9">
    <w:abstractNumId w:val="1"/>
  </w:num>
  <w:num w:numId="10">
    <w:abstractNumId w:val="11"/>
  </w:num>
  <w:num w:numId="11">
    <w:abstractNumId w:val="5"/>
  </w:num>
  <w:num w:numId="12">
    <w:abstractNumId w:val="3"/>
  </w:num>
  <w:num w:numId="13">
    <w:abstractNumId w:val="4"/>
  </w:num>
  <w:num w:numId="14">
    <w:abstractNumId w:val="7"/>
  </w:num>
  <w:num w:numId="15">
    <w:abstractNumId w:val="16"/>
  </w:num>
  <w:num w:numId="16">
    <w:abstractNumId w:val="17"/>
  </w:num>
  <w:num w:numId="17">
    <w:abstractNumId w:val="12"/>
  </w:num>
  <w:num w:numId="18">
    <w:abstractNumId w:val="15"/>
  </w:num>
  <w:num w:numId="19">
    <w:abstractNumId w:val="14"/>
  </w:num>
  <w:num w:numId="20">
    <w:abstractNumId w:val="6"/>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5"/>
      <w:ind w:left="300"/>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399"/>
      <w:ind w:left="1160" w:right="854"/>
      <w:jc w:val="center"/>
    </w:pPr>
    <w:rPr>
      <w:rFonts w:ascii="Times New Roman" w:eastAsia="Times New Roman" w:hAnsi="Times New Roman" w:cs="Times New Roman"/>
      <w:b/>
      <w:bCs/>
      <w:sz w:val="96"/>
      <w:szCs w:val="96"/>
      <w:lang w:val="en-US" w:eastAsia="zh-CN" w:bidi="ar-SA"/>
    </w:rPr>
  </w:style>
  <w:style w:type="paragraph" w:styleId="ListParagraph">
    <w:name w:val="List Paragraph"/>
    <w:basedOn w:val="Normal"/>
    <w:uiPriority w:val="1"/>
    <w:qFormat/>
    <w:pPr>
      <w:spacing w:before="43"/>
      <w:ind w:left="2018" w:hanging="414"/>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image" Target="media/image3.png"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header" Target="header22.xml" /><Relationship Id="rId2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header" Target="header25.xml" /><Relationship Id="rId32" Type="http://schemas.openxmlformats.org/officeDocument/2006/relationships/header" Target="header26.xml" /><Relationship Id="rId33" Type="http://schemas.openxmlformats.org/officeDocument/2006/relationships/header" Target="header27.xml" /><Relationship Id="rId34" Type="http://schemas.openxmlformats.org/officeDocument/2006/relationships/header" Target="header28.xml" /><Relationship Id="rId35" Type="http://schemas.openxmlformats.org/officeDocument/2006/relationships/header" Target="header29.xml" /><Relationship Id="rId36" Type="http://schemas.openxmlformats.org/officeDocument/2006/relationships/header" Target="header30.xml" /><Relationship Id="rId37" Type="http://schemas.openxmlformats.org/officeDocument/2006/relationships/header" Target="header31.xml" /><Relationship Id="rId38" Type="http://schemas.openxmlformats.org/officeDocument/2006/relationships/header" Target="header32.xml" /><Relationship Id="rId39" Type="http://schemas.openxmlformats.org/officeDocument/2006/relationships/header" Target="header33.xml" /><Relationship Id="rId4" Type="http://schemas.openxmlformats.org/officeDocument/2006/relationships/image" Target="media/image1.png" /><Relationship Id="rId40" Type="http://schemas.openxmlformats.org/officeDocument/2006/relationships/header" Target="header34.xml" /><Relationship Id="rId41" Type="http://schemas.openxmlformats.org/officeDocument/2006/relationships/header" Target="header35.xml" /><Relationship Id="rId42" Type="http://schemas.openxmlformats.org/officeDocument/2006/relationships/header" Target="header36.xml" /><Relationship Id="rId43" Type="http://schemas.openxmlformats.org/officeDocument/2006/relationships/header" Target="header37.xml" /><Relationship Id="rId44" Type="http://schemas.openxmlformats.org/officeDocument/2006/relationships/hyperlink" Target="https://d.book118.com/357105010032006034" TargetMode="External" /><Relationship Id="rId45" Type="http://schemas.openxmlformats.org/officeDocument/2006/relationships/header" Target="header38.xml" /><Relationship Id="rId46" Type="http://schemas.openxmlformats.org/officeDocument/2006/relationships/header" Target="header39.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2024-01-24T09:08:27Z</dcterms:created>
  <dcterms:modified xsi:type="dcterms:W3CDTF">2024-01-24T09:08:27Z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2018-07-02T00:00:00Z</vt:filetime>
  </property>
  <property fmtid="{D5CDD505-2E9C-101B-9397-08002B2CF9AE}" pid="3" name="Creator">
    <vt:lpwstr>Aspose Ltd.</vt:lpwstr>
  </property>
  <property fmtid="{D5CDD505-2E9C-101B-9397-08002B2CF9AE}" pid="4" name="LastSaved">
    <vt:filetime>2024-01-24T00:00:00Z</vt:filetime>
  </property>
</Properties>
</file>