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0"/>
        <w:spacing w:line="360" w:lineRule="auto"/>
        <w:ind w:firstLine="198" w:firstLineChars="55"/>
        <w:jc w:val="center"/>
        <w:rPr>
          <w:b/>
          <w:sz w:val="36"/>
          <w:szCs w:val="36"/>
        </w:rPr>
      </w:pPr>
      <w:bookmarkStart w:id="0" w:name="_Toc28113"/>
      <w:bookmarkStart w:id="1" w:name="_Toc16819"/>
      <w:bookmarkStart w:id="2" w:name="_Toc24466"/>
      <w:bookmarkStart w:id="3" w:name="_Toc4708"/>
      <w:bookmarkStart w:id="4" w:name="_Toc450553459"/>
      <w:bookmarkStart w:id="5" w:name="_Toc32220"/>
      <w:bookmarkStart w:id="6" w:name="_Toc368842335"/>
      <w:bookmarkStart w:id="7" w:name="_Toc17759"/>
    </w:p>
    <w:p>
      <w:pPr>
        <w:pStyle w:val="p0"/>
        <w:spacing w:line="360" w:lineRule="auto"/>
        <w:jc w:val="center"/>
        <w:rPr>
          <w:rFonts w:ascii="等线" w:eastAsia="等线" w:hAnsi="等线" w:cs="仿宋"/>
          <w:b/>
          <w:bCs/>
          <w:sz w:val="84"/>
          <w:szCs w:val="84"/>
        </w:rPr>
      </w:pPr>
      <w:r>
        <w:rPr>
          <w:rFonts w:ascii="等线" w:eastAsia="等线" w:hAnsi="等线" w:cs="仿宋" w:hint="eastAsia"/>
          <w:b/>
          <w:bCs/>
          <w:sz w:val="84"/>
          <w:szCs w:val="84"/>
          <w:lang w:val="en-US" w:eastAsia="zh-CN"/>
        </w:rPr>
        <w:t>水利施工</w:t>
      </w:r>
      <w:r>
        <w:rPr>
          <w:rFonts w:ascii="等线" w:eastAsia="等线" w:hAnsi="等线" w:cs="仿宋" w:hint="eastAsia"/>
          <w:b/>
          <w:bCs/>
          <w:sz w:val="84"/>
          <w:szCs w:val="84"/>
        </w:rPr>
        <w:t>超标准洪水应急预案</w:t>
      </w:r>
    </w:p>
    <w:p>
      <w:pPr>
        <w:pStyle w:val="p0"/>
        <w:spacing w:line="240" w:lineRule="auto"/>
        <w:jc w:val="center"/>
        <w:rPr>
          <w:lang w:val="zh-CN"/>
        </w:rPr>
      </w:pPr>
    </w:p>
    <w:p>
      <w:pPr>
        <w:pStyle w:val="p0"/>
        <w:spacing w:before="326" w:beforeLines="100" w:line="360" w:lineRule="auto"/>
        <w:jc w:val="center"/>
        <w:rPr>
          <w:lang w:val="zh-CN"/>
        </w:rPr>
      </w:pPr>
    </w:p>
    <w:p>
      <w:pPr>
        <w:rPr>
          <w:rFonts w:hint="eastAsia"/>
          <w:sz w:val="28"/>
          <w:szCs w:val="28"/>
          <w:lang w:eastAsia="zh-CN"/>
        </w:rPr>
      </w:pPr>
    </w:p>
    <w:p>
      <w:pPr>
        <w:pStyle w:val="Heading1"/>
        <w:rPr>
          <w:rFonts w:hint="eastAsia"/>
          <w:sz w:val="28"/>
          <w:szCs w:val="28"/>
        </w:rPr>
      </w:pPr>
    </w:p>
    <w:p>
      <w:pPr>
        <w:rPr>
          <w:rFonts w:hint="eastAsia"/>
          <w:sz w:val="28"/>
          <w:szCs w:val="28"/>
          <w:lang w:eastAsia="zh-CN"/>
        </w:rPr>
      </w:pPr>
    </w:p>
    <w:p>
      <w:pPr>
        <w:pStyle w:val="Heading1"/>
      </w:pPr>
    </w:p>
    <w:p>
      <w:pPr>
        <w:pStyle w:val="52"/>
        <w:ind w:firstLine="562"/>
        <w:jc w:val="center"/>
        <w:rPr>
          <w:rFonts w:cs="宋体" w:hint="eastAsia"/>
          <w:b/>
          <w:color w:val="auto"/>
          <w:sz w:val="28"/>
          <w:szCs w:val="28"/>
          <w:lang w:eastAsia="zh-CN"/>
        </w:rPr>
        <w:sectPr>
          <w:headerReference w:type="even" r:id="rId4"/>
          <w:footerReference w:type="even" r:id="rId5"/>
          <w:footerReference w:type="default" r:id="rId6"/>
          <w:headerReference w:type="first" r:id="rId7"/>
          <w:footerReference w:type="first" r:id="rId8"/>
          <w:pgSz w:w="11906" w:h="16838"/>
          <w:pgMar w:top="1440" w:right="1800" w:bottom="1440" w:left="1800" w:header="567" w:footer="992" w:gutter="0"/>
          <w:pgNumType w:fmt="upperRoman" w:start="1"/>
          <w:cols w:space="708"/>
          <w:docGrid w:type="linesAndChars" w:linePitch="326"/>
        </w:sectPr>
      </w:pPr>
    </w:p>
    <w:p>
      <w:pPr>
        <w:spacing w:before="0" w:beforeLines="0" w:after="0" w:afterLines="0" w:line="240" w:lineRule="auto"/>
        <w:ind w:left="0" w:right="0" w:firstLine="0" w:leftChars="0" w:rightChars="0" w:firstLineChars="0"/>
        <w:jc w:val="center"/>
      </w:pPr>
      <w:r>
        <w:rPr>
          <w:rFonts w:ascii="宋体" w:eastAsia="宋体" w:hAnsi="宋体"/>
          <w:sz w:val="21"/>
        </w:rPr>
        <w:t>目录</w:t>
      </w:r>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r>
        <w:rPr>
          <w:rFonts w:ascii="宋体" w:eastAsia="宋体" w:hAnsi="宋体" w:cs="宋体" w:hint="eastAsia"/>
          <w:b w:val="0"/>
          <w:bCs/>
          <w:i w:val="0"/>
          <w:iCs w:val="0"/>
          <w:color w:val="FF0000"/>
          <w:sz w:val="24"/>
          <w:szCs w:val="24"/>
          <w:lang w:eastAsia="zh-CN"/>
        </w:rPr>
        <w:fldChar w:fldCharType="begin"/>
      </w:r>
      <w:r>
        <w:rPr>
          <w:rFonts w:ascii="宋体" w:eastAsia="宋体" w:hAnsi="宋体" w:cs="宋体" w:hint="eastAsia"/>
          <w:b w:val="0"/>
          <w:bCs/>
          <w:i w:val="0"/>
          <w:iCs w:val="0"/>
          <w:color w:val="FF0000"/>
          <w:sz w:val="24"/>
          <w:szCs w:val="24"/>
          <w:lang w:eastAsia="zh-CN"/>
        </w:rPr>
        <w:instrText xml:space="preserve">TOC \o "1-3" \h \u </w:instrText>
      </w:r>
      <w:r>
        <w:rPr>
          <w:rFonts w:ascii="宋体" w:eastAsia="宋体" w:hAnsi="宋体" w:cs="宋体" w:hint="eastAsia"/>
          <w:b w:val="0"/>
          <w:bCs/>
          <w:i w:val="0"/>
          <w:iCs w:val="0"/>
          <w:color w:val="FF0000"/>
          <w:sz w:val="24"/>
          <w:szCs w:val="24"/>
          <w:lang w:eastAsia="zh-CN"/>
        </w:rPr>
        <w:fldChar w:fldCharType="separate"/>
      </w:r>
      <w:hyperlink w:anchor="_Toc25270" w:history="1">
        <w:r>
          <w:rPr>
            <w:rFonts w:ascii="宋体" w:eastAsia="宋体" w:hAnsi="宋体" w:cs="宋体" w:hint="eastAsia"/>
            <w:b w:val="0"/>
            <w:bCs/>
            <w:i w:val="0"/>
            <w:iCs w:val="0"/>
            <w:sz w:val="24"/>
            <w:szCs w:val="24"/>
          </w:rPr>
          <w:t>1 编制原则、目的</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_Toc25270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910" w:history="1">
        <w:r>
          <w:rPr>
            <w:rFonts w:ascii="宋体" w:eastAsia="宋体" w:hAnsi="宋体" w:cs="宋体" w:hint="eastAsia"/>
            <w:b w:val="0"/>
            <w:bCs/>
            <w:i w:val="0"/>
            <w:iCs w:val="0"/>
            <w:sz w:val="24"/>
            <w:szCs w:val="24"/>
          </w:rPr>
          <w:t>1.1 编制原则</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_Toc2910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9775" w:history="1">
        <w:r>
          <w:rPr>
            <w:rFonts w:ascii="宋体" w:eastAsia="宋体" w:hAnsi="宋体" w:cs="宋体" w:hint="eastAsia"/>
            <w:b w:val="0"/>
            <w:bCs/>
            <w:i w:val="0"/>
            <w:iCs w:val="0"/>
            <w:sz w:val="24"/>
            <w:szCs w:val="24"/>
          </w:rPr>
          <w:t>1.2 编制依据</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_Toc29775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3169" w:history="1">
        <w:r>
          <w:rPr>
            <w:rFonts w:ascii="宋体" w:eastAsia="宋体" w:hAnsi="宋体" w:cs="宋体" w:hint="eastAsia"/>
            <w:b w:val="0"/>
            <w:bCs/>
            <w:i w:val="0"/>
            <w:iCs w:val="0"/>
            <w:sz w:val="24"/>
            <w:szCs w:val="24"/>
          </w:rPr>
          <w:t>1.3 编制目的</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_Toc13169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4</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4604" w:history="1">
        <w:r>
          <w:rPr>
            <w:rFonts w:ascii="宋体" w:eastAsia="宋体" w:hAnsi="宋体" w:cs="宋体" w:hint="eastAsia"/>
            <w:b w:val="0"/>
            <w:bCs/>
            <w:i w:val="0"/>
            <w:iCs w:val="0"/>
            <w:sz w:val="24"/>
            <w:szCs w:val="24"/>
          </w:rPr>
          <w:t>1.4 适用范围</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_Toc24604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4</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1530" w:history="1">
        <w:r>
          <w:rPr>
            <w:rFonts w:ascii="宋体" w:eastAsia="宋体" w:hAnsi="宋体" w:cs="宋体" w:hint="eastAsia"/>
            <w:b w:val="0"/>
            <w:bCs/>
            <w:i w:val="0"/>
            <w:iCs w:val="0"/>
            <w:sz w:val="24"/>
            <w:szCs w:val="24"/>
          </w:rPr>
          <w:t>2 工程概况</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_Toc21530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4</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8593" w:history="1">
        <w:r>
          <w:rPr>
            <w:rFonts w:ascii="宋体" w:eastAsia="宋体" w:hAnsi="宋体" w:cs="宋体" w:hint="eastAsia"/>
            <w:b w:val="0"/>
            <w:bCs/>
            <w:i w:val="0"/>
            <w:iCs w:val="0"/>
            <w:sz w:val="24"/>
            <w:szCs w:val="24"/>
          </w:rPr>
          <w:t>2.</w:t>
        </w:r>
        <w:r>
          <w:rPr>
            <w:rFonts w:ascii="宋体" w:eastAsia="宋体" w:hAnsi="宋体" w:cs="宋体" w:hint="eastAsia"/>
            <w:b w:val="0"/>
            <w:bCs/>
            <w:i w:val="0"/>
            <w:iCs w:val="0"/>
            <w:sz w:val="24"/>
            <w:szCs w:val="24"/>
            <w:lang w:val="en-US" w:eastAsia="zh-CN"/>
          </w:rPr>
          <w:t>1</w:t>
        </w:r>
        <w:r>
          <w:rPr>
            <w:rFonts w:ascii="宋体" w:eastAsia="宋体" w:hAnsi="宋体" w:cs="宋体" w:hint="eastAsia"/>
            <w:b w:val="0"/>
            <w:bCs/>
            <w:i w:val="0"/>
            <w:iCs w:val="0"/>
            <w:sz w:val="24"/>
            <w:szCs w:val="24"/>
          </w:rPr>
          <w:t xml:space="preserve"> 流域概况</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_Toc8593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4</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3956" w:history="1">
        <w:r>
          <w:rPr>
            <w:rFonts w:ascii="宋体" w:eastAsia="宋体" w:hAnsi="宋体" w:cs="宋体" w:hint="eastAsia"/>
            <w:b w:val="0"/>
            <w:bCs/>
            <w:i w:val="0"/>
            <w:iCs w:val="0"/>
            <w:sz w:val="24"/>
            <w:szCs w:val="24"/>
          </w:rPr>
          <w:t>2.2.1地形地貌</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_Toc13956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4</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1140" w:history="1">
        <w:r>
          <w:rPr>
            <w:rFonts w:ascii="宋体" w:eastAsia="宋体" w:hAnsi="宋体" w:cs="宋体" w:hint="eastAsia"/>
            <w:b w:val="0"/>
            <w:bCs/>
            <w:i w:val="0"/>
            <w:iCs w:val="0"/>
            <w:sz w:val="24"/>
            <w:szCs w:val="24"/>
          </w:rPr>
          <w:t>2.2.2水文气象</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_Toc21140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4</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3532" w:history="1">
        <w:r>
          <w:rPr>
            <w:rFonts w:ascii="宋体" w:eastAsia="宋体" w:hAnsi="宋体" w:cs="宋体" w:hint="eastAsia"/>
            <w:b w:val="0"/>
            <w:bCs/>
            <w:i w:val="0"/>
            <w:iCs w:val="0"/>
            <w:sz w:val="24"/>
            <w:szCs w:val="24"/>
          </w:rPr>
          <w:t>2.3 超标洪水防御标准</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_Toc13532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5</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1774" w:history="1">
        <w:r>
          <w:rPr>
            <w:rFonts w:ascii="宋体" w:eastAsia="宋体" w:hAnsi="宋体" w:cs="宋体" w:hint="eastAsia"/>
            <w:b w:val="0"/>
            <w:bCs/>
            <w:i w:val="0"/>
            <w:iCs w:val="0"/>
            <w:sz w:val="24"/>
            <w:szCs w:val="24"/>
          </w:rPr>
          <w:t>2.3.1汛期时</w:t>
        </w:r>
        <w:r>
          <w:rPr>
            <w:rFonts w:ascii="宋体" w:eastAsia="宋体" w:hAnsi="宋体" w:cs="宋体" w:hint="eastAsia"/>
            <w:b w:val="0"/>
            <w:bCs/>
            <w:i w:val="0"/>
            <w:iCs w:val="0"/>
            <w:sz w:val="24"/>
            <w:szCs w:val="24"/>
            <w:highlight w:val="none"/>
          </w:rPr>
          <w:t>间</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_Toc21774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5</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8206" w:history="1">
        <w:r>
          <w:rPr>
            <w:rFonts w:ascii="宋体" w:eastAsia="宋体" w:hAnsi="宋体" w:cs="宋体" w:hint="eastAsia"/>
            <w:b w:val="0"/>
            <w:bCs/>
            <w:i w:val="0"/>
            <w:iCs w:val="0"/>
            <w:sz w:val="24"/>
            <w:szCs w:val="24"/>
            <w:highlight w:val="none"/>
          </w:rPr>
          <w:t>2.3.2 防洪标准</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_Toc8206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6</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31289" w:history="1">
        <w:r>
          <w:rPr>
            <w:rFonts w:ascii="宋体" w:eastAsia="宋体" w:hAnsi="宋体" w:cs="宋体" w:hint="eastAsia"/>
            <w:b w:val="0"/>
            <w:bCs/>
            <w:i w:val="0"/>
            <w:iCs w:val="0"/>
            <w:sz w:val="24"/>
            <w:szCs w:val="24"/>
          </w:rPr>
          <w:t>2.3.3 防洪要求</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_Toc31289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6</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6485" w:history="1">
        <w:r>
          <w:rPr>
            <w:rFonts w:ascii="宋体" w:eastAsia="宋体" w:hAnsi="宋体" w:cs="宋体" w:hint="eastAsia"/>
            <w:b w:val="0"/>
            <w:bCs/>
            <w:i w:val="0"/>
            <w:iCs w:val="0"/>
            <w:sz w:val="24"/>
            <w:szCs w:val="24"/>
          </w:rPr>
          <w:t>3风险分析</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_Toc16485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6</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7498" w:history="1">
        <w:r>
          <w:rPr>
            <w:rFonts w:ascii="宋体" w:eastAsia="宋体" w:hAnsi="宋体" w:cs="宋体" w:hint="eastAsia"/>
            <w:b w:val="0"/>
            <w:bCs/>
            <w:i w:val="0"/>
            <w:iCs w:val="0"/>
            <w:sz w:val="24"/>
            <w:szCs w:val="24"/>
          </w:rPr>
          <w:t>3.1 主要风险分析</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_Toc7498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6</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2302" w:history="1">
        <w:r>
          <w:rPr>
            <w:rFonts w:ascii="宋体" w:eastAsia="宋体" w:hAnsi="宋体" w:cs="宋体" w:hint="eastAsia"/>
            <w:b w:val="0"/>
            <w:bCs/>
            <w:i w:val="0"/>
            <w:iCs w:val="0"/>
            <w:sz w:val="24"/>
            <w:szCs w:val="24"/>
          </w:rPr>
          <w:t>3.2 应急措施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_Toc12302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8</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5212" w:history="1">
        <w:r>
          <w:rPr>
            <w:rFonts w:ascii="宋体" w:eastAsia="宋体" w:hAnsi="宋体" w:cs="宋体" w:hint="eastAsia"/>
            <w:b w:val="0"/>
            <w:bCs/>
            <w:i w:val="0"/>
            <w:iCs w:val="0"/>
            <w:sz w:val="24"/>
            <w:szCs w:val="24"/>
          </w:rPr>
          <w:t>3.2.1 门式起重机损毁应急措施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_Toc5212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8</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743" w:history="1">
        <w:r>
          <w:rPr>
            <w:rFonts w:ascii="宋体" w:eastAsia="宋体" w:hAnsi="宋体" w:cs="宋体" w:hint="eastAsia"/>
            <w:b w:val="0"/>
            <w:bCs/>
            <w:i w:val="0"/>
            <w:iCs w:val="0"/>
            <w:sz w:val="24"/>
            <w:szCs w:val="24"/>
          </w:rPr>
          <w:t>3.2.2 房屋设施受损应急措施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_Toc1743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9</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2750" w:history="1">
        <w:r>
          <w:rPr>
            <w:rFonts w:ascii="宋体" w:eastAsia="宋体" w:hAnsi="宋体" w:cs="宋体" w:hint="eastAsia"/>
            <w:b w:val="0"/>
            <w:bCs/>
            <w:i w:val="0"/>
            <w:iCs w:val="0"/>
            <w:sz w:val="24"/>
            <w:szCs w:val="24"/>
          </w:rPr>
          <w:t>3.2.3 基坑积水应急措施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_Toc12750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9</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8554" w:history="1">
        <w:r>
          <w:rPr>
            <w:rFonts w:ascii="宋体" w:eastAsia="宋体" w:hAnsi="宋体" w:cs="宋体" w:hint="eastAsia"/>
            <w:b w:val="0"/>
            <w:bCs/>
            <w:i w:val="0"/>
            <w:iCs w:val="0"/>
            <w:sz w:val="24"/>
            <w:szCs w:val="24"/>
          </w:rPr>
          <w:t>3.2.4 涌水涌砂应急措施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_Toc18554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9</w:t>
        </w:r>
        <w:r>
          <w:rPr>
            <w:rFonts w:ascii="宋体" w:eastAsia="宋体" w:hAnsi="宋体" w:cs="宋体" w:hint="eastAsia"/>
            <w:b w:val="0"/>
            <w:bCs/>
            <w:i w:val="0"/>
            <w:iCs w:val="0"/>
            <w:sz w:val="24"/>
            <w:szCs w:val="24"/>
          </w:rPr>
          <w:fldChar w:fldCharType="end"/>
        </w:r>
      </w:hyperlink>
    </w:p>
    <w:p>
      <w:pPr>
        <w:pStyle w:val="TOC3"/>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8559" w:history="1">
        <w:r>
          <w:rPr>
            <w:rFonts w:ascii="宋体" w:eastAsia="宋体" w:hAnsi="宋体" w:cs="宋体" w:hint="eastAsia"/>
            <w:b w:val="0"/>
            <w:bCs/>
            <w:i w:val="0"/>
            <w:iCs w:val="0"/>
            <w:sz w:val="24"/>
            <w:szCs w:val="24"/>
          </w:rPr>
          <w:t>3.2.5 基坑坍塌应急措施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_Toc8559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9</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1465" w:history="1">
        <w:r>
          <w:rPr>
            <w:rFonts w:ascii="宋体" w:eastAsia="宋体" w:hAnsi="宋体" w:cs="宋体" w:hint="eastAsia"/>
            <w:b w:val="0"/>
            <w:bCs/>
            <w:i w:val="0"/>
            <w:iCs w:val="0"/>
            <w:sz w:val="24"/>
            <w:szCs w:val="24"/>
          </w:rPr>
          <w:t>4 应急组织机构及职责</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_Toc21465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11</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091" w:history="1">
        <w:r>
          <w:rPr>
            <w:rFonts w:ascii="宋体" w:eastAsia="宋体" w:hAnsi="宋体" w:cs="宋体" w:hint="eastAsia"/>
            <w:b w:val="0"/>
            <w:bCs/>
            <w:i w:val="0"/>
            <w:iCs w:val="0"/>
            <w:sz w:val="24"/>
            <w:szCs w:val="24"/>
          </w:rPr>
          <w:t>4.1 应急组织机构</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_Toc2091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11</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5920" w:history="1">
        <w:r>
          <w:rPr>
            <w:rFonts w:ascii="宋体" w:eastAsia="宋体" w:hAnsi="宋体" w:cs="宋体" w:hint="eastAsia"/>
            <w:b w:val="0"/>
            <w:bCs/>
            <w:i w:val="0"/>
            <w:iCs w:val="0"/>
            <w:sz w:val="24"/>
            <w:szCs w:val="24"/>
          </w:rPr>
          <w:t>4.2 工作组职责</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_Toc15920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11</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6929" w:history="1">
        <w:r>
          <w:rPr>
            <w:rFonts w:ascii="宋体" w:eastAsia="宋体" w:hAnsi="宋体" w:cs="宋体" w:hint="eastAsia"/>
            <w:b w:val="0"/>
            <w:bCs/>
            <w:i w:val="0"/>
            <w:iCs w:val="0"/>
            <w:sz w:val="24"/>
            <w:szCs w:val="24"/>
          </w:rPr>
          <w:t>5 预防措施</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_Toc16929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13</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0112" w:history="1">
        <w:r>
          <w:rPr>
            <w:rFonts w:ascii="宋体" w:eastAsia="宋体" w:hAnsi="宋体" w:cs="宋体" w:hint="eastAsia"/>
            <w:b w:val="0"/>
            <w:bCs/>
            <w:i w:val="0"/>
            <w:iCs w:val="0"/>
            <w:sz w:val="24"/>
            <w:szCs w:val="24"/>
          </w:rPr>
          <w:t>6预警机制</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_Toc10112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14</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4909" w:history="1">
        <w:r>
          <w:rPr>
            <w:rFonts w:ascii="宋体" w:eastAsia="宋体" w:hAnsi="宋体" w:cs="宋体" w:hint="eastAsia"/>
            <w:b w:val="0"/>
            <w:bCs/>
            <w:i w:val="0"/>
            <w:iCs w:val="0"/>
            <w:sz w:val="24"/>
            <w:szCs w:val="24"/>
          </w:rPr>
          <w:t>6.1 预警信息</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_Toc14909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14</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3871" w:history="1">
        <w:r>
          <w:rPr>
            <w:rFonts w:ascii="宋体" w:eastAsia="宋体" w:hAnsi="宋体" w:cs="宋体" w:hint="eastAsia"/>
            <w:b w:val="0"/>
            <w:bCs/>
            <w:i w:val="0"/>
            <w:iCs w:val="0"/>
            <w:sz w:val="24"/>
            <w:szCs w:val="24"/>
          </w:rPr>
          <w:t>6.2 报警、接警、处警</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_Toc13871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15</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8619" w:history="1">
        <w:r>
          <w:rPr>
            <w:rFonts w:ascii="宋体" w:eastAsia="宋体" w:hAnsi="宋体" w:cs="宋体" w:hint="eastAsia"/>
            <w:b w:val="0"/>
            <w:bCs/>
            <w:i w:val="0"/>
            <w:iCs w:val="0"/>
            <w:sz w:val="24"/>
            <w:szCs w:val="24"/>
          </w:rPr>
          <w:t>6.3 预警准备</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_Toc28619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15</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7375" w:history="1">
        <w:r>
          <w:rPr>
            <w:rFonts w:ascii="宋体" w:eastAsia="宋体" w:hAnsi="宋体" w:cs="宋体" w:hint="eastAsia"/>
            <w:b w:val="0"/>
            <w:bCs/>
            <w:i w:val="0"/>
            <w:iCs w:val="0"/>
            <w:sz w:val="24"/>
            <w:szCs w:val="24"/>
          </w:rPr>
          <w:t>6.4 超标洪水预警</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_Toc7375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15</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8621" w:history="1">
        <w:r>
          <w:rPr>
            <w:rFonts w:ascii="宋体" w:eastAsia="宋体" w:hAnsi="宋体" w:cs="宋体" w:hint="eastAsia"/>
            <w:b w:val="0"/>
            <w:bCs/>
            <w:i w:val="0"/>
            <w:iCs w:val="0"/>
            <w:sz w:val="24"/>
            <w:szCs w:val="24"/>
          </w:rPr>
          <w:t>7 应急响应</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_Toc8621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16</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5351" w:history="1">
        <w:r>
          <w:rPr>
            <w:rFonts w:ascii="宋体" w:eastAsia="宋体" w:hAnsi="宋体" w:cs="宋体" w:hint="eastAsia"/>
            <w:b w:val="0"/>
            <w:bCs/>
            <w:i w:val="0"/>
            <w:iCs w:val="0"/>
            <w:sz w:val="24"/>
            <w:szCs w:val="24"/>
          </w:rPr>
          <w:t>7.1 总体要求</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_Toc25351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16</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5131" w:history="1">
        <w:r>
          <w:rPr>
            <w:rFonts w:ascii="宋体" w:eastAsia="宋体" w:hAnsi="宋体" w:cs="宋体" w:hint="eastAsia"/>
            <w:b w:val="0"/>
            <w:bCs/>
            <w:i w:val="0"/>
            <w:iCs w:val="0"/>
            <w:sz w:val="24"/>
            <w:szCs w:val="24"/>
          </w:rPr>
          <w:t>7.2 信息报送</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_Toc5131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16</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3047" w:history="1">
        <w:r>
          <w:rPr>
            <w:rFonts w:ascii="宋体" w:eastAsia="宋体" w:hAnsi="宋体" w:cs="宋体" w:hint="eastAsia"/>
            <w:b w:val="0"/>
            <w:bCs/>
            <w:i w:val="0"/>
            <w:iCs w:val="0"/>
            <w:sz w:val="24"/>
            <w:szCs w:val="24"/>
          </w:rPr>
          <w:t>7.3 应急响应</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_Toc13047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17</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9641" w:history="1">
        <w:r>
          <w:rPr>
            <w:rFonts w:ascii="宋体" w:eastAsia="宋体" w:hAnsi="宋体" w:cs="宋体" w:hint="eastAsia"/>
            <w:b w:val="0"/>
            <w:bCs/>
            <w:i w:val="0"/>
            <w:iCs w:val="0"/>
            <w:sz w:val="24"/>
            <w:szCs w:val="24"/>
          </w:rPr>
          <w:t>7.4 应急响应安全防护</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_Toc19641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18</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3966" w:history="1">
        <w:r>
          <w:rPr>
            <w:rFonts w:ascii="宋体" w:eastAsia="宋体" w:hAnsi="宋体" w:cs="宋体" w:hint="eastAsia"/>
            <w:b w:val="0"/>
            <w:bCs/>
            <w:i w:val="0"/>
            <w:iCs w:val="0"/>
            <w:sz w:val="24"/>
            <w:szCs w:val="24"/>
          </w:rPr>
          <w:t>7.5 先期处置</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_Toc13966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18</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sectPr>
          <w:headerReference w:type="even" r:id="rId9"/>
          <w:footerReference w:type="even" r:id="rId10"/>
          <w:footerReference w:type="default" r:id="rId11"/>
          <w:headerReference w:type="first" r:id="rId12"/>
          <w:footerReference w:type="first" r:id="rId13"/>
          <w:type w:val="nextPage"/>
          <w:pgSz w:w="11906" w:h="16838"/>
          <w:pgMar w:top="1440" w:right="1800" w:bottom="1440" w:left="1800" w:header="567" w:footer="992" w:gutter="0"/>
          <w:pgNumType w:fmt="upperRoman" w:start="1"/>
          <w:cols w:space="708"/>
          <w:titlePg w:val="0"/>
          <w:docGrid w:type="linesAndChars" w:linePitch="326"/>
        </w:sectPr>
      </w:pPr>
      <w:hyperlink w:anchor="_Toc17326" w:history="1">
        <w:r>
          <w:rPr>
            <w:rFonts w:ascii="宋体" w:eastAsia="宋体" w:hAnsi="宋体" w:cs="宋体" w:hint="eastAsia"/>
            <w:b w:val="0"/>
            <w:bCs/>
            <w:i w:val="0"/>
            <w:iCs w:val="0"/>
            <w:sz w:val="24"/>
            <w:szCs w:val="24"/>
          </w:rPr>
          <w:t>7.6扩大应急</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_Toc17326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19</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1426" w:history="1">
        <w:r>
          <w:rPr>
            <w:rFonts w:ascii="宋体" w:eastAsia="宋体" w:hAnsi="宋体" w:cs="宋体" w:hint="eastAsia"/>
            <w:b w:val="0"/>
            <w:bCs/>
            <w:i w:val="0"/>
            <w:iCs w:val="0"/>
            <w:sz w:val="24"/>
            <w:szCs w:val="24"/>
          </w:rPr>
          <w:t>7.7应急事故上报</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_Toc11426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19</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2344" w:history="1">
        <w:r>
          <w:rPr>
            <w:rFonts w:ascii="宋体" w:eastAsia="宋体" w:hAnsi="宋体" w:cs="宋体" w:hint="eastAsia"/>
            <w:b w:val="0"/>
            <w:bCs/>
            <w:i w:val="0"/>
            <w:iCs w:val="0"/>
            <w:sz w:val="24"/>
            <w:szCs w:val="24"/>
          </w:rPr>
          <w:t>7.8信息公开</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_Toc12344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22</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3509" w:history="1">
        <w:r>
          <w:rPr>
            <w:rFonts w:ascii="宋体" w:eastAsia="宋体" w:hAnsi="宋体" w:cs="宋体" w:hint="eastAsia"/>
            <w:b w:val="0"/>
            <w:bCs/>
            <w:i w:val="0"/>
            <w:iCs w:val="0"/>
            <w:sz w:val="24"/>
            <w:szCs w:val="24"/>
          </w:rPr>
          <w:t>7.9应急结束</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_Toc23509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22</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8404" w:history="1">
        <w:r>
          <w:rPr>
            <w:rFonts w:ascii="宋体" w:eastAsia="宋体" w:hAnsi="宋体" w:cs="宋体" w:hint="eastAsia"/>
            <w:b w:val="0"/>
            <w:bCs/>
            <w:i w:val="0"/>
            <w:iCs w:val="0"/>
            <w:sz w:val="24"/>
            <w:szCs w:val="24"/>
          </w:rPr>
          <w:t>8 善后处置</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_Toc8404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31109" w:history="1">
        <w:r>
          <w:rPr>
            <w:rFonts w:ascii="宋体" w:eastAsia="宋体" w:hAnsi="宋体" w:cs="宋体" w:hint="eastAsia"/>
            <w:b w:val="0"/>
            <w:bCs/>
            <w:i w:val="0"/>
            <w:iCs w:val="0"/>
            <w:sz w:val="24"/>
            <w:szCs w:val="24"/>
          </w:rPr>
          <w:t>8.1事故善后工作</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_Toc31109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5064" w:history="1">
        <w:r>
          <w:rPr>
            <w:rFonts w:ascii="宋体" w:eastAsia="宋体" w:hAnsi="宋体" w:cs="宋体" w:hint="eastAsia"/>
            <w:b w:val="0"/>
            <w:bCs/>
            <w:i w:val="0"/>
            <w:iCs w:val="0"/>
            <w:sz w:val="24"/>
            <w:szCs w:val="24"/>
          </w:rPr>
          <w:t>8.2保险理赔工作</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_Toc15064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3418" w:history="1">
        <w:r>
          <w:rPr>
            <w:rFonts w:ascii="宋体" w:eastAsia="宋体" w:hAnsi="宋体" w:cs="宋体" w:hint="eastAsia"/>
            <w:b w:val="0"/>
            <w:bCs/>
            <w:i w:val="0"/>
            <w:iCs w:val="0"/>
            <w:sz w:val="24"/>
            <w:szCs w:val="24"/>
          </w:rPr>
          <w:t>8.3生产秩序恢复</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_Toc3418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0318" w:history="1">
        <w:r>
          <w:rPr>
            <w:rFonts w:ascii="宋体" w:eastAsia="宋体" w:hAnsi="宋体" w:cs="宋体" w:hint="eastAsia"/>
            <w:b w:val="0"/>
            <w:bCs/>
            <w:i w:val="0"/>
            <w:iCs w:val="0"/>
            <w:sz w:val="24"/>
            <w:szCs w:val="24"/>
          </w:rPr>
          <w:t>8.4污染物处理及生态环境恢复</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_Toc10318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4116" w:history="1">
        <w:r>
          <w:rPr>
            <w:rFonts w:ascii="宋体" w:eastAsia="宋体" w:hAnsi="宋体" w:cs="宋体" w:hint="eastAsia"/>
            <w:b w:val="0"/>
            <w:bCs/>
            <w:i w:val="0"/>
            <w:iCs w:val="0"/>
            <w:sz w:val="24"/>
            <w:szCs w:val="24"/>
          </w:rPr>
          <w:t>8.5事故调查</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_Toc24116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23</w:t>
        </w:r>
        <w:r>
          <w:rPr>
            <w:rFonts w:ascii="宋体" w:eastAsia="宋体" w:hAnsi="宋体" w:cs="宋体" w:hint="eastAsia"/>
            <w:b w:val="0"/>
            <w:bCs/>
            <w:i w:val="0"/>
            <w:iCs w:val="0"/>
            <w:sz w:val="24"/>
            <w:szCs w:val="24"/>
          </w:rPr>
          <w:fldChar w:fldCharType="end"/>
        </w:r>
      </w:hyperlink>
    </w:p>
    <w:p>
      <w:pPr>
        <w:pStyle w:val="TOC2"/>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11691" w:history="1">
        <w:r>
          <w:rPr>
            <w:rFonts w:ascii="宋体" w:eastAsia="宋体" w:hAnsi="宋体" w:cs="宋体" w:hint="eastAsia"/>
            <w:b w:val="0"/>
            <w:bCs/>
            <w:i w:val="0"/>
            <w:iCs w:val="0"/>
            <w:sz w:val="24"/>
            <w:szCs w:val="24"/>
          </w:rPr>
          <w:t>8.6应急处置评估与考核</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_Toc11691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24</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7039" w:history="1">
        <w:r>
          <w:rPr>
            <w:rFonts w:ascii="宋体" w:eastAsia="宋体" w:hAnsi="宋体" w:cs="宋体" w:hint="eastAsia"/>
            <w:b w:val="0"/>
            <w:bCs/>
            <w:i w:val="0"/>
            <w:iCs w:val="0"/>
            <w:sz w:val="24"/>
            <w:szCs w:val="24"/>
          </w:rPr>
          <w:t>9 应急保障</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_Toc7039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24</w:t>
        </w:r>
        <w:r>
          <w:rPr>
            <w:rFonts w:ascii="宋体" w:eastAsia="宋体" w:hAnsi="宋体" w:cs="宋体" w:hint="eastAsia"/>
            <w:b w:val="0"/>
            <w:bCs/>
            <w:i w:val="0"/>
            <w:iCs w:val="0"/>
            <w:sz w:val="24"/>
            <w:szCs w:val="24"/>
          </w:rPr>
          <w:fldChar w:fldCharType="end"/>
        </w:r>
      </w:hyperlink>
    </w:p>
    <w:p>
      <w:pPr>
        <w:pStyle w:val="TOC1"/>
        <w:keepNext w:val="0"/>
        <w:keepLines w:val="0"/>
        <w:pageBreakBefore w:val="0"/>
        <w:widowControl/>
        <w:tabs>
          <w:tab w:val="right" w:leader="dot" w:pos="8306"/>
          <w:tab w:val="clear" w:pos="8777"/>
        </w:tabs>
        <w:kinsoku/>
        <w:wordWrap/>
        <w:overflowPunct/>
        <w:topLinePunct w:val="0"/>
        <w:autoSpaceDE/>
        <w:autoSpaceDN/>
        <w:bidi w:val="0"/>
        <w:adjustRightInd/>
        <w:snapToGrid/>
        <w:spacing w:line="240" w:lineRule="auto"/>
        <w:textAlignment w:val="auto"/>
        <w:rPr>
          <w:rFonts w:ascii="宋体" w:eastAsia="宋体" w:hAnsi="宋体" w:cs="宋体" w:hint="eastAsia"/>
          <w:b w:val="0"/>
          <w:bCs/>
          <w:i w:val="0"/>
          <w:iCs w:val="0"/>
          <w:sz w:val="24"/>
          <w:szCs w:val="24"/>
        </w:rPr>
      </w:pPr>
      <w:hyperlink w:anchor="_Toc28235" w:history="1">
        <w:r>
          <w:rPr>
            <w:rFonts w:ascii="宋体" w:eastAsia="宋体" w:hAnsi="宋体" w:cs="宋体" w:hint="eastAsia"/>
            <w:b w:val="0"/>
            <w:bCs/>
            <w:i w:val="0"/>
            <w:iCs w:val="0"/>
            <w:sz w:val="24"/>
            <w:szCs w:val="24"/>
          </w:rPr>
          <w:t>10 培训及演练</w:t>
        </w:r>
        <w:r>
          <w:rPr>
            <w:rFonts w:ascii="宋体" w:eastAsia="宋体" w:hAnsi="宋体" w:cs="宋体" w:hint="eastAsia"/>
            <w:b w:val="0"/>
            <w:bCs/>
            <w:i w:val="0"/>
            <w:iCs w:val="0"/>
            <w:sz w:val="24"/>
            <w:szCs w:val="24"/>
          </w:rPr>
          <w:tab/>
        </w:r>
        <w:r>
          <w:rPr>
            <w:rFonts w:ascii="宋体" w:eastAsia="宋体" w:hAnsi="宋体" w:cs="宋体" w:hint="eastAsia"/>
            <w:b w:val="0"/>
            <w:bCs/>
            <w:i w:val="0"/>
            <w:iCs w:val="0"/>
            <w:sz w:val="24"/>
            <w:szCs w:val="24"/>
          </w:rPr>
          <w:fldChar w:fldCharType="begin"/>
        </w:r>
        <w:r>
          <w:rPr>
            <w:rFonts w:ascii="宋体" w:eastAsia="宋体" w:hAnsi="宋体" w:cs="宋体" w:hint="eastAsia"/>
            <w:b w:val="0"/>
            <w:bCs/>
            <w:i w:val="0"/>
            <w:iCs w:val="0"/>
            <w:sz w:val="24"/>
            <w:szCs w:val="24"/>
          </w:rPr>
          <w:instrText xml:space="preserve"> PAGEREF _Toc28235 \h </w:instrText>
        </w:r>
        <w:r>
          <w:rPr>
            <w:rFonts w:ascii="宋体" w:eastAsia="宋体" w:hAnsi="宋体" w:cs="宋体" w:hint="eastAsia"/>
            <w:b w:val="0"/>
            <w:bCs/>
            <w:i w:val="0"/>
            <w:iCs w:val="0"/>
            <w:sz w:val="24"/>
            <w:szCs w:val="24"/>
          </w:rPr>
          <w:fldChar w:fldCharType="separate"/>
        </w:r>
        <w:r>
          <w:rPr>
            <w:rFonts w:ascii="宋体" w:eastAsia="宋体" w:hAnsi="宋体" w:cs="宋体" w:hint="eastAsia"/>
            <w:b w:val="0"/>
            <w:bCs/>
            <w:i w:val="0"/>
            <w:iCs w:val="0"/>
            <w:sz w:val="24"/>
            <w:szCs w:val="24"/>
          </w:rPr>
          <w:t>26</w:t>
        </w:r>
        <w:r>
          <w:rPr>
            <w:rFonts w:ascii="宋体" w:eastAsia="宋体" w:hAnsi="宋体" w:cs="宋体" w:hint="eastAsia"/>
            <w:b w:val="0"/>
            <w:bCs/>
            <w:i w:val="0"/>
            <w:iCs w:val="0"/>
            <w:sz w:val="24"/>
            <w:szCs w:val="24"/>
          </w:rPr>
          <w:fldChar w:fldCharType="end"/>
        </w:r>
      </w:hyperlink>
    </w:p>
    <w:p>
      <w:pPr>
        <w:pStyle w:val="52"/>
        <w:keepNext w:val="0"/>
        <w:keepLines w:val="0"/>
        <w:pageBreakBefore w:val="0"/>
        <w:widowControl/>
        <w:kinsoku/>
        <w:wordWrap/>
        <w:overflowPunct/>
        <w:topLinePunct w:val="0"/>
        <w:autoSpaceDE/>
        <w:autoSpaceDN/>
        <w:bidi w:val="0"/>
        <w:adjustRightInd/>
        <w:snapToGrid/>
        <w:spacing w:line="240" w:lineRule="auto"/>
        <w:ind w:firstLine="562"/>
        <w:jc w:val="center"/>
        <w:textAlignment w:val="auto"/>
        <w:rPr>
          <w:rFonts w:ascii="仿宋" w:eastAsia="仿宋" w:hAnsi="仿宋" w:cs="仿宋" w:hint="eastAsia"/>
          <w:bCs/>
          <w:color w:val="FF0000"/>
          <w:lang w:eastAsia="zh-CN"/>
        </w:rPr>
        <w:sectPr>
          <w:headerReference w:type="even" r:id="rId14"/>
          <w:footerReference w:type="even" r:id="rId15"/>
          <w:footerReference w:type="default" r:id="rId16"/>
          <w:headerReference w:type="first" r:id="rId17"/>
          <w:footerReference w:type="first" r:id="rId18"/>
          <w:type w:val="nextPage"/>
          <w:pgSz w:w="11906" w:h="16838"/>
          <w:pgMar w:top="1440" w:right="1800" w:bottom="1440" w:left="1800" w:header="567" w:footer="992" w:gutter="0"/>
          <w:pgNumType w:fmt="upperRoman" w:start="2"/>
          <w:cols w:space="708"/>
          <w:titlePg w:val="0"/>
          <w:docGrid w:type="linesAndChars" w:linePitch="326"/>
        </w:sectPr>
      </w:pPr>
      <w:r>
        <w:rPr>
          <w:rFonts w:ascii="宋体" w:eastAsia="宋体" w:hAnsi="宋体" w:cs="宋体" w:hint="eastAsia"/>
          <w:b w:val="0"/>
          <w:bCs/>
          <w:i w:val="0"/>
          <w:iCs w:val="0"/>
          <w:color w:val="FF0000"/>
          <w:sz w:val="24"/>
          <w:szCs w:val="24"/>
          <w:lang w:eastAsia="zh-CN"/>
        </w:rPr>
        <w:fldChar w:fldCharType="end"/>
      </w:r>
    </w:p>
    <w:p>
      <w:pPr>
        <w:pStyle w:val="Heading1"/>
        <w:rPr>
          <w:color w:val="auto"/>
        </w:rPr>
      </w:pPr>
      <w:bookmarkStart w:id="8" w:name="_Toc25270"/>
      <w:bookmarkStart w:id="9" w:name="_Toc27641"/>
      <w:bookmarkStart w:id="10" w:name="_Toc27234134"/>
      <w:bookmarkStart w:id="11" w:name="_Toc23525306"/>
      <w:bookmarkStart w:id="12" w:name="_Toc27230719"/>
      <w:r>
        <w:rPr>
          <w:rFonts w:hint="eastAsia"/>
          <w:color w:val="auto"/>
        </w:rPr>
        <w:t>1 编制原则、目的</w:t>
      </w:r>
      <w:bookmarkEnd w:id="9"/>
      <w:bookmarkEnd w:id="8"/>
    </w:p>
    <w:p>
      <w:pPr>
        <w:pStyle w:val="Heading2"/>
        <w:numPr>
          <w:ilvl w:val="0"/>
          <w:numId w:val="0"/>
        </w:numPr>
        <w:rPr>
          <w:rFonts w:cs="宋体" w:hint="eastAsia"/>
          <w:szCs w:val="24"/>
        </w:rPr>
      </w:pPr>
      <w:bookmarkStart w:id="13" w:name="_Toc8803"/>
      <w:bookmarkStart w:id="14" w:name="_Toc2910"/>
      <w:r>
        <w:rPr>
          <w:rFonts w:cs="宋体" w:hint="eastAsia"/>
          <w:szCs w:val="24"/>
        </w:rPr>
        <w:t>1.1 编制原则</w:t>
      </w:r>
      <w:bookmarkEnd w:id="13"/>
      <w:bookmarkEnd w:id="14"/>
    </w:p>
    <w:p>
      <w:pPr>
        <w:ind w:firstLine="480"/>
        <w:rPr>
          <w:rFonts w:ascii="Times New Roman" w:hAnsi="Times New Roman" w:hint="eastAsia"/>
          <w:lang w:eastAsia="zh-CN"/>
        </w:rPr>
      </w:pPr>
      <w:bookmarkStart w:id="15" w:name="_Toc17254_WPSOffice_Level3"/>
      <w:r>
        <w:rPr>
          <w:rFonts w:ascii="Times New Roman" w:hAnsi="Times New Roman" w:hint="eastAsia"/>
          <w:lang w:eastAsia="zh-CN"/>
        </w:rPr>
        <w:t>（1）履行合同的原则</w:t>
      </w:r>
      <w:bookmarkEnd w:id="15"/>
    </w:p>
    <w:p>
      <w:pPr>
        <w:ind w:firstLine="480"/>
        <w:rPr>
          <w:rFonts w:ascii="Times New Roman" w:hAnsi="Times New Roman" w:hint="eastAsia"/>
          <w:lang w:eastAsia="zh-CN"/>
        </w:rPr>
      </w:pPr>
      <w:r>
        <w:rPr>
          <w:rFonts w:ascii="Times New Roman" w:hAnsi="Times New Roman" w:hint="eastAsia"/>
          <w:lang w:eastAsia="zh-CN"/>
        </w:rPr>
        <w:t>认真贯彻国家和广东省工程建设的法律、法规、规程、方针和政策。遵守、执行施工合同文件各条款的具体要求，确保实现业主要求的工期、质量、安全、环境保护、文明施工等各方面的目标。</w:t>
      </w:r>
    </w:p>
    <w:p>
      <w:pPr>
        <w:ind w:firstLine="480"/>
        <w:rPr>
          <w:rFonts w:ascii="Times New Roman" w:hAnsi="Times New Roman" w:hint="eastAsia"/>
          <w:lang w:eastAsia="zh-CN"/>
        </w:rPr>
      </w:pPr>
      <w:bookmarkStart w:id="16" w:name="_Toc28367_WPSOffice_Level3"/>
      <w:r>
        <w:rPr>
          <w:rFonts w:ascii="Times New Roman" w:hAnsi="Times New Roman" w:hint="eastAsia"/>
          <w:lang w:eastAsia="zh-CN"/>
        </w:rPr>
        <w:t>（2）安全第一的原则</w:t>
      </w:r>
      <w:bookmarkEnd w:id="16"/>
    </w:p>
    <w:p>
      <w:pPr>
        <w:ind w:firstLine="480"/>
        <w:rPr>
          <w:rFonts w:ascii="Times New Roman" w:hAnsi="Times New Roman" w:hint="eastAsia"/>
          <w:lang w:eastAsia="zh-CN"/>
        </w:rPr>
      </w:pPr>
      <w:r>
        <w:rPr>
          <w:rFonts w:ascii="Times New Roman" w:hAnsi="Times New Roman" w:hint="eastAsia"/>
          <w:lang w:eastAsia="zh-CN"/>
        </w:rPr>
        <w:t>根据工程的实际情况，坚持</w:t>
      </w:r>
      <w:r>
        <w:rPr>
          <w:rFonts w:ascii="Times New Roman" w:hAnsi="Times New Roman" w:hint="eastAsia"/>
          <w:lang w:eastAsia="zh-CN"/>
        </w:rPr>
        <w:t>“</w:t>
      </w:r>
      <w:r>
        <w:rPr>
          <w:rFonts w:ascii="Times New Roman" w:hAnsi="Times New Roman" w:hint="eastAsia"/>
          <w:lang w:eastAsia="zh-CN"/>
        </w:rPr>
        <w:t>安全第一，预防为主；以人为本，减少危害；统一指挥，分级负责；全民动员，协同应对；应用科技，有效应对的原则确定安全方案。在安全措施落实到位、确保万无一失的前提下组织现场各项工序施工。确保工作井在汛期、台风期安全。</w:t>
      </w:r>
    </w:p>
    <w:p>
      <w:pPr>
        <w:pStyle w:val="Heading2"/>
        <w:numPr>
          <w:ilvl w:val="0"/>
          <w:numId w:val="0"/>
        </w:numPr>
        <w:rPr>
          <w:rFonts w:cs="宋体" w:hint="eastAsia"/>
          <w:szCs w:val="24"/>
        </w:rPr>
      </w:pPr>
      <w:bookmarkStart w:id="17" w:name="_Toc29775"/>
      <w:bookmarkStart w:id="18" w:name="_Toc5475"/>
      <w:r>
        <w:rPr>
          <w:rFonts w:cs="宋体" w:hint="eastAsia"/>
          <w:szCs w:val="24"/>
        </w:rPr>
        <w:t>1.2 编制依据</w:t>
      </w:r>
      <w:bookmarkEnd w:id="17"/>
      <w:bookmarkEnd w:id="18"/>
    </w:p>
    <w:p>
      <w:pPr>
        <w:ind w:firstLine="480"/>
        <w:rPr>
          <w:rFonts w:ascii="Times New Roman" w:hAnsi="Times New Roman"/>
          <w:lang w:eastAsia="zh-CN"/>
        </w:rPr>
      </w:pPr>
      <w:r>
        <w:rPr>
          <w:rFonts w:ascii="Times New Roman" w:hAnsi="Times New Roman" w:hint="eastAsia"/>
          <w:lang w:eastAsia="zh-CN"/>
        </w:rPr>
        <w:t>本工程防</w:t>
      </w:r>
      <w:r>
        <w:rPr>
          <w:rFonts w:ascii="Times New Roman" w:hAnsi="Times New Roman" w:hint="eastAsia"/>
          <w:lang w:val="en-US" w:eastAsia="zh-CN"/>
        </w:rPr>
        <w:t>洪</w:t>
      </w:r>
      <w:r>
        <w:rPr>
          <w:rFonts w:ascii="Times New Roman" w:hAnsi="Times New Roman" w:hint="eastAsia"/>
          <w:lang w:eastAsia="zh-CN"/>
        </w:rPr>
        <w:t>度汛标准及技术要求编制依据如下(包含但不限于)：</w:t>
      </w:r>
    </w:p>
    <w:p>
      <w:pPr>
        <w:spacing w:line="360" w:lineRule="auto"/>
        <w:ind w:firstLine="480" w:firstLineChars="200"/>
        <w:rPr>
          <w:rFonts w:ascii="Times New Roman" w:hAnsi="Times New Roman"/>
          <w:lang w:eastAsia="zh-CN"/>
        </w:rPr>
      </w:pPr>
      <w:r>
        <w:rPr>
          <w:rFonts w:ascii="Times New Roman" w:hAnsi="Times New Roman" w:hint="eastAsia"/>
          <w:lang w:eastAsia="zh-CN"/>
        </w:rPr>
        <w:t>（1）《中华人民共和国防洪法》(中华人民共和国主席令第十八号)；</w:t>
      </w:r>
    </w:p>
    <w:p>
      <w:pPr>
        <w:spacing w:line="360" w:lineRule="auto"/>
        <w:ind w:firstLine="480" w:firstLineChars="200"/>
        <w:rPr>
          <w:rFonts w:ascii="Times New Roman" w:hAnsi="Times New Roman"/>
          <w:lang w:eastAsia="zh-CN"/>
        </w:rPr>
      </w:pPr>
      <w:r>
        <w:rPr>
          <w:rFonts w:ascii="Times New Roman" w:hAnsi="Times New Roman" w:hint="eastAsia"/>
          <w:lang w:eastAsia="zh-CN"/>
        </w:rPr>
        <w:t>（2）《中华人民共和国水法》(2016年7月修订)；</w:t>
      </w:r>
    </w:p>
    <w:p>
      <w:pPr>
        <w:spacing w:line="360" w:lineRule="auto"/>
        <w:ind w:firstLine="480" w:firstLineChars="200"/>
        <w:rPr>
          <w:rFonts w:ascii="Times New Roman" w:hAnsi="Times New Roman"/>
          <w:lang w:eastAsia="zh-CN"/>
        </w:rPr>
      </w:pPr>
      <w:r>
        <w:rPr>
          <w:rFonts w:ascii="Times New Roman" w:hAnsi="Times New Roman" w:hint="eastAsia"/>
          <w:lang w:eastAsia="zh-CN"/>
        </w:rPr>
        <w:t>（3）《中华人民共和国防汛条例》(中华人民共和国国务院令第588号)；</w:t>
      </w:r>
    </w:p>
    <w:p>
      <w:pPr>
        <w:spacing w:line="360" w:lineRule="auto"/>
        <w:ind w:firstLine="480" w:firstLineChars="200"/>
        <w:rPr>
          <w:rFonts w:ascii="Times New Roman" w:hAnsi="Times New Roman"/>
          <w:lang w:eastAsia="zh-CN"/>
        </w:rPr>
      </w:pPr>
      <w:r>
        <w:rPr>
          <w:rFonts w:ascii="Times New Roman" w:hAnsi="Times New Roman" w:hint="eastAsia"/>
          <w:lang w:eastAsia="zh-CN"/>
        </w:rPr>
        <w:t>（4）《气象灾害防御条例》(中华人民共和国国务院令第570号)；</w:t>
      </w:r>
    </w:p>
    <w:p>
      <w:pPr>
        <w:spacing w:line="360" w:lineRule="auto"/>
        <w:ind w:firstLine="480" w:firstLineChars="200"/>
        <w:rPr>
          <w:rFonts w:ascii="Times New Roman" w:hAnsi="Times New Roman"/>
          <w:lang w:eastAsia="zh-CN"/>
        </w:rPr>
      </w:pPr>
      <w:r>
        <w:rPr>
          <w:rFonts w:ascii="Times New Roman" w:hAnsi="Times New Roman" w:hint="eastAsia"/>
          <w:lang w:eastAsia="zh-CN"/>
        </w:rPr>
        <w:t>（5）《地质灾害防治条例》(中华人民共和国国务院令第394号)；</w:t>
      </w:r>
    </w:p>
    <w:p>
      <w:pPr>
        <w:spacing w:line="360" w:lineRule="auto"/>
        <w:ind w:firstLine="480" w:firstLineChars="200"/>
        <w:rPr>
          <w:rFonts w:ascii="Times New Roman" w:hAnsi="Times New Roman"/>
          <w:lang w:eastAsia="zh-CN"/>
        </w:rPr>
      </w:pPr>
      <w:r>
        <w:rPr>
          <w:rFonts w:ascii="Times New Roman" w:hAnsi="Times New Roman" w:hint="eastAsia"/>
          <w:lang w:eastAsia="zh-CN"/>
        </w:rPr>
        <w:t>（6）《防洪标准》(GB50201-2014)；</w:t>
      </w:r>
    </w:p>
    <w:p>
      <w:pPr>
        <w:spacing w:line="360" w:lineRule="auto"/>
        <w:ind w:firstLine="480" w:firstLineChars="200"/>
        <w:rPr>
          <w:rFonts w:ascii="Times New Roman" w:hAnsi="Times New Roman"/>
          <w:lang w:eastAsia="zh-CN"/>
        </w:rPr>
      </w:pPr>
      <w:r>
        <w:rPr>
          <w:rFonts w:ascii="Times New Roman" w:hAnsi="Times New Roman" w:hint="eastAsia"/>
          <w:lang w:eastAsia="zh-CN"/>
        </w:rPr>
        <w:t>（7）《</w:t>
      </w:r>
      <w:r>
        <w:rPr>
          <w:rFonts w:ascii="Times New Roman" w:hAnsi="Times New Roman"/>
          <w:lang w:eastAsia="zh-CN"/>
        </w:rPr>
        <w:t>水利水电工程施工导流设计规范》</w:t>
      </w:r>
      <w:r>
        <w:rPr>
          <w:rFonts w:ascii="Times New Roman" w:hAnsi="Times New Roman" w:hint="eastAsia"/>
          <w:lang w:eastAsia="zh-CN"/>
        </w:rPr>
        <w:t>》（SL623-2013）；</w:t>
      </w:r>
    </w:p>
    <w:p>
      <w:pPr>
        <w:spacing w:line="360" w:lineRule="auto"/>
        <w:ind w:firstLine="480" w:firstLineChars="200"/>
        <w:rPr>
          <w:rFonts w:ascii="Times New Roman" w:hAnsi="Times New Roman"/>
          <w:lang w:eastAsia="zh-CN"/>
        </w:rPr>
      </w:pPr>
      <w:r>
        <w:rPr>
          <w:rFonts w:ascii="Times New Roman" w:hAnsi="Times New Roman" w:hint="eastAsia"/>
          <w:lang w:eastAsia="zh-CN"/>
        </w:rPr>
        <w:t>（8）《水利水电工程施工组织设计规范》（SL303-2017）；</w:t>
      </w:r>
    </w:p>
    <w:p>
      <w:pPr>
        <w:spacing w:line="360" w:lineRule="auto"/>
        <w:ind w:firstLine="480" w:firstLineChars="200"/>
        <w:rPr>
          <w:rFonts w:ascii="Times New Roman" w:hAnsi="Times New Roman"/>
          <w:lang w:eastAsia="zh-CN"/>
        </w:rPr>
      </w:pPr>
      <w:r>
        <w:rPr>
          <w:rFonts w:ascii="Times New Roman" w:hAnsi="Times New Roman"/>
          <w:lang w:eastAsia="zh-CN"/>
        </w:rPr>
        <w:t>（</w:t>
      </w:r>
      <w:r>
        <w:rPr>
          <w:rFonts w:ascii="Times New Roman" w:hAnsi="Times New Roman" w:hint="eastAsia"/>
          <w:lang w:eastAsia="zh-CN"/>
        </w:rPr>
        <w:t>9</w:t>
      </w:r>
      <w:r>
        <w:rPr>
          <w:rFonts w:ascii="Times New Roman" w:hAnsi="Times New Roman"/>
          <w:lang w:eastAsia="zh-CN"/>
        </w:rPr>
        <w:t>）初步设计报告中有关导流方案及审查意见；</w:t>
      </w:r>
    </w:p>
    <w:p>
      <w:pPr>
        <w:spacing w:line="360" w:lineRule="auto"/>
        <w:ind w:firstLine="480" w:firstLineChars="200"/>
        <w:rPr>
          <w:rFonts w:ascii="Times New Roman" w:hAnsi="Times New Roman"/>
          <w:lang w:eastAsia="zh-CN"/>
        </w:rPr>
      </w:pPr>
      <w:r>
        <w:rPr>
          <w:rFonts w:ascii="Times New Roman" w:hAnsi="Times New Roman"/>
          <w:lang w:eastAsia="zh-CN"/>
        </w:rPr>
        <w:t>（1</w:t>
      </w:r>
      <w:r>
        <w:rPr>
          <w:rFonts w:ascii="Times New Roman" w:hAnsi="Times New Roman" w:hint="eastAsia"/>
          <w:lang w:eastAsia="zh-CN"/>
        </w:rPr>
        <w:t>0</w:t>
      </w:r>
      <w:r>
        <w:rPr>
          <w:rFonts w:ascii="Times New Roman" w:hAnsi="Times New Roman"/>
          <w:lang w:eastAsia="zh-CN"/>
        </w:rPr>
        <w:t>）《中华人民共和国河道管理条例》</w:t>
      </w:r>
      <w:r>
        <w:rPr>
          <w:rFonts w:ascii="Times New Roman" w:hAnsi="Times New Roman" w:hint="eastAsia"/>
          <w:lang w:eastAsia="zh-CN"/>
        </w:rPr>
        <w:t>；</w:t>
      </w:r>
    </w:p>
    <w:p>
      <w:pPr>
        <w:spacing w:line="360" w:lineRule="auto"/>
        <w:ind w:firstLine="480" w:firstLineChars="200"/>
        <w:rPr>
          <w:rFonts w:ascii="Times New Roman" w:hAnsi="Times New Roman"/>
          <w:lang w:eastAsia="zh-CN"/>
        </w:rPr>
      </w:pPr>
      <w:r>
        <w:rPr>
          <w:rFonts w:ascii="Times New Roman" w:hAnsi="Times New Roman"/>
          <w:lang w:eastAsia="zh-CN"/>
        </w:rPr>
        <w:t>（1</w:t>
      </w:r>
      <w:r>
        <w:rPr>
          <w:rFonts w:ascii="Times New Roman" w:hAnsi="Times New Roman" w:hint="eastAsia"/>
          <w:lang w:eastAsia="zh-CN"/>
        </w:rPr>
        <w:t>1</w:t>
      </w:r>
      <w:r>
        <w:rPr>
          <w:rFonts w:ascii="Times New Roman" w:hAnsi="Times New Roman"/>
          <w:lang w:eastAsia="zh-CN"/>
        </w:rPr>
        <w:t>）《水库调度规程编制导则》（试行）</w:t>
      </w:r>
      <w:r>
        <w:rPr>
          <w:rFonts w:ascii="Times New Roman" w:hAnsi="Times New Roman" w:hint="eastAsia"/>
          <w:lang w:eastAsia="zh-CN"/>
        </w:rPr>
        <w:t>；</w:t>
      </w:r>
    </w:p>
    <w:p>
      <w:pPr>
        <w:spacing w:line="360" w:lineRule="auto"/>
        <w:ind w:firstLine="480" w:firstLineChars="200"/>
        <w:rPr>
          <w:rFonts w:ascii="Times New Roman" w:hAnsi="Times New Roman"/>
          <w:lang w:eastAsia="zh-CN"/>
        </w:rPr>
      </w:pPr>
      <w:r>
        <w:rPr>
          <w:rFonts w:ascii="Times New Roman" w:hAnsi="Times New Roman"/>
          <w:lang w:eastAsia="zh-CN"/>
        </w:rPr>
        <w:t>（1</w:t>
      </w:r>
      <w:r>
        <w:rPr>
          <w:rFonts w:ascii="Times New Roman" w:hAnsi="Times New Roman" w:hint="eastAsia"/>
          <w:lang w:eastAsia="zh-CN"/>
        </w:rPr>
        <w:t>2</w:t>
      </w:r>
      <w:r>
        <w:rPr>
          <w:rFonts w:ascii="Times New Roman" w:hAnsi="Times New Roman"/>
          <w:lang w:eastAsia="zh-CN"/>
        </w:rPr>
        <w:t>）《水库防洪应急预案导则》</w:t>
      </w:r>
      <w:r>
        <w:rPr>
          <w:rFonts w:ascii="Times New Roman" w:hAnsi="Times New Roman" w:hint="eastAsia"/>
          <w:lang w:eastAsia="zh-CN"/>
        </w:rPr>
        <w:t>；</w:t>
      </w:r>
    </w:p>
    <w:p>
      <w:pPr>
        <w:spacing w:line="360" w:lineRule="auto"/>
        <w:ind w:firstLine="480" w:firstLineChars="200"/>
        <w:rPr>
          <w:rFonts w:ascii="Times New Roman" w:hAnsi="Times New Roman"/>
          <w:lang w:eastAsia="zh-CN"/>
        </w:rPr>
      </w:pPr>
      <w:r>
        <w:rPr>
          <w:rFonts w:ascii="Times New Roman" w:hAnsi="Times New Roman"/>
          <w:lang w:eastAsia="zh-CN"/>
        </w:rPr>
        <w:t>（1</w:t>
      </w:r>
      <w:r>
        <w:rPr>
          <w:rFonts w:ascii="Times New Roman" w:hAnsi="Times New Roman" w:hint="eastAsia"/>
          <w:lang w:eastAsia="zh-CN"/>
        </w:rPr>
        <w:t>3</w:t>
      </w:r>
      <w:r>
        <w:rPr>
          <w:rFonts w:ascii="Times New Roman" w:hAnsi="Times New Roman"/>
          <w:lang w:eastAsia="zh-CN"/>
        </w:rPr>
        <w:t>）《水库大坝安全管理条例》</w:t>
      </w:r>
      <w:r>
        <w:rPr>
          <w:rFonts w:ascii="Times New Roman" w:hAnsi="Times New Roman" w:hint="eastAsia"/>
          <w:lang w:eastAsia="zh-CN"/>
        </w:rPr>
        <w:t>；</w:t>
      </w:r>
    </w:p>
    <w:p>
      <w:pPr>
        <w:spacing w:line="360" w:lineRule="auto"/>
        <w:ind w:firstLine="480" w:firstLineChars="200"/>
        <w:rPr>
          <w:rFonts w:ascii="Times New Roman" w:hAnsi="Times New Roman"/>
          <w:lang w:eastAsia="zh-CN"/>
        </w:rPr>
        <w:sectPr>
          <w:headerReference w:type="even" r:id="rId19"/>
          <w:footerReference w:type="even" r:id="rId20"/>
          <w:footerReference w:type="default" r:id="rId21"/>
          <w:headerReference w:type="first" r:id="rId22"/>
          <w:footerReference w:type="first" r:id="rId23"/>
          <w:type w:val="nextPage"/>
          <w:pgSz w:w="11906" w:h="16838"/>
          <w:pgMar w:top="1440" w:right="1800" w:bottom="1440" w:left="1800" w:header="567" w:footer="992" w:gutter="0"/>
          <w:pgNumType w:fmt="decimal" w:start="3"/>
          <w:cols w:space="708"/>
          <w:docGrid w:type="linesAndChars" w:linePitch="326"/>
        </w:sectPr>
      </w:pPr>
      <w:r>
        <w:rPr>
          <w:rFonts w:ascii="Times New Roman" w:hAnsi="Times New Roman"/>
          <w:lang w:eastAsia="zh-CN"/>
        </w:rPr>
        <w:t>（1</w:t>
      </w:r>
      <w:r>
        <w:rPr>
          <w:rFonts w:ascii="Times New Roman" w:hAnsi="Times New Roman" w:hint="eastAsia"/>
          <w:lang w:eastAsia="zh-CN"/>
        </w:rPr>
        <w:t>4</w:t>
      </w:r>
      <w:r>
        <w:rPr>
          <w:rFonts w:ascii="Times New Roman" w:hAnsi="Times New Roman"/>
          <w:lang w:eastAsia="zh-CN"/>
        </w:rPr>
        <w:t>）《水库防洪抢险应急方案编制大纲》</w:t>
      </w:r>
      <w:r>
        <w:rPr>
          <w:rFonts w:ascii="Times New Roman" w:hAnsi="Times New Roman" w:hint="eastAsia"/>
          <w:lang w:eastAsia="zh-CN"/>
        </w:rPr>
        <w:t>；</w:t>
      </w:r>
    </w:p>
    <w:p>
      <w:pPr>
        <w:spacing w:line="360" w:lineRule="auto"/>
        <w:ind w:firstLine="480" w:firstLineChars="200"/>
        <w:rPr>
          <w:rFonts w:ascii="Times New Roman" w:hAnsi="Times New Roman"/>
          <w:lang w:eastAsia="zh-CN"/>
        </w:rPr>
      </w:pPr>
      <w:r>
        <w:rPr>
          <w:rFonts w:ascii="Times New Roman" w:hAnsi="Times New Roman"/>
          <w:lang w:eastAsia="zh-CN"/>
        </w:rPr>
        <w:t>（1</w:t>
      </w:r>
      <w:r>
        <w:rPr>
          <w:rFonts w:ascii="Times New Roman" w:hAnsi="Times New Roman" w:hint="eastAsia"/>
          <w:lang w:eastAsia="zh-CN"/>
        </w:rPr>
        <w:t>5</w:t>
      </w:r>
      <w:r>
        <w:rPr>
          <w:rFonts w:ascii="Times New Roman" w:hAnsi="Times New Roman"/>
          <w:lang w:eastAsia="zh-CN"/>
        </w:rPr>
        <w:t>）《水电建设工程验收规程》（SL223-2008）</w:t>
      </w:r>
      <w:r>
        <w:rPr>
          <w:rFonts w:ascii="Times New Roman" w:hAnsi="Times New Roman" w:hint="eastAsia"/>
          <w:lang w:eastAsia="zh-CN"/>
        </w:rPr>
        <w:t>；</w:t>
      </w:r>
    </w:p>
    <w:p>
      <w:pPr>
        <w:spacing w:line="360" w:lineRule="auto"/>
        <w:ind w:firstLine="480" w:firstLineChars="200"/>
        <w:rPr>
          <w:rFonts w:ascii="Times New Roman" w:hAnsi="Times New Roman"/>
          <w:lang w:eastAsia="zh-CN"/>
        </w:rPr>
      </w:pPr>
      <w:r>
        <w:rPr>
          <w:rFonts w:ascii="Times New Roman" w:hAnsi="Times New Roman"/>
          <w:lang w:eastAsia="zh-CN"/>
        </w:rPr>
        <w:t>（1</w:t>
      </w:r>
      <w:r>
        <w:rPr>
          <w:rFonts w:ascii="Times New Roman" w:hAnsi="Times New Roman" w:hint="eastAsia"/>
          <w:lang w:eastAsia="zh-CN"/>
        </w:rPr>
        <w:t>6</w:t>
      </w:r>
      <w:r>
        <w:rPr>
          <w:rFonts w:ascii="Times New Roman" w:hAnsi="Times New Roman"/>
          <w:lang w:eastAsia="zh-CN"/>
        </w:rPr>
        <w:t>）《水文情报预报规范》（SL250-2000）</w:t>
      </w:r>
      <w:r>
        <w:rPr>
          <w:rFonts w:ascii="Times New Roman" w:hAnsi="Times New Roman" w:hint="eastAsia"/>
          <w:lang w:eastAsia="zh-CN"/>
        </w:rPr>
        <w:t>；</w:t>
      </w:r>
    </w:p>
    <w:p>
      <w:pPr>
        <w:spacing w:line="360" w:lineRule="auto"/>
        <w:ind w:firstLine="480" w:firstLineChars="200"/>
        <w:rPr>
          <w:rFonts w:ascii="Times New Roman" w:hAnsi="Times New Roman"/>
          <w:lang w:eastAsia="zh-CN"/>
        </w:rPr>
      </w:pPr>
      <w:r>
        <w:rPr>
          <w:rFonts w:ascii="Times New Roman" w:hAnsi="Times New Roman" w:hint="eastAsia"/>
          <w:lang w:eastAsia="zh-CN"/>
        </w:rPr>
        <w:t>（</w:t>
      </w:r>
      <w:r>
        <w:rPr>
          <w:rFonts w:ascii="Times New Roman" w:hAnsi="Times New Roman"/>
          <w:lang w:eastAsia="zh-CN"/>
        </w:rPr>
        <w:t>1</w:t>
      </w:r>
      <w:r>
        <w:rPr>
          <w:rFonts w:ascii="Times New Roman" w:hAnsi="Times New Roman" w:hint="eastAsia"/>
          <w:lang w:eastAsia="zh-CN"/>
        </w:rPr>
        <w:t>7）《水利水电工程等级划分及洪水标准》（SL252）；</w:t>
      </w:r>
    </w:p>
    <w:p>
      <w:pPr>
        <w:spacing w:line="360" w:lineRule="auto"/>
        <w:ind w:firstLine="480" w:firstLineChars="200"/>
        <w:rPr>
          <w:rFonts w:ascii="Times New Roman" w:hAnsi="Times New Roman"/>
          <w:lang w:eastAsia="zh-CN"/>
        </w:rPr>
      </w:pPr>
      <w:r>
        <w:rPr>
          <w:rFonts w:ascii="Times New Roman" w:hAnsi="Times New Roman" w:hint="eastAsia"/>
          <w:lang w:eastAsia="zh-CN"/>
        </w:rPr>
        <w:t>（</w:t>
      </w:r>
      <w:r>
        <w:rPr>
          <w:rFonts w:ascii="Times New Roman" w:hAnsi="Times New Roman"/>
          <w:lang w:eastAsia="zh-CN"/>
        </w:rPr>
        <w:t>1</w:t>
      </w:r>
      <w:r>
        <w:rPr>
          <w:rFonts w:ascii="Times New Roman" w:hAnsi="Times New Roman" w:hint="eastAsia"/>
          <w:lang w:eastAsia="zh-CN"/>
        </w:rPr>
        <w:t>8）《水工建筑物地下开挖工程施工技术规范》（SL378）；</w:t>
      </w:r>
    </w:p>
    <w:p>
      <w:pPr>
        <w:spacing w:line="360" w:lineRule="auto"/>
        <w:ind w:firstLine="480" w:firstLineChars="200"/>
        <w:rPr>
          <w:rFonts w:ascii="Times New Roman" w:hAnsi="Times New Roman"/>
          <w:lang w:eastAsia="zh-CN"/>
        </w:rPr>
      </w:pPr>
      <w:r>
        <w:rPr>
          <w:rFonts w:ascii="Times New Roman" w:hAnsi="Times New Roman" w:hint="eastAsia"/>
          <w:lang w:eastAsia="zh-CN"/>
        </w:rPr>
        <w:t>（</w:t>
      </w:r>
      <w:r>
        <w:rPr>
          <w:rFonts w:ascii="Times New Roman" w:hAnsi="Times New Roman"/>
          <w:lang w:eastAsia="zh-CN"/>
        </w:rPr>
        <w:t>1</w:t>
      </w:r>
      <w:r>
        <w:rPr>
          <w:rFonts w:ascii="Times New Roman" w:hAnsi="Times New Roman" w:hint="eastAsia"/>
          <w:lang w:eastAsia="zh-CN"/>
        </w:rPr>
        <w:t>9）《水利水电工程施工通用安全技术规程》（SL398）。</w:t>
      </w:r>
    </w:p>
    <w:p>
      <w:pPr>
        <w:spacing w:line="360" w:lineRule="auto"/>
        <w:ind w:firstLine="480" w:firstLineChars="200"/>
        <w:rPr>
          <w:rFonts w:ascii="Times New Roman" w:hAnsi="Times New Roman"/>
          <w:lang w:eastAsia="zh-CN"/>
        </w:rPr>
      </w:pPr>
      <w:r>
        <w:rPr>
          <w:rFonts w:ascii="Times New Roman" w:hAnsi="Times New Roman" w:hint="eastAsia"/>
          <w:lang w:eastAsia="zh-CN"/>
        </w:rPr>
        <w:t>（20）《防台风应急预案编制导则》（SL611-2012）；</w:t>
      </w:r>
    </w:p>
    <w:p>
      <w:pPr>
        <w:spacing w:line="360" w:lineRule="auto"/>
        <w:ind w:firstLine="480" w:firstLineChars="200"/>
        <w:rPr>
          <w:rFonts w:ascii="Times New Roman" w:hAnsi="Times New Roman"/>
          <w:lang w:eastAsia="zh-CN"/>
        </w:rPr>
      </w:pPr>
      <w:r>
        <w:rPr>
          <w:rFonts w:ascii="Times New Roman" w:hAnsi="Times New Roman" w:hint="eastAsia"/>
          <w:lang w:eastAsia="zh-CN"/>
        </w:rPr>
        <w:t>（21）《建筑基坑工程监测技术规范》（GB50497）；</w:t>
      </w:r>
    </w:p>
    <w:p>
      <w:pPr>
        <w:spacing w:line="360" w:lineRule="auto"/>
        <w:ind w:firstLine="480" w:firstLineChars="200"/>
        <w:rPr>
          <w:rFonts w:ascii="Times New Roman" w:hAnsi="Times New Roman"/>
          <w:lang w:eastAsia="zh-CN"/>
        </w:rPr>
      </w:pPr>
      <w:r>
        <w:rPr>
          <w:rFonts w:ascii="Times New Roman" w:hAnsi="Times New Roman" w:hint="eastAsia"/>
          <w:lang w:eastAsia="zh-CN"/>
        </w:rPr>
        <w:t>（22）《水利工程建设标准强制性条文（2020年版）》；</w:t>
      </w:r>
    </w:p>
    <w:p>
      <w:pPr>
        <w:pStyle w:val="Heading2"/>
        <w:numPr>
          <w:ilvl w:val="0"/>
          <w:numId w:val="0"/>
        </w:numPr>
        <w:rPr>
          <w:rFonts w:cs="宋体" w:hint="eastAsia"/>
          <w:szCs w:val="24"/>
        </w:rPr>
      </w:pPr>
      <w:bookmarkStart w:id="19" w:name="_Toc25109"/>
      <w:bookmarkStart w:id="20" w:name="_Toc13169"/>
      <w:r>
        <w:rPr>
          <w:rFonts w:cs="宋体" w:hint="eastAsia"/>
          <w:szCs w:val="24"/>
        </w:rPr>
        <w:t>1.3 编制目的</w:t>
      </w:r>
      <w:bookmarkEnd w:id="20"/>
      <w:bookmarkEnd w:id="19"/>
    </w:p>
    <w:p>
      <w:pPr>
        <w:ind w:firstLine="480"/>
        <w:rPr>
          <w:rFonts w:ascii="Times New Roman" w:hAnsi="Times New Roman" w:hint="eastAsia"/>
          <w:lang w:eastAsia="zh-CN"/>
        </w:rPr>
      </w:pPr>
      <w:r>
        <w:rPr>
          <w:rFonts w:ascii="Times New Roman" w:hAnsi="Times New Roman" w:hint="eastAsia"/>
          <w:lang w:eastAsia="zh-CN"/>
        </w:rPr>
        <w:t>为防御超标准洪水灾害，做好超标准洪水灾害突发事件防范与处置工作，使超标洪水工作有计划、有组织地进行，最大限度地避免和减轻灾害损失，确保工程建设安全进行，特制定本预案。</w:t>
      </w:r>
    </w:p>
    <w:p>
      <w:pPr>
        <w:pStyle w:val="Heading2"/>
        <w:numPr>
          <w:ilvl w:val="0"/>
          <w:numId w:val="0"/>
        </w:numPr>
        <w:rPr>
          <w:rFonts w:cs="宋体" w:hint="eastAsia"/>
          <w:szCs w:val="24"/>
        </w:rPr>
      </w:pPr>
      <w:bookmarkStart w:id="21" w:name="_Toc24604"/>
      <w:bookmarkStart w:id="22" w:name="_Toc4506"/>
      <w:r>
        <w:rPr>
          <w:rFonts w:cs="宋体" w:hint="eastAsia"/>
          <w:szCs w:val="24"/>
        </w:rPr>
        <w:t>1.4 适用范围</w:t>
      </w:r>
      <w:bookmarkEnd w:id="21"/>
      <w:bookmarkEnd w:id="22"/>
    </w:p>
    <w:p>
      <w:pPr>
        <w:ind w:firstLine="480"/>
        <w:rPr>
          <w:rFonts w:ascii="Times New Roman" w:hAnsi="Times New Roman"/>
          <w:lang w:eastAsia="zh-CN"/>
        </w:rPr>
      </w:pPr>
      <w:r>
        <w:rPr>
          <w:rFonts w:ascii="Times New Roman" w:hAnsi="Times New Roman"/>
          <w:lang w:eastAsia="zh-CN"/>
        </w:rPr>
        <w:t>本</w:t>
      </w:r>
      <w:r>
        <w:rPr>
          <w:rFonts w:ascii="Times New Roman" w:hAnsi="Times New Roman" w:hint="eastAsia"/>
          <w:lang w:eastAsia="zh-CN"/>
        </w:rPr>
        <w:t>预案</w:t>
      </w:r>
      <w:r>
        <w:rPr>
          <w:rFonts w:ascii="Times New Roman" w:hAnsi="Times New Roman"/>
          <w:lang w:eastAsia="zh-CN"/>
        </w:rPr>
        <w:t>适用于土建施工</w:t>
      </w:r>
      <w:r>
        <w:rPr>
          <w:rFonts w:ascii="Times New Roman" w:hAnsi="Times New Roman" w:hint="eastAsia"/>
          <w:lang w:eastAsia="zh-CN"/>
        </w:rPr>
        <w:t>发生超标洪水类突发事件的应急救援工作。</w:t>
      </w:r>
      <w:bookmarkEnd w:id="2"/>
      <w:bookmarkEnd w:id="3"/>
      <w:bookmarkEnd w:id="4"/>
      <w:bookmarkEnd w:id="5"/>
      <w:bookmarkEnd w:id="1"/>
      <w:bookmarkEnd w:id="0"/>
      <w:bookmarkEnd w:id="6"/>
      <w:bookmarkEnd w:id="7"/>
      <w:bookmarkEnd w:id="10"/>
      <w:bookmarkEnd w:id="11"/>
      <w:bookmarkEnd w:id="12"/>
    </w:p>
    <w:p>
      <w:pPr>
        <w:pStyle w:val="Heading1"/>
        <w:rPr>
          <w:rFonts w:hint="eastAsia"/>
          <w:color w:val="auto"/>
        </w:rPr>
      </w:pPr>
      <w:bookmarkStart w:id="23" w:name="_Toc28205"/>
      <w:bookmarkStart w:id="24" w:name="_Toc21530"/>
      <w:r>
        <w:rPr>
          <w:rFonts w:hint="eastAsia"/>
          <w:color w:val="auto"/>
        </w:rPr>
        <w:t>2</w:t>
      </w:r>
      <w:r>
        <w:rPr>
          <w:color w:val="auto"/>
        </w:rPr>
        <w:t xml:space="preserve"> </w:t>
      </w:r>
      <w:r>
        <w:rPr>
          <w:rFonts w:hint="eastAsia"/>
          <w:color w:val="auto"/>
        </w:rPr>
        <w:t>工程概况</w:t>
      </w:r>
      <w:bookmarkEnd w:id="23"/>
      <w:bookmarkEnd w:id="24"/>
    </w:p>
    <w:p>
      <w:pPr>
        <w:pStyle w:val="Heading2"/>
        <w:numPr>
          <w:ilvl w:val="0"/>
          <w:numId w:val="0"/>
        </w:numPr>
      </w:pPr>
      <w:bookmarkStart w:id="25" w:name="_Toc21313"/>
      <w:bookmarkStart w:id="26" w:name="_Toc8593"/>
      <w:bookmarkStart w:id="27" w:name="_Toc36405026"/>
      <w:bookmarkStart w:id="28" w:name="_Toc450553462"/>
      <w:bookmarkStart w:id="29" w:name="_Toc25926"/>
      <w:bookmarkStart w:id="30" w:name="_Toc26364"/>
      <w:bookmarkStart w:id="31" w:name="_Toc9515615"/>
      <w:bookmarkStart w:id="32" w:name="_Toc11334269"/>
      <w:bookmarkStart w:id="33" w:name="_Toc368842338"/>
      <w:r>
        <w:rPr>
          <w:rFonts w:hint="eastAsia"/>
        </w:rPr>
        <w:t>2.</w:t>
      </w:r>
      <w:r>
        <w:rPr>
          <w:rFonts w:hint="eastAsia"/>
          <w:lang w:val="en-US" w:eastAsia="zh-CN"/>
        </w:rPr>
        <w:t>1</w:t>
      </w:r>
      <w:r>
        <w:t xml:space="preserve"> </w:t>
      </w:r>
      <w:r>
        <w:rPr>
          <w:rFonts w:hint="eastAsia"/>
        </w:rPr>
        <w:t>流域概况</w:t>
      </w:r>
      <w:bookmarkEnd w:id="25"/>
      <w:bookmarkEnd w:id="26"/>
      <w:bookmarkEnd w:id="27"/>
    </w:p>
    <w:p>
      <w:pPr>
        <w:pStyle w:val="Heading3"/>
        <w:numPr>
          <w:ilvl w:val="0"/>
          <w:numId w:val="0"/>
        </w:numPr>
      </w:pPr>
      <w:bookmarkStart w:id="34" w:name="_Toc16144"/>
      <w:bookmarkStart w:id="35" w:name="_Toc36405027"/>
      <w:bookmarkStart w:id="36" w:name="_Toc13956"/>
      <w:r>
        <w:rPr>
          <w:rFonts w:hint="eastAsia"/>
        </w:rPr>
        <w:t>2.2.1地形地貌</w:t>
      </w:r>
      <w:bookmarkEnd w:id="34"/>
      <w:bookmarkEnd w:id="35"/>
      <w:bookmarkEnd w:id="36"/>
    </w:p>
    <w:p>
      <w:pPr>
        <w:tabs>
          <w:tab w:val="center" w:pos="0"/>
        </w:tabs>
        <w:ind w:firstLine="480"/>
        <w:rPr>
          <w:bCs/>
          <w:lang w:eastAsia="zh-CN"/>
        </w:rPr>
      </w:pPr>
      <w:r>
        <w:rPr>
          <w:rFonts w:hint="eastAsia"/>
          <w:bCs/>
          <w:lang w:val="en-US" w:eastAsia="zh-CN"/>
        </w:rPr>
        <w:t>施工区域</w:t>
      </w:r>
      <w:r>
        <w:rPr>
          <w:rFonts w:hint="eastAsia"/>
          <w:bCs/>
          <w:lang w:val="en-US" w:eastAsia="zh-CN"/>
        </w:rPr>
        <w:t>位于光明</w:t>
      </w:r>
      <w:r>
        <w:rPr>
          <w:rFonts w:hint="eastAsia"/>
          <w:bCs/>
          <w:lang w:eastAsia="zh-CN"/>
        </w:rPr>
        <w:t>区，</w:t>
      </w:r>
      <w:r>
        <w:rPr>
          <w:bCs/>
          <w:lang w:eastAsia="zh-CN"/>
        </w:rPr>
        <w:t>该区域沿线主要为山间盆地，偶见低矮残丘，地形较平缓，地表高程多在10m～20m，属于人口密集地带。覆盖层厚度多在 2m～7m，局部10m～15m，主要为人工填土层及坡积层</w:t>
      </w:r>
      <w:r>
        <w:rPr>
          <w:rFonts w:hint="eastAsia"/>
          <w:bCs/>
          <w:lang w:eastAsia="zh-CN"/>
        </w:rPr>
        <w:t>。</w:t>
      </w:r>
    </w:p>
    <w:p>
      <w:pPr>
        <w:pStyle w:val="Heading3"/>
        <w:numPr>
          <w:ilvl w:val="0"/>
          <w:numId w:val="0"/>
        </w:numPr>
      </w:pPr>
      <w:bookmarkStart w:id="37" w:name="_Toc36405028"/>
      <w:bookmarkStart w:id="38" w:name="_Toc18479"/>
      <w:bookmarkStart w:id="39" w:name="_Toc21140"/>
      <w:r>
        <w:rPr>
          <w:rFonts w:hint="eastAsia"/>
        </w:rPr>
        <w:t>2.2.2水文气象</w:t>
      </w:r>
      <w:bookmarkEnd w:id="37"/>
      <w:bookmarkEnd w:id="38"/>
      <w:bookmarkEnd w:id="39"/>
    </w:p>
    <w:p>
      <w:pPr>
        <w:tabs>
          <w:tab w:val="center" w:pos="0"/>
        </w:tabs>
        <w:ind w:firstLine="480"/>
        <w:rPr>
          <w:bCs/>
          <w:lang w:eastAsia="zh-CN"/>
        </w:rPr>
      </w:pPr>
      <w:r>
        <w:rPr>
          <w:rFonts w:hint="eastAsia"/>
          <w:bCs/>
          <w:lang w:eastAsia="zh-CN"/>
        </w:rPr>
        <w:t>（1）温度、湿度、风速</w:t>
      </w:r>
    </w:p>
    <w:p>
      <w:pPr>
        <w:tabs>
          <w:tab w:val="center" w:pos="0"/>
        </w:tabs>
        <w:ind w:firstLine="480"/>
        <w:rPr>
          <w:bCs/>
          <w:lang w:eastAsia="zh-CN"/>
        </w:rPr>
      </w:pPr>
      <w:r>
        <w:rPr>
          <w:rFonts w:hint="eastAsia"/>
          <w:bCs/>
          <w:lang w:eastAsia="zh-CN"/>
        </w:rPr>
        <w:t>面临南海，属亚热带季风气候，常年气候温和，年平均气温在20～23</w:t>
      </w:r>
      <w:r>
        <w:rPr>
          <w:rFonts w:hint="eastAsia"/>
          <w:bCs/>
          <w:lang w:eastAsia="zh-CN"/>
        </w:rPr>
        <w:t>℃</w:t>
      </w:r>
      <w:r>
        <w:rPr>
          <w:rFonts w:hint="eastAsia"/>
          <w:bCs/>
          <w:lang w:eastAsia="zh-CN"/>
        </w:rPr>
        <w:t>之间。日照时间长，年平均日照数约1900h；年辐射总量约108千卡/cm</w:t>
      </w:r>
      <w:r>
        <w:rPr>
          <w:rFonts w:hint="eastAsia"/>
          <w:bCs/>
          <w:vertAlign w:val="superscript"/>
          <w:lang w:eastAsia="zh-CN"/>
        </w:rPr>
        <w:t>2</w:t>
      </w:r>
      <w:r>
        <w:rPr>
          <w:rFonts w:hint="eastAsia"/>
          <w:bCs/>
          <w:lang w:eastAsia="zh-CN"/>
        </w:rPr>
        <w:t>。雨量充沛，空气湿度大，夏季热带气旋常伴随大暴雨发生，冬季温和，气候宜人。</w:t>
      </w:r>
    </w:p>
    <w:p>
      <w:pPr>
        <w:tabs>
          <w:tab w:val="center" w:pos="0"/>
        </w:tabs>
        <w:ind w:firstLine="480"/>
        <w:rPr>
          <w:bCs/>
          <w:lang w:eastAsia="zh-CN"/>
        </w:rPr>
        <w:sectPr>
          <w:headerReference w:type="even" r:id="rId24"/>
          <w:footerReference w:type="even" r:id="rId25"/>
          <w:footerReference w:type="default" r:id="rId26"/>
          <w:headerReference w:type="first" r:id="rId27"/>
          <w:footerReference w:type="first" r:id="rId28"/>
          <w:type w:val="nextPage"/>
          <w:pgSz w:w="11906" w:h="16838"/>
          <w:pgMar w:top="1440" w:right="1800" w:bottom="1440" w:left="1800" w:header="567" w:footer="992" w:gutter="0"/>
          <w:pgNumType w:fmt="decimal" w:start="4"/>
          <w:cols w:space="708"/>
          <w:titlePg w:val="0"/>
          <w:docGrid w:type="linesAndChars" w:linePitch="326"/>
        </w:sectPr>
      </w:pPr>
      <w:r>
        <w:rPr>
          <w:rFonts w:hint="eastAsia"/>
          <w:bCs/>
          <w:lang w:eastAsia="zh-CN"/>
        </w:rPr>
        <w:t>湿度：年平均相对湿度80%,最小为10%,最大接近100%。</w:t>
      </w:r>
    </w:p>
    <w:p>
      <w:pPr>
        <w:tabs>
          <w:tab w:val="center" w:pos="0"/>
        </w:tabs>
        <w:ind w:firstLine="480"/>
        <w:rPr>
          <w:bCs/>
          <w:lang w:eastAsia="zh-CN"/>
        </w:rPr>
      </w:pPr>
      <w:r>
        <w:rPr>
          <w:rFonts w:hint="eastAsia"/>
          <w:bCs/>
          <w:lang w:eastAsia="zh-CN"/>
        </w:rPr>
        <w:t>风速：冬季陆风风速较强，常达5m/s左右。夏季海风风速较弱，常为3m/s。夏秋台风风速常大千40m/s,并引起风暴潮，造成严重灾害。</w:t>
      </w:r>
    </w:p>
    <w:p>
      <w:pPr>
        <w:tabs>
          <w:tab w:val="center" w:pos="0"/>
        </w:tabs>
        <w:ind w:firstLine="480"/>
        <w:rPr>
          <w:bCs/>
          <w:lang w:eastAsia="zh-CN"/>
        </w:rPr>
      </w:pPr>
      <w:r>
        <w:rPr>
          <w:rFonts w:hint="eastAsia"/>
          <w:bCs/>
          <w:lang w:eastAsia="zh-CN"/>
        </w:rPr>
        <w:t>（</w:t>
      </w:r>
      <w:r>
        <w:rPr>
          <w:bCs/>
          <w:lang w:eastAsia="zh-CN"/>
        </w:rPr>
        <w:t>2</w:t>
      </w:r>
      <w:r>
        <w:rPr>
          <w:rFonts w:hint="eastAsia"/>
          <w:bCs/>
          <w:lang w:eastAsia="zh-CN"/>
        </w:rPr>
        <w:t>）降雨、蒸发</w:t>
      </w:r>
    </w:p>
    <w:p>
      <w:pPr>
        <w:tabs>
          <w:tab w:val="center" w:pos="0"/>
        </w:tabs>
        <w:ind w:firstLine="480"/>
        <w:rPr>
          <w:bCs/>
          <w:lang w:eastAsia="zh-CN"/>
        </w:rPr>
      </w:pPr>
      <w:r>
        <w:rPr>
          <w:rFonts w:hint="eastAsia"/>
          <w:bCs/>
          <w:lang w:eastAsia="zh-CN"/>
        </w:rPr>
        <w:t>是多雨地区，降雨丰沛。水汽源地主要是西南方向的印度洋孟加拉湾和东南方向的太平洋以及南部的南海。4～9月为雨季，前期(4～6月）盛行西南季风，水汽充沛，与南下冷空气相遇，形成强盛的锋面雨。后期(7～</w:t>
      </w:r>
      <w:r>
        <w:rPr>
          <w:bCs/>
          <w:lang w:eastAsia="zh-CN"/>
        </w:rPr>
        <w:t>9</w:t>
      </w:r>
      <w:r>
        <w:rPr>
          <w:rFonts w:hint="eastAsia"/>
          <w:bCs/>
          <w:lang w:eastAsia="zh-CN"/>
        </w:rPr>
        <w:t>月)东南季风占优势，太平洋及南海热带海洋气团产生的热带气旋在区内活动频繁，形成强风暴雨。反之，锋面雨过少和夏季台风稀疏，都会发生春旱、秋旱。入秋后为极地大陆气团控制，雨量减少。</w:t>
      </w:r>
    </w:p>
    <w:p>
      <w:pPr>
        <w:tabs>
          <w:tab w:val="center" w:pos="0"/>
        </w:tabs>
        <w:ind w:firstLine="480"/>
        <w:rPr>
          <w:bCs/>
          <w:lang w:eastAsia="zh-CN"/>
        </w:rPr>
      </w:pPr>
      <w:r>
        <w:rPr>
          <w:rFonts w:hint="eastAsia"/>
          <w:bCs/>
          <w:lang w:eastAsia="zh-CN"/>
        </w:rPr>
        <w:t>多年平均降雨量等值线变幅为1600～2600mm,呈现沿海大～腹地小～北沿大的地区分布特征。南部沿海的大隆山系、铜古山系、古兜山系及天露山脉东南部的锦江、大田、朗底带南海台风或暖流通过山脉时，由于地势抬升作用，造成大量降水，各自形成闭合高值区，多年平均降雨量分别为2400～2600mm,是珠江三角洲的年降雨量最大的地区。腹地北江、东江三角洲地势开阔低平，不利于水汽停滞抬升，多年平均年降雨量约1600mm,为闭合低值区。三角洲北沿流溪河上游、增江发源地天堂山及北江中下游，由千地势抬升作用，形成了两个年降雨量的高值区，多年平均年降雨量大千2400mm。</w:t>
      </w:r>
    </w:p>
    <w:p>
      <w:pPr>
        <w:tabs>
          <w:tab w:val="center" w:pos="0"/>
        </w:tabs>
        <w:ind w:firstLine="480"/>
        <w:rPr>
          <w:bCs/>
          <w:lang w:eastAsia="zh-CN"/>
        </w:rPr>
      </w:pPr>
      <w:r>
        <w:rPr>
          <w:rFonts w:hint="eastAsia"/>
          <w:bCs/>
          <w:lang w:eastAsia="zh-CN"/>
        </w:rPr>
        <w:t>降雨年际变化很大，年降雨变差系数在0.20～0.25之间，实际年雨量极值倍比为1.9～4_79。降雨的年内分配：本地区受锋面雨、台风和极地大陆气团的影响，降雨的年内分配极不均匀，冬春少，夏秋多，汛期雨量集中，4～9月份雨量占全年总雨量的77%～83%,10～4月份仅占17%～23%,春耕期3～4月份占5.65%～7.12%。</w:t>
      </w:r>
    </w:p>
    <w:p>
      <w:pPr>
        <w:tabs>
          <w:tab w:val="center" w:pos="0"/>
        </w:tabs>
        <w:ind w:firstLine="480"/>
        <w:rPr>
          <w:bCs/>
          <w:lang w:eastAsia="zh-CN"/>
        </w:rPr>
      </w:pPr>
      <w:r>
        <w:rPr>
          <w:rFonts w:hint="eastAsia"/>
          <w:bCs/>
          <w:lang w:eastAsia="zh-CN"/>
        </w:rPr>
        <w:t>受热带气旋及地形的影响， 暴雨强度由南部沿海向北部内陆逐渐递减，到北沿罗浮山、北江中下游后又增大，多年平均最大24h暴雨量为130～220mm,多年平均最大3天暴雨量为170～320mm。珠江三角洲流域暴雨主要集中在前汛期的5月和6月，后汛期的7月和8月，因此年内降雨量分布基本呈双峰型。</w:t>
      </w:r>
    </w:p>
    <w:p>
      <w:pPr>
        <w:pStyle w:val="Heading2"/>
        <w:numPr>
          <w:ilvl w:val="0"/>
          <w:numId w:val="0"/>
        </w:numPr>
      </w:pPr>
      <w:bookmarkStart w:id="40" w:name="_Toc11804"/>
      <w:bookmarkStart w:id="41" w:name="_Toc13532"/>
      <w:r>
        <w:rPr>
          <w:rFonts w:hint="eastAsia"/>
        </w:rPr>
        <w:t>2.3 超标洪水防御标准</w:t>
      </w:r>
      <w:bookmarkEnd w:id="40"/>
      <w:bookmarkEnd w:id="41"/>
    </w:p>
    <w:p>
      <w:pPr>
        <w:pStyle w:val="Heading3"/>
        <w:numPr>
          <w:ilvl w:val="0"/>
          <w:numId w:val="0"/>
        </w:numPr>
        <w:rPr>
          <w:rFonts w:hint="eastAsia"/>
          <w:highlight w:val="none"/>
        </w:rPr>
        <w:sectPr>
          <w:headerReference w:type="even" r:id="rId29"/>
          <w:footerReference w:type="even" r:id="rId30"/>
          <w:footerReference w:type="default" r:id="rId31"/>
          <w:headerReference w:type="first" r:id="rId32"/>
          <w:footerReference w:type="first" r:id="rId33"/>
          <w:type w:val="nextPage"/>
          <w:pgSz w:w="11906" w:h="16838"/>
          <w:pgMar w:top="1440" w:right="1800" w:bottom="1440" w:left="1800" w:header="567" w:footer="992" w:gutter="0"/>
          <w:pgNumType w:fmt="decimal" w:start="5"/>
          <w:cols w:space="708"/>
          <w:titlePg w:val="0"/>
          <w:docGrid w:type="linesAndChars" w:linePitch="326"/>
        </w:sectPr>
      </w:pPr>
      <w:bookmarkStart w:id="42" w:name="_Toc938"/>
      <w:bookmarkStart w:id="43" w:name="_Toc21774"/>
      <w:r>
        <w:rPr>
          <w:rFonts w:hint="eastAsia"/>
        </w:rPr>
        <w:t>2.3.1汛期时</w:t>
      </w:r>
      <w:r>
        <w:rPr>
          <w:rFonts w:hint="eastAsia"/>
          <w:highlight w:val="none"/>
        </w:rPr>
        <w:t>间</w:t>
      </w:r>
      <w:bookmarkEnd w:id="42"/>
      <w:bookmarkEnd w:id="43"/>
    </w:p>
    <w:p>
      <w:pPr>
        <w:ind w:firstLine="480"/>
        <w:rPr>
          <w:rFonts w:hint="eastAsia"/>
          <w:highlight w:val="none"/>
          <w:lang w:eastAsia="zh-CN"/>
        </w:rPr>
      </w:pPr>
      <w:r>
        <w:rPr>
          <w:rFonts w:hint="eastAsia"/>
          <w:highlight w:val="none"/>
          <w:lang w:eastAsia="zh-CN"/>
        </w:rPr>
        <w:t>根据水文资料资料分析，本工程的度汛时段为202</w:t>
      </w:r>
      <w:r>
        <w:rPr>
          <w:rFonts w:hint="eastAsia"/>
          <w:highlight w:val="none"/>
          <w:lang w:val="en-US" w:eastAsia="zh-CN"/>
        </w:rPr>
        <w:t>1</w:t>
      </w:r>
      <w:r>
        <w:rPr>
          <w:rFonts w:hint="eastAsia"/>
          <w:highlight w:val="none"/>
          <w:lang w:eastAsia="zh-CN"/>
        </w:rPr>
        <w:t>年4月~9月。</w:t>
      </w:r>
    </w:p>
    <w:p>
      <w:pPr>
        <w:pStyle w:val="Heading3"/>
        <w:numPr>
          <w:ilvl w:val="0"/>
          <w:numId w:val="0"/>
        </w:numPr>
        <w:rPr>
          <w:rFonts w:hint="eastAsia"/>
          <w:highlight w:val="none"/>
        </w:rPr>
      </w:pPr>
      <w:bookmarkStart w:id="44" w:name="_Toc2928"/>
      <w:bookmarkStart w:id="45" w:name="_Toc8206"/>
      <w:r>
        <w:rPr>
          <w:rFonts w:hint="eastAsia"/>
          <w:highlight w:val="none"/>
        </w:rPr>
        <w:t>2.3.2 防洪标准</w:t>
      </w:r>
      <w:bookmarkEnd w:id="44"/>
      <w:bookmarkEnd w:id="45"/>
    </w:p>
    <w:p>
      <w:pPr>
        <w:tabs>
          <w:tab w:val="center" w:pos="0"/>
        </w:tabs>
        <w:ind w:firstLine="480"/>
        <w:rPr>
          <w:bCs/>
          <w:highlight w:val="none"/>
          <w:lang w:eastAsia="zh-CN"/>
        </w:rPr>
      </w:pPr>
      <w:r>
        <w:rPr>
          <w:rFonts w:hint="eastAsia"/>
          <w:bCs/>
          <w:highlight w:val="none"/>
          <w:lang w:eastAsia="zh-CN"/>
        </w:rPr>
        <w:t>根据本标段施工进度安排及度汛特点，202</w:t>
      </w:r>
      <w:r>
        <w:rPr>
          <w:rFonts w:hint="eastAsia"/>
          <w:bCs/>
          <w:highlight w:val="none"/>
          <w:lang w:val="en-US" w:eastAsia="zh-CN"/>
        </w:rPr>
        <w:t>1</w:t>
      </w:r>
      <w:r>
        <w:rPr>
          <w:rFonts w:hint="eastAsia"/>
          <w:bCs/>
          <w:highlight w:val="none"/>
          <w:lang w:eastAsia="zh-CN"/>
        </w:rPr>
        <w:t>年汛期主要工程项目度汛标准见下表：</w:t>
      </w:r>
    </w:p>
    <w:p>
      <w:pPr>
        <w:tabs>
          <w:tab w:val="center" w:pos="0"/>
        </w:tabs>
        <w:ind w:firstLine="422"/>
        <w:jc w:val="center"/>
        <w:rPr>
          <w:lang w:eastAsia="zh-CN"/>
        </w:rPr>
      </w:pPr>
      <w:r>
        <w:rPr>
          <w:rFonts w:hint="eastAsia"/>
          <w:b/>
          <w:sz w:val="21"/>
          <w:szCs w:val="21"/>
          <w:highlight w:val="none"/>
          <w:lang w:eastAsia="zh-CN"/>
        </w:rPr>
        <w:t>表2-1</w:t>
      </w:r>
      <w:r>
        <w:rPr>
          <w:b/>
          <w:sz w:val="21"/>
          <w:szCs w:val="21"/>
          <w:highlight w:val="none"/>
          <w:lang w:eastAsia="zh-CN"/>
        </w:rPr>
        <w:t xml:space="preserve"> </w:t>
      </w:r>
      <w:r>
        <w:rPr>
          <w:rFonts w:hint="eastAsia"/>
          <w:b/>
          <w:sz w:val="21"/>
          <w:szCs w:val="21"/>
          <w:highlight w:val="none"/>
          <w:lang w:eastAsia="zh-CN"/>
        </w:rPr>
        <w:t>土建施工主要工程项目防洪标准</w:t>
      </w:r>
    </w:p>
    <w:tbl>
      <w:tblPr>
        <w:tblStyle w:val="TableNormal"/>
        <w:tblW w:w="4885" w:type="pct"/>
        <w:jc w:val="center"/>
        <w:tblInd w:w="9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965"/>
        <w:gridCol w:w="3014"/>
        <w:gridCol w:w="2181"/>
        <w:gridCol w:w="2166"/>
      </w:tblGrid>
      <w:tr>
        <w:tblPrEx>
          <w:tblW w:w="4885" w:type="pct"/>
          <w:jc w:val="center"/>
          <w:tblInd w:w="9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965" w:type="dxa"/>
            <w:vAlign w:val="center"/>
          </w:tcPr>
          <w:p>
            <w:pPr>
              <w:widowControl w:val="0"/>
              <w:spacing w:line="240" w:lineRule="auto"/>
              <w:ind w:firstLine="0" w:firstLineChars="0"/>
              <w:jc w:val="center"/>
              <w:rPr>
                <w:b/>
                <w:bCs/>
                <w:sz w:val="21"/>
                <w:szCs w:val="21"/>
                <w:highlight w:val="none"/>
                <w:lang w:eastAsia="zh-CN" w:bidi="ar-SA"/>
              </w:rPr>
            </w:pPr>
            <w:r>
              <w:rPr>
                <w:rFonts w:hint="eastAsia"/>
                <w:b/>
                <w:bCs/>
                <w:sz w:val="21"/>
                <w:szCs w:val="21"/>
                <w:highlight w:val="none"/>
                <w:lang w:eastAsia="zh-CN" w:bidi="ar-SA"/>
              </w:rPr>
              <w:t>序号</w:t>
            </w:r>
          </w:p>
        </w:tc>
        <w:tc>
          <w:tcPr>
            <w:tcW w:w="3014" w:type="dxa"/>
            <w:vAlign w:val="center"/>
          </w:tcPr>
          <w:p>
            <w:pPr>
              <w:widowControl w:val="0"/>
              <w:spacing w:line="240" w:lineRule="auto"/>
              <w:ind w:firstLine="0" w:firstLineChars="0"/>
              <w:jc w:val="center"/>
              <w:rPr>
                <w:b/>
                <w:bCs/>
                <w:sz w:val="21"/>
                <w:szCs w:val="21"/>
                <w:highlight w:val="none"/>
                <w:lang w:eastAsia="zh-CN" w:bidi="ar-SA"/>
              </w:rPr>
            </w:pPr>
            <w:r>
              <w:rPr>
                <w:rFonts w:hint="eastAsia"/>
                <w:b/>
                <w:bCs/>
                <w:sz w:val="21"/>
                <w:szCs w:val="21"/>
                <w:highlight w:val="none"/>
                <w:lang w:eastAsia="zh-CN" w:bidi="ar-SA"/>
              </w:rPr>
              <w:t>主要工程项目</w:t>
            </w:r>
          </w:p>
        </w:tc>
        <w:tc>
          <w:tcPr>
            <w:tcW w:w="2181" w:type="dxa"/>
            <w:vAlign w:val="center"/>
          </w:tcPr>
          <w:p>
            <w:pPr>
              <w:widowControl w:val="0"/>
              <w:spacing w:line="240" w:lineRule="auto"/>
              <w:ind w:firstLine="0" w:firstLineChars="0"/>
              <w:jc w:val="center"/>
              <w:rPr>
                <w:b/>
                <w:bCs/>
                <w:sz w:val="21"/>
                <w:szCs w:val="21"/>
                <w:highlight w:val="none"/>
                <w:lang w:eastAsia="zh-CN" w:bidi="ar-SA"/>
              </w:rPr>
            </w:pPr>
            <w:r>
              <w:rPr>
                <w:rFonts w:hint="eastAsia"/>
                <w:b/>
                <w:bCs/>
                <w:sz w:val="21"/>
                <w:szCs w:val="21"/>
                <w:highlight w:val="none"/>
                <w:lang w:eastAsia="zh-CN" w:bidi="ar-SA"/>
              </w:rPr>
              <w:t>防洪标准（坡面洪水）</w:t>
            </w:r>
          </w:p>
        </w:tc>
        <w:tc>
          <w:tcPr>
            <w:tcW w:w="2166" w:type="dxa"/>
            <w:vAlign w:val="center"/>
          </w:tcPr>
          <w:p>
            <w:pPr>
              <w:widowControl w:val="0"/>
              <w:spacing w:line="240" w:lineRule="auto"/>
              <w:ind w:firstLine="0" w:firstLineChars="0"/>
              <w:jc w:val="center"/>
              <w:rPr>
                <w:b/>
                <w:bCs/>
                <w:sz w:val="21"/>
                <w:szCs w:val="21"/>
                <w:highlight w:val="none"/>
                <w:lang w:eastAsia="zh-CN" w:bidi="ar-SA"/>
              </w:rPr>
            </w:pPr>
            <w:r>
              <w:rPr>
                <w:rFonts w:hint="eastAsia"/>
                <w:b/>
                <w:bCs/>
                <w:sz w:val="21"/>
                <w:szCs w:val="21"/>
                <w:highlight w:val="none"/>
                <w:lang w:eastAsia="zh-CN" w:bidi="ar-SA"/>
              </w:rPr>
              <w:t>防洪标准（水库、外江洪水）</w:t>
            </w:r>
          </w:p>
        </w:tc>
      </w:tr>
      <w:tr>
        <w:tblPrEx>
          <w:tblW w:w="4885" w:type="pct"/>
          <w:jc w:val="center"/>
          <w:tblInd w:w="98" w:type="dxa"/>
          <w:tblCellMar>
            <w:top w:w="0" w:type="dxa"/>
            <w:left w:w="108" w:type="dxa"/>
            <w:bottom w:w="0" w:type="dxa"/>
            <w:right w:w="108" w:type="dxa"/>
          </w:tblCellMar>
          <w:tblLook w:val="0000"/>
        </w:tblPrEx>
        <w:trPr>
          <w:jc w:val="center"/>
        </w:trPr>
        <w:tc>
          <w:tcPr>
            <w:tcW w:w="965"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1</w:t>
            </w:r>
          </w:p>
        </w:tc>
        <w:tc>
          <w:tcPr>
            <w:tcW w:w="3014" w:type="dxa"/>
            <w:vAlign w:val="center"/>
          </w:tcPr>
          <w:p>
            <w:pPr>
              <w:widowControl w:val="0"/>
              <w:spacing w:line="240" w:lineRule="auto"/>
              <w:ind w:firstLine="0" w:firstLineChars="0"/>
              <w:jc w:val="center"/>
              <w:rPr>
                <w:sz w:val="21"/>
                <w:szCs w:val="21"/>
                <w:highlight w:val="none"/>
                <w:lang w:eastAsia="zh-CN" w:bidi="ar-SA"/>
              </w:rPr>
            </w:pPr>
            <w:r>
              <w:rPr>
                <w:rFonts w:hint="eastAsia"/>
                <w:snapToGrid w:val="0"/>
                <w:sz w:val="21"/>
                <w:szCs w:val="21"/>
                <w:highlight w:val="none"/>
                <w:lang w:eastAsia="zh-CN"/>
              </w:rPr>
              <w:t>进水口</w:t>
            </w:r>
          </w:p>
        </w:tc>
        <w:tc>
          <w:tcPr>
            <w:tcW w:w="2181"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10年一遇</w:t>
            </w:r>
          </w:p>
        </w:tc>
        <w:tc>
          <w:tcPr>
            <w:tcW w:w="2166"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100年一遇</w:t>
            </w:r>
          </w:p>
        </w:tc>
      </w:tr>
      <w:tr>
        <w:tblPrEx>
          <w:tblW w:w="4885" w:type="pct"/>
          <w:jc w:val="center"/>
          <w:tblInd w:w="98" w:type="dxa"/>
          <w:tblCellMar>
            <w:top w:w="0" w:type="dxa"/>
            <w:left w:w="108" w:type="dxa"/>
            <w:bottom w:w="0" w:type="dxa"/>
            <w:right w:w="108" w:type="dxa"/>
          </w:tblCellMar>
          <w:tblLook w:val="0000"/>
        </w:tblPrEx>
        <w:trPr>
          <w:jc w:val="center"/>
        </w:trPr>
        <w:tc>
          <w:tcPr>
            <w:tcW w:w="965"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2</w:t>
            </w:r>
          </w:p>
        </w:tc>
        <w:tc>
          <w:tcPr>
            <w:tcW w:w="3014" w:type="dxa"/>
            <w:vAlign w:val="center"/>
          </w:tcPr>
          <w:p>
            <w:pPr>
              <w:widowControl w:val="0"/>
              <w:spacing w:line="240" w:lineRule="auto"/>
              <w:ind w:firstLine="0" w:firstLineChars="0"/>
              <w:jc w:val="center"/>
              <w:rPr>
                <w:sz w:val="21"/>
                <w:szCs w:val="21"/>
                <w:highlight w:val="none"/>
                <w:lang w:eastAsia="zh-CN" w:bidi="ar-SA"/>
              </w:rPr>
            </w:pPr>
            <w:r>
              <w:rPr>
                <w:rFonts w:hint="eastAsia"/>
                <w:snapToGrid w:val="0"/>
                <w:sz w:val="21"/>
                <w:szCs w:val="21"/>
                <w:highlight w:val="none"/>
                <w:lang w:eastAsia="zh-CN"/>
              </w:rPr>
              <w:t>隧洞施工工区</w:t>
            </w:r>
          </w:p>
        </w:tc>
        <w:tc>
          <w:tcPr>
            <w:tcW w:w="2181"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10年一遇</w:t>
            </w:r>
          </w:p>
        </w:tc>
        <w:tc>
          <w:tcPr>
            <w:tcW w:w="2166"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20年一遇</w:t>
            </w:r>
          </w:p>
        </w:tc>
      </w:tr>
      <w:tr>
        <w:tblPrEx>
          <w:tblW w:w="4885" w:type="pct"/>
          <w:jc w:val="center"/>
          <w:tblInd w:w="98" w:type="dxa"/>
          <w:tblCellMar>
            <w:top w:w="0" w:type="dxa"/>
            <w:left w:w="108" w:type="dxa"/>
            <w:bottom w:w="0" w:type="dxa"/>
            <w:right w:w="108" w:type="dxa"/>
          </w:tblCellMar>
          <w:tblLook w:val="0000"/>
        </w:tblPrEx>
        <w:trPr>
          <w:jc w:val="center"/>
        </w:trPr>
        <w:tc>
          <w:tcPr>
            <w:tcW w:w="965"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val="en-US" w:eastAsia="zh-CN" w:bidi="ar-SA"/>
              </w:rPr>
              <w:t>3</w:t>
            </w:r>
          </w:p>
        </w:tc>
        <w:tc>
          <w:tcPr>
            <w:tcW w:w="3014"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工作井工区</w:t>
            </w:r>
          </w:p>
        </w:tc>
        <w:tc>
          <w:tcPr>
            <w:tcW w:w="2181"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无</w:t>
            </w:r>
          </w:p>
        </w:tc>
        <w:tc>
          <w:tcPr>
            <w:tcW w:w="2166" w:type="dxa"/>
            <w:vAlign w:val="center"/>
          </w:tcPr>
          <w:p>
            <w:pPr>
              <w:widowControl w:val="0"/>
              <w:spacing w:line="240" w:lineRule="auto"/>
              <w:ind w:firstLine="0" w:firstLineChars="0"/>
              <w:jc w:val="center"/>
              <w:rPr>
                <w:sz w:val="21"/>
                <w:szCs w:val="21"/>
                <w:highlight w:val="none"/>
                <w:lang w:eastAsia="zh-CN" w:bidi="ar-SA"/>
              </w:rPr>
            </w:pPr>
            <w:r>
              <w:rPr>
                <w:rFonts w:hint="eastAsia"/>
                <w:sz w:val="21"/>
                <w:szCs w:val="21"/>
                <w:highlight w:val="none"/>
                <w:lang w:eastAsia="zh-CN" w:bidi="ar-SA"/>
              </w:rPr>
              <w:t>20年一遇</w:t>
            </w:r>
          </w:p>
        </w:tc>
      </w:tr>
    </w:tbl>
    <w:p>
      <w:pPr>
        <w:pStyle w:val="Heading3"/>
        <w:numPr>
          <w:ilvl w:val="0"/>
          <w:numId w:val="0"/>
        </w:numPr>
        <w:rPr>
          <w:rFonts w:hint="eastAsia"/>
        </w:rPr>
      </w:pPr>
      <w:bookmarkStart w:id="46" w:name="_Toc16252"/>
      <w:bookmarkStart w:id="47" w:name="_Toc31289"/>
      <w:r>
        <w:rPr>
          <w:rFonts w:hint="eastAsia"/>
        </w:rPr>
        <w:t>2.3.3 防洪要求</w:t>
      </w:r>
      <w:bookmarkEnd w:id="47"/>
      <w:bookmarkEnd w:id="46"/>
    </w:p>
    <w:p>
      <w:pPr>
        <w:pStyle w:val="50"/>
        <w:ind w:firstLine="480"/>
        <w:rPr>
          <w:rFonts w:hAnsi="Times New Roman"/>
          <w:snapToGrid w:val="0"/>
          <w:kern w:val="0"/>
        </w:rPr>
      </w:pPr>
      <w:bookmarkEnd w:id="30"/>
      <w:bookmarkEnd w:id="29"/>
      <w:bookmarkEnd w:id="31"/>
      <w:bookmarkEnd w:id="32"/>
      <w:bookmarkEnd w:id="33"/>
      <w:bookmarkEnd w:id="28"/>
      <w:r>
        <w:rPr>
          <w:rFonts w:hAnsi="Times New Roman" w:hint="eastAsia"/>
          <w:snapToGrid w:val="0"/>
          <w:kern w:val="0"/>
        </w:rPr>
        <w:t>（1）汛期受坡面洪水影响工程项目为4处。</w:t>
      </w:r>
    </w:p>
    <w:p>
      <w:pPr>
        <w:pStyle w:val="50"/>
        <w:ind w:firstLine="480"/>
        <w:rPr>
          <w:rFonts w:hAnsi="Times New Roman"/>
          <w:snapToGrid w:val="0"/>
          <w:kern w:val="0"/>
        </w:rPr>
      </w:pPr>
      <w:r>
        <w:rPr>
          <w:rFonts w:hAnsi="Times New Roman" w:hint="eastAsia"/>
          <w:snapToGrid w:val="0"/>
          <w:kern w:val="0"/>
          <w:lang w:val="en-US" w:eastAsia="zh-CN"/>
        </w:rPr>
        <w:t>施工</w:t>
      </w:r>
      <w:r>
        <w:rPr>
          <w:rFonts w:hAnsi="Times New Roman" w:hint="eastAsia"/>
          <w:snapToGrid w:val="0"/>
          <w:kern w:val="0"/>
        </w:rPr>
        <w:t>工区均位于山区坡角处，由于地势较高，施工期间</w:t>
      </w:r>
      <w:r>
        <w:rPr>
          <w:rFonts w:hAnsi="Times New Roman" w:hint="eastAsia"/>
          <w:snapToGrid w:val="0"/>
          <w:kern w:val="0"/>
          <w:lang w:val="en-US" w:eastAsia="zh-CN"/>
        </w:rPr>
        <w:t>可能</w:t>
      </w:r>
      <w:r>
        <w:rPr>
          <w:rFonts w:hAnsi="Times New Roman" w:hint="eastAsia"/>
          <w:snapToGrid w:val="0"/>
          <w:kern w:val="0"/>
        </w:rPr>
        <w:t>会受到局部坡面洪水影响。选择10年一遇的洪水标准。</w:t>
      </w:r>
    </w:p>
    <w:p>
      <w:pPr>
        <w:tabs>
          <w:tab w:val="center" w:pos="0"/>
        </w:tabs>
        <w:ind w:firstLine="422"/>
        <w:jc w:val="center"/>
        <w:rPr>
          <w:b/>
          <w:sz w:val="21"/>
          <w:szCs w:val="21"/>
          <w:lang w:eastAsia="zh-CN"/>
        </w:rPr>
      </w:pPr>
      <w:r>
        <w:rPr>
          <w:rFonts w:hint="eastAsia"/>
          <w:b/>
          <w:sz w:val="21"/>
          <w:szCs w:val="21"/>
          <w:lang w:eastAsia="zh-CN"/>
        </w:rPr>
        <w:t>表2-2</w:t>
      </w:r>
      <w:r>
        <w:rPr>
          <w:b/>
          <w:sz w:val="21"/>
          <w:szCs w:val="21"/>
          <w:lang w:eastAsia="zh-CN"/>
        </w:rPr>
        <w:t xml:space="preserve"> </w:t>
      </w:r>
      <w:r>
        <w:rPr>
          <w:rFonts w:hint="eastAsia"/>
          <w:b/>
          <w:sz w:val="21"/>
          <w:szCs w:val="21"/>
          <w:lang w:eastAsia="zh-CN"/>
        </w:rPr>
        <w:t>土建施工各项目的坡面洪水设计洪峰流量</w:t>
      </w:r>
    </w:p>
    <w:tbl>
      <w:tblPr>
        <w:tblStyle w:val="TableNormal"/>
        <w:tblW w:w="4885" w:type="pct"/>
        <w:jc w:val="center"/>
        <w:tblInd w:w="9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6"/>
        <w:gridCol w:w="3162"/>
        <w:gridCol w:w="2194"/>
        <w:gridCol w:w="2164"/>
      </w:tblGrid>
      <w:tr>
        <w:tblPrEx>
          <w:tblW w:w="4885" w:type="pct"/>
          <w:jc w:val="center"/>
          <w:tblInd w:w="9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58"/>
          <w:jc w:val="center"/>
        </w:trPr>
        <w:tc>
          <w:tcPr>
            <w:tcW w:w="806"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b/>
                <w:bCs/>
                <w:snapToGrid w:val="0"/>
                <w:kern w:val="0"/>
                <w:sz w:val="21"/>
                <w:szCs w:val="21"/>
              </w:rPr>
              <w:t>序号</w:t>
            </w:r>
          </w:p>
        </w:tc>
        <w:tc>
          <w:tcPr>
            <w:tcW w:w="3162"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b/>
                <w:bCs/>
                <w:snapToGrid w:val="0"/>
                <w:kern w:val="0"/>
                <w:sz w:val="21"/>
                <w:szCs w:val="21"/>
              </w:rPr>
              <w:t>项目</w:t>
            </w:r>
          </w:p>
        </w:tc>
        <w:tc>
          <w:tcPr>
            <w:tcW w:w="219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b/>
                <w:bCs/>
                <w:snapToGrid w:val="0"/>
                <w:kern w:val="0"/>
                <w:sz w:val="21"/>
                <w:szCs w:val="21"/>
              </w:rPr>
              <w:t>防洪标准（全年）</w:t>
            </w:r>
          </w:p>
        </w:tc>
        <w:tc>
          <w:tcPr>
            <w:tcW w:w="216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b/>
                <w:bCs/>
                <w:snapToGrid w:val="0"/>
                <w:kern w:val="0"/>
                <w:sz w:val="21"/>
                <w:szCs w:val="21"/>
              </w:rPr>
              <w:t>设计洪峰流量（m</w:t>
            </w:r>
            <w:r>
              <w:rPr>
                <w:rFonts w:hAnsi="Times New Roman" w:hint="eastAsia"/>
                <w:b/>
                <w:bCs/>
                <w:snapToGrid w:val="0"/>
                <w:kern w:val="0"/>
                <w:sz w:val="21"/>
                <w:szCs w:val="21"/>
              </w:rPr>
              <w:t>³</w:t>
            </w:r>
            <w:r>
              <w:rPr>
                <w:rFonts w:hAnsi="Times New Roman" w:hint="eastAsia"/>
                <w:b/>
                <w:bCs/>
                <w:snapToGrid w:val="0"/>
                <w:kern w:val="0"/>
                <w:sz w:val="21"/>
                <w:szCs w:val="21"/>
              </w:rPr>
              <w:t>/s）</w:t>
            </w:r>
          </w:p>
        </w:tc>
      </w:tr>
      <w:tr>
        <w:tblPrEx>
          <w:tblW w:w="4885" w:type="pct"/>
          <w:jc w:val="center"/>
          <w:tblInd w:w="98" w:type="dxa"/>
          <w:tblCellMar>
            <w:top w:w="0" w:type="dxa"/>
            <w:left w:w="108" w:type="dxa"/>
            <w:bottom w:w="0" w:type="dxa"/>
            <w:right w:w="108" w:type="dxa"/>
          </w:tblCellMar>
          <w:tblLook w:val="0000"/>
        </w:tblPrEx>
        <w:trPr>
          <w:trHeight w:val="58"/>
          <w:jc w:val="center"/>
        </w:trPr>
        <w:tc>
          <w:tcPr>
            <w:tcW w:w="806"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w:t>
            </w:r>
          </w:p>
        </w:tc>
        <w:tc>
          <w:tcPr>
            <w:tcW w:w="3162" w:type="dxa"/>
            <w:vAlign w:val="center"/>
          </w:tcPr>
          <w:p>
            <w:pPr>
              <w:pStyle w:val="50"/>
              <w:spacing w:line="240" w:lineRule="auto"/>
              <w:ind w:firstLine="0" w:firstLineChars="0"/>
              <w:jc w:val="center"/>
              <w:rPr>
                <w:rFonts w:hAnsi="Times New Roman"/>
                <w:snapToGrid w:val="0"/>
                <w:kern w:val="0"/>
                <w:sz w:val="21"/>
                <w:szCs w:val="21"/>
              </w:rPr>
            </w:pPr>
            <w:r>
              <w:rPr>
                <w:rFonts w:hint="eastAsia"/>
                <w:snapToGrid w:val="0"/>
                <w:sz w:val="21"/>
                <w:szCs w:val="21"/>
                <w:highlight w:val="none"/>
                <w:lang w:eastAsia="zh-CN"/>
              </w:rPr>
              <w:t>进水口</w:t>
            </w:r>
          </w:p>
        </w:tc>
        <w:tc>
          <w:tcPr>
            <w:tcW w:w="219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w:t>
            </w:r>
            <w:r>
              <w:rPr>
                <w:rFonts w:hAnsi="Times New Roman"/>
                <w:snapToGrid w:val="0"/>
                <w:kern w:val="0"/>
                <w:sz w:val="21"/>
                <w:szCs w:val="21"/>
              </w:rPr>
              <w:t>0</w:t>
            </w:r>
          </w:p>
        </w:tc>
        <w:tc>
          <w:tcPr>
            <w:tcW w:w="216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1.2</w:t>
            </w:r>
          </w:p>
        </w:tc>
      </w:tr>
      <w:tr>
        <w:tblPrEx>
          <w:tblW w:w="4885" w:type="pct"/>
          <w:jc w:val="center"/>
          <w:tblInd w:w="98" w:type="dxa"/>
          <w:tblCellMar>
            <w:top w:w="0" w:type="dxa"/>
            <w:left w:w="108" w:type="dxa"/>
            <w:bottom w:w="0" w:type="dxa"/>
            <w:right w:w="108" w:type="dxa"/>
          </w:tblCellMar>
          <w:tblLook w:val="0000"/>
        </w:tblPrEx>
        <w:trPr>
          <w:trHeight w:val="58"/>
          <w:jc w:val="center"/>
        </w:trPr>
        <w:tc>
          <w:tcPr>
            <w:tcW w:w="806"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2</w:t>
            </w:r>
          </w:p>
        </w:tc>
        <w:tc>
          <w:tcPr>
            <w:tcW w:w="3162" w:type="dxa"/>
            <w:vAlign w:val="center"/>
          </w:tcPr>
          <w:p>
            <w:pPr>
              <w:pStyle w:val="50"/>
              <w:spacing w:line="240" w:lineRule="auto"/>
              <w:ind w:firstLine="0" w:firstLineChars="0"/>
              <w:jc w:val="center"/>
              <w:rPr>
                <w:rFonts w:hAnsi="Times New Roman"/>
                <w:snapToGrid w:val="0"/>
                <w:kern w:val="0"/>
                <w:sz w:val="21"/>
                <w:szCs w:val="21"/>
              </w:rPr>
            </w:pPr>
            <w:r>
              <w:rPr>
                <w:rFonts w:hint="eastAsia"/>
                <w:snapToGrid w:val="0"/>
                <w:sz w:val="21"/>
                <w:szCs w:val="21"/>
                <w:highlight w:val="none"/>
                <w:lang w:eastAsia="zh-CN"/>
              </w:rPr>
              <w:t>隧洞施工工区</w:t>
            </w:r>
          </w:p>
        </w:tc>
        <w:tc>
          <w:tcPr>
            <w:tcW w:w="219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w:t>
            </w:r>
            <w:r>
              <w:rPr>
                <w:rFonts w:hAnsi="Times New Roman"/>
                <w:snapToGrid w:val="0"/>
                <w:kern w:val="0"/>
                <w:sz w:val="21"/>
                <w:szCs w:val="21"/>
              </w:rPr>
              <w:t>0</w:t>
            </w:r>
          </w:p>
        </w:tc>
        <w:tc>
          <w:tcPr>
            <w:tcW w:w="216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1.3</w:t>
            </w:r>
          </w:p>
        </w:tc>
      </w:tr>
      <w:tr>
        <w:tblPrEx>
          <w:tblW w:w="4885" w:type="pct"/>
          <w:jc w:val="center"/>
          <w:tblInd w:w="98" w:type="dxa"/>
          <w:tblCellMar>
            <w:top w:w="0" w:type="dxa"/>
            <w:left w:w="108" w:type="dxa"/>
            <w:bottom w:w="0" w:type="dxa"/>
            <w:right w:w="108" w:type="dxa"/>
          </w:tblCellMar>
          <w:tblLook w:val="0000"/>
        </w:tblPrEx>
        <w:trPr>
          <w:trHeight w:val="58"/>
          <w:jc w:val="center"/>
        </w:trPr>
        <w:tc>
          <w:tcPr>
            <w:tcW w:w="806"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3</w:t>
            </w:r>
          </w:p>
        </w:tc>
        <w:tc>
          <w:tcPr>
            <w:tcW w:w="3162" w:type="dxa"/>
            <w:vAlign w:val="center"/>
          </w:tcPr>
          <w:p>
            <w:pPr>
              <w:pStyle w:val="50"/>
              <w:spacing w:line="240" w:lineRule="auto"/>
              <w:ind w:firstLine="0" w:firstLineChars="0"/>
              <w:jc w:val="center"/>
              <w:rPr>
                <w:rFonts w:hAnsi="Times New Roman"/>
                <w:snapToGrid w:val="0"/>
                <w:kern w:val="0"/>
                <w:sz w:val="21"/>
                <w:szCs w:val="21"/>
              </w:rPr>
            </w:pPr>
            <w:r>
              <w:rPr>
                <w:rFonts w:hint="eastAsia"/>
                <w:sz w:val="21"/>
                <w:szCs w:val="21"/>
                <w:highlight w:val="none"/>
                <w:lang w:eastAsia="zh-CN" w:bidi="ar-SA"/>
              </w:rPr>
              <w:t>工作井工区</w:t>
            </w:r>
          </w:p>
        </w:tc>
        <w:tc>
          <w:tcPr>
            <w:tcW w:w="219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10</w:t>
            </w:r>
          </w:p>
        </w:tc>
        <w:tc>
          <w:tcPr>
            <w:tcW w:w="2164" w:type="dxa"/>
            <w:vAlign w:val="center"/>
          </w:tcPr>
          <w:p>
            <w:pPr>
              <w:pStyle w:val="50"/>
              <w:spacing w:line="240" w:lineRule="auto"/>
              <w:ind w:firstLine="0" w:firstLineChars="0"/>
              <w:jc w:val="center"/>
              <w:rPr>
                <w:rFonts w:hAnsi="Times New Roman"/>
                <w:snapToGrid w:val="0"/>
                <w:kern w:val="0"/>
                <w:sz w:val="21"/>
                <w:szCs w:val="21"/>
              </w:rPr>
            </w:pPr>
            <w:r>
              <w:rPr>
                <w:rFonts w:hAnsi="Times New Roman" w:hint="eastAsia"/>
                <w:snapToGrid w:val="0"/>
                <w:kern w:val="0"/>
                <w:sz w:val="21"/>
                <w:szCs w:val="21"/>
              </w:rPr>
              <w:t>1.5</w:t>
            </w:r>
          </w:p>
        </w:tc>
      </w:tr>
    </w:tbl>
    <w:p>
      <w:pPr>
        <w:pStyle w:val="50"/>
        <w:ind w:firstLine="480"/>
        <w:rPr>
          <w:rFonts w:hAnsi="Times New Roman"/>
          <w:snapToGrid w:val="0"/>
          <w:kern w:val="0"/>
        </w:rPr>
      </w:pPr>
      <w:r>
        <w:rPr>
          <w:rFonts w:hAnsi="Times New Roman" w:hint="eastAsia"/>
          <w:snapToGrid w:val="0"/>
          <w:kern w:val="0"/>
        </w:rPr>
        <w:t>（2）汛期受洪水影响工程项目共</w:t>
      </w:r>
      <w:r>
        <w:rPr>
          <w:rFonts w:hAnsi="Times New Roman" w:hint="eastAsia"/>
          <w:snapToGrid w:val="0"/>
          <w:kern w:val="0"/>
          <w:lang w:val="en-US" w:eastAsia="zh-CN"/>
        </w:rPr>
        <w:t>3</w:t>
      </w:r>
      <w:r>
        <w:rPr>
          <w:rFonts w:hAnsi="Times New Roman" w:hint="eastAsia"/>
          <w:snapToGrid w:val="0"/>
          <w:kern w:val="0"/>
        </w:rPr>
        <w:t>处。</w:t>
      </w:r>
    </w:p>
    <w:p>
      <w:pPr>
        <w:pStyle w:val="50"/>
        <w:ind w:firstLine="480"/>
        <w:rPr>
          <w:rFonts w:hAnsi="Times New Roman"/>
          <w:snapToGrid w:val="0"/>
          <w:kern w:val="0"/>
        </w:rPr>
      </w:pPr>
      <w:r>
        <w:rPr>
          <w:rFonts w:hAnsi="Times New Roman" w:hint="eastAsia"/>
          <w:snapToGrid w:val="0"/>
          <w:kern w:val="0"/>
        </w:rPr>
        <w:t>受水库库区洪水影响的共</w:t>
      </w:r>
      <w:r>
        <w:rPr>
          <w:rFonts w:hAnsi="Times New Roman" w:hint="eastAsia"/>
          <w:snapToGrid w:val="0"/>
          <w:kern w:val="0"/>
          <w:lang w:val="en-US" w:eastAsia="zh-CN"/>
        </w:rPr>
        <w:t>2</w:t>
      </w:r>
      <w:r>
        <w:rPr>
          <w:rFonts w:hAnsi="Times New Roman" w:hint="eastAsia"/>
          <w:snapToGrid w:val="0"/>
          <w:kern w:val="0"/>
        </w:rPr>
        <w:t>处，采取措施为：</w:t>
      </w:r>
    </w:p>
    <w:p>
      <w:pPr>
        <w:pStyle w:val="50"/>
        <w:ind w:firstLine="480"/>
        <w:rPr>
          <w:rFonts w:hAnsi="Times New Roman"/>
          <w:snapToGrid w:val="0"/>
          <w:kern w:val="0"/>
        </w:rPr>
      </w:pPr>
      <w:r>
        <w:rPr>
          <w:rFonts w:hAnsi="Times New Roman" w:hint="eastAsia"/>
          <w:snapToGrid w:val="0"/>
          <w:kern w:val="0"/>
        </w:rPr>
        <w:t>进水口：洞口底高程为26.1m，小于罗田水库100年一遇设计洪水位35.27m，202</w:t>
      </w:r>
      <w:r>
        <w:rPr>
          <w:rFonts w:hAnsi="Times New Roman" w:hint="eastAsia"/>
          <w:snapToGrid w:val="0"/>
          <w:kern w:val="0"/>
          <w:lang w:val="en-US" w:eastAsia="zh-CN"/>
        </w:rPr>
        <w:t>1</w:t>
      </w:r>
      <w:r>
        <w:rPr>
          <w:rFonts w:hAnsi="Times New Roman" w:hint="eastAsia"/>
          <w:snapToGrid w:val="0"/>
          <w:kern w:val="0"/>
        </w:rPr>
        <w:t>年汛期主要采用围堰进行挡水，导流时段为全年。围堰级别位4级，采用土石围堰形式，填筑料利用深圳分干线钻爆法隧洞开挖料，堰顶高程36.5m，堰顶宽6m，最大围堰高约17m，围堰迎水面、背水面边坡均为为1：2.0，迎水面采用抛石护坡，围堰基础及堰体防渗采用高喷防渗墙处理。</w:t>
      </w:r>
    </w:p>
    <w:p>
      <w:pPr>
        <w:pStyle w:val="50"/>
        <w:ind w:firstLine="480"/>
        <w:rPr>
          <w:rFonts w:hAnsi="Times New Roman"/>
          <w:snapToGrid w:val="0"/>
          <w:kern w:val="0"/>
        </w:rPr>
      </w:pPr>
      <w:r>
        <w:rPr>
          <w:rFonts w:hAnsi="Times New Roman" w:hint="eastAsia"/>
          <w:snapToGrid w:val="0"/>
          <w:kern w:val="0"/>
        </w:rPr>
        <w:t>隧洞施工工区：位于罗田水库库尾，工区填筑高程需满足罗田水库20年一遇全年洪水标准（34.67m，85高程）。</w:t>
      </w:r>
    </w:p>
    <w:p>
      <w:pPr>
        <w:pStyle w:val="Heading1"/>
        <w:rPr>
          <w:rFonts w:hint="eastAsia"/>
          <w:color w:val="auto"/>
        </w:rPr>
      </w:pPr>
      <w:bookmarkStart w:id="48" w:name="_Toc16485"/>
      <w:bookmarkStart w:id="49" w:name="_Toc21301"/>
      <w:r>
        <w:rPr>
          <w:rFonts w:hint="eastAsia"/>
          <w:color w:val="auto"/>
        </w:rPr>
        <w:t>3风险分析</w:t>
      </w:r>
      <w:bookmarkEnd w:id="48"/>
      <w:bookmarkEnd w:id="49"/>
    </w:p>
    <w:p>
      <w:pPr>
        <w:pStyle w:val="Heading2"/>
        <w:numPr>
          <w:ilvl w:val="0"/>
          <w:numId w:val="0"/>
        </w:numPr>
        <w:rPr>
          <w:rFonts w:hint="eastAsia"/>
        </w:rPr>
        <w:sectPr>
          <w:headerReference w:type="even" r:id="rId34"/>
          <w:footerReference w:type="even" r:id="rId35"/>
          <w:footerReference w:type="default" r:id="rId36"/>
          <w:headerReference w:type="first" r:id="rId37"/>
          <w:footerReference w:type="first" r:id="rId38"/>
          <w:type w:val="nextPage"/>
          <w:pgSz w:w="11906" w:h="16838"/>
          <w:pgMar w:top="1440" w:right="1800" w:bottom="1440" w:left="1800" w:header="567" w:footer="992" w:gutter="0"/>
          <w:pgNumType w:fmt="decimal" w:start="6"/>
          <w:cols w:space="708"/>
          <w:titlePg w:val="0"/>
          <w:docGrid w:type="linesAndChars" w:linePitch="326"/>
        </w:sectPr>
      </w:pPr>
      <w:bookmarkStart w:id="50" w:name="_Toc5734"/>
      <w:bookmarkStart w:id="51" w:name="_Toc7498"/>
      <w:bookmarkStart w:id="52" w:name="_Toc4771"/>
      <w:r>
        <w:rPr>
          <w:rFonts w:hint="eastAsia"/>
        </w:rPr>
        <w:t xml:space="preserve">3.1 </w:t>
      </w:r>
      <w:bookmarkEnd w:id="50"/>
      <w:r>
        <w:rPr>
          <w:rFonts w:hint="eastAsia"/>
        </w:rPr>
        <w:t>主要风险分析</w:t>
      </w:r>
      <w:bookmarkEnd w:id="51"/>
      <w:bookmarkEnd w:id="52"/>
    </w:p>
    <w:p>
      <w:pPr>
        <w:ind w:firstLine="480"/>
        <w:jc w:val="left"/>
        <w:rPr>
          <w:rFonts w:hint="eastAsia"/>
          <w:color w:val="000000"/>
          <w:highlight w:val="none"/>
          <w:lang w:eastAsia="zh-CN"/>
        </w:rPr>
      </w:pPr>
      <w:r>
        <w:rPr>
          <w:rFonts w:hint="eastAsia"/>
          <w:color w:val="000000"/>
          <w:highlight w:val="none"/>
          <w:lang w:eastAsia="zh-CN"/>
        </w:rPr>
        <w:t>（1）工程施工超标准洪水风险主要是暴雨引起的水位超标，导致临时围堰垮塌、外水进入施工场地，进入基坑引起内涝，冲毁建筑物，更可能造成人身伤亡、设备受损等；起重设备等设备、设施因基础受淹、浸泡引发下沉、变形、倒塌造成财产损失或者人员伤亡事故；现场宿舍、食堂、仓库、围墙、配电室等临时设施受雨水浸泡而遭受破坏或者倒塌，可能造成人员伤亡、财产损失；配电设施受潮、受淹造成短路、触电等灾害。</w:t>
      </w:r>
    </w:p>
    <w:p>
      <w:pPr>
        <w:ind w:firstLine="480"/>
        <w:jc w:val="left"/>
        <w:rPr>
          <w:rFonts w:hint="eastAsia"/>
          <w:color w:val="000000"/>
          <w:lang w:eastAsia="zh-CN"/>
        </w:rPr>
      </w:pPr>
      <w:r>
        <w:rPr>
          <w:rFonts w:hint="eastAsia"/>
          <w:color w:val="000000"/>
          <w:lang w:eastAsia="zh-CN"/>
        </w:rPr>
        <w:t>（2）应对措施</w:t>
      </w:r>
    </w:p>
    <w:p>
      <w:pPr>
        <w:ind w:firstLine="480"/>
        <w:jc w:val="left"/>
        <w:rPr>
          <w:rFonts w:hint="eastAsia"/>
          <w:color w:val="000000"/>
          <w:lang w:eastAsia="zh-CN"/>
        </w:rPr>
      </w:pPr>
      <w:r>
        <w:rPr>
          <w:rFonts w:hint="eastAsia"/>
          <w:color w:val="000000"/>
          <w:lang w:eastAsia="zh-CN"/>
        </w:rPr>
        <w:t>①</w:t>
      </w:r>
      <w:r>
        <w:rPr>
          <w:rFonts w:hint="eastAsia"/>
          <w:color w:val="000000"/>
          <w:lang w:eastAsia="zh-CN"/>
        </w:rPr>
        <w:t>事故发生后，由各应急工作小组开展抢险救援工作，并及时向应急办公室汇报现场救援进展情况。</w:t>
      </w:r>
    </w:p>
    <w:p>
      <w:pPr>
        <w:ind w:firstLine="480"/>
        <w:jc w:val="left"/>
        <w:rPr>
          <w:rFonts w:hint="eastAsia"/>
          <w:color w:val="000000"/>
          <w:lang w:eastAsia="zh-CN"/>
        </w:rPr>
      </w:pPr>
      <w:r>
        <w:rPr>
          <w:rFonts w:hint="eastAsia"/>
          <w:color w:val="000000"/>
          <w:lang w:eastAsia="zh-CN"/>
        </w:rPr>
        <w:t>②</w:t>
      </w:r>
      <w:r>
        <w:rPr>
          <w:rFonts w:hint="eastAsia"/>
          <w:color w:val="000000"/>
          <w:lang w:eastAsia="zh-CN"/>
        </w:rPr>
        <w:t>应急办公室到达现场后，及时向现场指挥人员了解救援进展情况，接管现场的指挥工作。</w:t>
      </w:r>
    </w:p>
    <w:p>
      <w:pPr>
        <w:ind w:firstLine="480"/>
        <w:jc w:val="left"/>
        <w:rPr>
          <w:rFonts w:hint="eastAsia"/>
          <w:color w:val="000000"/>
          <w:lang w:eastAsia="zh-CN"/>
        </w:rPr>
      </w:pPr>
      <w:r>
        <w:rPr>
          <w:rFonts w:hint="eastAsia"/>
          <w:color w:val="000000"/>
          <w:lang w:eastAsia="zh-CN"/>
        </w:rPr>
        <w:t>③</w:t>
      </w:r>
      <w:r>
        <w:rPr>
          <w:rFonts w:hint="eastAsia"/>
          <w:color w:val="000000"/>
          <w:lang w:eastAsia="zh-CN"/>
        </w:rPr>
        <w:t>暴雨引起洪水进入基坑时，抢险小组按照工作组命令，在负责管辖的洞口利用储备沙袋砌筑挡水围堰，或调用装载机、自卸车等设备将黄土运输至基坑砌筑围堰，阻止雨水倒灌进入洞内，同时还应加强岩壁渗水引排，防止基坑坍塌，并及时将基坑渗水抽排至洞外。</w:t>
      </w:r>
    </w:p>
    <w:p>
      <w:pPr>
        <w:ind w:firstLine="480"/>
        <w:jc w:val="left"/>
        <w:rPr>
          <w:rFonts w:hint="eastAsia"/>
          <w:color w:val="000000"/>
          <w:lang w:eastAsia="zh-CN"/>
        </w:rPr>
      </w:pPr>
      <w:r>
        <w:rPr>
          <w:rFonts w:hint="eastAsia"/>
          <w:color w:val="000000"/>
          <w:lang w:eastAsia="zh-CN"/>
        </w:rPr>
        <w:t>④</w:t>
      </w:r>
      <w:r>
        <w:rPr>
          <w:rFonts w:hint="eastAsia"/>
          <w:color w:val="000000"/>
          <w:lang w:eastAsia="zh-CN"/>
        </w:rPr>
        <w:t>暴雨引发基坑坍塌、水土流失事故时，在确保人员、设备安全的前提下，使用挖掘机、装载机、自卸车等大型机械设备根据现场实际情况开挖临时沟渠，修筑挡水围堰，将暴雨导致洪水引排，防止基坑坍塌或水土流失事故的进一步扩大。</w:t>
      </w:r>
    </w:p>
    <w:p>
      <w:pPr>
        <w:ind w:firstLine="480"/>
        <w:jc w:val="left"/>
        <w:rPr>
          <w:rFonts w:hint="eastAsia"/>
          <w:color w:val="000000"/>
          <w:lang w:eastAsia="zh-CN"/>
        </w:rPr>
      </w:pPr>
      <w:r>
        <w:rPr>
          <w:rFonts w:hint="eastAsia"/>
          <w:color w:val="000000"/>
          <w:lang w:eastAsia="zh-CN"/>
        </w:rPr>
        <w:t>⑤</w:t>
      </w:r>
      <w:r>
        <w:rPr>
          <w:rFonts w:hint="eastAsia"/>
          <w:color w:val="000000"/>
          <w:lang w:eastAsia="zh-CN"/>
        </w:rPr>
        <w:t>如有人员伤亡或被困，应及时将受伤或被困人员救出并转移至安全地点，进行现场急救，同时与当地医疗急救机构取得联系，请求派出救护车辆赶赴现场，将伤者送往医院实施进一步救治。</w:t>
      </w:r>
    </w:p>
    <w:p>
      <w:pPr>
        <w:ind w:firstLine="480"/>
        <w:jc w:val="left"/>
        <w:rPr>
          <w:rFonts w:hint="eastAsia"/>
          <w:color w:val="000000"/>
          <w:lang w:eastAsia="zh-CN"/>
        </w:rPr>
      </w:pPr>
      <w:r>
        <w:rPr>
          <w:rFonts w:hint="eastAsia"/>
          <w:color w:val="000000"/>
          <w:lang w:eastAsia="zh-CN"/>
        </w:rPr>
        <w:t>⑥</w:t>
      </w:r>
      <w:r>
        <w:rPr>
          <w:rFonts w:hint="eastAsia"/>
          <w:color w:val="000000"/>
          <w:lang w:eastAsia="zh-CN"/>
        </w:rPr>
        <w:t>如果出现超标准洪水时，防洪度汛指挥机构应迅速响应政府指挥，积极组织抢险，组织工程区内的人员和机械设备紧急撒离，做好淹没区的疏散和财产保护。</w:t>
      </w:r>
    </w:p>
    <w:p>
      <w:pPr>
        <w:pStyle w:val="60"/>
        <w:ind w:firstLine="480"/>
        <w:jc w:val="center"/>
        <w:rPr>
          <w:color w:val="000000"/>
          <w:lang w:eastAsia="zh-CN"/>
        </w:rPr>
      </w:pPr>
      <w:r>
        <w:rPr>
          <w:rFonts w:hint="eastAsia"/>
          <w:color w:val="000000"/>
          <w:lang w:eastAsia="zh-CN"/>
        </w:rPr>
        <w:t>表3-1 标段防洪度汛风险源分析统计表</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55"/>
        <w:gridCol w:w="1939"/>
        <w:gridCol w:w="1910"/>
        <w:gridCol w:w="2779"/>
        <w:gridCol w:w="1534"/>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604"/>
          <w:jc w:val="center"/>
        </w:trPr>
        <w:tc>
          <w:tcPr>
            <w:tcW w:w="855"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序号</w:t>
            </w:r>
          </w:p>
        </w:tc>
        <w:tc>
          <w:tcPr>
            <w:tcW w:w="193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风险来源</w:t>
            </w:r>
          </w:p>
        </w:tc>
        <w:tc>
          <w:tcPr>
            <w:tcW w:w="1910"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危险因素分析</w:t>
            </w:r>
          </w:p>
        </w:tc>
        <w:tc>
          <w:tcPr>
            <w:tcW w:w="277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严重程度</w:t>
            </w:r>
          </w:p>
        </w:tc>
        <w:tc>
          <w:tcPr>
            <w:tcW w:w="1534" w:type="dxa"/>
          </w:tcPr>
          <w:p>
            <w:pPr>
              <w:ind w:firstLine="0" w:firstLineChars="0"/>
              <w:rPr>
                <w:color w:val="000000"/>
                <w:sz w:val="21"/>
                <w:szCs w:val="21"/>
                <w:lang w:eastAsia="zh-CN"/>
              </w:rPr>
            </w:pPr>
            <w:r>
              <w:rPr>
                <w:rFonts w:hint="eastAsia"/>
                <w:color w:val="000000"/>
                <w:sz w:val="21"/>
                <w:szCs w:val="21"/>
                <w:lang w:eastAsia="zh-CN"/>
              </w:rPr>
              <w:t>影响范围</w:t>
            </w:r>
          </w:p>
        </w:tc>
      </w:tr>
    </w:tbl>
    <w:p>
      <w:pPr>
        <w:sectPr>
          <w:headerReference w:type="even" r:id="rId39"/>
          <w:footerReference w:type="even" r:id="rId40"/>
          <w:footerReference w:type="default" r:id="rId41"/>
          <w:headerReference w:type="first" r:id="rId42"/>
          <w:footerReference w:type="first" r:id="rId43"/>
          <w:type w:val="nextPage"/>
          <w:pgSz w:w="11906" w:h="16838"/>
          <w:pgMar w:top="1440" w:right="1800" w:bottom="1440" w:left="1800" w:header="567" w:footer="992" w:gutter="0"/>
          <w:pgNumType w:fmt="decimal" w:start="7"/>
          <w:cols w:space="708"/>
          <w:titlePg w:val="0"/>
          <w:docGrid w:type="linesAndChars" w:linePitch="326"/>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55"/>
        <w:gridCol w:w="1939"/>
        <w:gridCol w:w="1910"/>
        <w:gridCol w:w="2779"/>
        <w:gridCol w:w="1534"/>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881"/>
          <w:jc w:val="center"/>
        </w:trPr>
        <w:tc>
          <w:tcPr>
            <w:tcW w:w="855"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1</w:t>
            </w:r>
          </w:p>
        </w:tc>
        <w:tc>
          <w:tcPr>
            <w:tcW w:w="193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门式起重机</w:t>
            </w:r>
          </w:p>
          <w:p>
            <w:pPr>
              <w:pStyle w:val="NoSpacing"/>
              <w:rPr>
                <w:rFonts w:ascii="宋体" w:hAnsi="宋体" w:cs="宋体" w:hint="eastAsia"/>
                <w:color w:val="000000"/>
                <w:szCs w:val="21"/>
                <w:lang w:eastAsia="zh-CN"/>
              </w:rPr>
            </w:pPr>
            <w:r>
              <w:rPr>
                <w:rFonts w:ascii="宋体" w:hAnsi="宋体" w:cs="宋体" w:hint="eastAsia"/>
                <w:color w:val="000000"/>
                <w:szCs w:val="21"/>
                <w:lang w:eastAsia="zh-CN"/>
              </w:rPr>
              <w:t>损毁</w:t>
            </w:r>
          </w:p>
        </w:tc>
        <w:tc>
          <w:tcPr>
            <w:tcW w:w="1910"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降雨量过大、基坑大量积水</w:t>
            </w:r>
          </w:p>
        </w:tc>
        <w:tc>
          <w:tcPr>
            <w:tcW w:w="277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工作井大面积积水，</w:t>
            </w:r>
            <w:r>
              <w:rPr>
                <w:rFonts w:ascii="宋体" w:hAnsi="宋体" w:cs="宋体" w:hint="eastAsia"/>
                <w:color w:val="000000"/>
                <w:szCs w:val="21"/>
                <w:lang w:val="zh-CN" w:eastAsia="zh-CN"/>
              </w:rPr>
              <w:t>盾构机机器设备淹水</w:t>
            </w:r>
          </w:p>
        </w:tc>
        <w:tc>
          <w:tcPr>
            <w:tcW w:w="1534"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工作井及周边建筑物</w:t>
            </w:r>
          </w:p>
        </w:tc>
      </w:tr>
      <w:tr>
        <w:tblPrEx>
          <w:tblW w:w="0" w:type="auto"/>
          <w:jc w:val="center"/>
          <w:tblLayout w:type="fixed"/>
          <w:tblCellMar>
            <w:top w:w="0" w:type="dxa"/>
            <w:left w:w="108" w:type="dxa"/>
            <w:bottom w:w="0" w:type="dxa"/>
            <w:right w:w="108" w:type="dxa"/>
          </w:tblCellMar>
          <w:tblLook w:val="0000"/>
        </w:tblPrEx>
        <w:trPr>
          <w:trHeight w:val="966"/>
          <w:jc w:val="center"/>
        </w:trPr>
        <w:tc>
          <w:tcPr>
            <w:tcW w:w="855"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2</w:t>
            </w:r>
          </w:p>
        </w:tc>
        <w:tc>
          <w:tcPr>
            <w:tcW w:w="1939" w:type="dxa"/>
            <w:vAlign w:val="center"/>
          </w:tcPr>
          <w:p>
            <w:pPr>
              <w:pStyle w:val="NoSpacing"/>
              <w:rPr>
                <w:rFonts w:ascii="宋体" w:hAnsi="宋体" w:cs="宋体" w:hint="eastAsia"/>
                <w:color w:val="000000"/>
                <w:szCs w:val="21"/>
                <w:highlight w:val="yellow"/>
                <w:lang w:eastAsia="zh-CN"/>
              </w:rPr>
            </w:pPr>
            <w:r>
              <w:rPr>
                <w:rFonts w:ascii="宋体" w:hAnsi="宋体" w:cs="宋体" w:hint="eastAsia"/>
                <w:color w:val="000000"/>
                <w:szCs w:val="21"/>
                <w:lang w:eastAsia="zh-CN"/>
              </w:rPr>
              <w:t>房屋设施受损</w:t>
            </w:r>
          </w:p>
        </w:tc>
        <w:tc>
          <w:tcPr>
            <w:tcW w:w="1910"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降雨量过大、导致房屋周边大量积水</w:t>
            </w:r>
          </w:p>
        </w:tc>
        <w:tc>
          <w:tcPr>
            <w:tcW w:w="2779" w:type="dxa"/>
            <w:vAlign w:val="center"/>
          </w:tcPr>
          <w:p>
            <w:pPr>
              <w:pStyle w:val="NoSpacing"/>
              <w:rPr>
                <w:rFonts w:ascii="宋体" w:hAnsi="宋体" w:cs="宋体" w:hint="eastAsia"/>
                <w:color w:val="000000"/>
                <w:szCs w:val="21"/>
                <w:lang w:eastAsia="zh-CN"/>
              </w:rPr>
            </w:pPr>
            <w:r>
              <w:rPr>
                <w:rFonts w:hint="eastAsia"/>
                <w:color w:val="000000"/>
                <w:lang w:eastAsia="zh-CN"/>
              </w:rPr>
              <w:t>房屋出现裂缝、倾斜、变形现象</w:t>
            </w:r>
          </w:p>
        </w:tc>
        <w:tc>
          <w:tcPr>
            <w:tcW w:w="1534"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工作井及周边建筑物</w:t>
            </w:r>
          </w:p>
        </w:tc>
      </w:tr>
      <w:tr>
        <w:tblPrEx>
          <w:tblW w:w="0" w:type="auto"/>
          <w:jc w:val="center"/>
          <w:tblLayout w:type="fixed"/>
          <w:tblCellMar>
            <w:top w:w="0" w:type="dxa"/>
            <w:left w:w="108" w:type="dxa"/>
            <w:bottom w:w="0" w:type="dxa"/>
            <w:right w:w="108" w:type="dxa"/>
          </w:tblCellMar>
          <w:tblLook w:val="0000"/>
        </w:tblPrEx>
        <w:trPr>
          <w:trHeight w:val="563"/>
          <w:jc w:val="center"/>
        </w:trPr>
        <w:tc>
          <w:tcPr>
            <w:tcW w:w="855"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3</w:t>
            </w:r>
          </w:p>
        </w:tc>
        <w:tc>
          <w:tcPr>
            <w:tcW w:w="1939" w:type="dxa"/>
            <w:vAlign w:val="center"/>
          </w:tcPr>
          <w:p>
            <w:pPr>
              <w:pStyle w:val="NoSpacing"/>
              <w:rPr>
                <w:rFonts w:ascii="宋体" w:hAnsi="宋体" w:cs="宋体" w:hint="eastAsia"/>
                <w:color w:val="000000"/>
                <w:szCs w:val="21"/>
                <w:highlight w:val="yellow"/>
                <w:lang w:eastAsia="zh-CN"/>
              </w:rPr>
            </w:pPr>
            <w:r>
              <w:rPr>
                <w:rFonts w:ascii="宋体" w:hAnsi="宋体" w:cs="宋体" w:hint="eastAsia"/>
                <w:color w:val="000000"/>
                <w:szCs w:val="21"/>
                <w:lang w:eastAsia="zh-CN"/>
              </w:rPr>
              <w:t>基坑积水</w:t>
            </w:r>
          </w:p>
        </w:tc>
        <w:tc>
          <w:tcPr>
            <w:tcW w:w="1910"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排水沟、排水管涵堵塞，造成大面积积水</w:t>
            </w:r>
          </w:p>
        </w:tc>
        <w:tc>
          <w:tcPr>
            <w:tcW w:w="277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外水进入施工场地及盾构工作井，</w:t>
            </w:r>
            <w:r>
              <w:rPr>
                <w:rFonts w:ascii="宋体" w:hAnsi="宋体" w:cs="宋体" w:hint="eastAsia"/>
                <w:color w:val="000000"/>
                <w:szCs w:val="21"/>
                <w:lang w:val="zh-CN" w:eastAsia="zh-CN"/>
              </w:rPr>
              <w:t>盾构机机器设备淹水</w:t>
            </w:r>
          </w:p>
        </w:tc>
        <w:tc>
          <w:tcPr>
            <w:tcW w:w="1534"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工作井及周边建筑物</w:t>
            </w:r>
          </w:p>
        </w:tc>
      </w:tr>
      <w:tr>
        <w:tblPrEx>
          <w:tblW w:w="0" w:type="auto"/>
          <w:jc w:val="center"/>
          <w:tblLayout w:type="fixed"/>
          <w:tblCellMar>
            <w:top w:w="0" w:type="dxa"/>
            <w:left w:w="108" w:type="dxa"/>
            <w:bottom w:w="0" w:type="dxa"/>
            <w:right w:w="108" w:type="dxa"/>
          </w:tblCellMar>
          <w:tblLook w:val="0000"/>
        </w:tblPrEx>
        <w:trPr>
          <w:trHeight w:val="563"/>
          <w:jc w:val="center"/>
        </w:trPr>
        <w:tc>
          <w:tcPr>
            <w:tcW w:w="855"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4</w:t>
            </w:r>
          </w:p>
        </w:tc>
        <w:tc>
          <w:tcPr>
            <w:tcW w:w="1939" w:type="dxa"/>
            <w:vAlign w:val="center"/>
          </w:tcPr>
          <w:p>
            <w:pPr>
              <w:pStyle w:val="NoSpacing"/>
              <w:rPr>
                <w:rFonts w:ascii="宋体" w:hAnsi="宋体" w:cs="宋体" w:hint="eastAsia"/>
                <w:color w:val="000000"/>
                <w:szCs w:val="21"/>
                <w:highlight w:val="yellow"/>
                <w:lang w:eastAsia="zh-CN"/>
              </w:rPr>
            </w:pPr>
            <w:r>
              <w:rPr>
                <w:rFonts w:ascii="宋体" w:hAnsi="宋体" w:cs="宋体" w:hint="eastAsia"/>
                <w:color w:val="000000"/>
                <w:szCs w:val="21"/>
                <w:lang w:eastAsia="zh-CN"/>
              </w:rPr>
              <w:t>涌水涌砂</w:t>
            </w:r>
          </w:p>
        </w:tc>
        <w:tc>
          <w:tcPr>
            <w:tcW w:w="1910"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地下涌水过大、</w:t>
            </w:r>
            <w:r>
              <w:rPr>
                <w:color w:val="000000"/>
                <w:lang w:eastAsia="zh-CN"/>
              </w:rPr>
              <w:t>大量泥砂涌入隧洞</w:t>
            </w:r>
            <w:r>
              <w:rPr>
                <w:rFonts w:hint="eastAsia"/>
                <w:color w:val="000000"/>
                <w:lang w:eastAsia="zh-CN"/>
              </w:rPr>
              <w:t>、</w:t>
            </w:r>
            <w:r>
              <w:rPr>
                <w:rFonts w:ascii="宋体" w:hAnsi="宋体" w:cs="宋体" w:hint="eastAsia"/>
                <w:color w:val="000000"/>
                <w:szCs w:val="21"/>
                <w:lang w:eastAsia="zh-CN"/>
              </w:rPr>
              <w:t>基坑内大面积积水</w:t>
            </w:r>
          </w:p>
        </w:tc>
        <w:tc>
          <w:tcPr>
            <w:tcW w:w="277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工作井长时间积水导致基坑垮塌、周边建筑物沉降、</w:t>
            </w:r>
            <w:r>
              <w:rPr>
                <w:rFonts w:ascii="宋体" w:hAnsi="宋体" w:cs="宋体" w:hint="eastAsia"/>
                <w:color w:val="000000"/>
                <w:szCs w:val="21"/>
                <w:lang w:val="zh-CN" w:eastAsia="zh-CN"/>
              </w:rPr>
              <w:t>盾构机机器设备淹水</w:t>
            </w:r>
          </w:p>
        </w:tc>
        <w:tc>
          <w:tcPr>
            <w:tcW w:w="1534"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工作井及周边建筑物</w:t>
            </w:r>
          </w:p>
        </w:tc>
      </w:tr>
      <w:tr>
        <w:tblPrEx>
          <w:tblW w:w="0" w:type="auto"/>
          <w:jc w:val="center"/>
          <w:tblLayout w:type="fixed"/>
          <w:tblCellMar>
            <w:top w:w="0" w:type="dxa"/>
            <w:left w:w="108" w:type="dxa"/>
            <w:bottom w:w="0" w:type="dxa"/>
            <w:right w:w="108" w:type="dxa"/>
          </w:tblCellMar>
          <w:tblLook w:val="0000"/>
        </w:tblPrEx>
        <w:trPr>
          <w:trHeight w:val="563"/>
          <w:jc w:val="center"/>
        </w:trPr>
        <w:tc>
          <w:tcPr>
            <w:tcW w:w="855"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5</w:t>
            </w:r>
          </w:p>
        </w:tc>
        <w:tc>
          <w:tcPr>
            <w:tcW w:w="1939" w:type="dxa"/>
            <w:vAlign w:val="center"/>
          </w:tcPr>
          <w:p>
            <w:pPr>
              <w:pStyle w:val="NoSpacing"/>
              <w:rPr>
                <w:rFonts w:ascii="宋体" w:hAnsi="宋体" w:cs="宋体" w:hint="eastAsia"/>
                <w:color w:val="000000"/>
                <w:szCs w:val="21"/>
                <w:highlight w:val="yellow"/>
                <w:lang w:eastAsia="zh-CN"/>
              </w:rPr>
            </w:pPr>
            <w:r>
              <w:rPr>
                <w:rFonts w:ascii="宋体" w:hAnsi="宋体" w:cs="宋体" w:hint="eastAsia"/>
                <w:color w:val="000000"/>
                <w:szCs w:val="21"/>
                <w:lang w:eastAsia="zh-CN"/>
              </w:rPr>
              <w:t>基坑坍塌</w:t>
            </w:r>
          </w:p>
        </w:tc>
        <w:tc>
          <w:tcPr>
            <w:tcW w:w="1910"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地下涌水过大、</w:t>
            </w:r>
            <w:r>
              <w:rPr>
                <w:color w:val="000000"/>
                <w:lang w:eastAsia="zh-CN"/>
              </w:rPr>
              <w:t>大量泥砂涌入隧洞</w:t>
            </w:r>
            <w:r>
              <w:rPr>
                <w:rFonts w:hint="eastAsia"/>
                <w:color w:val="000000"/>
                <w:lang w:eastAsia="zh-CN"/>
              </w:rPr>
              <w:t>造成基坑坍塌</w:t>
            </w:r>
          </w:p>
        </w:tc>
        <w:tc>
          <w:tcPr>
            <w:tcW w:w="2779"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基坑坍塌导致龙门吊损毁</w:t>
            </w:r>
          </w:p>
        </w:tc>
        <w:tc>
          <w:tcPr>
            <w:tcW w:w="1534" w:type="dxa"/>
            <w:vAlign w:val="center"/>
          </w:tcPr>
          <w:p>
            <w:pPr>
              <w:pStyle w:val="NoSpacing"/>
              <w:rPr>
                <w:rFonts w:ascii="宋体" w:hAnsi="宋体" w:cs="宋体" w:hint="eastAsia"/>
                <w:color w:val="000000"/>
                <w:szCs w:val="21"/>
                <w:lang w:eastAsia="zh-CN"/>
              </w:rPr>
            </w:pPr>
            <w:r>
              <w:rPr>
                <w:rFonts w:ascii="宋体" w:hAnsi="宋体" w:cs="宋体" w:hint="eastAsia"/>
                <w:color w:val="000000"/>
                <w:szCs w:val="21"/>
                <w:lang w:eastAsia="zh-CN"/>
              </w:rPr>
              <w:t>工作井及周边建筑物</w:t>
            </w:r>
          </w:p>
        </w:tc>
      </w:tr>
    </w:tbl>
    <w:p>
      <w:pPr>
        <w:ind w:firstLine="480"/>
        <w:rPr>
          <w:rFonts w:hint="eastAsia"/>
          <w:color w:val="000000"/>
          <w:lang w:eastAsia="zh-CN"/>
        </w:rPr>
      </w:pPr>
      <w:r>
        <w:rPr>
          <w:rFonts w:hint="eastAsia"/>
          <w:color w:val="000000"/>
          <w:lang w:val="zh-CN" w:eastAsia="zh-CN"/>
        </w:rPr>
        <w:t>工程度汛风险为</w:t>
      </w:r>
      <w:r>
        <w:rPr>
          <w:rFonts w:hint="eastAsia"/>
          <w:color w:val="000000"/>
          <w:lang w:eastAsia="zh-CN"/>
        </w:rPr>
        <w:t>起重设备：起重设备包括汽车吊、履带吊、门式起重机、塔吊等，在作业时遭遇台风易损毁、飞坠。</w:t>
      </w:r>
    </w:p>
    <w:p>
      <w:pPr>
        <w:ind w:firstLine="480"/>
        <w:rPr>
          <w:rFonts w:hint="eastAsia"/>
          <w:color w:val="FF0000"/>
          <w:lang w:eastAsia="zh-CN"/>
        </w:rPr>
      </w:pPr>
      <w:r>
        <w:rPr>
          <w:rFonts w:hint="eastAsia"/>
          <w:color w:val="000000"/>
          <w:lang w:eastAsia="zh-CN"/>
        </w:rPr>
        <w:t>易倒塌建（构）筑物：砂浆站、围档、棚架以及交通、架空输电线路等在台风期间容易倒塌受损。可能导致交通、通讯、水、电中断，造成人身伤亡和财产损失，制约抢险救援工作开展。</w:t>
      </w:r>
    </w:p>
    <w:p>
      <w:pPr>
        <w:ind w:firstLine="480"/>
        <w:rPr>
          <w:color w:val="000000"/>
          <w:lang w:eastAsia="zh-CN"/>
        </w:rPr>
      </w:pPr>
      <w:r>
        <w:rPr>
          <w:rFonts w:hint="eastAsia"/>
          <w:color w:val="000000"/>
          <w:lang w:eastAsia="zh-CN"/>
        </w:rPr>
        <w:t>生活区、办公区临时建筑：主要包括棚屋、板房以及其他大跨度临时建筑等，容易发生揭顶、垮塌、解体。台风次生灾害：台风引起的地质灾害（泥石流）、山洪、积涝以及瘟疫等.</w:t>
      </w:r>
    </w:p>
    <w:p>
      <w:pPr>
        <w:ind w:firstLine="480"/>
        <w:rPr>
          <w:rFonts w:hint="eastAsia"/>
          <w:b/>
          <w:bCs/>
          <w:color w:val="000000"/>
          <w:lang w:eastAsia="zh-CN"/>
        </w:rPr>
      </w:pPr>
      <w:r>
        <w:rPr>
          <w:rFonts w:hint="eastAsia"/>
          <w:color w:val="000000"/>
          <w:lang w:val="zh-CN" w:eastAsia="zh-CN"/>
        </w:rPr>
        <w:t>施工场地防洪排水风险主要是位于平原地区的施工场区因暴雨引起的水位超标，导致外水进入施工场地及盾构工作井，造成盾构机机器设备淹水、电力供应中断及人员伤亡。</w:t>
      </w:r>
    </w:p>
    <w:p>
      <w:pPr>
        <w:pStyle w:val="Heading2"/>
        <w:numPr>
          <w:ilvl w:val="0"/>
          <w:numId w:val="0"/>
        </w:numPr>
        <w:rPr>
          <w:rFonts w:hint="eastAsia"/>
          <w:color w:val="000000"/>
        </w:rPr>
      </w:pPr>
      <w:bookmarkStart w:id="53" w:name="_Toc31848"/>
      <w:bookmarkStart w:id="54" w:name="_Toc12302"/>
      <w:bookmarkStart w:id="55" w:name="_Toc1532"/>
      <w:r>
        <w:rPr>
          <w:rFonts w:hint="eastAsia"/>
          <w:color w:val="000000"/>
        </w:rPr>
        <w:t>3.2 应急措施</w:t>
      </w:r>
      <w:bookmarkEnd w:id="53"/>
      <w:bookmarkEnd w:id="54"/>
      <w:bookmarkEnd w:id="55"/>
    </w:p>
    <w:p>
      <w:pPr>
        <w:pStyle w:val="Heading3"/>
        <w:numPr>
          <w:ilvl w:val="0"/>
          <w:numId w:val="0"/>
        </w:numPr>
        <w:rPr>
          <w:rFonts w:hint="eastAsia"/>
          <w:color w:val="000000"/>
        </w:rPr>
      </w:pPr>
      <w:bookmarkStart w:id="56" w:name="_Toc24164"/>
      <w:bookmarkStart w:id="57" w:name="_Toc29366"/>
      <w:bookmarkStart w:id="58" w:name="_Toc5212"/>
      <w:r>
        <w:rPr>
          <w:rFonts w:hint="eastAsia"/>
          <w:color w:val="000000"/>
        </w:rPr>
        <w:t>3.2.1 门式起重机损毁应急措施</w:t>
      </w:r>
      <w:bookmarkEnd w:id="56"/>
      <w:bookmarkEnd w:id="57"/>
      <w:bookmarkEnd w:id="58"/>
    </w:p>
    <w:p>
      <w:pPr>
        <w:pStyle w:val="BodyText"/>
        <w:ind w:firstLine="480"/>
        <w:rPr>
          <w:rFonts w:hint="eastAsia"/>
          <w:color w:val="000000"/>
          <w:sz w:val="24"/>
          <w:lang w:eastAsia="zh-CN" w:bidi="en-US"/>
        </w:rPr>
      </w:pPr>
      <w:r>
        <w:rPr>
          <w:rFonts w:hint="eastAsia"/>
          <w:color w:val="000000"/>
          <w:sz w:val="24"/>
          <w:lang w:eastAsia="zh-CN" w:bidi="en-US"/>
        </w:rPr>
        <w:t>（1）现场警戒和隔离。</w:t>
      </w:r>
    </w:p>
    <w:p>
      <w:pPr>
        <w:pStyle w:val="BodyText"/>
        <w:ind w:firstLine="480"/>
        <w:rPr>
          <w:rFonts w:hint="eastAsia"/>
          <w:color w:val="000000"/>
          <w:sz w:val="24"/>
          <w:lang w:eastAsia="zh-CN" w:bidi="en-US"/>
        </w:rPr>
        <w:sectPr>
          <w:headerReference w:type="even" r:id="rId44"/>
          <w:footerReference w:type="even" r:id="rId45"/>
          <w:footerReference w:type="default" r:id="rId46"/>
          <w:headerReference w:type="first" r:id="rId47"/>
          <w:footerReference w:type="first" r:id="rId48"/>
          <w:type w:val="nextPage"/>
          <w:pgSz w:w="11906" w:h="16838"/>
          <w:pgMar w:top="1440" w:right="1800" w:bottom="1440" w:left="1800" w:header="567" w:footer="992" w:gutter="0"/>
          <w:pgNumType w:fmt="decimal" w:start="8"/>
          <w:cols w:space="708"/>
          <w:titlePg w:val="0"/>
          <w:docGrid w:type="linesAndChars" w:linePitch="326"/>
        </w:sectPr>
      </w:pPr>
      <w:r>
        <w:rPr>
          <w:rFonts w:hint="eastAsia"/>
          <w:color w:val="000000"/>
          <w:sz w:val="24"/>
          <w:lang w:eastAsia="zh-CN" w:bidi="en-US"/>
        </w:rPr>
        <w:t>（2）紧急通知危险区域以内的人员撤离和疏散。</w:t>
      </w:r>
    </w:p>
    <w:p>
      <w:pPr>
        <w:ind w:firstLine="480"/>
        <w:rPr>
          <w:rFonts w:hint="eastAsia"/>
          <w:color w:val="000000"/>
          <w:lang w:eastAsia="zh-CN"/>
        </w:rPr>
      </w:pPr>
      <w:r>
        <w:rPr>
          <w:rFonts w:hint="eastAsia"/>
          <w:color w:val="000000"/>
          <w:lang w:eastAsia="zh-CN"/>
        </w:rPr>
        <w:t>（3）根据现场实际出现的事故（隐患）现象，参照设备维修使用说明书中的故障排除和紧急情况处置条款执行，以切断事故发展的链条，使突发危险从事故的临界状态回复到正常状态。</w:t>
      </w:r>
    </w:p>
    <w:p>
      <w:pPr>
        <w:ind w:firstLine="480"/>
        <w:rPr>
          <w:rFonts w:hint="eastAsia"/>
          <w:color w:val="000000"/>
          <w:lang w:eastAsia="zh-CN"/>
        </w:rPr>
      </w:pPr>
      <w:r>
        <w:rPr>
          <w:rFonts w:hint="eastAsia"/>
          <w:color w:val="000000"/>
          <w:lang w:eastAsia="zh-CN"/>
        </w:rPr>
        <w:t>（4）门式起重机漏电触电应急处理，采用绝缘物分开导电体与伤员的接触。</w:t>
      </w:r>
    </w:p>
    <w:p>
      <w:pPr>
        <w:ind w:firstLine="480"/>
        <w:rPr>
          <w:rFonts w:hint="eastAsia"/>
          <w:color w:val="000000"/>
          <w:lang w:eastAsia="zh-CN"/>
        </w:rPr>
      </w:pPr>
      <w:r>
        <w:rPr>
          <w:rFonts w:hint="eastAsia"/>
          <w:color w:val="000000"/>
          <w:lang w:eastAsia="zh-CN"/>
        </w:rPr>
        <w:t>（5）加强门式起重机周边地表监测，出现异常情况及时向防汛工作组汇报。</w:t>
      </w:r>
    </w:p>
    <w:p>
      <w:pPr>
        <w:pStyle w:val="Heading3"/>
        <w:numPr>
          <w:ilvl w:val="0"/>
          <w:numId w:val="0"/>
        </w:numPr>
        <w:rPr>
          <w:rFonts w:hint="eastAsia"/>
          <w:color w:val="000000"/>
        </w:rPr>
      </w:pPr>
      <w:bookmarkStart w:id="59" w:name="_Toc20854"/>
      <w:bookmarkStart w:id="60" w:name="_Toc1318"/>
      <w:bookmarkStart w:id="61" w:name="_Toc1743"/>
      <w:r>
        <w:rPr>
          <w:rFonts w:hint="eastAsia"/>
          <w:color w:val="000000"/>
        </w:rPr>
        <w:t>3.2.2 房屋设施受损应急措施</w:t>
      </w:r>
      <w:bookmarkEnd w:id="59"/>
      <w:bookmarkEnd w:id="60"/>
      <w:bookmarkEnd w:id="61"/>
    </w:p>
    <w:p>
      <w:pPr>
        <w:ind w:firstLine="480"/>
        <w:rPr>
          <w:rFonts w:hint="eastAsia"/>
          <w:color w:val="000000"/>
          <w:lang w:eastAsia="zh-CN"/>
        </w:rPr>
      </w:pPr>
      <w:r>
        <w:rPr>
          <w:rFonts w:hint="eastAsia"/>
          <w:color w:val="000000"/>
          <w:lang w:eastAsia="zh-CN"/>
        </w:rPr>
        <w:t>（1）现场警戒和隔离。</w:t>
      </w:r>
    </w:p>
    <w:p>
      <w:pPr>
        <w:ind w:firstLine="480"/>
        <w:rPr>
          <w:rFonts w:hint="eastAsia"/>
          <w:color w:val="000000"/>
          <w:lang w:eastAsia="zh-CN"/>
        </w:rPr>
      </w:pPr>
      <w:r>
        <w:rPr>
          <w:rFonts w:hint="eastAsia"/>
          <w:color w:val="000000"/>
          <w:lang w:eastAsia="zh-CN"/>
        </w:rPr>
        <w:t>（2）当出现周边建（构）筑物及房屋出现开裂时，地基加固法对受损建（构）筑物进行加固，确保房屋的整体性和结构构件的承载能力。</w:t>
      </w:r>
    </w:p>
    <w:p>
      <w:pPr>
        <w:pStyle w:val="BodyText"/>
        <w:ind w:firstLine="480"/>
        <w:rPr>
          <w:rFonts w:hint="eastAsia"/>
          <w:color w:val="000000"/>
          <w:sz w:val="24"/>
          <w:lang w:eastAsia="zh-CN" w:bidi="en-US"/>
        </w:rPr>
      </w:pPr>
      <w:r>
        <w:rPr>
          <w:rFonts w:hint="eastAsia"/>
          <w:color w:val="000000"/>
          <w:sz w:val="24"/>
          <w:lang w:eastAsia="zh-CN" w:bidi="en-US"/>
        </w:rPr>
        <w:t>（3</w:t>
      </w:r>
      <w:r>
        <w:rPr>
          <w:color w:val="000000"/>
          <w:sz w:val="24"/>
          <w:lang w:eastAsia="zh-CN" w:bidi="en-US"/>
        </w:rPr>
        <w:t>）</w:t>
      </w:r>
      <w:r>
        <w:rPr>
          <w:rFonts w:hint="eastAsia"/>
          <w:color w:val="000000"/>
          <w:sz w:val="24"/>
          <w:lang w:eastAsia="zh-CN" w:bidi="en-US"/>
        </w:rPr>
        <w:t>紧急通知危险区域以内的人员撤离和疏散。</w:t>
      </w:r>
    </w:p>
    <w:p>
      <w:pPr>
        <w:ind w:firstLine="480"/>
        <w:rPr>
          <w:rFonts w:hint="eastAsia"/>
          <w:color w:val="000000"/>
          <w:lang w:eastAsia="zh-CN"/>
        </w:rPr>
      </w:pPr>
      <w:r>
        <w:rPr>
          <w:rFonts w:hint="eastAsia"/>
          <w:color w:val="000000"/>
          <w:lang w:eastAsia="zh-CN"/>
        </w:rPr>
        <w:t>（4）加强房屋设施周边地表监测，出现异常情况及时向防汛工作组汇报。</w:t>
      </w:r>
    </w:p>
    <w:p>
      <w:pPr>
        <w:pStyle w:val="Heading3"/>
        <w:numPr>
          <w:ilvl w:val="0"/>
          <w:numId w:val="0"/>
        </w:numPr>
        <w:rPr>
          <w:rFonts w:cs="宋体" w:hint="eastAsia"/>
          <w:color w:val="000000"/>
          <w:szCs w:val="21"/>
        </w:rPr>
      </w:pPr>
      <w:bookmarkStart w:id="62" w:name="_Toc32048"/>
      <w:bookmarkStart w:id="63" w:name="_Toc12750"/>
      <w:bookmarkStart w:id="64" w:name="_Toc13723"/>
      <w:r>
        <w:rPr>
          <w:rFonts w:hint="eastAsia"/>
          <w:color w:val="000000"/>
        </w:rPr>
        <w:t>3.2.3 基坑积水</w:t>
      </w:r>
      <w:r>
        <w:rPr>
          <w:rFonts w:cs="宋体" w:hint="eastAsia"/>
          <w:color w:val="000000"/>
          <w:szCs w:val="21"/>
        </w:rPr>
        <w:t>应急措施</w:t>
      </w:r>
      <w:bookmarkEnd w:id="62"/>
      <w:bookmarkEnd w:id="63"/>
      <w:bookmarkEnd w:id="64"/>
    </w:p>
    <w:p>
      <w:pPr>
        <w:ind w:firstLine="480"/>
        <w:rPr>
          <w:rFonts w:cs="宋体" w:hint="eastAsia"/>
          <w:color w:val="000000"/>
          <w:szCs w:val="21"/>
          <w:lang w:eastAsia="zh-CN"/>
        </w:rPr>
      </w:pPr>
      <w:r>
        <w:rPr>
          <w:rFonts w:cs="宋体" w:hint="eastAsia"/>
          <w:color w:val="000000"/>
          <w:szCs w:val="21"/>
          <w:lang w:eastAsia="zh-CN"/>
        </w:rPr>
        <w:t>（1）加固并加高工作井周边围堰，同时疏通排水沟、排水管。</w:t>
      </w:r>
    </w:p>
    <w:p>
      <w:pPr>
        <w:ind w:firstLine="480"/>
        <w:rPr>
          <w:rFonts w:cs="宋体" w:hint="eastAsia"/>
          <w:color w:val="000000"/>
          <w:szCs w:val="21"/>
          <w:lang w:eastAsia="zh-CN"/>
        </w:rPr>
      </w:pPr>
      <w:r>
        <w:rPr>
          <w:rFonts w:cs="宋体" w:hint="eastAsia"/>
          <w:color w:val="000000"/>
          <w:szCs w:val="21"/>
          <w:lang w:eastAsia="zh-CN"/>
        </w:rPr>
        <w:t>（2）启用基坑内备用水泵，同时准备启用应急仓库里的应急水泵。</w:t>
      </w:r>
    </w:p>
    <w:p>
      <w:pPr>
        <w:ind w:firstLine="480"/>
        <w:rPr>
          <w:rFonts w:cs="宋体" w:hint="eastAsia"/>
          <w:color w:val="000000"/>
          <w:szCs w:val="21"/>
          <w:lang w:eastAsia="zh-CN"/>
        </w:rPr>
      </w:pPr>
      <w:r>
        <w:rPr>
          <w:rFonts w:cs="宋体" w:hint="eastAsia"/>
          <w:color w:val="000000"/>
          <w:szCs w:val="21"/>
          <w:lang w:eastAsia="zh-CN"/>
        </w:rPr>
        <w:t>（3）加强基坑周围地表监测，出现异常情况及时向防汛工作组汇报。</w:t>
      </w:r>
    </w:p>
    <w:p>
      <w:pPr>
        <w:pStyle w:val="Heading3"/>
        <w:numPr>
          <w:ilvl w:val="0"/>
          <w:numId w:val="0"/>
        </w:numPr>
        <w:rPr>
          <w:rFonts w:cs="宋体" w:hint="eastAsia"/>
          <w:color w:val="000000"/>
          <w:szCs w:val="21"/>
        </w:rPr>
      </w:pPr>
      <w:bookmarkStart w:id="65" w:name="_Toc18554"/>
      <w:bookmarkStart w:id="66" w:name="_Toc30672"/>
      <w:bookmarkStart w:id="67" w:name="_Toc7026"/>
      <w:r>
        <w:rPr>
          <w:rFonts w:hint="eastAsia"/>
          <w:color w:val="000000"/>
        </w:rPr>
        <w:t>3.2.4 涌水涌砂</w:t>
      </w:r>
      <w:r>
        <w:rPr>
          <w:rFonts w:cs="宋体" w:hint="eastAsia"/>
          <w:color w:val="000000"/>
          <w:szCs w:val="21"/>
        </w:rPr>
        <w:t>应急措施</w:t>
      </w:r>
      <w:bookmarkEnd w:id="65"/>
      <w:bookmarkEnd w:id="66"/>
      <w:bookmarkEnd w:id="67"/>
    </w:p>
    <w:p>
      <w:pPr>
        <w:ind w:firstLine="480"/>
        <w:jc w:val="left"/>
        <w:rPr>
          <w:color w:val="000000"/>
          <w:lang w:eastAsia="zh-CN"/>
        </w:rPr>
      </w:pPr>
      <w:r>
        <w:rPr>
          <w:rFonts w:hint="eastAsia"/>
          <w:color w:val="000000"/>
          <w:lang w:eastAsia="zh-CN"/>
        </w:rPr>
        <w:t>（1）立即停止相关部位的施工，撤离现场人员，疏散涉险建/构筑物内及周边人员，救援被困及受伤人员。</w:t>
      </w:r>
    </w:p>
    <w:p>
      <w:pPr>
        <w:ind w:firstLine="480"/>
        <w:jc w:val="left"/>
        <w:rPr>
          <w:color w:val="000000"/>
          <w:lang w:eastAsia="zh-CN"/>
        </w:rPr>
      </w:pPr>
      <w:r>
        <w:rPr>
          <w:rFonts w:hint="eastAsia"/>
          <w:color w:val="000000"/>
          <w:lang w:eastAsia="zh-CN"/>
        </w:rPr>
        <w:t>（2）控制现场，设立安全警戒线，并会同交警部门对周边道路交通进行封闭及疏解。</w:t>
      </w:r>
    </w:p>
    <w:p>
      <w:pPr>
        <w:ind w:firstLine="480"/>
        <w:jc w:val="left"/>
        <w:rPr>
          <w:color w:val="000000"/>
          <w:lang w:eastAsia="zh-CN"/>
        </w:rPr>
      </w:pPr>
      <w:r>
        <w:rPr>
          <w:rFonts w:hint="eastAsia"/>
          <w:color w:val="000000"/>
          <w:lang w:eastAsia="zh-CN"/>
        </w:rPr>
        <w:t>（3）召开有关人员参加的抢险紧急会议，根据现场实际情况制定应急方案，并按照方案进行应急处理。</w:t>
      </w:r>
    </w:p>
    <w:p>
      <w:pPr>
        <w:ind w:firstLine="480"/>
        <w:jc w:val="left"/>
        <w:rPr>
          <w:color w:val="000000"/>
          <w:lang w:eastAsia="zh-CN"/>
        </w:rPr>
      </w:pPr>
      <w:r>
        <w:rPr>
          <w:rFonts w:hint="eastAsia"/>
          <w:color w:val="000000"/>
          <w:lang w:eastAsia="zh-CN"/>
        </w:rPr>
        <w:t>（4）会同相关产权单位，加强对周围建/构筑物、管线和道路的监控，出现异常情况及时向防汛工作组汇报。</w:t>
      </w:r>
    </w:p>
    <w:p>
      <w:pPr>
        <w:pStyle w:val="Heading3"/>
        <w:numPr>
          <w:ilvl w:val="0"/>
          <w:numId w:val="0"/>
        </w:numPr>
        <w:rPr>
          <w:rFonts w:cs="宋体" w:hint="eastAsia"/>
          <w:color w:val="000000"/>
          <w:szCs w:val="21"/>
        </w:rPr>
      </w:pPr>
      <w:bookmarkStart w:id="68" w:name="_Toc12602"/>
      <w:bookmarkStart w:id="69" w:name="_Toc12346"/>
      <w:bookmarkStart w:id="70" w:name="_Toc8559"/>
      <w:r>
        <w:rPr>
          <w:rFonts w:hint="eastAsia"/>
          <w:color w:val="000000"/>
        </w:rPr>
        <w:t>3.2.5 基坑坍塌</w:t>
      </w:r>
      <w:r>
        <w:rPr>
          <w:rFonts w:cs="宋体" w:hint="eastAsia"/>
          <w:color w:val="000000"/>
          <w:szCs w:val="21"/>
        </w:rPr>
        <w:t>应急措施</w:t>
      </w:r>
      <w:bookmarkEnd w:id="68"/>
      <w:bookmarkEnd w:id="69"/>
      <w:bookmarkEnd w:id="70"/>
    </w:p>
    <w:p>
      <w:pPr>
        <w:ind w:firstLine="480"/>
        <w:rPr>
          <w:color w:val="000000"/>
          <w:lang w:eastAsia="zh-CN"/>
        </w:rPr>
        <w:sectPr>
          <w:headerReference w:type="even" r:id="rId49"/>
          <w:footerReference w:type="even" r:id="rId50"/>
          <w:footerReference w:type="default" r:id="rId51"/>
          <w:headerReference w:type="first" r:id="rId52"/>
          <w:footerReference w:type="first" r:id="rId53"/>
          <w:type w:val="nextPage"/>
          <w:pgSz w:w="11906" w:h="16838"/>
          <w:pgMar w:top="1440" w:right="1800" w:bottom="1440" w:left="1800" w:header="567" w:footer="992" w:gutter="0"/>
          <w:pgNumType w:fmt="decimal" w:start="9"/>
          <w:cols w:space="708"/>
          <w:titlePg w:val="0"/>
          <w:docGrid w:type="linesAndChars" w:linePitch="326"/>
        </w:sectPr>
      </w:pPr>
      <w:r>
        <w:rPr>
          <w:rFonts w:hint="eastAsia"/>
          <w:color w:val="000000"/>
          <w:lang w:eastAsia="zh-CN"/>
        </w:rPr>
        <w:t>（</w:t>
      </w:r>
      <w:r>
        <w:rPr>
          <w:color w:val="000000"/>
          <w:lang w:eastAsia="zh-CN"/>
        </w:rPr>
        <w:t>1）塌方事故发生时，首先应迅速组织现场人员撤离至安全区域，撤离危险场所后，立即清点现场施工人员数量。</w:t>
      </w:r>
    </w:p>
    <w:p>
      <w:pPr>
        <w:ind w:firstLine="480"/>
        <w:rPr>
          <w:color w:val="000000"/>
          <w:lang w:eastAsia="zh-CN"/>
        </w:rPr>
      </w:pPr>
      <w:r>
        <w:rPr>
          <w:rFonts w:hint="eastAsia"/>
          <w:color w:val="000000"/>
          <w:lang w:eastAsia="zh-CN"/>
        </w:rPr>
        <w:t>（</w:t>
      </w:r>
      <w:r>
        <w:rPr>
          <w:color w:val="000000"/>
          <w:lang w:eastAsia="zh-CN"/>
        </w:rPr>
        <w:t>2）塌方事故发生时，若有人员被困，在可能的条件下，应尽快予以通风、排水、供给水和食物等，确保被困人员不致缺氧、缺水等而危及生命安全，同时迅速组织塌方体的处理，以最快速度把人员抢救出来。</w:t>
      </w:r>
    </w:p>
    <w:p>
      <w:pPr>
        <w:ind w:firstLine="480"/>
        <w:rPr>
          <w:color w:val="000000"/>
          <w:lang w:eastAsia="zh-CN"/>
        </w:rPr>
      </w:pPr>
      <w:r>
        <w:rPr>
          <w:rFonts w:hint="eastAsia"/>
          <w:color w:val="000000"/>
          <w:lang w:eastAsia="zh-CN"/>
        </w:rPr>
        <w:t>（</w:t>
      </w:r>
      <w:r>
        <w:rPr>
          <w:color w:val="000000"/>
          <w:lang w:eastAsia="zh-CN"/>
        </w:rPr>
        <w:t>3）若由被土体掩埋的人员，不得使用机械工具，应人工清除，以免造成二次伤害。</w:t>
      </w:r>
    </w:p>
    <w:p>
      <w:pPr>
        <w:ind w:firstLine="480"/>
        <w:rPr>
          <w:color w:val="000000"/>
          <w:lang w:eastAsia="zh-CN"/>
        </w:rPr>
      </w:pPr>
      <w:r>
        <w:rPr>
          <w:rFonts w:hint="eastAsia"/>
          <w:color w:val="000000"/>
          <w:lang w:eastAsia="zh-CN"/>
        </w:rPr>
        <w:t>（</w:t>
      </w:r>
      <w:r>
        <w:rPr>
          <w:color w:val="000000"/>
          <w:lang w:eastAsia="zh-CN"/>
        </w:rPr>
        <w:t>4）如有人员伤害，应迅速采取供氧、人工呼吸、止血等方式，同时迅速与急救中心联系或运送伤员到医院治疗。</w:t>
      </w:r>
    </w:p>
    <w:p>
      <w:pPr>
        <w:ind w:firstLine="480"/>
        <w:rPr>
          <w:color w:val="000000"/>
          <w:lang w:eastAsia="zh-CN"/>
        </w:rPr>
      </w:pPr>
      <w:r>
        <w:rPr>
          <w:rFonts w:hint="eastAsia"/>
          <w:color w:val="000000"/>
          <w:lang w:eastAsia="zh-CN"/>
        </w:rPr>
        <w:t>（</w:t>
      </w:r>
      <w:r>
        <w:rPr>
          <w:color w:val="000000"/>
          <w:lang w:eastAsia="zh-CN"/>
        </w:rPr>
        <w:t>5）塌方发生后，应防止塌方范围继续扩大：</w:t>
      </w:r>
    </w:p>
    <w:p>
      <w:pPr>
        <w:ind w:firstLine="480"/>
        <w:rPr>
          <w:color w:val="000000"/>
          <w:lang w:eastAsia="zh-CN"/>
        </w:rPr>
      </w:pPr>
      <w:r>
        <w:rPr>
          <w:rFonts w:hint="eastAsia"/>
          <w:color w:val="000000"/>
          <w:lang w:eastAsia="zh-CN"/>
        </w:rPr>
        <w:t>①</w:t>
      </w:r>
      <w:r>
        <w:rPr>
          <w:color w:val="000000"/>
          <w:lang w:eastAsia="zh-CN"/>
        </w:rPr>
        <w:t xml:space="preserve"> 在塌方范围的顶部与侧壁危石及大裂缝，应先行清除或锚固。</w:t>
      </w:r>
    </w:p>
    <w:p>
      <w:pPr>
        <w:ind w:firstLine="480"/>
        <w:rPr>
          <w:color w:val="000000"/>
          <w:lang w:eastAsia="zh-CN"/>
        </w:rPr>
      </w:pPr>
      <w:r>
        <w:rPr>
          <w:rFonts w:hint="eastAsia"/>
          <w:color w:val="000000"/>
          <w:lang w:eastAsia="zh-CN"/>
        </w:rPr>
        <w:t>②</w:t>
      </w:r>
      <w:r>
        <w:rPr>
          <w:color w:val="000000"/>
          <w:lang w:eastAsia="zh-CN"/>
        </w:rPr>
        <w:t xml:space="preserve"> 加强原有支护。对塌方范围前后原有的支护进行加固，以防止塌方扩大。</w:t>
      </w:r>
    </w:p>
    <w:p>
      <w:pPr>
        <w:ind w:firstLine="480"/>
        <w:rPr>
          <w:color w:val="000000"/>
          <w:lang w:eastAsia="zh-CN"/>
        </w:rPr>
      </w:pPr>
      <w:r>
        <w:rPr>
          <w:rFonts w:hint="eastAsia"/>
          <w:color w:val="000000"/>
          <w:lang w:eastAsia="zh-CN"/>
        </w:rPr>
        <w:t>③</w:t>
      </w:r>
      <w:r>
        <w:rPr>
          <w:color w:val="000000"/>
          <w:lang w:eastAsia="zh-CN"/>
        </w:rPr>
        <w:t xml:space="preserve"> 在塌方范围内架设支撑或喷射混凝土，必要时架设锚杆。</w:t>
      </w:r>
    </w:p>
    <w:p>
      <w:pPr>
        <w:ind w:firstLine="480"/>
        <w:rPr>
          <w:color w:val="000000"/>
          <w:lang w:eastAsia="zh-CN"/>
        </w:rPr>
      </w:pPr>
      <w:r>
        <w:rPr>
          <w:rFonts w:hint="eastAsia"/>
          <w:color w:val="000000"/>
          <w:lang w:eastAsia="zh-CN"/>
        </w:rPr>
        <w:t>④</w:t>
      </w:r>
      <w:r>
        <w:rPr>
          <w:color w:val="000000"/>
          <w:lang w:eastAsia="zh-CN"/>
        </w:rPr>
        <w:t xml:space="preserve"> 加快衬砌。对塌方两端应尽快做好局部衬砌，以保证塌方不再扩大。</w:t>
      </w:r>
    </w:p>
    <w:p>
      <w:pPr>
        <w:ind w:firstLine="480"/>
        <w:rPr>
          <w:rFonts w:hint="eastAsia"/>
          <w:color w:val="FF0000"/>
          <w:lang w:eastAsia="zh-CN"/>
        </w:rPr>
      </w:pPr>
      <w:r>
        <w:rPr>
          <w:rFonts w:hint="eastAsia"/>
          <w:color w:val="000000"/>
          <w:lang w:eastAsia="zh-CN"/>
        </w:rPr>
        <w:t>（</w:t>
      </w:r>
      <w:r>
        <w:rPr>
          <w:color w:val="000000"/>
          <w:lang w:eastAsia="zh-CN"/>
        </w:rPr>
        <w:t>6）在处理塌方和救援过程中，可在塌方范围内喷射速凝混凝土或选择适当位置护拱等措施，防止塌方再次发生，以掩护施工操作。</w:t>
      </w:r>
    </w:p>
    <w:p>
      <w:pPr>
        <w:ind w:firstLine="480"/>
        <w:rPr>
          <w:rFonts w:hint="eastAsia"/>
          <w:color w:val="FF0000"/>
          <w:lang w:eastAsia="zh-CN"/>
        </w:rPr>
        <w:sectPr>
          <w:headerReference w:type="even" r:id="rId54"/>
          <w:footerReference w:type="even" r:id="rId55"/>
          <w:footerReference w:type="default" r:id="rId56"/>
          <w:headerReference w:type="first" r:id="rId57"/>
          <w:footerReference w:type="first" r:id="rId58"/>
          <w:type w:val="nextPage"/>
          <w:pgSz w:w="11906" w:h="16838"/>
          <w:pgMar w:top="1440" w:right="1800" w:bottom="1440" w:left="1800" w:header="567" w:footer="992" w:gutter="0"/>
          <w:pgNumType w:fmt="decimal" w:start="10"/>
          <w:cols w:space="708"/>
          <w:titlePg w:val="0"/>
          <w:docGrid w:type="linesAndChars" w:linePitch="326"/>
        </w:sectPr>
      </w:pPr>
    </w:p>
    <w:p>
      <w:pPr>
        <w:pStyle w:val="Heading1"/>
        <w:rPr>
          <w:rFonts w:hint="eastAsia"/>
        </w:rPr>
      </w:pPr>
      <w:bookmarkStart w:id="71" w:name="_Toc21465"/>
      <w:bookmarkStart w:id="72" w:name="_Toc23338"/>
      <w:r>
        <w:rPr>
          <w:rFonts w:hint="eastAsia"/>
          <w:color w:val="000000"/>
        </w:rPr>
        <w:t>4 应急组织机构及职责</w:t>
      </w:r>
      <w:bookmarkEnd w:id="71"/>
      <w:bookmarkEnd w:id="72"/>
    </w:p>
    <w:p>
      <w:pPr>
        <w:pStyle w:val="Heading2"/>
        <w:numPr>
          <w:ilvl w:val="0"/>
          <w:numId w:val="0"/>
        </w:numPr>
        <w:rPr>
          <w:rFonts w:cs="宋体" w:hint="eastAsia"/>
          <w:color w:val="000000"/>
          <w:szCs w:val="24"/>
        </w:rPr>
      </w:pPr>
      <w:bookmarkStart w:id="73" w:name="_Toc14002"/>
      <w:bookmarkStart w:id="74" w:name="_Toc2091"/>
      <w:r>
        <w:rPr>
          <w:rFonts w:cs="宋体" w:hint="eastAsia"/>
          <w:color w:val="000000"/>
          <w:szCs w:val="24"/>
        </w:rPr>
        <w:t>4.1 应急组织机构</w:t>
      </w:r>
      <w:bookmarkEnd w:id="73"/>
      <w:bookmarkEnd w:id="74"/>
    </w:p>
    <w:p>
      <w:pPr>
        <w:pStyle w:val="a18"/>
        <w:ind w:firstLine="480"/>
        <w:jc w:val="left"/>
        <w:rPr>
          <w:rFonts w:ascii="宋体" w:eastAsia="宋体" w:hAnsi="宋体" w:cs="Times New Roman" w:hint="eastAsia"/>
          <w:color w:val="000000"/>
          <w:szCs w:val="24"/>
          <w:lang w:eastAsia="zh-CN"/>
        </w:rPr>
      </w:pPr>
      <w:r>
        <w:rPr>
          <w:rFonts w:ascii="宋体" w:eastAsia="宋体" w:hAnsi="宋体" w:cs="Times New Roman" w:hint="eastAsia"/>
          <w:color w:val="000000"/>
          <w:szCs w:val="24"/>
          <w:lang w:eastAsia="zh-CN"/>
        </w:rPr>
        <w:t>为了保证在雨季施工期间，在发生超标洪水等险情时，能快速、及时组织人员进行抢险救灾，尽量减少财产和人员损失，成立以项目经理为领导，项目部各主要成员参与的应急领导小组，并配备足够的抢险物资设备和经受过抢险培训的抢险人员。</w:t>
      </w:r>
    </w:p>
    <w:p>
      <w:pPr>
        <w:pStyle w:val="a18"/>
        <w:ind w:firstLine="480"/>
        <w:jc w:val="left"/>
        <w:rPr>
          <w:rFonts w:ascii="宋体" w:eastAsia="宋体" w:hAnsi="宋体" w:cs="Times New Roman" w:hint="eastAsia"/>
          <w:color w:val="000000"/>
          <w:szCs w:val="24"/>
          <w:lang w:eastAsia="zh-CN"/>
        </w:rPr>
      </w:pPr>
      <w:r>
        <w:rPr>
          <w:rFonts w:ascii="宋体" w:eastAsia="宋体" w:hAnsi="宋体" w:cs="Times New Roman" w:hint="eastAsia"/>
          <w:color w:val="000000"/>
          <w:szCs w:val="24"/>
          <w:lang w:eastAsia="zh-CN"/>
        </w:rPr>
        <w:t>应急领导小组组成如下：</w:t>
      </w:r>
    </w:p>
    <w:p>
      <w:pPr>
        <w:pStyle w:val="52"/>
        <w:ind w:firstLine="480"/>
        <w:rPr>
          <w:color w:val="000000"/>
          <w:lang w:val="en-US" w:eastAsia="zh-CN"/>
        </w:rPr>
      </w:pPr>
      <w:r>
        <w:rPr>
          <w:rFonts w:hint="eastAsia"/>
          <w:color w:val="000000"/>
          <w:lang w:val="en-US" w:eastAsia="zh-CN"/>
        </w:rPr>
        <w:t>组      长：</w:t>
      </w:r>
    </w:p>
    <w:p>
      <w:pPr>
        <w:pStyle w:val="52"/>
        <w:ind w:firstLine="480"/>
        <w:rPr>
          <w:color w:val="000000"/>
          <w:lang w:eastAsia="zh-CN"/>
        </w:rPr>
      </w:pPr>
      <w:r>
        <w:rPr>
          <w:rFonts w:hint="eastAsia"/>
          <w:color w:val="000000"/>
          <w:lang w:eastAsia="zh-CN"/>
        </w:rPr>
        <w:t>副  组  长：</w:t>
      </w:r>
    </w:p>
    <w:p>
      <w:pPr>
        <w:pStyle w:val="a18"/>
        <w:ind w:firstLine="480"/>
        <w:jc w:val="left"/>
        <w:rPr>
          <w:rFonts w:ascii="宋体" w:eastAsia="宋体" w:hAnsi="宋体" w:hint="eastAsia"/>
          <w:color w:val="000000"/>
          <w:lang w:eastAsia="zh-CN"/>
        </w:rPr>
      </w:pPr>
      <w:r>
        <w:rPr>
          <w:rFonts w:ascii="宋体" w:eastAsia="宋体" w:hAnsi="宋体" w:hint="eastAsia"/>
          <w:color w:val="000000"/>
          <w:lang w:eastAsia="zh-CN"/>
        </w:rPr>
        <w:t>成      员：</w:t>
      </w:r>
    </w:p>
    <w:p>
      <w:pPr>
        <w:pStyle w:val="a18"/>
        <w:ind w:firstLine="480"/>
        <w:jc w:val="left"/>
        <w:rPr>
          <w:rFonts w:ascii="宋体" w:eastAsia="宋体" w:hAnsi="宋体" w:cs="Times New Roman" w:hint="eastAsia"/>
          <w:color w:val="000000"/>
          <w:szCs w:val="24"/>
          <w:lang w:val="zh-CN"/>
        </w:rPr>
      </w:pPr>
      <w:r>
        <w:rPr>
          <w:rFonts w:ascii="宋体" w:eastAsia="宋体" w:hAnsi="宋体" w:hint="eastAsia"/>
          <w:color w:val="000000"/>
          <w:lang w:eastAsia="zh-CN"/>
        </w:rPr>
        <w:t>领导小组下设5个专业组，组织现场救援组、专家技术组、后勤保障组、善后处理组、事故调查组工作。另外设置防汛应急办公室，副总工担任办公室主任，工程部全体成员担任办公室成员。</w:t>
      </w:r>
    </w:p>
    <w:p>
      <w:pPr>
        <w:pStyle w:val="a18"/>
        <w:ind w:firstLine="480"/>
        <w:jc w:val="left"/>
        <w:rPr>
          <w:rFonts w:ascii="宋体" w:eastAsia="宋体" w:hAnsi="宋体" w:cs="Times New Roman" w:hint="eastAsia"/>
          <w:color w:val="000000"/>
          <w:szCs w:val="24"/>
          <w:lang w:val="zh-CN" w:eastAsia="zh-CN"/>
        </w:rPr>
      </w:pPr>
      <w:r>
        <w:rPr>
          <w:rFonts w:ascii="宋体" w:eastAsia="宋体" w:hAnsi="宋体" w:cs="Times New Roman" w:hint="eastAsia"/>
          <w:color w:val="000000"/>
          <w:szCs w:val="24"/>
          <w:lang w:val="zh-CN" w:eastAsia="zh-CN"/>
        </w:rPr>
        <w:t>应急组织体系如图</w:t>
      </w:r>
      <w:r>
        <w:rPr>
          <w:rFonts w:ascii="宋体" w:eastAsia="宋体" w:hAnsi="宋体" w:cs="Times New Roman" w:hint="eastAsia"/>
          <w:color w:val="000000"/>
          <w:szCs w:val="24"/>
          <w:lang w:eastAsia="zh-CN"/>
        </w:rPr>
        <w:t>4.1</w:t>
      </w:r>
      <w:r>
        <w:rPr>
          <w:rFonts w:ascii="宋体" w:eastAsia="宋体" w:hAnsi="宋体" w:cs="Times New Roman" w:hint="eastAsia"/>
          <w:color w:val="000000"/>
          <w:szCs w:val="24"/>
          <w:lang w:val="zh-CN" w:eastAsia="zh-CN"/>
        </w:rPr>
        <w:t>-1所示。</w:t>
      </w:r>
    </w:p>
    <w:p>
      <w:pPr>
        <w:pStyle w:val="a18"/>
        <w:ind w:firstLine="1440" w:firstLineChars="600"/>
        <w:jc w:val="left"/>
        <w:rPr>
          <w:rFonts w:hAnsi="宋体"/>
          <w:color w:val="FF0000"/>
        </w:rPr>
      </w:pPr>
      <w:r>
        <w:rPr>
          <w:rFonts w:hAnsi="宋体"/>
          <w:color w:val="FF0000"/>
        </w:rPr>
        <w:pict>
          <v:group id="画布 29" o:spid="_x0000_i1025" editas="canvas" style="width:312.95pt;height:205.95pt;mso-position-horizontal-relative:char;mso-position-vertical-relative:line" coordorigin="0,0" coordsize="3974464,2615564">
            <o:lock v:ext="edit" aspectratio="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editas="canvas" style="width:3974464;height:2615564;mso-position-horizontal-relative:char;mso-position-vertical-relative:line;mso-wrap-style:square;position:absolute" filled="f" stroked="f">
              <v:stroke linestyle="single"/>
              <o:lock v:ext="edit" aspectratio="t"/>
              <o:diagram v:ext="edit" dgmstyle="0" dgmscalex="0" dgmscaley="0" reverse="f"/>
            </v:shape>
            <v:rect id="矩形 30" o:spid="_x0000_s1027" style="width:1673225;height:362585;left:1026795;mso-wrap-style:square;position:absolute;top:93345" filled="t" fillcolor="white" stroked="t">
              <v:stroke linestyle="single"/>
              <o:lock v:ext="edit" aspectratio="f"/>
              <v:textbox>
                <w:txbxContent>
                  <w:p>
                    <w:pPr>
                      <w:ind w:firstLine="480"/>
                      <w:rPr>
                        <w:rFonts w:ascii="仿宋_GB2312" w:eastAsia="仿宋_GB2312"/>
                      </w:rPr>
                    </w:pPr>
                    <w:r>
                      <w:rPr>
                        <w:rFonts w:ascii="仿宋_GB2312" w:eastAsia="仿宋_GB2312" w:hint="eastAsia"/>
                      </w:rPr>
                      <w:t>应急领导小组</w:t>
                    </w:r>
                  </w:p>
                </w:txbxContent>
              </v:textbox>
            </v:rect>
            <v:shapetype id="_x0000_t32" coordsize="21600,21600" o:spt="32" o:oned="t" path="m,l21600,21600e" filled="f">
              <v:path arrowok="t" fillok="f" o:connecttype="none"/>
              <o:lock v:ext="edit" shapetype="t"/>
            </v:shapetype>
            <v:shape id="自选图形 32" o:spid="_x0000_s1028" type="#_x0000_t32" style="width:424180;height:635;left:1870710;mso-wrap-style:square;position:absolute;top:732790" o:connectortype="straight" filled="f" stroked="t">
              <v:stroke linestyle="single"/>
              <v:path arrowok="t" fillok="f"/>
              <o:lock v:ext="edit" aspectratio="f"/>
            </v:shape>
            <v:rect id="矩形 33" o:spid="_x0000_s1029" style="width:1673225;height:362585;left:2294890;mso-wrap-style:square;position:absolute;top:551815" filled="t" fillcolor="white" stroked="t">
              <v:stroke linestyle="single"/>
              <o:lock v:ext="edit" aspectratio="f"/>
              <v:textbox>
                <w:txbxContent>
                  <w:p>
                    <w:pPr>
                      <w:ind w:firstLine="240" w:firstLineChars="100"/>
                      <w:rPr>
                        <w:rFonts w:ascii="仿宋_GB2312" w:eastAsia="仿宋_GB2312"/>
                      </w:rPr>
                    </w:pPr>
                    <w:r>
                      <w:rPr>
                        <w:rFonts w:ascii="仿宋_GB2312" w:eastAsia="仿宋_GB2312" w:hint="eastAsia"/>
                      </w:rPr>
                      <w:t>应急管理办公室</w:t>
                    </w:r>
                  </w:p>
                </w:txbxContent>
              </v:textbox>
            </v:rect>
            <v:shape id="自选图形 34" o:spid="_x0000_s1030" type="#_x0000_t32" style="width:3032760;height:1905;flip:y;left:190500;mso-wrap-style:square;position:absolute;top:1075690" o:connectortype="straight" filled="f" stroked="t">
              <v:stroke linestyle="single"/>
              <v:path arrowok="t" fillok="f"/>
              <o:lock v:ext="edit" aspectratio="f"/>
            </v:shape>
            <v:shape id="自选图形 35" o:spid="_x0000_s1031" type="#_x0000_t32" style="width:635;height:285115;left:199390;mso-wrap-style:square;position:absolute;top:1076960" o:connectortype="straight" filled="f" stroked="t">
              <v:stroke linestyle="single"/>
              <v:path arrowok="t" fillok="f"/>
              <o:lock v:ext="edit" aspectratio="f"/>
            </v:shape>
            <v:shape id="自选图形 36" o:spid="_x0000_s1032" type="#_x0000_t32" style="width:635;height:285115;left:916305;mso-wrap-style:square;position:absolute;top:1076960" o:connectortype="straight" filled="f" stroked="t">
              <v:stroke linestyle="single"/>
              <v:path arrowok="t" fillok="f"/>
              <o:lock v:ext="edit" aspectratio="f"/>
            </v:shape>
            <v:shape id="自选图形 41" o:spid="_x0000_s1033" type="#_x0000_t32" style="width:635;height:285115;left:1678305;mso-wrap-style:square;position:absolute;top:1077595" o:connectortype="straight" filled="f" stroked="t">
              <v:stroke linestyle="single"/>
              <v:path arrowok="t" fillok="f"/>
              <o:lock v:ext="edit" aspectratio="f"/>
            </v:shape>
            <v:shape id="自选图形 42" o:spid="_x0000_s1034" type="#_x0000_t32" style="width:635;height:285115;left:2454275;mso-wrap-style:square;position:absolute;top:1076960" o:connectortype="straight" filled="f" stroked="t">
              <v:stroke linestyle="single"/>
              <v:path arrowok="t" fillok="f"/>
              <o:lock v:ext="edit" aspectratio="f"/>
            </v:shape>
            <v:shape id="自选图形 43" o:spid="_x0000_s1035" type="#_x0000_t32" style="width:635;height:285115;left:3223260;mso-wrap-style:square;position:absolute;top:1075690" o:connectortype="straight" filled="f" stroked="t">
              <v:stroke linestyle="single"/>
              <v:path arrowok="t" fillok="f"/>
              <o:lock v:ext="edit" aspectratio="f"/>
            </v:shape>
            <v:shape id="自选图形 51" o:spid="_x0000_s1036" type="#_x0000_t32" style="width:635;height:621030;flip:x;left:1863090;mso-wrap-style:square;position:absolute;top:455930" o:connectortype="straight" filled="f" stroked="t">
              <v:stroke linestyle="single"/>
              <v:path arrowok="t" fillok="f"/>
              <o:lock v:ext="edit" aspectratio="f"/>
            </v:shape>
            <v:rect id="矩形 92" o:spid="_x0000_s1037" style="width:400050;height:1094740;left:35560;mso-wrap-style:square;position:absolute;top:1360805" filled="t" fillcolor="white" stroked="t">
              <v:stroke linestyle="single"/>
              <o:lock v:ext="edit" aspectratio="f"/>
              <v:textbox>
                <w:txbxContent>
                  <w:p>
                    <w:pPr>
                      <w:spacing w:line="240" w:lineRule="auto"/>
                      <w:ind w:firstLine="0" w:firstLineChars="0"/>
                      <w:jc w:val="center"/>
                      <w:rPr>
                        <w:rFonts w:ascii="仿宋_GB2312" w:eastAsia="仿宋_GB2312"/>
                      </w:rPr>
                    </w:pPr>
                    <w:r>
                      <w:rPr>
                        <w:rFonts w:ascii="仿宋_GB2312" w:eastAsia="仿宋_GB2312" w:hint="eastAsia"/>
                      </w:rPr>
                      <w:t>现场救援组</w:t>
                    </w:r>
                  </w:p>
                </w:txbxContent>
              </v:textbox>
            </v:rect>
            <v:rect id="矩形 93" o:spid="_x0000_s1038" style="width:400050;height:1094740;left:724535;mso-wrap-style:square;position:absolute;top:1360805" filled="t" fillcolor="white" stroked="t">
              <v:stroke linestyle="single"/>
              <o:lock v:ext="edit" aspectratio="f"/>
              <v:textbox>
                <w:txbxContent>
                  <w:p>
                    <w:pPr>
                      <w:spacing w:line="240" w:lineRule="auto"/>
                      <w:ind w:firstLine="0" w:firstLineChars="0"/>
                      <w:jc w:val="center"/>
                      <w:rPr>
                        <w:rFonts w:ascii="仿宋_GB2312" w:eastAsia="仿宋_GB2312"/>
                      </w:rPr>
                    </w:pPr>
                    <w:r>
                      <w:rPr>
                        <w:rFonts w:ascii="仿宋_GB2312" w:eastAsia="仿宋_GB2312" w:hint="eastAsia"/>
                      </w:rPr>
                      <w:t>专家技术组</w:t>
                    </w:r>
                  </w:p>
                </w:txbxContent>
              </v:textbox>
            </v:rect>
            <v:rect id="矩形 95" o:spid="_x0000_s1039" style="width:400050;height:1094740;left:1471930;mso-wrap-style:square;position:absolute;top:1360805" filled="t" fillcolor="white" stroked="t">
              <v:stroke linestyle="single"/>
              <o:lock v:ext="edit" aspectratio="f"/>
              <v:textbox>
                <w:txbxContent>
                  <w:p>
                    <w:pPr>
                      <w:spacing w:line="240" w:lineRule="auto"/>
                      <w:ind w:firstLine="0" w:firstLineChars="0"/>
                      <w:jc w:val="center"/>
                      <w:rPr>
                        <w:rFonts w:ascii="仿宋_GB2312" w:eastAsia="仿宋_GB2312"/>
                      </w:rPr>
                    </w:pPr>
                    <w:r>
                      <w:rPr>
                        <w:rFonts w:ascii="仿宋_GB2312" w:eastAsia="仿宋_GB2312" w:hint="eastAsia"/>
                      </w:rPr>
                      <w:t>后勤保障组</w:t>
                    </w:r>
                  </w:p>
                </w:txbxContent>
              </v:textbox>
            </v:rect>
            <v:rect id="矩形 96" o:spid="_x0000_s1040" style="width:400050;height:1094740;left:2263140;mso-wrap-style:square;position:absolute;top:1360805" filled="t" fillcolor="white" stroked="t">
              <v:stroke linestyle="single"/>
              <o:lock v:ext="edit" aspectratio="f"/>
              <v:textbox>
                <w:txbxContent>
                  <w:p>
                    <w:pPr>
                      <w:spacing w:line="240" w:lineRule="auto"/>
                      <w:ind w:firstLine="0" w:firstLineChars="0"/>
                      <w:jc w:val="center"/>
                      <w:rPr>
                        <w:rFonts w:ascii="仿宋_GB2312" w:eastAsia="仿宋_GB2312"/>
                      </w:rPr>
                    </w:pPr>
                    <w:r>
                      <w:rPr>
                        <w:rFonts w:ascii="仿宋_GB2312" w:eastAsia="仿宋_GB2312" w:hint="eastAsia"/>
                      </w:rPr>
                      <w:t>善后处理组</w:t>
                    </w:r>
                  </w:p>
                </w:txbxContent>
              </v:textbox>
            </v:rect>
            <v:rect id="矩形 97" o:spid="_x0000_s1041" style="width:400050;height:1094740;left:3053715;mso-wrap-style:square;position:absolute;top:1360805" filled="t" fillcolor="white" stroked="t">
              <v:stroke linestyle="single"/>
              <o:lock v:ext="edit" aspectratio="f"/>
              <v:textbox>
                <w:txbxContent>
                  <w:p>
                    <w:pPr>
                      <w:spacing w:line="240" w:lineRule="auto"/>
                      <w:ind w:firstLine="0" w:firstLineChars="0"/>
                      <w:jc w:val="center"/>
                      <w:rPr>
                        <w:rFonts w:ascii="仿宋_GB2312" w:eastAsia="仿宋_GB2312"/>
                      </w:rPr>
                    </w:pPr>
                    <w:r>
                      <w:rPr>
                        <w:rFonts w:ascii="仿宋_GB2312" w:eastAsia="仿宋_GB2312" w:hint="eastAsia"/>
                      </w:rPr>
                      <w:t>事故调查组</w:t>
                    </w:r>
                  </w:p>
                </w:txbxContent>
              </v:textbox>
            </v:rect>
            <w10:wrap type="none"/>
            <w10:anchorlock/>
          </v:group>
        </w:pict>
      </w:r>
    </w:p>
    <w:p>
      <w:pPr>
        <w:pStyle w:val="90"/>
        <w:spacing w:after="163"/>
        <w:ind w:firstLine="480"/>
        <w:rPr>
          <w:rFonts w:hint="eastAsia"/>
          <w:color w:val="000000"/>
          <w:lang w:eastAsia="zh-CN"/>
        </w:rPr>
      </w:pPr>
      <w:r>
        <w:rPr>
          <w:rFonts w:hint="eastAsia"/>
          <w:color w:val="000000"/>
          <w:lang w:eastAsia="zh-CN"/>
        </w:rPr>
        <w:t xml:space="preserve">图 </w:t>
      </w:r>
      <w:r>
        <w:rPr>
          <w:rFonts w:hint="eastAsia"/>
          <w:color w:val="000000"/>
          <w:lang w:val="en-US" w:eastAsia="zh-CN"/>
        </w:rPr>
        <w:t>4</w:t>
      </w:r>
      <w:r>
        <w:rPr>
          <w:rFonts w:hint="eastAsia"/>
          <w:color w:val="000000"/>
          <w:lang w:eastAsia="zh-CN"/>
        </w:rPr>
        <w:t>.1-1 应急小组组体系图</w:t>
      </w:r>
    </w:p>
    <w:p>
      <w:pPr>
        <w:pStyle w:val="Heading2"/>
        <w:numPr>
          <w:ilvl w:val="0"/>
          <w:numId w:val="0"/>
        </w:numPr>
        <w:rPr>
          <w:rFonts w:cs="宋体" w:hint="eastAsia"/>
          <w:color w:val="000000"/>
          <w:szCs w:val="24"/>
        </w:rPr>
      </w:pPr>
      <w:bookmarkStart w:id="75" w:name="_Toc1668"/>
      <w:bookmarkStart w:id="76" w:name="_Toc15920"/>
      <w:r>
        <w:rPr>
          <w:rFonts w:cs="宋体" w:hint="eastAsia"/>
          <w:color w:val="000000"/>
          <w:szCs w:val="24"/>
        </w:rPr>
        <w:t>4.2 工作组职责</w:t>
      </w:r>
      <w:bookmarkEnd w:id="75"/>
      <w:bookmarkEnd w:id="76"/>
    </w:p>
    <w:p>
      <w:pPr>
        <w:spacing w:line="500" w:lineRule="exact"/>
        <w:ind w:firstLine="480"/>
        <w:rPr>
          <w:rFonts w:cs="宋体"/>
          <w:color w:val="000000"/>
          <w:lang w:eastAsia="zh-CN"/>
        </w:rPr>
      </w:pPr>
      <w:r>
        <w:rPr>
          <w:rFonts w:cs="宋体" w:hint="eastAsia"/>
          <w:color w:val="000000"/>
          <w:lang w:eastAsia="zh-CN"/>
        </w:rPr>
        <w:t>（1）现场救援组</w:t>
      </w:r>
    </w:p>
    <w:p>
      <w:pPr>
        <w:spacing w:line="500" w:lineRule="exact"/>
        <w:ind w:firstLine="480"/>
        <w:rPr>
          <w:rFonts w:cs="宋体"/>
          <w:color w:val="000000"/>
          <w:lang w:eastAsia="zh-CN"/>
        </w:rPr>
      </w:pPr>
      <w:r>
        <w:rPr>
          <w:rFonts w:cs="宋体" w:hint="eastAsia"/>
          <w:color w:val="000000"/>
          <w:lang w:eastAsia="zh-CN"/>
        </w:rPr>
        <w:t>组  长：</w:t>
      </w:r>
      <w:r>
        <w:rPr>
          <w:rFonts w:cs="宋体"/>
          <w:color w:val="000000"/>
          <w:lang w:eastAsia="zh-CN"/>
        </w:rPr>
        <w:br/>
      </w:r>
      <w:r>
        <w:rPr>
          <w:rFonts w:cs="宋体"/>
          <w:color w:val="000000"/>
          <w:lang w:eastAsia="zh-CN"/>
        </w:rPr>
        <w:br/>
      </w:r>
    </w:p>
    <w:p>
      <w:pPr>
        <w:spacing w:line="240" w:lineRule="auto"/>
        <w:ind w:firstLine="0" w:firstLineChars="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9" w:history="1">
        <w:r>
          <w:rPr>
            <w:rFonts w:ascii="SimSun" w:eastAsia="SimSun" w:hAnsi="SimSun" w:cs="SimSun"/>
            <w:b/>
            <w:bCs/>
            <w:color w:val="0000EE"/>
            <w:sz w:val="30"/>
            <w:szCs w:val="30"/>
            <w:u w:val="single" w:color="0000EE"/>
          </w:rPr>
          <w:t>https://d.book118.com/357152056003006053</w:t>
        </w:r>
      </w:hyperlink>
    </w:p>
    <w:p>
      <w:pPr>
        <w:spacing w:line="500" w:lineRule="exact"/>
        <w:ind w:firstLine="480"/>
        <w:rPr>
          <w:rFonts w:cs="宋体"/>
          <w:color w:val="000000"/>
          <w:lang w:eastAsia="zh-CN"/>
        </w:rPr>
      </w:pPr>
    </w:p>
    <w:sectPr>
      <w:headerReference w:type="even" r:id="rId60"/>
      <w:headerReference w:type="default" r:id="rId61"/>
      <w:footerReference w:type="even" r:id="rId62"/>
      <w:footerReference w:type="default" r:id="rId63"/>
      <w:headerReference w:type="first" r:id="rId64"/>
      <w:footerReference w:type="first" r:id="rId65"/>
      <w:pgSz w:w="11906" w:h="16838"/>
      <w:pgMar w:top="1440" w:right="1800" w:bottom="1440" w:left="1800" w:header="567" w:footer="992" w:gutter="0"/>
      <w:pgNumType w:fmt="decimal" w:start="11"/>
      <w:cols w:space="708"/>
      <w:docGrid w:type="linesAndChar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Mongolian Baiti">
    <w:panose1 w:val="03000500000000000000"/>
    <w:charset w:val="00"/>
    <w:family w:val="script"/>
    <w:pitch w:val="default"/>
    <w:sig w:usb0="80000023" w:usb1="00000000" w:usb2="00020000" w:usb3="00000000" w:csb0="000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3"/>
        <w:tab w:val="clear" w:pos="8306"/>
      </w:tabs>
      <w:ind w:firstLine="0" w:firstLineChars="0"/>
      <w:rPr>
        <w:rFonts w:hint="eastAsia"/>
        <w:lang w:eastAsia="zh-CN"/>
      </w:rPr>
    </w:pPr>
    <w:r>
      <w:rPr>
        <w:sz w:val="18"/>
      </w:rPr>
      <w:pict>
        <v:shapetype id="_x0000_t202" coordsize="21600,21600" o:spt="202" path="m,l,21600r21600,l21600,xe">
          <v:stroke joinstyle="miter"/>
          <v:path gradientshapeok="t" o:connecttype="rect"/>
        </v:shapetype>
        <v:shape id="文本框 7"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0" w:firstLineChars="0"/>
    </w:pPr>
    <w:r>
      <w:rPr>
        <w:sz w:val="18"/>
      </w:rPr>
      <w:pict>
        <v:shapetype id="_x0000_t202" coordsize="21600,21600" o:spt="202" path="m,l,21600r21600,l21600,xe">
          <v:stroke joinstyle="miter"/>
          <v:path gradientshapeok="t" o:connecttype="rect"/>
        </v:shapetype>
        <v:shape id="文本框 8"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4009C"/>
    <w:multiLevelType w:val="multilevel"/>
    <w:tmpl w:val="09A4009C"/>
    <w:lvl w:ilvl="0">
      <w:start w:val="1"/>
      <w:numFmt w:val="decimal"/>
      <w:lvlText w:val="1-%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FE95365"/>
    <w:multiLevelType w:val="multilevel"/>
    <w:tmpl w:val="4FE95365"/>
    <w:lvl w:ilvl="0">
      <w:start w:val="1"/>
      <w:numFmt w:val="decimal"/>
      <w:suff w:val="nothing"/>
      <w:lvlText w:val="%1  "/>
      <w:lvlJc w:val="left"/>
      <w:pPr>
        <w:ind w:left="1701" w:firstLine="0"/>
      </w:pPr>
    </w:lvl>
    <w:lvl w:ilvl="1">
      <w:start w:val="1"/>
      <w:numFmt w:val="decimal"/>
      <w:suff w:val="nothing"/>
      <w:lvlText w:val="%1.%2  "/>
      <w:lvlJc w:val="left"/>
      <w:pPr>
        <w:ind w:left="6521" w:firstLine="0"/>
      </w:pPr>
    </w:lvl>
    <w:lvl w:ilvl="2">
      <w:start w:val="1"/>
      <w:numFmt w:val="decimal"/>
      <w:suff w:val="nothing"/>
      <w:lvlText w:val="%1.%2.%3  "/>
      <w:lvlJc w:val="left"/>
      <w:pPr>
        <w:ind w:left="5387" w:firstLine="0"/>
      </w:pPr>
    </w:lvl>
    <w:lvl w:ilvl="3">
      <w:start w:val="1"/>
      <w:numFmt w:val="decimal"/>
      <w:suff w:val="space"/>
      <w:lvlText w:val="%1.%2.%3.%4"/>
      <w:lvlJc w:val="left"/>
      <w:pPr>
        <w:ind w:left="864" w:hanging="864"/>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420"/>
  <w:drawingGridHorizontalSpacing w:val="1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FA"/>
    <w:rsid w:val="000036FE"/>
    <w:rsid w:val="00003C71"/>
    <w:rsid w:val="000048F2"/>
    <w:rsid w:val="00005B61"/>
    <w:rsid w:val="00005D38"/>
    <w:rsid w:val="00005E2D"/>
    <w:rsid w:val="000071C9"/>
    <w:rsid w:val="00010349"/>
    <w:rsid w:val="00010976"/>
    <w:rsid w:val="000142E0"/>
    <w:rsid w:val="00016478"/>
    <w:rsid w:val="00016D24"/>
    <w:rsid w:val="0002046A"/>
    <w:rsid w:val="000221B7"/>
    <w:rsid w:val="000231B3"/>
    <w:rsid w:val="00023D83"/>
    <w:rsid w:val="00025DDE"/>
    <w:rsid w:val="00025FB0"/>
    <w:rsid w:val="00027BEC"/>
    <w:rsid w:val="00030E56"/>
    <w:rsid w:val="00032023"/>
    <w:rsid w:val="00033217"/>
    <w:rsid w:val="0003364B"/>
    <w:rsid w:val="00034CF9"/>
    <w:rsid w:val="00044A42"/>
    <w:rsid w:val="00044A44"/>
    <w:rsid w:val="00045146"/>
    <w:rsid w:val="000545E5"/>
    <w:rsid w:val="00056C02"/>
    <w:rsid w:val="0005721D"/>
    <w:rsid w:val="00060BFA"/>
    <w:rsid w:val="000618A9"/>
    <w:rsid w:val="000623EC"/>
    <w:rsid w:val="00066353"/>
    <w:rsid w:val="000669A9"/>
    <w:rsid w:val="00067D4C"/>
    <w:rsid w:val="000827E0"/>
    <w:rsid w:val="00083CC8"/>
    <w:rsid w:val="00084748"/>
    <w:rsid w:val="000927C2"/>
    <w:rsid w:val="00092A59"/>
    <w:rsid w:val="0009300C"/>
    <w:rsid w:val="000970DB"/>
    <w:rsid w:val="000A2BD2"/>
    <w:rsid w:val="000A2EB1"/>
    <w:rsid w:val="000A4A24"/>
    <w:rsid w:val="000A6C44"/>
    <w:rsid w:val="000B36FF"/>
    <w:rsid w:val="000B5C47"/>
    <w:rsid w:val="000B6350"/>
    <w:rsid w:val="000B6998"/>
    <w:rsid w:val="000C12E4"/>
    <w:rsid w:val="000C24DE"/>
    <w:rsid w:val="000C5101"/>
    <w:rsid w:val="000C6E8E"/>
    <w:rsid w:val="000D1C4A"/>
    <w:rsid w:val="000D35C0"/>
    <w:rsid w:val="000D5C23"/>
    <w:rsid w:val="000D62D7"/>
    <w:rsid w:val="000D677F"/>
    <w:rsid w:val="000E18F8"/>
    <w:rsid w:val="000E1E39"/>
    <w:rsid w:val="000E2C37"/>
    <w:rsid w:val="000E2D52"/>
    <w:rsid w:val="000E31B7"/>
    <w:rsid w:val="000E65FC"/>
    <w:rsid w:val="000E6D9C"/>
    <w:rsid w:val="000F0BEF"/>
    <w:rsid w:val="000F4549"/>
    <w:rsid w:val="000F6F9C"/>
    <w:rsid w:val="000F6FBB"/>
    <w:rsid w:val="000F7B2D"/>
    <w:rsid w:val="00102C7E"/>
    <w:rsid w:val="00102CD7"/>
    <w:rsid w:val="00103013"/>
    <w:rsid w:val="00104B2C"/>
    <w:rsid w:val="001057AA"/>
    <w:rsid w:val="001066EE"/>
    <w:rsid w:val="00107745"/>
    <w:rsid w:val="001120D5"/>
    <w:rsid w:val="00112604"/>
    <w:rsid w:val="00114192"/>
    <w:rsid w:val="0011440D"/>
    <w:rsid w:val="00115910"/>
    <w:rsid w:val="001228EF"/>
    <w:rsid w:val="00124018"/>
    <w:rsid w:val="0012512C"/>
    <w:rsid w:val="001262FB"/>
    <w:rsid w:val="00130361"/>
    <w:rsid w:val="00132C56"/>
    <w:rsid w:val="001337B6"/>
    <w:rsid w:val="00134CD0"/>
    <w:rsid w:val="00134D30"/>
    <w:rsid w:val="00137602"/>
    <w:rsid w:val="00140CAD"/>
    <w:rsid w:val="00141117"/>
    <w:rsid w:val="00142AAE"/>
    <w:rsid w:val="00143135"/>
    <w:rsid w:val="00150892"/>
    <w:rsid w:val="00152388"/>
    <w:rsid w:val="00152B62"/>
    <w:rsid w:val="00152E1F"/>
    <w:rsid w:val="00153031"/>
    <w:rsid w:val="00153B9C"/>
    <w:rsid w:val="001546B9"/>
    <w:rsid w:val="00154871"/>
    <w:rsid w:val="001551F9"/>
    <w:rsid w:val="001575A2"/>
    <w:rsid w:val="001615B2"/>
    <w:rsid w:val="00162FD2"/>
    <w:rsid w:val="00165200"/>
    <w:rsid w:val="00166E92"/>
    <w:rsid w:val="00167C7A"/>
    <w:rsid w:val="00174530"/>
    <w:rsid w:val="001765CA"/>
    <w:rsid w:val="001771BC"/>
    <w:rsid w:val="00177C9C"/>
    <w:rsid w:val="0018184C"/>
    <w:rsid w:val="00181D0C"/>
    <w:rsid w:val="00182352"/>
    <w:rsid w:val="00182A27"/>
    <w:rsid w:val="00182A86"/>
    <w:rsid w:val="00182D27"/>
    <w:rsid w:val="00182F4F"/>
    <w:rsid w:val="00184C70"/>
    <w:rsid w:val="00185153"/>
    <w:rsid w:val="00187AA2"/>
    <w:rsid w:val="00192484"/>
    <w:rsid w:val="0019272E"/>
    <w:rsid w:val="00194196"/>
    <w:rsid w:val="00195693"/>
    <w:rsid w:val="00196C1A"/>
    <w:rsid w:val="001A0243"/>
    <w:rsid w:val="001A0512"/>
    <w:rsid w:val="001A48ED"/>
    <w:rsid w:val="001A6C8E"/>
    <w:rsid w:val="001A6DAF"/>
    <w:rsid w:val="001B4949"/>
    <w:rsid w:val="001B5EF6"/>
    <w:rsid w:val="001B6331"/>
    <w:rsid w:val="001B6414"/>
    <w:rsid w:val="001B6946"/>
    <w:rsid w:val="001B6F7F"/>
    <w:rsid w:val="001B7141"/>
    <w:rsid w:val="001B7C09"/>
    <w:rsid w:val="001C056A"/>
    <w:rsid w:val="001C1A52"/>
    <w:rsid w:val="001C1E50"/>
    <w:rsid w:val="001C1EBB"/>
    <w:rsid w:val="001C210F"/>
    <w:rsid w:val="001C59DC"/>
    <w:rsid w:val="001D06FE"/>
    <w:rsid w:val="001D09CB"/>
    <w:rsid w:val="001D0A75"/>
    <w:rsid w:val="001D16F8"/>
    <w:rsid w:val="001D33FD"/>
    <w:rsid w:val="001D3503"/>
    <w:rsid w:val="001D4ACD"/>
    <w:rsid w:val="001E15D7"/>
    <w:rsid w:val="001E3E3F"/>
    <w:rsid w:val="001E4857"/>
    <w:rsid w:val="001E5A44"/>
    <w:rsid w:val="001E661F"/>
    <w:rsid w:val="001E6933"/>
    <w:rsid w:val="001E70C4"/>
    <w:rsid w:val="001F1BCF"/>
    <w:rsid w:val="001F224A"/>
    <w:rsid w:val="001F5E3D"/>
    <w:rsid w:val="001F7A1F"/>
    <w:rsid w:val="00200DE9"/>
    <w:rsid w:val="0020136B"/>
    <w:rsid w:val="0020375A"/>
    <w:rsid w:val="00204D4C"/>
    <w:rsid w:val="00205ADD"/>
    <w:rsid w:val="00207174"/>
    <w:rsid w:val="0021046C"/>
    <w:rsid w:val="002115C9"/>
    <w:rsid w:val="00212D58"/>
    <w:rsid w:val="002151FE"/>
    <w:rsid w:val="00216AFD"/>
    <w:rsid w:val="00221C4B"/>
    <w:rsid w:val="00222114"/>
    <w:rsid w:val="00222143"/>
    <w:rsid w:val="00223571"/>
    <w:rsid w:val="00224907"/>
    <w:rsid w:val="002250E8"/>
    <w:rsid w:val="0022643A"/>
    <w:rsid w:val="002305E0"/>
    <w:rsid w:val="00230974"/>
    <w:rsid w:val="002318C0"/>
    <w:rsid w:val="0023264A"/>
    <w:rsid w:val="0023436D"/>
    <w:rsid w:val="00236042"/>
    <w:rsid w:val="00236CBA"/>
    <w:rsid w:val="002400F0"/>
    <w:rsid w:val="002409DE"/>
    <w:rsid w:val="002442A0"/>
    <w:rsid w:val="00244ED6"/>
    <w:rsid w:val="00245586"/>
    <w:rsid w:val="00245E13"/>
    <w:rsid w:val="002470C7"/>
    <w:rsid w:val="00247175"/>
    <w:rsid w:val="0024758C"/>
    <w:rsid w:val="00247999"/>
    <w:rsid w:val="00250166"/>
    <w:rsid w:val="00250793"/>
    <w:rsid w:val="00251215"/>
    <w:rsid w:val="00251FC7"/>
    <w:rsid w:val="00253482"/>
    <w:rsid w:val="00254558"/>
    <w:rsid w:val="00255F20"/>
    <w:rsid w:val="002603D7"/>
    <w:rsid w:val="00261199"/>
    <w:rsid w:val="002618BE"/>
    <w:rsid w:val="0026205D"/>
    <w:rsid w:val="002652C2"/>
    <w:rsid w:val="00266839"/>
    <w:rsid w:val="002668C2"/>
    <w:rsid w:val="002707F3"/>
    <w:rsid w:val="0027238C"/>
    <w:rsid w:val="00273002"/>
    <w:rsid w:val="002868F2"/>
    <w:rsid w:val="00287D08"/>
    <w:rsid w:val="002922FD"/>
    <w:rsid w:val="0029275A"/>
    <w:rsid w:val="002937A8"/>
    <w:rsid w:val="002969FD"/>
    <w:rsid w:val="002974D5"/>
    <w:rsid w:val="002A7EA5"/>
    <w:rsid w:val="002B2B57"/>
    <w:rsid w:val="002B57CB"/>
    <w:rsid w:val="002B60A0"/>
    <w:rsid w:val="002B6404"/>
    <w:rsid w:val="002B786E"/>
    <w:rsid w:val="002C0223"/>
    <w:rsid w:val="002C2952"/>
    <w:rsid w:val="002C311C"/>
    <w:rsid w:val="002C69CD"/>
    <w:rsid w:val="002C739D"/>
    <w:rsid w:val="002C7C39"/>
    <w:rsid w:val="002C7D1D"/>
    <w:rsid w:val="002D5D7D"/>
    <w:rsid w:val="002D5E8B"/>
    <w:rsid w:val="002D77AB"/>
    <w:rsid w:val="002D7A13"/>
    <w:rsid w:val="002E0AB2"/>
    <w:rsid w:val="002E36EC"/>
    <w:rsid w:val="002E5A75"/>
    <w:rsid w:val="002F0E6F"/>
    <w:rsid w:val="002F0ED1"/>
    <w:rsid w:val="002F7948"/>
    <w:rsid w:val="0030174A"/>
    <w:rsid w:val="00301F49"/>
    <w:rsid w:val="00304556"/>
    <w:rsid w:val="00305A06"/>
    <w:rsid w:val="003060E9"/>
    <w:rsid w:val="003115F9"/>
    <w:rsid w:val="00311F68"/>
    <w:rsid w:val="003129B2"/>
    <w:rsid w:val="003141C5"/>
    <w:rsid w:val="00314CAB"/>
    <w:rsid w:val="0032279D"/>
    <w:rsid w:val="003238D9"/>
    <w:rsid w:val="00325357"/>
    <w:rsid w:val="003262C6"/>
    <w:rsid w:val="0032677D"/>
    <w:rsid w:val="00326917"/>
    <w:rsid w:val="00331DE2"/>
    <w:rsid w:val="003343D5"/>
    <w:rsid w:val="00340705"/>
    <w:rsid w:val="00342A90"/>
    <w:rsid w:val="00342D74"/>
    <w:rsid w:val="00344B02"/>
    <w:rsid w:val="003467DE"/>
    <w:rsid w:val="00347AFA"/>
    <w:rsid w:val="00351BF2"/>
    <w:rsid w:val="00352193"/>
    <w:rsid w:val="00352D40"/>
    <w:rsid w:val="00355396"/>
    <w:rsid w:val="00362149"/>
    <w:rsid w:val="003663D0"/>
    <w:rsid w:val="003663EF"/>
    <w:rsid w:val="003669BC"/>
    <w:rsid w:val="0036721B"/>
    <w:rsid w:val="00370781"/>
    <w:rsid w:val="003708A2"/>
    <w:rsid w:val="003710CE"/>
    <w:rsid w:val="003732B6"/>
    <w:rsid w:val="003750F8"/>
    <w:rsid w:val="00377389"/>
    <w:rsid w:val="0037755C"/>
    <w:rsid w:val="00380140"/>
    <w:rsid w:val="003807A9"/>
    <w:rsid w:val="00384415"/>
    <w:rsid w:val="00385E8F"/>
    <w:rsid w:val="00392010"/>
    <w:rsid w:val="00392F8C"/>
    <w:rsid w:val="00394792"/>
    <w:rsid w:val="003967D1"/>
    <w:rsid w:val="00396F32"/>
    <w:rsid w:val="003A16A2"/>
    <w:rsid w:val="003A3747"/>
    <w:rsid w:val="003A42B8"/>
    <w:rsid w:val="003A7690"/>
    <w:rsid w:val="003A7B14"/>
    <w:rsid w:val="003B08A8"/>
    <w:rsid w:val="003B0902"/>
    <w:rsid w:val="003B0AD7"/>
    <w:rsid w:val="003B0E16"/>
    <w:rsid w:val="003B3817"/>
    <w:rsid w:val="003B62E6"/>
    <w:rsid w:val="003C15D2"/>
    <w:rsid w:val="003C1716"/>
    <w:rsid w:val="003C28E4"/>
    <w:rsid w:val="003C2F37"/>
    <w:rsid w:val="003C2F3F"/>
    <w:rsid w:val="003C3DD5"/>
    <w:rsid w:val="003C7A84"/>
    <w:rsid w:val="003D4060"/>
    <w:rsid w:val="003D5623"/>
    <w:rsid w:val="003E03AC"/>
    <w:rsid w:val="003E0898"/>
    <w:rsid w:val="003E44FA"/>
    <w:rsid w:val="003E6615"/>
    <w:rsid w:val="003E6C4C"/>
    <w:rsid w:val="003E72C3"/>
    <w:rsid w:val="003F0970"/>
    <w:rsid w:val="003F2347"/>
    <w:rsid w:val="003F5D16"/>
    <w:rsid w:val="00401A27"/>
    <w:rsid w:val="00401E41"/>
    <w:rsid w:val="00404A5B"/>
    <w:rsid w:val="00406A38"/>
    <w:rsid w:val="00406F5C"/>
    <w:rsid w:val="00406F68"/>
    <w:rsid w:val="00411E7F"/>
    <w:rsid w:val="004123C8"/>
    <w:rsid w:val="00412BCA"/>
    <w:rsid w:val="004152F3"/>
    <w:rsid w:val="00415B69"/>
    <w:rsid w:val="00416C9D"/>
    <w:rsid w:val="00423BE6"/>
    <w:rsid w:val="00423C85"/>
    <w:rsid w:val="00426321"/>
    <w:rsid w:val="00426AA0"/>
    <w:rsid w:val="004320FA"/>
    <w:rsid w:val="00432B6A"/>
    <w:rsid w:val="00432D81"/>
    <w:rsid w:val="00441901"/>
    <w:rsid w:val="0044362E"/>
    <w:rsid w:val="004453F1"/>
    <w:rsid w:val="00446E77"/>
    <w:rsid w:val="00447C11"/>
    <w:rsid w:val="00453A70"/>
    <w:rsid w:val="00454BF3"/>
    <w:rsid w:val="0045536E"/>
    <w:rsid w:val="00455D5D"/>
    <w:rsid w:val="00455E9B"/>
    <w:rsid w:val="00457524"/>
    <w:rsid w:val="00457CB0"/>
    <w:rsid w:val="00464336"/>
    <w:rsid w:val="0046487D"/>
    <w:rsid w:val="00467BD7"/>
    <w:rsid w:val="00467F5E"/>
    <w:rsid w:val="00470118"/>
    <w:rsid w:val="00470E9E"/>
    <w:rsid w:val="00473214"/>
    <w:rsid w:val="0047340A"/>
    <w:rsid w:val="004761D9"/>
    <w:rsid w:val="004768B2"/>
    <w:rsid w:val="00481197"/>
    <w:rsid w:val="004834EE"/>
    <w:rsid w:val="00484063"/>
    <w:rsid w:val="0048481C"/>
    <w:rsid w:val="00487491"/>
    <w:rsid w:val="004923F5"/>
    <w:rsid w:val="004930C9"/>
    <w:rsid w:val="00493391"/>
    <w:rsid w:val="004A0318"/>
    <w:rsid w:val="004B0CAD"/>
    <w:rsid w:val="004B1515"/>
    <w:rsid w:val="004B2463"/>
    <w:rsid w:val="004B2D00"/>
    <w:rsid w:val="004B46F6"/>
    <w:rsid w:val="004B4AA8"/>
    <w:rsid w:val="004B4F36"/>
    <w:rsid w:val="004B549D"/>
    <w:rsid w:val="004B5820"/>
    <w:rsid w:val="004B7164"/>
    <w:rsid w:val="004C14C9"/>
    <w:rsid w:val="004C4DC0"/>
    <w:rsid w:val="004C6373"/>
    <w:rsid w:val="004C703B"/>
    <w:rsid w:val="004D0364"/>
    <w:rsid w:val="004D25EE"/>
    <w:rsid w:val="004D4364"/>
    <w:rsid w:val="004D614A"/>
    <w:rsid w:val="004D688D"/>
    <w:rsid w:val="004E4335"/>
    <w:rsid w:val="004E7033"/>
    <w:rsid w:val="004E76A6"/>
    <w:rsid w:val="004F093F"/>
    <w:rsid w:val="004F0B76"/>
    <w:rsid w:val="004F0D69"/>
    <w:rsid w:val="004F3B9F"/>
    <w:rsid w:val="004F4C4A"/>
    <w:rsid w:val="004F55A9"/>
    <w:rsid w:val="004F6280"/>
    <w:rsid w:val="00501507"/>
    <w:rsid w:val="0050200A"/>
    <w:rsid w:val="00502B29"/>
    <w:rsid w:val="00511EDF"/>
    <w:rsid w:val="00512F74"/>
    <w:rsid w:val="00513844"/>
    <w:rsid w:val="005171D0"/>
    <w:rsid w:val="005205D3"/>
    <w:rsid w:val="00522701"/>
    <w:rsid w:val="0052731A"/>
    <w:rsid w:val="00530524"/>
    <w:rsid w:val="00530A76"/>
    <w:rsid w:val="00530B26"/>
    <w:rsid w:val="00530F28"/>
    <w:rsid w:val="00531CE6"/>
    <w:rsid w:val="00540614"/>
    <w:rsid w:val="0054090C"/>
    <w:rsid w:val="00540EFC"/>
    <w:rsid w:val="0054206F"/>
    <w:rsid w:val="0054446E"/>
    <w:rsid w:val="00545943"/>
    <w:rsid w:val="005466B2"/>
    <w:rsid w:val="005468BA"/>
    <w:rsid w:val="00546EC7"/>
    <w:rsid w:val="00547280"/>
    <w:rsid w:val="005509C1"/>
    <w:rsid w:val="005514E8"/>
    <w:rsid w:val="0055447A"/>
    <w:rsid w:val="00554F60"/>
    <w:rsid w:val="0055520A"/>
    <w:rsid w:val="00555FDA"/>
    <w:rsid w:val="00557A40"/>
    <w:rsid w:val="00557ECD"/>
    <w:rsid w:val="00560ECF"/>
    <w:rsid w:val="00564A34"/>
    <w:rsid w:val="00566305"/>
    <w:rsid w:val="005664FF"/>
    <w:rsid w:val="005673FA"/>
    <w:rsid w:val="00571BB4"/>
    <w:rsid w:val="00582573"/>
    <w:rsid w:val="00584643"/>
    <w:rsid w:val="0058467E"/>
    <w:rsid w:val="005875BA"/>
    <w:rsid w:val="00592464"/>
    <w:rsid w:val="00594F4E"/>
    <w:rsid w:val="00595398"/>
    <w:rsid w:val="005965FA"/>
    <w:rsid w:val="00596F6E"/>
    <w:rsid w:val="005972AD"/>
    <w:rsid w:val="005A0915"/>
    <w:rsid w:val="005A1164"/>
    <w:rsid w:val="005A3234"/>
    <w:rsid w:val="005A3B03"/>
    <w:rsid w:val="005A3FC1"/>
    <w:rsid w:val="005A72AC"/>
    <w:rsid w:val="005B0CC5"/>
    <w:rsid w:val="005B2515"/>
    <w:rsid w:val="005B597C"/>
    <w:rsid w:val="005B637E"/>
    <w:rsid w:val="005C6166"/>
    <w:rsid w:val="005C6802"/>
    <w:rsid w:val="005C7E55"/>
    <w:rsid w:val="005D40A4"/>
    <w:rsid w:val="005E4C21"/>
    <w:rsid w:val="005E5C50"/>
    <w:rsid w:val="005E60E2"/>
    <w:rsid w:val="005E7B81"/>
    <w:rsid w:val="005F1D29"/>
    <w:rsid w:val="005F7262"/>
    <w:rsid w:val="006008E8"/>
    <w:rsid w:val="00601475"/>
    <w:rsid w:val="00601CB2"/>
    <w:rsid w:val="00601D91"/>
    <w:rsid w:val="006034D8"/>
    <w:rsid w:val="00604C52"/>
    <w:rsid w:val="0060503F"/>
    <w:rsid w:val="0060544E"/>
    <w:rsid w:val="00607387"/>
    <w:rsid w:val="00610725"/>
    <w:rsid w:val="00613C4A"/>
    <w:rsid w:val="00620924"/>
    <w:rsid w:val="00620BCD"/>
    <w:rsid w:val="006212A4"/>
    <w:rsid w:val="00621A60"/>
    <w:rsid w:val="00621DEF"/>
    <w:rsid w:val="0062257D"/>
    <w:rsid w:val="00623FD6"/>
    <w:rsid w:val="00624D96"/>
    <w:rsid w:val="00624FCA"/>
    <w:rsid w:val="00625AC0"/>
    <w:rsid w:val="00627CE8"/>
    <w:rsid w:val="00636D1C"/>
    <w:rsid w:val="00641E2A"/>
    <w:rsid w:val="006445B8"/>
    <w:rsid w:val="00644F72"/>
    <w:rsid w:val="006505BA"/>
    <w:rsid w:val="00650A67"/>
    <w:rsid w:val="00650B72"/>
    <w:rsid w:val="00651A0E"/>
    <w:rsid w:val="006537B7"/>
    <w:rsid w:val="00654AEC"/>
    <w:rsid w:val="00654C9A"/>
    <w:rsid w:val="00654DB0"/>
    <w:rsid w:val="00657909"/>
    <w:rsid w:val="00660E44"/>
    <w:rsid w:val="00661E38"/>
    <w:rsid w:val="00664865"/>
    <w:rsid w:val="00664F4A"/>
    <w:rsid w:val="0066621E"/>
    <w:rsid w:val="006674AD"/>
    <w:rsid w:val="00670AF4"/>
    <w:rsid w:val="00673423"/>
    <w:rsid w:val="006738F9"/>
    <w:rsid w:val="00675A1A"/>
    <w:rsid w:val="00677424"/>
    <w:rsid w:val="00677483"/>
    <w:rsid w:val="00680C82"/>
    <w:rsid w:val="00681226"/>
    <w:rsid w:val="00681EA5"/>
    <w:rsid w:val="0068369A"/>
    <w:rsid w:val="00684485"/>
    <w:rsid w:val="00684780"/>
    <w:rsid w:val="006848C6"/>
    <w:rsid w:val="00686D0F"/>
    <w:rsid w:val="0069024B"/>
    <w:rsid w:val="00690D98"/>
    <w:rsid w:val="006916F3"/>
    <w:rsid w:val="00692F39"/>
    <w:rsid w:val="0069319F"/>
    <w:rsid w:val="00694D7F"/>
    <w:rsid w:val="0069688E"/>
    <w:rsid w:val="00696EE3"/>
    <w:rsid w:val="006A10FC"/>
    <w:rsid w:val="006A174B"/>
    <w:rsid w:val="006A354C"/>
    <w:rsid w:val="006A5889"/>
    <w:rsid w:val="006A58ED"/>
    <w:rsid w:val="006B00A8"/>
    <w:rsid w:val="006B08B9"/>
    <w:rsid w:val="006B0DC8"/>
    <w:rsid w:val="006B23B2"/>
    <w:rsid w:val="006B316E"/>
    <w:rsid w:val="006B48F5"/>
    <w:rsid w:val="006B6D75"/>
    <w:rsid w:val="006C2B50"/>
    <w:rsid w:val="006C66DD"/>
    <w:rsid w:val="006C68DD"/>
    <w:rsid w:val="006C6DC0"/>
    <w:rsid w:val="006D2DA9"/>
    <w:rsid w:val="006D32B1"/>
    <w:rsid w:val="006D38A7"/>
    <w:rsid w:val="006D4A87"/>
    <w:rsid w:val="006D5EDC"/>
    <w:rsid w:val="006E4CBD"/>
    <w:rsid w:val="006E7733"/>
    <w:rsid w:val="006F0F62"/>
    <w:rsid w:val="00700A5F"/>
    <w:rsid w:val="007047CB"/>
    <w:rsid w:val="00704BE9"/>
    <w:rsid w:val="0071019D"/>
    <w:rsid w:val="0071662C"/>
    <w:rsid w:val="007167D6"/>
    <w:rsid w:val="00716B3D"/>
    <w:rsid w:val="00717C47"/>
    <w:rsid w:val="00720ED1"/>
    <w:rsid w:val="00724467"/>
    <w:rsid w:val="00725CF4"/>
    <w:rsid w:val="00727B33"/>
    <w:rsid w:val="0073197D"/>
    <w:rsid w:val="00731BC4"/>
    <w:rsid w:val="00734196"/>
    <w:rsid w:val="00737563"/>
    <w:rsid w:val="007457CA"/>
    <w:rsid w:val="007463D2"/>
    <w:rsid w:val="00747A3C"/>
    <w:rsid w:val="00750CBC"/>
    <w:rsid w:val="0075330F"/>
    <w:rsid w:val="00754CCA"/>
    <w:rsid w:val="00756155"/>
    <w:rsid w:val="0075690C"/>
    <w:rsid w:val="00756D16"/>
    <w:rsid w:val="00757293"/>
    <w:rsid w:val="0076678C"/>
    <w:rsid w:val="00771506"/>
    <w:rsid w:val="00772C6D"/>
    <w:rsid w:val="00776B11"/>
    <w:rsid w:val="00780589"/>
    <w:rsid w:val="007826A4"/>
    <w:rsid w:val="00784884"/>
    <w:rsid w:val="00784B3B"/>
    <w:rsid w:val="00786B3C"/>
    <w:rsid w:val="007870A9"/>
    <w:rsid w:val="00790CFB"/>
    <w:rsid w:val="0079209C"/>
    <w:rsid w:val="0079461C"/>
    <w:rsid w:val="00794A96"/>
    <w:rsid w:val="007964B9"/>
    <w:rsid w:val="007978A5"/>
    <w:rsid w:val="007A22FD"/>
    <w:rsid w:val="007A3A61"/>
    <w:rsid w:val="007A543D"/>
    <w:rsid w:val="007B0BAB"/>
    <w:rsid w:val="007B1778"/>
    <w:rsid w:val="007B31E1"/>
    <w:rsid w:val="007B3B98"/>
    <w:rsid w:val="007B5D14"/>
    <w:rsid w:val="007B6196"/>
    <w:rsid w:val="007B7822"/>
    <w:rsid w:val="007C3DAD"/>
    <w:rsid w:val="007D4D98"/>
    <w:rsid w:val="007D5F4E"/>
    <w:rsid w:val="007D604F"/>
    <w:rsid w:val="007E228E"/>
    <w:rsid w:val="007E23EC"/>
    <w:rsid w:val="007E5B13"/>
    <w:rsid w:val="007E5EF5"/>
    <w:rsid w:val="007E7D3C"/>
    <w:rsid w:val="007E7DB6"/>
    <w:rsid w:val="007F0582"/>
    <w:rsid w:val="007F1657"/>
    <w:rsid w:val="007F1919"/>
    <w:rsid w:val="007F616C"/>
    <w:rsid w:val="008004B8"/>
    <w:rsid w:val="00802005"/>
    <w:rsid w:val="00805642"/>
    <w:rsid w:val="00806C78"/>
    <w:rsid w:val="008107EF"/>
    <w:rsid w:val="00811423"/>
    <w:rsid w:val="0081296E"/>
    <w:rsid w:val="008221CD"/>
    <w:rsid w:val="00822667"/>
    <w:rsid w:val="00822EDA"/>
    <w:rsid w:val="00823666"/>
    <w:rsid w:val="0082378D"/>
    <w:rsid w:val="008247F0"/>
    <w:rsid w:val="00825B75"/>
    <w:rsid w:val="0082683F"/>
    <w:rsid w:val="00826872"/>
    <w:rsid w:val="0083038B"/>
    <w:rsid w:val="00831679"/>
    <w:rsid w:val="008330A7"/>
    <w:rsid w:val="00833D27"/>
    <w:rsid w:val="00835F9D"/>
    <w:rsid w:val="00836B5D"/>
    <w:rsid w:val="00837A91"/>
    <w:rsid w:val="008415DD"/>
    <w:rsid w:val="00843268"/>
    <w:rsid w:val="008435EB"/>
    <w:rsid w:val="00847349"/>
    <w:rsid w:val="00850A4F"/>
    <w:rsid w:val="00853A90"/>
    <w:rsid w:val="008624C7"/>
    <w:rsid w:val="00862BF4"/>
    <w:rsid w:val="00863480"/>
    <w:rsid w:val="00864016"/>
    <w:rsid w:val="00864E6C"/>
    <w:rsid w:val="0086531C"/>
    <w:rsid w:val="008659D4"/>
    <w:rsid w:val="0087107E"/>
    <w:rsid w:val="0087177E"/>
    <w:rsid w:val="00872113"/>
    <w:rsid w:val="00873F74"/>
    <w:rsid w:val="0087794B"/>
    <w:rsid w:val="0087795F"/>
    <w:rsid w:val="008803BC"/>
    <w:rsid w:val="00883722"/>
    <w:rsid w:val="008870DC"/>
    <w:rsid w:val="0089002B"/>
    <w:rsid w:val="00890538"/>
    <w:rsid w:val="00891801"/>
    <w:rsid w:val="0089287B"/>
    <w:rsid w:val="008A2F07"/>
    <w:rsid w:val="008A4B2B"/>
    <w:rsid w:val="008A51C4"/>
    <w:rsid w:val="008B0C86"/>
    <w:rsid w:val="008B3FC0"/>
    <w:rsid w:val="008B4530"/>
    <w:rsid w:val="008B4F82"/>
    <w:rsid w:val="008B6C03"/>
    <w:rsid w:val="008B7196"/>
    <w:rsid w:val="008C5A3F"/>
    <w:rsid w:val="008C7271"/>
    <w:rsid w:val="008C75F9"/>
    <w:rsid w:val="008D0BC6"/>
    <w:rsid w:val="008D150B"/>
    <w:rsid w:val="008D1BDF"/>
    <w:rsid w:val="008D4719"/>
    <w:rsid w:val="008D5E55"/>
    <w:rsid w:val="008D6DBC"/>
    <w:rsid w:val="008E20F5"/>
    <w:rsid w:val="008E4DFB"/>
    <w:rsid w:val="008E4E2E"/>
    <w:rsid w:val="008F62F3"/>
    <w:rsid w:val="00900F77"/>
    <w:rsid w:val="0090107A"/>
    <w:rsid w:val="009031C7"/>
    <w:rsid w:val="00903A56"/>
    <w:rsid w:val="0090444F"/>
    <w:rsid w:val="00905AFC"/>
    <w:rsid w:val="00907876"/>
    <w:rsid w:val="00907D55"/>
    <w:rsid w:val="00911190"/>
    <w:rsid w:val="00915067"/>
    <w:rsid w:val="00915941"/>
    <w:rsid w:val="00916D24"/>
    <w:rsid w:val="00920457"/>
    <w:rsid w:val="00920B9C"/>
    <w:rsid w:val="00921DEA"/>
    <w:rsid w:val="0092354E"/>
    <w:rsid w:val="00923C08"/>
    <w:rsid w:val="00923D3B"/>
    <w:rsid w:val="00925DEE"/>
    <w:rsid w:val="009309F0"/>
    <w:rsid w:val="00932FA2"/>
    <w:rsid w:val="00933F26"/>
    <w:rsid w:val="00935230"/>
    <w:rsid w:val="0093657B"/>
    <w:rsid w:val="009374CC"/>
    <w:rsid w:val="00937BED"/>
    <w:rsid w:val="0094052E"/>
    <w:rsid w:val="00943904"/>
    <w:rsid w:val="00944AFD"/>
    <w:rsid w:val="009458B6"/>
    <w:rsid w:val="00945BAC"/>
    <w:rsid w:val="00946923"/>
    <w:rsid w:val="00946938"/>
    <w:rsid w:val="009475F2"/>
    <w:rsid w:val="009515FD"/>
    <w:rsid w:val="00952739"/>
    <w:rsid w:val="00954831"/>
    <w:rsid w:val="0095581F"/>
    <w:rsid w:val="00957F54"/>
    <w:rsid w:val="009628F2"/>
    <w:rsid w:val="009645D4"/>
    <w:rsid w:val="009664B2"/>
    <w:rsid w:val="00970620"/>
    <w:rsid w:val="00980DAD"/>
    <w:rsid w:val="00982D26"/>
    <w:rsid w:val="00995B27"/>
    <w:rsid w:val="009975E2"/>
    <w:rsid w:val="009A2D17"/>
    <w:rsid w:val="009A5D0C"/>
    <w:rsid w:val="009B47F8"/>
    <w:rsid w:val="009B48E7"/>
    <w:rsid w:val="009B4D63"/>
    <w:rsid w:val="009B78D0"/>
    <w:rsid w:val="009C026A"/>
    <w:rsid w:val="009D15F2"/>
    <w:rsid w:val="009D5C41"/>
    <w:rsid w:val="009E475E"/>
    <w:rsid w:val="009E5074"/>
    <w:rsid w:val="009E6108"/>
    <w:rsid w:val="009E7D8E"/>
    <w:rsid w:val="009F29EB"/>
    <w:rsid w:val="009F32F6"/>
    <w:rsid w:val="009F3AFA"/>
    <w:rsid w:val="009F5212"/>
    <w:rsid w:val="00A04206"/>
    <w:rsid w:val="00A062A4"/>
    <w:rsid w:val="00A10266"/>
    <w:rsid w:val="00A12346"/>
    <w:rsid w:val="00A1354F"/>
    <w:rsid w:val="00A150EF"/>
    <w:rsid w:val="00A15C68"/>
    <w:rsid w:val="00A1645E"/>
    <w:rsid w:val="00A230CF"/>
    <w:rsid w:val="00A23646"/>
    <w:rsid w:val="00A24CF4"/>
    <w:rsid w:val="00A314C7"/>
    <w:rsid w:val="00A32342"/>
    <w:rsid w:val="00A33007"/>
    <w:rsid w:val="00A362A3"/>
    <w:rsid w:val="00A401BF"/>
    <w:rsid w:val="00A41D74"/>
    <w:rsid w:val="00A443D2"/>
    <w:rsid w:val="00A474AB"/>
    <w:rsid w:val="00A51E5D"/>
    <w:rsid w:val="00A53037"/>
    <w:rsid w:val="00A54123"/>
    <w:rsid w:val="00A5605C"/>
    <w:rsid w:val="00A6084B"/>
    <w:rsid w:val="00A60A1F"/>
    <w:rsid w:val="00A61155"/>
    <w:rsid w:val="00A6160A"/>
    <w:rsid w:val="00A647BB"/>
    <w:rsid w:val="00A64B7E"/>
    <w:rsid w:val="00A67B39"/>
    <w:rsid w:val="00A70066"/>
    <w:rsid w:val="00A70C0D"/>
    <w:rsid w:val="00A74F5B"/>
    <w:rsid w:val="00A760C0"/>
    <w:rsid w:val="00A805A1"/>
    <w:rsid w:val="00A81FCD"/>
    <w:rsid w:val="00A83E0F"/>
    <w:rsid w:val="00A84652"/>
    <w:rsid w:val="00A872B1"/>
    <w:rsid w:val="00A873A1"/>
    <w:rsid w:val="00A875BD"/>
    <w:rsid w:val="00A877E4"/>
    <w:rsid w:val="00A9088E"/>
    <w:rsid w:val="00A94BAA"/>
    <w:rsid w:val="00A963ED"/>
    <w:rsid w:val="00AA03CF"/>
    <w:rsid w:val="00AA1477"/>
    <w:rsid w:val="00AA1D86"/>
    <w:rsid w:val="00AA22A0"/>
    <w:rsid w:val="00AA33EF"/>
    <w:rsid w:val="00AA49A0"/>
    <w:rsid w:val="00AA5973"/>
    <w:rsid w:val="00AA610E"/>
    <w:rsid w:val="00AB0B47"/>
    <w:rsid w:val="00AB0B7B"/>
    <w:rsid w:val="00AB19C8"/>
    <w:rsid w:val="00AB220F"/>
    <w:rsid w:val="00AB4E48"/>
    <w:rsid w:val="00AB5092"/>
    <w:rsid w:val="00AB5380"/>
    <w:rsid w:val="00AB647E"/>
    <w:rsid w:val="00AC0E23"/>
    <w:rsid w:val="00AC10C1"/>
    <w:rsid w:val="00AC1882"/>
    <w:rsid w:val="00AD028A"/>
    <w:rsid w:val="00AD0441"/>
    <w:rsid w:val="00AD06CF"/>
    <w:rsid w:val="00AD29FE"/>
    <w:rsid w:val="00AD4B7F"/>
    <w:rsid w:val="00AD4C8B"/>
    <w:rsid w:val="00AD4DCF"/>
    <w:rsid w:val="00AD6EE3"/>
    <w:rsid w:val="00AE39A2"/>
    <w:rsid w:val="00AE52D4"/>
    <w:rsid w:val="00AE5B15"/>
    <w:rsid w:val="00AF224B"/>
    <w:rsid w:val="00AF4954"/>
    <w:rsid w:val="00AF4FB8"/>
    <w:rsid w:val="00B00FD9"/>
    <w:rsid w:val="00B01912"/>
    <w:rsid w:val="00B076FA"/>
    <w:rsid w:val="00B077EF"/>
    <w:rsid w:val="00B11BA2"/>
    <w:rsid w:val="00B1243D"/>
    <w:rsid w:val="00B12BED"/>
    <w:rsid w:val="00B16461"/>
    <w:rsid w:val="00B17296"/>
    <w:rsid w:val="00B178FC"/>
    <w:rsid w:val="00B22574"/>
    <w:rsid w:val="00B22C1C"/>
    <w:rsid w:val="00B2415D"/>
    <w:rsid w:val="00B2779A"/>
    <w:rsid w:val="00B311A1"/>
    <w:rsid w:val="00B32743"/>
    <w:rsid w:val="00B33963"/>
    <w:rsid w:val="00B4004E"/>
    <w:rsid w:val="00B4347D"/>
    <w:rsid w:val="00B43E34"/>
    <w:rsid w:val="00B46A97"/>
    <w:rsid w:val="00B51BA7"/>
    <w:rsid w:val="00B600D4"/>
    <w:rsid w:val="00B61182"/>
    <w:rsid w:val="00B6185A"/>
    <w:rsid w:val="00B72F6B"/>
    <w:rsid w:val="00B74DB8"/>
    <w:rsid w:val="00B74EF6"/>
    <w:rsid w:val="00B80FAB"/>
    <w:rsid w:val="00B81095"/>
    <w:rsid w:val="00B82195"/>
    <w:rsid w:val="00B82563"/>
    <w:rsid w:val="00B87D01"/>
    <w:rsid w:val="00B903B3"/>
    <w:rsid w:val="00B951DA"/>
    <w:rsid w:val="00B95DF1"/>
    <w:rsid w:val="00BA1C11"/>
    <w:rsid w:val="00BA471C"/>
    <w:rsid w:val="00BA503C"/>
    <w:rsid w:val="00BA5362"/>
    <w:rsid w:val="00BA79FF"/>
    <w:rsid w:val="00BB0832"/>
    <w:rsid w:val="00BB1C92"/>
    <w:rsid w:val="00BB2905"/>
    <w:rsid w:val="00BB2B3F"/>
    <w:rsid w:val="00BB47A1"/>
    <w:rsid w:val="00BB4D00"/>
    <w:rsid w:val="00BC00C7"/>
    <w:rsid w:val="00BC41FD"/>
    <w:rsid w:val="00BC5DFE"/>
    <w:rsid w:val="00BC6AAD"/>
    <w:rsid w:val="00BD15AF"/>
    <w:rsid w:val="00BD21B9"/>
    <w:rsid w:val="00BD2D84"/>
    <w:rsid w:val="00BD31B5"/>
    <w:rsid w:val="00BD5263"/>
    <w:rsid w:val="00BD5C41"/>
    <w:rsid w:val="00BD76D7"/>
    <w:rsid w:val="00BE023E"/>
    <w:rsid w:val="00BE0902"/>
    <w:rsid w:val="00BE0D0F"/>
    <w:rsid w:val="00BE2317"/>
    <w:rsid w:val="00BE42F3"/>
    <w:rsid w:val="00BE6FD9"/>
    <w:rsid w:val="00BF1287"/>
    <w:rsid w:val="00BF16F8"/>
    <w:rsid w:val="00BF25E6"/>
    <w:rsid w:val="00BF3EF1"/>
    <w:rsid w:val="00C00749"/>
    <w:rsid w:val="00C00E43"/>
    <w:rsid w:val="00C049D1"/>
    <w:rsid w:val="00C0565C"/>
    <w:rsid w:val="00C079B5"/>
    <w:rsid w:val="00C07E71"/>
    <w:rsid w:val="00C07F72"/>
    <w:rsid w:val="00C10D1D"/>
    <w:rsid w:val="00C15D8F"/>
    <w:rsid w:val="00C1755D"/>
    <w:rsid w:val="00C209D0"/>
    <w:rsid w:val="00C20CD5"/>
    <w:rsid w:val="00C2397A"/>
    <w:rsid w:val="00C2495F"/>
    <w:rsid w:val="00C327EA"/>
    <w:rsid w:val="00C33359"/>
    <w:rsid w:val="00C348C9"/>
    <w:rsid w:val="00C417C1"/>
    <w:rsid w:val="00C44802"/>
    <w:rsid w:val="00C44EC4"/>
    <w:rsid w:val="00C45058"/>
    <w:rsid w:val="00C465C6"/>
    <w:rsid w:val="00C51090"/>
    <w:rsid w:val="00C5183C"/>
    <w:rsid w:val="00C518C5"/>
    <w:rsid w:val="00C53022"/>
    <w:rsid w:val="00C54F2A"/>
    <w:rsid w:val="00C5524B"/>
    <w:rsid w:val="00C55EBE"/>
    <w:rsid w:val="00C56CA0"/>
    <w:rsid w:val="00C57B24"/>
    <w:rsid w:val="00C60029"/>
    <w:rsid w:val="00C60342"/>
    <w:rsid w:val="00C6365A"/>
    <w:rsid w:val="00C63E31"/>
    <w:rsid w:val="00C647F6"/>
    <w:rsid w:val="00C65B3D"/>
    <w:rsid w:val="00C6612E"/>
    <w:rsid w:val="00C66591"/>
    <w:rsid w:val="00C7022F"/>
    <w:rsid w:val="00C728D6"/>
    <w:rsid w:val="00C73122"/>
    <w:rsid w:val="00C77AB3"/>
    <w:rsid w:val="00C803DA"/>
    <w:rsid w:val="00C807B3"/>
    <w:rsid w:val="00C82F46"/>
    <w:rsid w:val="00C83E7E"/>
    <w:rsid w:val="00C842D0"/>
    <w:rsid w:val="00C9096E"/>
    <w:rsid w:val="00C91435"/>
    <w:rsid w:val="00C934C5"/>
    <w:rsid w:val="00C97F0D"/>
    <w:rsid w:val="00CA180D"/>
    <w:rsid w:val="00CA4169"/>
    <w:rsid w:val="00CA50CF"/>
    <w:rsid w:val="00CA5D57"/>
    <w:rsid w:val="00CB1962"/>
    <w:rsid w:val="00CB1B92"/>
    <w:rsid w:val="00CB1E53"/>
    <w:rsid w:val="00CB3AE7"/>
    <w:rsid w:val="00CB4949"/>
    <w:rsid w:val="00CB6D3E"/>
    <w:rsid w:val="00CB78C1"/>
    <w:rsid w:val="00CC0AC5"/>
    <w:rsid w:val="00CC2597"/>
    <w:rsid w:val="00CC28E6"/>
    <w:rsid w:val="00CC43D8"/>
    <w:rsid w:val="00CC5372"/>
    <w:rsid w:val="00CC680D"/>
    <w:rsid w:val="00CD08D5"/>
    <w:rsid w:val="00CD1ABA"/>
    <w:rsid w:val="00CD24B3"/>
    <w:rsid w:val="00CD413A"/>
    <w:rsid w:val="00CD53FC"/>
    <w:rsid w:val="00CD5908"/>
    <w:rsid w:val="00CD6DB4"/>
    <w:rsid w:val="00CE1863"/>
    <w:rsid w:val="00CE4CA0"/>
    <w:rsid w:val="00CE55E7"/>
    <w:rsid w:val="00CF12E8"/>
    <w:rsid w:val="00CF259F"/>
    <w:rsid w:val="00CF4028"/>
    <w:rsid w:val="00D01A76"/>
    <w:rsid w:val="00D0454B"/>
    <w:rsid w:val="00D06271"/>
    <w:rsid w:val="00D06A6A"/>
    <w:rsid w:val="00D11D13"/>
    <w:rsid w:val="00D14162"/>
    <w:rsid w:val="00D15149"/>
    <w:rsid w:val="00D16745"/>
    <w:rsid w:val="00D168ED"/>
    <w:rsid w:val="00D16BCB"/>
    <w:rsid w:val="00D16E02"/>
    <w:rsid w:val="00D20B5C"/>
    <w:rsid w:val="00D20DB9"/>
    <w:rsid w:val="00D23126"/>
    <w:rsid w:val="00D240F1"/>
    <w:rsid w:val="00D2645D"/>
    <w:rsid w:val="00D31681"/>
    <w:rsid w:val="00D32E1E"/>
    <w:rsid w:val="00D34F4D"/>
    <w:rsid w:val="00D35DF3"/>
    <w:rsid w:val="00D40976"/>
    <w:rsid w:val="00D455C5"/>
    <w:rsid w:val="00D50AC3"/>
    <w:rsid w:val="00D524A9"/>
    <w:rsid w:val="00D53EC6"/>
    <w:rsid w:val="00D548F6"/>
    <w:rsid w:val="00D54FF2"/>
    <w:rsid w:val="00D552FA"/>
    <w:rsid w:val="00D57303"/>
    <w:rsid w:val="00D57B3D"/>
    <w:rsid w:val="00D601EC"/>
    <w:rsid w:val="00D61E82"/>
    <w:rsid w:val="00D625BC"/>
    <w:rsid w:val="00D6376D"/>
    <w:rsid w:val="00D66447"/>
    <w:rsid w:val="00D67D3A"/>
    <w:rsid w:val="00D748E4"/>
    <w:rsid w:val="00D77419"/>
    <w:rsid w:val="00D77CE3"/>
    <w:rsid w:val="00D82EFC"/>
    <w:rsid w:val="00D8336A"/>
    <w:rsid w:val="00D9146C"/>
    <w:rsid w:val="00D9362E"/>
    <w:rsid w:val="00D94481"/>
    <w:rsid w:val="00DA1831"/>
    <w:rsid w:val="00DA2EAE"/>
    <w:rsid w:val="00DA358A"/>
    <w:rsid w:val="00DA35E5"/>
    <w:rsid w:val="00DA4346"/>
    <w:rsid w:val="00DB0DF3"/>
    <w:rsid w:val="00DB41B2"/>
    <w:rsid w:val="00DC0BA7"/>
    <w:rsid w:val="00DC268E"/>
    <w:rsid w:val="00DC4704"/>
    <w:rsid w:val="00DC5CA2"/>
    <w:rsid w:val="00DC756B"/>
    <w:rsid w:val="00DD0B60"/>
    <w:rsid w:val="00DD3AF1"/>
    <w:rsid w:val="00DD41C2"/>
    <w:rsid w:val="00DD7A8A"/>
    <w:rsid w:val="00DD7F12"/>
    <w:rsid w:val="00DE3178"/>
    <w:rsid w:val="00DE38A8"/>
    <w:rsid w:val="00DF34FC"/>
    <w:rsid w:val="00DF3DCE"/>
    <w:rsid w:val="00DF4771"/>
    <w:rsid w:val="00DF6E6B"/>
    <w:rsid w:val="00E0352F"/>
    <w:rsid w:val="00E17FF9"/>
    <w:rsid w:val="00E20926"/>
    <w:rsid w:val="00E224D7"/>
    <w:rsid w:val="00E237E7"/>
    <w:rsid w:val="00E24604"/>
    <w:rsid w:val="00E26E60"/>
    <w:rsid w:val="00E300F7"/>
    <w:rsid w:val="00E32C04"/>
    <w:rsid w:val="00E33376"/>
    <w:rsid w:val="00E35EBE"/>
    <w:rsid w:val="00E367AF"/>
    <w:rsid w:val="00E37706"/>
    <w:rsid w:val="00E40CFC"/>
    <w:rsid w:val="00E42889"/>
    <w:rsid w:val="00E43778"/>
    <w:rsid w:val="00E45136"/>
    <w:rsid w:val="00E4595E"/>
    <w:rsid w:val="00E46E8B"/>
    <w:rsid w:val="00E56DA7"/>
    <w:rsid w:val="00E602F4"/>
    <w:rsid w:val="00E60A17"/>
    <w:rsid w:val="00E71137"/>
    <w:rsid w:val="00E7192C"/>
    <w:rsid w:val="00E721C0"/>
    <w:rsid w:val="00E7356E"/>
    <w:rsid w:val="00E7380F"/>
    <w:rsid w:val="00E7489A"/>
    <w:rsid w:val="00E7647B"/>
    <w:rsid w:val="00E76AF2"/>
    <w:rsid w:val="00E777A4"/>
    <w:rsid w:val="00E803F6"/>
    <w:rsid w:val="00E80646"/>
    <w:rsid w:val="00E816D4"/>
    <w:rsid w:val="00E83128"/>
    <w:rsid w:val="00E839F5"/>
    <w:rsid w:val="00E87033"/>
    <w:rsid w:val="00E87515"/>
    <w:rsid w:val="00E87A71"/>
    <w:rsid w:val="00E90B62"/>
    <w:rsid w:val="00E90DC1"/>
    <w:rsid w:val="00E927AD"/>
    <w:rsid w:val="00E92E6E"/>
    <w:rsid w:val="00E94AFE"/>
    <w:rsid w:val="00E9532F"/>
    <w:rsid w:val="00E9541F"/>
    <w:rsid w:val="00E95B9B"/>
    <w:rsid w:val="00E96007"/>
    <w:rsid w:val="00E9628F"/>
    <w:rsid w:val="00E97138"/>
    <w:rsid w:val="00E97274"/>
    <w:rsid w:val="00E9767C"/>
    <w:rsid w:val="00EA2540"/>
    <w:rsid w:val="00EA27DA"/>
    <w:rsid w:val="00EA504C"/>
    <w:rsid w:val="00EB1527"/>
    <w:rsid w:val="00EB2C9D"/>
    <w:rsid w:val="00EB3A79"/>
    <w:rsid w:val="00EB3B53"/>
    <w:rsid w:val="00EB3E9D"/>
    <w:rsid w:val="00EC0088"/>
    <w:rsid w:val="00EC0B9D"/>
    <w:rsid w:val="00EC13A8"/>
    <w:rsid w:val="00EC21BD"/>
    <w:rsid w:val="00EC3F58"/>
    <w:rsid w:val="00EC5CA5"/>
    <w:rsid w:val="00EC61CE"/>
    <w:rsid w:val="00EC76FA"/>
    <w:rsid w:val="00ED3CCD"/>
    <w:rsid w:val="00ED3D39"/>
    <w:rsid w:val="00ED4465"/>
    <w:rsid w:val="00ED6E7C"/>
    <w:rsid w:val="00ED7223"/>
    <w:rsid w:val="00ED7D35"/>
    <w:rsid w:val="00EE0388"/>
    <w:rsid w:val="00EE2BAE"/>
    <w:rsid w:val="00EE7375"/>
    <w:rsid w:val="00EE7D09"/>
    <w:rsid w:val="00EF0728"/>
    <w:rsid w:val="00EF2154"/>
    <w:rsid w:val="00EF240B"/>
    <w:rsid w:val="00EF55C3"/>
    <w:rsid w:val="00EF61BD"/>
    <w:rsid w:val="00EF6504"/>
    <w:rsid w:val="00EF7538"/>
    <w:rsid w:val="00F075FA"/>
    <w:rsid w:val="00F1169C"/>
    <w:rsid w:val="00F13DD3"/>
    <w:rsid w:val="00F1513E"/>
    <w:rsid w:val="00F1748F"/>
    <w:rsid w:val="00F2029A"/>
    <w:rsid w:val="00F25E58"/>
    <w:rsid w:val="00F262AC"/>
    <w:rsid w:val="00F300D4"/>
    <w:rsid w:val="00F31931"/>
    <w:rsid w:val="00F31ADF"/>
    <w:rsid w:val="00F32DA3"/>
    <w:rsid w:val="00F33130"/>
    <w:rsid w:val="00F3590E"/>
    <w:rsid w:val="00F35AC6"/>
    <w:rsid w:val="00F42774"/>
    <w:rsid w:val="00F44049"/>
    <w:rsid w:val="00F44303"/>
    <w:rsid w:val="00F44F24"/>
    <w:rsid w:val="00F4544E"/>
    <w:rsid w:val="00F463FD"/>
    <w:rsid w:val="00F46E52"/>
    <w:rsid w:val="00F4733E"/>
    <w:rsid w:val="00F52B9E"/>
    <w:rsid w:val="00F52FE6"/>
    <w:rsid w:val="00F53F18"/>
    <w:rsid w:val="00F558B5"/>
    <w:rsid w:val="00F60D07"/>
    <w:rsid w:val="00F60D34"/>
    <w:rsid w:val="00F63263"/>
    <w:rsid w:val="00F6392F"/>
    <w:rsid w:val="00F63CAB"/>
    <w:rsid w:val="00F65067"/>
    <w:rsid w:val="00F65A27"/>
    <w:rsid w:val="00F705CF"/>
    <w:rsid w:val="00F7248A"/>
    <w:rsid w:val="00F72F09"/>
    <w:rsid w:val="00F754EA"/>
    <w:rsid w:val="00F75BAF"/>
    <w:rsid w:val="00F77F82"/>
    <w:rsid w:val="00F82A84"/>
    <w:rsid w:val="00F84588"/>
    <w:rsid w:val="00F85967"/>
    <w:rsid w:val="00F86218"/>
    <w:rsid w:val="00F87494"/>
    <w:rsid w:val="00F877F4"/>
    <w:rsid w:val="00F90721"/>
    <w:rsid w:val="00F958BF"/>
    <w:rsid w:val="00F97438"/>
    <w:rsid w:val="00FA003C"/>
    <w:rsid w:val="00FA19C0"/>
    <w:rsid w:val="00FA23B7"/>
    <w:rsid w:val="00FA558E"/>
    <w:rsid w:val="00FA7844"/>
    <w:rsid w:val="00FA7FB7"/>
    <w:rsid w:val="00FB0A70"/>
    <w:rsid w:val="00FB1085"/>
    <w:rsid w:val="00FB4C94"/>
    <w:rsid w:val="00FB6858"/>
    <w:rsid w:val="00FC1389"/>
    <w:rsid w:val="00FC577D"/>
    <w:rsid w:val="00FC5EB8"/>
    <w:rsid w:val="00FC7D3D"/>
    <w:rsid w:val="00FD0942"/>
    <w:rsid w:val="00FD247D"/>
    <w:rsid w:val="00FD2FB4"/>
    <w:rsid w:val="00FD4A06"/>
    <w:rsid w:val="00FD4B02"/>
    <w:rsid w:val="00FD50CD"/>
    <w:rsid w:val="00FD52DD"/>
    <w:rsid w:val="00FD6DA2"/>
    <w:rsid w:val="00FE0A09"/>
    <w:rsid w:val="00FE5A3E"/>
    <w:rsid w:val="00FF038D"/>
    <w:rsid w:val="00FF685A"/>
    <w:rsid w:val="01E57C0D"/>
    <w:rsid w:val="022F7E81"/>
    <w:rsid w:val="02407121"/>
    <w:rsid w:val="02C514C4"/>
    <w:rsid w:val="03423BD5"/>
    <w:rsid w:val="039513B3"/>
    <w:rsid w:val="03B7345D"/>
    <w:rsid w:val="03C660C6"/>
    <w:rsid w:val="03CA0134"/>
    <w:rsid w:val="03DD5390"/>
    <w:rsid w:val="03DF4B2D"/>
    <w:rsid w:val="042C4CBE"/>
    <w:rsid w:val="043D7934"/>
    <w:rsid w:val="046F15BA"/>
    <w:rsid w:val="04864CD4"/>
    <w:rsid w:val="048C403E"/>
    <w:rsid w:val="04CA303C"/>
    <w:rsid w:val="052458B8"/>
    <w:rsid w:val="05513CFF"/>
    <w:rsid w:val="063F2B51"/>
    <w:rsid w:val="068E0B3E"/>
    <w:rsid w:val="06A43435"/>
    <w:rsid w:val="06F5610E"/>
    <w:rsid w:val="071077B0"/>
    <w:rsid w:val="07FE2486"/>
    <w:rsid w:val="08110C7E"/>
    <w:rsid w:val="08E52D9D"/>
    <w:rsid w:val="08FC33C8"/>
    <w:rsid w:val="09AD5B9D"/>
    <w:rsid w:val="09D5050F"/>
    <w:rsid w:val="0B094FCF"/>
    <w:rsid w:val="0C7818C7"/>
    <w:rsid w:val="0C8A1FD5"/>
    <w:rsid w:val="0CF422C7"/>
    <w:rsid w:val="0D1322B0"/>
    <w:rsid w:val="0D3A1F53"/>
    <w:rsid w:val="0D425557"/>
    <w:rsid w:val="0D70476B"/>
    <w:rsid w:val="0DC528B8"/>
    <w:rsid w:val="0ED457DF"/>
    <w:rsid w:val="0F366FC2"/>
    <w:rsid w:val="0FD30328"/>
    <w:rsid w:val="0FD75FEF"/>
    <w:rsid w:val="10907252"/>
    <w:rsid w:val="10E71703"/>
    <w:rsid w:val="10E913DE"/>
    <w:rsid w:val="11535788"/>
    <w:rsid w:val="118D7C0B"/>
    <w:rsid w:val="11B95532"/>
    <w:rsid w:val="12213D1D"/>
    <w:rsid w:val="129245E0"/>
    <w:rsid w:val="12AE0016"/>
    <w:rsid w:val="131433C5"/>
    <w:rsid w:val="13376D49"/>
    <w:rsid w:val="14562D50"/>
    <w:rsid w:val="152438F6"/>
    <w:rsid w:val="156434A9"/>
    <w:rsid w:val="157C0AF1"/>
    <w:rsid w:val="158E0C2D"/>
    <w:rsid w:val="15AC6915"/>
    <w:rsid w:val="16363345"/>
    <w:rsid w:val="16604DD8"/>
    <w:rsid w:val="16B5089D"/>
    <w:rsid w:val="16DB0AE9"/>
    <w:rsid w:val="17172341"/>
    <w:rsid w:val="173378A9"/>
    <w:rsid w:val="186212E2"/>
    <w:rsid w:val="18FB7E1F"/>
    <w:rsid w:val="19321AD2"/>
    <w:rsid w:val="19846C52"/>
    <w:rsid w:val="1999162B"/>
    <w:rsid w:val="19A60A97"/>
    <w:rsid w:val="1B66545B"/>
    <w:rsid w:val="1C0C490F"/>
    <w:rsid w:val="1C445F31"/>
    <w:rsid w:val="1C765A91"/>
    <w:rsid w:val="1C8907CD"/>
    <w:rsid w:val="1CAF76A7"/>
    <w:rsid w:val="1D3B03F8"/>
    <w:rsid w:val="1DD271B8"/>
    <w:rsid w:val="1DD94EDC"/>
    <w:rsid w:val="1DDB4A85"/>
    <w:rsid w:val="1E8B6AD2"/>
    <w:rsid w:val="1E992884"/>
    <w:rsid w:val="1F004BF7"/>
    <w:rsid w:val="1F6E708E"/>
    <w:rsid w:val="1F8E1CEC"/>
    <w:rsid w:val="204B0867"/>
    <w:rsid w:val="207A1C85"/>
    <w:rsid w:val="20B859A0"/>
    <w:rsid w:val="20E75DF1"/>
    <w:rsid w:val="21644C9D"/>
    <w:rsid w:val="220C5B57"/>
    <w:rsid w:val="22692461"/>
    <w:rsid w:val="2276597E"/>
    <w:rsid w:val="233F07B4"/>
    <w:rsid w:val="244F3B4C"/>
    <w:rsid w:val="246403E9"/>
    <w:rsid w:val="247C7D11"/>
    <w:rsid w:val="25A91F7D"/>
    <w:rsid w:val="25B22A30"/>
    <w:rsid w:val="25E8324A"/>
    <w:rsid w:val="26051408"/>
    <w:rsid w:val="260E7D38"/>
    <w:rsid w:val="26725C4D"/>
    <w:rsid w:val="26A94F42"/>
    <w:rsid w:val="26E35CFB"/>
    <w:rsid w:val="27784898"/>
    <w:rsid w:val="27D42D82"/>
    <w:rsid w:val="28042BA6"/>
    <w:rsid w:val="296D13B0"/>
    <w:rsid w:val="2A7965DD"/>
    <w:rsid w:val="2A986395"/>
    <w:rsid w:val="2AAC7003"/>
    <w:rsid w:val="2B01327E"/>
    <w:rsid w:val="2CDB09C1"/>
    <w:rsid w:val="2CDE51ED"/>
    <w:rsid w:val="2D732CED"/>
    <w:rsid w:val="2E0A0181"/>
    <w:rsid w:val="2E560E94"/>
    <w:rsid w:val="2E7F1BA4"/>
    <w:rsid w:val="2E8A3674"/>
    <w:rsid w:val="2ECB2860"/>
    <w:rsid w:val="2F906363"/>
    <w:rsid w:val="30076A34"/>
    <w:rsid w:val="300E13BF"/>
    <w:rsid w:val="30A80BC6"/>
    <w:rsid w:val="30D836AE"/>
    <w:rsid w:val="31290C3E"/>
    <w:rsid w:val="31A23513"/>
    <w:rsid w:val="33261E23"/>
    <w:rsid w:val="332632FC"/>
    <w:rsid w:val="338C17FE"/>
    <w:rsid w:val="33DA6213"/>
    <w:rsid w:val="33E007D6"/>
    <w:rsid w:val="345836D9"/>
    <w:rsid w:val="352C0563"/>
    <w:rsid w:val="35CC1BE7"/>
    <w:rsid w:val="35EE11BD"/>
    <w:rsid w:val="36072D2A"/>
    <w:rsid w:val="372F6C5B"/>
    <w:rsid w:val="374141E5"/>
    <w:rsid w:val="378C5130"/>
    <w:rsid w:val="38285B5C"/>
    <w:rsid w:val="38C46DAB"/>
    <w:rsid w:val="393965E3"/>
    <w:rsid w:val="3A414277"/>
    <w:rsid w:val="3A80077E"/>
    <w:rsid w:val="3A9C54D1"/>
    <w:rsid w:val="3ADE7D77"/>
    <w:rsid w:val="3BE40769"/>
    <w:rsid w:val="3D762284"/>
    <w:rsid w:val="3ED41398"/>
    <w:rsid w:val="3F6E1CA8"/>
    <w:rsid w:val="40226892"/>
    <w:rsid w:val="407808EB"/>
    <w:rsid w:val="40CC2A47"/>
    <w:rsid w:val="412A3B58"/>
    <w:rsid w:val="419271DB"/>
    <w:rsid w:val="41B1627C"/>
    <w:rsid w:val="41CF1470"/>
    <w:rsid w:val="4324328B"/>
    <w:rsid w:val="434A0AE3"/>
    <w:rsid w:val="43D332B7"/>
    <w:rsid w:val="43E66228"/>
    <w:rsid w:val="43FD01A2"/>
    <w:rsid w:val="44396E26"/>
    <w:rsid w:val="44FF4B62"/>
    <w:rsid w:val="47CE1926"/>
    <w:rsid w:val="47D44F3F"/>
    <w:rsid w:val="482E1B18"/>
    <w:rsid w:val="48812FD9"/>
    <w:rsid w:val="48BC631E"/>
    <w:rsid w:val="48DB1B35"/>
    <w:rsid w:val="48EA12D8"/>
    <w:rsid w:val="4965247C"/>
    <w:rsid w:val="49832E78"/>
    <w:rsid w:val="49903952"/>
    <w:rsid w:val="499C0B5A"/>
    <w:rsid w:val="4AAE2B54"/>
    <w:rsid w:val="4AD36775"/>
    <w:rsid w:val="4BB358BC"/>
    <w:rsid w:val="4D61097A"/>
    <w:rsid w:val="4DBB4E34"/>
    <w:rsid w:val="4DEB4A24"/>
    <w:rsid w:val="4E46353E"/>
    <w:rsid w:val="4E6866D6"/>
    <w:rsid w:val="4F53299A"/>
    <w:rsid w:val="4FBA6354"/>
    <w:rsid w:val="4FC44298"/>
    <w:rsid w:val="4FDF0D9B"/>
    <w:rsid w:val="4FF66413"/>
    <w:rsid w:val="51A42FB7"/>
    <w:rsid w:val="51B45547"/>
    <w:rsid w:val="51D92CBF"/>
    <w:rsid w:val="520C6399"/>
    <w:rsid w:val="52124454"/>
    <w:rsid w:val="52181266"/>
    <w:rsid w:val="53161D93"/>
    <w:rsid w:val="539E59D7"/>
    <w:rsid w:val="54574B98"/>
    <w:rsid w:val="547D54A4"/>
    <w:rsid w:val="54BC5FC7"/>
    <w:rsid w:val="55C11B3A"/>
    <w:rsid w:val="56C75E52"/>
    <w:rsid w:val="570A1764"/>
    <w:rsid w:val="57370528"/>
    <w:rsid w:val="578465EF"/>
    <w:rsid w:val="578F1374"/>
    <w:rsid w:val="57E95022"/>
    <w:rsid w:val="586E4C59"/>
    <w:rsid w:val="58D4427E"/>
    <w:rsid w:val="58DE66A0"/>
    <w:rsid w:val="58EE759A"/>
    <w:rsid w:val="594352B9"/>
    <w:rsid w:val="5A101C9E"/>
    <w:rsid w:val="5A482861"/>
    <w:rsid w:val="5A9C62A6"/>
    <w:rsid w:val="5AFA3D4F"/>
    <w:rsid w:val="5B3C049B"/>
    <w:rsid w:val="5B9B2BF7"/>
    <w:rsid w:val="5C0E1CFC"/>
    <w:rsid w:val="5C162051"/>
    <w:rsid w:val="5C4D32E7"/>
    <w:rsid w:val="5C59334F"/>
    <w:rsid w:val="5CAB33A7"/>
    <w:rsid w:val="5CB43B5F"/>
    <w:rsid w:val="5CC161CA"/>
    <w:rsid w:val="5D4A1FF1"/>
    <w:rsid w:val="5D5A536D"/>
    <w:rsid w:val="5D9036C0"/>
    <w:rsid w:val="5E0A30DF"/>
    <w:rsid w:val="5E2F4335"/>
    <w:rsid w:val="5E4650EB"/>
    <w:rsid w:val="5EBF145E"/>
    <w:rsid w:val="5EC62EBD"/>
    <w:rsid w:val="5F2B64FA"/>
    <w:rsid w:val="5F9A32A6"/>
    <w:rsid w:val="5FAB1E01"/>
    <w:rsid w:val="5FC74AF9"/>
    <w:rsid w:val="61273500"/>
    <w:rsid w:val="61364201"/>
    <w:rsid w:val="61677FB2"/>
    <w:rsid w:val="61776CFB"/>
    <w:rsid w:val="61A0648E"/>
    <w:rsid w:val="63B00558"/>
    <w:rsid w:val="63BA5DFD"/>
    <w:rsid w:val="63BF4977"/>
    <w:rsid w:val="642D0FC1"/>
    <w:rsid w:val="64891F35"/>
    <w:rsid w:val="64DC31E0"/>
    <w:rsid w:val="6509392D"/>
    <w:rsid w:val="65237591"/>
    <w:rsid w:val="6577569A"/>
    <w:rsid w:val="65BD2C86"/>
    <w:rsid w:val="66225784"/>
    <w:rsid w:val="669E3F0F"/>
    <w:rsid w:val="66FC4C42"/>
    <w:rsid w:val="67A6567A"/>
    <w:rsid w:val="67F94306"/>
    <w:rsid w:val="68035406"/>
    <w:rsid w:val="69794183"/>
    <w:rsid w:val="69AF1205"/>
    <w:rsid w:val="6A3E2EE8"/>
    <w:rsid w:val="6A564CF7"/>
    <w:rsid w:val="6B955B27"/>
    <w:rsid w:val="6B9E703D"/>
    <w:rsid w:val="6BE269F0"/>
    <w:rsid w:val="6C383C42"/>
    <w:rsid w:val="6C817B3C"/>
    <w:rsid w:val="6C972111"/>
    <w:rsid w:val="6CA60C2B"/>
    <w:rsid w:val="6D68557A"/>
    <w:rsid w:val="6DA56622"/>
    <w:rsid w:val="6DAF3824"/>
    <w:rsid w:val="6E1D2124"/>
    <w:rsid w:val="6F33198C"/>
    <w:rsid w:val="6F795CD3"/>
    <w:rsid w:val="6F9502F2"/>
    <w:rsid w:val="6FC82AB5"/>
    <w:rsid w:val="702F4790"/>
    <w:rsid w:val="708021E9"/>
    <w:rsid w:val="7106700F"/>
    <w:rsid w:val="71577343"/>
    <w:rsid w:val="71724C0A"/>
    <w:rsid w:val="717D1AB6"/>
    <w:rsid w:val="717F5231"/>
    <w:rsid w:val="72630125"/>
    <w:rsid w:val="7283275D"/>
    <w:rsid w:val="72D32E34"/>
    <w:rsid w:val="72EA0677"/>
    <w:rsid w:val="73D15C46"/>
    <w:rsid w:val="74336C88"/>
    <w:rsid w:val="743B69A6"/>
    <w:rsid w:val="745C61B1"/>
    <w:rsid w:val="74917FF4"/>
    <w:rsid w:val="749E0571"/>
    <w:rsid w:val="74EB667E"/>
    <w:rsid w:val="75192FB4"/>
    <w:rsid w:val="753A06E5"/>
    <w:rsid w:val="757F555A"/>
    <w:rsid w:val="75AB56B3"/>
    <w:rsid w:val="76907BBF"/>
    <w:rsid w:val="77E84F0C"/>
    <w:rsid w:val="780F65DD"/>
    <w:rsid w:val="7908577F"/>
    <w:rsid w:val="79456BF6"/>
    <w:rsid w:val="79D11B79"/>
    <w:rsid w:val="7A7654F2"/>
    <w:rsid w:val="7AA91931"/>
    <w:rsid w:val="7B804A12"/>
    <w:rsid w:val="7BB562B4"/>
    <w:rsid w:val="7BEF3B90"/>
    <w:rsid w:val="7C1E4DF3"/>
    <w:rsid w:val="7C40373B"/>
    <w:rsid w:val="7C4641FA"/>
    <w:rsid w:val="7CC265B0"/>
    <w:rsid w:val="7D287081"/>
    <w:rsid w:val="7D537AB3"/>
    <w:rsid w:val="7D6059E3"/>
    <w:rsid w:val="7E3D1E9E"/>
    <w:rsid w:val="7E927FC5"/>
    <w:rsid w:val="7EF20C62"/>
    <w:rsid w:val="7F9E233F"/>
    <w:rsid w:val="7FBC4F23"/>
  </w:rsids>
  <w:docVars>
    <w:docVar w:name="commondata" w:val="eyJoZGlkIjoiYTQ2ZmYwNDE3MDQ4YzAyOTUxNjNmOWI2MjYxY2VjZjk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qFormat="1"/>
    <w:lsdException w:name="toc 2" w:semiHidden="0" w:uiPriority="39" w:unhideWhenUsed="0" w:qFormat="1"/>
    <w:lsdException w:name="toc 3" w:semiHidden="0" w:uiPriority="39" w:qFormat="1"/>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semiHidden="0" w:uiPriority="0" w:unhideWhenUsed="0"/>
    <w:lsdException w:name="footnote text" w:uiPriority="0" w:unhideWhenUsed="0"/>
    <w:lsdException w:name="header" w:semiHidden="0" w:uiPriority="0"/>
    <w:lsdException w:name="footer" w:semiHidden="0"/>
    <w:lsdException w:name="caption" w:semiHidden="0" w:uiPriority="35" w:unhideWhenUsed="0" w:qFormat="1"/>
    <w:lsdException w:name="table of figures" w:semiHidden="0"/>
    <w:lsdException w:name="footnote reference" w:semiHidden="0"/>
    <w:lsdException w:name="page number" w:uiPriority="0" w:unhideWhenUsed="0"/>
    <w:lsdException w:name="Title" w:semiHidden="0" w:uiPriority="10" w:unhideWhenUsed="0" w:qFormat="1"/>
    <w:lsdException w:name="Default Paragraph Font" w:semiHidden="0" w:uiPriority="1"/>
    <w:lsdException w:name="Body Text" w:semiHidden="0" w:uiPriority="0" w:unhideWhenUsed="0"/>
    <w:lsdException w:name="Body Text Indent" w:semiHidden="0"/>
    <w:lsdException w:name="Subtitle" w:semiHidden="0" w:uiPriority="11" w:unhideWhenUsed="0" w:qFormat="1"/>
    <w:lsdException w:name="Body Text First Indent" w:semiHidden="0" w:uiPriority="0" w:unhideWhenUsed="0" w:qFormat="1"/>
    <w:lsdException w:name="Body Text Indent 2" w:semiHidden="0"/>
    <w:lsdException w:name="Hyperlink" w:semiHidden="0"/>
    <w:lsdException w:name="FollowedHyperlink" w:semiHidden="0"/>
    <w:lsdException w:name="Strong" w:semiHidden="0" w:uiPriority="0" w:unhideWhenUsed="0" w:qFormat="1"/>
    <w:lsdException w:name="Emphasis" w:semiHidden="0" w:uiPriority="20" w:unhideWhenUsed="0" w:qFormat="1"/>
    <w:lsdException w:name="Document Map" w:uiPriority="0" w:unhideWhenUsed="0"/>
    <w:lsdException w:name="Plain Text" w:semiHidden="0" w:uiPriority="0" w:unhideWhenUsed="0" w:qFormat="1"/>
    <w:lsdException w:name="Normal (Web)" w:semiHidden="0"/>
    <w:lsdException w:name="HTML Acronym" w:semiHidden="0"/>
    <w:lsdException w:name="HTML Cite" w:semiHidden="0"/>
    <w:lsdException w:name="HTML Code" w:semiHidden="0"/>
    <w:lsdException w:name="HTML Definition" w:semiHidden="0"/>
    <w:lsdException w:name="HTML Keyboard" w:semiHidden="0"/>
    <w:lsdException w:name="HTML Sample" w:semiHidden="0"/>
    <w:lsdException w:name="HTML Variable" w:semiHidden="0"/>
    <w:lsdException w:name="Normal Table" w:semiHidden="0"/>
    <w:lsdException w:name="Balloon Text" w:semiHidden="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1"/>
    <w:qFormat/>
    <w:pPr>
      <w:spacing w:line="360" w:lineRule="auto"/>
      <w:ind w:firstLine="482" w:firstLineChars="200"/>
      <w:jc w:val="both"/>
    </w:pPr>
    <w:rPr>
      <w:rFonts w:ascii="宋体" w:hAnsi="宋体"/>
      <w:sz w:val="24"/>
      <w:szCs w:val="24"/>
      <w:lang w:val="en-US" w:eastAsia="en-US" w:bidi="en-US"/>
    </w:rPr>
  </w:style>
  <w:style w:type="paragraph" w:styleId="Heading1">
    <w:name w:val="heading 1"/>
    <w:basedOn w:val="Normal"/>
    <w:next w:val="Normal"/>
    <w:link w:val="1"/>
    <w:uiPriority w:val="9"/>
    <w:qFormat/>
    <w:pPr>
      <w:keepLines/>
      <w:ind w:firstLine="0" w:firstLineChars="0"/>
      <w:outlineLvl w:val="0"/>
    </w:pPr>
    <w:rPr>
      <w:rFonts w:cs="宋体"/>
      <w:b/>
      <w:color w:val="000000"/>
      <w:kern w:val="44"/>
      <w:sz w:val="30"/>
      <w:lang w:eastAsia="zh-CN"/>
    </w:rPr>
  </w:style>
  <w:style w:type="paragraph" w:styleId="Heading2">
    <w:name w:val="heading 2"/>
    <w:basedOn w:val="Normal"/>
    <w:next w:val="Normal"/>
    <w:link w:val="2"/>
    <w:uiPriority w:val="9"/>
    <w:qFormat/>
    <w:pPr>
      <w:keepLines/>
      <w:numPr>
        <w:ilvl w:val="1"/>
        <w:numId w:val="1"/>
      </w:numPr>
      <w:ind w:firstLineChars="0"/>
      <w:outlineLvl w:val="1"/>
    </w:pPr>
    <w:rPr>
      <w:b/>
      <w:bCs/>
      <w:sz w:val="28"/>
      <w:szCs w:val="32"/>
      <w:lang w:eastAsia="zh-CN" w:bidi="ar-SA"/>
    </w:rPr>
  </w:style>
  <w:style w:type="paragraph" w:styleId="Heading3">
    <w:name w:val="heading 3"/>
    <w:basedOn w:val="Normal"/>
    <w:next w:val="Normal"/>
    <w:link w:val="3"/>
    <w:uiPriority w:val="9"/>
    <w:qFormat/>
    <w:pPr>
      <w:keepLines/>
      <w:numPr>
        <w:ilvl w:val="2"/>
        <w:numId w:val="1"/>
      </w:numPr>
      <w:ind w:firstLineChars="0"/>
      <w:jc w:val="left"/>
      <w:outlineLvl w:val="2"/>
    </w:pPr>
    <w:rPr>
      <w:b/>
      <w:bCs/>
      <w:szCs w:val="32"/>
      <w:lang w:eastAsia="zh-CN"/>
    </w:rPr>
  </w:style>
  <w:style w:type="paragraph" w:styleId="Heading4">
    <w:name w:val="heading 4"/>
    <w:basedOn w:val="Normal"/>
    <w:next w:val="Normal"/>
    <w:link w:val="4"/>
    <w:uiPriority w:val="9"/>
    <w:qFormat/>
    <w:pPr>
      <w:keepLines/>
      <w:ind w:firstLine="0" w:firstLineChars="0"/>
      <w:outlineLvl w:val="3"/>
    </w:pPr>
    <w:rPr>
      <w:bCs/>
      <w:szCs w:val="28"/>
    </w:rPr>
  </w:style>
  <w:style w:type="paragraph" w:styleId="Heading5">
    <w:name w:val="heading 5"/>
    <w:basedOn w:val="Normal"/>
    <w:next w:val="Normal"/>
    <w:link w:val="5"/>
    <w:uiPriority w:val="9"/>
    <w:qFormat/>
    <w:pPr>
      <w:keepNext/>
      <w:keepLines/>
      <w:numPr>
        <w:ilvl w:val="4"/>
        <w:numId w:val="1"/>
      </w:numPr>
      <w:spacing w:before="280" w:after="290" w:line="376" w:lineRule="auto"/>
      <w:ind w:firstLineChars="0"/>
      <w:outlineLvl w:val="4"/>
    </w:pPr>
    <w:rPr>
      <w:b/>
      <w:bCs/>
      <w:sz w:val="28"/>
      <w:szCs w:val="28"/>
    </w:rPr>
  </w:style>
  <w:style w:type="paragraph" w:styleId="Heading6">
    <w:name w:val="heading 6"/>
    <w:basedOn w:val="Normal"/>
    <w:next w:val="Normal"/>
    <w:link w:val="6"/>
    <w:uiPriority w:val="9"/>
    <w:qFormat/>
    <w:pPr>
      <w:keepNext/>
      <w:keepLines/>
      <w:numPr>
        <w:ilvl w:val="5"/>
        <w:numId w:val="1"/>
      </w:numPr>
      <w:spacing w:before="240" w:after="64" w:line="320" w:lineRule="auto"/>
      <w:ind w:firstLineChars="0"/>
      <w:outlineLvl w:val="5"/>
    </w:pPr>
    <w:rPr>
      <w:rFonts w:ascii="Cambria" w:eastAsia="宋体" w:hAnsi="Cambria" w:cs="Times New Roman"/>
      <w:b/>
      <w:bCs/>
    </w:rPr>
  </w:style>
  <w:style w:type="paragraph" w:styleId="Heading7">
    <w:name w:val="heading 7"/>
    <w:basedOn w:val="Normal"/>
    <w:next w:val="Normal"/>
    <w:link w:val="7"/>
    <w:uiPriority w:val="9"/>
    <w:qFormat/>
    <w:pPr>
      <w:keepNext/>
      <w:keepLines/>
      <w:numPr>
        <w:ilvl w:val="6"/>
        <w:numId w:val="1"/>
      </w:numPr>
      <w:spacing w:before="240" w:after="64" w:line="320" w:lineRule="auto"/>
      <w:ind w:firstLineChars="0"/>
      <w:outlineLvl w:val="6"/>
    </w:pPr>
    <w:rPr>
      <w:b/>
      <w:bCs/>
    </w:rPr>
  </w:style>
  <w:style w:type="paragraph" w:styleId="Heading8">
    <w:name w:val="heading 8"/>
    <w:basedOn w:val="Normal"/>
    <w:next w:val="Normal"/>
    <w:link w:val="8"/>
    <w:uiPriority w:val="9"/>
    <w:qFormat/>
    <w:pPr>
      <w:keepNext/>
      <w:keepLines/>
      <w:numPr>
        <w:ilvl w:val="7"/>
        <w:numId w:val="1"/>
      </w:numPr>
      <w:spacing w:before="240" w:after="64" w:line="320" w:lineRule="auto"/>
      <w:ind w:firstLineChars="0"/>
      <w:outlineLvl w:val="7"/>
    </w:pPr>
    <w:rPr>
      <w:rFonts w:ascii="Cambria" w:eastAsia="宋体" w:hAnsi="Cambria" w:cs="Times New Roman"/>
    </w:rPr>
  </w:style>
  <w:style w:type="paragraph" w:styleId="Heading9">
    <w:name w:val="heading 9"/>
    <w:basedOn w:val="Normal"/>
    <w:next w:val="Normal"/>
    <w:link w:val="9"/>
    <w:uiPriority w:val="9"/>
    <w:qFormat/>
    <w:pPr>
      <w:keepNext/>
      <w:keepLines/>
      <w:numPr>
        <w:ilvl w:val="8"/>
        <w:numId w:val="1"/>
      </w:numPr>
      <w:spacing w:before="240" w:after="64" w:line="320" w:lineRule="auto"/>
      <w:ind w:firstLineChars="0"/>
      <w:outlineLvl w:val="8"/>
    </w:pPr>
    <w:rPr>
      <w:rFonts w:ascii="Cambria" w:eastAsia="宋体" w:hAnsi="Cambria" w:cs="Times New Roman"/>
      <w:sz w:val="21"/>
      <w:szCs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
    <w:name w:val="标题 1 字符"/>
    <w:link w:val="Heading1"/>
    <w:uiPriority w:val="9"/>
    <w:rPr>
      <w:rFonts w:ascii="宋体" w:hAnsi="宋体" w:cs="宋体"/>
      <w:b/>
      <w:color w:val="000000"/>
      <w:kern w:val="44"/>
      <w:sz w:val="30"/>
      <w:szCs w:val="24"/>
      <w:lang w:bidi="en-US"/>
    </w:rPr>
  </w:style>
  <w:style w:type="character" w:customStyle="1" w:styleId="2">
    <w:name w:val="标题 2 字符"/>
    <w:link w:val="Heading2"/>
    <w:uiPriority w:val="9"/>
    <w:rPr>
      <w:rFonts w:ascii="宋体" w:hAnsi="宋体"/>
      <w:b/>
      <w:bCs/>
      <w:sz w:val="28"/>
      <w:szCs w:val="32"/>
    </w:rPr>
  </w:style>
  <w:style w:type="character" w:customStyle="1" w:styleId="3">
    <w:name w:val="标题 3 字符"/>
    <w:link w:val="Heading3"/>
    <w:uiPriority w:val="9"/>
    <w:rPr>
      <w:rFonts w:ascii="宋体" w:hAnsi="宋体"/>
      <w:b/>
      <w:bCs/>
      <w:sz w:val="24"/>
      <w:szCs w:val="32"/>
      <w:lang w:bidi="en-US"/>
    </w:rPr>
  </w:style>
  <w:style w:type="character" w:customStyle="1" w:styleId="4">
    <w:name w:val="标题 4 字符"/>
    <w:link w:val="Heading4"/>
    <w:uiPriority w:val="9"/>
    <w:rPr>
      <w:rFonts w:ascii="宋体" w:hAnsi="宋体"/>
      <w:bCs/>
      <w:sz w:val="24"/>
      <w:szCs w:val="28"/>
      <w:lang w:eastAsia="en-US" w:bidi="en-US"/>
    </w:rPr>
  </w:style>
  <w:style w:type="character" w:customStyle="1" w:styleId="5">
    <w:name w:val="标题 5 字符"/>
    <w:link w:val="Heading5"/>
    <w:uiPriority w:val="9"/>
    <w:semiHidden/>
    <w:rPr>
      <w:rFonts w:ascii="宋体" w:hAnsi="宋体"/>
      <w:b/>
      <w:bCs/>
      <w:sz w:val="28"/>
      <w:szCs w:val="28"/>
      <w:lang w:eastAsia="en-US" w:bidi="en-US"/>
    </w:rPr>
  </w:style>
  <w:style w:type="character" w:customStyle="1" w:styleId="6">
    <w:name w:val="标题 6 字符"/>
    <w:link w:val="Heading6"/>
    <w:uiPriority w:val="9"/>
    <w:semiHidden/>
    <w:rPr>
      <w:rFonts w:ascii="Cambria" w:hAnsi="Cambria"/>
      <w:b/>
      <w:bCs/>
      <w:sz w:val="24"/>
      <w:szCs w:val="24"/>
      <w:lang w:eastAsia="en-US" w:bidi="en-US"/>
    </w:rPr>
  </w:style>
  <w:style w:type="character" w:customStyle="1" w:styleId="7">
    <w:name w:val="标题 7 字符"/>
    <w:link w:val="Heading7"/>
    <w:uiPriority w:val="9"/>
    <w:semiHidden/>
    <w:rPr>
      <w:rFonts w:ascii="宋体" w:hAnsi="宋体"/>
      <w:b/>
      <w:bCs/>
      <w:sz w:val="24"/>
      <w:szCs w:val="24"/>
      <w:lang w:eastAsia="en-US" w:bidi="en-US"/>
    </w:rPr>
  </w:style>
  <w:style w:type="character" w:customStyle="1" w:styleId="8">
    <w:name w:val="标题 8 字符"/>
    <w:link w:val="Heading8"/>
    <w:uiPriority w:val="9"/>
    <w:semiHidden/>
    <w:rPr>
      <w:rFonts w:ascii="Cambria" w:hAnsi="Cambria"/>
      <w:sz w:val="24"/>
      <w:szCs w:val="24"/>
      <w:lang w:eastAsia="en-US" w:bidi="en-US"/>
    </w:rPr>
  </w:style>
  <w:style w:type="character" w:customStyle="1" w:styleId="9">
    <w:name w:val="标题 9 字符"/>
    <w:link w:val="Heading9"/>
    <w:uiPriority w:val="9"/>
    <w:semiHidden/>
    <w:rPr>
      <w:rFonts w:ascii="Cambria" w:hAnsi="Cambria"/>
      <w:sz w:val="21"/>
      <w:szCs w:val="21"/>
      <w:lang w:eastAsia="en-US" w:bidi="en-US"/>
    </w:rPr>
  </w:style>
  <w:style w:type="paragraph" w:styleId="TOC7">
    <w:name w:val="toc 7"/>
    <w:basedOn w:val="Normal"/>
    <w:next w:val="Normal"/>
    <w:uiPriority w:val="39"/>
    <w:unhideWhenUsed/>
    <w:pPr>
      <w:ind w:left="1440"/>
    </w:pPr>
    <w:rPr>
      <w:rFonts w:ascii="Calibri" w:hAnsi="Calibri" w:cs="Calibri"/>
      <w:sz w:val="18"/>
      <w:szCs w:val="18"/>
    </w:rPr>
  </w:style>
  <w:style w:type="paragraph" w:styleId="NormalIndent">
    <w:name w:val="Normal Indent"/>
    <w:basedOn w:val="Normal"/>
    <w:link w:val="a"/>
    <w:pPr>
      <w:widowControl w:val="0"/>
      <w:adjustRightInd w:val="0"/>
      <w:snapToGrid w:val="0"/>
      <w:ind w:firstLine="420"/>
    </w:pPr>
    <w:rPr>
      <w:szCs w:val="20"/>
      <w:lang w:bidi="ar-SA"/>
    </w:rPr>
  </w:style>
  <w:style w:type="character" w:customStyle="1" w:styleId="a">
    <w:name w:val="正文缩进 字符"/>
    <w:link w:val="NormalIndent"/>
    <w:rPr>
      <w:rFonts w:ascii="Times New Roman" w:hAnsi="Times New Roman"/>
      <w:sz w:val="24"/>
    </w:rPr>
  </w:style>
  <w:style w:type="paragraph" w:styleId="Caption">
    <w:name w:val="caption"/>
    <w:basedOn w:val="Normal"/>
    <w:next w:val="Normal"/>
    <w:uiPriority w:val="35"/>
    <w:qFormat/>
    <w:pPr>
      <w:ind w:firstLine="480"/>
      <w:jc w:val="center"/>
    </w:pPr>
    <w:rPr>
      <w:rFonts w:ascii="Cambria" w:eastAsia="黑体" w:hAnsi="Cambria"/>
      <w:szCs w:val="20"/>
    </w:rPr>
  </w:style>
  <w:style w:type="paragraph" w:styleId="DocumentMap">
    <w:name w:val="Document Map"/>
    <w:basedOn w:val="Normal"/>
    <w:semiHidden/>
    <w:pPr>
      <w:shd w:val="clear" w:color="auto" w:fill="000080"/>
    </w:pPr>
  </w:style>
  <w:style w:type="paragraph" w:styleId="BodyText">
    <w:name w:val="Body Text"/>
    <w:basedOn w:val="Normal"/>
    <w:link w:val="a0"/>
    <w:pPr>
      <w:widowControl w:val="0"/>
      <w:spacing w:after="120"/>
    </w:pPr>
    <w:rPr>
      <w:sz w:val="20"/>
      <w:lang w:bidi="ar-SA"/>
    </w:rPr>
  </w:style>
  <w:style w:type="character" w:customStyle="1" w:styleId="a0">
    <w:name w:val="正文文本 字符"/>
    <w:link w:val="BodyText"/>
    <w:rPr>
      <w:rFonts w:ascii="Times New Roman" w:eastAsia="宋体" w:hAnsi="Times New Roman" w:cs="Times New Roman"/>
      <w:szCs w:val="24"/>
    </w:rPr>
  </w:style>
  <w:style w:type="paragraph" w:styleId="BodyTextIndent">
    <w:name w:val="Body Text Indent"/>
    <w:basedOn w:val="Normal"/>
    <w:link w:val="a1"/>
    <w:uiPriority w:val="99"/>
    <w:unhideWhenUsed/>
    <w:pPr>
      <w:spacing w:after="120"/>
      <w:ind w:left="420" w:leftChars="200"/>
    </w:pPr>
  </w:style>
  <w:style w:type="character" w:customStyle="1" w:styleId="a1">
    <w:name w:val="正文文本缩进 字符"/>
    <w:link w:val="BodyTextIndent"/>
    <w:uiPriority w:val="99"/>
    <w:rPr>
      <w:rFonts w:ascii="Calibri" w:eastAsia="宋体" w:hAnsi="Calibri" w:cs="Times New Roman"/>
      <w:kern w:val="0"/>
      <w:sz w:val="24"/>
      <w:szCs w:val="24"/>
      <w:lang w:eastAsia="en-US" w:bidi="en-US"/>
    </w:rPr>
  </w:style>
  <w:style w:type="paragraph" w:styleId="TOC5">
    <w:name w:val="toc 5"/>
    <w:basedOn w:val="Normal"/>
    <w:next w:val="Normal"/>
    <w:uiPriority w:val="39"/>
    <w:unhideWhenUsed/>
    <w:pPr>
      <w:ind w:left="960"/>
    </w:pPr>
    <w:rPr>
      <w:rFonts w:ascii="Calibri" w:hAnsi="Calibri" w:cs="Calibri"/>
      <w:sz w:val="18"/>
      <w:szCs w:val="18"/>
    </w:rPr>
  </w:style>
  <w:style w:type="paragraph" w:styleId="TOC3">
    <w:name w:val="toc 3"/>
    <w:basedOn w:val="Normal"/>
    <w:next w:val="Normal"/>
    <w:uiPriority w:val="39"/>
    <w:unhideWhenUsed/>
    <w:qFormat/>
    <w:pPr>
      <w:ind w:left="480"/>
    </w:pPr>
    <w:rPr>
      <w:rFonts w:ascii="Calibri" w:hAnsi="Calibri" w:cs="Calibri"/>
      <w:i/>
      <w:iCs/>
      <w:sz w:val="20"/>
      <w:szCs w:val="20"/>
    </w:rPr>
  </w:style>
  <w:style w:type="paragraph" w:styleId="PlainText">
    <w:name w:val="Plain Text"/>
    <w:basedOn w:val="Normal"/>
    <w:qFormat/>
    <w:pPr>
      <w:spacing w:line="240" w:lineRule="auto"/>
      <w:ind w:firstLine="0" w:firstLineChars="0"/>
    </w:pPr>
    <w:rPr>
      <w:rFonts w:hAnsi="Courier New" w:cs="Times New Roman"/>
      <w:sz w:val="21"/>
      <w:szCs w:val="20"/>
    </w:rPr>
  </w:style>
  <w:style w:type="paragraph" w:styleId="TOC8">
    <w:name w:val="toc 8"/>
    <w:basedOn w:val="Normal"/>
    <w:next w:val="Normal"/>
    <w:uiPriority w:val="39"/>
    <w:unhideWhenUsed/>
    <w:pPr>
      <w:ind w:left="1680"/>
    </w:pPr>
    <w:rPr>
      <w:rFonts w:ascii="Calibri" w:hAnsi="Calibri" w:cs="Calibri"/>
      <w:sz w:val="18"/>
      <w:szCs w:val="18"/>
    </w:rPr>
  </w:style>
  <w:style w:type="paragraph" w:styleId="BodyTextIndent2">
    <w:name w:val="Body Text Indent 2"/>
    <w:basedOn w:val="Normal"/>
    <w:link w:val="20"/>
    <w:uiPriority w:val="99"/>
    <w:unhideWhenUsed/>
    <w:pPr>
      <w:spacing w:after="120" w:line="480" w:lineRule="auto"/>
      <w:ind w:left="420" w:leftChars="200"/>
    </w:pPr>
  </w:style>
  <w:style w:type="character" w:customStyle="1" w:styleId="20">
    <w:name w:val="正文文本缩进 2 字符"/>
    <w:link w:val="BodyTextIndent2"/>
    <w:uiPriority w:val="99"/>
    <w:semiHidden/>
    <w:rPr>
      <w:sz w:val="24"/>
      <w:szCs w:val="24"/>
      <w:lang w:eastAsia="en-US" w:bidi="en-US"/>
    </w:rPr>
  </w:style>
  <w:style w:type="paragraph" w:styleId="BalloonText">
    <w:name w:val="Balloon Text"/>
    <w:basedOn w:val="Normal"/>
    <w:link w:val="a2"/>
    <w:uiPriority w:val="99"/>
    <w:unhideWhenUsed/>
    <w:rPr>
      <w:sz w:val="18"/>
      <w:szCs w:val="18"/>
    </w:rPr>
  </w:style>
  <w:style w:type="character" w:customStyle="1" w:styleId="a2">
    <w:name w:val="批注框文本 字符"/>
    <w:link w:val="BalloonText"/>
    <w:uiPriority w:val="99"/>
    <w:semiHidden/>
    <w:rPr>
      <w:rFonts w:ascii="Calibri" w:eastAsia="宋体" w:hAnsi="Calibri" w:cs="Times New Roman"/>
      <w:kern w:val="0"/>
      <w:sz w:val="18"/>
      <w:szCs w:val="18"/>
      <w:lang w:eastAsia="en-US" w:bidi="en-US"/>
    </w:rPr>
  </w:style>
  <w:style w:type="paragraph" w:styleId="Footer">
    <w:name w:val="footer"/>
    <w:basedOn w:val="Normal"/>
    <w:link w:val="10"/>
    <w:uiPriority w:val="99"/>
    <w:unhideWhenUsed/>
    <w:pPr>
      <w:widowControl w:val="0"/>
      <w:tabs>
        <w:tab w:val="center" w:pos="4153"/>
        <w:tab w:val="right" w:pos="8306"/>
      </w:tabs>
      <w:snapToGrid w:val="0"/>
    </w:pPr>
    <w:rPr>
      <w:sz w:val="18"/>
      <w:szCs w:val="18"/>
      <w:lang w:bidi="ar-SA"/>
    </w:rPr>
  </w:style>
  <w:style w:type="character" w:customStyle="1" w:styleId="10">
    <w:name w:val="页脚 字符1"/>
    <w:link w:val="Footer"/>
    <w:uiPriority w:val="99"/>
    <w:rPr>
      <w:sz w:val="18"/>
      <w:szCs w:val="18"/>
    </w:rPr>
  </w:style>
  <w:style w:type="paragraph" w:styleId="Header">
    <w:name w:val="header"/>
    <w:basedOn w:val="Normal"/>
    <w:link w:val="a3"/>
    <w:unhideWhenUsed/>
    <w:pPr>
      <w:widowControl w:val="0"/>
      <w:pBdr>
        <w:bottom w:val="single" w:sz="6" w:space="1" w:color="auto"/>
      </w:pBdr>
      <w:tabs>
        <w:tab w:val="center" w:pos="4153"/>
        <w:tab w:val="right" w:pos="8306"/>
      </w:tabs>
      <w:snapToGrid w:val="0"/>
      <w:spacing w:line="240" w:lineRule="auto"/>
      <w:ind w:firstLine="0" w:firstLineChars="0"/>
    </w:pPr>
    <w:rPr>
      <w:sz w:val="18"/>
      <w:szCs w:val="18"/>
      <w:u w:color="00B050"/>
      <w:lang w:bidi="ar-SA"/>
    </w:rPr>
  </w:style>
  <w:style w:type="character" w:customStyle="1" w:styleId="a3">
    <w:name w:val="页眉 字符"/>
    <w:link w:val="Header"/>
    <w:uiPriority w:val="99"/>
    <w:rPr>
      <w:rFonts w:ascii="Times New Roman" w:hAnsi="Times New Roman"/>
      <w:sz w:val="18"/>
      <w:szCs w:val="18"/>
      <w:u w:color="00B050"/>
    </w:rPr>
  </w:style>
  <w:style w:type="paragraph" w:styleId="TOC1">
    <w:name w:val="toc 1"/>
    <w:basedOn w:val="Normal"/>
    <w:next w:val="Normal"/>
    <w:uiPriority w:val="39"/>
    <w:unhideWhenUsed/>
    <w:qFormat/>
    <w:pPr>
      <w:tabs>
        <w:tab w:val="right" w:leader="dot" w:pos="8777"/>
      </w:tabs>
      <w:spacing w:before="120" w:after="120"/>
      <w:ind w:firstLine="0" w:firstLineChars="0"/>
    </w:pPr>
    <w:rPr>
      <w:rFonts w:ascii="Calibri" w:hAnsi="Calibri" w:cs="Calibri"/>
      <w:b/>
      <w:bCs/>
      <w:caps/>
      <w:sz w:val="20"/>
      <w:szCs w:val="20"/>
    </w:rPr>
  </w:style>
  <w:style w:type="paragraph" w:styleId="TOC4">
    <w:name w:val="toc 4"/>
    <w:basedOn w:val="Normal"/>
    <w:next w:val="Normal"/>
    <w:uiPriority w:val="39"/>
    <w:unhideWhenUsed/>
    <w:pPr>
      <w:ind w:left="720"/>
    </w:pPr>
    <w:rPr>
      <w:rFonts w:ascii="Calibri" w:hAnsi="Calibri" w:cs="Calibri"/>
      <w:sz w:val="18"/>
      <w:szCs w:val="18"/>
    </w:rPr>
  </w:style>
  <w:style w:type="paragraph" w:styleId="FootnoteText">
    <w:name w:val="footnote text"/>
    <w:basedOn w:val="Normal"/>
    <w:link w:val="a4"/>
    <w:semiHidden/>
    <w:pPr>
      <w:widowControl w:val="0"/>
      <w:snapToGrid w:val="0"/>
    </w:pPr>
    <w:rPr>
      <w:sz w:val="18"/>
      <w:szCs w:val="18"/>
      <w:lang w:bidi="ar-SA"/>
    </w:rPr>
  </w:style>
  <w:style w:type="character" w:customStyle="1" w:styleId="a4">
    <w:name w:val="脚注文本 字符"/>
    <w:link w:val="FootnoteText"/>
    <w:semiHidden/>
    <w:rPr>
      <w:rFonts w:ascii="Times New Roman" w:eastAsia="宋体" w:hAnsi="Times New Roman" w:cs="Times New Roman"/>
      <w:sz w:val="18"/>
      <w:szCs w:val="18"/>
    </w:rPr>
  </w:style>
  <w:style w:type="paragraph" w:styleId="TOC6">
    <w:name w:val="toc 6"/>
    <w:basedOn w:val="Normal"/>
    <w:next w:val="Normal"/>
    <w:uiPriority w:val="39"/>
    <w:unhideWhenUsed/>
    <w:pPr>
      <w:ind w:left="1200"/>
    </w:pPr>
    <w:rPr>
      <w:rFonts w:ascii="Calibri" w:hAnsi="Calibri" w:cs="Calibri"/>
      <w:sz w:val="18"/>
      <w:szCs w:val="18"/>
    </w:rPr>
  </w:style>
  <w:style w:type="paragraph" w:styleId="TableofFigures">
    <w:name w:val="table of figures"/>
    <w:basedOn w:val="Normal"/>
    <w:next w:val="Normal"/>
    <w:uiPriority w:val="99"/>
    <w:unhideWhenUsed/>
    <w:pPr>
      <w:spacing w:line="240" w:lineRule="auto"/>
      <w:ind w:left="200" w:firstLine="0" w:leftChars="200" w:firstLineChars="0"/>
      <w:jc w:val="center"/>
    </w:pPr>
  </w:style>
  <w:style w:type="paragraph" w:styleId="TOC2">
    <w:name w:val="toc 2"/>
    <w:basedOn w:val="Normal"/>
    <w:next w:val="Normal"/>
    <w:uiPriority w:val="39"/>
    <w:qFormat/>
    <w:pPr>
      <w:tabs>
        <w:tab w:val="right" w:leader="dot" w:pos="8777"/>
      </w:tabs>
      <w:ind w:left="238" w:firstLine="0" w:firstLineChars="0"/>
    </w:pPr>
    <w:rPr>
      <w:rFonts w:ascii="Calibri" w:hAnsi="Calibri" w:cs="Calibri"/>
      <w:smallCaps/>
      <w:sz w:val="20"/>
      <w:szCs w:val="20"/>
    </w:rPr>
  </w:style>
  <w:style w:type="paragraph" w:styleId="TOC9">
    <w:name w:val="toc 9"/>
    <w:basedOn w:val="Normal"/>
    <w:next w:val="Normal"/>
    <w:uiPriority w:val="39"/>
    <w:unhideWhenUsed/>
    <w:pPr>
      <w:ind w:left="1920"/>
    </w:pPr>
    <w:rPr>
      <w:rFonts w:ascii="Calibri" w:hAnsi="Calibri" w:cs="Calibri"/>
      <w:sz w:val="18"/>
      <w:szCs w:val="18"/>
    </w:rPr>
  </w:style>
  <w:style w:type="paragraph" w:styleId="NormalWeb">
    <w:name w:val="Normal (Web)"/>
    <w:basedOn w:val="Normal"/>
    <w:uiPriority w:val="99"/>
    <w:unhideWhenUsed/>
    <w:pPr>
      <w:spacing w:before="100" w:beforeAutospacing="1" w:after="100" w:afterAutospacing="1"/>
    </w:pPr>
    <w:rPr>
      <w:rFonts w:cs="宋体"/>
      <w:lang w:eastAsia="zh-CN" w:bidi="ar-SA"/>
    </w:rPr>
  </w:style>
  <w:style w:type="paragraph" w:styleId="Title">
    <w:name w:val="Title"/>
    <w:basedOn w:val="Normal"/>
    <w:next w:val="Normal"/>
    <w:link w:val="a5"/>
    <w:uiPriority w:val="10"/>
    <w:qFormat/>
    <w:pPr>
      <w:spacing w:before="240" w:after="60"/>
      <w:jc w:val="center"/>
      <w:outlineLvl w:val="0"/>
    </w:pPr>
    <w:rPr>
      <w:rFonts w:ascii="Cambria" w:hAnsi="Cambria"/>
      <w:b/>
      <w:bCs/>
      <w:sz w:val="32"/>
      <w:szCs w:val="32"/>
    </w:rPr>
  </w:style>
  <w:style w:type="character" w:customStyle="1" w:styleId="a5">
    <w:name w:val="标题 字符"/>
    <w:link w:val="Title"/>
    <w:uiPriority w:val="10"/>
    <w:rPr>
      <w:rFonts w:ascii="Cambria" w:hAnsi="Cambria" w:cs="Times New Roman"/>
      <w:b/>
      <w:bCs/>
      <w:sz w:val="32"/>
      <w:szCs w:val="32"/>
      <w:lang w:eastAsia="en-US" w:bidi="en-US"/>
    </w:rPr>
  </w:style>
  <w:style w:type="paragraph" w:styleId="BodyTextFirstIndent">
    <w:name w:val="Body Text First Indent"/>
    <w:basedOn w:val="BodyText"/>
    <w:qFormat/>
    <w:pPr>
      <w:ind w:firstLine="420" w:firstLineChars="100"/>
    </w:pPr>
    <w:rPr>
      <w:rFonts w:ascii="Times New Roman" w:eastAsia="Times New Roman" w:hAnsi="Times New Roman" w:cs="Times New Roman"/>
      <w:b/>
      <w:bCs/>
      <w:spacing w:val="10"/>
      <w:sz w:val="18"/>
    </w:rPr>
  </w:style>
  <w:style w:type="table" w:styleId="TableGrid">
    <w:name w:val="Table Grid"/>
    <w:basedOn w:val="TableNormal"/>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semiHidden/>
  </w:style>
  <w:style w:type="character" w:styleId="FollowedHyperlink">
    <w:name w:val="FollowedHyperlink"/>
    <w:uiPriority w:val="99"/>
    <w:unhideWhenUsed/>
    <w:rPr>
      <w:color w:val="0084FF"/>
      <w:u w:val="none"/>
    </w:rPr>
  </w:style>
  <w:style w:type="character" w:styleId="Emphasis">
    <w:name w:val="Emphasis"/>
    <w:uiPriority w:val="20"/>
    <w:qFormat/>
    <w:rPr>
      <w:b w:val="0"/>
      <w:i w:val="0"/>
    </w:rPr>
  </w:style>
  <w:style w:type="character" w:styleId="HTMLDefinition">
    <w:name w:val="HTML Definition"/>
    <w:uiPriority w:val="99"/>
    <w:unhideWhenUsed/>
    <w:rPr>
      <w:b w:val="0"/>
      <w:i w:val="0"/>
    </w:rPr>
  </w:style>
  <w:style w:type="character" w:styleId="HTMLAcronym">
    <w:name w:val="HTML Acronym"/>
    <w:basedOn w:val="DefaultParagraphFont"/>
    <w:uiPriority w:val="99"/>
    <w:unhideWhenUsed/>
  </w:style>
  <w:style w:type="character" w:styleId="HTMLVariable">
    <w:name w:val="HTML Variable"/>
    <w:uiPriority w:val="99"/>
    <w:unhideWhenUsed/>
    <w:rPr>
      <w:b w:val="0"/>
      <w:i w:val="0"/>
    </w:rPr>
  </w:style>
  <w:style w:type="character" w:styleId="Hyperlink">
    <w:name w:val="Hyperlink"/>
    <w:uiPriority w:val="99"/>
    <w:unhideWhenUsed/>
    <w:rPr>
      <w:color w:val="0084FF"/>
      <w:u w:val="none"/>
    </w:rPr>
  </w:style>
  <w:style w:type="character" w:styleId="HTMLCode">
    <w:name w:val="HTML Code"/>
    <w:uiPriority w:val="99"/>
    <w:unhideWhenUsed/>
    <w:rPr>
      <w:rFonts w:ascii="Consolas" w:eastAsia="Consolas" w:hAnsi="Consolas" w:cs="Consolas" w:hint="default"/>
      <w:b w:val="0"/>
      <w:i w:val="0"/>
      <w:color w:val="C7254E"/>
      <w:sz w:val="21"/>
      <w:szCs w:val="21"/>
      <w:shd w:val="clear" w:color="auto" w:fill="F9F2F4"/>
    </w:rPr>
  </w:style>
  <w:style w:type="character" w:styleId="HTMLCite">
    <w:name w:val="HTML Cite"/>
    <w:uiPriority w:val="99"/>
    <w:unhideWhenUsed/>
    <w:rPr>
      <w:b w:val="0"/>
      <w:i w:val="0"/>
    </w:rPr>
  </w:style>
  <w:style w:type="character" w:styleId="FootnoteReference">
    <w:name w:val="footnote reference"/>
    <w:uiPriority w:val="99"/>
    <w:unhideWhenUsed/>
    <w:rPr>
      <w:vertAlign w:val="superscript"/>
    </w:rPr>
  </w:style>
  <w:style w:type="character" w:styleId="HTMLKeyboard">
    <w:name w:val="HTML Keyboard"/>
    <w:uiPriority w:val="99"/>
    <w:unhideWhenUsed/>
    <w:rPr>
      <w:rFonts w:ascii="Consolas" w:eastAsia="Consolas" w:hAnsi="Consolas" w:cs="Consolas" w:hint="default"/>
      <w:color w:val="FFFFFF"/>
      <w:sz w:val="21"/>
      <w:szCs w:val="21"/>
      <w:shd w:val="clear" w:color="auto" w:fill="333333"/>
    </w:rPr>
  </w:style>
  <w:style w:type="character" w:styleId="HTMLSample">
    <w:name w:val="HTML Sample"/>
    <w:uiPriority w:val="99"/>
    <w:unhideWhenUsed/>
    <w:rPr>
      <w:rFonts w:ascii="Consolas" w:eastAsia="Consolas" w:hAnsi="Consolas" w:cs="Consolas" w:hint="default"/>
      <w:sz w:val="21"/>
      <w:szCs w:val="21"/>
    </w:rPr>
  </w:style>
  <w:style w:type="character" w:customStyle="1" w:styleId="GB2312">
    <w:name w:val="样式 仿宋_GB2312 小四"/>
    <w:rPr>
      <w:rFonts w:ascii="仿宋_GB2312" w:eastAsia="仿宋_GB2312" w:hAnsi="仿宋_GB2312"/>
      <w:sz w:val="32"/>
    </w:rPr>
  </w:style>
  <w:style w:type="character" w:customStyle="1" w:styleId="11111Char">
    <w:name w:val="11111 Char"/>
    <w:link w:val="11111"/>
    <w:rPr>
      <w:rFonts w:ascii="宋体" w:eastAsia="宋体" w:hAnsi="宋体" w:cs="Times New Roman"/>
      <w:sz w:val="24"/>
      <w:szCs w:val="24"/>
    </w:rPr>
  </w:style>
  <w:style w:type="paragraph" w:customStyle="1" w:styleId="11111">
    <w:name w:val="11111"/>
    <w:basedOn w:val="Normal"/>
    <w:link w:val="11111Char"/>
    <w:pPr>
      <w:widowControl w:val="0"/>
      <w:spacing w:line="500" w:lineRule="exact"/>
      <w:ind w:firstLine="480"/>
    </w:pPr>
    <w:rPr>
      <w:lang w:bidi="ar-SA"/>
    </w:rPr>
  </w:style>
  <w:style w:type="character" w:customStyle="1" w:styleId="Char">
    <w:name w:val="插图名 Char"/>
    <w:link w:val="a6"/>
    <w:rPr>
      <w:rFonts w:ascii="宋体" w:hAnsi="宋体"/>
      <w:sz w:val="24"/>
      <w:szCs w:val="24"/>
    </w:rPr>
  </w:style>
  <w:style w:type="paragraph" w:customStyle="1" w:styleId="a6">
    <w:name w:val="插图名"/>
    <w:basedOn w:val="Normal"/>
    <w:link w:val="Char"/>
    <w:qFormat/>
    <w:pPr>
      <w:widowControl w:val="0"/>
      <w:ind w:firstLine="0" w:firstLineChars="0"/>
      <w:jc w:val="center"/>
      <w:outlineLvl w:val="3"/>
    </w:pPr>
    <w:rPr>
      <w:lang w:bidi="ar-SA"/>
    </w:rPr>
  </w:style>
  <w:style w:type="character" w:customStyle="1" w:styleId="Char0">
    <w:name w:val="表头 Char"/>
    <w:link w:val="a7"/>
    <w:rPr>
      <w:rFonts w:ascii="宋体" w:hAnsi="宋体"/>
      <w:sz w:val="24"/>
      <w:szCs w:val="24"/>
    </w:rPr>
  </w:style>
  <w:style w:type="paragraph" w:customStyle="1" w:styleId="a7">
    <w:name w:val="表头"/>
    <w:basedOn w:val="Normal"/>
    <w:link w:val="Char0"/>
    <w:pPr>
      <w:widowControl w:val="0"/>
      <w:ind w:firstLine="0" w:firstLineChars="0"/>
      <w:jc w:val="center"/>
      <w:outlineLvl w:val="8"/>
    </w:pPr>
    <w:rPr>
      <w:lang w:bidi="ar-SA"/>
    </w:rPr>
  </w:style>
  <w:style w:type="character" w:customStyle="1" w:styleId="nc-lang-cnt4">
    <w:name w:val="nc-lang-cnt4"/>
    <w:rPr>
      <w:rtl/>
    </w:rPr>
  </w:style>
  <w:style w:type="character" w:customStyle="1" w:styleId="nc-lang-cnt3">
    <w:name w:val="nc-lang-cnt3"/>
    <w:rPr>
      <w:rtl/>
    </w:rPr>
  </w:style>
  <w:style w:type="character" w:customStyle="1" w:styleId="nc-lang-cnt5">
    <w:name w:val="nc-lang-cnt5"/>
    <w:rPr>
      <w:rtl/>
    </w:rPr>
  </w:style>
  <w:style w:type="character" w:customStyle="1" w:styleId="202Char">
    <w:name w:val="样式 样式 样式 华文仿宋 小四 左 行距: 固定值 20 磅 + 首行缩进:  2 字符 + 宋体 Char"/>
    <w:link w:val="202"/>
    <w:rPr>
      <w:rFonts w:ascii="宋体" w:eastAsia="仿宋_GB2312" w:hAnsi="宋体" w:cs="宋体"/>
      <w:kern w:val="2"/>
      <w:sz w:val="24"/>
    </w:rPr>
  </w:style>
  <w:style w:type="paragraph" w:customStyle="1" w:styleId="202">
    <w:name w:val="样式 样式 样式 华文仿宋 小四 左 行距: 固定值 20 磅 + 首行缩进:  2 字符 + 宋体"/>
    <w:basedOn w:val="Normal"/>
    <w:link w:val="202Char"/>
    <w:pPr>
      <w:widowControl w:val="0"/>
      <w:spacing w:line="400" w:lineRule="exact"/>
      <w:ind w:firstLine="200"/>
      <w:jc w:val="left"/>
    </w:pPr>
    <w:rPr>
      <w:rFonts w:eastAsia="仿宋_GB2312" w:cs="宋体"/>
      <w:kern w:val="2"/>
      <w:szCs w:val="20"/>
      <w:lang w:eastAsia="zh-CN" w:bidi="ar-SA"/>
    </w:rPr>
  </w:style>
  <w:style w:type="character" w:customStyle="1" w:styleId="GB23120">
    <w:name w:val="样式 样式 华文仿宋 双下划线 + 仿宋_GB2312 三号 无下划线"/>
    <w:rPr>
      <w:rFonts w:ascii="仿宋_GB2312" w:eastAsia="仿宋_GB2312" w:hAnsi="仿宋_GB2312"/>
      <w:sz w:val="32"/>
      <w:u w:val="none"/>
    </w:rPr>
  </w:style>
  <w:style w:type="character" w:customStyle="1" w:styleId="5Char">
    <w:name w:val="5.正文格式 Char"/>
    <w:link w:val="50"/>
    <w:uiPriority w:val="1"/>
    <w:qFormat/>
    <w:rPr>
      <w:rFonts w:ascii="宋体"/>
      <w:kern w:val="2"/>
      <w:sz w:val="24"/>
      <w:szCs w:val="24"/>
      <w:lang w:val="zh-CN"/>
    </w:rPr>
  </w:style>
  <w:style w:type="paragraph" w:customStyle="1" w:styleId="50">
    <w:name w:val="5.正文格式"/>
    <w:basedOn w:val="BodyTextFirstIndent"/>
    <w:link w:val="5Char"/>
    <w:uiPriority w:val="1"/>
    <w:qFormat/>
    <w:pPr>
      <w:spacing w:after="0"/>
      <w:ind w:firstLine="200" w:firstLineChars="200"/>
    </w:pPr>
    <w:rPr>
      <w:rFonts w:ascii="宋体" w:eastAsia="宋体" w:hAnsi="Calibri"/>
      <w:b w:val="0"/>
      <w:bCs w:val="0"/>
      <w:spacing w:val="0"/>
      <w:kern w:val="2"/>
      <w:sz w:val="24"/>
      <w:lang w:val="zh-CN" w:eastAsia="zh-CN"/>
    </w:rPr>
  </w:style>
  <w:style w:type="character" w:customStyle="1" w:styleId="1Char">
    <w:name w:val="标题1 Char"/>
    <w:aliases w:val="加粗正文 Char,普通文字 Char Char Char Char Char Char Char Char Char Char Char,普通文字 Char Char Char Char Char Char Char Char Char Char1,普通文字 Char Char Char Char Char Char Char Char Char1,普通文字 Char Char Char Char Char Char1,纯文,纯文本 Cha Char,纯文本11 Char Char"/>
    <w:link w:val="11"/>
    <w:rPr>
      <w:rFonts w:ascii="Times New Roman" w:eastAsia="黑体" w:hAnsi="Times New Roman" w:cs="Times New Roman"/>
      <w:b/>
      <w:sz w:val="24"/>
      <w:szCs w:val="24"/>
    </w:rPr>
  </w:style>
  <w:style w:type="paragraph" w:customStyle="1" w:styleId="11">
    <w:name w:val="标题1"/>
    <w:basedOn w:val="Normal"/>
    <w:link w:val="1Char"/>
    <w:pPr>
      <w:widowControl w:val="0"/>
      <w:outlineLvl w:val="0"/>
    </w:pPr>
    <w:rPr>
      <w:rFonts w:eastAsia="黑体"/>
      <w:b/>
      <w:lang w:bidi="ar-SA"/>
    </w:rPr>
  </w:style>
  <w:style w:type="character" w:customStyle="1" w:styleId="Char2">
    <w:name w:val="某标正文 Char"/>
    <w:link w:val="a8"/>
    <w:rPr>
      <w:rFonts w:ascii="宋体" w:eastAsia="宋体" w:hAnsi="宋体" w:cs="Times New Roman"/>
      <w:sz w:val="24"/>
      <w:szCs w:val="24"/>
    </w:rPr>
  </w:style>
  <w:style w:type="paragraph" w:customStyle="1" w:styleId="a8">
    <w:name w:val="某标正文"/>
    <w:basedOn w:val="Normal"/>
    <w:link w:val="Char2"/>
    <w:pPr>
      <w:widowControl w:val="0"/>
    </w:pPr>
    <w:rPr>
      <w:lang w:bidi="ar-SA"/>
    </w:rPr>
  </w:style>
  <w:style w:type="character" w:customStyle="1" w:styleId="Char3">
    <w:name w:val="金安桥正文 Char"/>
    <w:link w:val="a9"/>
    <w:semiHidden/>
    <w:rPr>
      <w:rFonts w:ascii="Times New Roman" w:eastAsia="宋体" w:hAnsi="Times New Roman" w:cs="Times New Roman"/>
      <w:kern w:val="0"/>
      <w:sz w:val="24"/>
      <w:szCs w:val="20"/>
    </w:rPr>
  </w:style>
  <w:style w:type="paragraph" w:customStyle="1" w:styleId="a9">
    <w:name w:val="金安桥正文"/>
    <w:basedOn w:val="BodyTextIndent"/>
    <w:link w:val="Char3"/>
    <w:semiHidden/>
    <w:pPr>
      <w:widowControl w:val="0"/>
      <w:adjustRightInd w:val="0"/>
      <w:spacing w:after="0" w:line="300" w:lineRule="auto"/>
      <w:ind w:left="0" w:leftChars="0"/>
      <w:textAlignment w:val="baseline"/>
    </w:pPr>
    <w:rPr>
      <w:szCs w:val="20"/>
      <w:lang w:bidi="ar-SA"/>
    </w:rPr>
  </w:style>
  <w:style w:type="character" w:customStyle="1" w:styleId="nc-lang-cnt1">
    <w:name w:val="nc-lang-cnt1"/>
    <w:basedOn w:val="DefaultParagraphFont"/>
  </w:style>
  <w:style w:type="character" w:customStyle="1" w:styleId="nc-lang-cnt2">
    <w:name w:val="nc-lang-cnt2"/>
    <w:rPr>
      <w:rtl/>
    </w:rPr>
  </w:style>
  <w:style w:type="character" w:customStyle="1" w:styleId="nc-lang-cnt">
    <w:name w:val="nc-lang-cnt"/>
    <w:basedOn w:val="DefaultParagraphFont"/>
  </w:style>
  <w:style w:type="character" w:customStyle="1" w:styleId="Char10">
    <w:name w:val="页眉 Char1"/>
    <w:aliases w:val="tt Char,页眉 Char Char,页眉2 Char,页眉cover Char"/>
    <w:rPr>
      <w:rFonts w:eastAsia="宋体"/>
      <w:kern w:val="2"/>
      <w:sz w:val="18"/>
      <w:lang w:val="en-US" w:eastAsia="zh-CN" w:bidi="ar-SA"/>
    </w:rPr>
  </w:style>
  <w:style w:type="character" w:styleId="Hashtag">
    <w:name w:val="Hashtag"/>
    <w:uiPriority w:val="99"/>
    <w:unhideWhenUsed/>
    <w:rPr>
      <w:color w:val="605E5C"/>
      <w:shd w:val="clear" w:color="auto" w:fill="E1DFDD"/>
    </w:rPr>
  </w:style>
  <w:style w:type="character" w:styleId="PlaceholderText">
    <w:name w:val="Placeholder Text"/>
    <w:uiPriority w:val="99"/>
    <w:semiHidden/>
    <w:rPr>
      <w:color w:val="808080"/>
    </w:rPr>
  </w:style>
  <w:style w:type="character" w:customStyle="1" w:styleId="Char4">
    <w:name w:val="标书正文 Char"/>
    <w:rPr>
      <w:rFonts w:ascii="仿宋_GB2312" w:eastAsia="仿宋_GB2312"/>
      <w:kern w:val="2"/>
      <w:sz w:val="24"/>
      <w:szCs w:val="24"/>
    </w:rPr>
  </w:style>
  <w:style w:type="character" w:customStyle="1" w:styleId="9Char">
    <w:name w:val="9 图名格式 Char"/>
    <w:link w:val="90"/>
    <w:rPr>
      <w:rFonts w:ascii="黑体" w:eastAsia="黑体"/>
      <w:sz w:val="24"/>
      <w:lang w:val="zh-CN"/>
    </w:rPr>
  </w:style>
  <w:style w:type="paragraph" w:customStyle="1" w:styleId="90">
    <w:name w:val="9 图名格式"/>
    <w:basedOn w:val="Normal"/>
    <w:link w:val="9Char"/>
    <w:qFormat/>
    <w:pPr>
      <w:spacing w:after="50" w:afterLines="50"/>
      <w:jc w:val="center"/>
      <w:outlineLvl w:val="5"/>
    </w:pPr>
    <w:rPr>
      <w:rFonts w:ascii="黑体" w:eastAsia="黑体"/>
      <w:sz w:val="24"/>
      <w:lang w:val="zh-CN"/>
    </w:rPr>
  </w:style>
  <w:style w:type="character" w:customStyle="1" w:styleId="CharChar0">
    <w:name w:val="标书正文 Char Char"/>
    <w:link w:val="a10"/>
    <w:rPr>
      <w:rFonts w:ascii="宋体"/>
      <w:kern w:val="2"/>
      <w:sz w:val="24"/>
      <w:szCs w:val="24"/>
    </w:rPr>
  </w:style>
  <w:style w:type="paragraph" w:customStyle="1" w:styleId="a10">
    <w:name w:val="标书正文"/>
    <w:basedOn w:val="Normal"/>
    <w:link w:val="CharChar0"/>
    <w:pPr>
      <w:widowControl w:val="0"/>
      <w:suppressAutoHyphens/>
      <w:autoSpaceDE w:val="0"/>
      <w:autoSpaceDN w:val="0"/>
      <w:adjustRightInd w:val="0"/>
      <w:snapToGrid w:val="0"/>
    </w:pPr>
    <w:rPr>
      <w:kern w:val="2"/>
      <w:lang w:bidi="ar-SA"/>
    </w:rPr>
  </w:style>
  <w:style w:type="character" w:customStyle="1" w:styleId="Char5">
    <w:name w:val="插图 Char"/>
    <w:link w:val="a11"/>
    <w:rPr>
      <w:rFonts w:ascii="宋体" w:hAnsi="宋体"/>
      <w:sz w:val="21"/>
      <w:szCs w:val="24"/>
    </w:rPr>
  </w:style>
  <w:style w:type="paragraph" w:customStyle="1" w:styleId="a11">
    <w:name w:val="插图"/>
    <w:basedOn w:val="Normal"/>
    <w:link w:val="Char5"/>
    <w:qFormat/>
    <w:pPr>
      <w:widowControl w:val="0"/>
      <w:spacing w:line="240" w:lineRule="exact"/>
      <w:ind w:firstLine="0" w:firstLineChars="0"/>
      <w:jc w:val="center"/>
    </w:pPr>
    <w:rPr>
      <w:sz w:val="21"/>
      <w:lang w:bidi="ar-SA"/>
    </w:rPr>
  </w:style>
  <w:style w:type="character" w:customStyle="1" w:styleId="a12">
    <w:name w:val="页脚 字符"/>
    <w:uiPriority w:val="99"/>
  </w:style>
  <w:style w:type="character" w:customStyle="1" w:styleId="GB23121">
    <w:name w:val="样式 仿宋_GB2312 小四 红色"/>
    <w:rPr>
      <w:rFonts w:ascii="仿宋_GB2312" w:eastAsia="仿宋_GB2312" w:hAnsi="仿宋_GB2312"/>
      <w:color w:val="FF0000"/>
      <w:sz w:val="32"/>
    </w:rPr>
  </w:style>
  <w:style w:type="character" w:customStyle="1" w:styleId="3Char1">
    <w:name w:val="标题3 Char1"/>
    <w:link w:val="30"/>
    <w:rPr>
      <w:rFonts w:ascii="Times New Roman" w:eastAsia="黑体" w:hAnsi="Times New Roman" w:cs="Times New Roman"/>
      <w:sz w:val="24"/>
      <w:szCs w:val="24"/>
    </w:rPr>
  </w:style>
  <w:style w:type="paragraph" w:customStyle="1" w:styleId="30">
    <w:name w:val="标题3"/>
    <w:basedOn w:val="Normal"/>
    <w:link w:val="3Char1"/>
    <w:pPr>
      <w:widowControl w:val="0"/>
      <w:spacing w:line="480" w:lineRule="auto"/>
      <w:outlineLvl w:val="2"/>
    </w:pPr>
    <w:rPr>
      <w:rFonts w:eastAsia="黑体"/>
      <w:lang w:bidi="ar-SA"/>
    </w:rPr>
  </w:style>
  <w:style w:type="character" w:customStyle="1" w:styleId="51">
    <w:name w:val="5 正文格式 字符"/>
    <w:link w:val="52"/>
    <w:qFormat/>
    <w:rPr>
      <w:rFonts w:ascii="宋体" w:hAnsi="宋体"/>
      <w:sz w:val="24"/>
      <w:szCs w:val="24"/>
      <w:lang w:val="zh-CN" w:eastAsia="en-US" w:bidi="en-US"/>
    </w:rPr>
  </w:style>
  <w:style w:type="paragraph" w:customStyle="1" w:styleId="52">
    <w:name w:val="5 正文格式"/>
    <w:basedOn w:val="Normal"/>
    <w:link w:val="51"/>
    <w:qFormat/>
    <w:pPr>
      <w:spacing w:line="360" w:lineRule="auto"/>
      <w:ind w:firstLine="200" w:firstLineChars="200"/>
    </w:pPr>
    <w:rPr>
      <w:rFonts w:ascii="宋体"/>
      <w:sz w:val="24"/>
      <w:lang w:val="zh-CN"/>
    </w:rPr>
  </w:style>
  <w:style w:type="character" w:customStyle="1" w:styleId="nc-lang-cnt6">
    <w:name w:val="nc-lang-cnt6"/>
    <w:basedOn w:val="DefaultParagraphFont"/>
  </w:style>
  <w:style w:type="character" w:customStyle="1" w:styleId="2Char1">
    <w:name w:val="标题2 Char1"/>
    <w:link w:val="21"/>
    <w:rPr>
      <w:rFonts w:ascii="Times New Roman" w:eastAsia="黑体" w:hAnsi="Times New Roman" w:cs="Times New Roman"/>
      <w:b/>
      <w:sz w:val="24"/>
      <w:szCs w:val="24"/>
    </w:rPr>
  </w:style>
  <w:style w:type="paragraph" w:customStyle="1" w:styleId="21">
    <w:name w:val="标题2"/>
    <w:basedOn w:val="Normal"/>
    <w:link w:val="2Char1"/>
    <w:pPr>
      <w:widowControl w:val="0"/>
      <w:spacing w:line="480" w:lineRule="auto"/>
      <w:outlineLvl w:val="1"/>
    </w:pPr>
    <w:rPr>
      <w:rFonts w:eastAsia="黑体"/>
      <w:b/>
      <w:lang w:bidi="ar-SA"/>
    </w:rPr>
  </w:style>
  <w:style w:type="character" w:customStyle="1" w:styleId="Char6">
    <w:name w:val="表格 Char"/>
    <w:link w:val="a13"/>
    <w:rPr>
      <w:rFonts w:ascii="宋体" w:hAnsi="宋体"/>
      <w:sz w:val="21"/>
      <w:szCs w:val="24"/>
    </w:rPr>
  </w:style>
  <w:style w:type="paragraph" w:customStyle="1" w:styleId="a13">
    <w:name w:val="表格"/>
    <w:basedOn w:val="Normal"/>
    <w:link w:val="Char6"/>
    <w:pPr>
      <w:widowControl w:val="0"/>
      <w:spacing w:line="240" w:lineRule="auto"/>
      <w:ind w:firstLine="0" w:firstLineChars="0"/>
      <w:jc w:val="center"/>
    </w:pPr>
    <w:rPr>
      <w:sz w:val="21"/>
      <w:lang w:bidi="ar-SA"/>
    </w:rPr>
  </w:style>
  <w:style w:type="paragraph" w:customStyle="1" w:styleId="12">
    <w:name w:val="正文1"/>
    <w:basedOn w:val="Normal"/>
    <w:qFormat/>
    <w:pPr>
      <w:snapToGrid w:val="0"/>
      <w:spacing w:line="360" w:lineRule="auto"/>
      <w:ind w:firstLine="200" w:firstLineChars="200"/>
    </w:pPr>
    <w:rPr>
      <w:rFonts w:ascii="Times New Roman" w:eastAsia="宋体" w:hAnsi="Times New Roman" w:cs="Times New Roman"/>
      <w:sz w:val="24"/>
    </w:rPr>
  </w:style>
  <w:style w:type="paragraph" w:customStyle="1" w:styleId="a14">
    <w:name w:val="标准_条"/>
    <w:basedOn w:val="Normal"/>
    <w:qFormat/>
  </w:style>
  <w:style w:type="paragraph" w:styleId="NoSpacing">
    <w:name w:val="No Spacing"/>
    <w:uiPriority w:val="1"/>
    <w:qFormat/>
    <w:pPr>
      <w:jc w:val="center"/>
    </w:pPr>
    <w:rPr>
      <w:sz w:val="21"/>
      <w:szCs w:val="24"/>
      <w:lang w:val="en-US" w:eastAsia="en-US" w:bidi="en-US"/>
    </w:rPr>
  </w:style>
  <w:style w:type="paragraph" w:customStyle="1" w:styleId="a15">
    <w:name w:val="图表正文"/>
    <w:qFormat/>
    <w:pPr>
      <w:adjustRightInd w:val="0"/>
      <w:snapToGrid w:val="0"/>
      <w:jc w:val="center"/>
    </w:pPr>
    <w:rPr>
      <w:spacing w:val="6"/>
      <w:kern w:val="2"/>
      <w:sz w:val="21"/>
      <w:szCs w:val="21"/>
      <w:lang w:val="en-US" w:eastAsia="zh-CN" w:bidi="ar-SA"/>
    </w:rPr>
  </w:style>
  <w:style w:type="paragraph" w:customStyle="1" w:styleId="110">
    <w:name w:val="正文11"/>
    <w:basedOn w:val="Normal"/>
    <w:pPr>
      <w:adjustRightInd w:val="0"/>
      <w:snapToGrid w:val="0"/>
      <w:spacing w:line="440" w:lineRule="exact"/>
    </w:pPr>
    <w:rPr>
      <w:rFonts w:ascii="仿宋_GB2312" w:eastAsia="仿宋_GB2312"/>
      <w:bCs/>
    </w:rPr>
  </w:style>
  <w:style w:type="paragraph" w:customStyle="1" w:styleId="80">
    <w:name w:val="8 插图格式"/>
    <w:basedOn w:val="Normal"/>
    <w:next w:val="90"/>
    <w:qFormat/>
    <w:pPr>
      <w:spacing w:line="0" w:lineRule="atLeast"/>
      <w:jc w:val="center"/>
    </w:pPr>
    <w:rPr>
      <w:rFonts w:ascii="宋体"/>
      <w:sz w:val="18"/>
      <w:szCs w:val="18"/>
      <w:lang w:val="zh-CN"/>
    </w:rPr>
  </w:style>
  <w:style w:type="paragraph" w:customStyle="1" w:styleId="CharCharCharCharCharCharCharCharCharChar">
    <w:name w:val=" Char Char Char Char Char Char Char Char Char Char"/>
    <w:basedOn w:val="Normal"/>
    <w:pPr>
      <w:widowControl w:val="0"/>
      <w:spacing w:line="240" w:lineRule="auto"/>
      <w:ind w:firstLine="0" w:firstLineChars="0"/>
    </w:pPr>
    <w:rPr>
      <w:rFonts w:ascii="Times New Roman" w:hAnsi="Times New Roman"/>
      <w:kern w:val="2"/>
      <w:sz w:val="21"/>
      <w:lang w:eastAsia="zh-CN" w:bidi="ar-SA"/>
    </w:rPr>
  </w:style>
  <w:style w:type="paragraph" w:customStyle="1" w:styleId="p0">
    <w:name w:val="p0"/>
    <w:basedOn w:val="Normal"/>
    <w:pPr>
      <w:spacing w:line="288" w:lineRule="auto"/>
      <w:ind w:firstLine="0" w:firstLineChars="0"/>
    </w:pPr>
    <w:rPr>
      <w:rFonts w:ascii="Times New Roman" w:hAnsi="Times New Roman"/>
      <w:sz w:val="30"/>
      <w:szCs w:val="30"/>
      <w:lang w:eastAsia="zh-CN" w:bidi="ar-SA"/>
    </w:rPr>
  </w:style>
  <w:style w:type="paragraph" w:customStyle="1" w:styleId="31">
    <w:name w:val="3 级标题"/>
    <w:basedOn w:val="Normal"/>
    <w:qFormat/>
    <w:pPr>
      <w:spacing w:line="480" w:lineRule="auto"/>
      <w:outlineLvl w:val="2"/>
    </w:pPr>
    <w:rPr>
      <w:rFonts w:ascii="黑体" w:eastAsia="黑体"/>
      <w:color w:val="00B050"/>
      <w:sz w:val="24"/>
    </w:rPr>
  </w:style>
  <w:style w:type="paragraph" w:customStyle="1" w:styleId="a16">
    <w:name w:val="小标题"/>
    <w:basedOn w:val="Normal"/>
    <w:pPr>
      <w:widowControl w:val="0"/>
      <w:autoSpaceDE w:val="0"/>
      <w:autoSpaceDN w:val="0"/>
      <w:spacing w:beforeLines="70" w:afterLines="20" w:line="240" w:lineRule="auto"/>
      <w:ind w:firstLine="0" w:firstLineChars="0"/>
      <w:jc w:val="center"/>
    </w:pPr>
    <w:rPr>
      <w:rFonts w:hAnsi="Times New Roman" w:cs="Courier New"/>
      <w:b/>
      <w:kern w:val="28"/>
      <w:position w:val="-6"/>
      <w:sz w:val="28"/>
      <w:szCs w:val="21"/>
      <w:lang w:eastAsia="zh-CN" w:bidi="ar-SA"/>
    </w:rPr>
  </w:style>
  <w:style w:type="paragraph" w:customStyle="1" w:styleId="Char7">
    <w:name w:val=" Char"/>
    <w:basedOn w:val="DocumentMap"/>
    <w:pPr>
      <w:widowControl w:val="0"/>
      <w:adjustRightInd w:val="0"/>
      <w:spacing w:line="436" w:lineRule="exact"/>
      <w:ind w:left="357" w:firstLine="0" w:firstLineChars="0"/>
      <w:jc w:val="left"/>
      <w:outlineLvl w:val="3"/>
    </w:pPr>
    <w:rPr>
      <w:rFonts w:ascii="Tahoma" w:hAnsi="Tahoma"/>
      <w:b/>
      <w:kern w:val="2"/>
      <w:lang w:eastAsia="zh-CN" w:bidi="ar-SA"/>
    </w:rPr>
  </w:style>
  <w:style w:type="paragraph" w:customStyle="1" w:styleId="a17">
    <w:name w:val="图表标题"/>
    <w:basedOn w:val="Normal"/>
    <w:next w:val="a10"/>
    <w:qFormat/>
    <w:pPr>
      <w:spacing w:line="360" w:lineRule="auto"/>
      <w:jc w:val="center"/>
    </w:pPr>
    <w:rPr>
      <w:rFonts w:ascii="宋体"/>
      <w:b/>
      <w:color w:val="800000"/>
      <w:szCs w:val="21"/>
    </w:rPr>
  </w:style>
  <w:style w:type="paragraph" w:styleId="ListParagraph">
    <w:name w:val="List Paragraph"/>
    <w:basedOn w:val="Normal"/>
    <w:next w:val="Normal"/>
    <w:qFormat/>
    <w:pPr>
      <w:widowControl w:val="0"/>
    </w:pPr>
    <w:rPr>
      <w:kern w:val="2"/>
      <w:szCs w:val="20"/>
      <w:lang w:eastAsia="zh-CN" w:bidi="ar-SA"/>
    </w:rPr>
  </w:style>
  <w:style w:type="paragraph" w:customStyle="1" w:styleId="WPSOffice2">
    <w:name w:val="WPSOffice手动目录 2"/>
    <w:pPr>
      <w:ind w:leftChars="200"/>
    </w:pPr>
    <w:rPr>
      <w:lang w:val="en-US" w:eastAsia="zh-CN" w:bidi="ar-SA"/>
    </w:rPr>
  </w:style>
  <w:style w:type="paragraph" w:customStyle="1" w:styleId="a18">
    <w:name w:val="段落"/>
    <w:basedOn w:val="Normal"/>
    <w:qFormat/>
    <w:rPr>
      <w:rFonts w:ascii="等线" w:eastAsia="等线" w:hAnsi="等线" w:cs="Mongolian Baiti"/>
      <w:szCs w:val="21"/>
    </w:rPr>
  </w:style>
  <w:style w:type="paragraph" w:customStyle="1" w:styleId="a19">
    <w:name w:val="表格（居中）字体"/>
    <w:basedOn w:val="Normal"/>
    <w:next w:val="a10"/>
    <w:qFormat/>
    <w:pPr>
      <w:widowControl/>
      <w:jc w:val="center"/>
    </w:pPr>
    <w:rPr>
      <w:rFonts w:ascii="宋体"/>
      <w:kern w:val="0"/>
      <w:szCs w:val="21"/>
    </w:rPr>
  </w:style>
  <w:style w:type="paragraph" w:customStyle="1" w:styleId="a20">
    <w:name w:val="表题头字"/>
    <w:basedOn w:val="Normal"/>
    <w:qFormat/>
    <w:pPr>
      <w:snapToGrid w:val="0"/>
      <w:ind w:firstLine="0" w:firstLineChars="0"/>
      <w:jc w:val="center"/>
    </w:pPr>
    <w:rPr>
      <w:rFonts w:eastAsia="宋体"/>
      <w:b/>
    </w:rPr>
  </w:style>
  <w:style w:type="paragraph" w:customStyle="1" w:styleId="40">
    <w:name w:val="标题4"/>
    <w:basedOn w:val="a8"/>
    <w:pPr>
      <w:ind w:firstLine="0" w:firstLineChars="0"/>
      <w:jc w:val="left"/>
      <w:outlineLvl w:val="3"/>
    </w:pPr>
  </w:style>
  <w:style w:type="paragraph" w:customStyle="1" w:styleId="WPSOffice1">
    <w:name w:val="WPSOffice手动目录 1"/>
    <w:rPr>
      <w:lang w:val="en-US" w:eastAsia="zh-CN" w:bidi="ar-SA"/>
    </w:rPr>
  </w:style>
  <w:style w:type="paragraph" w:customStyle="1" w:styleId="22">
    <w:name w:val="正文缩2"/>
    <w:qFormat/>
    <w:pPr>
      <w:spacing w:line="360" w:lineRule="auto"/>
      <w:ind w:firstLine="240" w:firstLineChars="100"/>
    </w:pPr>
    <w:rPr>
      <w:sz w:val="24"/>
      <w:szCs w:val="24"/>
      <w:lang w:val="en-US" w:eastAsia="zh-CN" w:bidi="ar-SA"/>
    </w:rPr>
  </w:style>
  <w:style w:type="paragraph" w:customStyle="1" w:styleId="70">
    <w:name w:val="7.表名"/>
    <w:basedOn w:val="Normal"/>
    <w:uiPriority w:val="1"/>
    <w:qFormat/>
    <w:pPr>
      <w:widowControl/>
      <w:ind w:firstLine="0" w:firstLineChars="0"/>
      <w:jc w:val="center"/>
      <w:outlineLvl w:val="5"/>
    </w:pPr>
    <w:rPr>
      <w:rFonts w:ascii="宋体" w:eastAsia="宋体" w:hAnsi="宋体" w:cs="宋体"/>
      <w:b/>
      <w:kern w:val="0"/>
      <w:sz w:val="21"/>
      <w:szCs w:val="21"/>
      <w:lang w:val="zh-CN"/>
    </w:rPr>
  </w:style>
  <w:style w:type="paragraph" w:customStyle="1" w:styleId="a21">
    <w:name w:val="叶巴滩正文"/>
    <w:basedOn w:val="Normal"/>
    <w:pPr>
      <w:spacing w:line="360" w:lineRule="auto"/>
      <w:ind w:firstLine="200" w:firstLineChars="200"/>
    </w:pPr>
    <w:rPr>
      <w:rFonts w:ascii="宋体"/>
      <w:sz w:val="24"/>
      <w:szCs w:val="21"/>
      <w:lang w:val="zh-CN"/>
    </w:rPr>
  </w:style>
  <w:style w:type="paragraph" w:styleId="TOCHeading">
    <w:name w:val="TOC Heading"/>
    <w:basedOn w:val="Heading1"/>
    <w:next w:val="Normal"/>
    <w:uiPriority w:val="39"/>
    <w:qFormat/>
    <w:pPr>
      <w:spacing w:before="480" w:line="276" w:lineRule="auto"/>
      <w:outlineLvl w:val="9"/>
    </w:pPr>
    <w:rPr>
      <w:rFonts w:ascii="Cambria" w:hAnsi="Cambria"/>
      <w:color w:val="365F91"/>
      <w:kern w:val="0"/>
      <w:sz w:val="28"/>
      <w:szCs w:val="28"/>
      <w:lang w:bidi="ar-SA"/>
    </w:rPr>
  </w:style>
  <w:style w:type="paragraph" w:customStyle="1" w:styleId="CharCharCharChar">
    <w:name w:val="Char Char Char Char"/>
    <w:basedOn w:val="Normal"/>
    <w:next w:val="Normal"/>
    <w:pPr>
      <w:widowControl w:val="0"/>
      <w:spacing w:before="50" w:beforeLines="50" w:after="50" w:afterLines="50" w:line="500" w:lineRule="exact"/>
    </w:pPr>
    <w:rPr>
      <w:b/>
      <w:kern w:val="2"/>
      <w:sz w:val="32"/>
      <w:szCs w:val="32"/>
      <w:lang w:eastAsia="zh-CN" w:bidi="ar-SA"/>
    </w:rPr>
  </w:style>
  <w:style w:type="paragraph" w:customStyle="1" w:styleId="a22">
    <w:name w:val="施组正文"/>
    <w:basedOn w:val="Normal"/>
    <w:pPr>
      <w:widowControl w:val="0"/>
      <w:ind w:firstLine="200"/>
    </w:pPr>
    <w:rPr>
      <w:rFonts w:ascii="Times New Roman" w:hAnsi="Times New Roman"/>
      <w:kern w:val="2"/>
      <w:lang w:eastAsia="zh-CN" w:bidi="ar-SA"/>
    </w:rPr>
  </w:style>
  <w:style w:type="paragraph" w:customStyle="1" w:styleId="23">
    <w:name w:val="样式 首行缩进:  2 字符"/>
    <w:basedOn w:val="Normal"/>
    <w:pPr>
      <w:adjustRightInd w:val="0"/>
      <w:snapToGrid w:val="0"/>
      <w:spacing w:line="360" w:lineRule="auto"/>
      <w:ind w:firstLine="200" w:firstLineChars="200"/>
    </w:pPr>
    <w:rPr>
      <w:sz w:val="24"/>
      <w:szCs w:val="20"/>
    </w:rPr>
  </w:style>
  <w:style w:type="paragraph" w:customStyle="1" w:styleId="a23">
    <w:name w:val="表格内容"/>
    <w:basedOn w:val="Normal"/>
    <w:pPr>
      <w:widowControl w:val="0"/>
      <w:tabs>
        <w:tab w:val="left" w:pos="480"/>
      </w:tabs>
      <w:adjustRightInd w:val="0"/>
      <w:snapToGrid w:val="0"/>
      <w:spacing w:line="240" w:lineRule="auto"/>
      <w:ind w:firstLine="0" w:firstLineChars="0"/>
    </w:pPr>
    <w:rPr>
      <w:rFonts w:ascii="仿宋_GB2312" w:eastAsia="仿宋_GB2312" w:hAnsi="Times New Roman" w:cs="Courier New"/>
      <w:kern w:val="2"/>
      <w:position w:val="-6"/>
      <w:szCs w:val="21"/>
      <w:lang w:eastAsia="zh-CN" w:bidi="ar-SA"/>
    </w:rPr>
  </w:style>
  <w:style w:type="paragraph" w:customStyle="1" w:styleId="71">
    <w:name w:val="7 表格内容"/>
    <w:basedOn w:val="Normal"/>
    <w:qFormat/>
    <w:pPr>
      <w:jc w:val="center"/>
    </w:pPr>
    <w:rPr>
      <w:rFonts w:ascii="宋体"/>
    </w:rPr>
  </w:style>
  <w:style w:type="paragraph" w:customStyle="1" w:styleId="a24">
    <w:name w:val="主文"/>
    <w:pPr>
      <w:widowControl w:val="0"/>
      <w:spacing w:line="440" w:lineRule="exact"/>
      <w:ind w:firstLine="448" w:firstLineChars="200"/>
      <w:jc w:val="both"/>
    </w:pPr>
    <w:rPr>
      <w:rFonts w:ascii="宋体" w:hAnsi="宋体"/>
      <w:spacing w:val="-8"/>
      <w:kern w:val="2"/>
      <w:sz w:val="24"/>
      <w:lang w:val="en-US" w:eastAsia="zh-CN" w:bidi="ar-SA"/>
    </w:rPr>
  </w:style>
  <w:style w:type="paragraph" w:customStyle="1" w:styleId="13">
    <w:name w:val="表1"/>
    <w:basedOn w:val="Normal"/>
    <w:pPr>
      <w:widowControl w:val="0"/>
      <w:numPr>
        <w:ilvl w:val="0"/>
        <w:numId w:val="2"/>
      </w:numPr>
      <w:ind w:right="-14" w:firstLine="0" w:rightChars="-6" w:firstLineChars="0"/>
      <w:jc w:val="center"/>
    </w:pPr>
    <w:rPr>
      <w:rFonts w:cs="宋体"/>
      <w:kern w:val="2"/>
      <w:szCs w:val="20"/>
      <w:lang w:eastAsia="zh-CN" w:bidi="ar-SA"/>
    </w:rPr>
  </w:style>
  <w:style w:type="paragraph" w:customStyle="1" w:styleId="60">
    <w:name w:val="6 表头格式"/>
    <w:basedOn w:val="Normal"/>
    <w:qFormat/>
    <w:pPr>
      <w:jc w:val="left"/>
      <w:outlineLvl w:val="5"/>
    </w:pPr>
    <w:rPr>
      <w:rFonts w:ascii="宋体" w:eastAsia="黑体"/>
      <w:sz w:val="24"/>
    </w:rPr>
  </w:style>
  <w:style w:type="paragraph" w:customStyle="1" w:styleId="41">
    <w:name w:val="4 级标题"/>
    <w:basedOn w:val="Normal"/>
    <w:qFormat/>
    <w:pPr>
      <w:adjustRightInd w:val="0"/>
      <w:spacing w:line="360" w:lineRule="auto"/>
      <w:outlineLvl w:val="3"/>
    </w:pPr>
    <w:rPr>
      <w:rFonts w:ascii="宋体" w:hAnsi="Times New Roman"/>
      <w:sz w:val="24"/>
      <w:lang w:val="zh-CN"/>
    </w:rPr>
  </w:style>
  <w:style w:type="paragraph" w:customStyle="1" w:styleId="a25">
    <w:name w:val="投标表内字"/>
    <w:basedOn w:val="Normal"/>
    <w:qFormat/>
    <w:pPr>
      <w:snapToGrid w:val="0"/>
      <w:spacing w:line="240" w:lineRule="auto"/>
      <w:ind w:firstLine="0" w:firstLineChars="0"/>
      <w:jc w:val="center"/>
    </w:pPr>
    <w:rPr>
      <w:rFonts w:eastAsia="宋体"/>
      <w:sz w:val="18"/>
    </w:rPr>
  </w:style>
  <w:style w:type="table" w:customStyle="1" w:styleId="14">
    <w:name w:val="网格型1"/>
    <w:basedOn w:val="TableNormal"/>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6.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header" Target="header8.xml" /><Relationship Id="rId23" Type="http://schemas.openxmlformats.org/officeDocument/2006/relationships/footer" Target="footer12.xml" /><Relationship Id="rId24" Type="http://schemas.openxmlformats.org/officeDocument/2006/relationships/header" Target="header9.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10.xml" /><Relationship Id="rId28" Type="http://schemas.openxmlformats.org/officeDocument/2006/relationships/footer" Target="footer15.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header" Target="header12.xml" /><Relationship Id="rId33" Type="http://schemas.openxmlformats.org/officeDocument/2006/relationships/footer" Target="footer18.xml" /><Relationship Id="rId34" Type="http://schemas.openxmlformats.org/officeDocument/2006/relationships/header" Target="header13.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header" Target="header14.xml" /><Relationship Id="rId38" Type="http://schemas.openxmlformats.org/officeDocument/2006/relationships/footer" Target="footer21.xml" /><Relationship Id="rId39" Type="http://schemas.openxmlformats.org/officeDocument/2006/relationships/header" Target="header15.xml" /><Relationship Id="rId4" Type="http://schemas.openxmlformats.org/officeDocument/2006/relationships/header" Target="header1.xml" /><Relationship Id="rId40" Type="http://schemas.openxmlformats.org/officeDocument/2006/relationships/footer" Target="footer22.xml" /><Relationship Id="rId41" Type="http://schemas.openxmlformats.org/officeDocument/2006/relationships/footer" Target="footer23.xml" /><Relationship Id="rId42" Type="http://schemas.openxmlformats.org/officeDocument/2006/relationships/header" Target="header16.xml" /><Relationship Id="rId43" Type="http://schemas.openxmlformats.org/officeDocument/2006/relationships/footer" Target="footer24.xml" /><Relationship Id="rId44" Type="http://schemas.openxmlformats.org/officeDocument/2006/relationships/header" Target="header17.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header" Target="header18.xml" /><Relationship Id="rId48" Type="http://schemas.openxmlformats.org/officeDocument/2006/relationships/footer" Target="footer27.xml" /><Relationship Id="rId49" Type="http://schemas.openxmlformats.org/officeDocument/2006/relationships/header" Target="header19.xml" /><Relationship Id="rId5" Type="http://schemas.openxmlformats.org/officeDocument/2006/relationships/footer" Target="footer1.xml" /><Relationship Id="rId50" Type="http://schemas.openxmlformats.org/officeDocument/2006/relationships/footer" Target="footer28.xml" /><Relationship Id="rId51" Type="http://schemas.openxmlformats.org/officeDocument/2006/relationships/footer" Target="footer29.xml" /><Relationship Id="rId52" Type="http://schemas.openxmlformats.org/officeDocument/2006/relationships/header" Target="header20.xml" /><Relationship Id="rId53" Type="http://schemas.openxmlformats.org/officeDocument/2006/relationships/footer" Target="footer30.xml" /><Relationship Id="rId54" Type="http://schemas.openxmlformats.org/officeDocument/2006/relationships/header" Target="header21.xml" /><Relationship Id="rId55" Type="http://schemas.openxmlformats.org/officeDocument/2006/relationships/footer" Target="footer31.xml" /><Relationship Id="rId56" Type="http://schemas.openxmlformats.org/officeDocument/2006/relationships/footer" Target="footer32.xml" /><Relationship Id="rId57" Type="http://schemas.openxmlformats.org/officeDocument/2006/relationships/header" Target="header22.xml" /><Relationship Id="rId58" Type="http://schemas.openxmlformats.org/officeDocument/2006/relationships/footer" Target="footer33.xml" /><Relationship Id="rId59" Type="http://schemas.openxmlformats.org/officeDocument/2006/relationships/hyperlink" Target="https://d.book118.com/357152056003006053" TargetMode="External" /><Relationship Id="rId6" Type="http://schemas.openxmlformats.org/officeDocument/2006/relationships/footer" Target="footer2.xml" /><Relationship Id="rId60" Type="http://schemas.openxmlformats.org/officeDocument/2006/relationships/header" Target="header23.xml" /><Relationship Id="rId61" Type="http://schemas.openxmlformats.org/officeDocument/2006/relationships/header" Target="header24.xml" /><Relationship Id="rId62" Type="http://schemas.openxmlformats.org/officeDocument/2006/relationships/footer" Target="footer34.xml" /><Relationship Id="rId63" Type="http://schemas.openxmlformats.org/officeDocument/2006/relationships/footer" Target="footer35.xml" /><Relationship Id="rId64" Type="http://schemas.openxmlformats.org/officeDocument/2006/relationships/header" Target="header25.xml" /><Relationship Id="rId65" Type="http://schemas.openxmlformats.org/officeDocument/2006/relationships/footer" Target="footer36.xml" /><Relationship Id="rId66" Type="http://schemas.openxmlformats.org/officeDocument/2006/relationships/theme" Target="theme/theme1.xml" /><Relationship Id="rId67" Type="http://schemas.openxmlformats.org/officeDocument/2006/relationships/numbering" Target="numbering.xml" /><Relationship Id="rId68" Type="http://schemas.openxmlformats.org/officeDocument/2006/relationships/styles" Target="styles.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13517</Words>
  <Characters>14290</Characters>
  <Application>Microsoft Office Word</Application>
  <DocSecurity>0</DocSecurity>
  <Lines>143</Lines>
  <Paragraphs>40</Paragraphs>
  <ScaleCrop>false</ScaleCrop>
  <Company/>
  <LinksUpToDate>false</LinksUpToDate>
  <CharactersWithSpaces>14633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YUAN</dc:creator>
  <cp:lastModifiedBy>阿啦</cp:lastModifiedBy>
  <cp:revision>11</cp:revision>
  <cp:lastPrinted>2021-04-13T17:43:44Z</cp:lastPrinted>
  <dcterms:created xsi:type="dcterms:W3CDTF">2019-10-05T04:26:00Z</dcterms:created>
  <dcterms:modified xsi:type="dcterms:W3CDTF">2023-12-13T13:17:32Z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52A49A5C50DD449AB1502277492F06BD</vt:lpwstr>
  </property>
  <property fmtid="{D5CDD505-2E9C-101B-9397-08002B2CF9AE}" pid="3" name="KSOProductBuildVer">
    <vt:lpwstr>2052-12.1.0.15990</vt:lpwstr>
  </property>
</Properties>
</file>