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审 计 报 告</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8"/>
        <w:rPr>
          <w:rFonts w:ascii="黑体"/>
          <w:b/>
          <w:sz w:val="18"/>
        </w:rPr>
      </w:pPr>
    </w:p>
    <w:p>
      <w:pPr>
        <w:spacing w:after="0"/>
        <w:rPr>
          <w:rFonts w:ascii="黑体"/>
          <w:sz w:val="18"/>
        </w:rPr>
        <w:sectPr>
          <w:type w:val="continuous"/>
          <w:pgSz w:w="17860" w:h="25260"/>
          <w:pgMar w:top="1500" w:right="2320" w:bottom="280" w:left="2400" w:header="708" w:footer="708"/>
          <w:cols w:space="708"/>
        </w:sectPr>
      </w:pPr>
    </w:p>
    <w:p>
      <w:pPr>
        <w:pStyle w:val="BodyText"/>
        <w:rPr>
          <w:rFonts w:ascii="黑体"/>
          <w:b/>
          <w:sz w:val="42"/>
        </w:rPr>
      </w:pPr>
    </w:p>
    <w:p>
      <w:pPr>
        <w:pStyle w:val="BodyText"/>
        <w:spacing w:before="8"/>
        <w:rPr>
          <w:rFonts w:ascii="黑体"/>
          <w:b/>
          <w:sz w:val="46"/>
        </w:rPr>
      </w:pPr>
    </w:p>
    <w:p>
      <w:pPr>
        <w:spacing w:before="0"/>
        <w:ind w:left="297" w:right="0" w:firstLine="0"/>
        <w:jc w:val="left"/>
        <w:rPr>
          <w:b/>
          <w:sz w:val="42"/>
        </w:rPr>
      </w:pPr>
      <w:r>
        <w:rPr>
          <w:b/>
          <w:spacing w:val="-18"/>
          <w:sz w:val="42"/>
        </w:rPr>
        <w:t xml:space="preserve">测试数据按 </w:t>
      </w:r>
      <w:r>
        <w:rPr>
          <w:b/>
          <w:sz w:val="42"/>
        </w:rPr>
        <w:t>ctrl A</w:t>
      </w:r>
      <w:r>
        <w:rPr>
          <w:b/>
          <w:spacing w:val="-27"/>
          <w:sz w:val="42"/>
        </w:rPr>
        <w:t xml:space="preserve"> 再按 </w:t>
      </w:r>
      <w:r>
        <w:rPr>
          <w:b/>
          <w:sz w:val="42"/>
        </w:rPr>
        <w:t>F9</w:t>
      </w:r>
      <w:r>
        <w:rPr>
          <w:b/>
          <w:spacing w:val="-28"/>
          <w:sz w:val="42"/>
        </w:rPr>
        <w:t xml:space="preserve"> 更新：</w:t>
      </w:r>
    </w:p>
    <w:p>
      <w:pPr>
        <w:pStyle w:val="BodyText"/>
        <w:spacing w:before="50" w:line="312" w:lineRule="auto"/>
        <w:ind w:left="297" w:right="367" w:firstLine="1261"/>
      </w:pPr>
      <w:r>
        <w:br w:type="column"/>
      </w:r>
      <w:r>
        <w:rPr>
          <w:spacing w:val="-4"/>
        </w:rPr>
        <w:t>注报备：号</w:t>
      </w:r>
      <w:r>
        <w:t>X</w:t>
      </w:r>
      <w:r>
        <w:rPr>
          <w:spacing w:val="-30"/>
        </w:rPr>
        <w:t xml:space="preserve"> 审字</w:t>
      </w:r>
      <w:r>
        <w:t>[2014]000</w:t>
      </w:r>
      <w:r>
        <w:rPr>
          <w:spacing w:val="-53"/>
        </w:rPr>
        <w:t xml:space="preserve"> 号</w:t>
      </w:r>
    </w:p>
    <w:p>
      <w:pPr>
        <w:spacing w:after="0" w:line="312" w:lineRule="auto"/>
        <w:sectPr>
          <w:type w:val="continuous"/>
          <w:pgSz w:w="17860" w:h="25260"/>
          <w:pgMar w:top="1500" w:right="2320" w:bottom="280" w:left="2400" w:header="708" w:footer="708"/>
          <w:pgNumType w:start="2"/>
          <w:cols w:num="2" w:space="708" w:equalWidth="0">
            <w:col w:w="6775" w:space="2636"/>
            <w:col w:w="3729" w:space="0"/>
          </w:cols>
        </w:sectPr>
      </w:pPr>
    </w:p>
    <w:p>
      <w:pPr>
        <w:pStyle w:val="BodyText"/>
        <w:rPr>
          <w:sz w:val="20"/>
        </w:rPr>
      </w:pPr>
    </w:p>
    <w:p>
      <w:pPr>
        <w:pStyle w:val="BodyText"/>
        <w:rPr>
          <w:sz w:val="20"/>
        </w:rPr>
      </w:pPr>
    </w:p>
    <w:p>
      <w:pPr>
        <w:pStyle w:val="BodyText"/>
        <w:spacing w:before="1"/>
        <w:rPr>
          <w:sz w:val="26"/>
        </w:rPr>
      </w:pPr>
    </w:p>
    <w:p>
      <w:pPr>
        <w:pStyle w:val="BodyText"/>
        <w:spacing w:before="49" w:line="304" w:lineRule="auto"/>
        <w:ind w:left="297" w:right="359" w:firstLine="719"/>
        <w:jc w:val="both"/>
      </w:pPr>
      <w:r>
        <w:rPr>
          <w:spacing w:val="-7"/>
        </w:rPr>
        <w:t xml:space="preserve">我们审计了后附的测试数据按 </w:t>
      </w:r>
      <w:r>
        <w:t xml:space="preserve">ctrl </w:t>
      </w:r>
      <w:r>
        <w:rPr>
          <w:position w:val="-3"/>
          <w:sz w:val="31"/>
        </w:rPr>
        <w:t>A</w:t>
      </w:r>
      <w:r>
        <w:rPr>
          <w:spacing w:val="28"/>
          <w:position w:val="-3"/>
          <w:sz w:val="31"/>
        </w:rPr>
        <w:t xml:space="preserve"> 再按</w:t>
      </w:r>
      <w:r>
        <w:rPr>
          <w:position w:val="-3"/>
          <w:sz w:val="31"/>
        </w:rPr>
        <w:t>F9</w:t>
      </w:r>
      <w:r>
        <w:rPr>
          <w:spacing w:val="-26"/>
          <w:position w:val="-3"/>
          <w:sz w:val="31"/>
        </w:rPr>
        <w:t xml:space="preserve"> 更新</w:t>
      </w:r>
      <w:r>
        <w:t>（</w:t>
      </w:r>
      <w:r>
        <w:rPr>
          <w:spacing w:val="-17"/>
        </w:rPr>
        <w:t xml:space="preserve">以下简称 </w:t>
      </w:r>
      <w:r>
        <w:t>ABC</w:t>
      </w:r>
      <w:r>
        <w:rPr>
          <w:spacing w:val="-29"/>
        </w:rPr>
        <w:t xml:space="preserve"> 公司</w:t>
      </w:r>
      <w:r>
        <w:t>）财</w:t>
      </w:r>
      <w:r>
        <w:rPr>
          <w:spacing w:val="-15"/>
        </w:rPr>
        <w:t xml:space="preserve">务报表，包括 </w:t>
      </w:r>
      <w:r>
        <w:t>2012</w:t>
      </w:r>
      <w:r>
        <w:rPr>
          <w:spacing w:val="-60"/>
        </w:rPr>
        <w:t xml:space="preserve"> 年 </w:t>
      </w:r>
      <w:r>
        <w:t>12</w:t>
      </w:r>
      <w:r>
        <w:rPr>
          <w:spacing w:val="-60"/>
        </w:rPr>
        <w:t xml:space="preserve"> 月 </w:t>
      </w:r>
      <w:r>
        <w:t>31</w:t>
      </w:r>
      <w:r>
        <w:rPr>
          <w:spacing w:val="-12"/>
        </w:rPr>
        <w:t xml:space="preserve"> 日的资产负债表，</w:t>
      </w:r>
      <w:r>
        <w:rPr>
          <w:spacing w:val="-3"/>
        </w:rPr>
        <w:t>2012</w:t>
      </w:r>
      <w:r>
        <w:rPr>
          <w:spacing w:val="-11"/>
        </w:rPr>
        <w:t xml:space="preserve"> 年度的利润表、股东权益</w:t>
      </w:r>
      <w:r>
        <w:t>变动表和现金流量表以及财务报表附注。</w:t>
      </w:r>
    </w:p>
    <w:p>
      <w:pPr>
        <w:pStyle w:val="BodyText"/>
      </w:pPr>
    </w:p>
    <w:p>
      <w:pPr>
        <w:pStyle w:val="Heading1"/>
        <w:spacing w:before="277"/>
      </w:pPr>
      <w:r>
        <w:t>一、管理层对财务报表的责任</w:t>
      </w:r>
    </w:p>
    <w:p>
      <w:pPr>
        <w:pStyle w:val="BodyText"/>
        <w:spacing w:before="136" w:line="312" w:lineRule="auto"/>
        <w:ind w:left="297" w:right="240" w:firstLine="719"/>
        <w:jc w:val="both"/>
      </w:pPr>
      <w:r>
        <w:rPr>
          <w:spacing w:val="-7"/>
        </w:rPr>
        <w:t xml:space="preserve">编制和公允列报财务报表是 </w:t>
      </w:r>
      <w:r>
        <w:t>ABC</w:t>
      </w:r>
      <w:r>
        <w:rPr>
          <w:spacing w:val="-13"/>
        </w:rPr>
        <w:t xml:space="preserve"> 公司管理层的责任。这种责任包括</w:t>
      </w:r>
      <w:r>
        <w:rPr>
          <w:spacing w:val="-224"/>
        </w:rPr>
        <w:t>：</w:t>
      </w:r>
      <w:r>
        <w:rPr>
          <w:spacing w:val="1"/>
        </w:rPr>
        <w:t>（</w:t>
      </w:r>
      <w:r>
        <w:t>1</w:t>
      </w:r>
      <w:r>
        <w:rPr>
          <w:spacing w:val="-44"/>
        </w:rPr>
        <w:t>）</w:t>
      </w:r>
      <w:r>
        <w:t>按照小企业会计准则的规定编制财务报表，并使其实现公允反映</w:t>
      </w:r>
      <w:r>
        <w:rPr>
          <w:spacing w:val="-245"/>
        </w:rPr>
        <w:t>；</w:t>
      </w:r>
      <w:r>
        <w:rPr>
          <w:spacing w:val="1"/>
        </w:rPr>
        <w:t>（</w:t>
      </w:r>
      <w:r>
        <w:t>2）设计、执行</w:t>
      </w:r>
      <w:r>
        <w:rPr>
          <w:spacing w:val="-1"/>
        </w:rPr>
        <w:t>和维护必要的内部控制，以使财务报表不存在由于舞弊或错误导致的重大错报。</w:t>
      </w:r>
    </w:p>
    <w:p>
      <w:pPr>
        <w:pStyle w:val="BodyText"/>
      </w:pPr>
    </w:p>
    <w:p>
      <w:pPr>
        <w:pStyle w:val="Heading1"/>
        <w:spacing w:before="260"/>
      </w:pPr>
      <w:r>
        <w:t>二、注册会计师的责任</w:t>
      </w:r>
    </w:p>
    <w:p>
      <w:pPr>
        <w:pStyle w:val="BodyText"/>
        <w:spacing w:before="140" w:line="312" w:lineRule="auto"/>
        <w:ind w:left="297" w:right="371" w:firstLine="719"/>
        <w:jc w:val="both"/>
      </w:pPr>
      <w:r>
        <w:rPr>
          <w:spacing w:val="-6"/>
        </w:rPr>
        <w:t>我们的责任是在执行审计工作的基础上对财务报表发表审计意见。我们按照</w:t>
      </w:r>
      <w:r>
        <w:rPr>
          <w:spacing w:val="-7"/>
        </w:rPr>
        <w:t>中国注册会计师审计准则的规定执行了审计工作。中国注册会计师审计准则要求</w:t>
      </w:r>
      <w:r>
        <w:rPr>
          <w:spacing w:val="-9"/>
        </w:rPr>
        <w:t>我们遵守中国注册会计师职业道德守则，计划和执行审计工作以对财务报表是否</w:t>
      </w:r>
      <w:r>
        <w:t>不存在重大错报获取合理保证。</w:t>
      </w:r>
    </w:p>
    <w:p>
      <w:pPr>
        <w:pStyle w:val="BodyText"/>
        <w:spacing w:before="3" w:line="312" w:lineRule="auto"/>
        <w:ind w:left="297" w:right="240" w:firstLine="719"/>
      </w:pPr>
      <w:r>
        <w:rPr>
          <w:spacing w:val="-1"/>
        </w:rPr>
        <w:t>审计工作涉及实施审计程序，以获取有关财务报表金额和披露的审计证据。</w:t>
      </w:r>
      <w:r>
        <w:rPr>
          <w:spacing w:val="-7"/>
        </w:rPr>
        <w:t>选择的审计程序取决于注册会计师的判断，包括对由于舞弊或错误导致的财务报</w:t>
      </w:r>
      <w:r>
        <w:rPr>
          <w:spacing w:val="-15"/>
        </w:rPr>
        <w:t>表重大错报风险的评估。在进行风险评估时，注册会计师考虑与财务报表编制和</w:t>
      </w:r>
      <w:r>
        <w:rPr>
          <w:spacing w:val="-19"/>
        </w:rPr>
        <w:t>公允列报相关的内部控制，以设计恰当的审计程序，但目的并非对内部控制的有</w:t>
      </w:r>
      <w:r>
        <w:rPr>
          <w:spacing w:val="-17"/>
        </w:rPr>
        <w:t>效性发表意见。审计工作还包括评价管理层选用会计政策的恰当性和作出会计估计的合理性，以及评价财务报表的总体列报。</w:t>
      </w:r>
    </w:p>
    <w:p>
      <w:pPr>
        <w:pStyle w:val="BodyText"/>
        <w:spacing w:before="3" w:line="312" w:lineRule="auto"/>
        <w:ind w:left="297" w:right="223" w:firstLine="719"/>
      </w:pPr>
      <w:r>
        <w:t>我们相信，我们获取的审计证据是充分、适当的，为发表审计意见提供了基础。</w:t>
      </w:r>
    </w:p>
    <w:p>
      <w:pPr>
        <w:pStyle w:val="BodyText"/>
      </w:pPr>
    </w:p>
    <w:p>
      <w:pPr>
        <w:pStyle w:val="Heading1"/>
        <w:spacing w:before="259"/>
      </w:pPr>
      <w:r>
        <w:t>三、审计意见</w:t>
      </w:r>
    </w:p>
    <w:p>
      <w:pPr>
        <w:pStyle w:val="BodyText"/>
        <w:spacing w:before="140" w:line="312" w:lineRule="auto"/>
        <w:ind w:left="297" w:right="368" w:firstLine="719"/>
        <w:jc w:val="both"/>
      </w:pPr>
      <w:r>
        <w:rPr>
          <w:spacing w:val="-2"/>
        </w:rPr>
        <w:t>我们认为，</w:t>
      </w:r>
      <w:r>
        <w:rPr>
          <w:spacing w:val="-10"/>
        </w:rPr>
        <w:t>ABC</w:t>
      </w:r>
      <w:r>
        <w:rPr>
          <w:spacing w:val="-11"/>
        </w:rPr>
        <w:t xml:space="preserve"> 公司财务报表在所有重大方面按照小企业会计准则的规定编</w:t>
      </w:r>
      <w:r>
        <w:rPr>
          <w:spacing w:val="-29"/>
        </w:rPr>
        <w:t xml:space="preserve">制，公允反映了 </w:t>
      </w:r>
      <w:r>
        <w:t>ABC</w:t>
      </w:r>
      <w:r>
        <w:rPr>
          <w:spacing w:val="-45"/>
        </w:rPr>
        <w:t xml:space="preserve"> 公司 </w:t>
      </w:r>
      <w:r>
        <w:t>2012</w:t>
      </w:r>
      <w:r>
        <w:rPr>
          <w:spacing w:val="-60"/>
        </w:rPr>
        <w:t xml:space="preserve"> 年 </w:t>
      </w:r>
      <w:r>
        <w:t>12</w:t>
      </w:r>
      <w:r>
        <w:rPr>
          <w:spacing w:val="-60"/>
        </w:rPr>
        <w:t xml:space="preserve"> 月 </w:t>
      </w:r>
      <w:r>
        <w:t>31</w:t>
      </w:r>
      <w:r>
        <w:rPr>
          <w:spacing w:val="-20"/>
        </w:rPr>
        <w:t xml:space="preserve"> 日的财务状况以及 </w:t>
      </w:r>
      <w:r>
        <w:t>2012</w:t>
      </w:r>
      <w:r>
        <w:rPr>
          <w:spacing w:val="-16"/>
        </w:rPr>
        <w:t xml:space="preserve"> 年度的经营成</w:t>
      </w:r>
      <w:r>
        <w:t>果和现金流量。</w:t>
      </w:r>
    </w:p>
    <w:p>
      <w:pPr>
        <w:spacing w:after="0" w:line="312" w:lineRule="auto"/>
        <w:jc w:val="both"/>
        <w:sectPr>
          <w:type w:val="continuous"/>
          <w:pgSz w:w="17860" w:h="25260"/>
          <w:pgMar w:top="1500" w:right="2320" w:bottom="280" w:left="2400" w:header="708" w:footer="708"/>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6"/>
        </w:rPr>
      </w:pPr>
    </w:p>
    <w:p>
      <w:pPr>
        <w:tabs>
          <w:tab w:val="left" w:pos="8275"/>
        </w:tabs>
        <w:spacing w:before="42"/>
        <w:ind w:left="1135" w:right="0" w:firstLine="0"/>
        <w:jc w:val="left"/>
        <w:rPr>
          <w:sz w:val="42"/>
        </w:rPr>
      </w:pPr>
      <w:r>
        <w:rPr>
          <w:sz w:val="42"/>
        </w:rPr>
        <w:t>绵阳市大师软件开发有限公司</w:t>
        <w:tab/>
        <w:t>中国注册会计师：</w:t>
      </w:r>
    </w:p>
    <w:p>
      <w:pPr>
        <w:pStyle w:val="BodyText"/>
        <w:rPr>
          <w:sz w:val="20"/>
        </w:rPr>
      </w:pPr>
    </w:p>
    <w:p>
      <w:pPr>
        <w:pStyle w:val="BodyText"/>
        <w:rPr>
          <w:sz w:val="20"/>
        </w:rPr>
      </w:pPr>
    </w:p>
    <w:p>
      <w:pPr>
        <w:pStyle w:val="BodyText"/>
        <w:spacing w:before="7"/>
        <w:rPr>
          <w:sz w:val="17"/>
        </w:rPr>
      </w:pPr>
    </w:p>
    <w:p>
      <w:pPr>
        <w:spacing w:before="42"/>
        <w:ind w:left="8455" w:right="0" w:firstLine="0"/>
        <w:jc w:val="left"/>
        <w:rPr>
          <w:sz w:val="42"/>
        </w:rPr>
      </w:pPr>
      <w:r>
        <w:rPr>
          <w:sz w:val="42"/>
        </w:rPr>
        <w:t>中国注册会计师：</w:t>
      </w:r>
    </w:p>
    <w:p>
      <w:pPr>
        <w:pStyle w:val="BodyText"/>
        <w:rPr>
          <w:sz w:val="20"/>
        </w:rPr>
      </w:pPr>
    </w:p>
    <w:p>
      <w:pPr>
        <w:pStyle w:val="BodyText"/>
        <w:rPr>
          <w:sz w:val="20"/>
        </w:rPr>
      </w:pPr>
    </w:p>
    <w:p>
      <w:pPr>
        <w:pStyle w:val="BodyText"/>
        <w:spacing w:before="12"/>
        <w:rPr>
          <w:sz w:val="17"/>
        </w:rPr>
      </w:pPr>
    </w:p>
    <w:p>
      <w:pPr>
        <w:tabs>
          <w:tab w:val="left" w:pos="6785"/>
        </w:tabs>
        <w:spacing w:before="42"/>
        <w:ind w:left="696" w:right="0" w:firstLine="0"/>
        <w:jc w:val="center"/>
        <w:rPr>
          <w:sz w:val="42"/>
        </w:rPr>
      </w:pPr>
      <w:r>
        <w:rPr>
          <w:sz w:val="42"/>
        </w:rPr>
        <w:t>中国·XXX</w:t>
        <w:tab/>
        <w:t>二○一四年×月×日</w:t>
      </w:r>
    </w:p>
    <w:p>
      <w:pPr>
        <w:spacing w:after="0"/>
        <w:jc w:val="center"/>
        <w:rPr>
          <w:sz w:val="42"/>
        </w:rPr>
        <w:sectPr>
          <w:pgSz w:w="17860" w:h="25260"/>
          <w:pgMar w:top="2420" w:right="2320" w:bottom="280" w:left="2400" w:header="708" w:footer="708"/>
          <w:pgNumType w:start="4"/>
          <w:cols w:space="708"/>
        </w:sectPr>
      </w:pPr>
    </w:p>
    <w:p>
      <w:pPr>
        <w:pStyle w:val="BodyText"/>
        <w:spacing w:before="36"/>
        <w:ind w:left="1020"/>
      </w:pPr>
      <w:r>
        <w:t>一、公司基本情况</w:t>
      </w:r>
    </w:p>
    <w:p>
      <w:pPr>
        <w:pStyle w:val="BodyText"/>
        <w:spacing w:before="276" w:line="309" w:lineRule="auto"/>
        <w:ind w:left="300" w:right="371" w:firstLine="719"/>
        <w:jc w:val="both"/>
      </w:pPr>
      <w:r>
        <w:rPr>
          <w:spacing w:val="-15"/>
        </w:rPr>
        <w:t xml:space="preserve">测试数据按 </w:t>
      </w:r>
      <w:r>
        <w:t>ctrl</w:t>
      </w:r>
      <w:r>
        <w:rPr>
          <w:spacing w:val="-98"/>
        </w:rPr>
        <w:t xml:space="preserve"> </w:t>
      </w:r>
      <w:r>
        <w:rPr>
          <w:position w:val="-3"/>
          <w:sz w:val="31"/>
        </w:rPr>
        <w:t>A</w:t>
      </w:r>
      <w:r>
        <w:rPr>
          <w:spacing w:val="27"/>
          <w:position w:val="-3"/>
          <w:sz w:val="31"/>
        </w:rPr>
        <w:t xml:space="preserve"> 再按</w:t>
      </w:r>
      <w:r>
        <w:rPr>
          <w:position w:val="-3"/>
          <w:sz w:val="31"/>
        </w:rPr>
        <w:t>F9</w:t>
      </w:r>
      <w:r>
        <w:rPr>
          <w:spacing w:val="-52"/>
          <w:position w:val="-3"/>
          <w:sz w:val="31"/>
        </w:rPr>
        <w:t xml:space="preserve"> 更新</w:t>
      </w:r>
      <w:r>
        <w:t>（以下简称本公司或公司</w:t>
      </w:r>
      <w:r>
        <w:rPr>
          <w:spacing w:val="-80"/>
        </w:rPr>
        <w:t>）</w:t>
      </w:r>
      <w:r>
        <w:rPr>
          <w:spacing w:val="14"/>
        </w:rPr>
        <w:t>系  年  月  日</w:t>
      </w:r>
      <w:r>
        <w:rPr>
          <w:spacing w:val="-35"/>
        </w:rPr>
        <w:t xml:space="preserve">由 </w:t>
      </w:r>
      <w:r>
        <w:t>XXX、XXX</w:t>
      </w:r>
      <w:r>
        <w:rPr>
          <w:spacing w:val="-19"/>
        </w:rPr>
        <w:t xml:space="preserve"> 共同投资设立，在 </w:t>
      </w:r>
      <w:r>
        <w:t>XXX</w:t>
      </w:r>
      <w:r>
        <w:rPr>
          <w:spacing w:val="-15"/>
        </w:rPr>
        <w:t xml:space="preserve"> 工商行政管理局登记注册，领取 </w:t>
      </w:r>
      <w:r>
        <w:t>XXXXXXX</w:t>
      </w:r>
      <w:r>
        <w:rPr>
          <w:spacing w:val="-50"/>
        </w:rPr>
        <w:t xml:space="preserve"> 号</w:t>
      </w:r>
      <w:r>
        <w:t>企业法人营业执照，注册资本人民币 万元；法定代表人 ；注册地址： XXXXXX；公司下属   家控股子公司，参股公司    家，分公司    XX</w:t>
      </w:r>
      <w:r>
        <w:rPr>
          <w:spacing w:val="1"/>
        </w:rPr>
        <w:t xml:space="preserve"> 家；所</w:t>
      </w:r>
      <w:r>
        <w:rPr>
          <w:spacing w:val="-18"/>
        </w:rPr>
        <w:t xml:space="preserve">处行业为 </w:t>
      </w:r>
      <w:r>
        <w:t>XX。</w:t>
      </w:r>
    </w:p>
    <w:p>
      <w:pPr>
        <w:pStyle w:val="BodyText"/>
        <w:spacing w:before="2" w:line="312" w:lineRule="auto"/>
        <w:ind w:left="1020" w:right="9598"/>
      </w:pPr>
      <w:r>
        <w:t>公司经营范围： 公司主营业务：</w:t>
      </w:r>
    </w:p>
    <w:p>
      <w:pPr>
        <w:pStyle w:val="BodyText"/>
        <w:spacing w:before="39"/>
        <w:ind w:left="1020"/>
      </w:pPr>
      <w:r>
        <w:t>二、主要会计政策、会计估计的说明</w:t>
      </w:r>
    </w:p>
    <w:p>
      <w:pPr>
        <w:pStyle w:val="ListParagraph"/>
        <w:numPr>
          <w:ilvl w:val="0"/>
          <w:numId w:val="13"/>
        </w:numPr>
        <w:tabs>
          <w:tab w:val="left" w:pos="1651"/>
        </w:tabs>
        <w:spacing w:before="321" w:after="0" w:line="240" w:lineRule="auto"/>
        <w:ind w:left="1650" w:right="0" w:hanging="631"/>
        <w:jc w:val="left"/>
        <w:rPr>
          <w:sz w:val="36"/>
        </w:rPr>
      </w:pPr>
      <w:r>
        <w:rPr>
          <w:sz w:val="36"/>
        </w:rPr>
        <w:t>会计制度</w:t>
      </w:r>
    </w:p>
    <w:p>
      <w:pPr>
        <w:pStyle w:val="BodyText"/>
        <w:spacing w:before="320"/>
        <w:ind w:left="1020"/>
      </w:pPr>
      <w:r>
        <w:t>执行《小企业会计准则》及其补充规定。</w:t>
      </w:r>
    </w:p>
    <w:p>
      <w:pPr>
        <w:pStyle w:val="ListParagraph"/>
        <w:numPr>
          <w:ilvl w:val="0"/>
          <w:numId w:val="13"/>
        </w:numPr>
        <w:tabs>
          <w:tab w:val="left" w:pos="1651"/>
        </w:tabs>
        <w:spacing w:before="316" w:after="0" w:line="240" w:lineRule="auto"/>
        <w:ind w:left="1650" w:right="0" w:hanging="631"/>
        <w:jc w:val="left"/>
        <w:rPr>
          <w:sz w:val="36"/>
        </w:rPr>
      </w:pPr>
      <w:r>
        <w:rPr>
          <w:sz w:val="36"/>
        </w:rPr>
        <w:t>会计年度</w:t>
      </w:r>
    </w:p>
    <w:p>
      <w:pPr>
        <w:pStyle w:val="BodyText"/>
        <w:spacing w:before="320"/>
        <w:ind w:left="1020"/>
      </w:pPr>
      <w:r>
        <w:rPr>
          <w:spacing w:val="-23"/>
        </w:rPr>
        <w:t xml:space="preserve">自公历 </w:t>
      </w:r>
      <w:r>
        <w:t>1</w:t>
      </w:r>
      <w:r>
        <w:rPr>
          <w:spacing w:val="-60"/>
        </w:rPr>
        <w:t xml:space="preserve"> 月 </w:t>
      </w:r>
      <w:r>
        <w:t>1</w:t>
      </w:r>
      <w:r>
        <w:rPr>
          <w:spacing w:val="-45"/>
        </w:rPr>
        <w:t xml:space="preserve"> 日至 </w:t>
      </w:r>
      <w:r>
        <w:t>12</w:t>
      </w:r>
      <w:r>
        <w:rPr>
          <w:spacing w:val="-60"/>
        </w:rPr>
        <w:t xml:space="preserve"> 月 </w:t>
      </w:r>
      <w:r>
        <w:t>31</w:t>
      </w:r>
      <w:r>
        <w:rPr>
          <w:spacing w:val="-23"/>
        </w:rPr>
        <w:t xml:space="preserve"> 日止。</w:t>
      </w:r>
    </w:p>
    <w:p>
      <w:pPr>
        <w:pStyle w:val="ListParagraph"/>
        <w:numPr>
          <w:ilvl w:val="0"/>
          <w:numId w:val="13"/>
        </w:numPr>
        <w:tabs>
          <w:tab w:val="left" w:pos="1651"/>
        </w:tabs>
        <w:spacing w:before="320" w:after="0" w:line="240" w:lineRule="auto"/>
        <w:ind w:left="1650" w:right="0" w:hanging="631"/>
        <w:jc w:val="left"/>
        <w:rPr>
          <w:sz w:val="36"/>
        </w:rPr>
      </w:pPr>
      <w:r>
        <w:rPr>
          <w:sz w:val="36"/>
        </w:rPr>
        <w:t>记账本位币</w:t>
      </w:r>
    </w:p>
    <w:p>
      <w:pPr>
        <w:pStyle w:val="BodyText"/>
        <w:spacing w:before="316"/>
        <w:ind w:left="1020"/>
      </w:pPr>
      <w:r>
        <w:t>以人民币为记账本位币。</w:t>
      </w:r>
    </w:p>
    <w:p>
      <w:pPr>
        <w:pStyle w:val="ListParagraph"/>
        <w:numPr>
          <w:ilvl w:val="0"/>
          <w:numId w:val="13"/>
        </w:numPr>
        <w:tabs>
          <w:tab w:val="left" w:pos="1651"/>
        </w:tabs>
        <w:spacing w:before="320" w:after="0" w:line="240" w:lineRule="auto"/>
        <w:ind w:left="1650" w:right="0" w:hanging="631"/>
        <w:jc w:val="left"/>
        <w:rPr>
          <w:sz w:val="36"/>
        </w:rPr>
      </w:pPr>
      <w:r>
        <w:rPr>
          <w:sz w:val="36"/>
        </w:rPr>
        <w:t>记账基础和计价原则</w:t>
      </w:r>
    </w:p>
    <w:p>
      <w:pPr>
        <w:pStyle w:val="BodyText"/>
        <w:spacing w:before="321"/>
        <w:ind w:left="1020"/>
      </w:pPr>
      <w:r>
        <w:t>本公司以权责发生制为记账基础，以实际成本为计价原则。</w:t>
      </w:r>
    </w:p>
    <w:p>
      <w:pPr>
        <w:pStyle w:val="ListParagraph"/>
        <w:numPr>
          <w:ilvl w:val="0"/>
          <w:numId w:val="13"/>
        </w:numPr>
        <w:tabs>
          <w:tab w:val="left" w:pos="1651"/>
        </w:tabs>
        <w:spacing w:before="316" w:after="0" w:line="240" w:lineRule="auto"/>
        <w:ind w:left="1650" w:right="0" w:hanging="631"/>
        <w:jc w:val="left"/>
        <w:rPr>
          <w:sz w:val="36"/>
        </w:rPr>
      </w:pPr>
      <w:r>
        <w:rPr>
          <w:sz w:val="36"/>
        </w:rPr>
        <w:t>外币业务核算方法</w:t>
      </w:r>
    </w:p>
    <w:p>
      <w:pPr>
        <w:pStyle w:val="BodyText"/>
        <w:spacing w:before="320" w:line="405" w:lineRule="auto"/>
        <w:ind w:left="300" w:right="200" w:firstLine="809"/>
      </w:pPr>
      <w:r>
        <w:t>发生外币业务时，按即期汇率折算为本位币记账；期末，对外币货币性项</w:t>
      </w:r>
      <w:r>
        <w:rPr>
          <w:spacing w:val="-10"/>
        </w:rPr>
        <w:t>目采用期末即期汇率折算；对以历史成本计量的外币非货币性项目，仍采用即期</w:t>
      </w:r>
      <w:r>
        <w:rPr>
          <w:spacing w:val="-15"/>
        </w:rPr>
        <w:t>汇率折算；对以公允价值计量的外币非货币性项目，采用公允价值确定日的即期</w:t>
      </w:r>
      <w:r>
        <w:rPr>
          <w:spacing w:val="-21"/>
        </w:rPr>
        <w:t xml:space="preserve">汇率。对于折算发生的差额，与购建固定资产有关且在其达到预定使用状态前的， </w:t>
      </w:r>
      <w:r>
        <w:rPr>
          <w:spacing w:val="-11"/>
        </w:rPr>
        <w:t>计入有关固定资产的购建成本；与购建固定资产无关的属于筹建期的计入管理费用，属于生产经营期间的计入当期财务费用。</w:t>
      </w:r>
    </w:p>
    <w:p>
      <w:pPr>
        <w:pStyle w:val="ListParagraph"/>
        <w:numPr>
          <w:ilvl w:val="0"/>
          <w:numId w:val="13"/>
        </w:numPr>
        <w:tabs>
          <w:tab w:val="left" w:pos="1651"/>
        </w:tabs>
        <w:spacing w:before="4" w:after="0" w:line="240" w:lineRule="auto"/>
        <w:ind w:left="1650" w:right="0" w:hanging="631"/>
        <w:jc w:val="left"/>
        <w:rPr>
          <w:sz w:val="36"/>
        </w:rPr>
      </w:pPr>
      <w:r>
        <w:rPr>
          <w:sz w:val="36"/>
        </w:rPr>
        <w:t>现金及现金等价物的确定标准</w:t>
      </w:r>
    </w:p>
    <w:p>
      <w:pPr>
        <w:pStyle w:val="ListParagraph"/>
        <w:numPr>
          <w:ilvl w:val="0"/>
          <w:numId w:val="12"/>
        </w:numPr>
        <w:tabs>
          <w:tab w:val="left" w:pos="1922"/>
        </w:tabs>
        <w:spacing w:before="320" w:after="0" w:line="240" w:lineRule="auto"/>
        <w:ind w:left="1921" w:right="0" w:hanging="902"/>
        <w:jc w:val="left"/>
        <w:rPr>
          <w:sz w:val="36"/>
        </w:rPr>
      </w:pPr>
      <w:r>
        <w:rPr>
          <w:sz w:val="36"/>
        </w:rPr>
        <w:t>现金为本公司库存现金以及可以随时用于支付的存款；</w:t>
      </w:r>
    </w:p>
    <w:p>
      <w:pPr>
        <w:pStyle w:val="ListParagraph"/>
        <w:numPr>
          <w:ilvl w:val="0"/>
          <w:numId w:val="12"/>
        </w:numPr>
        <w:tabs>
          <w:tab w:val="left" w:pos="1922"/>
        </w:tabs>
        <w:spacing w:before="316" w:after="0" w:line="405" w:lineRule="auto"/>
        <w:ind w:left="300" w:right="202" w:firstLine="719"/>
        <w:jc w:val="left"/>
        <w:rPr>
          <w:sz w:val="36"/>
        </w:rPr>
      </w:pPr>
      <w:r>
        <w:rPr>
          <w:spacing w:val="-8"/>
          <w:sz w:val="36"/>
        </w:rPr>
        <w:t>现金等价物为本公司持有的期限短</w:t>
      </w:r>
      <w:r>
        <w:rPr>
          <w:sz w:val="36"/>
        </w:rPr>
        <w:t>（</w:t>
      </w:r>
      <w:r>
        <w:rPr>
          <w:spacing w:val="-10"/>
          <w:sz w:val="36"/>
        </w:rPr>
        <w:t>一般为从购买日起，三个月到期</w:t>
      </w:r>
      <w:r>
        <w:rPr>
          <w:spacing w:val="-180"/>
          <w:sz w:val="36"/>
        </w:rPr>
        <w:t>）</w:t>
      </w:r>
      <w:r>
        <w:rPr>
          <w:spacing w:val="-5"/>
          <w:sz w:val="36"/>
        </w:rPr>
        <w:t>、流动性强易于转换为已知金额的现金、价值变动风险很小的投资。</w:t>
      </w:r>
    </w:p>
    <w:p>
      <w:pPr>
        <w:spacing w:after="0" w:line="405" w:lineRule="auto"/>
        <w:jc w:val="left"/>
        <w:rPr>
          <w:sz w:val="36"/>
        </w:rPr>
        <w:sectPr>
          <w:pgSz w:w="17860" w:h="25260"/>
          <w:pgMar w:top="1960" w:right="2320" w:bottom="280" w:left="2400" w:header="708" w:footer="708"/>
          <w:pgNumType w:start="5"/>
          <w:cols w:space="708"/>
        </w:sectPr>
      </w:pPr>
    </w:p>
    <w:p>
      <w:pPr>
        <w:pStyle w:val="ListParagraph"/>
        <w:numPr>
          <w:ilvl w:val="0"/>
          <w:numId w:val="13"/>
        </w:numPr>
        <w:tabs>
          <w:tab w:val="left" w:pos="1651"/>
        </w:tabs>
        <w:spacing w:before="36" w:after="0" w:line="240" w:lineRule="auto"/>
        <w:ind w:left="1650" w:right="0" w:hanging="631"/>
        <w:jc w:val="both"/>
        <w:rPr>
          <w:sz w:val="36"/>
        </w:rPr>
      </w:pPr>
      <w:r>
        <w:rPr>
          <w:sz w:val="36"/>
        </w:rPr>
        <w:t>短期投资</w:t>
      </w:r>
    </w:p>
    <w:p>
      <w:pPr>
        <w:pStyle w:val="BodyText"/>
        <w:spacing w:before="319" w:line="405" w:lineRule="auto"/>
        <w:ind w:left="300" w:right="377" w:firstLine="719"/>
        <w:jc w:val="both"/>
      </w:pPr>
      <w:r>
        <w:rPr>
          <w:spacing w:val="-9"/>
        </w:rPr>
        <w:t>短期投资在取得时以初始投资成本计价。初始投资成本是指取得投资时实际</w:t>
      </w:r>
      <w:r>
        <w:rPr>
          <w:spacing w:val="-7"/>
        </w:rPr>
        <w:t>支付的全部价款</w:t>
      </w:r>
      <w:r>
        <w:t>（</w:t>
      </w:r>
      <w:r>
        <w:rPr>
          <w:spacing w:val="-7"/>
        </w:rPr>
        <w:t>包括税金、手续费等相关费用</w:t>
      </w:r>
      <w:r>
        <w:rPr>
          <w:spacing w:val="-47"/>
        </w:rPr>
        <w:t>）</w:t>
      </w:r>
      <w:r>
        <w:rPr>
          <w:spacing w:val="-2"/>
        </w:rPr>
        <w:t>扣除其中包含的已宣告但尚未</w:t>
      </w:r>
      <w:r>
        <w:t>领取的现金股利或利息。</w:t>
      </w:r>
    </w:p>
    <w:p>
      <w:pPr>
        <w:pStyle w:val="BodyText"/>
        <w:spacing w:before="2" w:line="405" w:lineRule="auto"/>
        <w:ind w:left="300" w:right="376" w:firstLine="719"/>
        <w:jc w:val="both"/>
      </w:pPr>
      <w:r>
        <w:rPr>
          <w:spacing w:val="-12"/>
        </w:rPr>
        <w:t>在短期投资持有期间，被投资单位宣告分派的现金股利或利息，在实际收到</w:t>
      </w:r>
      <w:r>
        <w:rPr>
          <w:spacing w:val="-15"/>
        </w:rPr>
        <w:t>时，应当计入投资收益。在处置时，出售价款扣除其账面余额和相关税费后的净</w:t>
      </w:r>
      <w:r>
        <w:t>额计入投资收益。</w:t>
      </w:r>
    </w:p>
    <w:p>
      <w:pPr>
        <w:pStyle w:val="BodyText"/>
        <w:spacing w:before="2"/>
        <w:ind w:left="1020"/>
      </w:pPr>
      <w:r>
        <w:t>短期投资核算账户年末不进行调整。不计提减值准备。</w:t>
      </w:r>
    </w:p>
    <w:p>
      <w:pPr>
        <w:pStyle w:val="ListParagraph"/>
        <w:numPr>
          <w:ilvl w:val="0"/>
          <w:numId w:val="13"/>
        </w:numPr>
        <w:tabs>
          <w:tab w:val="left" w:pos="1651"/>
        </w:tabs>
        <w:spacing w:before="317" w:after="0" w:line="240" w:lineRule="auto"/>
        <w:ind w:left="1650" w:right="0" w:hanging="631"/>
        <w:jc w:val="both"/>
        <w:rPr>
          <w:sz w:val="36"/>
        </w:rPr>
      </w:pPr>
      <w:r>
        <w:rPr>
          <w:sz w:val="36"/>
        </w:rPr>
        <w:t>应收账款</w:t>
      </w:r>
    </w:p>
    <w:p>
      <w:pPr>
        <w:pStyle w:val="BodyText"/>
        <w:spacing w:before="319" w:line="405" w:lineRule="auto"/>
        <w:ind w:left="300" w:right="376" w:firstLine="719"/>
        <w:jc w:val="both"/>
      </w:pPr>
      <w:r>
        <w:rPr>
          <w:spacing w:val="-10"/>
        </w:rPr>
        <w:t>本公司对债务人破产或死亡，以其破产财产或遗产清偿后，仍然不能收回的</w:t>
      </w:r>
      <w:r>
        <w:rPr>
          <w:spacing w:val="-12"/>
        </w:rPr>
        <w:t>应收款项；或因债务人逾期未履行其清偿责任，且具有明显特征表明无法收回时</w:t>
      </w:r>
      <w:r>
        <w:rPr>
          <w:spacing w:val="-10"/>
        </w:rPr>
        <w:t>经公司管理当局批准确认为坏账损失。应收及预付款项的坏账损失应当于实际发</w:t>
      </w:r>
      <w:r>
        <w:t>生时计入营业外支出，同时冲减应收及预付款项。</w:t>
      </w:r>
    </w:p>
    <w:p>
      <w:pPr>
        <w:pStyle w:val="BodyText"/>
        <w:spacing w:before="4"/>
        <w:ind w:left="1020"/>
      </w:pPr>
      <w:r>
        <w:t>本公司采用直接转销法核算坏账损失。</w:t>
      </w:r>
    </w:p>
    <w:p>
      <w:pPr>
        <w:pStyle w:val="ListParagraph"/>
        <w:numPr>
          <w:ilvl w:val="0"/>
          <w:numId w:val="13"/>
        </w:numPr>
        <w:tabs>
          <w:tab w:val="left" w:pos="1651"/>
        </w:tabs>
        <w:spacing w:before="317" w:after="0" w:line="240" w:lineRule="auto"/>
        <w:ind w:left="1650" w:right="0" w:hanging="631"/>
        <w:jc w:val="left"/>
        <w:rPr>
          <w:sz w:val="36"/>
        </w:rPr>
      </w:pPr>
      <w:r>
        <w:rPr>
          <w:sz w:val="36"/>
        </w:rPr>
        <w:t>存货</w:t>
      </w:r>
    </w:p>
    <w:p>
      <w:pPr>
        <w:pStyle w:val="ListParagraph"/>
        <w:numPr>
          <w:ilvl w:val="0"/>
          <w:numId w:val="11"/>
        </w:numPr>
        <w:tabs>
          <w:tab w:val="left" w:pos="1562"/>
        </w:tabs>
        <w:spacing w:before="320" w:after="0" w:line="405" w:lineRule="auto"/>
        <w:ind w:left="300" w:right="418" w:firstLine="719"/>
        <w:jc w:val="left"/>
        <w:rPr>
          <w:sz w:val="36"/>
        </w:rPr>
      </w:pPr>
      <w:r>
        <w:rPr>
          <w:spacing w:val="-1"/>
          <w:sz w:val="36"/>
        </w:rPr>
        <w:t>存货分为原材料、产成品、在产品、半成品、商品、周转材料、委托加</w:t>
      </w:r>
      <w:r>
        <w:rPr>
          <w:sz w:val="36"/>
        </w:rPr>
        <w:t>工物资、消耗性生物资产等。</w:t>
      </w:r>
    </w:p>
    <w:p>
      <w:pPr>
        <w:pStyle w:val="ListParagraph"/>
        <w:numPr>
          <w:ilvl w:val="0"/>
          <w:numId w:val="11"/>
        </w:numPr>
        <w:tabs>
          <w:tab w:val="left" w:pos="1562"/>
        </w:tabs>
        <w:spacing w:before="0" w:after="0" w:line="405" w:lineRule="auto"/>
        <w:ind w:left="1020" w:right="6538" w:firstLine="0"/>
        <w:jc w:val="left"/>
        <w:rPr>
          <w:sz w:val="36"/>
        </w:rPr>
      </w:pPr>
      <w:r>
        <w:rPr>
          <w:spacing w:val="-2"/>
          <w:sz w:val="36"/>
        </w:rPr>
        <w:t>存货盘存制度采用永续盘存法。</w:t>
      </w:r>
      <w:r>
        <w:rPr>
          <w:sz w:val="36"/>
        </w:rPr>
        <w:t>(3)存货计价方法和摊销方法</w:t>
      </w:r>
    </w:p>
    <w:p>
      <w:pPr>
        <w:pStyle w:val="BodyText"/>
        <w:spacing w:before="3" w:line="405" w:lineRule="auto"/>
        <w:ind w:left="300" w:right="202" w:firstLine="719"/>
      </w:pPr>
      <w:r>
        <w:rPr>
          <w:spacing w:val="-20"/>
        </w:rPr>
        <w:t>存货按照成本进行初始计量。存货成本包括采购成本、加工成本和其他成本。</w:t>
      </w:r>
      <w:r>
        <w:t>存货日常核算采用实际成本核算。发出按加权平均法(或先进先出法、和个别认定法)计价。</w:t>
      </w:r>
    </w:p>
    <w:p>
      <w:pPr>
        <w:pStyle w:val="BodyText"/>
        <w:spacing w:before="2"/>
        <w:ind w:left="1020"/>
      </w:pPr>
      <w:r>
        <w:t>存货核算中设置周转材料总分类账户。</w:t>
      </w:r>
    </w:p>
    <w:p>
      <w:pPr>
        <w:pStyle w:val="BodyText"/>
        <w:spacing w:before="316" w:line="405" w:lineRule="auto"/>
        <w:ind w:left="300" w:right="377" w:firstLine="719"/>
        <w:jc w:val="both"/>
      </w:pPr>
      <w:r>
        <w:rPr>
          <w:spacing w:val="-9"/>
        </w:rPr>
        <w:t>周转材料采用一次转销法进行会计处理，在领用时按其成本计入生产成本或</w:t>
      </w:r>
      <w:r>
        <w:rPr>
          <w:spacing w:val="-12"/>
        </w:rPr>
        <w:t>当期损益；金额较大的周转材料采用分次摊销法处理；出租或出借周转材料，不</w:t>
      </w:r>
      <w:r>
        <w:t>需要结转成本，应进行备查登记。已售存货应将其成本结转为营业成本。</w:t>
      </w:r>
    </w:p>
    <w:p>
      <w:pPr>
        <w:pStyle w:val="BodyText"/>
        <w:spacing w:before="2"/>
        <w:ind w:left="1020"/>
      </w:pPr>
      <w:r>
        <w:t>（4）存货年末核算方法</w:t>
      </w:r>
    </w:p>
    <w:p>
      <w:pPr>
        <w:spacing w:after="0"/>
        <w:sectPr>
          <w:pgSz w:w="17860" w:h="25260"/>
          <w:pgMar w:top="1960" w:right="2320" w:bottom="280" w:left="2400" w:header="708" w:footer="708"/>
          <w:pgNumType w:start="6"/>
          <w:cols w:space="708"/>
        </w:sectPr>
      </w:pPr>
    </w:p>
    <w:p>
      <w:pPr>
        <w:pStyle w:val="BodyText"/>
        <w:spacing w:before="36" w:line="405" w:lineRule="auto"/>
        <w:ind w:left="300" w:right="238" w:firstLine="719"/>
      </w:pPr>
      <w:r>
        <w:t>盘盈存货实现的收益应当计入营业外收入，盘亏发生的损失除理赔金额外， 应当计入营业外支出。年末存货按历史成本计量，不需要调整。</w:t>
      </w:r>
    </w:p>
    <w:p>
      <w:pPr>
        <w:pStyle w:val="ListParagraph"/>
        <w:numPr>
          <w:ilvl w:val="0"/>
          <w:numId w:val="13"/>
        </w:numPr>
        <w:tabs>
          <w:tab w:val="left" w:pos="1651"/>
        </w:tabs>
        <w:spacing w:before="0" w:after="0" w:line="461" w:lineRule="exact"/>
        <w:ind w:left="1650" w:right="0" w:hanging="631"/>
        <w:jc w:val="left"/>
        <w:rPr>
          <w:sz w:val="36"/>
        </w:rPr>
      </w:pPr>
      <w:r>
        <w:rPr>
          <w:sz w:val="36"/>
        </w:rPr>
        <w:t>长期投资</w:t>
      </w:r>
    </w:p>
    <w:p>
      <w:pPr>
        <w:pStyle w:val="ListParagraph"/>
        <w:numPr>
          <w:ilvl w:val="0"/>
          <w:numId w:val="10"/>
        </w:numPr>
        <w:tabs>
          <w:tab w:val="left" w:pos="1562"/>
        </w:tabs>
        <w:spacing w:before="319" w:after="0" w:line="240" w:lineRule="auto"/>
        <w:ind w:left="1561" w:right="0" w:hanging="542"/>
        <w:jc w:val="left"/>
        <w:rPr>
          <w:sz w:val="36"/>
        </w:rPr>
      </w:pPr>
      <w:r>
        <w:rPr>
          <w:sz w:val="36"/>
        </w:rPr>
        <w:t>长期股权投资计价和收益确认方法</w:t>
      </w:r>
    </w:p>
    <w:p>
      <w:pPr>
        <w:pStyle w:val="BodyText"/>
        <w:spacing w:before="320" w:line="405" w:lineRule="auto"/>
        <w:ind w:left="300" w:right="376" w:firstLine="719"/>
      </w:pPr>
      <w:r>
        <w:rPr>
          <w:spacing w:val="-13"/>
        </w:rPr>
        <w:t>长期股权投资为长期投资，长期股权投资按投资取得时实际支付的价款扣除</w:t>
      </w:r>
      <w:r>
        <w:t>其中包含的已宣告但尚未领取的现金股利后的金额入账。</w:t>
      </w:r>
    </w:p>
    <w:p>
      <w:pPr>
        <w:pStyle w:val="BodyText"/>
        <w:spacing w:line="461" w:lineRule="exact"/>
        <w:ind w:left="1020"/>
      </w:pPr>
      <w:r>
        <w:t>长期股权投资持有期间的现金股利或利润确认为投资收益。</w:t>
      </w:r>
    </w:p>
    <w:p>
      <w:pPr>
        <w:pStyle w:val="BodyText"/>
        <w:spacing w:before="321"/>
        <w:ind w:left="1020"/>
      </w:pPr>
      <w:r>
        <w:t>处置时，处置价款扣除其成本、相关税费后的净额计入投资收益。</w:t>
      </w:r>
    </w:p>
    <w:p>
      <w:pPr>
        <w:pStyle w:val="BodyText"/>
        <w:spacing w:before="317" w:line="405" w:lineRule="auto"/>
        <w:ind w:left="300" w:right="377" w:firstLine="719"/>
      </w:pPr>
      <w:r>
        <w:rPr>
          <w:spacing w:val="-7"/>
        </w:rPr>
        <w:t>减除可收回的金额后确认的无法收回的长期股权投资，确认为长期股权投资</w:t>
      </w:r>
      <w:r>
        <w:t>损失，实际发生时计入营业外支出，同时冲减账面余额。</w:t>
      </w:r>
    </w:p>
    <w:p>
      <w:pPr>
        <w:pStyle w:val="ListParagraph"/>
        <w:numPr>
          <w:ilvl w:val="0"/>
          <w:numId w:val="10"/>
        </w:numPr>
        <w:tabs>
          <w:tab w:val="left" w:pos="1742"/>
        </w:tabs>
        <w:spacing w:before="3" w:after="0" w:line="240" w:lineRule="auto"/>
        <w:ind w:left="1741" w:right="0" w:hanging="542"/>
        <w:jc w:val="left"/>
        <w:rPr>
          <w:sz w:val="36"/>
        </w:rPr>
      </w:pPr>
      <w:r>
        <w:rPr>
          <w:sz w:val="36"/>
        </w:rPr>
        <w:t>长期债权投资的计价及收益确认方法</w:t>
      </w:r>
    </w:p>
    <w:p>
      <w:pPr>
        <w:pStyle w:val="BodyText"/>
        <w:spacing w:before="316" w:line="405" w:lineRule="auto"/>
        <w:ind w:left="300" w:right="381" w:firstLine="719"/>
        <w:jc w:val="both"/>
      </w:pPr>
      <w:r>
        <w:t>本公司对长期债权投资（包括债券投资和其他债权投资</w:t>
      </w:r>
      <w:r>
        <w:rPr>
          <w:spacing w:val="-157"/>
        </w:rPr>
        <w:t>）</w:t>
      </w:r>
      <w:r>
        <w:t>，按取得时的实际</w:t>
      </w:r>
      <w:r>
        <w:rPr>
          <w:spacing w:val="-13"/>
        </w:rPr>
        <w:t>成本计量，实际成本中包含的已到付息期但尚未领取的债券利息，单独确认为应</w:t>
      </w:r>
      <w:r>
        <w:rPr>
          <w:spacing w:val="-14"/>
        </w:rPr>
        <w:t>收利息，不计入初始成本。取得时长期债券投资实际成本与债券面值的差额作为</w:t>
      </w:r>
      <w:r>
        <w:rPr>
          <w:spacing w:val="-13"/>
        </w:rPr>
        <w:t>债券溢价或折价，长期债券投资按期计息，同时按直线法在债券存续期间内摊销</w:t>
      </w:r>
      <w:r>
        <w:t>溢价或折价，计入各期损益，对于无法收回的投资损失计入营业外支出。</w:t>
      </w:r>
    </w:p>
    <w:p>
      <w:pPr>
        <w:pStyle w:val="BodyText"/>
        <w:spacing w:before="6"/>
        <w:ind w:left="1020"/>
      </w:pPr>
      <w:r>
        <w:t>长期债券投资持有期间的利息收入确认为投资收益。</w:t>
      </w:r>
    </w:p>
    <w:p>
      <w:pPr>
        <w:pStyle w:val="BodyText"/>
        <w:spacing w:before="316"/>
        <w:ind w:left="1020"/>
      </w:pPr>
      <w:r>
        <w:t>处置时，处置价款扣除其账面余额、相关税费后的净额计入投资收益。</w:t>
      </w:r>
    </w:p>
    <w:p>
      <w:pPr>
        <w:pStyle w:val="BodyText"/>
        <w:spacing w:before="320" w:line="405" w:lineRule="auto"/>
        <w:ind w:left="300" w:right="377" w:firstLine="719"/>
      </w:pPr>
      <w:r>
        <w:rPr>
          <w:spacing w:val="-7"/>
        </w:rPr>
        <w:t>减除可收回的金额后确认的无法收回的长期债券投资，确认为长期债券投资</w:t>
      </w:r>
      <w:r>
        <w:t>损失，实际发生时计入营业外支出，同时冲减账面余额。</w:t>
      </w:r>
    </w:p>
    <w:p>
      <w:pPr>
        <w:pStyle w:val="BodyText"/>
      </w:pPr>
    </w:p>
    <w:p>
      <w:pPr>
        <w:pStyle w:val="ListParagraph"/>
        <w:numPr>
          <w:ilvl w:val="0"/>
          <w:numId w:val="13"/>
        </w:numPr>
        <w:tabs>
          <w:tab w:val="left" w:pos="1651"/>
        </w:tabs>
        <w:spacing w:before="241" w:after="0" w:line="240" w:lineRule="auto"/>
        <w:ind w:left="1650" w:right="0" w:hanging="631"/>
        <w:jc w:val="left"/>
        <w:rPr>
          <w:sz w:val="36"/>
        </w:rPr>
      </w:pPr>
      <w:r>
        <w:rPr>
          <w:sz w:val="36"/>
        </w:rPr>
        <w:t>固定资产</w:t>
      </w:r>
    </w:p>
    <w:p>
      <w:pPr>
        <w:pStyle w:val="ListParagraph"/>
        <w:numPr>
          <w:ilvl w:val="0"/>
          <w:numId w:val="9"/>
        </w:numPr>
        <w:tabs>
          <w:tab w:val="left" w:pos="1562"/>
        </w:tabs>
        <w:spacing w:before="320" w:after="0" w:line="240" w:lineRule="auto"/>
        <w:ind w:left="1561" w:right="0" w:hanging="542"/>
        <w:jc w:val="left"/>
        <w:rPr>
          <w:sz w:val="36"/>
        </w:rPr>
      </w:pPr>
      <w:r>
        <w:rPr>
          <w:sz w:val="36"/>
        </w:rPr>
        <w:t>固定资产标准。</w:t>
      </w:r>
    </w:p>
    <w:p>
      <w:pPr>
        <w:pStyle w:val="BodyText"/>
        <w:spacing w:before="320" w:line="405" w:lineRule="auto"/>
        <w:ind w:left="300" w:right="236" w:firstLine="719"/>
      </w:pPr>
      <w:r>
        <w:rPr>
          <w:spacing w:val="-11"/>
        </w:rPr>
        <w:t>固定资产标准为：为生成产品、提供劳务、出租或经营管理而持有的使用期</w:t>
      </w:r>
      <w:r>
        <w:rPr>
          <w:spacing w:val="-12"/>
        </w:rPr>
        <w:t xml:space="preserve">限超过一年的房屋、建筑、机器、运输工具以及其他与生产、经营有关的设备， </w:t>
      </w:r>
      <w:r>
        <w:t>器具、工具等。</w:t>
      </w:r>
    </w:p>
    <w:p>
      <w:pPr>
        <w:pStyle w:val="ListParagraph"/>
        <w:numPr>
          <w:ilvl w:val="0"/>
          <w:numId w:val="9"/>
        </w:numPr>
        <w:tabs>
          <w:tab w:val="left" w:pos="1562"/>
        </w:tabs>
        <w:spacing w:before="2" w:after="0" w:line="240" w:lineRule="auto"/>
        <w:ind w:left="1561" w:right="0" w:hanging="542"/>
        <w:jc w:val="left"/>
        <w:rPr>
          <w:sz w:val="36"/>
        </w:rPr>
      </w:pPr>
      <w:r>
        <w:rPr>
          <w:sz w:val="36"/>
        </w:rPr>
        <w:t>固定资产计价</w:t>
      </w:r>
    </w:p>
    <w:p>
      <w:pPr>
        <w:spacing w:after="0" w:line="240" w:lineRule="auto"/>
        <w:jc w:val="left"/>
        <w:rPr>
          <w:sz w:val="36"/>
        </w:rPr>
        <w:sectPr>
          <w:pgSz w:w="17860" w:h="25260"/>
          <w:pgMar w:top="1960" w:right="2320" w:bottom="280" w:left="2400" w:header="708" w:footer="708"/>
          <w:pgNumType w:start="7"/>
          <w:cols w:space="708"/>
        </w:sectPr>
      </w:pPr>
    </w:p>
    <w:p>
      <w:pPr>
        <w:pStyle w:val="BodyText"/>
        <w:spacing w:before="36"/>
        <w:ind w:left="1020"/>
      </w:pPr>
      <w:r>
        <w:t>按实际成本计价。</w:t>
      </w:r>
    </w:p>
    <w:p>
      <w:pPr>
        <w:pStyle w:val="ListParagraph"/>
        <w:numPr>
          <w:ilvl w:val="0"/>
          <w:numId w:val="9"/>
        </w:numPr>
        <w:tabs>
          <w:tab w:val="left" w:pos="1562"/>
        </w:tabs>
        <w:spacing w:before="319" w:after="0" w:line="240" w:lineRule="auto"/>
        <w:ind w:left="1561" w:right="0" w:hanging="542"/>
        <w:jc w:val="left"/>
        <w:rPr>
          <w:sz w:val="36"/>
        </w:rPr>
      </w:pPr>
      <w:r>
        <w:rPr>
          <w:sz w:val="36"/>
        </w:rPr>
        <w:t>固定资产分类和折旧方法</w:t>
      </w:r>
    </w:p>
    <w:p>
      <w:pPr>
        <w:pStyle w:val="BodyText"/>
        <w:spacing w:before="317" w:line="405" w:lineRule="auto"/>
        <w:ind w:left="300" w:right="238" w:firstLine="719"/>
      </w:pPr>
      <w:r>
        <w:t>固定资产分类为：房屋及建筑物、机器设备、运输设备、电子设备、办公设备、其他设备。</w:t>
      </w:r>
    </w:p>
    <w:p>
      <w:pPr>
        <w:pStyle w:val="BodyText"/>
        <w:spacing w:before="3" w:line="405" w:lineRule="auto"/>
        <w:ind w:left="300" w:right="192" w:firstLine="719"/>
      </w:pPr>
      <w:r>
        <w:drawing>
          <wp:anchor distT="0" distB="0" distL="0" distR="0" simplePos="0" relativeHeight="251658240" behindDoc="1" locked="0" layoutInCell="1" allowOverlap="1">
            <wp:simplePos x="0" y="0"/>
            <wp:positionH relativeFrom="page">
              <wp:posOffset>1689100</wp:posOffset>
            </wp:positionH>
            <wp:positionV relativeFrom="paragraph">
              <wp:posOffset>2370709</wp:posOffset>
            </wp:positionV>
            <wp:extent cx="7937500" cy="27940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937500" cy="2794000"/>
                    </a:xfrm>
                    <a:prstGeom prst="rect">
                      <a:avLst/>
                    </a:prstGeom>
                  </pic:spPr>
                </pic:pic>
              </a:graphicData>
            </a:graphic>
          </wp:anchor>
        </w:drawing>
      </w:r>
      <w:r>
        <w:rPr>
          <w:spacing w:val="-8"/>
        </w:rPr>
        <w:t>采用直线法分类计提折旧。由于技术进步等原因，确需加速折旧的，可以采</w:t>
      </w:r>
      <w:r>
        <w:rPr>
          <w:spacing w:val="-15"/>
        </w:rPr>
        <w:t>用双倍余额递减法和年数总和法。应当根据固定资产的性质和使用情况，并考虑税法的规定合理确定固定资产的使用寿命和预计净残值。固定资产的折旧方法、</w:t>
      </w:r>
      <w:r>
        <w:rPr>
          <w:spacing w:val="-22"/>
        </w:rPr>
        <w:t>使用寿命、预计净残值一经确定，不得随意变更。固定资产分类、预计使用年限、</w:t>
      </w:r>
      <w:r>
        <w:t>年折旧率及预计净残值率如下：</w:t>
      </w:r>
    </w:p>
    <w:p>
      <w:pPr>
        <w:pStyle w:val="BodyText"/>
        <w:spacing w:before="6"/>
        <w:rPr>
          <w:sz w:val="16"/>
        </w:rPr>
      </w:pPr>
    </w:p>
    <w:tbl>
      <w:tblPr>
        <w:tblStyle w:val="TableNormal0"/>
        <w:tblW w:w="0" w:type="auto"/>
        <w:jc w:val="left"/>
        <w:tblInd w:w="9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21"/>
        <w:gridCol w:w="2495"/>
        <w:gridCol w:w="3074"/>
        <w:gridCol w:w="2319"/>
      </w:tblGrid>
      <w:tr>
        <w:tblPrEx>
          <w:tblW w:w="0" w:type="auto"/>
          <w:jc w:val="left"/>
          <w:tblInd w:w="9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2"/>
          <w:jc w:val="left"/>
        </w:trPr>
        <w:tc>
          <w:tcPr>
            <w:tcW w:w="2921" w:type="dxa"/>
          </w:tcPr>
          <w:p>
            <w:pPr>
              <w:pStyle w:val="TableParagraph"/>
              <w:spacing w:line="308" w:lineRule="exact"/>
              <w:ind w:left="1101"/>
              <w:rPr>
                <w:sz w:val="27"/>
              </w:rPr>
            </w:pPr>
            <w:r>
              <w:rPr>
                <w:sz w:val="27"/>
              </w:rPr>
              <w:t>资产类别</w:t>
            </w:r>
          </w:p>
        </w:tc>
        <w:tc>
          <w:tcPr>
            <w:tcW w:w="2495" w:type="dxa"/>
          </w:tcPr>
          <w:p>
            <w:pPr>
              <w:pStyle w:val="TableParagraph"/>
              <w:spacing w:line="308" w:lineRule="exact"/>
              <w:ind w:left="720" w:right="384"/>
              <w:jc w:val="center"/>
              <w:rPr>
                <w:sz w:val="27"/>
              </w:rPr>
            </w:pPr>
            <w:r>
              <w:rPr>
                <w:sz w:val="27"/>
              </w:rPr>
              <w:t>预计残值率</w:t>
            </w:r>
          </w:p>
        </w:tc>
        <w:tc>
          <w:tcPr>
            <w:tcW w:w="3074" w:type="dxa"/>
          </w:tcPr>
          <w:p>
            <w:pPr>
              <w:pStyle w:val="TableParagraph"/>
              <w:spacing w:line="308" w:lineRule="exact"/>
              <w:ind w:left="387" w:right="1027"/>
              <w:jc w:val="center"/>
              <w:rPr>
                <w:sz w:val="27"/>
              </w:rPr>
            </w:pPr>
            <w:r>
              <w:rPr>
                <w:sz w:val="27"/>
              </w:rPr>
              <w:t>预计使用年限</w:t>
            </w:r>
          </w:p>
        </w:tc>
        <w:tc>
          <w:tcPr>
            <w:tcW w:w="2319" w:type="dxa"/>
          </w:tcPr>
          <w:p>
            <w:pPr>
              <w:pStyle w:val="TableParagraph"/>
              <w:spacing w:line="308" w:lineRule="exact"/>
              <w:ind w:left="1033" w:right="31"/>
              <w:jc w:val="center"/>
              <w:rPr>
                <w:sz w:val="27"/>
              </w:rPr>
            </w:pPr>
            <w:r>
              <w:rPr>
                <w:sz w:val="27"/>
              </w:rPr>
              <w:t>年折旧率%</w:t>
            </w:r>
          </w:p>
        </w:tc>
      </w:tr>
      <w:tr>
        <w:tblPrEx>
          <w:tblW w:w="0" w:type="auto"/>
          <w:jc w:val="left"/>
          <w:tblInd w:w="960" w:type="dxa"/>
          <w:tblLayout w:type="fixed"/>
          <w:tblCellMar>
            <w:top w:w="0" w:type="dxa"/>
            <w:left w:w="0" w:type="dxa"/>
            <w:bottom w:w="0" w:type="dxa"/>
            <w:right w:w="0" w:type="dxa"/>
          </w:tblCellMar>
          <w:tblLook w:val="01E0"/>
        </w:tblPrEx>
        <w:trPr>
          <w:trHeight w:val="615"/>
          <w:jc w:val="left"/>
        </w:trPr>
        <w:tc>
          <w:tcPr>
            <w:tcW w:w="2921" w:type="dxa"/>
          </w:tcPr>
          <w:p>
            <w:pPr>
              <w:pStyle w:val="TableParagraph"/>
              <w:spacing w:before="135"/>
              <w:ind w:left="50"/>
              <w:rPr>
                <w:sz w:val="27"/>
              </w:rPr>
            </w:pPr>
            <w:r>
              <w:rPr>
                <w:sz w:val="27"/>
              </w:rPr>
              <w:t>房屋建筑物</w:t>
            </w:r>
          </w:p>
        </w:tc>
        <w:tc>
          <w:tcPr>
            <w:tcW w:w="2495" w:type="dxa"/>
          </w:tcPr>
          <w:p>
            <w:pPr>
              <w:pStyle w:val="TableParagraph"/>
              <w:spacing w:before="135"/>
              <w:ind w:left="720" w:right="384"/>
              <w:jc w:val="center"/>
              <w:rPr>
                <w:sz w:val="27"/>
              </w:rPr>
            </w:pPr>
            <w:r>
              <w:rPr>
                <w:sz w:val="27"/>
              </w:rPr>
              <w:t>5%</w:t>
            </w:r>
          </w:p>
        </w:tc>
        <w:tc>
          <w:tcPr>
            <w:tcW w:w="3074" w:type="dxa"/>
          </w:tcPr>
          <w:p>
            <w:pPr>
              <w:pStyle w:val="TableParagraph"/>
              <w:spacing w:before="135"/>
              <w:ind w:left="384" w:right="1027"/>
              <w:jc w:val="center"/>
              <w:rPr>
                <w:sz w:val="27"/>
              </w:rPr>
            </w:pPr>
            <w:r>
              <w:rPr>
                <w:sz w:val="27"/>
              </w:rPr>
              <w:t>20</w:t>
            </w:r>
          </w:p>
        </w:tc>
        <w:tc>
          <w:tcPr>
            <w:tcW w:w="2319" w:type="dxa"/>
          </w:tcPr>
          <w:p>
            <w:pPr>
              <w:pStyle w:val="TableParagraph"/>
              <w:spacing w:before="135"/>
              <w:ind w:left="1000"/>
              <w:jc w:val="center"/>
              <w:rPr>
                <w:sz w:val="27"/>
              </w:rPr>
            </w:pPr>
            <w:r>
              <w:rPr>
                <w:sz w:val="27"/>
              </w:rPr>
              <w:t>%</w:t>
            </w:r>
          </w:p>
        </w:tc>
      </w:tr>
      <w:tr>
        <w:tblPrEx>
          <w:tblW w:w="0" w:type="auto"/>
          <w:jc w:val="left"/>
          <w:tblInd w:w="960" w:type="dxa"/>
          <w:tblLayout w:type="fixed"/>
          <w:tblCellMar>
            <w:top w:w="0" w:type="dxa"/>
            <w:left w:w="0" w:type="dxa"/>
            <w:bottom w:w="0" w:type="dxa"/>
            <w:right w:w="0" w:type="dxa"/>
          </w:tblCellMar>
          <w:tblLook w:val="01E0"/>
        </w:tblPrEx>
        <w:trPr>
          <w:trHeight w:val="615"/>
          <w:jc w:val="left"/>
        </w:trPr>
        <w:tc>
          <w:tcPr>
            <w:tcW w:w="2921" w:type="dxa"/>
          </w:tcPr>
          <w:p>
            <w:pPr>
              <w:pStyle w:val="TableParagraph"/>
              <w:spacing w:before="135"/>
              <w:ind w:left="50"/>
              <w:rPr>
                <w:sz w:val="27"/>
              </w:rPr>
            </w:pPr>
            <w:r>
              <w:rPr>
                <w:sz w:val="27"/>
              </w:rPr>
              <w:t>机器设备</w:t>
            </w:r>
          </w:p>
        </w:tc>
        <w:tc>
          <w:tcPr>
            <w:tcW w:w="2495" w:type="dxa"/>
          </w:tcPr>
          <w:p>
            <w:pPr>
              <w:pStyle w:val="TableParagraph"/>
              <w:spacing w:before="135"/>
              <w:ind w:left="720" w:right="384"/>
              <w:jc w:val="center"/>
              <w:rPr>
                <w:sz w:val="27"/>
              </w:rPr>
            </w:pPr>
            <w:r>
              <w:rPr>
                <w:sz w:val="27"/>
              </w:rPr>
              <w:t>5%</w:t>
            </w:r>
          </w:p>
        </w:tc>
        <w:tc>
          <w:tcPr>
            <w:tcW w:w="3074" w:type="dxa"/>
          </w:tcPr>
          <w:p>
            <w:pPr>
              <w:pStyle w:val="TableParagraph"/>
              <w:spacing w:before="135"/>
              <w:ind w:left="384" w:right="1027"/>
              <w:jc w:val="center"/>
              <w:rPr>
                <w:sz w:val="27"/>
              </w:rPr>
            </w:pPr>
            <w:r>
              <w:rPr>
                <w:sz w:val="27"/>
              </w:rPr>
              <w:t>10</w:t>
            </w:r>
          </w:p>
        </w:tc>
        <w:tc>
          <w:tcPr>
            <w:tcW w:w="2319" w:type="dxa"/>
          </w:tcPr>
          <w:p>
            <w:pPr>
              <w:pStyle w:val="TableParagraph"/>
              <w:spacing w:before="135"/>
              <w:ind w:left="1000"/>
              <w:jc w:val="center"/>
              <w:rPr>
                <w:sz w:val="27"/>
              </w:rPr>
            </w:pPr>
            <w:r>
              <w:rPr>
                <w:sz w:val="27"/>
              </w:rPr>
              <w:t>%</w:t>
            </w:r>
          </w:p>
        </w:tc>
      </w:tr>
      <w:tr>
        <w:tblPrEx>
          <w:tblW w:w="0" w:type="auto"/>
          <w:jc w:val="left"/>
          <w:tblInd w:w="960" w:type="dxa"/>
          <w:tblLayout w:type="fixed"/>
          <w:tblCellMar>
            <w:top w:w="0" w:type="dxa"/>
            <w:left w:w="0" w:type="dxa"/>
            <w:bottom w:w="0" w:type="dxa"/>
            <w:right w:w="0" w:type="dxa"/>
          </w:tblCellMar>
          <w:tblLook w:val="01E0"/>
        </w:tblPrEx>
        <w:trPr>
          <w:trHeight w:val="613"/>
          <w:jc w:val="left"/>
        </w:trPr>
        <w:tc>
          <w:tcPr>
            <w:tcW w:w="2921" w:type="dxa"/>
          </w:tcPr>
          <w:p>
            <w:pPr>
              <w:pStyle w:val="TableParagraph"/>
              <w:spacing w:before="135"/>
              <w:ind w:left="50"/>
              <w:rPr>
                <w:sz w:val="27"/>
              </w:rPr>
            </w:pPr>
            <w:r>
              <w:rPr>
                <w:sz w:val="27"/>
              </w:rPr>
              <w:t>运输设备</w:t>
            </w:r>
          </w:p>
        </w:tc>
        <w:tc>
          <w:tcPr>
            <w:tcW w:w="2495" w:type="dxa"/>
          </w:tcPr>
          <w:p>
            <w:pPr>
              <w:pStyle w:val="TableParagraph"/>
              <w:spacing w:before="135"/>
              <w:ind w:left="720" w:right="384"/>
              <w:jc w:val="center"/>
              <w:rPr>
                <w:sz w:val="27"/>
              </w:rPr>
            </w:pPr>
            <w:r>
              <w:rPr>
                <w:sz w:val="27"/>
              </w:rPr>
              <w:t>5%</w:t>
            </w:r>
          </w:p>
        </w:tc>
        <w:tc>
          <w:tcPr>
            <w:tcW w:w="3074" w:type="dxa"/>
          </w:tcPr>
          <w:p>
            <w:pPr>
              <w:pStyle w:val="TableParagraph"/>
              <w:spacing w:before="135"/>
              <w:ind w:right="642"/>
              <w:jc w:val="center"/>
              <w:rPr>
                <w:sz w:val="27"/>
              </w:rPr>
            </w:pPr>
            <w:r>
              <w:rPr>
                <w:sz w:val="27"/>
              </w:rPr>
              <w:t>5</w:t>
            </w:r>
          </w:p>
        </w:tc>
        <w:tc>
          <w:tcPr>
            <w:tcW w:w="2319" w:type="dxa"/>
          </w:tcPr>
          <w:p>
            <w:pPr>
              <w:pStyle w:val="TableParagraph"/>
              <w:spacing w:before="135"/>
              <w:ind w:left="1000"/>
              <w:jc w:val="center"/>
              <w:rPr>
                <w:sz w:val="27"/>
              </w:rPr>
            </w:pPr>
            <w:r>
              <w:rPr>
                <w:sz w:val="27"/>
              </w:rPr>
              <w:t>%</w:t>
            </w:r>
          </w:p>
        </w:tc>
      </w:tr>
      <w:tr>
        <w:tblPrEx>
          <w:tblW w:w="0" w:type="auto"/>
          <w:jc w:val="left"/>
          <w:tblInd w:w="960" w:type="dxa"/>
          <w:tblLayout w:type="fixed"/>
          <w:tblCellMar>
            <w:top w:w="0" w:type="dxa"/>
            <w:left w:w="0" w:type="dxa"/>
            <w:bottom w:w="0" w:type="dxa"/>
            <w:right w:w="0" w:type="dxa"/>
          </w:tblCellMar>
          <w:tblLook w:val="01E0"/>
        </w:tblPrEx>
        <w:trPr>
          <w:trHeight w:val="613"/>
          <w:jc w:val="left"/>
        </w:trPr>
        <w:tc>
          <w:tcPr>
            <w:tcW w:w="2921" w:type="dxa"/>
          </w:tcPr>
          <w:p>
            <w:pPr>
              <w:pStyle w:val="TableParagraph"/>
              <w:spacing w:before="133"/>
              <w:ind w:left="50"/>
              <w:rPr>
                <w:sz w:val="27"/>
              </w:rPr>
            </w:pPr>
            <w:r>
              <w:rPr>
                <w:sz w:val="27"/>
              </w:rPr>
              <w:t>办公设备</w:t>
            </w:r>
          </w:p>
        </w:tc>
        <w:tc>
          <w:tcPr>
            <w:tcW w:w="2495" w:type="dxa"/>
          </w:tcPr>
          <w:p>
            <w:pPr>
              <w:pStyle w:val="TableParagraph"/>
              <w:spacing w:before="133"/>
              <w:ind w:left="720" w:right="384"/>
              <w:jc w:val="center"/>
              <w:rPr>
                <w:sz w:val="27"/>
              </w:rPr>
            </w:pPr>
            <w:r>
              <w:rPr>
                <w:sz w:val="27"/>
              </w:rPr>
              <w:t>5%</w:t>
            </w:r>
          </w:p>
        </w:tc>
        <w:tc>
          <w:tcPr>
            <w:tcW w:w="3074" w:type="dxa"/>
          </w:tcPr>
          <w:p>
            <w:pPr>
              <w:pStyle w:val="TableParagraph"/>
              <w:spacing w:before="133"/>
              <w:ind w:right="642"/>
              <w:jc w:val="center"/>
              <w:rPr>
                <w:sz w:val="27"/>
              </w:rPr>
            </w:pPr>
            <w:r>
              <w:rPr>
                <w:sz w:val="27"/>
              </w:rPr>
              <w:t>5</w:t>
            </w:r>
          </w:p>
        </w:tc>
        <w:tc>
          <w:tcPr>
            <w:tcW w:w="2319" w:type="dxa"/>
          </w:tcPr>
          <w:p>
            <w:pPr>
              <w:pStyle w:val="TableParagraph"/>
              <w:spacing w:before="133"/>
              <w:ind w:left="1000"/>
              <w:jc w:val="center"/>
              <w:rPr>
                <w:sz w:val="27"/>
              </w:rPr>
            </w:pPr>
            <w:r>
              <w:rPr>
                <w:sz w:val="27"/>
              </w:rPr>
              <w:t>%</w:t>
            </w:r>
          </w:p>
        </w:tc>
      </w:tr>
      <w:tr>
        <w:tblPrEx>
          <w:tblW w:w="0" w:type="auto"/>
          <w:jc w:val="left"/>
          <w:tblInd w:w="960" w:type="dxa"/>
          <w:tblLayout w:type="fixed"/>
          <w:tblCellMar>
            <w:top w:w="0" w:type="dxa"/>
            <w:left w:w="0" w:type="dxa"/>
            <w:bottom w:w="0" w:type="dxa"/>
            <w:right w:w="0" w:type="dxa"/>
          </w:tblCellMar>
          <w:tblLook w:val="01E0"/>
        </w:tblPrEx>
        <w:trPr>
          <w:trHeight w:val="615"/>
          <w:jc w:val="left"/>
        </w:trPr>
        <w:tc>
          <w:tcPr>
            <w:tcW w:w="2921" w:type="dxa"/>
          </w:tcPr>
          <w:p>
            <w:pPr>
              <w:pStyle w:val="TableParagraph"/>
              <w:spacing w:before="135"/>
              <w:ind w:left="50"/>
              <w:rPr>
                <w:sz w:val="27"/>
              </w:rPr>
            </w:pPr>
            <w:r>
              <w:rPr>
                <w:sz w:val="27"/>
              </w:rPr>
              <w:t>电子设备</w:t>
            </w:r>
          </w:p>
        </w:tc>
        <w:tc>
          <w:tcPr>
            <w:tcW w:w="2495" w:type="dxa"/>
          </w:tcPr>
          <w:p>
            <w:pPr>
              <w:pStyle w:val="TableParagraph"/>
              <w:spacing w:before="135"/>
              <w:ind w:left="720" w:right="384"/>
              <w:jc w:val="center"/>
              <w:rPr>
                <w:sz w:val="27"/>
              </w:rPr>
            </w:pPr>
            <w:r>
              <w:rPr>
                <w:sz w:val="27"/>
              </w:rPr>
              <w:t>0%</w:t>
            </w:r>
          </w:p>
        </w:tc>
        <w:tc>
          <w:tcPr>
            <w:tcW w:w="3074" w:type="dxa"/>
          </w:tcPr>
          <w:p>
            <w:pPr>
              <w:pStyle w:val="TableParagraph"/>
              <w:spacing w:before="135"/>
              <w:ind w:right="642"/>
              <w:jc w:val="center"/>
              <w:rPr>
                <w:sz w:val="27"/>
              </w:rPr>
            </w:pPr>
            <w:r>
              <w:rPr>
                <w:sz w:val="27"/>
              </w:rPr>
              <w:t>3</w:t>
            </w:r>
          </w:p>
        </w:tc>
        <w:tc>
          <w:tcPr>
            <w:tcW w:w="2319" w:type="dxa"/>
          </w:tcPr>
          <w:p>
            <w:pPr>
              <w:pStyle w:val="TableParagraph"/>
              <w:spacing w:before="135"/>
              <w:ind w:left="1000"/>
              <w:jc w:val="center"/>
              <w:rPr>
                <w:sz w:val="27"/>
              </w:rPr>
            </w:pPr>
            <w:r>
              <w:rPr>
                <w:sz w:val="27"/>
              </w:rPr>
              <w:t>%</w:t>
            </w:r>
          </w:p>
        </w:tc>
      </w:tr>
      <w:tr>
        <w:tblPrEx>
          <w:tblW w:w="0" w:type="auto"/>
          <w:jc w:val="left"/>
          <w:tblInd w:w="960" w:type="dxa"/>
          <w:tblLayout w:type="fixed"/>
          <w:tblCellMar>
            <w:top w:w="0" w:type="dxa"/>
            <w:left w:w="0" w:type="dxa"/>
            <w:bottom w:w="0" w:type="dxa"/>
            <w:right w:w="0" w:type="dxa"/>
          </w:tblCellMar>
          <w:tblLook w:val="01E0"/>
        </w:tblPrEx>
        <w:trPr>
          <w:trHeight w:val="443"/>
          <w:jc w:val="left"/>
        </w:trPr>
        <w:tc>
          <w:tcPr>
            <w:tcW w:w="2921" w:type="dxa"/>
          </w:tcPr>
          <w:p>
            <w:pPr>
              <w:pStyle w:val="TableParagraph"/>
              <w:spacing w:before="135" w:line="288" w:lineRule="exact"/>
              <w:ind w:left="50"/>
              <w:rPr>
                <w:sz w:val="27"/>
              </w:rPr>
            </w:pPr>
            <w:r>
              <w:rPr>
                <w:sz w:val="27"/>
              </w:rPr>
              <w:t>其他设备</w:t>
            </w:r>
          </w:p>
        </w:tc>
        <w:tc>
          <w:tcPr>
            <w:tcW w:w="2495" w:type="dxa"/>
          </w:tcPr>
          <w:p>
            <w:pPr>
              <w:pStyle w:val="TableParagraph"/>
              <w:spacing w:before="135" w:line="288" w:lineRule="exact"/>
              <w:ind w:left="720" w:right="384"/>
              <w:jc w:val="center"/>
              <w:rPr>
                <w:sz w:val="27"/>
              </w:rPr>
            </w:pPr>
            <w:r>
              <w:rPr>
                <w:sz w:val="27"/>
              </w:rPr>
              <w:t>5%</w:t>
            </w:r>
          </w:p>
        </w:tc>
        <w:tc>
          <w:tcPr>
            <w:tcW w:w="3074" w:type="dxa"/>
          </w:tcPr>
          <w:p>
            <w:pPr>
              <w:pStyle w:val="TableParagraph"/>
              <w:spacing w:before="135" w:line="288" w:lineRule="exact"/>
              <w:ind w:right="642"/>
              <w:jc w:val="center"/>
              <w:rPr>
                <w:sz w:val="27"/>
              </w:rPr>
            </w:pPr>
            <w:r>
              <w:rPr>
                <w:sz w:val="27"/>
              </w:rPr>
              <w:t>5</w:t>
            </w:r>
          </w:p>
        </w:tc>
        <w:tc>
          <w:tcPr>
            <w:tcW w:w="2319" w:type="dxa"/>
          </w:tcPr>
          <w:p>
            <w:pPr>
              <w:pStyle w:val="TableParagraph"/>
              <w:spacing w:before="135" w:line="288" w:lineRule="exact"/>
              <w:ind w:left="1000"/>
              <w:jc w:val="center"/>
              <w:rPr>
                <w:sz w:val="27"/>
              </w:rPr>
            </w:pPr>
            <w:r>
              <w:rPr>
                <w:sz w:val="27"/>
              </w:rPr>
              <w:t>%</w:t>
            </w:r>
          </w:p>
        </w:tc>
      </w:tr>
    </w:tbl>
    <w:p>
      <w:pPr>
        <w:pStyle w:val="BodyText"/>
        <w:spacing w:before="212" w:line="405" w:lineRule="auto"/>
        <w:ind w:left="300" w:right="596"/>
      </w:pPr>
      <w:r>
        <w:t>固定资产的日常修理费，应在发生时根据受益对象计入相关资产成本或当期损益。</w:t>
      </w:r>
    </w:p>
    <w:p>
      <w:pPr>
        <w:pStyle w:val="ListParagraph"/>
        <w:numPr>
          <w:ilvl w:val="0"/>
          <w:numId w:val="13"/>
        </w:numPr>
        <w:tabs>
          <w:tab w:val="left" w:pos="1651"/>
        </w:tabs>
        <w:spacing w:before="0" w:after="0" w:line="461" w:lineRule="exact"/>
        <w:ind w:left="1650" w:right="0" w:hanging="631"/>
        <w:jc w:val="left"/>
        <w:rPr>
          <w:sz w:val="36"/>
        </w:rPr>
      </w:pPr>
      <w:r>
        <w:rPr>
          <w:sz w:val="36"/>
        </w:rPr>
        <w:t>生产性生物资产</w:t>
      </w:r>
    </w:p>
    <w:p>
      <w:pPr>
        <w:pStyle w:val="BodyText"/>
        <w:spacing w:before="320" w:line="405" w:lineRule="auto"/>
        <w:ind w:left="1020" w:right="3118"/>
      </w:pPr>
      <w:r>
        <w:t>生产性生物资产包括：经济林、薪炭林、产畜和役畜等。生产性生物资产按照成本计量。</w:t>
      </w:r>
    </w:p>
    <w:p>
      <w:pPr>
        <w:pStyle w:val="BodyText"/>
        <w:spacing w:line="405" w:lineRule="auto"/>
        <w:ind w:left="1020" w:right="238"/>
      </w:pPr>
      <w:r>
        <w:t xml:space="preserve">生产性生物资产应当按照年限平均法计提折旧，根据资产的性质和使用情 </w:t>
      </w:r>
      <w:r>
        <w:rPr>
          <w:spacing w:val="-1"/>
        </w:rPr>
        <w:t>况，并考虑税法的规定合理确定生产性生物资产的使用寿命和预计净残值。</w:t>
      </w:r>
      <w:r>
        <w:rPr>
          <w:spacing w:val="-9"/>
        </w:rPr>
        <w:t>生产性生物资产的折旧方法、使用寿命、预计净残值一经确定，不得随意变更。</w:t>
      </w:r>
    </w:p>
    <w:p>
      <w:pPr>
        <w:pStyle w:val="ListParagraph"/>
        <w:numPr>
          <w:ilvl w:val="0"/>
          <w:numId w:val="13"/>
        </w:numPr>
        <w:tabs>
          <w:tab w:val="left" w:pos="1651"/>
        </w:tabs>
        <w:spacing w:before="4" w:after="0" w:line="240" w:lineRule="auto"/>
        <w:ind w:left="1650" w:right="0" w:hanging="631"/>
        <w:jc w:val="left"/>
        <w:rPr>
          <w:sz w:val="36"/>
        </w:rPr>
      </w:pPr>
      <w:r>
        <w:rPr>
          <w:sz w:val="36"/>
        </w:rPr>
        <w:t>在建工程</w:t>
      </w:r>
    </w:p>
    <w:p>
      <w:pPr>
        <w:pStyle w:val="BodyText"/>
        <w:spacing w:before="316" w:line="405" w:lineRule="auto"/>
        <w:ind w:left="1020" w:right="1318"/>
      </w:pPr>
      <w:r>
        <w:t>在建工程按实际成本计价，在达到预定可使用状态时结转固定资产。在建工程在完工交付使用后，按工程的实际成本确认为固定资产。</w:t>
      </w:r>
    </w:p>
    <w:p>
      <w:pPr>
        <w:spacing w:after="0" w:line="405" w:lineRule="auto"/>
        <w:sectPr>
          <w:pgSz w:w="17860" w:h="25260"/>
          <w:pgMar w:top="1960" w:right="2320" w:bottom="280" w:left="2400" w:header="708" w:footer="708"/>
          <w:pgNumType w:start="8"/>
          <w:cols w:space="708"/>
        </w:sectPr>
      </w:pPr>
    </w:p>
    <w:p>
      <w:pPr>
        <w:pStyle w:val="BodyText"/>
        <w:spacing w:before="10"/>
        <w:rPr>
          <w:sz w:val="17"/>
        </w:rPr>
      </w:pPr>
    </w:p>
    <w:p>
      <w:pPr>
        <w:pStyle w:val="ListParagraph"/>
        <w:numPr>
          <w:ilvl w:val="0"/>
          <w:numId w:val="13"/>
        </w:numPr>
        <w:tabs>
          <w:tab w:val="left" w:pos="1651"/>
        </w:tabs>
        <w:spacing w:before="50" w:after="0" w:line="240" w:lineRule="auto"/>
        <w:ind w:left="1650" w:right="0" w:hanging="631"/>
        <w:jc w:val="left"/>
        <w:rPr>
          <w:sz w:val="36"/>
        </w:rPr>
      </w:pPr>
      <w:r>
        <w:rPr>
          <w:sz w:val="36"/>
        </w:rPr>
        <w:t>无形资产</w:t>
      </w:r>
    </w:p>
    <w:p>
      <w:pPr>
        <w:pStyle w:val="ListParagraph"/>
        <w:numPr>
          <w:ilvl w:val="0"/>
          <w:numId w:val="8"/>
        </w:numPr>
        <w:tabs>
          <w:tab w:val="left" w:pos="1562"/>
        </w:tabs>
        <w:spacing w:before="320" w:after="0" w:line="405" w:lineRule="auto"/>
        <w:ind w:left="300" w:right="418" w:firstLine="719"/>
        <w:jc w:val="left"/>
        <w:rPr>
          <w:sz w:val="36"/>
        </w:rPr>
      </w:pPr>
      <w:r>
        <w:rPr>
          <w:spacing w:val="-1"/>
          <w:sz w:val="36"/>
        </w:rPr>
        <w:t>本公司的无形资产是指为生产商品、提供劳务、出租或经营管理而持有</w:t>
      </w:r>
      <w:r>
        <w:rPr>
          <w:sz w:val="36"/>
        </w:rPr>
        <w:t>的没有实物形态的可辨认非货币性资产。</w:t>
      </w:r>
    </w:p>
    <w:p>
      <w:pPr>
        <w:pStyle w:val="ListParagraph"/>
        <w:numPr>
          <w:ilvl w:val="0"/>
          <w:numId w:val="8"/>
        </w:numPr>
        <w:tabs>
          <w:tab w:val="left" w:pos="1562"/>
        </w:tabs>
        <w:spacing w:before="0" w:after="0" w:line="405" w:lineRule="auto"/>
        <w:ind w:left="300" w:right="380" w:firstLine="719"/>
        <w:jc w:val="both"/>
        <w:rPr>
          <w:sz w:val="36"/>
        </w:rPr>
      </w:pPr>
      <w:r>
        <w:rPr>
          <w:sz w:val="36"/>
        </w:rPr>
        <w:t>无形资产按取得时的实际成本入账，按合同的受益年限平均摊销，计入</w:t>
      </w:r>
      <w:r>
        <w:rPr>
          <w:spacing w:val="-13"/>
          <w:sz w:val="36"/>
        </w:rPr>
        <w:t>各摊销期损益，根据收益对象计入相关资产成本或当期损益。无法合理估计使用</w:t>
      </w:r>
      <w:r>
        <w:rPr>
          <w:spacing w:val="-7"/>
          <w:sz w:val="36"/>
        </w:rPr>
        <w:t xml:space="preserve">寿命的无形资产按照不低于 </w:t>
      </w:r>
      <w:r>
        <w:rPr>
          <w:sz w:val="36"/>
        </w:rPr>
        <w:t>10</w:t>
      </w:r>
      <w:r>
        <w:rPr>
          <w:spacing w:val="-13"/>
          <w:sz w:val="36"/>
        </w:rPr>
        <w:t xml:space="preserve"> 年的期间摊销。</w:t>
      </w:r>
    </w:p>
    <w:p>
      <w:pPr>
        <w:pStyle w:val="ListParagraph"/>
        <w:numPr>
          <w:ilvl w:val="0"/>
          <w:numId w:val="8"/>
        </w:numPr>
        <w:tabs>
          <w:tab w:val="left" w:pos="1562"/>
        </w:tabs>
        <w:spacing w:before="2" w:after="0" w:line="405" w:lineRule="auto"/>
        <w:ind w:left="300" w:right="418" w:firstLine="719"/>
        <w:jc w:val="left"/>
        <w:rPr>
          <w:sz w:val="36"/>
        </w:rPr>
      </w:pPr>
      <w:r>
        <w:rPr>
          <w:spacing w:val="-1"/>
          <w:sz w:val="36"/>
        </w:rPr>
        <w:t>处置时，处置收入扣除其账面价值、相关税费等后的净额，计入营业外</w:t>
      </w:r>
      <w:r>
        <w:rPr>
          <w:sz w:val="36"/>
        </w:rPr>
        <w:t>收入或营业外支出。年末按历史成本计量，不计提减值准备。</w:t>
      </w:r>
    </w:p>
    <w:p>
      <w:pPr>
        <w:pStyle w:val="ListParagraph"/>
        <w:numPr>
          <w:ilvl w:val="0"/>
          <w:numId w:val="13"/>
        </w:numPr>
        <w:tabs>
          <w:tab w:val="left" w:pos="1562"/>
        </w:tabs>
        <w:spacing w:before="0" w:after="0" w:line="461" w:lineRule="exact"/>
        <w:ind w:left="1561" w:right="0" w:hanging="542"/>
        <w:jc w:val="left"/>
        <w:rPr>
          <w:sz w:val="34"/>
        </w:rPr>
      </w:pPr>
      <w:r>
        <w:rPr>
          <w:sz w:val="36"/>
        </w:rPr>
        <w:t>长期待摊费用</w:t>
      </w:r>
    </w:p>
    <w:p>
      <w:pPr>
        <w:pStyle w:val="BodyText"/>
        <w:spacing w:before="320" w:line="405" w:lineRule="auto"/>
        <w:ind w:left="300" w:right="377" w:firstLine="719"/>
        <w:jc w:val="both"/>
      </w:pPr>
      <w:r>
        <w:rPr>
          <w:spacing w:val="-10"/>
        </w:rPr>
        <w:t>小企业的长期待摊费用包括：已提足折旧的固定资产的改建支出、经营租入</w:t>
      </w:r>
      <w:r>
        <w:rPr>
          <w:spacing w:val="-11"/>
        </w:rPr>
        <w:t>固定资产的改建支出、固定资产的大修理支出和其他长期待摊费用等。长期待摊</w:t>
      </w:r>
      <w:r>
        <w:rPr>
          <w:spacing w:val="-8"/>
        </w:rPr>
        <w:t>费用应当在其摊销期内采用年限平均法进行摊销，根据受益对象计入相关资产的</w:t>
      </w:r>
      <w:r>
        <w:t>成本或管理费用，并冲减长期待摊费用。</w:t>
      </w:r>
    </w:p>
    <w:p>
      <w:pPr>
        <w:pStyle w:val="ListParagraph"/>
        <w:numPr>
          <w:ilvl w:val="0"/>
          <w:numId w:val="13"/>
        </w:numPr>
        <w:tabs>
          <w:tab w:val="left" w:pos="1562"/>
        </w:tabs>
        <w:spacing w:before="3" w:after="0" w:line="405" w:lineRule="auto"/>
        <w:ind w:left="1020" w:right="9058" w:firstLine="0"/>
        <w:jc w:val="left"/>
        <w:rPr>
          <w:sz w:val="34"/>
        </w:rPr>
      </w:pPr>
      <w:r>
        <w:rPr>
          <w:sz w:val="36"/>
        </w:rPr>
        <w:t>收入确认原则(1)</w:t>
      </w:r>
      <w:r>
        <w:rPr>
          <w:spacing w:val="-3"/>
          <w:sz w:val="36"/>
        </w:rPr>
        <w:t>销售商品的收入</w:t>
      </w:r>
    </w:p>
    <w:p>
      <w:pPr>
        <w:pStyle w:val="BodyText"/>
        <w:spacing w:line="405" w:lineRule="auto"/>
        <w:ind w:left="300" w:right="238" w:firstLine="719"/>
      </w:pPr>
      <w:r>
        <w:rPr>
          <w:spacing w:val="-1"/>
        </w:rPr>
        <w:t>小企业应当在发出商品且收到货款或取得收款权利时，确认销售商品收入。</w:t>
      </w:r>
      <w:r>
        <w:rPr>
          <w:spacing w:val="-7"/>
        </w:rPr>
        <w:t>按照从购买方已收或应收的合同或协议价款，确定销售商品收入金额。销售商品</w:t>
      </w:r>
      <w:r>
        <w:rPr>
          <w:spacing w:val="-14"/>
        </w:rPr>
        <w:t>涉及现金折扣的，应当按照扣除现金折扣前的金额确定销售商品收入金额，现金</w:t>
      </w:r>
      <w:r>
        <w:rPr>
          <w:spacing w:val="-18"/>
        </w:rPr>
        <w:t>折扣在实际发生时，计入当期损益。涉及商业折扣的，按照扣除商业折扣后的金额确定销售商品收入金额。</w:t>
      </w:r>
    </w:p>
    <w:p>
      <w:pPr>
        <w:pStyle w:val="BodyText"/>
        <w:spacing w:before="2"/>
        <w:ind w:left="1020"/>
      </w:pPr>
      <w:r>
        <w:t>(2)提供劳务的收入</w:t>
      </w:r>
    </w:p>
    <w:p>
      <w:pPr>
        <w:pStyle w:val="BodyText"/>
        <w:spacing w:before="320" w:line="405" w:lineRule="auto"/>
        <w:ind w:left="300" w:right="376" w:firstLine="719"/>
      </w:pPr>
      <w:r>
        <w:rPr>
          <w:spacing w:val="-10"/>
        </w:rPr>
        <w:t>在同一会计年度内开始并完成的劳务，应当在提供劳务交易完成且收到款项或取得收款权利时确认收入。如劳务的开始和完成分属不同的会计年度，在提供</w:t>
      </w:r>
      <w:r>
        <w:rPr>
          <w:spacing w:val="-9"/>
        </w:rPr>
        <w:t>劳务交易的结果能够可靠估计的情况下，在资产负债表日按完工百分比法确认相</w:t>
      </w:r>
      <w:r>
        <w:t>关的劳务收入。提供劳务收入的金额为从接受劳务方已收或应收的合同或协议款。</w:t>
      </w:r>
    </w:p>
    <w:p>
      <w:pPr>
        <w:spacing w:after="0" w:line="405" w:lineRule="auto"/>
        <w:sectPr>
          <w:pgSz w:w="17860" w:h="25260"/>
          <w:pgMar w:top="2420" w:right="2320" w:bottom="280" w:left="2400" w:header="708" w:footer="708"/>
          <w:pgNumType w:start="9"/>
          <w:cols w:space="708"/>
        </w:sectPr>
      </w:pPr>
    </w:p>
    <w:p>
      <w:pPr>
        <w:pStyle w:val="ListParagraph"/>
        <w:numPr>
          <w:ilvl w:val="0"/>
          <w:numId w:val="13"/>
        </w:numPr>
        <w:tabs>
          <w:tab w:val="left" w:pos="1562"/>
        </w:tabs>
        <w:spacing w:before="16" w:after="0" w:line="240" w:lineRule="auto"/>
        <w:ind w:left="1561" w:right="0" w:hanging="542"/>
        <w:jc w:val="left"/>
        <w:rPr>
          <w:rFonts w:ascii="幼圆" w:eastAsia="幼圆" w:hint="eastAsia"/>
          <w:sz w:val="34"/>
        </w:rPr>
      </w:pPr>
      <w:r>
        <w:rPr>
          <w:rFonts w:ascii="幼圆" w:eastAsia="幼圆" w:hint="eastAsia"/>
          <w:sz w:val="36"/>
        </w:rPr>
        <w:t>所得税的核算方法</w:t>
      </w:r>
    </w:p>
    <w:p>
      <w:pPr>
        <w:pStyle w:val="ListParagraph"/>
        <w:numPr>
          <w:ilvl w:val="0"/>
          <w:numId w:val="7"/>
        </w:numPr>
        <w:tabs>
          <w:tab w:val="left" w:pos="1562"/>
        </w:tabs>
        <w:spacing w:before="319" w:after="0" w:line="405" w:lineRule="auto"/>
        <w:ind w:left="300" w:right="418" w:firstLine="719"/>
        <w:jc w:val="left"/>
        <w:rPr>
          <w:rFonts w:ascii="幼圆" w:eastAsia="幼圆" w:hint="eastAsia"/>
          <w:sz w:val="36"/>
        </w:rPr>
      </w:pPr>
      <w:r>
        <w:rPr>
          <w:rFonts w:ascii="幼圆" w:eastAsia="幼圆" w:hint="eastAsia"/>
          <w:spacing w:val="-1"/>
          <w:sz w:val="36"/>
        </w:rPr>
        <w:t>本公司所得税的会计核算采用应付税款法，以根据有关税法规定对本年</w:t>
      </w:r>
      <w:r>
        <w:rPr>
          <w:rFonts w:ascii="幼圆" w:eastAsia="幼圆" w:hint="eastAsia"/>
          <w:sz w:val="36"/>
        </w:rPr>
        <w:t>度的税前会计利润作相应调整后的应纳税所得额作为计算当期所得税费用的基数。</w:t>
      </w:r>
    </w:p>
    <w:p>
      <w:pPr>
        <w:pStyle w:val="ListParagraph"/>
        <w:numPr>
          <w:ilvl w:val="0"/>
          <w:numId w:val="7"/>
        </w:numPr>
        <w:tabs>
          <w:tab w:val="left" w:pos="1562"/>
        </w:tabs>
        <w:spacing w:before="2" w:after="0" w:line="405" w:lineRule="auto"/>
        <w:ind w:left="300" w:right="202" w:firstLine="719"/>
        <w:jc w:val="left"/>
        <w:rPr>
          <w:rFonts w:ascii="幼圆" w:eastAsia="幼圆" w:hint="eastAsia"/>
          <w:sz w:val="36"/>
        </w:rPr>
      </w:pPr>
      <w:r>
        <w:rPr>
          <w:rFonts w:ascii="幼圆" w:eastAsia="幼圆" w:hint="eastAsia"/>
          <w:spacing w:val="-11"/>
          <w:sz w:val="36"/>
        </w:rPr>
        <w:t>本公司所得税分季预缴，由主管税务机关具体核定。在年终汇算清缴时， 少缴的所得税税额，在下一年度内缴纳；多缴纳的所得税税额，在下一年度内抵缴。</w:t>
      </w:r>
    </w:p>
    <w:p>
      <w:pPr>
        <w:pStyle w:val="Heading1"/>
        <w:ind w:left="1114"/>
        <w:rPr>
          <w:rFonts w:ascii="幼圆" w:eastAsia="幼圆" w:hint="eastAsia"/>
        </w:rPr>
      </w:pPr>
      <w:r>
        <w:rPr>
          <w:rFonts w:ascii="幼圆" w:eastAsia="幼圆" w:hint="eastAsia"/>
        </w:rPr>
        <w:t>三、会计政策和会计估计变更以及重大会计差错更正</w:t>
      </w:r>
    </w:p>
    <w:p>
      <w:pPr>
        <w:pStyle w:val="ListParagraph"/>
        <w:numPr>
          <w:ilvl w:val="0"/>
          <w:numId w:val="6"/>
        </w:numPr>
        <w:tabs>
          <w:tab w:val="left" w:pos="1651"/>
        </w:tabs>
        <w:spacing w:before="317" w:after="0" w:line="405" w:lineRule="auto"/>
        <w:ind w:left="1110" w:right="7888" w:hanging="90"/>
        <w:jc w:val="left"/>
        <w:rPr>
          <w:rFonts w:ascii="幼圆" w:eastAsia="幼圆" w:hint="eastAsia"/>
          <w:sz w:val="36"/>
        </w:rPr>
      </w:pPr>
      <w:r>
        <w:rPr>
          <w:rFonts w:ascii="幼圆" w:eastAsia="幼圆" w:hint="eastAsia"/>
          <w:spacing w:val="-2"/>
          <w:sz w:val="36"/>
        </w:rPr>
        <w:t>会计政策变更及其影响</w:t>
      </w:r>
      <w:r>
        <w:rPr>
          <w:rFonts w:ascii="幼圆" w:eastAsia="幼圆" w:hint="eastAsia"/>
          <w:sz w:val="36"/>
        </w:rPr>
        <w:t>报告期无会计政策变更。</w:t>
      </w:r>
    </w:p>
    <w:p>
      <w:pPr>
        <w:pStyle w:val="ListParagraph"/>
        <w:numPr>
          <w:ilvl w:val="0"/>
          <w:numId w:val="6"/>
        </w:numPr>
        <w:tabs>
          <w:tab w:val="left" w:pos="1651"/>
        </w:tabs>
        <w:spacing w:before="3" w:after="0" w:line="405" w:lineRule="auto"/>
        <w:ind w:left="1110" w:right="7888" w:hanging="90"/>
        <w:jc w:val="left"/>
        <w:rPr>
          <w:rFonts w:ascii="幼圆" w:eastAsia="幼圆" w:hint="eastAsia"/>
          <w:sz w:val="36"/>
        </w:rPr>
      </w:pPr>
      <w:r>
        <w:rPr>
          <w:rFonts w:ascii="幼圆" w:eastAsia="幼圆" w:hint="eastAsia"/>
          <w:spacing w:val="-2"/>
          <w:sz w:val="36"/>
        </w:rPr>
        <w:t>会计估计变更及其影响</w:t>
      </w:r>
      <w:r>
        <w:rPr>
          <w:rFonts w:ascii="幼圆" w:eastAsia="幼圆" w:hint="eastAsia"/>
          <w:sz w:val="36"/>
        </w:rPr>
        <w:t>报告期无会计估计变更。</w:t>
      </w:r>
    </w:p>
    <w:p>
      <w:pPr>
        <w:pStyle w:val="ListParagraph"/>
        <w:numPr>
          <w:ilvl w:val="0"/>
          <w:numId w:val="6"/>
        </w:numPr>
        <w:tabs>
          <w:tab w:val="left" w:pos="1651"/>
        </w:tabs>
        <w:spacing w:before="0" w:after="0" w:line="461" w:lineRule="exact"/>
        <w:ind w:left="1650" w:right="0" w:hanging="631"/>
        <w:jc w:val="left"/>
        <w:rPr>
          <w:rFonts w:ascii="幼圆" w:eastAsia="幼圆" w:hint="eastAsia"/>
          <w:sz w:val="36"/>
        </w:rPr>
      </w:pPr>
      <w:r>
        <w:rPr>
          <w:rFonts w:ascii="幼圆" w:eastAsia="幼圆" w:hint="eastAsia"/>
          <w:sz w:val="36"/>
        </w:rPr>
        <w:t>前期会计差错更正</w:t>
      </w:r>
    </w:p>
    <w:p>
      <w:pPr>
        <w:pStyle w:val="BodyText"/>
        <w:spacing w:before="320" w:line="405" w:lineRule="auto"/>
        <w:ind w:left="1114" w:right="5548" w:hanging="4"/>
        <w:rPr>
          <w:rFonts w:ascii="幼圆" w:eastAsia="幼圆" w:hint="eastAsia"/>
          <w:b/>
        </w:rPr>
      </w:pPr>
      <w:r>
        <w:drawing>
          <wp:anchor distT="0" distB="0" distL="0" distR="0" simplePos="0" relativeHeight="251659264" behindDoc="1" locked="0" layoutInCell="1" allowOverlap="1">
            <wp:simplePos x="0" y="0"/>
            <wp:positionH relativeFrom="page">
              <wp:posOffset>1587500</wp:posOffset>
            </wp:positionH>
            <wp:positionV relativeFrom="paragraph">
              <wp:posOffset>1085595</wp:posOffset>
            </wp:positionV>
            <wp:extent cx="8039100" cy="3594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039100" cy="3594100"/>
                    </a:xfrm>
                    <a:prstGeom prst="rect">
                      <a:avLst/>
                    </a:prstGeom>
                  </pic:spPr>
                </pic:pic>
              </a:graphicData>
            </a:graphic>
          </wp:anchor>
        </w:drawing>
      </w:r>
      <w:r>
        <w:rPr>
          <w:rFonts w:ascii="幼圆" w:eastAsia="幼圆" w:hint="eastAsia"/>
        </w:rPr>
        <w:t>报告期无前期重大的会计差错更正事项。</w:t>
      </w:r>
      <w:r>
        <w:rPr>
          <w:rFonts w:ascii="幼圆" w:eastAsia="幼圆" w:hint="eastAsia"/>
          <w:b/>
        </w:rPr>
        <w:t>四、税项</w:t>
      </w:r>
    </w:p>
    <w:p>
      <w:pPr>
        <w:pStyle w:val="BodyText"/>
        <w:spacing w:before="9"/>
        <w:rPr>
          <w:rFonts w:ascii="幼圆"/>
          <w:b/>
          <w:sz w:val="17"/>
        </w:rPr>
      </w:pPr>
    </w:p>
    <w:tbl>
      <w:tblPr>
        <w:tblStyle w:val="TableNormal1"/>
        <w:tblW w:w="0" w:type="auto"/>
        <w:jc w:val="left"/>
        <w:tblInd w:w="7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4"/>
        <w:gridCol w:w="1567"/>
        <w:gridCol w:w="4179"/>
        <w:gridCol w:w="2517"/>
      </w:tblGrid>
      <w:tr>
        <w:tblPrEx>
          <w:tblW w:w="0" w:type="auto"/>
          <w:jc w:val="left"/>
          <w:tblInd w:w="7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2"/>
          <w:jc w:val="left"/>
        </w:trPr>
        <w:tc>
          <w:tcPr>
            <w:tcW w:w="1494" w:type="dxa"/>
          </w:tcPr>
          <w:p>
            <w:pPr>
              <w:pStyle w:val="TableParagraph"/>
              <w:rPr>
                <w:rFonts w:ascii="Times New Roman"/>
                <w:sz w:val="32"/>
              </w:rPr>
            </w:pPr>
          </w:p>
        </w:tc>
        <w:tc>
          <w:tcPr>
            <w:tcW w:w="1567" w:type="dxa"/>
          </w:tcPr>
          <w:p>
            <w:pPr>
              <w:pStyle w:val="TableParagraph"/>
              <w:spacing w:line="297" w:lineRule="exact"/>
              <w:ind w:left="93"/>
              <w:rPr>
                <w:rFonts w:ascii="幼圆" w:eastAsia="幼圆" w:hint="eastAsia"/>
                <w:sz w:val="27"/>
              </w:rPr>
            </w:pPr>
            <w:r>
              <w:rPr>
                <w:rFonts w:ascii="幼圆" w:eastAsia="幼圆" w:hint="eastAsia"/>
                <w:sz w:val="27"/>
              </w:rPr>
              <w:t>税项</w:t>
            </w:r>
          </w:p>
        </w:tc>
        <w:tc>
          <w:tcPr>
            <w:tcW w:w="4179" w:type="dxa"/>
          </w:tcPr>
          <w:p>
            <w:pPr>
              <w:pStyle w:val="TableParagraph"/>
              <w:spacing w:line="297" w:lineRule="exact"/>
              <w:ind w:left="1560" w:right="1499"/>
              <w:jc w:val="center"/>
              <w:rPr>
                <w:rFonts w:ascii="幼圆" w:eastAsia="幼圆" w:hint="eastAsia"/>
                <w:sz w:val="27"/>
              </w:rPr>
            </w:pPr>
            <w:r>
              <w:rPr>
                <w:rFonts w:ascii="幼圆" w:eastAsia="幼圆" w:hint="eastAsia"/>
                <w:sz w:val="27"/>
              </w:rPr>
              <w:t>计税基础</w:t>
            </w:r>
          </w:p>
        </w:tc>
        <w:tc>
          <w:tcPr>
            <w:tcW w:w="2517" w:type="dxa"/>
          </w:tcPr>
          <w:p>
            <w:pPr>
              <w:pStyle w:val="TableParagraph"/>
              <w:spacing w:line="297" w:lineRule="exact"/>
              <w:ind w:left="1498" w:right="34"/>
              <w:jc w:val="center"/>
              <w:rPr>
                <w:rFonts w:ascii="幼圆" w:eastAsia="幼圆" w:hint="eastAsia"/>
                <w:sz w:val="27"/>
              </w:rPr>
            </w:pPr>
            <w:r>
              <w:rPr>
                <w:rFonts w:ascii="幼圆" w:eastAsia="幼圆" w:hint="eastAsia"/>
                <w:sz w:val="27"/>
              </w:rPr>
              <w:t>税率(%)</w:t>
            </w:r>
          </w:p>
        </w:tc>
      </w:tr>
      <w:tr>
        <w:tblPrEx>
          <w:tblW w:w="0" w:type="auto"/>
          <w:jc w:val="left"/>
          <w:tblInd w:w="798" w:type="dxa"/>
          <w:tblLayout w:type="fixed"/>
          <w:tblCellMar>
            <w:top w:w="0" w:type="dxa"/>
            <w:left w:w="0" w:type="dxa"/>
            <w:bottom w:w="0" w:type="dxa"/>
            <w:right w:w="0" w:type="dxa"/>
          </w:tblCellMar>
          <w:tblLook w:val="01E0"/>
        </w:tblPrEx>
        <w:trPr>
          <w:trHeight w:val="795"/>
          <w:jc w:val="left"/>
        </w:trPr>
        <w:tc>
          <w:tcPr>
            <w:tcW w:w="1494" w:type="dxa"/>
          </w:tcPr>
          <w:p>
            <w:pPr>
              <w:pStyle w:val="TableParagraph"/>
              <w:spacing w:before="214"/>
              <w:ind w:left="50"/>
              <w:rPr>
                <w:rFonts w:ascii="幼圆" w:eastAsia="幼圆" w:hint="eastAsia"/>
                <w:sz w:val="27"/>
              </w:rPr>
            </w:pPr>
            <w:r>
              <w:rPr>
                <w:rFonts w:ascii="幼圆" w:eastAsia="幼圆" w:hint="eastAsia"/>
                <w:sz w:val="27"/>
              </w:rPr>
              <w:t>增值税</w:t>
            </w:r>
          </w:p>
        </w:tc>
        <w:tc>
          <w:tcPr>
            <w:tcW w:w="1567" w:type="dxa"/>
          </w:tcPr>
          <w:p>
            <w:pPr>
              <w:pStyle w:val="TableParagraph"/>
              <w:rPr>
                <w:rFonts w:ascii="Times New Roman"/>
                <w:sz w:val="32"/>
              </w:rPr>
            </w:pPr>
          </w:p>
        </w:tc>
        <w:tc>
          <w:tcPr>
            <w:tcW w:w="4179" w:type="dxa"/>
          </w:tcPr>
          <w:p>
            <w:pPr>
              <w:pStyle w:val="TableParagraph"/>
              <w:spacing w:before="214"/>
              <w:ind w:left="931"/>
              <w:rPr>
                <w:rFonts w:ascii="幼圆" w:eastAsia="幼圆" w:hint="eastAsia"/>
                <w:sz w:val="27"/>
              </w:rPr>
            </w:pPr>
            <w:r>
              <w:rPr>
                <w:rFonts w:ascii="幼圆" w:eastAsia="幼圆" w:hint="eastAsia"/>
                <w:sz w:val="27"/>
              </w:rPr>
              <w:t>产品销售收入</w:t>
            </w:r>
          </w:p>
        </w:tc>
        <w:tc>
          <w:tcPr>
            <w:tcW w:w="2517" w:type="dxa"/>
          </w:tcPr>
          <w:p>
            <w:pPr>
              <w:pStyle w:val="TableParagraph"/>
              <w:spacing w:before="214"/>
              <w:ind w:left="1496" w:right="34"/>
              <w:jc w:val="center"/>
              <w:rPr>
                <w:rFonts w:ascii="幼圆"/>
                <w:sz w:val="27"/>
              </w:rPr>
            </w:pPr>
            <w:r>
              <w:rPr>
                <w:rFonts w:ascii="幼圆"/>
                <w:sz w:val="27"/>
              </w:rPr>
              <w:t>3%</w:t>
            </w:r>
          </w:p>
        </w:tc>
      </w:tr>
      <w:tr>
        <w:tblPrEx>
          <w:tblW w:w="0" w:type="auto"/>
          <w:jc w:val="left"/>
          <w:tblInd w:w="798" w:type="dxa"/>
          <w:tblLayout w:type="fixed"/>
          <w:tblCellMar>
            <w:top w:w="0" w:type="dxa"/>
            <w:left w:w="0" w:type="dxa"/>
            <w:bottom w:w="0" w:type="dxa"/>
            <w:right w:w="0" w:type="dxa"/>
          </w:tblCellMar>
          <w:tblLook w:val="01E0"/>
        </w:tblPrEx>
        <w:trPr>
          <w:trHeight w:val="795"/>
          <w:jc w:val="left"/>
        </w:trPr>
        <w:tc>
          <w:tcPr>
            <w:tcW w:w="1494" w:type="dxa"/>
          </w:tcPr>
          <w:p>
            <w:pPr>
              <w:pStyle w:val="TableParagraph"/>
              <w:spacing w:before="214"/>
              <w:ind w:left="50"/>
              <w:rPr>
                <w:rFonts w:ascii="幼圆" w:eastAsia="幼圆" w:hint="eastAsia"/>
                <w:sz w:val="27"/>
              </w:rPr>
            </w:pPr>
            <w:r>
              <w:rPr>
                <w:rFonts w:ascii="幼圆" w:eastAsia="幼圆" w:hint="eastAsia"/>
                <w:sz w:val="27"/>
              </w:rPr>
              <w:t>营业税</w:t>
            </w:r>
          </w:p>
        </w:tc>
        <w:tc>
          <w:tcPr>
            <w:tcW w:w="1567" w:type="dxa"/>
          </w:tcPr>
          <w:p>
            <w:pPr>
              <w:pStyle w:val="TableParagraph"/>
              <w:rPr>
                <w:rFonts w:ascii="Times New Roman"/>
                <w:sz w:val="32"/>
              </w:rPr>
            </w:pPr>
          </w:p>
        </w:tc>
        <w:tc>
          <w:tcPr>
            <w:tcW w:w="4179" w:type="dxa"/>
          </w:tcPr>
          <w:p>
            <w:pPr>
              <w:pStyle w:val="TableParagraph"/>
              <w:spacing w:before="214"/>
              <w:ind w:left="931"/>
              <w:rPr>
                <w:rFonts w:ascii="幼圆" w:eastAsia="幼圆" w:hint="eastAsia"/>
                <w:sz w:val="27"/>
              </w:rPr>
            </w:pPr>
            <w:r>
              <w:rPr>
                <w:rFonts w:ascii="幼圆" w:eastAsia="幼圆" w:hint="eastAsia"/>
                <w:sz w:val="27"/>
              </w:rPr>
              <w:t>应税收入</w:t>
            </w:r>
          </w:p>
        </w:tc>
        <w:tc>
          <w:tcPr>
            <w:tcW w:w="2517" w:type="dxa"/>
          </w:tcPr>
          <w:p>
            <w:pPr>
              <w:pStyle w:val="TableParagraph"/>
              <w:spacing w:before="214"/>
              <w:ind w:left="1496" w:right="34"/>
              <w:jc w:val="center"/>
              <w:rPr>
                <w:rFonts w:ascii="幼圆"/>
                <w:sz w:val="27"/>
              </w:rPr>
            </w:pPr>
            <w:r>
              <w:rPr>
                <w:rFonts w:ascii="幼圆"/>
                <w:sz w:val="27"/>
              </w:rPr>
              <w:t>5%</w:t>
            </w:r>
          </w:p>
        </w:tc>
      </w:tr>
      <w:tr>
        <w:tblPrEx>
          <w:tblW w:w="0" w:type="auto"/>
          <w:jc w:val="left"/>
          <w:tblInd w:w="798" w:type="dxa"/>
          <w:tblLayout w:type="fixed"/>
          <w:tblCellMar>
            <w:top w:w="0" w:type="dxa"/>
            <w:left w:w="0" w:type="dxa"/>
            <w:bottom w:w="0" w:type="dxa"/>
            <w:right w:w="0" w:type="dxa"/>
          </w:tblCellMar>
          <w:tblLook w:val="01E0"/>
        </w:tblPrEx>
        <w:trPr>
          <w:trHeight w:val="795"/>
          <w:jc w:val="left"/>
        </w:trPr>
        <w:tc>
          <w:tcPr>
            <w:tcW w:w="1494" w:type="dxa"/>
          </w:tcPr>
          <w:p>
            <w:pPr>
              <w:pStyle w:val="TableParagraph"/>
              <w:spacing w:before="214"/>
              <w:ind w:left="50"/>
              <w:rPr>
                <w:rFonts w:ascii="幼圆" w:eastAsia="幼圆" w:hint="eastAsia"/>
                <w:sz w:val="27"/>
              </w:rPr>
            </w:pPr>
            <w:r>
              <w:rPr>
                <w:rFonts w:ascii="幼圆" w:eastAsia="幼圆" w:hint="eastAsia"/>
                <w:sz w:val="27"/>
              </w:rPr>
              <w:t>城建税</w:t>
            </w:r>
          </w:p>
        </w:tc>
        <w:tc>
          <w:tcPr>
            <w:tcW w:w="1567" w:type="dxa"/>
          </w:tcPr>
          <w:p>
            <w:pPr>
              <w:pStyle w:val="TableParagraph"/>
              <w:rPr>
                <w:rFonts w:ascii="Times New Roman"/>
                <w:sz w:val="32"/>
              </w:rPr>
            </w:pPr>
          </w:p>
        </w:tc>
        <w:tc>
          <w:tcPr>
            <w:tcW w:w="4179" w:type="dxa"/>
          </w:tcPr>
          <w:p>
            <w:pPr>
              <w:pStyle w:val="TableParagraph"/>
              <w:spacing w:before="214"/>
              <w:ind w:left="931"/>
              <w:rPr>
                <w:rFonts w:ascii="幼圆" w:eastAsia="幼圆" w:hint="eastAsia"/>
                <w:sz w:val="27"/>
              </w:rPr>
            </w:pPr>
            <w:r>
              <w:rPr>
                <w:rFonts w:ascii="幼圆" w:eastAsia="幼圆" w:hint="eastAsia"/>
                <w:sz w:val="27"/>
              </w:rPr>
              <w:t>应纳流转税额</w:t>
            </w:r>
          </w:p>
        </w:tc>
        <w:tc>
          <w:tcPr>
            <w:tcW w:w="2517" w:type="dxa"/>
          </w:tcPr>
          <w:p>
            <w:pPr>
              <w:pStyle w:val="TableParagraph"/>
              <w:spacing w:before="214"/>
              <w:ind w:left="1496" w:right="34"/>
              <w:jc w:val="center"/>
              <w:rPr>
                <w:rFonts w:ascii="幼圆"/>
                <w:sz w:val="27"/>
              </w:rPr>
            </w:pPr>
            <w:r>
              <w:rPr>
                <w:rFonts w:ascii="幼圆"/>
                <w:sz w:val="27"/>
              </w:rPr>
              <w:t>7%</w:t>
            </w:r>
          </w:p>
        </w:tc>
      </w:tr>
      <w:tr>
        <w:tblPrEx>
          <w:tblW w:w="0" w:type="auto"/>
          <w:jc w:val="left"/>
          <w:tblInd w:w="798" w:type="dxa"/>
          <w:tblLayout w:type="fixed"/>
          <w:tblCellMar>
            <w:top w:w="0" w:type="dxa"/>
            <w:left w:w="0" w:type="dxa"/>
            <w:bottom w:w="0" w:type="dxa"/>
            <w:right w:w="0" w:type="dxa"/>
          </w:tblCellMar>
          <w:tblLook w:val="01E0"/>
        </w:tblPrEx>
        <w:trPr>
          <w:trHeight w:val="795"/>
          <w:jc w:val="left"/>
        </w:trPr>
        <w:tc>
          <w:tcPr>
            <w:tcW w:w="1494" w:type="dxa"/>
          </w:tcPr>
          <w:p>
            <w:pPr>
              <w:pStyle w:val="TableParagraph"/>
              <w:spacing w:before="214"/>
              <w:ind w:left="50"/>
              <w:rPr>
                <w:rFonts w:ascii="幼圆" w:eastAsia="幼圆" w:hint="eastAsia"/>
                <w:sz w:val="27"/>
              </w:rPr>
            </w:pPr>
            <w:r>
              <w:rPr>
                <w:rFonts w:ascii="幼圆" w:eastAsia="幼圆" w:hint="eastAsia"/>
                <w:sz w:val="27"/>
              </w:rPr>
              <w:t>教育费附加</w:t>
            </w:r>
          </w:p>
        </w:tc>
        <w:tc>
          <w:tcPr>
            <w:tcW w:w="1567" w:type="dxa"/>
          </w:tcPr>
          <w:p>
            <w:pPr>
              <w:pStyle w:val="TableParagraph"/>
              <w:rPr>
                <w:rFonts w:ascii="Times New Roman"/>
                <w:sz w:val="32"/>
              </w:rPr>
            </w:pPr>
          </w:p>
        </w:tc>
        <w:tc>
          <w:tcPr>
            <w:tcW w:w="4179" w:type="dxa"/>
          </w:tcPr>
          <w:p>
            <w:pPr>
              <w:pStyle w:val="TableParagraph"/>
              <w:spacing w:before="214"/>
              <w:ind w:left="931"/>
              <w:rPr>
                <w:rFonts w:ascii="幼圆" w:eastAsia="幼圆" w:hint="eastAsia"/>
                <w:sz w:val="27"/>
              </w:rPr>
            </w:pPr>
            <w:r>
              <w:rPr>
                <w:rFonts w:ascii="幼圆" w:eastAsia="幼圆" w:hint="eastAsia"/>
                <w:sz w:val="27"/>
              </w:rPr>
              <w:t>应纳流转税额</w:t>
            </w:r>
          </w:p>
        </w:tc>
        <w:tc>
          <w:tcPr>
            <w:tcW w:w="2517" w:type="dxa"/>
          </w:tcPr>
          <w:p>
            <w:pPr>
              <w:pStyle w:val="TableParagraph"/>
              <w:spacing w:before="214"/>
              <w:ind w:left="1496" w:right="34"/>
              <w:jc w:val="center"/>
              <w:rPr>
                <w:rFonts w:ascii="幼圆"/>
                <w:sz w:val="27"/>
              </w:rPr>
            </w:pPr>
            <w:r>
              <w:rPr>
                <w:rFonts w:ascii="幼圆"/>
                <w:sz w:val="27"/>
              </w:rPr>
              <w:t>3%</w:t>
            </w:r>
          </w:p>
        </w:tc>
      </w:tr>
      <w:tr>
        <w:tblPrEx>
          <w:tblW w:w="0" w:type="auto"/>
          <w:jc w:val="left"/>
          <w:tblInd w:w="798" w:type="dxa"/>
          <w:tblLayout w:type="fixed"/>
          <w:tblCellMar>
            <w:top w:w="0" w:type="dxa"/>
            <w:left w:w="0" w:type="dxa"/>
            <w:bottom w:w="0" w:type="dxa"/>
            <w:right w:w="0" w:type="dxa"/>
          </w:tblCellMar>
          <w:tblLook w:val="01E0"/>
        </w:tblPrEx>
        <w:trPr>
          <w:trHeight w:val="1325"/>
          <w:jc w:val="left"/>
        </w:trPr>
        <w:tc>
          <w:tcPr>
            <w:tcW w:w="1494" w:type="dxa"/>
          </w:tcPr>
          <w:p>
            <w:pPr>
              <w:pStyle w:val="TableParagraph"/>
              <w:spacing w:before="214"/>
              <w:ind w:left="50"/>
              <w:rPr>
                <w:rFonts w:ascii="幼圆" w:eastAsia="幼圆" w:hint="eastAsia"/>
                <w:sz w:val="27"/>
              </w:rPr>
            </w:pPr>
            <w:r>
              <w:rPr>
                <w:rFonts w:ascii="幼圆" w:eastAsia="幼圆" w:hint="eastAsia"/>
                <w:sz w:val="27"/>
              </w:rPr>
              <w:t>消费税</w:t>
            </w:r>
          </w:p>
          <w:p>
            <w:pPr>
              <w:pStyle w:val="TableParagraph"/>
              <w:spacing w:before="11"/>
              <w:rPr>
                <w:rFonts w:ascii="幼圆"/>
                <w:b/>
                <w:sz w:val="34"/>
              </w:rPr>
            </w:pPr>
          </w:p>
          <w:p>
            <w:pPr>
              <w:pStyle w:val="TableParagraph"/>
              <w:spacing w:line="299" w:lineRule="exact"/>
              <w:ind w:left="50"/>
              <w:rPr>
                <w:rFonts w:ascii="幼圆" w:eastAsia="幼圆" w:hint="eastAsia"/>
                <w:sz w:val="27"/>
              </w:rPr>
            </w:pPr>
            <w:r>
              <w:rPr>
                <w:rFonts w:ascii="幼圆" w:eastAsia="幼圆" w:hint="eastAsia"/>
                <w:sz w:val="27"/>
              </w:rPr>
              <w:t>所得税</w:t>
            </w:r>
          </w:p>
        </w:tc>
        <w:tc>
          <w:tcPr>
            <w:tcW w:w="1567" w:type="dxa"/>
          </w:tcPr>
          <w:p>
            <w:pPr>
              <w:pStyle w:val="TableParagraph"/>
              <w:rPr>
                <w:rFonts w:ascii="Times New Roman"/>
                <w:sz w:val="32"/>
              </w:rPr>
            </w:pPr>
          </w:p>
        </w:tc>
        <w:tc>
          <w:tcPr>
            <w:tcW w:w="4179" w:type="dxa"/>
          </w:tcPr>
          <w:p>
            <w:pPr>
              <w:pStyle w:val="TableParagraph"/>
              <w:spacing w:before="214"/>
              <w:ind w:left="931"/>
              <w:rPr>
                <w:rFonts w:ascii="幼圆" w:eastAsia="幼圆" w:hint="eastAsia"/>
                <w:sz w:val="27"/>
              </w:rPr>
            </w:pPr>
            <w:r>
              <w:rPr>
                <w:rFonts w:ascii="幼圆" w:eastAsia="幼圆" w:hint="eastAsia"/>
                <w:sz w:val="27"/>
              </w:rPr>
              <w:t>产品销售收入</w:t>
            </w:r>
          </w:p>
          <w:p>
            <w:pPr>
              <w:pStyle w:val="TableParagraph"/>
              <w:spacing w:before="11"/>
              <w:rPr>
                <w:rFonts w:ascii="幼圆"/>
                <w:b/>
                <w:sz w:val="34"/>
              </w:rPr>
            </w:pPr>
          </w:p>
          <w:p>
            <w:pPr>
              <w:pStyle w:val="TableParagraph"/>
              <w:spacing w:line="299" w:lineRule="exact"/>
              <w:ind w:left="931"/>
              <w:rPr>
                <w:rFonts w:ascii="幼圆" w:eastAsia="幼圆" w:hint="eastAsia"/>
                <w:sz w:val="27"/>
              </w:rPr>
            </w:pPr>
            <w:r>
              <w:rPr>
                <w:rFonts w:ascii="幼圆" w:eastAsia="幼圆" w:hint="eastAsia"/>
                <w:sz w:val="27"/>
              </w:rPr>
              <w:t>应纳税所得额</w:t>
            </w:r>
          </w:p>
        </w:tc>
        <w:tc>
          <w:tcPr>
            <w:tcW w:w="2517" w:type="dxa"/>
          </w:tcPr>
          <w:p>
            <w:pPr>
              <w:pStyle w:val="TableParagraph"/>
              <w:spacing w:before="214"/>
              <w:ind w:left="1854"/>
              <w:rPr>
                <w:rFonts w:ascii="幼圆"/>
                <w:sz w:val="27"/>
              </w:rPr>
            </w:pPr>
            <w:r>
              <w:rPr>
                <w:rFonts w:ascii="幼圆"/>
                <w:color w:val="FF6500"/>
                <w:sz w:val="27"/>
              </w:rPr>
              <w:t>X%</w:t>
            </w:r>
          </w:p>
          <w:p>
            <w:pPr>
              <w:pStyle w:val="TableParagraph"/>
              <w:spacing w:before="11"/>
              <w:rPr>
                <w:rFonts w:ascii="幼圆"/>
                <w:b/>
                <w:sz w:val="34"/>
              </w:rPr>
            </w:pPr>
          </w:p>
          <w:p>
            <w:pPr>
              <w:pStyle w:val="TableParagraph"/>
              <w:spacing w:line="299" w:lineRule="exact"/>
              <w:ind w:left="1786"/>
              <w:rPr>
                <w:rFonts w:ascii="幼圆"/>
                <w:sz w:val="27"/>
              </w:rPr>
            </w:pPr>
            <w:r>
              <w:rPr>
                <w:rFonts w:ascii="幼圆"/>
                <w:sz w:val="27"/>
              </w:rPr>
              <w:t>25%</w:t>
            </w:r>
          </w:p>
        </w:tc>
      </w:tr>
    </w:tbl>
    <w:p>
      <w:pPr>
        <w:pStyle w:val="BodyText"/>
        <w:rPr>
          <w:rFonts w:ascii="幼圆"/>
          <w:b/>
        </w:rPr>
      </w:pPr>
    </w:p>
    <w:p>
      <w:pPr>
        <w:pStyle w:val="BodyText"/>
        <w:rPr>
          <w:rFonts w:ascii="幼圆"/>
          <w:b/>
          <w:sz w:val="46"/>
        </w:rPr>
      </w:pPr>
    </w:p>
    <w:p>
      <w:pPr>
        <w:pStyle w:val="BodyText"/>
        <w:spacing w:before="1"/>
        <w:ind w:left="1024"/>
        <w:rPr>
          <w:rFonts w:ascii="幼圆" w:eastAsia="幼圆" w:hint="eastAsia"/>
        </w:rPr>
      </w:pPr>
      <w:r>
        <w:rPr>
          <w:rFonts w:ascii="幼圆" w:eastAsia="幼圆" w:hint="eastAsia"/>
          <w:b/>
        </w:rPr>
        <w:t>五</w:t>
      </w:r>
      <w:r>
        <w:rPr>
          <w:rFonts w:ascii="幼圆" w:eastAsia="幼圆" w:hint="eastAsia"/>
        </w:rPr>
        <w:t>、财务报表重要项目注释</w:t>
      </w:r>
    </w:p>
    <w:p>
      <w:pPr>
        <w:pStyle w:val="BodyText"/>
        <w:spacing w:before="140"/>
        <w:ind w:left="1020"/>
        <w:rPr>
          <w:rFonts w:ascii="幼圆" w:eastAsia="幼圆" w:hint="eastAsia"/>
        </w:rPr>
      </w:pPr>
      <w:r>
        <w:rPr>
          <w:rFonts w:ascii="幼圆" w:eastAsia="幼圆" w:hint="eastAsia"/>
        </w:rPr>
        <w:t>（一）资产负债表有关项目注释</w:t>
      </w:r>
    </w:p>
    <w:p>
      <w:pPr>
        <w:pStyle w:val="ListParagraph"/>
        <w:numPr>
          <w:ilvl w:val="1"/>
          <w:numId w:val="6"/>
        </w:numPr>
        <w:tabs>
          <w:tab w:val="left" w:pos="1651"/>
        </w:tabs>
        <w:spacing w:before="139" w:after="8" w:line="240" w:lineRule="auto"/>
        <w:ind w:left="1650" w:right="0" w:hanging="541"/>
        <w:jc w:val="left"/>
        <w:rPr>
          <w:rFonts w:ascii="幼圆" w:eastAsia="幼圆" w:hint="eastAsia"/>
          <w:sz w:val="36"/>
        </w:rPr>
      </w:pPr>
      <w:r>
        <w:rPr>
          <w:rFonts w:ascii="幼圆" w:eastAsia="幼圆" w:hint="eastAsia"/>
          <w:sz w:val="36"/>
        </w:rPr>
        <w:t>货币资金</w:t>
      </w:r>
    </w:p>
    <w:p>
      <w:pPr>
        <w:pStyle w:val="BodyText"/>
        <w:ind w:left="260"/>
        <w:rPr>
          <w:rFonts w:ascii="幼圆"/>
          <w:sz w:val="20"/>
        </w:rPr>
      </w:pPr>
      <w:r>
        <w:rPr>
          <w:rFonts w:ascii="幼圆"/>
          <w:sz w:val="20"/>
        </w:rPr>
        <w:pict>
          <v:group id="_x0000_i1025" style="width:625pt;height:45pt;mso-position-horizontal-relative:char;mso-position-vertical-relative:line" coordorigin="0,0" coordsize="12500,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500;height:900;position:absolute" stroked="f">
              <v:imagedata r:id="rId6" o:title=""/>
            </v:shape>
            <v:shapetype id="_x0000_t202" coordsize="21600,21600" o:spt="202" path="m,l,21600r21600,l21600,xe">
              <v:stroke joinstyle="miter"/>
              <v:path gradientshapeok="t" o:connecttype="rect"/>
            </v:shapetype>
            <v:shape id="_x0000_s1027" type="#_x0000_t202" style="width:560;height:270;left:2200;position:absolute;top:398"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项目</w:t>
                    </w:r>
                  </w:p>
                </w:txbxContent>
              </v:textbox>
            </v:shape>
            <v:shape id="_x0000_s1028" type="#_x0000_t202" style="width:830;height:270;left:6391;position:absolute;top:398"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期末数</w:t>
                    </w:r>
                  </w:p>
                </w:txbxContent>
              </v:textbox>
            </v:shape>
            <v:shape id="_x0000_s1029" type="#_x0000_t202" style="width:830;height:270;left:10176;position:absolute;top:398"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期初数</w:t>
                    </w:r>
                  </w:p>
                </w:txbxContent>
              </v:textbox>
            </v:shape>
            <w10:wrap type="none"/>
          </v:group>
        </w:pict>
      </w:r>
    </w:p>
    <w:p>
      <w:pPr>
        <w:spacing w:after="0"/>
        <w:rPr>
          <w:rFonts w:ascii="幼圆"/>
          <w:sz w:val="20"/>
        </w:rPr>
        <w:sectPr>
          <w:pgSz w:w="17860" w:h="25260"/>
          <w:pgMar w:top="1980" w:right="2320" w:bottom="280" w:left="2400" w:header="708" w:footer="708"/>
          <w:pgNumType w:start="10"/>
          <w:cols w:space="708"/>
        </w:sectPr>
      </w:pPr>
    </w:p>
    <w:p>
      <w:pPr>
        <w:pStyle w:val="BodyText"/>
        <w:rPr>
          <w:rFonts w:ascii="幼圆"/>
          <w:sz w:val="20"/>
        </w:rPr>
      </w:pPr>
    </w:p>
    <w:p>
      <w:pPr>
        <w:pStyle w:val="BodyText"/>
        <w:spacing w:before="11"/>
        <w:rPr>
          <w:rFonts w:ascii="幼圆"/>
          <w:sz w:val="10"/>
        </w:rPr>
      </w:pPr>
    </w:p>
    <w:tbl>
      <w:tblPr>
        <w:tblStyle w:val="TableNormal2"/>
        <w:tblW w:w="0" w:type="auto"/>
        <w:jc w:val="left"/>
        <w:tblInd w:w="2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40"/>
        <w:gridCol w:w="3351"/>
        <w:gridCol w:w="4705"/>
        <w:gridCol w:w="2214"/>
      </w:tblGrid>
      <w:tr>
        <w:tblPrEx>
          <w:tblW w:w="0" w:type="auto"/>
          <w:jc w:val="left"/>
          <w:tblInd w:w="2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1940" w:type="dxa"/>
          </w:tcPr>
          <w:p>
            <w:pPr>
              <w:pStyle w:val="TableParagraph"/>
              <w:spacing w:line="308" w:lineRule="exact"/>
              <w:ind w:left="50"/>
              <w:rPr>
                <w:sz w:val="27"/>
              </w:rPr>
            </w:pPr>
            <w:r>
              <w:rPr>
                <w:sz w:val="27"/>
              </w:rPr>
              <w:t>现金</w:t>
            </w:r>
          </w:p>
        </w:tc>
        <w:tc>
          <w:tcPr>
            <w:tcW w:w="3351" w:type="dxa"/>
          </w:tcPr>
          <w:p>
            <w:pPr>
              <w:pStyle w:val="TableParagraph"/>
              <w:rPr>
                <w:rFonts w:ascii="Times New Roman"/>
                <w:sz w:val="28"/>
              </w:rPr>
            </w:pPr>
          </w:p>
        </w:tc>
        <w:tc>
          <w:tcPr>
            <w:tcW w:w="4705" w:type="dxa"/>
          </w:tcPr>
          <w:p>
            <w:pPr>
              <w:pStyle w:val="TableParagraph"/>
              <w:spacing w:line="308" w:lineRule="exact"/>
              <w:ind w:right="1621"/>
              <w:jc w:val="right"/>
              <w:rPr>
                <w:sz w:val="27"/>
              </w:rPr>
            </w:pPr>
            <w:r>
              <w:rPr>
                <w:sz w:val="27"/>
              </w:rPr>
              <w:t>111,</w:t>
            </w:r>
          </w:p>
        </w:tc>
        <w:tc>
          <w:tcPr>
            <w:tcW w:w="2214" w:type="dxa"/>
          </w:tcPr>
          <w:p>
            <w:pPr>
              <w:pStyle w:val="TableParagraph"/>
              <w:spacing w:line="308" w:lineRule="exact"/>
              <w:ind w:right="50"/>
              <w:jc w:val="right"/>
              <w:rPr>
                <w:sz w:val="27"/>
              </w:rPr>
            </w:pPr>
            <w:r>
              <w:rPr>
                <w:sz w:val="27"/>
              </w:rPr>
              <w:t>61,</w:t>
            </w:r>
          </w:p>
        </w:tc>
      </w:tr>
      <w:tr>
        <w:tblPrEx>
          <w:tblW w:w="0" w:type="auto"/>
          <w:jc w:val="left"/>
          <w:tblInd w:w="258" w:type="dxa"/>
          <w:tblLayout w:type="fixed"/>
          <w:tblCellMar>
            <w:top w:w="0" w:type="dxa"/>
            <w:left w:w="0" w:type="dxa"/>
            <w:bottom w:w="0" w:type="dxa"/>
            <w:right w:w="0" w:type="dxa"/>
          </w:tblCellMar>
          <w:tblLook w:val="01E0"/>
        </w:tblPrEx>
        <w:trPr>
          <w:trHeight w:val="793"/>
          <w:jc w:val="left"/>
        </w:trPr>
        <w:tc>
          <w:tcPr>
            <w:tcW w:w="1940" w:type="dxa"/>
          </w:tcPr>
          <w:p>
            <w:pPr>
              <w:pStyle w:val="TableParagraph"/>
              <w:spacing w:before="223"/>
              <w:ind w:left="50"/>
              <w:rPr>
                <w:sz w:val="27"/>
              </w:rPr>
            </w:pPr>
            <w:r>
              <w:rPr>
                <w:sz w:val="27"/>
              </w:rPr>
              <w:t>银行存款</w:t>
            </w:r>
          </w:p>
        </w:tc>
        <w:tc>
          <w:tcPr>
            <w:tcW w:w="3351" w:type="dxa"/>
          </w:tcPr>
          <w:p>
            <w:pPr>
              <w:pStyle w:val="TableParagraph"/>
              <w:rPr>
                <w:rFonts w:ascii="Times New Roman"/>
                <w:sz w:val="28"/>
              </w:rPr>
            </w:pPr>
          </w:p>
        </w:tc>
        <w:tc>
          <w:tcPr>
            <w:tcW w:w="4705" w:type="dxa"/>
          </w:tcPr>
          <w:p>
            <w:pPr>
              <w:pStyle w:val="TableParagraph"/>
              <w:spacing w:before="223"/>
              <w:ind w:right="1624"/>
              <w:jc w:val="right"/>
              <w:rPr>
                <w:sz w:val="27"/>
              </w:rPr>
            </w:pPr>
            <w:r>
              <w:rPr>
                <w:sz w:val="27"/>
              </w:rPr>
              <w:t>61,</w:t>
            </w:r>
          </w:p>
        </w:tc>
        <w:tc>
          <w:tcPr>
            <w:tcW w:w="2214" w:type="dxa"/>
          </w:tcPr>
          <w:p>
            <w:pPr>
              <w:pStyle w:val="TableParagraph"/>
              <w:spacing w:before="223"/>
              <w:ind w:right="47"/>
              <w:jc w:val="right"/>
              <w:rPr>
                <w:sz w:val="27"/>
              </w:rPr>
            </w:pPr>
            <w:r>
              <w:rPr>
                <w:sz w:val="27"/>
              </w:rPr>
              <w:t>111,</w:t>
            </w:r>
          </w:p>
        </w:tc>
      </w:tr>
      <w:tr>
        <w:tblPrEx>
          <w:tblW w:w="0" w:type="auto"/>
          <w:jc w:val="left"/>
          <w:tblInd w:w="258" w:type="dxa"/>
          <w:tblLayout w:type="fixed"/>
          <w:tblCellMar>
            <w:top w:w="0" w:type="dxa"/>
            <w:left w:w="0" w:type="dxa"/>
            <w:bottom w:w="0" w:type="dxa"/>
            <w:right w:w="0" w:type="dxa"/>
          </w:tblCellMar>
          <w:tblLook w:val="01E0"/>
        </w:tblPrEx>
        <w:trPr>
          <w:trHeight w:val="795"/>
          <w:jc w:val="left"/>
        </w:trPr>
        <w:tc>
          <w:tcPr>
            <w:tcW w:w="1940" w:type="dxa"/>
          </w:tcPr>
          <w:p>
            <w:pPr>
              <w:pStyle w:val="TableParagraph"/>
              <w:spacing w:before="225"/>
              <w:ind w:left="50"/>
              <w:rPr>
                <w:sz w:val="27"/>
              </w:rPr>
            </w:pPr>
            <w:r>
              <w:rPr>
                <w:sz w:val="27"/>
              </w:rPr>
              <w:t>其他货币资金</w:t>
            </w:r>
          </w:p>
        </w:tc>
        <w:tc>
          <w:tcPr>
            <w:tcW w:w="3351" w:type="dxa"/>
          </w:tcPr>
          <w:p>
            <w:pPr>
              <w:pStyle w:val="TableParagraph"/>
              <w:rPr>
                <w:rFonts w:ascii="Times New Roman"/>
                <w:sz w:val="28"/>
              </w:rPr>
            </w:pPr>
          </w:p>
        </w:tc>
        <w:tc>
          <w:tcPr>
            <w:tcW w:w="4705" w:type="dxa"/>
          </w:tcPr>
          <w:p>
            <w:pPr>
              <w:pStyle w:val="TableParagraph"/>
              <w:spacing w:before="225"/>
              <w:ind w:right="1621"/>
              <w:jc w:val="right"/>
              <w:rPr>
                <w:sz w:val="27"/>
              </w:rPr>
            </w:pPr>
            <w:r>
              <w:rPr>
                <w:sz w:val="27"/>
              </w:rPr>
              <w:t>111,</w:t>
            </w:r>
          </w:p>
        </w:tc>
        <w:tc>
          <w:tcPr>
            <w:tcW w:w="2214" w:type="dxa"/>
          </w:tcPr>
          <w:p>
            <w:pPr>
              <w:pStyle w:val="TableParagraph"/>
              <w:spacing w:before="225"/>
              <w:ind w:right="50"/>
              <w:jc w:val="right"/>
              <w:rPr>
                <w:sz w:val="27"/>
              </w:rPr>
            </w:pPr>
            <w:r>
              <w:rPr>
                <w:sz w:val="27"/>
              </w:rPr>
              <w:t>61,</w:t>
            </w:r>
          </w:p>
        </w:tc>
      </w:tr>
      <w:tr>
        <w:tblPrEx>
          <w:tblW w:w="0" w:type="auto"/>
          <w:jc w:val="left"/>
          <w:tblInd w:w="258" w:type="dxa"/>
          <w:tblLayout w:type="fixed"/>
          <w:tblCellMar>
            <w:top w:w="0" w:type="dxa"/>
            <w:left w:w="0" w:type="dxa"/>
            <w:bottom w:w="0" w:type="dxa"/>
            <w:right w:w="0" w:type="dxa"/>
          </w:tblCellMar>
          <w:tblLook w:val="01E0"/>
        </w:tblPrEx>
        <w:trPr>
          <w:trHeight w:val="532"/>
          <w:jc w:val="left"/>
        </w:trPr>
        <w:tc>
          <w:tcPr>
            <w:tcW w:w="1940" w:type="dxa"/>
          </w:tcPr>
          <w:p>
            <w:pPr>
              <w:pStyle w:val="TableParagraph"/>
              <w:rPr>
                <w:rFonts w:ascii="Times New Roman"/>
                <w:sz w:val="28"/>
              </w:rPr>
            </w:pPr>
          </w:p>
        </w:tc>
        <w:tc>
          <w:tcPr>
            <w:tcW w:w="3351" w:type="dxa"/>
          </w:tcPr>
          <w:p>
            <w:pPr>
              <w:pStyle w:val="TableParagraph"/>
              <w:spacing w:before="225" w:line="288" w:lineRule="exact"/>
              <w:ind w:left="269"/>
              <w:rPr>
                <w:sz w:val="27"/>
              </w:rPr>
            </w:pPr>
            <w:r>
              <w:rPr>
                <w:sz w:val="27"/>
              </w:rPr>
              <w:t>合计</w:t>
            </w:r>
          </w:p>
        </w:tc>
        <w:tc>
          <w:tcPr>
            <w:tcW w:w="4705" w:type="dxa"/>
          </w:tcPr>
          <w:p>
            <w:pPr>
              <w:pStyle w:val="TableParagraph"/>
              <w:spacing w:before="225" w:line="288" w:lineRule="exact"/>
              <w:ind w:right="1621"/>
              <w:jc w:val="right"/>
              <w:rPr>
                <w:sz w:val="27"/>
              </w:rPr>
            </w:pPr>
            <w:r>
              <w:rPr>
                <w:sz w:val="27"/>
              </w:rPr>
              <w:t>285,</w:t>
            </w:r>
          </w:p>
        </w:tc>
        <w:tc>
          <w:tcPr>
            <w:tcW w:w="2214" w:type="dxa"/>
          </w:tcPr>
          <w:p>
            <w:pPr>
              <w:pStyle w:val="TableParagraph"/>
              <w:spacing w:before="225" w:line="288" w:lineRule="exact"/>
              <w:ind w:right="47"/>
              <w:jc w:val="right"/>
              <w:rPr>
                <w:sz w:val="27"/>
              </w:rPr>
            </w:pPr>
            <w:r>
              <w:rPr>
                <w:sz w:val="27"/>
              </w:rPr>
              <w:t>235,</w:t>
            </w:r>
          </w:p>
        </w:tc>
      </w:tr>
    </w:tbl>
    <w:p>
      <w:pPr>
        <w:pStyle w:val="BodyText"/>
        <w:rPr>
          <w:rFonts w:ascii="幼圆"/>
          <w:sz w:val="20"/>
        </w:rPr>
      </w:pPr>
    </w:p>
    <w:p>
      <w:pPr>
        <w:pStyle w:val="BodyText"/>
        <w:rPr>
          <w:rFonts w:ascii="幼圆"/>
          <w:sz w:val="20"/>
        </w:rPr>
      </w:pPr>
    </w:p>
    <w:p>
      <w:pPr>
        <w:pStyle w:val="BodyText"/>
        <w:spacing w:before="4"/>
        <w:rPr>
          <w:rFonts w:ascii="幼圆"/>
          <w:sz w:val="19"/>
        </w:rPr>
      </w:pPr>
    </w:p>
    <w:p>
      <w:pPr>
        <w:pStyle w:val="ListParagraph"/>
        <w:numPr>
          <w:ilvl w:val="1"/>
          <w:numId w:val="6"/>
        </w:numPr>
        <w:tabs>
          <w:tab w:val="left" w:pos="1651"/>
        </w:tabs>
        <w:spacing w:before="50" w:after="8" w:line="240" w:lineRule="auto"/>
        <w:ind w:left="1650" w:right="0" w:hanging="541"/>
        <w:jc w:val="left"/>
        <w:rPr>
          <w:sz w:val="36"/>
        </w:rPr>
      </w:pPr>
      <w:r>
        <w:drawing>
          <wp:anchor distT="0" distB="0" distL="0" distR="0" simplePos="0" relativeHeight="251660288" behindDoc="1" locked="0" layoutInCell="1" allowOverlap="1">
            <wp:simplePos x="0" y="0"/>
            <wp:positionH relativeFrom="page">
              <wp:posOffset>1689100</wp:posOffset>
            </wp:positionH>
            <wp:positionV relativeFrom="paragraph">
              <wp:posOffset>-2413761</wp:posOffset>
            </wp:positionV>
            <wp:extent cx="7917656" cy="2077593"/>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7" cstate="print"/>
                    <a:stretch>
                      <a:fillRect/>
                    </a:stretch>
                  </pic:blipFill>
                  <pic:spPr>
                    <a:xfrm>
                      <a:off x="0" y="0"/>
                      <a:ext cx="7917656" cy="2077593"/>
                    </a:xfrm>
                    <a:prstGeom prst="rect">
                      <a:avLst/>
                    </a:prstGeom>
                  </pic:spPr>
                </pic:pic>
              </a:graphicData>
            </a:graphic>
          </wp:anchor>
        </w:drawing>
      </w:r>
      <w:r>
        <w:rPr>
          <w:sz w:val="36"/>
        </w:rPr>
        <w:t>短期投资</w:t>
      </w:r>
    </w:p>
    <w:p>
      <w:pPr>
        <w:pStyle w:val="BodyText"/>
        <w:ind w:left="260"/>
        <w:rPr>
          <w:sz w:val="20"/>
        </w:rPr>
      </w:pPr>
      <w:r>
        <w:rPr>
          <w:sz w:val="20"/>
        </w:rPr>
        <w:pict>
          <v:group id="_x0000_i1030" style="width:627pt;height:283pt;mso-position-horizontal-relative:char;mso-position-vertical-relative:line" coordorigin="0,0" coordsize="12540,5660">
            <v:shape id="_x0000_s1031" type="#_x0000_t75" style="width:12540;height:5660;position:absolute" stroked="f">
              <v:imagedata r:id="rId8" o:title=""/>
            </v:shape>
            <v:shape id="_x0000_s1032" type="#_x0000_t202" style="width:560;height:270;left:2197;position:absolute;top:387" filled="f" stroked="f">
              <v:textbox inset="0,0,0,0">
                <w:txbxContent>
                  <w:p>
                    <w:pPr>
                      <w:spacing w:before="0" w:line="270" w:lineRule="exact"/>
                      <w:ind w:left="0" w:right="0" w:firstLine="0"/>
                      <w:jc w:val="left"/>
                      <w:rPr>
                        <w:sz w:val="27"/>
                      </w:rPr>
                    </w:pPr>
                    <w:r>
                      <w:rPr>
                        <w:sz w:val="27"/>
                      </w:rPr>
                      <w:t>项目</w:t>
                    </w:r>
                  </w:p>
                </w:txbxContent>
              </v:textbox>
            </v:shape>
            <v:shape id="_x0000_s1033" type="#_x0000_t202" style="width:830;height:270;left:6384;position:absolute;top:387" filled="f" stroked="f">
              <v:textbox inset="0,0,0,0">
                <w:txbxContent>
                  <w:p>
                    <w:pPr>
                      <w:spacing w:before="0" w:line="270" w:lineRule="exact"/>
                      <w:ind w:left="0" w:right="0" w:firstLine="0"/>
                      <w:jc w:val="left"/>
                      <w:rPr>
                        <w:sz w:val="27"/>
                      </w:rPr>
                    </w:pPr>
                    <w:r>
                      <w:rPr>
                        <w:sz w:val="27"/>
                      </w:rPr>
                      <w:t>期末数</w:t>
                    </w:r>
                  </w:p>
                </w:txbxContent>
              </v:textbox>
            </v:shape>
            <v:shape id="_x0000_s1034" type="#_x0000_t202" style="width:830;height:270;left:10190;position:absolute;top:387" filled="f" stroked="f">
              <v:textbox inset="0,0,0,0">
                <w:txbxContent>
                  <w:p>
                    <w:pPr>
                      <w:spacing w:before="0" w:line="270" w:lineRule="exact"/>
                      <w:ind w:left="0" w:right="0" w:firstLine="0"/>
                      <w:jc w:val="left"/>
                      <w:rPr>
                        <w:sz w:val="27"/>
                      </w:rPr>
                    </w:pPr>
                    <w:r>
                      <w:rPr>
                        <w:sz w:val="27"/>
                      </w:rPr>
                      <w:t>期初数</w:t>
                    </w:r>
                  </w:p>
                </w:txbxContent>
              </v:textbox>
            </v:shape>
            <v:shape id="_x0000_s1035" type="#_x0000_t202" style="width:179;height:317;left:40;position:absolute;top:1117" filled="f" stroked="f">
              <v:textbox inset="0,0,0,0">
                <w:txbxContent>
                  <w:p>
                    <w:pPr>
                      <w:spacing w:before="0" w:line="317" w:lineRule="exact"/>
                      <w:ind w:left="0" w:right="0" w:firstLine="0"/>
                      <w:jc w:val="left"/>
                      <w:rPr>
                        <w:sz w:val="31"/>
                      </w:rPr>
                    </w:pPr>
                    <w:r>
                      <w:rPr>
                        <w:w w:val="102"/>
                        <w:sz w:val="31"/>
                      </w:rPr>
                      <w:t>a</w:t>
                    </w:r>
                  </w:p>
                </w:txbxContent>
              </v:textbox>
            </v:shape>
            <v:shape id="_x0000_s1036" type="#_x0000_t202" style="width:155;height:270;left:8221;position:absolute;top:1183" filled="f" stroked="f">
              <v:textbox inset="0,0,0,0">
                <w:txbxContent>
                  <w:p>
                    <w:pPr>
                      <w:spacing w:before="0" w:line="270" w:lineRule="exact"/>
                      <w:ind w:left="0" w:right="0" w:firstLine="0"/>
                      <w:jc w:val="left"/>
                      <w:rPr>
                        <w:sz w:val="27"/>
                      </w:rPr>
                    </w:pPr>
                    <w:r>
                      <w:rPr>
                        <w:sz w:val="27"/>
                      </w:rPr>
                      <w:t>1</w:t>
                    </w:r>
                  </w:p>
                </w:txbxContent>
              </v:textbox>
            </v:shape>
            <v:shape id="_x0000_s1037" type="#_x0000_t202" style="width:290;height:270;left:11915;position:absolute;top:1183" filled="f" stroked="f">
              <v:textbox inset="0,0,0,0">
                <w:txbxContent>
                  <w:p>
                    <w:pPr>
                      <w:spacing w:before="0" w:line="270" w:lineRule="exact"/>
                      <w:ind w:left="0" w:right="0" w:firstLine="0"/>
                      <w:jc w:val="left"/>
                      <w:rPr>
                        <w:sz w:val="27"/>
                      </w:rPr>
                    </w:pPr>
                    <w:r>
                      <w:rPr>
                        <w:sz w:val="27"/>
                      </w:rPr>
                      <w:t>11</w:t>
                    </w:r>
                  </w:p>
                </w:txbxContent>
              </v:textbox>
            </v:shape>
            <v:shape id="_x0000_s1038" type="#_x0000_t202" style="width:179;height:317;left:40;position:absolute;top:1914" filled="f" stroked="f">
              <v:textbox inset="0,0,0,0">
                <w:txbxContent>
                  <w:p>
                    <w:pPr>
                      <w:spacing w:before="0" w:line="317" w:lineRule="exact"/>
                      <w:ind w:left="0" w:right="0" w:firstLine="0"/>
                      <w:jc w:val="left"/>
                      <w:rPr>
                        <w:sz w:val="31"/>
                      </w:rPr>
                    </w:pPr>
                    <w:r>
                      <w:rPr>
                        <w:w w:val="102"/>
                        <w:sz w:val="31"/>
                      </w:rPr>
                      <w:t>b</w:t>
                    </w:r>
                  </w:p>
                </w:txbxContent>
              </v:textbox>
            </v:shape>
            <v:shape id="_x0000_s1039" type="#_x0000_t202" style="width:155;height:270;left:8221;position:absolute;top:1980" filled="f" stroked="f">
              <v:textbox inset="0,0,0,0">
                <w:txbxContent>
                  <w:p>
                    <w:pPr>
                      <w:spacing w:before="0" w:line="270" w:lineRule="exact"/>
                      <w:ind w:left="0" w:right="0" w:firstLine="0"/>
                      <w:jc w:val="left"/>
                      <w:rPr>
                        <w:sz w:val="27"/>
                      </w:rPr>
                    </w:pPr>
                    <w:r>
                      <w:rPr>
                        <w:sz w:val="27"/>
                      </w:rPr>
                      <w:t>2</w:t>
                    </w:r>
                  </w:p>
                </w:txbxContent>
              </v:textbox>
            </v:shape>
            <v:shape id="_x0000_s1040" type="#_x0000_t202" style="width:290;height:270;left:11915;position:absolute;top:1980" filled="f" stroked="f">
              <v:textbox inset="0,0,0,0">
                <w:txbxContent>
                  <w:p>
                    <w:pPr>
                      <w:spacing w:before="0" w:line="270" w:lineRule="exact"/>
                      <w:ind w:left="0" w:right="0" w:firstLine="0"/>
                      <w:jc w:val="left"/>
                      <w:rPr>
                        <w:sz w:val="27"/>
                      </w:rPr>
                    </w:pPr>
                    <w:r>
                      <w:rPr>
                        <w:sz w:val="27"/>
                      </w:rPr>
                      <w:t>12</w:t>
                    </w:r>
                  </w:p>
                </w:txbxContent>
              </v:textbox>
            </v:shape>
            <v:shape id="_x0000_s1041" type="#_x0000_t202" style="width:179;height:317;left:40;position:absolute;top:2709" filled="f" stroked="f">
              <v:textbox inset="0,0,0,0">
                <w:txbxContent>
                  <w:p>
                    <w:pPr>
                      <w:spacing w:before="0" w:line="317" w:lineRule="exact"/>
                      <w:ind w:left="0" w:right="0" w:firstLine="0"/>
                      <w:jc w:val="left"/>
                      <w:rPr>
                        <w:sz w:val="31"/>
                      </w:rPr>
                    </w:pPr>
                    <w:r>
                      <w:rPr>
                        <w:w w:val="102"/>
                        <w:sz w:val="31"/>
                      </w:rPr>
                      <w:t>c</w:t>
                    </w:r>
                  </w:p>
                </w:txbxContent>
              </v:textbox>
            </v:shape>
            <v:shape id="_x0000_s1042" type="#_x0000_t202" style="width:155;height:270;left:8221;position:absolute;top:2775" filled="f" stroked="f">
              <v:textbox inset="0,0,0,0">
                <w:txbxContent>
                  <w:p>
                    <w:pPr>
                      <w:spacing w:before="0" w:line="270" w:lineRule="exact"/>
                      <w:ind w:left="0" w:right="0" w:firstLine="0"/>
                      <w:jc w:val="left"/>
                      <w:rPr>
                        <w:sz w:val="27"/>
                      </w:rPr>
                    </w:pPr>
                    <w:r>
                      <w:rPr>
                        <w:sz w:val="27"/>
                      </w:rPr>
                      <w:t>3</w:t>
                    </w:r>
                  </w:p>
                </w:txbxContent>
              </v:textbox>
            </v:shape>
            <v:shape id="_x0000_s1043" type="#_x0000_t202" style="width:290;height:270;left:11915;position:absolute;top:2775" filled="f" stroked="f">
              <v:textbox inset="0,0,0,0">
                <w:txbxContent>
                  <w:p>
                    <w:pPr>
                      <w:spacing w:before="0" w:line="270" w:lineRule="exact"/>
                      <w:ind w:left="0" w:right="0" w:firstLine="0"/>
                      <w:jc w:val="left"/>
                      <w:rPr>
                        <w:sz w:val="27"/>
                      </w:rPr>
                    </w:pPr>
                    <w:r>
                      <w:rPr>
                        <w:sz w:val="27"/>
                      </w:rPr>
                      <w:t>13</w:t>
                    </w:r>
                  </w:p>
                </w:txbxContent>
              </v:textbox>
            </v:shape>
            <v:shape id="_x0000_s1044" type="#_x0000_t202" style="width:179;height:317;left:40;position:absolute;top:3505" filled="f" stroked="f">
              <v:textbox inset="0,0,0,0">
                <w:txbxContent>
                  <w:p>
                    <w:pPr>
                      <w:spacing w:before="0" w:line="317" w:lineRule="exact"/>
                      <w:ind w:left="0" w:right="0" w:firstLine="0"/>
                      <w:jc w:val="left"/>
                      <w:rPr>
                        <w:sz w:val="31"/>
                      </w:rPr>
                    </w:pPr>
                    <w:r>
                      <w:rPr>
                        <w:w w:val="102"/>
                        <w:sz w:val="31"/>
                      </w:rPr>
                      <w:t>d</w:t>
                    </w:r>
                  </w:p>
                </w:txbxContent>
              </v:textbox>
            </v:shape>
            <v:shape id="_x0000_s1045" type="#_x0000_t202" style="width:155;height:270;left:8221;position:absolute;top:3571" filled="f" stroked="f">
              <v:textbox inset="0,0,0,0">
                <w:txbxContent>
                  <w:p>
                    <w:pPr>
                      <w:spacing w:before="0" w:line="270" w:lineRule="exact"/>
                      <w:ind w:left="0" w:right="0" w:firstLine="0"/>
                      <w:jc w:val="left"/>
                      <w:rPr>
                        <w:sz w:val="27"/>
                      </w:rPr>
                    </w:pPr>
                    <w:r>
                      <w:rPr>
                        <w:sz w:val="27"/>
                      </w:rPr>
                      <w:t>4</w:t>
                    </w:r>
                  </w:p>
                </w:txbxContent>
              </v:textbox>
            </v:shape>
            <v:shape id="_x0000_s1046" type="#_x0000_t202" style="width:290;height:270;left:11915;position:absolute;top:3571" filled="f" stroked="f">
              <v:textbox inset="0,0,0,0">
                <w:txbxContent>
                  <w:p>
                    <w:pPr>
                      <w:spacing w:before="0" w:line="270" w:lineRule="exact"/>
                      <w:ind w:left="0" w:right="0" w:firstLine="0"/>
                      <w:jc w:val="left"/>
                      <w:rPr>
                        <w:sz w:val="27"/>
                      </w:rPr>
                    </w:pPr>
                    <w:r>
                      <w:rPr>
                        <w:sz w:val="27"/>
                      </w:rPr>
                      <w:t>14</w:t>
                    </w:r>
                  </w:p>
                </w:txbxContent>
              </v:textbox>
            </v:shape>
            <v:shape id="_x0000_s1047" type="#_x0000_t202" style="width:179;height:317;left:40;position:absolute;top:4297" filled="f" stroked="f">
              <v:textbox inset="0,0,0,0">
                <w:txbxContent>
                  <w:p>
                    <w:pPr>
                      <w:spacing w:before="0" w:line="317" w:lineRule="exact"/>
                      <w:ind w:left="0" w:right="0" w:firstLine="0"/>
                      <w:jc w:val="left"/>
                      <w:rPr>
                        <w:sz w:val="31"/>
                      </w:rPr>
                    </w:pPr>
                    <w:r>
                      <w:rPr>
                        <w:w w:val="102"/>
                        <w:sz w:val="31"/>
                      </w:rPr>
                      <w:t>e</w:t>
                    </w:r>
                  </w:p>
                </w:txbxContent>
              </v:textbox>
            </v:shape>
            <v:shape id="_x0000_s1048" type="#_x0000_t202" style="width:155;height:270;left:8221;position:absolute;top:4363" filled="f" stroked="f">
              <v:textbox inset="0,0,0,0">
                <w:txbxContent>
                  <w:p>
                    <w:pPr>
                      <w:spacing w:before="0" w:line="270" w:lineRule="exact"/>
                      <w:ind w:left="0" w:right="0" w:firstLine="0"/>
                      <w:jc w:val="left"/>
                      <w:rPr>
                        <w:sz w:val="27"/>
                      </w:rPr>
                    </w:pPr>
                    <w:r>
                      <w:rPr>
                        <w:sz w:val="27"/>
                      </w:rPr>
                      <w:t>5</w:t>
                    </w:r>
                  </w:p>
                </w:txbxContent>
              </v:textbox>
            </v:shape>
            <v:shape id="_x0000_s1049" type="#_x0000_t202" style="width:290;height:270;left:11915;position:absolute;top:4363" filled="f" stroked="f">
              <v:textbox inset="0,0,0,0">
                <w:txbxContent>
                  <w:p>
                    <w:pPr>
                      <w:spacing w:before="0" w:line="270" w:lineRule="exact"/>
                      <w:ind w:left="0" w:right="0" w:firstLine="0"/>
                      <w:jc w:val="left"/>
                      <w:rPr>
                        <w:sz w:val="27"/>
                      </w:rPr>
                    </w:pPr>
                    <w:r>
                      <w:rPr>
                        <w:sz w:val="27"/>
                      </w:rPr>
                      <w:t>15</w:t>
                    </w:r>
                  </w:p>
                </w:txbxContent>
              </v:textbox>
            </v:shape>
            <v:shape id="_x0000_s1050" type="#_x0000_t202" style="width:560;height:270;left:2197;position:absolute;top:5158" filled="f" stroked="f">
              <v:textbox inset="0,0,0,0">
                <w:txbxContent>
                  <w:p>
                    <w:pPr>
                      <w:spacing w:before="0" w:line="270" w:lineRule="exact"/>
                      <w:ind w:left="0" w:right="0" w:firstLine="0"/>
                      <w:jc w:val="left"/>
                      <w:rPr>
                        <w:sz w:val="27"/>
                      </w:rPr>
                    </w:pPr>
                    <w:r>
                      <w:rPr>
                        <w:sz w:val="27"/>
                      </w:rPr>
                      <w:t>合计</w:t>
                    </w:r>
                  </w:p>
                </w:txbxContent>
              </v:textbox>
            </v:shape>
            <v:shape id="_x0000_s1051" type="#_x0000_t202" style="width:560;height:270;left:7816;position:absolute;top:5158" filled="f" stroked="f">
              <v:textbox inset="0,0,0,0">
                <w:txbxContent>
                  <w:p>
                    <w:pPr>
                      <w:spacing w:before="0" w:line="270" w:lineRule="exact"/>
                      <w:ind w:left="0" w:right="0" w:firstLine="0"/>
                      <w:jc w:val="left"/>
                      <w:rPr>
                        <w:sz w:val="27"/>
                      </w:rPr>
                    </w:pPr>
                    <w:r>
                      <w:rPr>
                        <w:sz w:val="27"/>
                      </w:rPr>
                      <w:t>111,</w:t>
                    </w:r>
                  </w:p>
                </w:txbxContent>
              </v:textbox>
            </v:shape>
            <v:shape id="_x0000_s1052" type="#_x0000_t202" style="width:425;height:270;left:11777;position:absolute;top:5158" filled="f" stroked="f">
              <v:textbox inset="0,0,0,0">
                <w:txbxContent>
                  <w:p>
                    <w:pPr>
                      <w:spacing w:before="0" w:line="270" w:lineRule="exact"/>
                      <w:ind w:left="0" w:right="0" w:firstLine="0"/>
                      <w:jc w:val="left"/>
                      <w:rPr>
                        <w:sz w:val="27"/>
                      </w:rPr>
                    </w:pPr>
                    <w:r>
                      <w:rPr>
                        <w:sz w:val="27"/>
                      </w:rPr>
                      <w:t>61,</w:t>
                    </w:r>
                  </w:p>
                </w:txbxContent>
              </v:textbox>
            </v:shape>
            <w10:wrap type="none"/>
          </v:group>
        </w:pict>
      </w:r>
    </w:p>
    <w:p>
      <w:pPr>
        <w:pStyle w:val="BodyText"/>
        <w:rPr>
          <w:sz w:val="20"/>
        </w:rPr>
      </w:pPr>
    </w:p>
    <w:p>
      <w:pPr>
        <w:pStyle w:val="BodyText"/>
        <w:spacing w:before="8"/>
        <w:rPr>
          <w:sz w:val="23"/>
        </w:rPr>
      </w:pPr>
    </w:p>
    <w:p>
      <w:pPr>
        <w:pStyle w:val="ListParagraph"/>
        <w:numPr>
          <w:ilvl w:val="1"/>
          <w:numId w:val="6"/>
        </w:numPr>
        <w:tabs>
          <w:tab w:val="left" w:pos="1651"/>
        </w:tabs>
        <w:spacing w:before="49" w:after="0" w:line="240" w:lineRule="auto"/>
        <w:ind w:left="1650" w:right="0" w:hanging="541"/>
        <w:jc w:val="left"/>
        <w:rPr>
          <w:sz w:val="36"/>
        </w:rPr>
      </w:pPr>
      <w:r>
        <w:rPr>
          <w:sz w:val="36"/>
        </w:rPr>
        <w:t>应收票据</w:t>
      </w:r>
    </w:p>
    <w:p>
      <w:pPr>
        <w:pStyle w:val="BodyText"/>
        <w:spacing w:before="1"/>
        <w:rPr>
          <w:sz w:val="9"/>
        </w:rPr>
      </w:pPr>
      <w:r>
        <w:pict>
          <v:group id="_x0000_s1053" style="width:625pt;height:164pt;margin-top:7.79pt;margin-left:133pt;mso-position-horizontal-relative:page;mso-wrap-distance-left:0;mso-wrap-distance-right:0;position:absolute;z-index:-251655168" coordorigin="2660,156" coordsize="12500,3280">
            <v:shape id="_x0000_s1054" type="#_x0000_t75" style="width:12500;height:3280;left:2660;position:absolute;top:155" stroked="f">
              <v:imagedata r:id="rId9" o:title=""/>
            </v:shape>
            <v:shape id="_x0000_s1055" type="#_x0000_t202" style="width:1100;height:270;left:4590;position:absolute;top:540" filled="f" stroked="f">
              <v:textbox inset="0,0,0,0">
                <w:txbxContent>
                  <w:p>
                    <w:pPr>
                      <w:spacing w:before="0" w:line="270" w:lineRule="exact"/>
                      <w:ind w:left="0" w:right="0" w:firstLine="0"/>
                      <w:jc w:val="left"/>
                      <w:rPr>
                        <w:sz w:val="27"/>
                      </w:rPr>
                    </w:pPr>
                    <w:r>
                      <w:rPr>
                        <w:sz w:val="27"/>
                      </w:rPr>
                      <w:t>票据种类</w:t>
                    </w:r>
                  </w:p>
                </w:txbxContent>
              </v:textbox>
            </v:shape>
            <v:shape id="_x0000_s1056" type="#_x0000_t202" style="width:830;height:270;left:9051;position:absolute;top:540" filled="f" stroked="f">
              <v:textbox inset="0,0,0,0">
                <w:txbxContent>
                  <w:p>
                    <w:pPr>
                      <w:spacing w:before="0" w:line="270" w:lineRule="exact"/>
                      <w:ind w:left="0" w:right="0" w:firstLine="0"/>
                      <w:jc w:val="left"/>
                      <w:rPr>
                        <w:sz w:val="27"/>
                      </w:rPr>
                    </w:pPr>
                    <w:r>
                      <w:rPr>
                        <w:sz w:val="27"/>
                      </w:rPr>
                      <w:t>期末数</w:t>
                    </w:r>
                  </w:p>
                </w:txbxContent>
              </v:textbox>
            </v:shape>
            <v:shape id="_x0000_s1057" type="#_x0000_t202" style="width:830;height:270;left:12836;position:absolute;top:540" filled="f" stroked="f">
              <v:textbox inset="0,0,0,0">
                <w:txbxContent>
                  <w:p>
                    <w:pPr>
                      <w:spacing w:before="0" w:line="270" w:lineRule="exact"/>
                      <w:ind w:left="0" w:right="0" w:firstLine="0"/>
                      <w:jc w:val="left"/>
                      <w:rPr>
                        <w:sz w:val="27"/>
                      </w:rPr>
                    </w:pPr>
                    <w:r>
                      <w:rPr>
                        <w:sz w:val="27"/>
                      </w:rPr>
                      <w:t>期初数</w:t>
                    </w:r>
                  </w:p>
                </w:txbxContent>
              </v:textbox>
            </v:shape>
            <v:shape id="_x0000_s1058" type="#_x0000_t202" style="width:179;height:317;left:2700;position:absolute;top:1266" filled="f" stroked="f">
              <v:textbox inset="0,0,0,0">
                <w:txbxContent>
                  <w:p>
                    <w:pPr>
                      <w:spacing w:before="0" w:line="317" w:lineRule="exact"/>
                      <w:ind w:left="0" w:right="0" w:firstLine="0"/>
                      <w:jc w:val="left"/>
                      <w:rPr>
                        <w:sz w:val="31"/>
                      </w:rPr>
                    </w:pPr>
                    <w:r>
                      <w:rPr>
                        <w:w w:val="102"/>
                        <w:sz w:val="31"/>
                      </w:rPr>
                      <w:t>a</w:t>
                    </w:r>
                  </w:p>
                </w:txbxContent>
              </v:textbox>
            </v:shape>
            <v:shape id="_x0000_s1059" type="#_x0000_t202" style="width:155;height:270;left:10888;position:absolute;top:1332" filled="f" stroked="f">
              <v:textbox inset="0,0,0,0">
                <w:txbxContent>
                  <w:p>
                    <w:pPr>
                      <w:spacing w:before="0" w:line="270" w:lineRule="exact"/>
                      <w:ind w:left="0" w:right="0" w:firstLine="0"/>
                      <w:jc w:val="left"/>
                      <w:rPr>
                        <w:sz w:val="27"/>
                      </w:rPr>
                    </w:pPr>
                    <w:r>
                      <w:rPr>
                        <w:sz w:val="27"/>
                      </w:rPr>
                      <w:t>1</w:t>
                    </w:r>
                  </w:p>
                </w:txbxContent>
              </v:textbox>
            </v:shape>
            <v:shape id="_x0000_s1060" type="#_x0000_t202" style="width:290;height:270;left:14543;position:absolute;top:1332" filled="f" stroked="f">
              <v:textbox inset="0,0,0,0">
                <w:txbxContent>
                  <w:p>
                    <w:pPr>
                      <w:spacing w:before="0" w:line="270" w:lineRule="exact"/>
                      <w:ind w:left="0" w:right="0" w:firstLine="0"/>
                      <w:jc w:val="left"/>
                      <w:rPr>
                        <w:sz w:val="27"/>
                      </w:rPr>
                    </w:pPr>
                    <w:r>
                      <w:rPr>
                        <w:sz w:val="27"/>
                      </w:rPr>
                      <w:t>11</w:t>
                    </w:r>
                  </w:p>
                </w:txbxContent>
              </v:textbox>
            </v:shape>
            <v:shape id="_x0000_s1061" type="#_x0000_t202" style="width:179;height:317;left:2700;position:absolute;top:2062" filled="f" stroked="f">
              <v:textbox inset="0,0,0,0">
                <w:txbxContent>
                  <w:p>
                    <w:pPr>
                      <w:spacing w:before="0" w:line="317" w:lineRule="exact"/>
                      <w:ind w:left="0" w:right="0" w:firstLine="0"/>
                      <w:jc w:val="left"/>
                      <w:rPr>
                        <w:sz w:val="31"/>
                      </w:rPr>
                    </w:pPr>
                    <w:r>
                      <w:rPr>
                        <w:w w:val="102"/>
                        <w:sz w:val="31"/>
                      </w:rPr>
                      <w:t>b</w:t>
                    </w:r>
                  </w:p>
                </w:txbxContent>
              </v:textbox>
            </v:shape>
            <v:shape id="_x0000_s1062" type="#_x0000_t202" style="width:155;height:270;left:10888;position:absolute;top:2128" filled="f" stroked="f">
              <v:textbox inset="0,0,0,0">
                <w:txbxContent>
                  <w:p>
                    <w:pPr>
                      <w:spacing w:before="0" w:line="270" w:lineRule="exact"/>
                      <w:ind w:left="0" w:right="0" w:firstLine="0"/>
                      <w:jc w:val="left"/>
                      <w:rPr>
                        <w:sz w:val="27"/>
                      </w:rPr>
                    </w:pPr>
                    <w:r>
                      <w:rPr>
                        <w:sz w:val="27"/>
                      </w:rPr>
                      <w:t>2</w:t>
                    </w:r>
                  </w:p>
                </w:txbxContent>
              </v:textbox>
            </v:shape>
            <v:shape id="_x0000_s1063" type="#_x0000_t202" style="width:290;height:270;left:14543;position:absolute;top:2128" filled="f" stroked="f">
              <v:textbox inset="0,0,0,0">
                <w:txbxContent>
                  <w:p>
                    <w:pPr>
                      <w:spacing w:before="0" w:line="270" w:lineRule="exact"/>
                      <w:ind w:left="0" w:right="0" w:firstLine="0"/>
                      <w:jc w:val="left"/>
                      <w:rPr>
                        <w:sz w:val="27"/>
                      </w:rPr>
                    </w:pPr>
                    <w:r>
                      <w:rPr>
                        <w:sz w:val="27"/>
                      </w:rPr>
                      <w:t>12</w:t>
                    </w:r>
                  </w:p>
                </w:txbxContent>
              </v:textbox>
            </v:shape>
            <v:shape id="_x0000_s1064" type="#_x0000_t202" style="width:560;height:270;left:4860;position:absolute;top:2923" filled="f" stroked="f">
              <v:textbox inset="0,0,0,0">
                <w:txbxContent>
                  <w:p>
                    <w:pPr>
                      <w:spacing w:before="0" w:line="270" w:lineRule="exact"/>
                      <w:ind w:left="0" w:right="0" w:firstLine="0"/>
                      <w:jc w:val="left"/>
                      <w:rPr>
                        <w:sz w:val="27"/>
                      </w:rPr>
                    </w:pPr>
                    <w:r>
                      <w:rPr>
                        <w:sz w:val="27"/>
                      </w:rPr>
                      <w:t>合计</w:t>
                    </w:r>
                  </w:p>
                </w:txbxContent>
              </v:textbox>
            </v:shape>
            <v:shape id="_x0000_s1065" type="#_x0000_t202" style="width:155;height:270;left:10888;position:absolute;top:2923" filled="f" stroked="f">
              <v:textbox inset="0,0,0,0">
                <w:txbxContent>
                  <w:p>
                    <w:pPr>
                      <w:spacing w:before="0" w:line="270" w:lineRule="exact"/>
                      <w:ind w:left="0" w:right="0" w:firstLine="0"/>
                      <w:jc w:val="left"/>
                      <w:rPr>
                        <w:sz w:val="27"/>
                      </w:rPr>
                    </w:pPr>
                    <w:r>
                      <w:rPr>
                        <w:sz w:val="27"/>
                      </w:rPr>
                      <w:t>3</w:t>
                    </w:r>
                  </w:p>
                </w:txbxContent>
              </v:textbox>
            </v:shape>
            <v:shape id="_x0000_s1066" type="#_x0000_t202" style="width:290;height:270;left:14543;position:absolute;top:2923" filled="f" stroked="f">
              <v:textbox inset="0,0,0,0">
                <w:txbxContent>
                  <w:p>
                    <w:pPr>
                      <w:spacing w:before="0" w:line="270" w:lineRule="exact"/>
                      <w:ind w:left="0" w:right="0" w:firstLine="0"/>
                      <w:jc w:val="left"/>
                      <w:rPr>
                        <w:sz w:val="27"/>
                      </w:rPr>
                    </w:pPr>
                    <w:r>
                      <w:rPr>
                        <w:sz w:val="27"/>
                      </w:rPr>
                      <w:t>13</w:t>
                    </w:r>
                  </w:p>
                </w:txbxContent>
              </v:textbox>
            </v:shape>
            <w10:wrap type="topAndBottom"/>
          </v:group>
        </w:pict>
      </w:r>
    </w:p>
    <w:p>
      <w:pPr>
        <w:pStyle w:val="BodyText"/>
        <w:rPr>
          <w:sz w:val="20"/>
        </w:rPr>
      </w:pPr>
    </w:p>
    <w:p>
      <w:pPr>
        <w:pStyle w:val="BodyText"/>
        <w:spacing w:before="3"/>
        <w:rPr>
          <w:sz w:val="21"/>
        </w:rPr>
      </w:pPr>
    </w:p>
    <w:p>
      <w:pPr>
        <w:pStyle w:val="ListParagraph"/>
        <w:numPr>
          <w:ilvl w:val="1"/>
          <w:numId w:val="6"/>
        </w:numPr>
        <w:tabs>
          <w:tab w:val="left" w:pos="1651"/>
        </w:tabs>
        <w:spacing w:before="50" w:after="0" w:line="240" w:lineRule="auto"/>
        <w:ind w:left="1650" w:right="0" w:hanging="541"/>
        <w:jc w:val="left"/>
        <w:rPr>
          <w:sz w:val="36"/>
        </w:rPr>
      </w:pPr>
      <w:r>
        <w:rPr>
          <w:sz w:val="36"/>
        </w:rPr>
        <w:t>应收账款</w:t>
      </w:r>
    </w:p>
    <w:p>
      <w:pPr>
        <w:pStyle w:val="ListParagraph"/>
        <w:numPr>
          <w:ilvl w:val="2"/>
          <w:numId w:val="6"/>
        </w:numPr>
        <w:tabs>
          <w:tab w:val="left" w:pos="1921"/>
        </w:tabs>
        <w:spacing w:before="320" w:after="0" w:line="240" w:lineRule="auto"/>
        <w:ind w:left="1920" w:right="0" w:hanging="721"/>
        <w:jc w:val="left"/>
        <w:rPr>
          <w:sz w:val="36"/>
        </w:rPr>
      </w:pPr>
      <w:r>
        <w:rPr>
          <w:sz w:val="36"/>
        </w:rPr>
        <w:t>账龄分析</w:t>
      </w:r>
    </w:p>
    <w:p>
      <w:pPr>
        <w:pStyle w:val="BodyText"/>
        <w:spacing w:before="8"/>
        <w:rPr>
          <w:sz w:val="8"/>
        </w:rPr>
      </w:pPr>
      <w:r>
        <w:pict>
          <v:group id="_x0000_s1067" style="width:625pt;height:204pt;margin-top:7.51pt;margin-left:133pt;mso-position-horizontal-relative:page;mso-wrap-distance-left:0;mso-wrap-distance-right:0;position:absolute;z-index:-251654144" coordorigin="2660,150" coordsize="12500,4080">
            <v:shape id="_x0000_s1068" type="#_x0000_t75" style="width:12500;height:4080;left:2660;position:absolute;top:150" stroked="f">
              <v:imagedata r:id="rId10" o:title=""/>
            </v:shape>
            <v:shape id="_x0000_s1069" type="#_x0000_t202" style="width:830;height:270;left:8238;position:absolute;top:537" filled="f" stroked="f">
              <v:textbox inset="0,0,0,0">
                <w:txbxContent>
                  <w:p>
                    <w:pPr>
                      <w:spacing w:before="0" w:line="270" w:lineRule="exact"/>
                      <w:ind w:left="0" w:right="0" w:firstLine="0"/>
                      <w:jc w:val="left"/>
                      <w:rPr>
                        <w:sz w:val="27"/>
                      </w:rPr>
                    </w:pPr>
                    <w:r>
                      <w:rPr>
                        <w:sz w:val="27"/>
                      </w:rPr>
                      <w:t>期末数</w:t>
                    </w:r>
                  </w:p>
                </w:txbxContent>
              </v:textbox>
            </v:shape>
            <v:shape id="_x0000_s1070" type="#_x0000_t202" style="width:830;height:270;left:12558;position:absolute;top:537" filled="f" stroked="f">
              <v:textbox inset="0,0,0,0">
                <w:txbxContent>
                  <w:p>
                    <w:pPr>
                      <w:spacing w:before="0" w:line="270" w:lineRule="exact"/>
                      <w:ind w:left="0" w:right="0" w:firstLine="0"/>
                      <w:jc w:val="left"/>
                      <w:rPr>
                        <w:sz w:val="27"/>
                      </w:rPr>
                    </w:pPr>
                    <w:r>
                      <w:rPr>
                        <w:sz w:val="27"/>
                      </w:rPr>
                      <w:t>期初数</w:t>
                    </w:r>
                  </w:p>
                </w:txbxContent>
              </v:textbox>
            </v:shape>
            <v:shape id="_x0000_s1071" type="#_x0000_t202" style="width:560;height:270;left:4320;position:absolute;top:936" filled="f" stroked="f">
              <v:textbox inset="0,0,0,0">
                <w:txbxContent>
                  <w:p>
                    <w:pPr>
                      <w:spacing w:before="0" w:line="270" w:lineRule="exact"/>
                      <w:ind w:left="0" w:right="0" w:firstLine="0"/>
                      <w:jc w:val="left"/>
                      <w:rPr>
                        <w:sz w:val="27"/>
                      </w:rPr>
                    </w:pPr>
                    <w:r>
                      <w:rPr>
                        <w:sz w:val="27"/>
                      </w:rPr>
                      <w:t>账龄</w:t>
                    </w:r>
                  </w:p>
                </w:txbxContent>
              </v:textbox>
            </v:shape>
            <v:shape id="_x0000_s1072" type="#_x0000_t202" style="width:560;height:270;left:7561;position:absolute;top:1332" filled="f" stroked="f">
              <v:textbox inset="0,0,0,0">
                <w:txbxContent>
                  <w:p>
                    <w:pPr>
                      <w:spacing w:before="0" w:line="270" w:lineRule="exact"/>
                      <w:ind w:left="0" w:right="0" w:firstLine="0"/>
                      <w:jc w:val="left"/>
                      <w:rPr>
                        <w:sz w:val="27"/>
                      </w:rPr>
                    </w:pPr>
                    <w:r>
                      <w:rPr>
                        <w:sz w:val="27"/>
                      </w:rPr>
                      <w:t>金额</w:t>
                    </w:r>
                  </w:p>
                </w:txbxContent>
              </v:textbox>
            </v:shape>
            <v:shape id="_x0000_s1073" type="#_x0000_t202" style="width:560;height:270;left:9722;position:absolute;top:1332" filled="f" stroked="f">
              <v:textbox inset="0,0,0,0">
                <w:txbxContent>
                  <w:p>
                    <w:pPr>
                      <w:spacing w:before="0" w:line="270" w:lineRule="exact"/>
                      <w:ind w:left="0" w:right="0" w:firstLine="0"/>
                      <w:jc w:val="left"/>
                      <w:rPr>
                        <w:sz w:val="27"/>
                      </w:rPr>
                    </w:pPr>
                    <w:r>
                      <w:rPr>
                        <w:sz w:val="27"/>
                      </w:rPr>
                      <w:t>比例</w:t>
                    </w:r>
                  </w:p>
                </w:txbxContent>
              </v:textbox>
            </v:shape>
            <v:shape id="_x0000_s1074" type="#_x0000_t202" style="width:560;height:270;left:11882;position:absolute;top:1332" filled="f" stroked="f">
              <v:textbox inset="0,0,0,0">
                <w:txbxContent>
                  <w:p>
                    <w:pPr>
                      <w:spacing w:before="0" w:line="270" w:lineRule="exact"/>
                      <w:ind w:left="0" w:right="0" w:firstLine="0"/>
                      <w:jc w:val="left"/>
                      <w:rPr>
                        <w:sz w:val="27"/>
                      </w:rPr>
                    </w:pPr>
                    <w:r>
                      <w:rPr>
                        <w:sz w:val="27"/>
                      </w:rPr>
                      <w:t>金额</w:t>
                    </w:r>
                  </w:p>
                </w:txbxContent>
              </v:textbox>
            </v:shape>
            <v:shape id="_x0000_s1075" type="#_x0000_t202" style="width:560;height:270;left:14043;position:absolute;top:1332" filled="f" stroked="f">
              <v:textbox inset="0,0,0,0">
                <w:txbxContent>
                  <w:p>
                    <w:pPr>
                      <w:spacing w:before="0" w:line="270" w:lineRule="exact"/>
                      <w:ind w:left="0" w:right="0" w:firstLine="0"/>
                      <w:jc w:val="left"/>
                      <w:rPr>
                        <w:sz w:val="27"/>
                      </w:rPr>
                    </w:pPr>
                    <w:r>
                      <w:rPr>
                        <w:sz w:val="27"/>
                      </w:rPr>
                      <w:t>比例</w:t>
                    </w:r>
                  </w:p>
                </w:txbxContent>
              </v:textbox>
            </v:shape>
            <v:shape id="_x0000_s1076" type="#_x0000_t202" style="width:1032;height:270;left:2787;position:absolute;top:2128" filled="f" stroked="f">
              <v:textbox inset="0,0,0,0">
                <w:txbxContent>
                  <w:p>
                    <w:pPr>
                      <w:spacing w:before="0" w:line="270" w:lineRule="exact"/>
                      <w:ind w:left="0" w:right="0" w:firstLine="0"/>
                      <w:jc w:val="left"/>
                      <w:rPr>
                        <w:sz w:val="27"/>
                      </w:rPr>
                    </w:pPr>
                    <w:r>
                      <w:rPr>
                        <w:sz w:val="27"/>
                      </w:rPr>
                      <w:t>1</w:t>
                    </w:r>
                    <w:r>
                      <w:rPr>
                        <w:spacing w:val="-18"/>
                        <w:sz w:val="27"/>
                      </w:rPr>
                      <w:t xml:space="preserve"> 年以内</w:t>
                    </w:r>
                  </w:p>
                </w:txbxContent>
              </v:textbox>
            </v:shape>
            <v:shape id="_x0000_s1077" type="#_x0000_t202" style="width:155;height:270;left:8645;position:absolute;top:2128" filled="f" stroked="f">
              <v:textbox inset="0,0,0,0">
                <w:txbxContent>
                  <w:p>
                    <w:pPr>
                      <w:spacing w:before="0" w:line="270" w:lineRule="exact"/>
                      <w:ind w:left="0" w:right="0" w:firstLine="0"/>
                      <w:jc w:val="left"/>
                      <w:rPr>
                        <w:sz w:val="27"/>
                      </w:rPr>
                    </w:pPr>
                    <w:r>
                      <w:rPr>
                        <w:sz w:val="27"/>
                      </w:rPr>
                      <w:t>1</w:t>
                    </w:r>
                  </w:p>
                </w:txbxContent>
              </v:textbox>
            </v:shape>
            <v:shape id="_x0000_s1078" type="#_x0000_t202" style="width:155;height:270;left:10265;position:absolute;top:2128" filled="f" stroked="f">
              <v:textbox inset="0,0,0,0">
                <w:txbxContent>
                  <w:p>
                    <w:pPr>
                      <w:spacing w:before="0" w:line="270" w:lineRule="exact"/>
                      <w:ind w:left="0" w:right="0" w:firstLine="0"/>
                      <w:jc w:val="left"/>
                      <w:rPr>
                        <w:sz w:val="27"/>
                      </w:rPr>
                    </w:pPr>
                    <w:r>
                      <w:rPr>
                        <w:sz w:val="27"/>
                      </w:rPr>
                      <w:t>%</w:t>
                    </w:r>
                  </w:p>
                </w:txbxContent>
              </v:textbox>
            </v:shape>
            <v:shape id="_x0000_s1079" type="#_x0000_t202" style="width:290;height:270;left:12832;position:absolute;top:2128" filled="f" stroked="f">
              <v:textbox inset="0,0,0,0">
                <w:txbxContent>
                  <w:p>
                    <w:pPr>
                      <w:spacing w:before="0" w:line="270" w:lineRule="exact"/>
                      <w:ind w:left="0" w:right="0" w:firstLine="0"/>
                      <w:jc w:val="left"/>
                      <w:rPr>
                        <w:sz w:val="27"/>
                      </w:rPr>
                    </w:pPr>
                    <w:r>
                      <w:rPr>
                        <w:sz w:val="27"/>
                      </w:rPr>
                      <w:t>11</w:t>
                    </w:r>
                  </w:p>
                </w:txbxContent>
              </v:textbox>
            </v:shape>
            <v:shape id="_x0000_s1080" type="#_x0000_t202" style="width:155;height:270;left:14586;position:absolute;top:2128" filled="f" stroked="f">
              <v:textbox inset="0,0,0,0">
                <w:txbxContent>
                  <w:p>
                    <w:pPr>
                      <w:spacing w:before="0" w:line="270" w:lineRule="exact"/>
                      <w:ind w:left="0" w:right="0" w:firstLine="0"/>
                      <w:jc w:val="left"/>
                      <w:rPr>
                        <w:sz w:val="27"/>
                      </w:rPr>
                    </w:pPr>
                    <w:r>
                      <w:rPr>
                        <w:sz w:val="27"/>
                      </w:rPr>
                      <w:t>%</w:t>
                    </w:r>
                  </w:p>
                </w:txbxContent>
              </v:textbox>
            </v:shape>
            <v:shape id="_x0000_s1081" type="#_x0000_t202" style="width:762;height:270;left:2787;position:absolute;top:2923" filled="f" stroked="f">
              <v:textbox inset="0,0,0,0">
                <w:txbxContent>
                  <w:p>
                    <w:pPr>
                      <w:spacing w:before="0" w:line="270" w:lineRule="exact"/>
                      <w:ind w:left="0" w:right="0" w:firstLine="0"/>
                      <w:jc w:val="left"/>
                      <w:rPr>
                        <w:sz w:val="27"/>
                      </w:rPr>
                    </w:pPr>
                    <w:r>
                      <w:rPr>
                        <w:sz w:val="27"/>
                      </w:rPr>
                      <w:t>1-2</w:t>
                    </w:r>
                    <w:r>
                      <w:rPr>
                        <w:spacing w:val="-35"/>
                        <w:sz w:val="27"/>
                      </w:rPr>
                      <w:t xml:space="preserve"> 年</w:t>
                    </w:r>
                  </w:p>
                </w:txbxContent>
              </v:textbox>
            </v:shape>
            <v:shape id="_x0000_s1082" type="#_x0000_t202" style="width:155;height:270;left:8645;position:absolute;top:2923" filled="f" stroked="f">
              <v:textbox inset="0,0,0,0">
                <w:txbxContent>
                  <w:p>
                    <w:pPr>
                      <w:spacing w:before="0" w:line="270" w:lineRule="exact"/>
                      <w:ind w:left="0" w:right="0" w:firstLine="0"/>
                      <w:jc w:val="left"/>
                      <w:rPr>
                        <w:sz w:val="27"/>
                      </w:rPr>
                    </w:pPr>
                    <w:r>
                      <w:rPr>
                        <w:sz w:val="27"/>
                      </w:rPr>
                      <w:t>2</w:t>
                    </w:r>
                  </w:p>
                </w:txbxContent>
              </v:textbox>
            </v:shape>
            <v:shape id="_x0000_s1083" type="#_x0000_t202" style="width:155;height:270;left:10265;position:absolute;top:2923" filled="f" stroked="f">
              <v:textbox inset="0,0,0,0">
                <w:txbxContent>
                  <w:p>
                    <w:pPr>
                      <w:spacing w:before="0" w:line="270" w:lineRule="exact"/>
                      <w:ind w:left="0" w:right="0" w:firstLine="0"/>
                      <w:jc w:val="left"/>
                      <w:rPr>
                        <w:sz w:val="27"/>
                      </w:rPr>
                    </w:pPr>
                    <w:r>
                      <w:rPr>
                        <w:sz w:val="27"/>
                      </w:rPr>
                      <w:t>%</w:t>
                    </w:r>
                  </w:p>
                </w:txbxContent>
              </v:textbox>
            </v:shape>
            <v:shape id="_x0000_s1084" type="#_x0000_t202" style="width:290;height:270;left:12832;position:absolute;top:2923" filled="f" stroked="f">
              <v:textbox inset="0,0,0,0">
                <w:txbxContent>
                  <w:p>
                    <w:pPr>
                      <w:spacing w:before="0" w:line="270" w:lineRule="exact"/>
                      <w:ind w:left="0" w:right="0" w:firstLine="0"/>
                      <w:jc w:val="left"/>
                      <w:rPr>
                        <w:sz w:val="27"/>
                      </w:rPr>
                    </w:pPr>
                    <w:r>
                      <w:rPr>
                        <w:sz w:val="27"/>
                      </w:rPr>
                      <w:t>12</w:t>
                    </w:r>
                  </w:p>
                </w:txbxContent>
              </v:textbox>
            </v:shape>
            <v:shape id="_x0000_s1085" type="#_x0000_t202" style="width:155;height:270;left:14586;position:absolute;top:2923" filled="f" stroked="f">
              <v:textbox inset="0,0,0,0">
                <w:txbxContent>
                  <w:p>
                    <w:pPr>
                      <w:spacing w:before="0" w:line="270" w:lineRule="exact"/>
                      <w:ind w:left="0" w:right="0" w:firstLine="0"/>
                      <w:jc w:val="left"/>
                      <w:rPr>
                        <w:sz w:val="27"/>
                      </w:rPr>
                    </w:pPr>
                    <w:r>
                      <w:rPr>
                        <w:sz w:val="27"/>
                      </w:rPr>
                      <w:t>%</w:t>
                    </w:r>
                  </w:p>
                </w:txbxContent>
              </v:textbox>
            </v:shape>
            <v:shape id="_x0000_s1086" type="#_x0000_t202" style="width:762;height:270;left:2787;position:absolute;top:3715" filled="f" stroked="f">
              <v:textbox inset="0,0,0,0">
                <w:txbxContent>
                  <w:p>
                    <w:pPr>
                      <w:spacing w:before="0" w:line="270" w:lineRule="exact"/>
                      <w:ind w:left="0" w:right="0" w:firstLine="0"/>
                      <w:jc w:val="left"/>
                      <w:rPr>
                        <w:sz w:val="27"/>
                      </w:rPr>
                    </w:pPr>
                    <w:r>
                      <w:rPr>
                        <w:sz w:val="27"/>
                      </w:rPr>
                      <w:t>2-3</w:t>
                    </w:r>
                    <w:r>
                      <w:rPr>
                        <w:spacing w:val="-35"/>
                        <w:sz w:val="27"/>
                      </w:rPr>
                      <w:t xml:space="preserve"> 年</w:t>
                    </w:r>
                  </w:p>
                </w:txbxContent>
              </v:textbox>
            </v:shape>
            <v:shape id="_x0000_s1087" type="#_x0000_t202" style="width:155;height:270;left:8645;position:absolute;top:3715" filled="f" stroked="f">
              <v:textbox inset="0,0,0,0">
                <w:txbxContent>
                  <w:p>
                    <w:pPr>
                      <w:spacing w:before="0" w:line="270" w:lineRule="exact"/>
                      <w:ind w:left="0" w:right="0" w:firstLine="0"/>
                      <w:jc w:val="left"/>
                      <w:rPr>
                        <w:sz w:val="27"/>
                      </w:rPr>
                    </w:pPr>
                    <w:r>
                      <w:rPr>
                        <w:sz w:val="27"/>
                      </w:rPr>
                      <w:t>3</w:t>
                    </w:r>
                  </w:p>
                </w:txbxContent>
              </v:textbox>
            </v:shape>
            <v:shape id="_x0000_s1088" type="#_x0000_t202" style="width:155;height:270;left:10265;position:absolute;top:3715" filled="f" stroked="f">
              <v:textbox inset="0,0,0,0">
                <w:txbxContent>
                  <w:p>
                    <w:pPr>
                      <w:spacing w:before="0" w:line="270" w:lineRule="exact"/>
                      <w:ind w:left="0" w:right="0" w:firstLine="0"/>
                      <w:jc w:val="left"/>
                      <w:rPr>
                        <w:sz w:val="27"/>
                      </w:rPr>
                    </w:pPr>
                    <w:r>
                      <w:rPr>
                        <w:sz w:val="27"/>
                      </w:rPr>
                      <w:t>%</w:t>
                    </w:r>
                  </w:p>
                </w:txbxContent>
              </v:textbox>
            </v:shape>
            <v:shape id="_x0000_s1089" type="#_x0000_t202" style="width:290;height:270;left:12832;position:absolute;top:3715" filled="f" stroked="f">
              <v:textbox inset="0,0,0,0">
                <w:txbxContent>
                  <w:p>
                    <w:pPr>
                      <w:spacing w:before="0" w:line="270" w:lineRule="exact"/>
                      <w:ind w:left="0" w:right="0" w:firstLine="0"/>
                      <w:jc w:val="left"/>
                      <w:rPr>
                        <w:sz w:val="27"/>
                      </w:rPr>
                    </w:pPr>
                    <w:r>
                      <w:rPr>
                        <w:sz w:val="27"/>
                      </w:rPr>
                      <w:t>13</w:t>
                    </w:r>
                  </w:p>
                </w:txbxContent>
              </v:textbox>
            </v:shape>
            <v:shape id="_x0000_s1090" type="#_x0000_t202" style="width:155;height:270;left:14586;position:absolute;top:3715" filled="f" stroked="f">
              <v:textbox inset="0,0,0,0">
                <w:txbxContent>
                  <w:p>
                    <w:pPr>
                      <w:spacing w:before="0" w:line="270" w:lineRule="exact"/>
                      <w:ind w:left="0" w:right="0" w:firstLine="0"/>
                      <w:jc w:val="left"/>
                      <w:rPr>
                        <w:sz w:val="27"/>
                      </w:rPr>
                    </w:pPr>
                    <w:r>
                      <w:rPr>
                        <w:sz w:val="27"/>
                      </w:rPr>
                      <w:t>%</w:t>
                    </w:r>
                  </w:p>
                </w:txbxContent>
              </v:textbox>
            </v:shape>
            <w10:wrap type="topAndBottom"/>
          </v:group>
        </w:pict>
      </w:r>
    </w:p>
    <w:p>
      <w:pPr>
        <w:spacing w:after="0"/>
        <w:rPr>
          <w:sz w:val="8"/>
        </w:rPr>
      </w:pPr>
      <w:r>
        <w:rPr>
          <w:sz w:val="8"/>
        </w:rPr>
        <w:br/>
      </w:r>
      <w:r>
        <w:rPr>
          <w:sz w:val="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 w:history="1">
        <w:r>
          <w:rPr>
            <w:rFonts w:ascii="SimSun" w:eastAsia="SimSun" w:hAnsi="SimSun" w:cs="SimSun"/>
            <w:b/>
            <w:bCs/>
            <w:color w:val="0000EE"/>
            <w:sz w:val="30"/>
            <w:szCs w:val="30"/>
            <w:u w:val="single" w:color="0000EE"/>
          </w:rPr>
          <w:t>https://d.book118.com/357166045033006044</w:t>
        </w:r>
      </w:hyperlink>
    </w:p>
    <w:p>
      <w:pPr>
        <w:spacing w:after="0"/>
        <w:rPr>
          <w:sz w:val="8"/>
        </w:rPr>
      </w:pPr>
    </w:p>
    <w:sectPr>
      <w:pgSz w:w="17860" w:h="25260"/>
      <w:pgMar w:top="1820" w:right="2320" w:bottom="280" w:left="2400" w:header="708" w:footer="708"/>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83A65"/>
    <w:multiLevelType w:val="hybridMultilevel"/>
    <w:tmpl w:val="00000000"/>
    <w:lvl w:ilvl="0">
      <w:start w:val="1"/>
      <w:numFmt w:val="decimal"/>
      <w:lvlText w:val="%1."/>
      <w:lvlJc w:val="left"/>
      <w:pPr>
        <w:ind w:left="1560" w:hanging="540"/>
        <w:jc w:val="left"/>
      </w:pPr>
      <w:rPr>
        <w:rFonts w:ascii="新宋体" w:eastAsia="新宋体" w:hAnsi="新宋体" w:cs="新宋体" w:hint="default"/>
        <w:w w:val="100"/>
        <w:sz w:val="36"/>
        <w:szCs w:val="36"/>
      </w:rPr>
    </w:lvl>
    <w:lvl w:ilvl="1">
      <w:start w:val="0"/>
      <w:numFmt w:val="bullet"/>
      <w:lvlText w:val="•"/>
      <w:lvlJc w:val="left"/>
      <w:pPr>
        <w:ind w:left="2717" w:hanging="540"/>
      </w:pPr>
      <w:rPr>
        <w:rFonts w:hint="default"/>
      </w:rPr>
    </w:lvl>
    <w:lvl w:ilvl="2">
      <w:start w:val="0"/>
      <w:numFmt w:val="bullet"/>
      <w:lvlText w:val="•"/>
      <w:lvlJc w:val="left"/>
      <w:pPr>
        <w:ind w:left="3875" w:hanging="540"/>
      </w:pPr>
      <w:rPr>
        <w:rFonts w:hint="default"/>
      </w:rPr>
    </w:lvl>
    <w:lvl w:ilvl="3">
      <w:start w:val="0"/>
      <w:numFmt w:val="bullet"/>
      <w:lvlText w:val="•"/>
      <w:lvlJc w:val="left"/>
      <w:pPr>
        <w:ind w:left="5033" w:hanging="540"/>
      </w:pPr>
      <w:rPr>
        <w:rFonts w:hint="default"/>
      </w:rPr>
    </w:lvl>
    <w:lvl w:ilvl="4">
      <w:start w:val="0"/>
      <w:numFmt w:val="bullet"/>
      <w:lvlText w:val="•"/>
      <w:lvlJc w:val="left"/>
      <w:pPr>
        <w:ind w:left="6191" w:hanging="540"/>
      </w:pPr>
      <w:rPr>
        <w:rFonts w:hint="default"/>
      </w:rPr>
    </w:lvl>
    <w:lvl w:ilvl="5">
      <w:start w:val="0"/>
      <w:numFmt w:val="bullet"/>
      <w:lvlText w:val="•"/>
      <w:lvlJc w:val="left"/>
      <w:pPr>
        <w:ind w:left="7349" w:hanging="540"/>
      </w:pPr>
      <w:rPr>
        <w:rFonts w:hint="default"/>
      </w:rPr>
    </w:lvl>
    <w:lvl w:ilvl="6">
      <w:start w:val="0"/>
      <w:numFmt w:val="bullet"/>
      <w:lvlText w:val="•"/>
      <w:lvlJc w:val="left"/>
      <w:pPr>
        <w:ind w:left="8507" w:hanging="540"/>
      </w:pPr>
      <w:rPr>
        <w:rFonts w:hint="default"/>
      </w:rPr>
    </w:lvl>
    <w:lvl w:ilvl="7">
      <w:start w:val="0"/>
      <w:numFmt w:val="bullet"/>
      <w:lvlText w:val="•"/>
      <w:lvlJc w:val="left"/>
      <w:pPr>
        <w:ind w:left="9665" w:hanging="540"/>
      </w:pPr>
      <w:rPr>
        <w:rFonts w:hint="default"/>
      </w:rPr>
    </w:lvl>
    <w:lvl w:ilvl="8">
      <w:start w:val="0"/>
      <w:numFmt w:val="bullet"/>
      <w:lvlText w:val="•"/>
      <w:lvlJc w:val="left"/>
      <w:pPr>
        <w:ind w:left="10823" w:hanging="540"/>
      </w:pPr>
      <w:rPr>
        <w:rFonts w:hint="default"/>
      </w:rPr>
    </w:lvl>
  </w:abstractNum>
  <w:abstractNum w:abstractNumId="1">
    <w:nsid w:val="09B40E9E"/>
    <w:multiLevelType w:val="hybridMultilevel"/>
    <w:tmpl w:val="00000000"/>
    <w:lvl w:ilvl="0">
      <w:start w:val="1"/>
      <w:numFmt w:val="decimal"/>
      <w:lvlText w:val="(%1)"/>
      <w:lvlJc w:val="left"/>
      <w:pPr>
        <w:ind w:left="300" w:hanging="541"/>
        <w:jc w:val="left"/>
      </w:pPr>
      <w:rPr>
        <w:rFonts w:ascii="新宋体" w:eastAsia="新宋体" w:hAnsi="新宋体" w:cs="新宋体" w:hint="default"/>
        <w:w w:val="100"/>
        <w:sz w:val="34"/>
        <w:szCs w:val="34"/>
      </w:rPr>
    </w:lvl>
    <w:lvl w:ilvl="1">
      <w:start w:val="0"/>
      <w:numFmt w:val="bullet"/>
      <w:lvlText w:val="•"/>
      <w:lvlJc w:val="left"/>
      <w:pPr>
        <w:ind w:left="1583" w:hanging="541"/>
      </w:pPr>
      <w:rPr>
        <w:rFonts w:hint="default"/>
      </w:rPr>
    </w:lvl>
    <w:lvl w:ilvl="2">
      <w:start w:val="0"/>
      <w:numFmt w:val="bullet"/>
      <w:lvlText w:val="•"/>
      <w:lvlJc w:val="left"/>
      <w:pPr>
        <w:ind w:left="2867" w:hanging="541"/>
      </w:pPr>
      <w:rPr>
        <w:rFonts w:hint="default"/>
      </w:rPr>
    </w:lvl>
    <w:lvl w:ilvl="3">
      <w:start w:val="0"/>
      <w:numFmt w:val="bullet"/>
      <w:lvlText w:val="•"/>
      <w:lvlJc w:val="left"/>
      <w:pPr>
        <w:ind w:left="4151" w:hanging="541"/>
      </w:pPr>
      <w:rPr>
        <w:rFonts w:hint="default"/>
      </w:rPr>
    </w:lvl>
    <w:lvl w:ilvl="4">
      <w:start w:val="0"/>
      <w:numFmt w:val="bullet"/>
      <w:lvlText w:val="•"/>
      <w:lvlJc w:val="left"/>
      <w:pPr>
        <w:ind w:left="5435" w:hanging="541"/>
      </w:pPr>
      <w:rPr>
        <w:rFonts w:hint="default"/>
      </w:rPr>
    </w:lvl>
    <w:lvl w:ilvl="5">
      <w:start w:val="0"/>
      <w:numFmt w:val="bullet"/>
      <w:lvlText w:val="•"/>
      <w:lvlJc w:val="left"/>
      <w:pPr>
        <w:ind w:left="6719" w:hanging="541"/>
      </w:pPr>
      <w:rPr>
        <w:rFonts w:hint="default"/>
      </w:rPr>
    </w:lvl>
    <w:lvl w:ilvl="6">
      <w:start w:val="0"/>
      <w:numFmt w:val="bullet"/>
      <w:lvlText w:val="•"/>
      <w:lvlJc w:val="left"/>
      <w:pPr>
        <w:ind w:left="8003" w:hanging="541"/>
      </w:pPr>
      <w:rPr>
        <w:rFonts w:hint="default"/>
      </w:rPr>
    </w:lvl>
    <w:lvl w:ilvl="7">
      <w:start w:val="0"/>
      <w:numFmt w:val="bullet"/>
      <w:lvlText w:val="•"/>
      <w:lvlJc w:val="left"/>
      <w:pPr>
        <w:ind w:left="9287" w:hanging="541"/>
      </w:pPr>
      <w:rPr>
        <w:rFonts w:hint="default"/>
      </w:rPr>
    </w:lvl>
    <w:lvl w:ilvl="8">
      <w:start w:val="0"/>
      <w:numFmt w:val="bullet"/>
      <w:lvlText w:val="•"/>
      <w:lvlJc w:val="left"/>
      <w:pPr>
        <w:ind w:left="10571" w:hanging="541"/>
      </w:pPr>
      <w:rPr>
        <w:rFonts w:hint="default"/>
      </w:rPr>
    </w:lvl>
  </w:abstractNum>
  <w:abstractNum w:abstractNumId="2">
    <w:nsid w:val="0A5D9A60"/>
    <w:multiLevelType w:val="hybridMultilevel"/>
    <w:tmpl w:val="00000000"/>
    <w:lvl w:ilvl="0">
      <w:start w:val="1"/>
      <w:numFmt w:val="decimal"/>
      <w:lvlText w:val="%1."/>
      <w:lvlJc w:val="left"/>
      <w:pPr>
        <w:ind w:left="1110" w:hanging="630"/>
        <w:jc w:val="left"/>
      </w:pPr>
      <w:rPr>
        <w:rFonts w:ascii="幼圆" w:eastAsia="幼圆" w:hAnsi="幼圆" w:cs="幼圆" w:hint="default"/>
        <w:w w:val="100"/>
        <w:sz w:val="36"/>
        <w:szCs w:val="36"/>
      </w:rPr>
    </w:lvl>
    <w:lvl w:ilvl="1">
      <w:start w:val="1"/>
      <w:numFmt w:val="decimal"/>
      <w:lvlText w:val="%2."/>
      <w:lvlJc w:val="left"/>
      <w:pPr>
        <w:ind w:left="1650" w:hanging="540"/>
        <w:jc w:val="left"/>
      </w:pPr>
      <w:rPr>
        <w:rFonts w:hint="default"/>
        <w:w w:val="100"/>
      </w:rPr>
    </w:lvl>
    <w:lvl w:ilvl="2">
      <w:start w:val="1"/>
      <w:numFmt w:val="decimal"/>
      <w:lvlText w:val="(%3)"/>
      <w:lvlJc w:val="left"/>
      <w:pPr>
        <w:ind w:left="1920" w:hanging="720"/>
        <w:jc w:val="left"/>
      </w:pPr>
      <w:rPr>
        <w:rFonts w:ascii="新宋体" w:eastAsia="新宋体" w:hAnsi="新宋体" w:cs="新宋体" w:hint="default"/>
        <w:w w:val="100"/>
        <w:sz w:val="36"/>
        <w:szCs w:val="36"/>
      </w:rPr>
    </w:lvl>
    <w:lvl w:ilvl="3">
      <w:start w:val="0"/>
      <w:numFmt w:val="bullet"/>
      <w:lvlText w:val="•"/>
      <w:lvlJc w:val="left"/>
      <w:pPr>
        <w:ind w:left="3322" w:hanging="720"/>
      </w:pPr>
      <w:rPr>
        <w:rFonts w:hint="default"/>
      </w:rPr>
    </w:lvl>
    <w:lvl w:ilvl="4">
      <w:start w:val="0"/>
      <w:numFmt w:val="bullet"/>
      <w:lvlText w:val="•"/>
      <w:lvlJc w:val="left"/>
      <w:pPr>
        <w:ind w:left="4724" w:hanging="720"/>
      </w:pPr>
      <w:rPr>
        <w:rFonts w:hint="default"/>
      </w:rPr>
    </w:lvl>
    <w:lvl w:ilvl="5">
      <w:start w:val="0"/>
      <w:numFmt w:val="bullet"/>
      <w:lvlText w:val="•"/>
      <w:lvlJc w:val="left"/>
      <w:pPr>
        <w:ind w:left="6127" w:hanging="720"/>
      </w:pPr>
      <w:rPr>
        <w:rFonts w:hint="default"/>
      </w:rPr>
    </w:lvl>
    <w:lvl w:ilvl="6">
      <w:start w:val="0"/>
      <w:numFmt w:val="bullet"/>
      <w:lvlText w:val="•"/>
      <w:lvlJc w:val="left"/>
      <w:pPr>
        <w:ind w:left="7529" w:hanging="720"/>
      </w:pPr>
      <w:rPr>
        <w:rFonts w:hint="default"/>
      </w:rPr>
    </w:lvl>
    <w:lvl w:ilvl="7">
      <w:start w:val="0"/>
      <w:numFmt w:val="bullet"/>
      <w:lvlText w:val="•"/>
      <w:lvlJc w:val="left"/>
      <w:pPr>
        <w:ind w:left="8932" w:hanging="720"/>
      </w:pPr>
      <w:rPr>
        <w:rFonts w:hint="default"/>
      </w:rPr>
    </w:lvl>
    <w:lvl w:ilvl="8">
      <w:start w:val="0"/>
      <w:numFmt w:val="bullet"/>
      <w:lvlText w:val="•"/>
      <w:lvlJc w:val="left"/>
      <w:pPr>
        <w:ind w:left="10334" w:hanging="720"/>
      </w:pPr>
      <w:rPr>
        <w:rFonts w:hint="default"/>
      </w:rPr>
    </w:lvl>
  </w:abstractNum>
  <w:abstractNum w:abstractNumId="3">
    <w:nsid w:val="18BDE534"/>
    <w:multiLevelType w:val="hybridMultilevel"/>
    <w:tmpl w:val="00000000"/>
    <w:lvl w:ilvl="0">
      <w:start w:val="1"/>
      <w:numFmt w:val="decimal"/>
      <w:lvlText w:val="(%1)"/>
      <w:lvlJc w:val="left"/>
      <w:pPr>
        <w:ind w:left="300" w:hanging="541"/>
        <w:jc w:val="left"/>
      </w:pPr>
      <w:rPr>
        <w:rFonts w:ascii="新宋体" w:eastAsia="新宋体" w:hAnsi="新宋体" w:cs="新宋体" w:hint="default"/>
        <w:w w:val="100"/>
        <w:sz w:val="34"/>
        <w:szCs w:val="34"/>
      </w:rPr>
    </w:lvl>
    <w:lvl w:ilvl="1">
      <w:start w:val="0"/>
      <w:numFmt w:val="bullet"/>
      <w:lvlText w:val="•"/>
      <w:lvlJc w:val="left"/>
      <w:pPr>
        <w:ind w:left="1583" w:hanging="541"/>
      </w:pPr>
      <w:rPr>
        <w:rFonts w:hint="default"/>
      </w:rPr>
    </w:lvl>
    <w:lvl w:ilvl="2">
      <w:start w:val="0"/>
      <w:numFmt w:val="bullet"/>
      <w:lvlText w:val="•"/>
      <w:lvlJc w:val="left"/>
      <w:pPr>
        <w:ind w:left="2867" w:hanging="541"/>
      </w:pPr>
      <w:rPr>
        <w:rFonts w:hint="default"/>
      </w:rPr>
    </w:lvl>
    <w:lvl w:ilvl="3">
      <w:start w:val="0"/>
      <w:numFmt w:val="bullet"/>
      <w:lvlText w:val="•"/>
      <w:lvlJc w:val="left"/>
      <w:pPr>
        <w:ind w:left="4151" w:hanging="541"/>
      </w:pPr>
      <w:rPr>
        <w:rFonts w:hint="default"/>
      </w:rPr>
    </w:lvl>
    <w:lvl w:ilvl="4">
      <w:start w:val="0"/>
      <w:numFmt w:val="bullet"/>
      <w:lvlText w:val="•"/>
      <w:lvlJc w:val="left"/>
      <w:pPr>
        <w:ind w:left="5435" w:hanging="541"/>
      </w:pPr>
      <w:rPr>
        <w:rFonts w:hint="default"/>
      </w:rPr>
    </w:lvl>
    <w:lvl w:ilvl="5">
      <w:start w:val="0"/>
      <w:numFmt w:val="bullet"/>
      <w:lvlText w:val="•"/>
      <w:lvlJc w:val="left"/>
      <w:pPr>
        <w:ind w:left="6719" w:hanging="541"/>
      </w:pPr>
      <w:rPr>
        <w:rFonts w:hint="default"/>
      </w:rPr>
    </w:lvl>
    <w:lvl w:ilvl="6">
      <w:start w:val="0"/>
      <w:numFmt w:val="bullet"/>
      <w:lvlText w:val="•"/>
      <w:lvlJc w:val="left"/>
      <w:pPr>
        <w:ind w:left="8003" w:hanging="541"/>
      </w:pPr>
      <w:rPr>
        <w:rFonts w:hint="default"/>
      </w:rPr>
    </w:lvl>
    <w:lvl w:ilvl="7">
      <w:start w:val="0"/>
      <w:numFmt w:val="bullet"/>
      <w:lvlText w:val="•"/>
      <w:lvlJc w:val="left"/>
      <w:pPr>
        <w:ind w:left="9287" w:hanging="541"/>
      </w:pPr>
      <w:rPr>
        <w:rFonts w:hint="default"/>
      </w:rPr>
    </w:lvl>
    <w:lvl w:ilvl="8">
      <w:start w:val="0"/>
      <w:numFmt w:val="bullet"/>
      <w:lvlText w:val="•"/>
      <w:lvlJc w:val="left"/>
      <w:pPr>
        <w:ind w:left="10571" w:hanging="541"/>
      </w:pPr>
      <w:rPr>
        <w:rFonts w:hint="default"/>
      </w:rPr>
    </w:lvl>
  </w:abstractNum>
  <w:abstractNum w:abstractNumId="4">
    <w:nsid w:val="2078994F"/>
    <w:multiLevelType w:val="hybridMultilevel"/>
    <w:tmpl w:val="00000000"/>
    <w:lvl w:ilvl="0">
      <w:start w:val="1"/>
      <w:numFmt w:val="decimal"/>
      <w:lvlText w:val="(%1)"/>
      <w:lvlJc w:val="left"/>
      <w:pPr>
        <w:ind w:left="1561" w:hanging="541"/>
        <w:jc w:val="right"/>
      </w:pPr>
      <w:rPr>
        <w:rFonts w:ascii="新宋体" w:eastAsia="新宋体" w:hAnsi="新宋体" w:cs="新宋体" w:hint="default"/>
        <w:w w:val="100"/>
        <w:sz w:val="34"/>
        <w:szCs w:val="34"/>
      </w:rPr>
    </w:lvl>
    <w:lvl w:ilvl="1">
      <w:start w:val="0"/>
      <w:numFmt w:val="bullet"/>
      <w:lvlText w:val="•"/>
      <w:lvlJc w:val="left"/>
      <w:pPr>
        <w:ind w:left="2717" w:hanging="541"/>
      </w:pPr>
      <w:rPr>
        <w:rFonts w:hint="default"/>
      </w:rPr>
    </w:lvl>
    <w:lvl w:ilvl="2">
      <w:start w:val="0"/>
      <w:numFmt w:val="bullet"/>
      <w:lvlText w:val="•"/>
      <w:lvlJc w:val="left"/>
      <w:pPr>
        <w:ind w:left="3875" w:hanging="541"/>
      </w:pPr>
      <w:rPr>
        <w:rFonts w:hint="default"/>
      </w:rPr>
    </w:lvl>
    <w:lvl w:ilvl="3">
      <w:start w:val="0"/>
      <w:numFmt w:val="bullet"/>
      <w:lvlText w:val="•"/>
      <w:lvlJc w:val="left"/>
      <w:pPr>
        <w:ind w:left="5033" w:hanging="541"/>
      </w:pPr>
      <w:rPr>
        <w:rFonts w:hint="default"/>
      </w:rPr>
    </w:lvl>
    <w:lvl w:ilvl="4">
      <w:start w:val="0"/>
      <w:numFmt w:val="bullet"/>
      <w:lvlText w:val="•"/>
      <w:lvlJc w:val="left"/>
      <w:pPr>
        <w:ind w:left="6191" w:hanging="541"/>
      </w:pPr>
      <w:rPr>
        <w:rFonts w:hint="default"/>
      </w:rPr>
    </w:lvl>
    <w:lvl w:ilvl="5">
      <w:start w:val="0"/>
      <w:numFmt w:val="bullet"/>
      <w:lvlText w:val="•"/>
      <w:lvlJc w:val="left"/>
      <w:pPr>
        <w:ind w:left="7349" w:hanging="541"/>
      </w:pPr>
      <w:rPr>
        <w:rFonts w:hint="default"/>
      </w:rPr>
    </w:lvl>
    <w:lvl w:ilvl="6">
      <w:start w:val="0"/>
      <w:numFmt w:val="bullet"/>
      <w:lvlText w:val="•"/>
      <w:lvlJc w:val="left"/>
      <w:pPr>
        <w:ind w:left="8507" w:hanging="541"/>
      </w:pPr>
      <w:rPr>
        <w:rFonts w:hint="default"/>
      </w:rPr>
    </w:lvl>
    <w:lvl w:ilvl="7">
      <w:start w:val="0"/>
      <w:numFmt w:val="bullet"/>
      <w:lvlText w:val="•"/>
      <w:lvlJc w:val="left"/>
      <w:pPr>
        <w:ind w:left="9665" w:hanging="541"/>
      </w:pPr>
      <w:rPr>
        <w:rFonts w:hint="default"/>
      </w:rPr>
    </w:lvl>
    <w:lvl w:ilvl="8">
      <w:start w:val="0"/>
      <w:numFmt w:val="bullet"/>
      <w:lvlText w:val="•"/>
      <w:lvlJc w:val="left"/>
      <w:pPr>
        <w:ind w:left="10823" w:hanging="541"/>
      </w:pPr>
      <w:rPr>
        <w:rFonts w:hint="default"/>
      </w:rPr>
    </w:lvl>
  </w:abstractNum>
  <w:abstractNum w:abstractNumId="5">
    <w:nsid w:val="2B0F019D"/>
    <w:multiLevelType w:val="hybridMultilevel"/>
    <w:tmpl w:val="00000000"/>
    <w:lvl w:ilvl="0">
      <w:start w:val="1"/>
      <w:numFmt w:val="decimal"/>
      <w:lvlText w:val="(%1)"/>
      <w:lvlJc w:val="left"/>
      <w:pPr>
        <w:ind w:left="1740" w:hanging="720"/>
        <w:jc w:val="left"/>
      </w:pPr>
      <w:rPr>
        <w:rFonts w:ascii="新宋体" w:eastAsia="新宋体" w:hAnsi="新宋体" w:cs="新宋体" w:hint="default"/>
        <w:w w:val="100"/>
        <w:sz w:val="36"/>
        <w:szCs w:val="36"/>
      </w:rPr>
    </w:lvl>
    <w:lvl w:ilvl="1">
      <w:start w:val="0"/>
      <w:numFmt w:val="bullet"/>
      <w:lvlText w:val="•"/>
      <w:lvlJc w:val="left"/>
      <w:pPr>
        <w:ind w:left="2879" w:hanging="720"/>
      </w:pPr>
      <w:rPr>
        <w:rFonts w:hint="default"/>
      </w:rPr>
    </w:lvl>
    <w:lvl w:ilvl="2">
      <w:start w:val="0"/>
      <w:numFmt w:val="bullet"/>
      <w:lvlText w:val="•"/>
      <w:lvlJc w:val="left"/>
      <w:pPr>
        <w:ind w:left="4019" w:hanging="720"/>
      </w:pPr>
      <w:rPr>
        <w:rFonts w:hint="default"/>
      </w:rPr>
    </w:lvl>
    <w:lvl w:ilvl="3">
      <w:start w:val="0"/>
      <w:numFmt w:val="bullet"/>
      <w:lvlText w:val="•"/>
      <w:lvlJc w:val="left"/>
      <w:pPr>
        <w:ind w:left="5159" w:hanging="720"/>
      </w:pPr>
      <w:rPr>
        <w:rFonts w:hint="default"/>
      </w:rPr>
    </w:lvl>
    <w:lvl w:ilvl="4">
      <w:start w:val="0"/>
      <w:numFmt w:val="bullet"/>
      <w:lvlText w:val="•"/>
      <w:lvlJc w:val="left"/>
      <w:pPr>
        <w:ind w:left="6299" w:hanging="720"/>
      </w:pPr>
      <w:rPr>
        <w:rFonts w:hint="default"/>
      </w:rPr>
    </w:lvl>
    <w:lvl w:ilvl="5">
      <w:start w:val="0"/>
      <w:numFmt w:val="bullet"/>
      <w:lvlText w:val="•"/>
      <w:lvlJc w:val="left"/>
      <w:pPr>
        <w:ind w:left="7439" w:hanging="720"/>
      </w:pPr>
      <w:rPr>
        <w:rFonts w:hint="default"/>
      </w:rPr>
    </w:lvl>
    <w:lvl w:ilvl="6">
      <w:start w:val="0"/>
      <w:numFmt w:val="bullet"/>
      <w:lvlText w:val="•"/>
      <w:lvlJc w:val="left"/>
      <w:pPr>
        <w:ind w:left="8579" w:hanging="720"/>
      </w:pPr>
      <w:rPr>
        <w:rFonts w:hint="default"/>
      </w:rPr>
    </w:lvl>
    <w:lvl w:ilvl="7">
      <w:start w:val="0"/>
      <w:numFmt w:val="bullet"/>
      <w:lvlText w:val="•"/>
      <w:lvlJc w:val="left"/>
      <w:pPr>
        <w:ind w:left="9719" w:hanging="720"/>
      </w:pPr>
      <w:rPr>
        <w:rFonts w:hint="default"/>
      </w:rPr>
    </w:lvl>
    <w:lvl w:ilvl="8">
      <w:start w:val="0"/>
      <w:numFmt w:val="bullet"/>
      <w:lvlText w:val="•"/>
      <w:lvlJc w:val="left"/>
      <w:pPr>
        <w:ind w:left="10859" w:hanging="720"/>
      </w:pPr>
      <w:rPr>
        <w:rFonts w:hint="default"/>
      </w:rPr>
    </w:lvl>
  </w:abstractNum>
  <w:abstractNum w:abstractNumId="6">
    <w:nsid w:val="3353159E"/>
    <w:multiLevelType w:val="hybridMultilevel"/>
    <w:tmpl w:val="00000000"/>
    <w:lvl w:ilvl="0">
      <w:start w:val="1"/>
      <w:numFmt w:val="decimal"/>
      <w:lvlText w:val="(%1)"/>
      <w:lvlJc w:val="left"/>
      <w:pPr>
        <w:ind w:left="300" w:hanging="541"/>
        <w:jc w:val="left"/>
      </w:pPr>
      <w:rPr>
        <w:rFonts w:ascii="幼圆" w:eastAsia="幼圆" w:hAnsi="幼圆" w:cs="幼圆" w:hint="default"/>
        <w:w w:val="100"/>
        <w:sz w:val="34"/>
        <w:szCs w:val="34"/>
      </w:rPr>
    </w:lvl>
    <w:lvl w:ilvl="1">
      <w:start w:val="0"/>
      <w:numFmt w:val="bullet"/>
      <w:lvlText w:val="•"/>
      <w:lvlJc w:val="left"/>
      <w:pPr>
        <w:ind w:left="1583" w:hanging="541"/>
      </w:pPr>
      <w:rPr>
        <w:rFonts w:hint="default"/>
      </w:rPr>
    </w:lvl>
    <w:lvl w:ilvl="2">
      <w:start w:val="0"/>
      <w:numFmt w:val="bullet"/>
      <w:lvlText w:val="•"/>
      <w:lvlJc w:val="left"/>
      <w:pPr>
        <w:ind w:left="2867" w:hanging="541"/>
      </w:pPr>
      <w:rPr>
        <w:rFonts w:hint="default"/>
      </w:rPr>
    </w:lvl>
    <w:lvl w:ilvl="3">
      <w:start w:val="0"/>
      <w:numFmt w:val="bullet"/>
      <w:lvlText w:val="•"/>
      <w:lvlJc w:val="left"/>
      <w:pPr>
        <w:ind w:left="4151" w:hanging="541"/>
      </w:pPr>
      <w:rPr>
        <w:rFonts w:hint="default"/>
      </w:rPr>
    </w:lvl>
    <w:lvl w:ilvl="4">
      <w:start w:val="0"/>
      <w:numFmt w:val="bullet"/>
      <w:lvlText w:val="•"/>
      <w:lvlJc w:val="left"/>
      <w:pPr>
        <w:ind w:left="5435" w:hanging="541"/>
      </w:pPr>
      <w:rPr>
        <w:rFonts w:hint="default"/>
      </w:rPr>
    </w:lvl>
    <w:lvl w:ilvl="5">
      <w:start w:val="0"/>
      <w:numFmt w:val="bullet"/>
      <w:lvlText w:val="•"/>
      <w:lvlJc w:val="left"/>
      <w:pPr>
        <w:ind w:left="6719" w:hanging="541"/>
      </w:pPr>
      <w:rPr>
        <w:rFonts w:hint="default"/>
      </w:rPr>
    </w:lvl>
    <w:lvl w:ilvl="6">
      <w:start w:val="0"/>
      <w:numFmt w:val="bullet"/>
      <w:lvlText w:val="•"/>
      <w:lvlJc w:val="left"/>
      <w:pPr>
        <w:ind w:left="8003" w:hanging="541"/>
      </w:pPr>
      <w:rPr>
        <w:rFonts w:hint="default"/>
      </w:rPr>
    </w:lvl>
    <w:lvl w:ilvl="7">
      <w:start w:val="0"/>
      <w:numFmt w:val="bullet"/>
      <w:lvlText w:val="•"/>
      <w:lvlJc w:val="left"/>
      <w:pPr>
        <w:ind w:left="9287" w:hanging="541"/>
      </w:pPr>
      <w:rPr>
        <w:rFonts w:hint="default"/>
      </w:rPr>
    </w:lvl>
    <w:lvl w:ilvl="8">
      <w:start w:val="0"/>
      <w:numFmt w:val="bullet"/>
      <w:lvlText w:val="•"/>
      <w:lvlJc w:val="left"/>
      <w:pPr>
        <w:ind w:left="10571" w:hanging="541"/>
      </w:pPr>
      <w:rPr>
        <w:rFonts w:hint="default"/>
      </w:rPr>
    </w:lvl>
  </w:abstractNum>
  <w:abstractNum w:abstractNumId="7">
    <w:nsid w:val="465FABDD"/>
    <w:multiLevelType w:val="hybridMultilevel"/>
    <w:tmpl w:val="00000000"/>
    <w:lvl w:ilvl="0">
      <w:start w:val="1"/>
      <w:numFmt w:val="decimal"/>
      <w:lvlText w:val="(%1)"/>
      <w:lvlJc w:val="left"/>
      <w:pPr>
        <w:ind w:left="1561" w:hanging="541"/>
        <w:jc w:val="left"/>
      </w:pPr>
      <w:rPr>
        <w:rFonts w:ascii="新宋体" w:eastAsia="新宋体" w:hAnsi="新宋体" w:cs="新宋体" w:hint="default"/>
        <w:w w:val="100"/>
        <w:sz w:val="34"/>
        <w:szCs w:val="34"/>
      </w:rPr>
    </w:lvl>
    <w:lvl w:ilvl="1">
      <w:start w:val="0"/>
      <w:numFmt w:val="bullet"/>
      <w:lvlText w:val="•"/>
      <w:lvlJc w:val="left"/>
      <w:pPr>
        <w:ind w:left="2717" w:hanging="541"/>
      </w:pPr>
      <w:rPr>
        <w:rFonts w:hint="default"/>
      </w:rPr>
    </w:lvl>
    <w:lvl w:ilvl="2">
      <w:start w:val="0"/>
      <w:numFmt w:val="bullet"/>
      <w:lvlText w:val="•"/>
      <w:lvlJc w:val="left"/>
      <w:pPr>
        <w:ind w:left="3875" w:hanging="541"/>
      </w:pPr>
      <w:rPr>
        <w:rFonts w:hint="default"/>
      </w:rPr>
    </w:lvl>
    <w:lvl w:ilvl="3">
      <w:start w:val="0"/>
      <w:numFmt w:val="bullet"/>
      <w:lvlText w:val="•"/>
      <w:lvlJc w:val="left"/>
      <w:pPr>
        <w:ind w:left="5033" w:hanging="541"/>
      </w:pPr>
      <w:rPr>
        <w:rFonts w:hint="default"/>
      </w:rPr>
    </w:lvl>
    <w:lvl w:ilvl="4">
      <w:start w:val="0"/>
      <w:numFmt w:val="bullet"/>
      <w:lvlText w:val="•"/>
      <w:lvlJc w:val="left"/>
      <w:pPr>
        <w:ind w:left="6191" w:hanging="541"/>
      </w:pPr>
      <w:rPr>
        <w:rFonts w:hint="default"/>
      </w:rPr>
    </w:lvl>
    <w:lvl w:ilvl="5">
      <w:start w:val="0"/>
      <w:numFmt w:val="bullet"/>
      <w:lvlText w:val="•"/>
      <w:lvlJc w:val="left"/>
      <w:pPr>
        <w:ind w:left="7349" w:hanging="541"/>
      </w:pPr>
      <w:rPr>
        <w:rFonts w:hint="default"/>
      </w:rPr>
    </w:lvl>
    <w:lvl w:ilvl="6">
      <w:start w:val="0"/>
      <w:numFmt w:val="bullet"/>
      <w:lvlText w:val="•"/>
      <w:lvlJc w:val="left"/>
      <w:pPr>
        <w:ind w:left="8507" w:hanging="541"/>
      </w:pPr>
      <w:rPr>
        <w:rFonts w:hint="default"/>
      </w:rPr>
    </w:lvl>
    <w:lvl w:ilvl="7">
      <w:start w:val="0"/>
      <w:numFmt w:val="bullet"/>
      <w:lvlText w:val="•"/>
      <w:lvlJc w:val="left"/>
      <w:pPr>
        <w:ind w:left="9665" w:hanging="541"/>
      </w:pPr>
      <w:rPr>
        <w:rFonts w:hint="default"/>
      </w:rPr>
    </w:lvl>
    <w:lvl w:ilvl="8">
      <w:start w:val="0"/>
      <w:numFmt w:val="bullet"/>
      <w:lvlText w:val="•"/>
      <w:lvlJc w:val="left"/>
      <w:pPr>
        <w:ind w:left="10823" w:hanging="541"/>
      </w:pPr>
      <w:rPr>
        <w:rFonts w:hint="default"/>
      </w:rPr>
    </w:lvl>
  </w:abstractNum>
  <w:abstractNum w:abstractNumId="8">
    <w:nsid w:val="50C256C6"/>
    <w:multiLevelType w:val="hybridMultilevel"/>
    <w:tmpl w:val="00000000"/>
    <w:lvl w:ilvl="0">
      <w:start w:val="1"/>
      <w:numFmt w:val="decimal"/>
      <w:lvlText w:val="（%1）"/>
      <w:lvlJc w:val="left"/>
      <w:pPr>
        <w:ind w:left="1921" w:hanging="901"/>
        <w:jc w:val="left"/>
      </w:pPr>
      <w:rPr>
        <w:rFonts w:ascii="新宋体" w:eastAsia="新宋体" w:hAnsi="新宋体" w:cs="新宋体" w:hint="default"/>
        <w:w w:val="100"/>
        <w:sz w:val="34"/>
        <w:szCs w:val="34"/>
      </w:rPr>
    </w:lvl>
    <w:lvl w:ilvl="1">
      <w:start w:val="0"/>
      <w:numFmt w:val="bullet"/>
      <w:lvlText w:val="•"/>
      <w:lvlJc w:val="left"/>
      <w:pPr>
        <w:ind w:left="3041" w:hanging="901"/>
      </w:pPr>
      <w:rPr>
        <w:rFonts w:hint="default"/>
      </w:rPr>
    </w:lvl>
    <w:lvl w:ilvl="2">
      <w:start w:val="0"/>
      <w:numFmt w:val="bullet"/>
      <w:lvlText w:val="•"/>
      <w:lvlJc w:val="left"/>
      <w:pPr>
        <w:ind w:left="4163" w:hanging="901"/>
      </w:pPr>
      <w:rPr>
        <w:rFonts w:hint="default"/>
      </w:rPr>
    </w:lvl>
    <w:lvl w:ilvl="3">
      <w:start w:val="0"/>
      <w:numFmt w:val="bullet"/>
      <w:lvlText w:val="•"/>
      <w:lvlJc w:val="left"/>
      <w:pPr>
        <w:ind w:left="5285" w:hanging="901"/>
      </w:pPr>
      <w:rPr>
        <w:rFonts w:hint="default"/>
      </w:rPr>
    </w:lvl>
    <w:lvl w:ilvl="4">
      <w:start w:val="0"/>
      <w:numFmt w:val="bullet"/>
      <w:lvlText w:val="•"/>
      <w:lvlJc w:val="left"/>
      <w:pPr>
        <w:ind w:left="6407" w:hanging="901"/>
      </w:pPr>
      <w:rPr>
        <w:rFonts w:hint="default"/>
      </w:rPr>
    </w:lvl>
    <w:lvl w:ilvl="5">
      <w:start w:val="0"/>
      <w:numFmt w:val="bullet"/>
      <w:lvlText w:val="•"/>
      <w:lvlJc w:val="left"/>
      <w:pPr>
        <w:ind w:left="7529" w:hanging="901"/>
      </w:pPr>
      <w:rPr>
        <w:rFonts w:hint="default"/>
      </w:rPr>
    </w:lvl>
    <w:lvl w:ilvl="6">
      <w:start w:val="0"/>
      <w:numFmt w:val="bullet"/>
      <w:lvlText w:val="•"/>
      <w:lvlJc w:val="left"/>
      <w:pPr>
        <w:ind w:left="8651" w:hanging="901"/>
      </w:pPr>
      <w:rPr>
        <w:rFonts w:hint="default"/>
      </w:rPr>
    </w:lvl>
    <w:lvl w:ilvl="7">
      <w:start w:val="0"/>
      <w:numFmt w:val="bullet"/>
      <w:lvlText w:val="•"/>
      <w:lvlJc w:val="left"/>
      <w:pPr>
        <w:ind w:left="9773" w:hanging="901"/>
      </w:pPr>
      <w:rPr>
        <w:rFonts w:hint="default"/>
      </w:rPr>
    </w:lvl>
    <w:lvl w:ilvl="8">
      <w:start w:val="0"/>
      <w:numFmt w:val="bullet"/>
      <w:lvlText w:val="•"/>
      <w:lvlJc w:val="left"/>
      <w:pPr>
        <w:ind w:left="10895" w:hanging="901"/>
      </w:pPr>
      <w:rPr>
        <w:rFonts w:hint="default"/>
      </w:rPr>
    </w:lvl>
  </w:abstractNum>
  <w:abstractNum w:abstractNumId="9">
    <w:nsid w:val="65E14F28"/>
    <w:multiLevelType w:val="hybridMultilevel"/>
    <w:tmpl w:val="00000000"/>
    <w:lvl w:ilvl="0">
      <w:start w:val="7"/>
      <w:numFmt w:val="decimal"/>
      <w:lvlText w:val="%1."/>
      <w:lvlJc w:val="left"/>
      <w:pPr>
        <w:ind w:left="1560" w:hanging="540"/>
        <w:jc w:val="left"/>
      </w:pPr>
      <w:rPr>
        <w:rFonts w:ascii="新宋体" w:eastAsia="新宋体" w:hAnsi="新宋体" w:cs="新宋体" w:hint="default"/>
        <w:w w:val="100"/>
        <w:sz w:val="36"/>
        <w:szCs w:val="36"/>
      </w:rPr>
    </w:lvl>
    <w:lvl w:ilvl="1">
      <w:start w:val="0"/>
      <w:numFmt w:val="bullet"/>
      <w:lvlText w:val="•"/>
      <w:lvlJc w:val="left"/>
      <w:pPr>
        <w:ind w:left="2717" w:hanging="540"/>
      </w:pPr>
      <w:rPr>
        <w:rFonts w:hint="default"/>
      </w:rPr>
    </w:lvl>
    <w:lvl w:ilvl="2">
      <w:start w:val="0"/>
      <w:numFmt w:val="bullet"/>
      <w:lvlText w:val="•"/>
      <w:lvlJc w:val="left"/>
      <w:pPr>
        <w:ind w:left="3875" w:hanging="540"/>
      </w:pPr>
      <w:rPr>
        <w:rFonts w:hint="default"/>
      </w:rPr>
    </w:lvl>
    <w:lvl w:ilvl="3">
      <w:start w:val="0"/>
      <w:numFmt w:val="bullet"/>
      <w:lvlText w:val="•"/>
      <w:lvlJc w:val="left"/>
      <w:pPr>
        <w:ind w:left="5033" w:hanging="540"/>
      </w:pPr>
      <w:rPr>
        <w:rFonts w:hint="default"/>
      </w:rPr>
    </w:lvl>
    <w:lvl w:ilvl="4">
      <w:start w:val="0"/>
      <w:numFmt w:val="bullet"/>
      <w:lvlText w:val="•"/>
      <w:lvlJc w:val="left"/>
      <w:pPr>
        <w:ind w:left="6191" w:hanging="540"/>
      </w:pPr>
      <w:rPr>
        <w:rFonts w:hint="default"/>
      </w:rPr>
    </w:lvl>
    <w:lvl w:ilvl="5">
      <w:start w:val="0"/>
      <w:numFmt w:val="bullet"/>
      <w:lvlText w:val="•"/>
      <w:lvlJc w:val="left"/>
      <w:pPr>
        <w:ind w:left="7349" w:hanging="540"/>
      </w:pPr>
      <w:rPr>
        <w:rFonts w:hint="default"/>
      </w:rPr>
    </w:lvl>
    <w:lvl w:ilvl="6">
      <w:start w:val="0"/>
      <w:numFmt w:val="bullet"/>
      <w:lvlText w:val="•"/>
      <w:lvlJc w:val="left"/>
      <w:pPr>
        <w:ind w:left="8507" w:hanging="540"/>
      </w:pPr>
      <w:rPr>
        <w:rFonts w:hint="default"/>
      </w:rPr>
    </w:lvl>
    <w:lvl w:ilvl="7">
      <w:start w:val="0"/>
      <w:numFmt w:val="bullet"/>
      <w:lvlText w:val="•"/>
      <w:lvlJc w:val="left"/>
      <w:pPr>
        <w:ind w:left="9665" w:hanging="540"/>
      </w:pPr>
      <w:rPr>
        <w:rFonts w:hint="default"/>
      </w:rPr>
    </w:lvl>
    <w:lvl w:ilvl="8">
      <w:start w:val="0"/>
      <w:numFmt w:val="bullet"/>
      <w:lvlText w:val="•"/>
      <w:lvlJc w:val="left"/>
      <w:pPr>
        <w:ind w:left="10823" w:hanging="540"/>
      </w:pPr>
      <w:rPr>
        <w:rFonts w:hint="default"/>
      </w:rPr>
    </w:lvl>
  </w:abstractNum>
  <w:abstractNum w:abstractNumId="10">
    <w:nsid w:val="6DE897E2"/>
    <w:multiLevelType w:val="hybridMultilevel"/>
    <w:tmpl w:val="00000000"/>
    <w:lvl w:ilvl="0">
      <w:start w:val="1"/>
      <w:numFmt w:val="decimal"/>
      <w:lvlText w:val="(%1)"/>
      <w:lvlJc w:val="left"/>
      <w:pPr>
        <w:ind w:left="1740" w:hanging="720"/>
        <w:jc w:val="left"/>
      </w:pPr>
      <w:rPr>
        <w:rFonts w:ascii="新宋体" w:eastAsia="新宋体" w:hAnsi="新宋体" w:cs="新宋体" w:hint="default"/>
        <w:w w:val="100"/>
        <w:sz w:val="36"/>
        <w:szCs w:val="36"/>
      </w:rPr>
    </w:lvl>
    <w:lvl w:ilvl="1">
      <w:start w:val="0"/>
      <w:numFmt w:val="bullet"/>
      <w:lvlText w:val="•"/>
      <w:lvlJc w:val="left"/>
      <w:pPr>
        <w:ind w:left="1840" w:hanging="720"/>
      </w:pPr>
      <w:rPr>
        <w:rFonts w:hint="default"/>
      </w:rPr>
    </w:lvl>
    <w:lvl w:ilvl="2">
      <w:start w:val="0"/>
      <w:numFmt w:val="bullet"/>
      <w:lvlText w:val="•"/>
      <w:lvlJc w:val="left"/>
      <w:pPr>
        <w:ind w:left="3095" w:hanging="720"/>
      </w:pPr>
      <w:rPr>
        <w:rFonts w:hint="default"/>
      </w:rPr>
    </w:lvl>
    <w:lvl w:ilvl="3">
      <w:start w:val="0"/>
      <w:numFmt w:val="bullet"/>
      <w:lvlText w:val="•"/>
      <w:lvlJc w:val="left"/>
      <w:pPr>
        <w:ind w:left="4351" w:hanging="720"/>
      </w:pPr>
      <w:rPr>
        <w:rFonts w:hint="default"/>
      </w:rPr>
    </w:lvl>
    <w:lvl w:ilvl="4">
      <w:start w:val="0"/>
      <w:numFmt w:val="bullet"/>
      <w:lvlText w:val="•"/>
      <w:lvlJc w:val="left"/>
      <w:pPr>
        <w:ind w:left="5606" w:hanging="720"/>
      </w:pPr>
      <w:rPr>
        <w:rFonts w:hint="default"/>
      </w:rPr>
    </w:lvl>
    <w:lvl w:ilvl="5">
      <w:start w:val="0"/>
      <w:numFmt w:val="bullet"/>
      <w:lvlText w:val="•"/>
      <w:lvlJc w:val="left"/>
      <w:pPr>
        <w:ind w:left="6862" w:hanging="720"/>
      </w:pPr>
      <w:rPr>
        <w:rFonts w:hint="default"/>
      </w:rPr>
    </w:lvl>
    <w:lvl w:ilvl="6">
      <w:start w:val="0"/>
      <w:numFmt w:val="bullet"/>
      <w:lvlText w:val="•"/>
      <w:lvlJc w:val="left"/>
      <w:pPr>
        <w:ind w:left="8117" w:hanging="720"/>
      </w:pPr>
      <w:rPr>
        <w:rFonts w:hint="default"/>
      </w:rPr>
    </w:lvl>
    <w:lvl w:ilvl="7">
      <w:start w:val="0"/>
      <w:numFmt w:val="bullet"/>
      <w:lvlText w:val="•"/>
      <w:lvlJc w:val="left"/>
      <w:pPr>
        <w:ind w:left="9373" w:hanging="720"/>
      </w:pPr>
      <w:rPr>
        <w:rFonts w:hint="default"/>
      </w:rPr>
    </w:lvl>
    <w:lvl w:ilvl="8">
      <w:start w:val="0"/>
      <w:numFmt w:val="bullet"/>
      <w:lvlText w:val="•"/>
      <w:lvlJc w:val="left"/>
      <w:pPr>
        <w:ind w:left="10628" w:hanging="720"/>
      </w:pPr>
      <w:rPr>
        <w:rFonts w:hint="default"/>
      </w:rPr>
    </w:lvl>
  </w:abstractNum>
  <w:abstractNum w:abstractNumId="11">
    <w:nsid w:val="71FABC25"/>
    <w:multiLevelType w:val="hybridMultilevel"/>
    <w:tmpl w:val="00000000"/>
    <w:lvl w:ilvl="0">
      <w:start w:val="1"/>
      <w:numFmt w:val="decimal"/>
      <w:lvlText w:val="%1."/>
      <w:lvlJc w:val="left"/>
      <w:pPr>
        <w:ind w:left="1650" w:hanging="630"/>
        <w:jc w:val="left"/>
      </w:pPr>
      <w:rPr>
        <w:rFonts w:hint="default"/>
        <w:w w:val="100"/>
      </w:rPr>
    </w:lvl>
    <w:lvl w:ilvl="1">
      <w:start w:val="0"/>
      <w:numFmt w:val="bullet"/>
      <w:lvlText w:val="•"/>
      <w:lvlJc w:val="left"/>
      <w:pPr>
        <w:ind w:left="2807" w:hanging="630"/>
      </w:pPr>
      <w:rPr>
        <w:rFonts w:hint="default"/>
      </w:rPr>
    </w:lvl>
    <w:lvl w:ilvl="2">
      <w:start w:val="0"/>
      <w:numFmt w:val="bullet"/>
      <w:lvlText w:val="•"/>
      <w:lvlJc w:val="left"/>
      <w:pPr>
        <w:ind w:left="3955" w:hanging="630"/>
      </w:pPr>
      <w:rPr>
        <w:rFonts w:hint="default"/>
      </w:rPr>
    </w:lvl>
    <w:lvl w:ilvl="3">
      <w:start w:val="0"/>
      <w:numFmt w:val="bullet"/>
      <w:lvlText w:val="•"/>
      <w:lvlJc w:val="left"/>
      <w:pPr>
        <w:ind w:left="5103" w:hanging="630"/>
      </w:pPr>
      <w:rPr>
        <w:rFonts w:hint="default"/>
      </w:rPr>
    </w:lvl>
    <w:lvl w:ilvl="4">
      <w:start w:val="0"/>
      <w:numFmt w:val="bullet"/>
      <w:lvlText w:val="•"/>
      <w:lvlJc w:val="left"/>
      <w:pPr>
        <w:ind w:left="6251" w:hanging="630"/>
      </w:pPr>
      <w:rPr>
        <w:rFonts w:hint="default"/>
      </w:rPr>
    </w:lvl>
    <w:lvl w:ilvl="5">
      <w:start w:val="0"/>
      <w:numFmt w:val="bullet"/>
      <w:lvlText w:val="•"/>
      <w:lvlJc w:val="left"/>
      <w:pPr>
        <w:ind w:left="7399" w:hanging="630"/>
      </w:pPr>
      <w:rPr>
        <w:rFonts w:hint="default"/>
      </w:rPr>
    </w:lvl>
    <w:lvl w:ilvl="6">
      <w:start w:val="0"/>
      <w:numFmt w:val="bullet"/>
      <w:lvlText w:val="•"/>
      <w:lvlJc w:val="left"/>
      <w:pPr>
        <w:ind w:left="8547" w:hanging="630"/>
      </w:pPr>
      <w:rPr>
        <w:rFonts w:hint="default"/>
      </w:rPr>
    </w:lvl>
    <w:lvl w:ilvl="7">
      <w:start w:val="0"/>
      <w:numFmt w:val="bullet"/>
      <w:lvlText w:val="•"/>
      <w:lvlJc w:val="left"/>
      <w:pPr>
        <w:ind w:left="9695" w:hanging="630"/>
      </w:pPr>
      <w:rPr>
        <w:rFonts w:hint="default"/>
      </w:rPr>
    </w:lvl>
    <w:lvl w:ilvl="8">
      <w:start w:val="0"/>
      <w:numFmt w:val="bullet"/>
      <w:lvlText w:val="•"/>
      <w:lvlJc w:val="left"/>
      <w:pPr>
        <w:ind w:left="10843" w:hanging="630"/>
      </w:pPr>
      <w:rPr>
        <w:rFonts w:hint="default"/>
      </w:rPr>
    </w:lvl>
  </w:abstractNum>
  <w:abstractNum w:abstractNumId="12">
    <w:nsid w:val="7695F50F"/>
    <w:multiLevelType w:val="hybridMultilevel"/>
    <w:tmpl w:val="00000000"/>
    <w:lvl w:ilvl="0">
      <w:start w:val="7"/>
      <w:numFmt w:val="decimal"/>
      <w:lvlText w:val="%1."/>
      <w:lvlJc w:val="left"/>
      <w:pPr>
        <w:ind w:left="1650" w:hanging="540"/>
        <w:jc w:val="left"/>
      </w:pPr>
      <w:rPr>
        <w:rFonts w:ascii="新宋体" w:eastAsia="新宋体" w:hAnsi="新宋体" w:cs="新宋体" w:hint="default"/>
        <w:w w:val="100"/>
        <w:sz w:val="36"/>
        <w:szCs w:val="36"/>
      </w:rPr>
    </w:lvl>
    <w:lvl w:ilvl="1">
      <w:start w:val="0"/>
      <w:numFmt w:val="bullet"/>
      <w:lvlText w:val="•"/>
      <w:lvlJc w:val="left"/>
      <w:pPr>
        <w:ind w:left="2807" w:hanging="540"/>
      </w:pPr>
      <w:rPr>
        <w:rFonts w:hint="default"/>
      </w:rPr>
    </w:lvl>
    <w:lvl w:ilvl="2">
      <w:start w:val="0"/>
      <w:numFmt w:val="bullet"/>
      <w:lvlText w:val="•"/>
      <w:lvlJc w:val="left"/>
      <w:pPr>
        <w:ind w:left="3955" w:hanging="540"/>
      </w:pPr>
      <w:rPr>
        <w:rFonts w:hint="default"/>
      </w:rPr>
    </w:lvl>
    <w:lvl w:ilvl="3">
      <w:start w:val="0"/>
      <w:numFmt w:val="bullet"/>
      <w:lvlText w:val="•"/>
      <w:lvlJc w:val="left"/>
      <w:pPr>
        <w:ind w:left="5103" w:hanging="540"/>
      </w:pPr>
      <w:rPr>
        <w:rFonts w:hint="default"/>
      </w:rPr>
    </w:lvl>
    <w:lvl w:ilvl="4">
      <w:start w:val="0"/>
      <w:numFmt w:val="bullet"/>
      <w:lvlText w:val="•"/>
      <w:lvlJc w:val="left"/>
      <w:pPr>
        <w:ind w:left="6251" w:hanging="540"/>
      </w:pPr>
      <w:rPr>
        <w:rFonts w:hint="default"/>
      </w:rPr>
    </w:lvl>
    <w:lvl w:ilvl="5">
      <w:start w:val="0"/>
      <w:numFmt w:val="bullet"/>
      <w:lvlText w:val="•"/>
      <w:lvlJc w:val="left"/>
      <w:pPr>
        <w:ind w:left="7399" w:hanging="540"/>
      </w:pPr>
      <w:rPr>
        <w:rFonts w:hint="default"/>
      </w:rPr>
    </w:lvl>
    <w:lvl w:ilvl="6">
      <w:start w:val="0"/>
      <w:numFmt w:val="bullet"/>
      <w:lvlText w:val="•"/>
      <w:lvlJc w:val="left"/>
      <w:pPr>
        <w:ind w:left="8547" w:hanging="540"/>
      </w:pPr>
      <w:rPr>
        <w:rFonts w:hint="default"/>
      </w:rPr>
    </w:lvl>
    <w:lvl w:ilvl="7">
      <w:start w:val="0"/>
      <w:numFmt w:val="bullet"/>
      <w:lvlText w:val="•"/>
      <w:lvlJc w:val="left"/>
      <w:pPr>
        <w:ind w:left="9695" w:hanging="540"/>
      </w:pPr>
      <w:rPr>
        <w:rFonts w:hint="default"/>
      </w:rPr>
    </w:lvl>
    <w:lvl w:ilvl="8">
      <w:start w:val="0"/>
      <w:numFmt w:val="bullet"/>
      <w:lvlText w:val="•"/>
      <w:lvlJc w:val="left"/>
      <w:pPr>
        <w:ind w:left="10843" w:hanging="540"/>
      </w:pPr>
      <w:rPr>
        <w:rFonts w:hint="default"/>
      </w:rPr>
    </w:lvl>
  </w:abstractNum>
  <w:num w:numId="1">
    <w:abstractNumId w:val="9"/>
  </w:num>
  <w:num w:numId="2">
    <w:abstractNumId w:val="0"/>
  </w:num>
  <w:num w:numId="3">
    <w:abstractNumId w:val="5"/>
  </w:num>
  <w:num w:numId="4">
    <w:abstractNumId w:val="12"/>
  </w:num>
  <w:num w:numId="5">
    <w:abstractNumId w:val="10"/>
  </w:num>
  <w:num w:numId="6">
    <w:abstractNumId w:val="2"/>
  </w:num>
  <w:num w:numId="7">
    <w:abstractNumId w:val="6"/>
  </w:num>
  <w:num w:numId="8">
    <w:abstractNumId w:val="1"/>
  </w:num>
  <w:num w:numId="9">
    <w:abstractNumId w:val="7"/>
  </w:num>
  <w:num w:numId="10">
    <w:abstractNumId w:val="4"/>
  </w:num>
  <w:num w:numId="11">
    <w:abstractNumId w:val="3"/>
  </w:num>
  <w:num w:numId="12">
    <w:abstractNumId w:val="8"/>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spacing w:before="2"/>
      <w:ind w:left="1020"/>
      <w:outlineLvl w:val="0"/>
    </w:pPr>
    <w:rPr>
      <w:rFonts w:ascii="新宋体" w:eastAsia="新宋体" w:hAnsi="新宋体" w:cs="新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新宋体" w:eastAsia="新宋体" w:hAnsi="新宋体" w:cs="新宋体"/>
      <w:sz w:val="36"/>
      <w:szCs w:val="36"/>
    </w:rPr>
  </w:style>
  <w:style w:type="paragraph" w:styleId="Title">
    <w:name w:val="Title"/>
    <w:basedOn w:val="Normal"/>
    <w:uiPriority w:val="1"/>
    <w:qFormat/>
    <w:pPr>
      <w:spacing w:line="839" w:lineRule="exact"/>
      <w:ind w:left="696" w:right="770"/>
      <w:jc w:val="center"/>
    </w:pPr>
    <w:rPr>
      <w:rFonts w:ascii="黑体" w:eastAsia="黑体" w:hAnsi="黑体" w:cs="黑体"/>
      <w:b/>
      <w:bCs/>
      <w:sz w:val="66"/>
      <w:szCs w:val="66"/>
    </w:rPr>
  </w:style>
  <w:style w:type="paragraph" w:styleId="ListParagraph">
    <w:name w:val="List Paragraph"/>
    <w:basedOn w:val="Normal"/>
    <w:uiPriority w:val="1"/>
    <w:qFormat/>
    <w:pPr>
      <w:spacing w:before="50"/>
      <w:ind w:left="1650" w:hanging="631"/>
    </w:pPr>
    <w:rPr>
      <w:rFonts w:ascii="新宋体" w:eastAsia="新宋体" w:hAnsi="新宋体" w:cs="新宋体"/>
    </w:rPr>
  </w:style>
  <w:style w:type="paragraph" w:customStyle="1" w:styleId="TableParagraph">
    <w:name w:val="Table Paragraph"/>
    <w:basedOn w:val="Normal"/>
    <w:uiPriority w:val="1"/>
    <w:qFormat/>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yperlink" Target="https://d.book118.com/357166045033006044"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2024-01-31T03:51:01Z</dcterms:created>
  <dcterms:modified xsi:type="dcterms:W3CDTF">2024-01-31T03:51:01Z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2024-01-31T00:00:00Z</vt:filetime>
  </property>
</Properties>
</file>