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酸碱平衡调节药相关行业公司成立方案及可行性研究报告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9" w:history="1">
        <w:r>
          <w:rPr>
            <w:rFonts w:ascii="仿宋" w:eastAsia="仿宋" w:hAnsi="仿宋" w:cs="仿宋" w:hint="eastAsia"/>
            <w:lang w:eastAsia="zh-CN"/>
          </w:rPr>
          <w:t>(七)、酸碱平衡调节药项目建设必要性分析</w:t>
        </w:r>
        <w:r>
          <w:tab/>
        </w:r>
        <w:r>
          <w:fldChar w:fldCharType="begin"/>
        </w:r>
        <w:r>
          <w:instrText xml:space="preserve"> PAGEREF _Toc18769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7" w:history="1">
        <w:r>
          <w:rPr>
            <w:rFonts w:ascii="仿宋" w:eastAsia="仿宋" w:hAnsi="仿宋" w:cs="仿宋" w:hint="eastAsia"/>
            <w:lang w:eastAsia="zh-CN"/>
          </w:rPr>
          <w:t>(一)、酸碱平衡调节药项目选址原则</w:t>
        </w:r>
        <w:r>
          <w:tab/>
        </w:r>
        <w:r>
          <w:fldChar w:fldCharType="begin"/>
        </w:r>
        <w:r>
          <w:instrText xml:space="preserve"> PAGEREF _Toc12817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(五)、酸碱平衡调节药项目选址综合评价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六、酸碱平衡调节药项目风险分析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(一)、酸碱平衡调节药项目风险分析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(二)、酸碱平衡调节药项目风险对策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_Toc20979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_Toc18772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(五)、酸碱平衡调节药项目总投资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(一)、社会责任酸碱平衡调节药项目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十四、酸碱平衡调节药项目总结分析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9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https://d.book118.com/358001023132006036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酸碱平衡调节药相关行业公司成立方案及可行性研究报告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酸碱平衡调节药相关行业公司成立方案及可行性研究报告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酸碱平衡调节药相关行业公司成立方案及可行性研究报告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酸碱平衡调节药相关行业公司成立方案及可行性研究报告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酸碱平衡调节药相关行业公司成立方案及可行性研究报告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001023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2024-02-04T13:25:00Z</dcterms:created>
  <dcterms:modified xsi:type="dcterms:W3CDTF">2024-02-04T13:26:04Z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E4BF98DCD7D44EB58451A78E6887D445_11</vt:lpwstr>
  </property>
  <property fmtid="{D5CDD505-2E9C-101B-9397-08002B2CF9AE}" pid="3" name="KSOProductBuildVer">
    <vt:lpwstr>2052-12.1.0.16250</vt:lpwstr>
  </property>
</Properties>
</file>