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数控石油深井测井仪项目规划设计纲要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285" w:history="1">
        <w:r>
          <w:rPr>
            <w:rFonts w:ascii="仿宋" w:eastAsia="仿宋" w:hAnsi="仿宋" w:cs="仿宋" w:hint="eastAsia"/>
            <w:lang w:eastAsia="zh-CN"/>
          </w:rPr>
          <w:t>序言</w:t>
        </w:r>
        <w:r>
          <w:tab/>
        </w:r>
        <w:r>
          <w:fldChar w:fldCharType="begin"/>
        </w:r>
        <w:r>
          <w:instrText xml:space="preserve"> PAGEREF _Toc20285 \h </w:instrText>
        </w:r>
        <w:r>
          <w:fldChar w:fldCharType="separate"/>
        </w:r>
        <w:r>
          <w:t>3</w:t>
        </w:r>
        <w:r>
          <w:fldChar w:fldCharType="end"/>
        </w:r>
      </w:hyperlink>
    </w:p>
    <w:p>
      <w:pPr>
        <w:pStyle w:val="TOC1"/>
        <w:tabs>
          <w:tab w:val="right" w:leader="dot" w:pos="8306"/>
        </w:tabs>
      </w:pPr>
      <w:hyperlink w:anchor="_Toc11707" w:history="1">
        <w:r>
          <w:rPr>
            <w:rFonts w:ascii="仿宋" w:eastAsia="仿宋" w:hAnsi="仿宋" w:cs="仿宋" w:hint="eastAsia"/>
            <w:lang w:eastAsia="zh-CN"/>
          </w:rPr>
          <w:t>一、工艺说明</w:t>
        </w:r>
        <w:r>
          <w:tab/>
        </w:r>
        <w:r>
          <w:fldChar w:fldCharType="begin"/>
        </w:r>
        <w:r>
          <w:instrText xml:space="preserve"> PAGEREF _Toc11707 \h </w:instrText>
        </w:r>
        <w:r>
          <w:fldChar w:fldCharType="separate"/>
        </w:r>
        <w:r>
          <w:t>3</w:t>
        </w:r>
        <w:r>
          <w:fldChar w:fldCharType="end"/>
        </w:r>
      </w:hyperlink>
    </w:p>
    <w:p>
      <w:pPr>
        <w:pStyle w:val="TOC2"/>
        <w:tabs>
          <w:tab w:val="right" w:leader="dot" w:pos="8306"/>
        </w:tabs>
      </w:pPr>
      <w:hyperlink w:anchor="_Toc30917" w:history="1">
        <w:r>
          <w:rPr>
            <w:rFonts w:ascii="仿宋" w:eastAsia="仿宋" w:hAnsi="仿宋" w:cs="仿宋" w:hint="eastAsia"/>
            <w:lang w:eastAsia="zh-CN"/>
          </w:rPr>
          <w:t>(一)、技术管理特点</w:t>
        </w:r>
        <w:r>
          <w:tab/>
        </w:r>
        <w:r>
          <w:fldChar w:fldCharType="begin"/>
        </w:r>
        <w:r>
          <w:instrText xml:space="preserve"> PAGEREF _Toc30917 \h </w:instrText>
        </w:r>
        <w:r>
          <w:fldChar w:fldCharType="separate"/>
        </w:r>
        <w:r>
          <w:t>3</w:t>
        </w:r>
        <w:r>
          <w:fldChar w:fldCharType="end"/>
        </w:r>
      </w:hyperlink>
    </w:p>
    <w:p>
      <w:pPr>
        <w:pStyle w:val="TOC2"/>
        <w:tabs>
          <w:tab w:val="right" w:leader="dot" w:pos="8306"/>
        </w:tabs>
      </w:pPr>
      <w:hyperlink w:anchor="_Toc31052" w:history="1">
        <w:r>
          <w:rPr>
            <w:rFonts w:ascii="仿宋" w:eastAsia="仿宋" w:hAnsi="仿宋" w:cs="仿宋" w:hint="eastAsia"/>
            <w:lang w:eastAsia="zh-CN"/>
          </w:rPr>
          <w:t>(二)、数控石油深井测井仪项目工艺技术设计方案</w:t>
        </w:r>
        <w:r>
          <w:tab/>
        </w:r>
        <w:r>
          <w:fldChar w:fldCharType="begin"/>
        </w:r>
        <w:r>
          <w:instrText xml:space="preserve"> PAGEREF _Toc31052 \h </w:instrText>
        </w:r>
        <w:r>
          <w:fldChar w:fldCharType="separate"/>
        </w:r>
        <w:r>
          <w:t>4</w:t>
        </w:r>
        <w:r>
          <w:fldChar w:fldCharType="end"/>
        </w:r>
      </w:hyperlink>
    </w:p>
    <w:p>
      <w:pPr>
        <w:pStyle w:val="TOC2"/>
        <w:tabs>
          <w:tab w:val="right" w:leader="dot" w:pos="8306"/>
        </w:tabs>
      </w:pPr>
      <w:hyperlink w:anchor="_Toc21302" w:history="1">
        <w:r>
          <w:rPr>
            <w:rFonts w:ascii="仿宋" w:eastAsia="仿宋" w:hAnsi="仿宋" w:cs="仿宋" w:hint="eastAsia"/>
            <w:lang w:eastAsia="zh-CN"/>
          </w:rPr>
          <w:t>(三)、设备选型方案</w:t>
        </w:r>
        <w:r>
          <w:tab/>
        </w:r>
        <w:r>
          <w:fldChar w:fldCharType="begin"/>
        </w:r>
        <w:r>
          <w:instrText xml:space="preserve"> PAGEREF _Toc21302 \h </w:instrText>
        </w:r>
        <w:r>
          <w:fldChar w:fldCharType="separate"/>
        </w:r>
        <w:r>
          <w:t>5</w:t>
        </w:r>
        <w:r>
          <w:fldChar w:fldCharType="end"/>
        </w:r>
      </w:hyperlink>
    </w:p>
    <w:p>
      <w:pPr>
        <w:pStyle w:val="TOC1"/>
        <w:tabs>
          <w:tab w:val="right" w:leader="dot" w:pos="8306"/>
        </w:tabs>
      </w:pPr>
      <w:hyperlink w:anchor="_Toc29095" w:history="1">
        <w:r>
          <w:rPr>
            <w:rFonts w:ascii="仿宋" w:eastAsia="仿宋" w:hAnsi="仿宋" w:cs="仿宋" w:hint="eastAsia"/>
            <w:lang w:eastAsia="zh-CN"/>
          </w:rPr>
          <w:t>二、市场分析、调研</w:t>
        </w:r>
        <w:r>
          <w:tab/>
        </w:r>
        <w:r>
          <w:fldChar w:fldCharType="begin"/>
        </w:r>
        <w:r>
          <w:instrText xml:space="preserve"> PAGEREF _Toc29095 \h </w:instrText>
        </w:r>
        <w:r>
          <w:fldChar w:fldCharType="separate"/>
        </w:r>
        <w:r>
          <w:t>7</w:t>
        </w:r>
        <w:r>
          <w:fldChar w:fldCharType="end"/>
        </w:r>
      </w:hyperlink>
    </w:p>
    <w:p>
      <w:pPr>
        <w:pStyle w:val="TOC2"/>
        <w:tabs>
          <w:tab w:val="right" w:leader="dot" w:pos="8306"/>
        </w:tabs>
      </w:pPr>
      <w:hyperlink w:anchor="_Toc5556" w:history="1">
        <w:r>
          <w:rPr>
            <w:rFonts w:ascii="仿宋" w:eastAsia="仿宋" w:hAnsi="仿宋" w:cs="仿宋" w:hint="eastAsia"/>
            <w:lang w:eastAsia="zh-CN"/>
          </w:rPr>
          <w:t>(一)、数控石油深井测井仪行业分析</w:t>
        </w:r>
        <w:r>
          <w:tab/>
        </w:r>
        <w:r>
          <w:fldChar w:fldCharType="begin"/>
        </w:r>
        <w:r>
          <w:instrText xml:space="preserve"> PAGEREF _Toc5556 \h </w:instrText>
        </w:r>
        <w:r>
          <w:fldChar w:fldCharType="separate"/>
        </w:r>
        <w:r>
          <w:t>7</w:t>
        </w:r>
        <w:r>
          <w:fldChar w:fldCharType="end"/>
        </w:r>
      </w:hyperlink>
    </w:p>
    <w:p>
      <w:pPr>
        <w:pStyle w:val="TOC2"/>
        <w:tabs>
          <w:tab w:val="right" w:leader="dot" w:pos="8306"/>
        </w:tabs>
      </w:pPr>
      <w:hyperlink w:anchor="_Toc24480" w:history="1">
        <w:r>
          <w:rPr>
            <w:rFonts w:ascii="仿宋" w:eastAsia="仿宋" w:hAnsi="仿宋" w:cs="仿宋" w:hint="eastAsia"/>
            <w:lang w:eastAsia="zh-CN"/>
          </w:rPr>
          <w:t>(二)、数控石油深井测井仪市场分析预测</w:t>
        </w:r>
        <w:r>
          <w:tab/>
        </w:r>
        <w:r>
          <w:fldChar w:fldCharType="begin"/>
        </w:r>
        <w:r>
          <w:instrText xml:space="preserve"> PAGEREF _Toc24480 \h </w:instrText>
        </w:r>
        <w:r>
          <w:fldChar w:fldCharType="separate"/>
        </w:r>
        <w:r>
          <w:t>8</w:t>
        </w:r>
        <w:r>
          <w:fldChar w:fldCharType="end"/>
        </w:r>
      </w:hyperlink>
    </w:p>
    <w:p>
      <w:pPr>
        <w:pStyle w:val="TOC1"/>
        <w:tabs>
          <w:tab w:val="right" w:leader="dot" w:pos="8306"/>
        </w:tabs>
      </w:pPr>
      <w:hyperlink w:anchor="_Toc790" w:history="1">
        <w:r>
          <w:rPr>
            <w:rFonts w:ascii="仿宋" w:eastAsia="仿宋" w:hAnsi="仿宋" w:cs="仿宋" w:hint="eastAsia"/>
            <w:lang w:eastAsia="zh-CN"/>
          </w:rPr>
          <w:t>三、数控石油深井测井仪项目选址可行性分析</w:t>
        </w:r>
        <w:r>
          <w:tab/>
        </w:r>
        <w:r>
          <w:fldChar w:fldCharType="begin"/>
        </w:r>
        <w:r>
          <w:instrText xml:space="preserve"> PAGEREF _Toc790 \h </w:instrText>
        </w:r>
        <w:r>
          <w:fldChar w:fldCharType="separate"/>
        </w:r>
        <w:r>
          <w:t>8</w:t>
        </w:r>
        <w:r>
          <w:fldChar w:fldCharType="end"/>
        </w:r>
      </w:hyperlink>
    </w:p>
    <w:p>
      <w:pPr>
        <w:pStyle w:val="TOC2"/>
        <w:tabs>
          <w:tab w:val="right" w:leader="dot" w:pos="8306"/>
        </w:tabs>
      </w:pPr>
      <w:hyperlink w:anchor="_Toc27318" w:history="1">
        <w:r>
          <w:rPr>
            <w:rFonts w:ascii="仿宋" w:eastAsia="仿宋" w:hAnsi="仿宋" w:cs="仿宋" w:hint="eastAsia"/>
            <w:lang w:eastAsia="zh-CN"/>
          </w:rPr>
          <w:t>(一)、数控石油深井测井仪项目选址</w:t>
        </w:r>
        <w:r>
          <w:tab/>
        </w:r>
        <w:r>
          <w:fldChar w:fldCharType="begin"/>
        </w:r>
        <w:r>
          <w:instrText xml:space="preserve"> PAGEREF _Toc27318 \h </w:instrText>
        </w:r>
        <w:r>
          <w:fldChar w:fldCharType="separate"/>
        </w:r>
        <w:r>
          <w:t>8</w:t>
        </w:r>
        <w:r>
          <w:fldChar w:fldCharType="end"/>
        </w:r>
      </w:hyperlink>
    </w:p>
    <w:p>
      <w:pPr>
        <w:pStyle w:val="TOC2"/>
        <w:tabs>
          <w:tab w:val="right" w:leader="dot" w:pos="8306"/>
        </w:tabs>
      </w:pPr>
      <w:hyperlink w:anchor="_Toc31933" w:history="1">
        <w:r>
          <w:rPr>
            <w:rFonts w:ascii="仿宋" w:eastAsia="仿宋" w:hAnsi="仿宋" w:cs="仿宋" w:hint="eastAsia"/>
            <w:lang w:eastAsia="zh-CN"/>
          </w:rPr>
          <w:t>(二)、用地控制指标</w:t>
        </w:r>
        <w:r>
          <w:tab/>
        </w:r>
        <w:r>
          <w:fldChar w:fldCharType="begin"/>
        </w:r>
        <w:r>
          <w:instrText xml:space="preserve"> PAGEREF _Toc31933 \h </w:instrText>
        </w:r>
        <w:r>
          <w:fldChar w:fldCharType="separate"/>
        </w:r>
        <w:r>
          <w:t>9</w:t>
        </w:r>
        <w:r>
          <w:fldChar w:fldCharType="end"/>
        </w:r>
      </w:hyperlink>
    </w:p>
    <w:p>
      <w:pPr>
        <w:pStyle w:val="TOC2"/>
        <w:tabs>
          <w:tab w:val="right" w:leader="dot" w:pos="8306"/>
        </w:tabs>
      </w:pPr>
      <w:hyperlink w:anchor="_Toc28451" w:history="1">
        <w:r>
          <w:rPr>
            <w:rFonts w:ascii="仿宋" w:eastAsia="仿宋" w:hAnsi="仿宋" w:cs="仿宋" w:hint="eastAsia"/>
            <w:lang w:eastAsia="zh-CN"/>
          </w:rPr>
          <w:t>(三)、节约用地措施</w:t>
        </w:r>
        <w:r>
          <w:tab/>
        </w:r>
        <w:r>
          <w:fldChar w:fldCharType="begin"/>
        </w:r>
        <w:r>
          <w:instrText xml:space="preserve"> PAGEREF _Toc28451 \h </w:instrText>
        </w:r>
        <w:r>
          <w:fldChar w:fldCharType="separate"/>
        </w:r>
        <w:r>
          <w:t>11</w:t>
        </w:r>
        <w:r>
          <w:fldChar w:fldCharType="end"/>
        </w:r>
      </w:hyperlink>
    </w:p>
    <w:p>
      <w:pPr>
        <w:pStyle w:val="TOC2"/>
        <w:tabs>
          <w:tab w:val="right" w:leader="dot" w:pos="8306"/>
        </w:tabs>
      </w:pPr>
      <w:hyperlink w:anchor="_Toc21743" w:history="1">
        <w:r>
          <w:rPr>
            <w:rFonts w:ascii="仿宋" w:eastAsia="仿宋" w:hAnsi="仿宋" w:cs="仿宋" w:hint="eastAsia"/>
            <w:lang w:eastAsia="zh-CN"/>
          </w:rPr>
          <w:t>(四)、总图布置方案</w:t>
        </w:r>
        <w:r>
          <w:tab/>
        </w:r>
        <w:r>
          <w:fldChar w:fldCharType="begin"/>
        </w:r>
        <w:r>
          <w:instrText xml:space="preserve"> PAGEREF _Toc21743 \h </w:instrText>
        </w:r>
        <w:r>
          <w:fldChar w:fldCharType="separate"/>
        </w:r>
        <w:r>
          <w:t>12</w:t>
        </w:r>
        <w:r>
          <w:fldChar w:fldCharType="end"/>
        </w:r>
      </w:hyperlink>
    </w:p>
    <w:p>
      <w:pPr>
        <w:pStyle w:val="TOC2"/>
        <w:tabs>
          <w:tab w:val="right" w:leader="dot" w:pos="8306"/>
        </w:tabs>
      </w:pPr>
      <w:hyperlink w:anchor="_Toc2365" w:history="1">
        <w:r>
          <w:rPr>
            <w:rFonts w:ascii="仿宋" w:eastAsia="仿宋" w:hAnsi="仿宋" w:cs="仿宋" w:hint="eastAsia"/>
            <w:lang w:eastAsia="zh-CN"/>
          </w:rPr>
          <w:t>(五)、选址综合评价</w:t>
        </w:r>
        <w:r>
          <w:tab/>
        </w:r>
        <w:r>
          <w:fldChar w:fldCharType="begin"/>
        </w:r>
        <w:r>
          <w:instrText xml:space="preserve"> PAGEREF _Toc2365 \h </w:instrText>
        </w:r>
        <w:r>
          <w:fldChar w:fldCharType="separate"/>
        </w:r>
        <w:r>
          <w:t>13</w:t>
        </w:r>
        <w:r>
          <w:fldChar w:fldCharType="end"/>
        </w:r>
      </w:hyperlink>
    </w:p>
    <w:p>
      <w:pPr>
        <w:pStyle w:val="TOC1"/>
        <w:tabs>
          <w:tab w:val="right" w:leader="dot" w:pos="8306"/>
        </w:tabs>
      </w:pPr>
      <w:hyperlink w:anchor="_Toc9518" w:history="1">
        <w:r>
          <w:rPr>
            <w:rFonts w:ascii="仿宋" w:eastAsia="仿宋" w:hAnsi="仿宋" w:cs="仿宋" w:hint="eastAsia"/>
            <w:lang w:eastAsia="zh-CN"/>
          </w:rPr>
          <w:t>四、数控石油深井测井仪项目建设背景及必要性分析</w:t>
        </w:r>
        <w:r>
          <w:tab/>
        </w:r>
        <w:r>
          <w:fldChar w:fldCharType="begin"/>
        </w:r>
        <w:r>
          <w:instrText xml:space="preserve"> PAGEREF _Toc9518 \h </w:instrText>
        </w:r>
        <w:r>
          <w:fldChar w:fldCharType="separate"/>
        </w:r>
        <w:r>
          <w:t>14</w:t>
        </w:r>
        <w:r>
          <w:fldChar w:fldCharType="end"/>
        </w:r>
      </w:hyperlink>
    </w:p>
    <w:p>
      <w:pPr>
        <w:pStyle w:val="TOC2"/>
        <w:tabs>
          <w:tab w:val="right" w:leader="dot" w:pos="8306"/>
        </w:tabs>
      </w:pPr>
      <w:hyperlink w:anchor="_Toc10491" w:history="1">
        <w:r>
          <w:rPr>
            <w:rFonts w:ascii="仿宋" w:eastAsia="仿宋" w:hAnsi="仿宋" w:cs="仿宋" w:hint="eastAsia"/>
            <w:lang w:eastAsia="zh-CN"/>
          </w:rPr>
          <w:t>(一)、数控石油深井测井仪项目背景分析</w:t>
        </w:r>
        <w:r>
          <w:tab/>
        </w:r>
        <w:r>
          <w:fldChar w:fldCharType="begin"/>
        </w:r>
        <w:r>
          <w:instrText xml:space="preserve"> PAGEREF _Toc10491 \h </w:instrText>
        </w:r>
        <w:r>
          <w:fldChar w:fldCharType="separate"/>
        </w:r>
        <w:r>
          <w:t>14</w:t>
        </w:r>
        <w:r>
          <w:fldChar w:fldCharType="end"/>
        </w:r>
      </w:hyperlink>
    </w:p>
    <w:p>
      <w:pPr>
        <w:pStyle w:val="TOC2"/>
        <w:tabs>
          <w:tab w:val="right" w:leader="dot" w:pos="8306"/>
        </w:tabs>
      </w:pPr>
      <w:hyperlink w:anchor="_Toc20517" w:history="1">
        <w:r>
          <w:rPr>
            <w:rFonts w:ascii="仿宋" w:eastAsia="仿宋" w:hAnsi="仿宋" w:cs="仿宋" w:hint="eastAsia"/>
            <w:lang w:eastAsia="zh-CN"/>
          </w:rPr>
          <w:t>(二)、数控石油深井测井仪项目建设必要性分析</w:t>
        </w:r>
        <w:r>
          <w:tab/>
        </w:r>
        <w:r>
          <w:fldChar w:fldCharType="begin"/>
        </w:r>
        <w:r>
          <w:instrText xml:space="preserve"> PAGEREF _Toc20517 \h </w:instrText>
        </w:r>
        <w:r>
          <w:fldChar w:fldCharType="separate"/>
        </w:r>
        <w:r>
          <w:t>16</w:t>
        </w:r>
        <w:r>
          <w:fldChar w:fldCharType="end"/>
        </w:r>
      </w:hyperlink>
    </w:p>
    <w:p>
      <w:pPr>
        <w:pStyle w:val="TOC1"/>
        <w:tabs>
          <w:tab w:val="right" w:leader="dot" w:pos="8306"/>
        </w:tabs>
      </w:pPr>
      <w:hyperlink w:anchor="_Toc22181" w:history="1">
        <w:r>
          <w:rPr>
            <w:rFonts w:ascii="仿宋" w:eastAsia="仿宋" w:hAnsi="仿宋" w:cs="仿宋" w:hint="eastAsia"/>
            <w:lang w:eastAsia="zh-CN"/>
          </w:rPr>
          <w:t>五、数控石油深井测井仪项目绩效评估</w:t>
        </w:r>
        <w:r>
          <w:tab/>
        </w:r>
        <w:r>
          <w:fldChar w:fldCharType="begin"/>
        </w:r>
        <w:r>
          <w:instrText xml:space="preserve"> PAGEREF _Toc22181 \h </w:instrText>
        </w:r>
        <w:r>
          <w:fldChar w:fldCharType="separate"/>
        </w:r>
        <w:r>
          <w:t>17</w:t>
        </w:r>
        <w:r>
          <w:fldChar w:fldCharType="end"/>
        </w:r>
      </w:hyperlink>
    </w:p>
    <w:p>
      <w:pPr>
        <w:pStyle w:val="TOC2"/>
        <w:tabs>
          <w:tab w:val="right" w:leader="dot" w:pos="8306"/>
        </w:tabs>
      </w:pPr>
      <w:hyperlink w:anchor="_Toc21535" w:history="1">
        <w:r>
          <w:rPr>
            <w:rFonts w:ascii="仿宋" w:eastAsia="仿宋" w:hAnsi="仿宋" w:cs="仿宋" w:hint="eastAsia"/>
            <w:lang w:eastAsia="zh-CN"/>
          </w:rPr>
          <w:t>(一)、绩效评估指标</w:t>
        </w:r>
        <w:r>
          <w:tab/>
        </w:r>
        <w:r>
          <w:fldChar w:fldCharType="begin"/>
        </w:r>
        <w:r>
          <w:instrText xml:space="preserve"> PAGEREF _Toc21535 \h </w:instrText>
        </w:r>
        <w:r>
          <w:fldChar w:fldCharType="separate"/>
        </w:r>
        <w:r>
          <w:t>17</w:t>
        </w:r>
        <w:r>
          <w:fldChar w:fldCharType="end"/>
        </w:r>
      </w:hyperlink>
    </w:p>
    <w:p>
      <w:pPr>
        <w:pStyle w:val="TOC2"/>
        <w:tabs>
          <w:tab w:val="right" w:leader="dot" w:pos="8306"/>
        </w:tabs>
      </w:pPr>
      <w:hyperlink w:anchor="_Toc23024" w:history="1">
        <w:r>
          <w:rPr>
            <w:rFonts w:ascii="仿宋" w:eastAsia="仿宋" w:hAnsi="仿宋" w:cs="仿宋" w:hint="eastAsia"/>
            <w:lang w:eastAsia="zh-CN"/>
          </w:rPr>
          <w:t>(二)、绩效评估方法</w:t>
        </w:r>
        <w:r>
          <w:tab/>
        </w:r>
        <w:r>
          <w:fldChar w:fldCharType="begin"/>
        </w:r>
        <w:r>
          <w:instrText xml:space="preserve"> PAGEREF _Toc23024 \h </w:instrText>
        </w:r>
        <w:r>
          <w:fldChar w:fldCharType="separate"/>
        </w:r>
        <w:r>
          <w:t>18</w:t>
        </w:r>
        <w:r>
          <w:fldChar w:fldCharType="end"/>
        </w:r>
      </w:hyperlink>
    </w:p>
    <w:p>
      <w:pPr>
        <w:pStyle w:val="TOC2"/>
        <w:tabs>
          <w:tab w:val="right" w:leader="dot" w:pos="8306"/>
        </w:tabs>
      </w:pPr>
      <w:hyperlink w:anchor="_Toc31276" w:history="1">
        <w:r>
          <w:rPr>
            <w:rFonts w:ascii="仿宋" w:eastAsia="仿宋" w:hAnsi="仿宋" w:cs="仿宋" w:hint="eastAsia"/>
            <w:lang w:eastAsia="zh-CN"/>
          </w:rPr>
          <w:t>(三)、绩效评估周期</w:t>
        </w:r>
        <w:r>
          <w:tab/>
        </w:r>
        <w:r>
          <w:fldChar w:fldCharType="begin"/>
        </w:r>
        <w:r>
          <w:instrText xml:space="preserve"> PAGEREF _Toc31276 \h </w:instrText>
        </w:r>
        <w:r>
          <w:fldChar w:fldCharType="separate"/>
        </w:r>
        <w:r>
          <w:t>20</w:t>
        </w:r>
        <w:r>
          <w:fldChar w:fldCharType="end"/>
        </w:r>
      </w:hyperlink>
    </w:p>
    <w:p>
      <w:pPr>
        <w:pStyle w:val="TOC1"/>
        <w:tabs>
          <w:tab w:val="right" w:leader="dot" w:pos="8306"/>
        </w:tabs>
      </w:pPr>
      <w:hyperlink w:anchor="_Toc16155" w:history="1">
        <w:r>
          <w:rPr>
            <w:rFonts w:ascii="仿宋" w:eastAsia="仿宋" w:hAnsi="仿宋" w:cs="仿宋" w:hint="eastAsia"/>
            <w:lang w:eastAsia="zh-CN"/>
          </w:rPr>
          <w:t>六、数控石油深井测井仪项目文档管理</w:t>
        </w:r>
        <w:r>
          <w:tab/>
        </w:r>
        <w:r>
          <w:fldChar w:fldCharType="begin"/>
        </w:r>
        <w:r>
          <w:instrText xml:space="preserve"> PAGEREF _Toc16155 \h </w:instrText>
        </w:r>
        <w:r>
          <w:fldChar w:fldCharType="separate"/>
        </w:r>
        <w:r>
          <w:t>21</w:t>
        </w:r>
        <w:r>
          <w:fldChar w:fldCharType="end"/>
        </w:r>
      </w:hyperlink>
    </w:p>
    <w:p>
      <w:pPr>
        <w:pStyle w:val="TOC2"/>
        <w:tabs>
          <w:tab w:val="right" w:leader="dot" w:pos="8306"/>
        </w:tabs>
      </w:pPr>
      <w:hyperlink w:anchor="_Toc3926" w:history="1">
        <w:r>
          <w:rPr>
            <w:rFonts w:ascii="仿宋" w:eastAsia="仿宋" w:hAnsi="仿宋" w:cs="仿宋" w:hint="eastAsia"/>
            <w:lang w:eastAsia="zh-CN"/>
          </w:rPr>
          <w:t>(一)、文档编制与审查</w:t>
        </w:r>
        <w:r>
          <w:tab/>
        </w:r>
        <w:r>
          <w:fldChar w:fldCharType="begin"/>
        </w:r>
        <w:r>
          <w:instrText xml:space="preserve"> PAGEREF _Toc3926 \h </w:instrText>
        </w:r>
        <w:r>
          <w:fldChar w:fldCharType="separate"/>
        </w:r>
        <w:r>
          <w:t>21</w:t>
        </w:r>
        <w:r>
          <w:fldChar w:fldCharType="end"/>
        </w:r>
      </w:hyperlink>
    </w:p>
    <w:p>
      <w:pPr>
        <w:pStyle w:val="TOC2"/>
        <w:tabs>
          <w:tab w:val="right" w:leader="dot" w:pos="8306"/>
        </w:tabs>
      </w:pPr>
      <w:hyperlink w:anchor="_Toc20931" w:history="1">
        <w:r>
          <w:rPr>
            <w:rFonts w:ascii="仿宋" w:eastAsia="仿宋" w:hAnsi="仿宋" w:cs="仿宋" w:hint="eastAsia"/>
            <w:lang w:eastAsia="zh-CN"/>
          </w:rPr>
          <w:t>(二)、文档发布与分发</w:t>
        </w:r>
        <w:r>
          <w:tab/>
        </w:r>
        <w:r>
          <w:fldChar w:fldCharType="begin"/>
        </w:r>
        <w:r>
          <w:instrText xml:space="preserve"> PAGEREF _Toc20931 \h </w:instrText>
        </w:r>
        <w:r>
          <w:fldChar w:fldCharType="separate"/>
        </w:r>
        <w:r>
          <w:t>22</w:t>
        </w:r>
        <w:r>
          <w:fldChar w:fldCharType="end"/>
        </w:r>
      </w:hyperlink>
    </w:p>
    <w:p>
      <w:pPr>
        <w:pStyle w:val="TOC2"/>
        <w:tabs>
          <w:tab w:val="right" w:leader="dot" w:pos="8306"/>
        </w:tabs>
      </w:pPr>
      <w:hyperlink w:anchor="_Toc147" w:history="1">
        <w:r>
          <w:rPr>
            <w:rFonts w:ascii="仿宋" w:eastAsia="仿宋" w:hAnsi="仿宋" w:cs="仿宋" w:hint="eastAsia"/>
            <w:lang w:eastAsia="zh-CN"/>
          </w:rPr>
          <w:t>(三)、文档存档与归档</w:t>
        </w:r>
        <w:r>
          <w:tab/>
        </w:r>
        <w:r>
          <w:fldChar w:fldCharType="begin"/>
        </w:r>
        <w:r>
          <w:instrText xml:space="preserve"> PAGEREF _Toc147 \h </w:instrText>
        </w:r>
        <w:r>
          <w:fldChar w:fldCharType="separate"/>
        </w:r>
        <w:r>
          <w:t>23</w:t>
        </w:r>
        <w:r>
          <w:fldChar w:fldCharType="end"/>
        </w:r>
      </w:hyperlink>
    </w:p>
    <w:p>
      <w:pPr>
        <w:pStyle w:val="TOC1"/>
        <w:tabs>
          <w:tab w:val="right" w:leader="dot" w:pos="8306"/>
        </w:tabs>
      </w:pPr>
      <w:hyperlink w:anchor="_Toc9096" w:history="1">
        <w:r>
          <w:rPr>
            <w:rFonts w:ascii="仿宋" w:eastAsia="仿宋" w:hAnsi="仿宋" w:cs="仿宋" w:hint="eastAsia"/>
            <w:lang w:eastAsia="zh-CN"/>
          </w:rPr>
          <w:t>七、数控石油深井测井仪项目人力资源培养与发展</w:t>
        </w:r>
        <w:r>
          <w:tab/>
        </w:r>
        <w:r>
          <w:fldChar w:fldCharType="begin"/>
        </w:r>
        <w:r>
          <w:instrText xml:space="preserve"> PAGEREF _Toc9096 \h </w:instrText>
        </w:r>
        <w:r>
          <w:fldChar w:fldCharType="separate"/>
        </w:r>
        <w:r>
          <w:t>24</w:t>
        </w:r>
        <w:r>
          <w:fldChar w:fldCharType="end"/>
        </w:r>
      </w:hyperlink>
    </w:p>
    <w:p>
      <w:pPr>
        <w:pStyle w:val="TOC2"/>
        <w:tabs>
          <w:tab w:val="right" w:leader="dot" w:pos="8306"/>
        </w:tabs>
      </w:pPr>
      <w:hyperlink w:anchor="_Toc14183" w:history="1">
        <w:r>
          <w:rPr>
            <w:rFonts w:ascii="仿宋" w:eastAsia="仿宋" w:hAnsi="仿宋" w:cs="仿宋" w:hint="eastAsia"/>
            <w:lang w:eastAsia="zh-CN"/>
          </w:rPr>
          <w:t>(一)、人才需求与规划</w:t>
        </w:r>
        <w:r>
          <w:tab/>
        </w:r>
        <w:r>
          <w:fldChar w:fldCharType="begin"/>
        </w:r>
        <w:r>
          <w:instrText xml:space="preserve"> PAGEREF _Toc14183 \h </w:instrText>
        </w:r>
        <w:r>
          <w:fldChar w:fldCharType="separate"/>
        </w:r>
        <w:r>
          <w:t>24</w:t>
        </w:r>
        <w:r>
          <w:fldChar w:fldCharType="end"/>
        </w:r>
      </w:hyperlink>
    </w:p>
    <w:p>
      <w:pPr>
        <w:pStyle w:val="TOC2"/>
        <w:tabs>
          <w:tab w:val="right" w:leader="dot" w:pos="8306"/>
        </w:tabs>
      </w:pPr>
      <w:hyperlink w:anchor="_Toc9409" w:history="1">
        <w:r>
          <w:rPr>
            <w:rFonts w:ascii="仿宋" w:eastAsia="仿宋" w:hAnsi="仿宋" w:cs="仿宋" w:hint="eastAsia"/>
            <w:lang w:eastAsia="zh-CN"/>
          </w:rPr>
          <w:t>(二)、培训与发展计划</w:t>
        </w:r>
        <w:r>
          <w:tab/>
        </w:r>
        <w:r>
          <w:fldChar w:fldCharType="begin"/>
        </w:r>
        <w:r>
          <w:instrText xml:space="preserve"> PAGEREF _Toc9409 \h </w:instrText>
        </w:r>
        <w:r>
          <w:fldChar w:fldCharType="separate"/>
        </w:r>
        <w:r>
          <w:t>25</w:t>
        </w:r>
        <w:r>
          <w:fldChar w:fldCharType="end"/>
        </w:r>
      </w:hyperlink>
    </w:p>
    <w:p>
      <w:pPr>
        <w:pStyle w:val="TOC1"/>
        <w:tabs>
          <w:tab w:val="right" w:leader="dot" w:pos="8306"/>
        </w:tabs>
      </w:pPr>
      <w:hyperlink w:anchor="_Toc17474" w:history="1">
        <w:r>
          <w:rPr>
            <w:rFonts w:ascii="仿宋" w:eastAsia="仿宋" w:hAnsi="仿宋" w:cs="仿宋" w:hint="eastAsia"/>
            <w:lang w:eastAsia="zh-CN"/>
          </w:rPr>
          <w:t>八、数控石油深井测井仪项目技术管理</w:t>
        </w:r>
        <w:r>
          <w:tab/>
        </w:r>
        <w:r>
          <w:fldChar w:fldCharType="begin"/>
        </w:r>
        <w:r>
          <w:instrText xml:space="preserve"> PAGEREF _Toc17474 \h </w:instrText>
        </w:r>
        <w:r>
          <w:fldChar w:fldCharType="separate"/>
        </w:r>
        <w:r>
          <w:t>25</w:t>
        </w:r>
        <w:r>
          <w:fldChar w:fldCharType="end"/>
        </w:r>
      </w:hyperlink>
    </w:p>
    <w:p>
      <w:pPr>
        <w:pStyle w:val="TOC2"/>
        <w:tabs>
          <w:tab w:val="right" w:leader="dot" w:pos="8306"/>
        </w:tabs>
      </w:pPr>
      <w:hyperlink w:anchor="_Toc18372" w:history="1">
        <w:r>
          <w:rPr>
            <w:rFonts w:ascii="仿宋" w:eastAsia="仿宋" w:hAnsi="仿宋" w:cs="仿宋" w:hint="eastAsia"/>
            <w:lang w:eastAsia="zh-CN"/>
          </w:rPr>
          <w:t>(一)、技术方案选用方向</w:t>
        </w:r>
        <w:r>
          <w:tab/>
        </w:r>
        <w:r>
          <w:fldChar w:fldCharType="begin"/>
        </w:r>
        <w:r>
          <w:instrText xml:space="preserve"> PAGEREF _Toc18372 \h </w:instrText>
        </w:r>
        <w:r>
          <w:fldChar w:fldCharType="separate"/>
        </w:r>
        <w:r>
          <w:t>25</w:t>
        </w:r>
        <w:r>
          <w:fldChar w:fldCharType="end"/>
        </w:r>
      </w:hyperlink>
    </w:p>
    <w:p>
      <w:pPr>
        <w:pStyle w:val="TOC2"/>
        <w:tabs>
          <w:tab w:val="right" w:leader="dot" w:pos="8306"/>
        </w:tabs>
      </w:pPr>
      <w:hyperlink w:anchor="_Toc3359" w:history="1">
        <w:r>
          <w:rPr>
            <w:rFonts w:ascii="仿宋" w:eastAsia="仿宋" w:hAnsi="仿宋" w:cs="仿宋" w:hint="eastAsia"/>
            <w:lang w:eastAsia="zh-CN"/>
          </w:rPr>
          <w:t>(二)、工艺技术方案选用原则</w:t>
        </w:r>
        <w:r>
          <w:tab/>
        </w:r>
        <w:r>
          <w:fldChar w:fldCharType="begin"/>
        </w:r>
        <w:r>
          <w:instrText xml:space="preserve"> PAGEREF _Toc3359 \h </w:instrText>
        </w:r>
        <w:r>
          <w:fldChar w:fldCharType="separate"/>
        </w:r>
        <w:r>
          <w:t>27</w:t>
        </w:r>
        <w:r>
          <w:fldChar w:fldCharType="end"/>
        </w:r>
      </w:hyperlink>
    </w:p>
    <w:p>
      <w:pPr>
        <w:pStyle w:val="TOC2"/>
        <w:tabs>
          <w:tab w:val="right" w:leader="dot" w:pos="8306"/>
        </w:tabs>
      </w:pPr>
      <w:hyperlink w:anchor="_Toc11159" w:history="1">
        <w:r>
          <w:rPr>
            <w:rFonts w:ascii="仿宋" w:eastAsia="仿宋" w:hAnsi="仿宋" w:cs="仿宋" w:hint="eastAsia"/>
            <w:lang w:eastAsia="zh-CN"/>
          </w:rPr>
          <w:t>(三)、工艺技术方案要求</w:t>
        </w:r>
        <w:r>
          <w:tab/>
        </w:r>
        <w:r>
          <w:fldChar w:fldCharType="begin"/>
        </w:r>
        <w:r>
          <w:instrText xml:space="preserve"> PAGEREF _Toc11159 \h </w:instrText>
        </w:r>
        <w:r>
          <w:fldChar w:fldCharType="separate"/>
        </w:r>
        <w:r>
          <w:t>29</w:t>
        </w:r>
        <w:r>
          <w:fldChar w:fldCharType="end"/>
        </w:r>
      </w:hyperlink>
    </w:p>
    <w:p>
      <w:pPr>
        <w:pStyle w:val="TOC1"/>
        <w:tabs>
          <w:tab w:val="right" w:leader="dot" w:pos="8306"/>
        </w:tabs>
      </w:pPr>
      <w:hyperlink w:anchor="_Toc10752" w:history="1">
        <w:r>
          <w:rPr>
            <w:rFonts w:ascii="仿宋" w:eastAsia="仿宋" w:hAnsi="仿宋" w:cs="仿宋" w:hint="eastAsia"/>
            <w:lang w:eastAsia="zh-CN"/>
          </w:rPr>
          <w:t>九、数控石油深井测井仪项目社会影响</w:t>
        </w:r>
        <w:r>
          <w:tab/>
        </w:r>
        <w:r>
          <w:fldChar w:fldCharType="begin"/>
        </w:r>
        <w:r>
          <w:instrText xml:space="preserve"> PAGEREF _Toc10752 \h </w:instrText>
        </w:r>
        <w:r>
          <w:fldChar w:fldCharType="separate"/>
        </w:r>
        <w:r>
          <w:t>32</w:t>
        </w:r>
        <w:r>
          <w:fldChar w:fldCharType="end"/>
        </w:r>
      </w:hyperlink>
    </w:p>
    <w:p>
      <w:pPr>
        <w:pStyle w:val="TOC2"/>
        <w:tabs>
          <w:tab w:val="right" w:leader="dot" w:pos="8306"/>
        </w:tabs>
      </w:pPr>
      <w:hyperlink w:anchor="_Toc28935" w:history="1">
        <w:r>
          <w:rPr>
            <w:rFonts w:ascii="仿宋" w:eastAsia="仿宋" w:hAnsi="仿宋" w:cs="仿宋" w:hint="eastAsia"/>
            <w:lang w:eastAsia="zh-CN"/>
          </w:rPr>
          <w:t>(一)、社会责任与义务</w:t>
        </w:r>
        <w:r>
          <w:tab/>
        </w:r>
        <w:r>
          <w:fldChar w:fldCharType="begin"/>
        </w:r>
        <w:r>
          <w:instrText xml:space="preserve"> PAGEREF _Toc28935 \h </w:instrText>
        </w:r>
        <w:r>
          <w:fldChar w:fldCharType="separate"/>
        </w:r>
        <w:r>
          <w:t>32</w:t>
        </w:r>
        <w:r>
          <w:fldChar w:fldCharType="end"/>
        </w:r>
      </w:hyperlink>
    </w:p>
    <w:p>
      <w:pPr>
        <w:pStyle w:val="TOC2"/>
        <w:tabs>
          <w:tab w:val="right" w:leader="dot" w:pos="8306"/>
        </w:tabs>
      </w:pPr>
      <w:hyperlink w:anchor="_Toc9763" w:history="1">
        <w:r>
          <w:rPr>
            <w:rFonts w:ascii="仿宋" w:eastAsia="仿宋" w:hAnsi="仿宋" w:cs="仿宋" w:hint="eastAsia"/>
            <w:lang w:eastAsia="zh-CN"/>
          </w:rPr>
          <w:t>(二)、社会参与与沟通</w:t>
        </w:r>
        <w:r>
          <w:tab/>
        </w:r>
        <w:r>
          <w:fldChar w:fldCharType="begin"/>
        </w:r>
        <w:r>
          <w:instrText xml:space="preserve"> PAGEREF _Toc9763 \h </w:instrText>
        </w:r>
        <w:r>
          <w:fldChar w:fldCharType="separate"/>
        </w:r>
        <w:r>
          <w:t>32</w:t>
        </w:r>
        <w:r>
          <w:fldChar w:fldCharType="end"/>
        </w:r>
      </w:hyperlink>
    </w:p>
    <w:p>
      <w:pPr>
        <w:pStyle w:val="TOC1"/>
        <w:tabs>
          <w:tab w:val="right" w:leader="dot" w:pos="8306"/>
        </w:tabs>
      </w:pPr>
      <w:hyperlink w:anchor="_Toc13672" w:history="1">
        <w:r>
          <w:rPr>
            <w:rFonts w:ascii="仿宋" w:eastAsia="仿宋" w:hAnsi="仿宋" w:cs="仿宋" w:hint="eastAsia"/>
            <w:lang w:eastAsia="zh-CN"/>
          </w:rPr>
          <w:t>十、生产安全保护</w:t>
        </w:r>
        <w:r>
          <w:tab/>
        </w:r>
        <w:r>
          <w:fldChar w:fldCharType="begin"/>
        </w:r>
        <w:r>
          <w:instrText xml:space="preserve"> PAGEREF _Toc13672 \h </w:instrText>
        </w:r>
        <w:r>
          <w:fldChar w:fldCharType="separate"/>
        </w:r>
        <w:r>
          <w:t>33</w:t>
        </w:r>
        <w:r>
          <w:fldChar w:fldCharType="end"/>
        </w:r>
      </w:hyperlink>
    </w:p>
    <w:p>
      <w:pPr>
        <w:pStyle w:val="TOC2"/>
        <w:tabs>
          <w:tab w:val="right" w:leader="dot" w:pos="8306"/>
        </w:tabs>
      </w:pPr>
      <w:hyperlink w:anchor="_Toc21560" w:history="1">
        <w:r>
          <w:rPr>
            <w:rFonts w:ascii="仿宋" w:eastAsia="仿宋" w:hAnsi="仿宋" w:cs="仿宋" w:hint="eastAsia"/>
            <w:lang w:eastAsia="zh-CN"/>
          </w:rPr>
          <w:t>(一)、消防安全</w:t>
        </w:r>
        <w:r>
          <w:tab/>
        </w:r>
        <w:r>
          <w:fldChar w:fldCharType="begin"/>
        </w:r>
        <w:r>
          <w:instrText xml:space="preserve"> PAGEREF _Toc21560 \h </w:instrText>
        </w:r>
        <w:r>
          <w:fldChar w:fldCharType="separate"/>
        </w:r>
        <w:r>
          <w:t>33</w:t>
        </w:r>
        <w:r>
          <w:fldChar w:fldCharType="end"/>
        </w:r>
      </w:hyperlink>
    </w:p>
    <w:p>
      <w:pPr>
        <w:pStyle w:val="TOC2"/>
        <w:tabs>
          <w:tab w:val="right" w:leader="dot" w:pos="8306"/>
        </w:tabs>
      </w:pPr>
      <w:hyperlink w:anchor="_Toc18592" w:history="1">
        <w:r>
          <w:rPr>
            <w:rFonts w:ascii="仿宋" w:eastAsia="仿宋" w:hAnsi="仿宋" w:cs="仿宋" w:hint="eastAsia"/>
            <w:lang w:eastAsia="zh-CN"/>
          </w:rPr>
          <w:t>(二)、防火防爆总图布置措施</w:t>
        </w:r>
        <w:r>
          <w:tab/>
        </w:r>
        <w:r>
          <w:fldChar w:fldCharType="begin"/>
        </w:r>
        <w:r>
          <w:instrText xml:space="preserve"> PAGEREF _Toc18592 \h </w:instrText>
        </w:r>
        <w:r>
          <w:fldChar w:fldCharType="separate"/>
        </w:r>
        <w:r>
          <w:t>35</w:t>
        </w:r>
        <w:r>
          <w:fldChar w:fldCharType="end"/>
        </w:r>
      </w:hyperlink>
    </w:p>
    <w:p>
      <w:pPr>
        <w:pStyle w:val="TOC2"/>
        <w:tabs>
          <w:tab w:val="right" w:leader="dot" w:pos="8306"/>
        </w:tabs>
      </w:pPr>
      <w:hyperlink w:anchor="_Toc5333" w:history="1">
        <w:r>
          <w:rPr>
            <w:rFonts w:ascii="仿宋" w:eastAsia="仿宋" w:hAnsi="仿宋" w:cs="仿宋" w:hint="eastAsia"/>
            <w:lang w:eastAsia="zh-CN"/>
          </w:rPr>
          <w:t>(三)、自然灾害防范措施</w:t>
        </w:r>
        <w:r>
          <w:tab/>
        </w:r>
        <w:r>
          <w:fldChar w:fldCharType="begin"/>
        </w:r>
        <w:r>
          <w:instrText xml:space="preserve"> PAGEREF _Toc5333 \h </w:instrText>
        </w:r>
        <w:r>
          <w:fldChar w:fldCharType="separate"/>
        </w:r>
        <w:r>
          <w:t>36</w:t>
        </w:r>
        <w:r>
          <w:fldChar w:fldCharType="end"/>
        </w:r>
      </w:hyperlink>
    </w:p>
    <w:p>
      <w:pPr>
        <w:pStyle w:val="TOC2"/>
        <w:tabs>
          <w:tab w:val="right" w:leader="dot" w:pos="8306"/>
        </w:tabs>
      </w:pPr>
      <w:hyperlink w:anchor="_Toc8221" w:history="1">
        <w:r>
          <w:rPr>
            <w:rFonts w:ascii="仿宋" w:eastAsia="仿宋" w:hAnsi="仿宋" w:cs="仿宋" w:hint="eastAsia"/>
            <w:lang w:eastAsia="zh-CN"/>
          </w:rPr>
          <w:t>(四)、安全色及安全标志使用要求</w:t>
        </w:r>
        <w:r>
          <w:tab/>
        </w:r>
        <w:r>
          <w:fldChar w:fldCharType="begin"/>
        </w:r>
        <w:r>
          <w:instrText xml:space="preserve"> PAGEREF _Toc8221 \h </w:instrText>
        </w:r>
        <w:r>
          <w:fldChar w:fldCharType="separate"/>
        </w:r>
        <w:r>
          <w:t>37</w:t>
        </w:r>
        <w:r>
          <w:fldChar w:fldCharType="end"/>
        </w:r>
      </w:hyperlink>
    </w:p>
    <w:p>
      <w:pPr>
        <w:pStyle w:val="TOC2"/>
        <w:tabs>
          <w:tab w:val="right" w:leader="dot" w:pos="8306"/>
        </w:tabs>
      </w:pPr>
      <w:hyperlink w:anchor="_Toc10748" w:history="1">
        <w:r>
          <w:rPr>
            <w:rFonts w:ascii="仿宋" w:eastAsia="仿宋" w:hAnsi="仿宋" w:cs="仿宋" w:hint="eastAsia"/>
            <w:lang w:eastAsia="zh-CN"/>
          </w:rPr>
          <w:t>(五)、防尘防毒措施</w:t>
        </w:r>
        <w:r>
          <w:tab/>
        </w:r>
        <w:r>
          <w:fldChar w:fldCharType="begin"/>
        </w:r>
        <w:r>
          <w:instrText xml:space="preserve"> PAGEREF _Toc10748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249" w:history="1">
        <w:r>
          <w:rPr>
            <w:rFonts w:ascii="仿宋" w:eastAsia="仿宋" w:hAnsi="仿宋" w:cs="仿宋" w:hint="eastAsia"/>
            <w:lang w:eastAsia="zh-CN"/>
          </w:rPr>
          <w:t>(六)、防静电、触电防护及防雷措施</w:t>
        </w:r>
        <w:r>
          <w:tab/>
        </w:r>
        <w:r>
          <w:fldChar w:fldCharType="begin"/>
        </w:r>
        <w:r>
          <w:instrText xml:space="preserve"> PAGEREF _Toc22249 \h </w:instrText>
        </w:r>
        <w:r>
          <w:fldChar w:fldCharType="separate"/>
        </w:r>
        <w:r>
          <w:t>39</w:t>
        </w:r>
        <w:r>
          <w:fldChar w:fldCharType="end"/>
        </w:r>
      </w:hyperlink>
    </w:p>
    <w:p>
      <w:pPr>
        <w:pStyle w:val="TOC2"/>
        <w:tabs>
          <w:tab w:val="right" w:leader="dot" w:pos="8306"/>
        </w:tabs>
      </w:pPr>
      <w:hyperlink w:anchor="_Toc18295" w:history="1">
        <w:r>
          <w:rPr>
            <w:rFonts w:ascii="仿宋" w:eastAsia="仿宋" w:hAnsi="仿宋" w:cs="仿宋" w:hint="eastAsia"/>
            <w:lang w:eastAsia="zh-CN"/>
          </w:rPr>
          <w:t>(七)、机械设备安全保障措施</w:t>
        </w:r>
        <w:r>
          <w:tab/>
        </w:r>
        <w:r>
          <w:fldChar w:fldCharType="begin"/>
        </w:r>
        <w:r>
          <w:instrText xml:space="preserve"> PAGEREF _Toc18295 \h </w:instrText>
        </w:r>
        <w:r>
          <w:fldChar w:fldCharType="separate"/>
        </w:r>
        <w:r>
          <w:t>40</w:t>
        </w:r>
        <w:r>
          <w:fldChar w:fldCharType="end"/>
        </w:r>
      </w:hyperlink>
    </w:p>
    <w:p>
      <w:pPr>
        <w:pStyle w:val="TOC1"/>
        <w:tabs>
          <w:tab w:val="right" w:leader="dot" w:pos="8306"/>
        </w:tabs>
      </w:pPr>
      <w:hyperlink w:anchor="_Toc19197" w:history="1">
        <w:r>
          <w:rPr>
            <w:rFonts w:ascii="仿宋" w:eastAsia="仿宋" w:hAnsi="仿宋" w:cs="仿宋" w:hint="eastAsia"/>
            <w:lang w:eastAsia="zh-CN"/>
          </w:rPr>
          <w:t>十一、数控石油深井测井仪项目财务管理</w:t>
        </w:r>
        <w:r>
          <w:tab/>
        </w:r>
        <w:r>
          <w:fldChar w:fldCharType="begin"/>
        </w:r>
        <w:r>
          <w:instrText xml:space="preserve"> PAGEREF _Toc19197 \h </w:instrText>
        </w:r>
        <w:r>
          <w:fldChar w:fldCharType="separate"/>
        </w:r>
        <w:r>
          <w:t>42</w:t>
        </w:r>
        <w:r>
          <w:fldChar w:fldCharType="end"/>
        </w:r>
      </w:hyperlink>
    </w:p>
    <w:p>
      <w:pPr>
        <w:pStyle w:val="TOC2"/>
        <w:tabs>
          <w:tab w:val="right" w:leader="dot" w:pos="8306"/>
        </w:tabs>
      </w:pPr>
      <w:hyperlink w:anchor="_Toc20298" w:history="1">
        <w:r>
          <w:rPr>
            <w:rFonts w:ascii="仿宋" w:eastAsia="仿宋" w:hAnsi="仿宋" w:cs="仿宋" w:hint="eastAsia"/>
            <w:lang w:eastAsia="zh-CN"/>
          </w:rPr>
          <w:t>(一)、资金需求大</w:t>
        </w:r>
        <w:r>
          <w:tab/>
        </w:r>
        <w:r>
          <w:fldChar w:fldCharType="begin"/>
        </w:r>
        <w:r>
          <w:instrText xml:space="preserve"> PAGEREF _Toc20298 \h </w:instrText>
        </w:r>
        <w:r>
          <w:fldChar w:fldCharType="separate"/>
        </w:r>
        <w:r>
          <w:t>42</w:t>
        </w:r>
        <w:r>
          <w:fldChar w:fldCharType="end"/>
        </w:r>
      </w:hyperlink>
    </w:p>
    <w:p>
      <w:pPr>
        <w:pStyle w:val="TOC2"/>
        <w:tabs>
          <w:tab w:val="right" w:leader="dot" w:pos="8306"/>
        </w:tabs>
      </w:pPr>
      <w:hyperlink w:anchor="_Toc10874" w:history="1">
        <w:r>
          <w:rPr>
            <w:rFonts w:ascii="仿宋" w:eastAsia="仿宋" w:hAnsi="仿宋" w:cs="仿宋" w:hint="eastAsia"/>
            <w:lang w:eastAsia="zh-CN"/>
          </w:rPr>
          <w:t>(二)、研发周期长</w:t>
        </w:r>
        <w:r>
          <w:tab/>
        </w:r>
        <w:r>
          <w:fldChar w:fldCharType="begin"/>
        </w:r>
        <w:r>
          <w:instrText xml:space="preserve"> PAGEREF _Toc10874 \h </w:instrText>
        </w:r>
        <w:r>
          <w:fldChar w:fldCharType="separate"/>
        </w:r>
        <w:r>
          <w:t>43</w:t>
        </w:r>
        <w:r>
          <w:fldChar w:fldCharType="end"/>
        </w:r>
      </w:hyperlink>
    </w:p>
    <w:p>
      <w:pPr>
        <w:pStyle w:val="TOC2"/>
        <w:tabs>
          <w:tab w:val="right" w:leader="dot" w:pos="8306"/>
        </w:tabs>
      </w:pPr>
      <w:hyperlink w:anchor="_Toc25235" w:history="1">
        <w:r>
          <w:rPr>
            <w:rFonts w:ascii="仿宋" w:eastAsia="仿宋" w:hAnsi="仿宋" w:cs="仿宋" w:hint="eastAsia"/>
            <w:lang w:eastAsia="zh-CN"/>
          </w:rPr>
          <w:t>(三)、市场风险大</w:t>
        </w:r>
        <w:r>
          <w:tab/>
        </w:r>
        <w:r>
          <w:fldChar w:fldCharType="begin"/>
        </w:r>
        <w:r>
          <w:instrText xml:space="preserve"> PAGEREF _Toc25235 \h </w:instrText>
        </w:r>
        <w:r>
          <w:fldChar w:fldCharType="separate"/>
        </w:r>
        <w:r>
          <w:t>44</w:t>
        </w:r>
        <w:r>
          <w:fldChar w:fldCharType="end"/>
        </w:r>
      </w:hyperlink>
    </w:p>
    <w:p>
      <w:pPr>
        <w:pStyle w:val="TOC2"/>
        <w:tabs>
          <w:tab w:val="right" w:leader="dot" w:pos="8306"/>
        </w:tabs>
      </w:pPr>
      <w:hyperlink w:anchor="_Toc6013" w:history="1">
        <w:r>
          <w:rPr>
            <w:rFonts w:ascii="仿宋" w:eastAsia="仿宋" w:hAnsi="仿宋" w:cs="仿宋" w:hint="eastAsia"/>
            <w:lang w:eastAsia="zh-CN"/>
          </w:rPr>
          <w:t>(四)、利润率高</w:t>
        </w:r>
        <w:r>
          <w:tab/>
        </w:r>
        <w:r>
          <w:fldChar w:fldCharType="begin"/>
        </w:r>
        <w:r>
          <w:instrText xml:space="preserve"> PAGEREF _Toc6013 \h </w:instrText>
        </w:r>
        <w:r>
          <w:fldChar w:fldCharType="separate"/>
        </w:r>
        <w:r>
          <w:t>47</w:t>
        </w:r>
        <w:r>
          <w:fldChar w:fldCharType="end"/>
        </w:r>
      </w:hyperlink>
    </w:p>
    <w:p>
      <w:pPr>
        <w:pStyle w:val="TOC1"/>
        <w:tabs>
          <w:tab w:val="right" w:leader="dot" w:pos="8306"/>
        </w:tabs>
      </w:pPr>
      <w:hyperlink w:anchor="_Toc29326" w:history="1">
        <w:r>
          <w:rPr>
            <w:rFonts w:ascii="仿宋" w:eastAsia="仿宋" w:hAnsi="仿宋" w:cs="仿宋" w:hint="eastAsia"/>
            <w:lang w:eastAsia="zh-CN"/>
          </w:rPr>
          <w:t>十二、数控石油深井测井仪项目计划安排</w:t>
        </w:r>
        <w:r>
          <w:tab/>
        </w:r>
        <w:r>
          <w:fldChar w:fldCharType="begin"/>
        </w:r>
        <w:r>
          <w:instrText xml:space="preserve"> PAGEREF _Toc29326 \h </w:instrText>
        </w:r>
        <w:r>
          <w:fldChar w:fldCharType="separate"/>
        </w:r>
        <w:r>
          <w:t>49</w:t>
        </w:r>
        <w:r>
          <w:fldChar w:fldCharType="end"/>
        </w:r>
      </w:hyperlink>
    </w:p>
    <w:p>
      <w:pPr>
        <w:pStyle w:val="TOC2"/>
        <w:tabs>
          <w:tab w:val="right" w:leader="dot" w:pos="8306"/>
        </w:tabs>
      </w:pPr>
      <w:hyperlink w:anchor="_Toc32669" w:history="1">
        <w:r>
          <w:rPr>
            <w:rFonts w:ascii="仿宋" w:eastAsia="仿宋" w:hAnsi="仿宋" w:cs="仿宋" w:hint="eastAsia"/>
            <w:lang w:eastAsia="zh-CN"/>
          </w:rPr>
          <w:t>(一)、建设周期</w:t>
        </w:r>
        <w:r>
          <w:tab/>
        </w:r>
        <w:r>
          <w:fldChar w:fldCharType="begin"/>
        </w:r>
        <w:r>
          <w:instrText xml:space="preserve"> PAGEREF _Toc32669 \h </w:instrText>
        </w:r>
        <w:r>
          <w:fldChar w:fldCharType="separate"/>
        </w:r>
        <w:r>
          <w:t>49</w:t>
        </w:r>
        <w:r>
          <w:fldChar w:fldCharType="end"/>
        </w:r>
      </w:hyperlink>
    </w:p>
    <w:p>
      <w:pPr>
        <w:pStyle w:val="TOC2"/>
        <w:tabs>
          <w:tab w:val="right" w:leader="dot" w:pos="8306"/>
        </w:tabs>
      </w:pPr>
      <w:hyperlink w:anchor="_Toc6810" w:history="1">
        <w:r>
          <w:rPr>
            <w:rFonts w:ascii="仿宋" w:eastAsia="仿宋" w:hAnsi="仿宋" w:cs="仿宋" w:hint="eastAsia"/>
            <w:lang w:eastAsia="zh-CN"/>
          </w:rPr>
          <w:t>(二)、建设进度</w:t>
        </w:r>
        <w:r>
          <w:tab/>
        </w:r>
        <w:r>
          <w:fldChar w:fldCharType="begin"/>
        </w:r>
        <w:r>
          <w:instrText xml:space="preserve"> PAGEREF _Toc6810 \h </w:instrText>
        </w:r>
        <w:r>
          <w:fldChar w:fldCharType="separate"/>
        </w:r>
        <w:r>
          <w:t>50</w:t>
        </w:r>
        <w:r>
          <w:fldChar w:fldCharType="end"/>
        </w:r>
      </w:hyperlink>
    </w:p>
    <w:p>
      <w:pPr>
        <w:pStyle w:val="TOC2"/>
        <w:tabs>
          <w:tab w:val="right" w:leader="dot" w:pos="8306"/>
        </w:tabs>
      </w:pPr>
      <w:hyperlink w:anchor="_Toc27737" w:history="1">
        <w:r>
          <w:rPr>
            <w:rFonts w:ascii="仿宋" w:eastAsia="仿宋" w:hAnsi="仿宋" w:cs="仿宋" w:hint="eastAsia"/>
            <w:lang w:eastAsia="zh-CN"/>
          </w:rPr>
          <w:t>(三)、进度安排注意事项</w:t>
        </w:r>
        <w:r>
          <w:tab/>
        </w:r>
        <w:r>
          <w:fldChar w:fldCharType="begin"/>
        </w:r>
        <w:r>
          <w:instrText xml:space="preserve"> PAGEREF _Toc27737 \h </w:instrText>
        </w:r>
        <w:r>
          <w:fldChar w:fldCharType="separate"/>
        </w:r>
        <w:r>
          <w:t>51</w:t>
        </w:r>
        <w:r>
          <w:fldChar w:fldCharType="end"/>
        </w:r>
      </w:hyperlink>
    </w:p>
    <w:p>
      <w:pPr>
        <w:pStyle w:val="TOC2"/>
        <w:tabs>
          <w:tab w:val="right" w:leader="dot" w:pos="8306"/>
        </w:tabs>
      </w:pPr>
      <w:hyperlink w:anchor="_Toc4969" w:history="1">
        <w:r>
          <w:rPr>
            <w:rFonts w:ascii="仿宋" w:eastAsia="仿宋" w:hAnsi="仿宋" w:cs="仿宋" w:hint="eastAsia"/>
            <w:lang w:eastAsia="zh-CN"/>
          </w:rPr>
          <w:t>(四)、人力资源配置</w:t>
        </w:r>
        <w:r>
          <w:tab/>
        </w:r>
        <w:r>
          <w:fldChar w:fldCharType="begin"/>
        </w:r>
        <w:r>
          <w:instrText xml:space="preserve"> PAGEREF _Toc4969 \h </w:instrText>
        </w:r>
        <w:r>
          <w:fldChar w:fldCharType="separate"/>
        </w:r>
        <w:r>
          <w:t>53</w:t>
        </w:r>
        <w:r>
          <w:fldChar w:fldCharType="end"/>
        </w:r>
      </w:hyperlink>
    </w:p>
    <w:p>
      <w:pPr>
        <w:pStyle w:val="TOC1"/>
        <w:tabs>
          <w:tab w:val="right" w:leader="dot" w:pos="8306"/>
        </w:tabs>
      </w:pPr>
      <w:hyperlink w:anchor="_Toc31746" w:history="1">
        <w:r>
          <w:rPr>
            <w:rFonts w:ascii="仿宋" w:eastAsia="仿宋" w:hAnsi="仿宋" w:cs="仿宋" w:hint="eastAsia"/>
            <w:lang w:eastAsia="zh-CN"/>
          </w:rPr>
          <w:t>十三、数控石油深井测井仪项目治理与监督</w:t>
        </w:r>
        <w:r>
          <w:tab/>
        </w:r>
        <w:r>
          <w:fldChar w:fldCharType="begin"/>
        </w:r>
        <w:r>
          <w:instrText xml:space="preserve"> PAGEREF _Toc31746 \h </w:instrText>
        </w:r>
        <w:r>
          <w:fldChar w:fldCharType="separate"/>
        </w:r>
        <w:r>
          <w:t>54</w:t>
        </w:r>
        <w:r>
          <w:fldChar w:fldCharType="end"/>
        </w:r>
      </w:hyperlink>
    </w:p>
    <w:p>
      <w:pPr>
        <w:pStyle w:val="TOC2"/>
        <w:tabs>
          <w:tab w:val="right" w:leader="dot" w:pos="8306"/>
        </w:tabs>
      </w:pPr>
      <w:hyperlink w:anchor="_Toc20683" w:history="1">
        <w:r>
          <w:rPr>
            <w:rFonts w:ascii="仿宋" w:eastAsia="仿宋" w:hAnsi="仿宋" w:cs="仿宋" w:hint="eastAsia"/>
            <w:lang w:eastAsia="zh-CN"/>
          </w:rPr>
          <w:t>(一)、数控石油深井测井仪项目治理结构</w:t>
        </w:r>
        <w:r>
          <w:tab/>
        </w:r>
        <w:r>
          <w:fldChar w:fldCharType="begin"/>
        </w:r>
        <w:r>
          <w:instrText xml:space="preserve"> PAGEREF _Toc20683 \h </w:instrText>
        </w:r>
        <w:r>
          <w:fldChar w:fldCharType="separate"/>
        </w:r>
        <w:r>
          <w:t>54</w:t>
        </w:r>
        <w:r>
          <w:fldChar w:fldCharType="end"/>
        </w:r>
      </w:hyperlink>
    </w:p>
    <w:p>
      <w:pPr>
        <w:pStyle w:val="TOC2"/>
        <w:tabs>
          <w:tab w:val="right" w:leader="dot" w:pos="8306"/>
        </w:tabs>
      </w:pPr>
      <w:hyperlink w:anchor="_Toc28387" w:history="1">
        <w:r>
          <w:rPr>
            <w:rFonts w:ascii="仿宋" w:eastAsia="仿宋" w:hAnsi="仿宋" w:cs="仿宋" w:hint="eastAsia"/>
            <w:lang w:eastAsia="zh-CN"/>
          </w:rPr>
          <w:t>(二)、监督与审计</w:t>
        </w:r>
        <w:r>
          <w:tab/>
        </w:r>
        <w:r>
          <w:fldChar w:fldCharType="begin"/>
        </w:r>
        <w:r>
          <w:instrText xml:space="preserve"> PAGEREF _Toc28387 \h </w:instrText>
        </w:r>
        <w:r>
          <w:fldChar w:fldCharType="separate"/>
        </w:r>
        <w:r>
          <w:t>55</w:t>
        </w:r>
        <w:r>
          <w:fldChar w:fldCharType="end"/>
        </w:r>
      </w:hyperlink>
    </w:p>
    <w:p>
      <w:pPr>
        <w:pStyle w:val="TOC1"/>
        <w:tabs>
          <w:tab w:val="right" w:leader="dot" w:pos="8306"/>
        </w:tabs>
      </w:pPr>
      <w:hyperlink w:anchor="_Toc9905" w:history="1">
        <w:r>
          <w:rPr>
            <w:rFonts w:ascii="仿宋" w:eastAsia="仿宋" w:hAnsi="仿宋" w:cs="仿宋" w:hint="eastAsia"/>
            <w:lang w:eastAsia="zh-CN"/>
          </w:rPr>
          <w:t>十四、营销与推广策略</w:t>
        </w:r>
        <w:r>
          <w:tab/>
        </w:r>
        <w:r>
          <w:fldChar w:fldCharType="begin"/>
        </w:r>
        <w:r>
          <w:instrText xml:space="preserve"> PAGEREF _Toc9905 \h </w:instrText>
        </w:r>
        <w:r>
          <w:fldChar w:fldCharType="separate"/>
        </w:r>
        <w:r>
          <w:t>57</w:t>
        </w:r>
        <w:r>
          <w:fldChar w:fldCharType="end"/>
        </w:r>
      </w:hyperlink>
    </w:p>
    <w:p>
      <w:pPr>
        <w:pStyle w:val="TOC2"/>
        <w:tabs>
          <w:tab w:val="right" w:leader="dot" w:pos="8306"/>
        </w:tabs>
      </w:pPr>
      <w:hyperlink w:anchor="_Toc21172" w:history="1">
        <w:r>
          <w:rPr>
            <w:rFonts w:ascii="仿宋" w:eastAsia="仿宋" w:hAnsi="仿宋" w:cs="仿宋" w:hint="eastAsia"/>
            <w:lang w:eastAsia="zh-CN"/>
          </w:rPr>
          <w:t>(一)、产品/服务定位与特点</w:t>
        </w:r>
        <w:r>
          <w:tab/>
        </w:r>
        <w:r>
          <w:fldChar w:fldCharType="begin"/>
        </w:r>
        <w:r>
          <w:instrText xml:space="preserve"> PAGEREF _Toc21172 \h </w:instrText>
        </w:r>
        <w:r>
          <w:fldChar w:fldCharType="separate"/>
        </w:r>
        <w:r>
          <w:t>57</w:t>
        </w:r>
        <w:r>
          <w:fldChar w:fldCharType="end"/>
        </w:r>
      </w:hyperlink>
    </w:p>
    <w:p>
      <w:pPr>
        <w:pStyle w:val="TOC2"/>
        <w:tabs>
          <w:tab w:val="right" w:leader="dot" w:pos="8306"/>
        </w:tabs>
      </w:pPr>
      <w:hyperlink w:anchor="_Toc30550" w:history="1">
        <w:r>
          <w:rPr>
            <w:rFonts w:ascii="仿宋" w:eastAsia="仿宋" w:hAnsi="仿宋" w:cs="仿宋" w:hint="eastAsia"/>
            <w:lang w:eastAsia="zh-CN"/>
          </w:rPr>
          <w:t>(二)、市场定位与竞争分析</w:t>
        </w:r>
        <w:r>
          <w:tab/>
        </w:r>
        <w:r>
          <w:fldChar w:fldCharType="begin"/>
        </w:r>
        <w:r>
          <w:instrText xml:space="preserve"> PAGEREF _Toc30550 \h </w:instrText>
        </w:r>
        <w:r>
          <w:fldChar w:fldCharType="separate"/>
        </w:r>
        <w:r>
          <w:t>58</w:t>
        </w:r>
        <w:r>
          <w:fldChar w:fldCharType="end"/>
        </w:r>
      </w:hyperlink>
    </w:p>
    <w:p>
      <w:pPr>
        <w:pStyle w:val="TOC2"/>
        <w:tabs>
          <w:tab w:val="right" w:leader="dot" w:pos="8306"/>
        </w:tabs>
      </w:pPr>
      <w:hyperlink w:anchor="_Toc26267" w:history="1">
        <w:r>
          <w:rPr>
            <w:rFonts w:ascii="仿宋" w:eastAsia="仿宋" w:hAnsi="仿宋" w:cs="仿宋" w:hint="eastAsia"/>
            <w:lang w:eastAsia="zh-CN"/>
          </w:rPr>
          <w:t>(三)、营销渠道与策略</w:t>
        </w:r>
        <w:r>
          <w:tab/>
        </w:r>
        <w:r>
          <w:fldChar w:fldCharType="begin"/>
        </w:r>
        <w:r>
          <w:instrText xml:space="preserve"> PAGEREF _Toc26267 \h </w:instrText>
        </w:r>
        <w:r>
          <w:fldChar w:fldCharType="separate"/>
        </w:r>
        <w:r>
          <w:t>59</w:t>
        </w:r>
        <w:r>
          <w:fldChar w:fldCharType="end"/>
        </w:r>
      </w:hyperlink>
    </w:p>
    <w:p>
      <w:pPr>
        <w:pStyle w:val="TOC2"/>
        <w:tabs>
          <w:tab w:val="right" w:leader="dot" w:pos="8306"/>
        </w:tabs>
      </w:pPr>
      <w:hyperlink w:anchor="_Toc15289" w:history="1">
        <w:r>
          <w:rPr>
            <w:rFonts w:ascii="仿宋" w:eastAsia="仿宋" w:hAnsi="仿宋" w:cs="仿宋" w:hint="eastAsia"/>
            <w:lang w:eastAsia="zh-CN"/>
          </w:rPr>
          <w:t>(四)、推广与宣传活动</w:t>
        </w:r>
        <w:r>
          <w:tab/>
        </w:r>
        <w:r>
          <w:fldChar w:fldCharType="begin"/>
        </w:r>
        <w:r>
          <w:instrText xml:space="preserve"> PAGEREF _Toc15289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28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707"/>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30917"/>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数控石油深井测井仪项目的技术管理特点体现在其创新导向。通过引入最先进的技术趋势和解决方案，数控石油深井测井仪项目致力于提升科技含量、提高质量和效率水平。这意味着我们将采用最新的工具和方法，确保数控石油深井测井仪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数控石油深井测井仪项目技术管理的显著特征。通过整合不同领域的技术资源，我们实现了跨学科的协同工作。这有助于优化技术架构，提高整体效能。此外，整合性策略还促进了不同技术团队之间的紧密沟通和高效合作，确保数控石油深井测井仪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数控石油深井测井仪项目所采用的技术。通过不断优化技术方案，数控石油深井测井仪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数控石油深井测井仪项目团队将在数控石油深井测井仪项目初期识别可能的技术风险，并采取相应的预防和应对措施。通过建立健全的风险评估机制，数控石油深井测井仪项目能够在实施过程中及时发现并解决潜在的技术问题，保障数控石油深井测井仪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数控石油深井测井仪项目中，技术将成为数控石油深井测井仪项目成功的有力支持。这一深度剖析揭示了技术管理在数控石油深井测井仪项目实施中的关键作用，为数控石油深井测井仪项目的技术基础奠定了坚实的基础。</w:t>
      </w:r>
    </w:p>
    <w:p>
      <w:pPr>
        <w:pStyle w:val="Heading2"/>
        <w:ind w:firstLine="560" w:firstLineChars="200"/>
        <w:rPr>
          <w:rFonts w:ascii="仿宋" w:eastAsia="仿宋" w:hAnsi="仿宋" w:cs="仿宋" w:hint="eastAsia"/>
          <w:sz w:val="28"/>
          <w:lang w:eastAsia="zh-CN"/>
        </w:rPr>
      </w:pPr>
      <w:bookmarkStart w:id="4" w:name="_Toc31052"/>
      <w:r>
        <w:rPr>
          <w:rFonts w:ascii="仿宋" w:eastAsia="仿宋" w:hAnsi="仿宋" w:cs="仿宋" w:hint="eastAsia"/>
          <w:sz w:val="28"/>
          <w:lang w:eastAsia="zh-CN"/>
        </w:rPr>
        <w:t>(二)、数控石油深井测井仪项目工艺技术设计方案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数控石油深井测井仪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数控石油深井测井仪项目将严格按照相关行业规范要求进行组织。通过有效控制产品质量，数控石油深井测井仪项目将致力于为顾客提供优质的数控石油深井测井仪项目产品和良好的服务。这体现了数控石油深井测井仪项目对于生产活动合规性和质量标准的高度重视，为数控石油深井测井仪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数控石油深井测井仪项目注重生态效益和清洁生产原则。数控石油深井测井仪项目建设将紧密结合地方特色经济发展，与社会经济发展规划和区域环境保护规划方案相协调一致。通过与当地区域自然生态系统的结合，数控石油深井测井仪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数控石油深井测井仪项目产品具有多样化的客户需求和个性化的特点。因此，数控石油深井测井仪项目产品规格品种多样，且单批生产数量较小。为满足这一特点，数控石油深井测井仪项目承办单位将建设先进的柔性制造生产线。通过广泛应用柔性制造技术，数控石油深井测井仪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数控石油深井测井仪项目采用的技术具有较高的技术含量和自动化水平，处于国内先进水平。这一技术选用不仅体现了对生产效率、质量和环境友好性的高标准要求，同时为数控石油深井测井仪项目的可持续发展奠定了坚实的基础。</w:t>
      </w:r>
    </w:p>
    <w:p>
      <w:pPr>
        <w:pStyle w:val="Heading2"/>
        <w:ind w:firstLine="560" w:firstLineChars="200"/>
        <w:rPr>
          <w:rFonts w:ascii="仿宋" w:eastAsia="仿宋" w:hAnsi="仿宋" w:cs="仿宋" w:hint="eastAsia"/>
          <w:sz w:val="28"/>
          <w:lang w:eastAsia="zh-CN"/>
        </w:rPr>
      </w:pPr>
      <w:bookmarkStart w:id="5" w:name="_Toc21302"/>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为确保数控石油深井测井仪项目的高效生产和技术实施，我们制定了一套精心设计的设备选型方案，以满足数控石油深井测井仪项目生产、质量和环保的要求。该方案的主要特点如下：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数控石油深井测井仪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针对数控石油深井测井仪项目产品的多样性和小批量生产的特点，我们将建设柔性制造生产线。通过在设备选型中考虑柔性制造技术，可以灵活应对不同产品规格和生产需求，实现生产线的高度灵活性和适应性。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9095"/>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5556"/>
      <w:r>
        <w:rPr>
          <w:rFonts w:ascii="仿宋" w:eastAsia="仿宋" w:hAnsi="仿宋" w:cs="仿宋" w:hint="eastAsia"/>
          <w:lang w:eastAsia="zh-CN"/>
        </w:rPr>
        <w:t>(一)、数控石油深井测井仪行业分析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数控石油深井测井仪行业一直以来都是市场的关注焦点。行业内的发展趋势、竞争态势以及潜在机会都对数控石油深井测井仪项目的推进产生深远的影响。通过深入研究行业的整体概貌，我们将更好地理解行业的核心特征，为数控石油深井测井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数控石油深井测井仪行业，技术一直是推动创新和发展的关键因素。我们将对当前技术趋势进行详尽分析，包括但不限于人工智能、大数据应用、先进制造技术等。这有助于数控石油深井测井仪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了解行业内的竞争格局是数控石油深井测井仪项目成功的基础。我们将对主要竞争对手进行深入研究，包括其市场份额、产品特点、市场定位等。通过全面了解竞争对手的优势和劣势，数控石油深井测井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24480"/>
      <w:r>
        <w:rPr>
          <w:rFonts w:ascii="仿宋" w:eastAsia="仿宋" w:hAnsi="仿宋" w:cs="仿宋" w:hint="eastAsia"/>
          <w:sz w:val="28"/>
          <w:lang w:eastAsia="zh-CN"/>
        </w:rPr>
        <w:t>(二)、数控石油深井测井仪市场分析预测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数控石油深井测井仪市场未来的增长趋势。这包括市场的整体规模、各细分领域的发展趋势等。数控石油深井测井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数控石油深井测井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数控石油深井测井仪项目实施过程中需要充分考虑的因素。我们将对市场风险进行全面评估，包括但不限于政策法规风险、市场竞争风险、技术变革风险等。通过对潜在风险的深入分析，数控石油深井测井仪项目可以制定相应的风险缓解策略，降低不确定性对数控石油深井测井仪项目的影响。</w:t>
      </w:r>
    </w:p>
    <w:p>
      <w:pPr>
        <w:pStyle w:val="Heading1"/>
        <w:ind w:firstLine="560" w:firstLineChars="200"/>
        <w:rPr>
          <w:rFonts w:ascii="仿宋" w:eastAsia="仿宋" w:hAnsi="仿宋" w:cs="仿宋" w:hint="eastAsia"/>
          <w:sz w:val="28"/>
          <w:lang w:eastAsia="zh-CN"/>
        </w:rPr>
      </w:pPr>
      <w:bookmarkStart w:id="9" w:name="_Toc790"/>
      <w:r>
        <w:rPr>
          <w:rFonts w:ascii="仿宋" w:eastAsia="仿宋" w:hAnsi="仿宋" w:cs="仿宋" w:hint="eastAsia"/>
          <w:sz w:val="28"/>
          <w:lang w:eastAsia="zh-CN"/>
        </w:rPr>
        <w:t>三、数控石油深井测井仪项目选址可行性分析</w:t>
      </w:r>
      <w:bookmarkEnd w:id="9"/>
    </w:p>
    <w:p>
      <w:pPr>
        <w:pStyle w:val="Heading2"/>
        <w:rPr>
          <w:rFonts w:ascii="仿宋" w:eastAsia="仿宋" w:hAnsi="仿宋" w:cs="仿宋" w:hint="eastAsia"/>
          <w:lang w:eastAsia="zh-CN"/>
        </w:rPr>
      </w:pPr>
      <w:bookmarkStart w:id="10" w:name="_Toc27318"/>
      <w:r>
        <w:rPr>
          <w:rFonts w:ascii="仿宋" w:eastAsia="仿宋" w:hAnsi="仿宋" w:cs="仿宋" w:hint="eastAsia"/>
          <w:lang w:eastAsia="zh-CN"/>
        </w:rPr>
        <w:t>(一)、数控石油深井测井仪项目选址</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该数控石油深井测井仪项目选址位于XX省XX市XX区XXX街道</w:t>
      </w:r>
    </w:p>
    <w:p>
      <w:pPr>
        <w:pStyle w:val="Heading2"/>
        <w:ind w:firstLine="560" w:firstLineChars="200"/>
        <w:rPr>
          <w:rFonts w:ascii="仿宋" w:eastAsia="仿宋" w:hAnsi="仿宋" w:cs="仿宋" w:hint="eastAsia"/>
          <w:sz w:val="28"/>
          <w:lang w:eastAsia="zh-CN"/>
        </w:rPr>
      </w:pPr>
      <w:bookmarkStart w:id="11" w:name="_Toc31933"/>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数控石油深井测井仪项目的征地面积将根据数控石油深井测井仪项目的实际规模和需求进行精确规划。具体面积XXX平方米，旨在确保数控石油深井测井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净用地面积是在征地面积基础上去除不可利用面积后的实际可开发用地。具体面积XXX平方米，考虑到环保、交通、安全等多方面因素，以确保数控石油深井测井仪项目在整体利用效率上达到最优。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数控石油深井测井仪项目计划建设的建筑总规模具体面积XXX平方米。这一规模的确定综合考虑了数控石油深井测井仪项目的性质、规模，以及城市规划的相关要求，确保建筑布局与周边环境协调一致。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绿地率是数控石油深井测井仪项目用地中被规划为绿地的比例。具体面积XXX平方米，旨在通过合理规划绿地，改善数控石油深井测井仪项目周边环境，提升居民生活质量，并符合城市整体绿化规划。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容积率是用地上可以建设的建筑总体积与用地面积之比。具体面积XXX，通过合理的容积率规划，确保数控石油深井测井仪项目建筑规模与周边环境和谐共生。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数控石油深井测井仪项目选址与当地城市规划相一致，具体面积XXX平方米。通过与城市规划部门深入沟通，确保数控石油深井测井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数控石油深井测井仪项目选址符合当地产业政策，具体面积XXX平方米。这包括数控石油深井测井仪项目对当地经济的促进作用，以及对相关产业的带动效应，确保数控石油深井测井仪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用地总体要求必须符合环保和可持续发展的原则，具体面积XXX平方米。通过采用绿色建筑设计、节能减排等措施，确保数控石油深井测井仪项目在建设和运营过程中对环境的影响最小化，达到可持续发展的要求。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确保数控石油深井测井仪项目选址具备必要的公共设施配套，具体面积XXX平方米。这包括交通便利性、教育、医疗等基础设施，以提高居民生活品质，使得数控石油深井测井仪项目选址更具吸引力。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考虑用地总体要求对当地社会稳定性的影响，具体面积XXX平方米。通过深入了解当地社区反馈，确保数控石油深井测井仪项目的选址和建设过程对当地社会和谐稳定产生积极作用。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数控石油深井测井仪项目选址不仅符合法规和规划，还在实际操作中具有可行性。这一全面规划将为数控石油深井测井仪项目的成功实施提供坚实的基础，确保数控石油深井测井仪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28451"/>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数控石油深井测井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数控石油深井测井仪项目的设备规划和空间设计中，我们将采取灵活设备布局的措施。设备布局将根据实际需求进行灵活设计，避免不必要的浪费。通过合理规划设备摆放位置，我们将提高设备的利用率，减少设备间距，以确保数控石油深井测井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数控石油深井测井仪项目内部引入共享设施的概念，例如共享会议室、办公区等。通过这种方式，我们可以减少对资源的重复建设，提高资源共享效率，从而减小数控石油深井测井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21743"/>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数控石油深井测井仪项目的总图布置中，我们将不同功能区域进行明确的规划，以最大程度满足数控石油深井测井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2365"/>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数控石油深井测井仪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数控石油深井测井仪项目对环境的影响是综合评价的重要因素之一。我们将详细考虑选址周边的自然环境、生态保护区、水源地等情况，确保数控石油深井测井仪项目的建设和运营对环境影响最小化，并符合当地的环保法规标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对选址的评价还需充分考虑当地政府的产业政策和法规。我们将详细了解数控石油深井测井仪项目所在地的相关政策，确保数控石油深井测井仪项目的规划和运营与当地法规相符，降低不必要的法律风险。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考虑到社会稳定性对企业运营的重要性，我们将评估选址地区的社会安全情况、劳工关系、社区反馈等方面，以确保数控石油深井测井仪项目的建设和运营不会受到社会稳定性的负面影响。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最后，我们将综合考虑用地成本，包括土地购置费用、土地开发成本等。通过对用地成本的详细评估，我们能够做出更为精确的经济效益分析，为数控石油深井测井仪项目的投资决策提供有力支持。</w:t>
      </w:r>
    </w:p>
    <w:p>
      <w:pPr>
        <w:pStyle w:val="Heading1"/>
        <w:ind w:firstLine="560" w:firstLineChars="200"/>
        <w:rPr>
          <w:rFonts w:ascii="仿宋" w:eastAsia="仿宋" w:hAnsi="仿宋" w:cs="仿宋" w:hint="eastAsia"/>
          <w:sz w:val="28"/>
          <w:lang w:eastAsia="zh-CN"/>
        </w:rPr>
      </w:pPr>
      <w:bookmarkStart w:id="15" w:name="_Toc9518"/>
      <w:r>
        <w:rPr>
          <w:rFonts w:ascii="仿宋" w:eastAsia="仿宋" w:hAnsi="仿宋" w:cs="仿宋" w:hint="eastAsia"/>
          <w:sz w:val="28"/>
          <w:lang w:eastAsia="zh-CN"/>
        </w:rPr>
        <w:t>四、数控石油深井测井仪项目建设背景及必要性分析</w:t>
      </w:r>
      <w:bookmarkEnd w:id="15"/>
    </w:p>
    <w:p>
      <w:pPr>
        <w:pStyle w:val="Heading2"/>
        <w:rPr>
          <w:rFonts w:ascii="仿宋" w:eastAsia="仿宋" w:hAnsi="仿宋" w:cs="仿宋" w:hint="eastAsia"/>
          <w:lang w:eastAsia="zh-CN"/>
        </w:rPr>
      </w:pPr>
      <w:bookmarkStart w:id="16" w:name="_Toc10491"/>
      <w:r>
        <w:rPr>
          <w:rFonts w:ascii="仿宋" w:eastAsia="仿宋" w:hAnsi="仿宋" w:cs="仿宋" w:hint="eastAsia"/>
          <w:lang w:eastAsia="zh-CN"/>
        </w:rPr>
        <w:t>(一)、数控石油深井测井仪项目背景分析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石油深井测井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数控石油深井测井仪项目提供了机遇和挑战的交汇点。</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数控石油深井测井仪项目在这个潮流中的定位。同时，我们将关注行业内涌现的新兴机遇，以便数控石油深井测井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数控石油深井测井仪项目提供了强大的发展动力。我们将聚焦于行业内最新的技术发展趋势，包括但不限于人工智能、大数据分析、物联网等领域。通过深度的技术研究，我们将确保数控石油深井测井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数控石油深井测井仪项目发展的源泉。我们将投入更多的精力对市场需求进行深入剖析，超越表面的需求，深入挖掘潜在的市场痛点和机遇。通过对市场需求的细致了解，数控石油深井测井仪项目将更有针对性地设计解决方案，满足市场的多样化需求，从而更好地促进数控石油深井测井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数控石油深井测井仪项目战略至关重要。我们将对竞争态势进行更为深入的分析，包括但不限于市场份额、产品特点、客户满意度等多个维度。通过深度的竞争分析，数控石油深井测井仪项目将能够更准确地把握市场脉搏，制定具有竞争力的数控石油深井测井仪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数控石油深井测井仪项目的发展具有直接的影响。我们将进行更为全面的法规和政策分析，了解行业发展中的潜在法律风险和合规挑战。通过充分了解和遵守相关法规，数控石油深井测井仪项目将确保在法律框架内合法合规运营，为数控石油深井测井仪项目的稳健发展提供有力支持。</w:t>
      </w:r>
    </w:p>
    <w:p>
      <w:pPr>
        <w:pStyle w:val="Heading2"/>
        <w:ind w:firstLine="560" w:firstLineChars="200"/>
        <w:rPr>
          <w:rFonts w:ascii="仿宋" w:eastAsia="仿宋" w:hAnsi="仿宋" w:cs="仿宋" w:hint="eastAsia"/>
          <w:sz w:val="28"/>
          <w:lang w:eastAsia="zh-CN"/>
        </w:rPr>
      </w:pPr>
      <w:bookmarkStart w:id="17" w:name="_Toc20517"/>
      <w:r>
        <w:rPr>
          <w:rFonts w:ascii="仿宋" w:eastAsia="仿宋" w:hAnsi="仿宋" w:cs="仿宋" w:hint="eastAsia"/>
          <w:sz w:val="28"/>
          <w:lang w:eastAsia="zh-CN"/>
        </w:rPr>
        <w:t>(二)、数控石油深井测井仪项目建设必要性分析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石油深井测井仪项目建设的迫切性源于对行业发展趋势的深刻洞察。我们正处于一个行业变革的时代，科技创新、数字化转型成为企业发展的关键动力。数控石油深井测井仪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石油深井测井仪项目建设不仅仅是为了跟上潮流，更是为了通过技术创新推动企业的持续发展。通过引入先进的技术和解决方案，数控石油深井测井仪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https://d.book118.com/358004033035006023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数控石油深井测井仪项目规划设计纲要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数控石油深井测井仪项目规划设计纲要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数控石油深井测井仪项目规划设计纲要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数控石油深井测井仪项目规划设计纲要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数控石油深井测井仪项目规划设计纲要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数控石油深井测井仪项目规划设计纲要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数控石油深井测井仪项目规划设计纲要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数控石油深井测井仪项目规划设计纲要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数控石油深井测井仪项目规划设计纲要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数控石油深井测井仪项目规划设计纲要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数控石油深井测井仪项目规划设计纲要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数控石油深井测井仪项目规划设计纲要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数控石油深井测井仪项目规划设计纲要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数控石油深井测井仪项目规划设计纲要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数控石油深井测井仪项目规划设计纲要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数控石油深井测井仪项目规划设计纲要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数控石油深井测井仪项目规划设计纲要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C222B7"/>
    <w:rsid w:val="59C222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5800403303500602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2024-01-02T13:24:00Z</dcterms:created>
  <dcterms:modified xsi:type="dcterms:W3CDTF">2024-01-02T13:25:06Z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D1C87A186FBB45D2BEDEB14803D06D02_11</vt:lpwstr>
  </property>
  <property fmtid="{D5CDD505-2E9C-101B-9397-08002B2CF9AE}" pid="3" name="KSOProductBuildVer">
    <vt:lpwstr>2052-12.1.0.16120</vt:lpwstr>
  </property>
</Properties>
</file>