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9" w:line="190" w:lineRule="auto"/>
        <w:ind w:left="179"/>
        <w:rPr>
          <w:rFonts w:ascii="SimSun" w:eastAsia="SimSun" w:hAnsi="SimSun" w:cs="SimSun"/>
          <w:sz w:val="20"/>
          <w:szCs w:val="20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971523</wp:posOffset>
            </wp:positionH>
            <wp:positionV relativeFrom="page">
              <wp:posOffset>2832146</wp:posOffset>
            </wp:positionV>
            <wp:extent cx="5848352" cy="12617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8352" cy="12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pacing w:val="-3"/>
          <w:sz w:val="20"/>
          <w:szCs w:val="20"/>
        </w:rPr>
        <w:t>ICS</w:t>
      </w:r>
      <w:r>
        <w:rPr>
          <w:rFonts w:ascii="Arial" w:eastAsia="Arial" w:hAnsi="Arial" w:cs="Arial"/>
          <w:spacing w:val="8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-3"/>
          <w:sz w:val="20"/>
          <w:szCs w:val="20"/>
        </w:rPr>
        <w:t>65.020.20</w:t>
      </w:r>
    </w:p>
    <w:p>
      <w:pPr>
        <w:spacing w:before="56" w:line="188" w:lineRule="auto"/>
        <w:ind w:left="179"/>
        <w:rPr>
          <w:rFonts w:ascii="Times New Roman" w:eastAsia="Times New Roman" w:hAnsi="Times New Roman" w:cs="Times New Roman"/>
          <w:sz w:val="120"/>
          <w:szCs w:val="120"/>
        </w:rPr>
      </w:pPr>
      <w:r>
        <w:rPr>
          <w:rFonts w:ascii="Arial" w:eastAsia="Arial" w:hAnsi="Arial" w:cs="Arial"/>
          <w:spacing w:val="-10"/>
          <w:position w:val="62"/>
          <w:sz w:val="20"/>
          <w:szCs w:val="20"/>
        </w:rPr>
        <w:t>B</w:t>
      </w:r>
      <w:r>
        <w:rPr>
          <w:rFonts w:ascii="Arial" w:eastAsia="Arial" w:hAnsi="Arial" w:cs="Arial"/>
          <w:spacing w:val="34"/>
          <w:w w:val="101"/>
          <w:position w:val="6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0"/>
          <w:position w:val="62"/>
          <w:sz w:val="20"/>
          <w:szCs w:val="20"/>
        </w:rPr>
        <w:t>05</w:t>
      </w:r>
      <w:r>
        <w:rPr>
          <w:rFonts w:ascii="Arial" w:eastAsia="Arial" w:hAnsi="Arial" w:cs="Arial"/>
          <w:spacing w:val="1"/>
          <w:position w:val="62"/>
          <w:sz w:val="20"/>
          <w:szCs w:val="20"/>
        </w:rPr>
        <w:t xml:space="preserve">                                                 </w:t>
      </w:r>
      <w:r>
        <w:rPr>
          <w:rFonts w:ascii="Arial" w:eastAsia="Arial" w:hAnsi="Arial" w:cs="Arial"/>
          <w:position w:val="62"/>
          <w:sz w:val="20"/>
          <w:szCs w:val="20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120"/>
          <w:szCs w:val="120"/>
        </w:rPr>
        <w:t>DB65</w:t>
      </w:r>
    </w:p>
    <w:p>
      <w:pPr>
        <w:spacing w:before="274" w:line="221" w:lineRule="auto"/>
        <w:ind w:left="186"/>
        <w:rPr>
          <w:rFonts w:ascii="SimHei" w:eastAsia="SimHei" w:hAnsi="SimHei" w:cs="SimHei"/>
          <w:sz w:val="43"/>
          <w:szCs w:val="43"/>
        </w:rPr>
      </w:pP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新</w:t>
      </w:r>
      <w:r>
        <w:rPr>
          <w:rFonts w:ascii="SimHei" w:eastAsia="SimHei" w:hAnsi="SimHei" w:cs="SimHei"/>
          <w:spacing w:val="193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疆</w:t>
      </w:r>
      <w:r>
        <w:rPr>
          <w:rFonts w:ascii="SimHei" w:eastAsia="SimHei" w:hAnsi="SimHei" w:cs="SimHei"/>
          <w:spacing w:val="169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维</w:t>
      </w:r>
      <w:r>
        <w:rPr>
          <w:rFonts w:ascii="SimHei" w:eastAsia="SimHei" w:hAnsi="SimHei" w:cs="SimHei"/>
          <w:spacing w:val="172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吾</w:t>
      </w:r>
      <w:r>
        <w:rPr>
          <w:rFonts w:ascii="SimHei" w:eastAsia="SimHei" w:hAnsi="SimHei" w:cs="SimHei"/>
          <w:spacing w:val="163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尔</w:t>
      </w:r>
      <w:r>
        <w:rPr>
          <w:rFonts w:ascii="SimHei" w:eastAsia="SimHei" w:hAnsi="SimHei" w:cs="SimHei"/>
          <w:spacing w:val="187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自</w:t>
      </w:r>
      <w:r>
        <w:rPr>
          <w:rFonts w:ascii="SimHei" w:eastAsia="SimHei" w:hAnsi="SimHei" w:cs="SimHei"/>
          <w:spacing w:val="10"/>
          <w:sz w:val="43"/>
          <w:szCs w:val="43"/>
        </w:rPr>
        <w:t xml:space="preserve"> 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治</w:t>
      </w:r>
      <w:r>
        <w:rPr>
          <w:rFonts w:ascii="SimHei" w:eastAsia="SimHei" w:hAnsi="SimHei" w:cs="SimHei"/>
          <w:spacing w:val="167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区</w:t>
      </w:r>
      <w:r>
        <w:rPr>
          <w:rFonts w:ascii="SimHei" w:eastAsia="SimHei" w:hAnsi="SimHei" w:cs="SimHei"/>
          <w:spacing w:val="182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地</w:t>
      </w:r>
      <w:r>
        <w:rPr>
          <w:rFonts w:ascii="SimHei" w:eastAsia="SimHei" w:hAnsi="SimHei" w:cs="SimHei"/>
          <w:spacing w:val="189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方</w:t>
      </w:r>
      <w:r>
        <w:rPr>
          <w:rFonts w:ascii="SimHei" w:eastAsia="SimHei" w:hAnsi="SimHei" w:cs="SimHei"/>
          <w:spacing w:val="160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标</w:t>
      </w:r>
      <w:r>
        <w:rPr>
          <w:rFonts w:ascii="SimHei" w:eastAsia="SimHei" w:hAnsi="SimHei" w:cs="SimHei"/>
          <w:spacing w:val="174"/>
          <w:sz w:val="43"/>
          <w:szCs w:val="43"/>
        </w:rPr>
        <w:t xml:space="preserve"> </w:t>
      </w:r>
      <w:r>
        <w:rPr>
          <w:rFonts w:ascii="SimHei" w:eastAsia="SimHei" w:hAnsi="SimHei" w:cs="SimHei"/>
          <w:b/>
          <w:bCs/>
          <w:spacing w:val="-30"/>
          <w:sz w:val="43"/>
          <w:szCs w:val="43"/>
        </w:rPr>
        <w:t>准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81" w:line="192" w:lineRule="auto"/>
        <w:ind w:right="31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DB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65/T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4186—2019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59" w:line="227" w:lineRule="auto"/>
        <w:ind w:left="3056" w:right="1105" w:hanging="2370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b/>
          <w:bCs/>
          <w:spacing w:val="11"/>
          <w:sz w:val="49"/>
          <w:szCs w:val="49"/>
        </w:rPr>
        <w:t>生态健康果园精杞一号、精杞二号</w:t>
      </w:r>
      <w:r>
        <w:rPr>
          <w:rFonts w:ascii="SimHei" w:eastAsia="SimHei" w:hAnsi="SimHei" w:cs="SimHei"/>
          <w:spacing w:val="11"/>
          <w:sz w:val="49"/>
          <w:szCs w:val="49"/>
        </w:rPr>
        <w:t xml:space="preserve"> </w:t>
      </w:r>
      <w:r>
        <w:rPr>
          <w:rFonts w:ascii="SimHei" w:eastAsia="SimHei" w:hAnsi="SimHei" w:cs="SimHei"/>
          <w:b/>
          <w:bCs/>
          <w:spacing w:val="-9"/>
          <w:sz w:val="49"/>
          <w:szCs w:val="49"/>
        </w:rPr>
        <w:t>栽培技术规程</w:t>
      </w:r>
    </w:p>
    <w:p>
      <w:pPr>
        <w:spacing w:line="356" w:lineRule="auto"/>
        <w:rPr>
          <w:rFonts w:ascii="Arial"/>
          <w:sz w:val="21"/>
        </w:rPr>
      </w:pPr>
    </w:p>
    <w:p>
      <w:pPr>
        <w:spacing w:before="81" w:line="19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Cultivation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Technical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Regulation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Jingqi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Nol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Jingqi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No2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Ecological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Health</w:t>
      </w:r>
    </w:p>
    <w:p>
      <w:pPr>
        <w:spacing w:before="124" w:line="188" w:lineRule="auto"/>
        <w:ind w:left="4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6"/>
          <w:w w:val="95"/>
          <w:sz w:val="28"/>
          <w:szCs w:val="28"/>
        </w:rPr>
        <w:t>Orchard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  <w:sectPr>
          <w:pgSz w:w="11910" w:h="16840"/>
          <w:pgMar w:top="1020" w:right="1142" w:bottom="0" w:left="1370" w:header="0" w:footer="0" w:gutter="0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92" w:line="227" w:lineRule="auto"/>
        <w:ind w:left="183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position w:val="-4"/>
          <w:sz w:val="28"/>
          <w:szCs w:val="28"/>
          <w:u w:val="single" w:color="auto"/>
        </w:rPr>
        <w:t>2019-03-01发布</w:t>
      </w:r>
      <w:r>
        <w:rPr>
          <w:rFonts w:ascii="SimHei" w:eastAsia="SimHei" w:hAnsi="SimHei" w:cs="SimHei"/>
          <w:spacing w:val="-106"/>
          <w:position w:val="-4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1"/>
          <w:position w:val="4"/>
          <w:sz w:val="28"/>
          <w:szCs w:val="28"/>
          <w:u w:val="single" w:color="auto"/>
        </w:rPr>
        <w:t xml:space="preserve">                            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2</w:t>
      </w:r>
      <w:r>
        <w:rPr>
          <w:rFonts w:ascii="SimHei" w:eastAsia="SimHei" w:hAnsi="SimHei" w:cs="SimHei"/>
          <w:spacing w:val="-35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27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1</w:t>
      </w:r>
      <w:r>
        <w:rPr>
          <w:rFonts w:ascii="SimHei" w:eastAsia="SimHei" w:hAnsi="SimHei" w:cs="SimHei"/>
          <w:spacing w:val="-50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9</w:t>
      </w:r>
      <w:r>
        <w:rPr>
          <w:rFonts w:ascii="SimHei" w:eastAsia="SimHei" w:hAnsi="SimHei" w:cs="SimHei"/>
          <w:spacing w:val="-47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-</w:t>
      </w:r>
      <w:r>
        <w:rPr>
          <w:rFonts w:ascii="SimHei" w:eastAsia="SimHei" w:hAnsi="SimHei" w:cs="SimHei"/>
          <w:spacing w:val="-44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49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4</w:t>
      </w:r>
      <w:r>
        <w:rPr>
          <w:rFonts w:ascii="SimHei" w:eastAsia="SimHei" w:hAnsi="SimHei" w:cs="SimHei"/>
          <w:spacing w:val="-48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-</w:t>
      </w:r>
      <w:r>
        <w:rPr>
          <w:rFonts w:ascii="SimHei" w:eastAsia="SimHei" w:hAnsi="SimHei" w:cs="SimHei"/>
          <w:spacing w:val="-44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0</w:t>
      </w:r>
      <w:r>
        <w:rPr>
          <w:rFonts w:ascii="SimHei" w:eastAsia="SimHei" w:hAnsi="SimHei" w:cs="SimHei"/>
          <w:spacing w:val="-27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1</w:t>
      </w:r>
      <w:r>
        <w:rPr>
          <w:rFonts w:ascii="SimHei" w:eastAsia="SimHei" w:hAnsi="SimHei" w:cs="SimHei"/>
          <w:spacing w:val="-35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实</w:t>
      </w:r>
      <w:r>
        <w:rPr>
          <w:rFonts w:ascii="SimHei" w:eastAsia="SimHei" w:hAnsi="SimHei" w:cs="SimHei"/>
          <w:spacing w:val="-44"/>
          <w:position w:val="4"/>
          <w:sz w:val="28"/>
          <w:szCs w:val="28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position w:val="4"/>
          <w:sz w:val="28"/>
          <w:szCs w:val="28"/>
          <w:u w:val="single" w:color="auto"/>
        </w:rPr>
        <w:t>施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20" w:line="221" w:lineRule="auto"/>
        <w:ind w:left="935"/>
        <w:rPr>
          <w:rFonts w:ascii="SimHei" w:eastAsia="SimHei" w:hAnsi="SimHei" w:cs="SimHei"/>
          <w:sz w:val="37"/>
          <w:szCs w:val="37"/>
        </w:rPr>
      </w:pPr>
      <w:r>
        <w:rPr>
          <w:rFonts w:ascii="SimHei" w:eastAsia="SimHei" w:hAnsi="SimHei" w:cs="SimHei"/>
          <w:b/>
          <w:bCs/>
          <w:spacing w:val="15"/>
          <w:sz w:val="37"/>
          <w:szCs w:val="37"/>
        </w:rPr>
        <w:t>新疆维吾尔自治区市场监督管理局</w:t>
      </w:r>
      <w:r>
        <w:rPr>
          <w:rFonts w:ascii="SimHei" w:eastAsia="SimHei" w:hAnsi="SimHei" w:cs="SimHei"/>
          <w:spacing w:val="64"/>
          <w:sz w:val="37"/>
          <w:szCs w:val="37"/>
        </w:rPr>
        <w:t xml:space="preserve">   </w:t>
      </w:r>
      <w:r>
        <w:rPr>
          <w:rFonts w:ascii="SimHei" w:eastAsia="SimHei" w:hAnsi="SimHei" w:cs="SimHei"/>
          <w:b/>
          <w:bCs/>
          <w:spacing w:val="15"/>
          <w:sz w:val="37"/>
          <w:szCs w:val="37"/>
        </w:rPr>
        <w:t>发布</w:t>
      </w:r>
    </w:p>
    <w:p>
      <w:pPr>
        <w:sectPr>
          <w:type w:val="nextPage"/>
          <w:pgSz w:w="11910" w:h="16840"/>
          <w:pgMar w:top="1020" w:right="1142" w:bottom="0" w:left="1370" w:header="0" w:footer="0" w:gutter="0"/>
          <w:pgNumType w:start="2"/>
          <w:cols w:space="708"/>
          <w:titlePg w:val="0"/>
        </w:sect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49" w:line="188" w:lineRule="auto"/>
        <w:ind w:right="33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DB65/</w:t>
      </w:r>
      <w:r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spacing w:val="6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4186—2019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04" w:line="222" w:lineRule="auto"/>
        <w:ind w:left="394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23"/>
          <w:sz w:val="32"/>
          <w:szCs w:val="32"/>
        </w:rPr>
        <w:t>前</w:t>
      </w:r>
      <w:r>
        <w:rPr>
          <w:rFonts w:ascii="SimHei" w:eastAsia="SimHei" w:hAnsi="SimHei" w:cs="SimHei"/>
          <w:spacing w:val="39"/>
          <w:sz w:val="32"/>
          <w:szCs w:val="32"/>
        </w:rPr>
        <w:t xml:space="preserve">   </w:t>
      </w:r>
      <w:r>
        <w:rPr>
          <w:rFonts w:ascii="SimHei" w:eastAsia="SimHei" w:hAnsi="SimHei" w:cs="SimHei"/>
          <w:b/>
          <w:bCs/>
          <w:spacing w:val="-23"/>
          <w:sz w:val="32"/>
          <w:szCs w:val="32"/>
        </w:rPr>
        <w:t>言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5" w:line="243" w:lineRule="auto"/>
        <w:ind w:left="489" w:right="26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本标准根据GB/T1.1—2009</w:t>
      </w:r>
      <w:r>
        <w:rPr>
          <w:rFonts w:ascii="SimSun" w:eastAsia="SimSun" w:hAnsi="SimSun" w:cs="SimSun"/>
          <w:spacing w:val="59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《标准化工作导则第一部分：标准的结构和编写》有关要求编写。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本标准由新疆维吾尔自治区林业和草原局提出并组织实施。</w:t>
      </w:r>
    </w:p>
    <w:p>
      <w:pPr>
        <w:spacing w:before="53" w:line="290" w:lineRule="exact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position w:val="6"/>
          <w:sz w:val="20"/>
          <w:szCs w:val="20"/>
        </w:rPr>
        <w:t>本标准由新疆维吾尔自治区林业和草原局归口。</w:t>
      </w:r>
    </w:p>
    <w:p>
      <w:pPr>
        <w:spacing w:line="218" w:lineRule="auto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3"/>
          <w:sz w:val="20"/>
          <w:szCs w:val="20"/>
        </w:rPr>
        <w:t>本标准由新疆林业科学院起草。</w:t>
      </w:r>
    </w:p>
    <w:p>
      <w:pPr>
        <w:spacing w:before="53" w:line="243" w:lineRule="auto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本标准主要起草人：李勇、毛金梅、王琴、韩宏伟、刘凤兰、王建友、蒋江照、刘英姿、林星辉。</w:t>
      </w:r>
      <w:r>
        <w:rPr>
          <w:rFonts w:ascii="SimSun" w:eastAsia="SimSun" w:hAnsi="SimSun" w:cs="SimSun"/>
          <w:spacing w:val="1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本标准实施应用中的疑问，请咨询新疆林业科学院。</w:t>
      </w:r>
    </w:p>
    <w:p>
      <w:pPr>
        <w:spacing w:before="103" w:line="248" w:lineRule="auto"/>
        <w:ind w:right="36" w:firstLine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对本标准的修改意见建议，请反馈至自治区市场监督管理局、自治区林业和草原</w:t>
      </w:r>
      <w:r>
        <w:rPr>
          <w:rFonts w:ascii="SimSun" w:eastAsia="SimSun" w:hAnsi="SimSun" w:cs="SimSun"/>
          <w:spacing w:val="-1"/>
          <w:sz w:val="20"/>
          <w:szCs w:val="20"/>
        </w:rPr>
        <w:t>局(乌鲁木齐市沙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依巴克区公园北街270号)或新疆林业科学院(乌鲁木齐市水磨沟区安居南路191号)。</w:t>
      </w:r>
    </w:p>
    <w:p>
      <w:pPr>
        <w:spacing w:before="63" w:line="219" w:lineRule="auto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sz w:val="20"/>
          <w:szCs w:val="20"/>
        </w:rPr>
        <w:t>自治区市场监督管理局</w:t>
      </w:r>
      <w:r>
        <w:rPr>
          <w:rFonts w:ascii="SimSun" w:eastAsia="SimSun" w:hAnsi="SimSun" w:cs="SimSun"/>
          <w:spacing w:val="20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4"/>
          <w:sz w:val="20"/>
          <w:szCs w:val="20"/>
        </w:rPr>
        <w:t>联系电话：0991-2817197;传真：0991-28</w:t>
      </w:r>
      <w:r>
        <w:rPr>
          <w:rFonts w:ascii="SimSun" w:eastAsia="SimSun" w:hAnsi="SimSun" w:cs="SimSun"/>
          <w:spacing w:val="3"/>
          <w:sz w:val="20"/>
          <w:szCs w:val="20"/>
        </w:rPr>
        <w:t>17197;邮编：830000</w:t>
      </w:r>
    </w:p>
    <w:p>
      <w:pPr>
        <w:spacing w:before="62" w:line="219" w:lineRule="auto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自治区林业和草原局</w:t>
      </w:r>
      <w:r>
        <w:rPr>
          <w:rFonts w:ascii="SimSun" w:eastAsia="SimSun" w:hAnsi="SimSun" w:cs="SimSun"/>
          <w:spacing w:val="20"/>
          <w:sz w:val="20"/>
          <w:szCs w:val="20"/>
        </w:rPr>
        <w:t xml:space="preserve">     </w:t>
      </w:r>
      <w:r>
        <w:rPr>
          <w:rFonts w:ascii="SimSun" w:eastAsia="SimSun" w:hAnsi="SimSun" w:cs="SimSun"/>
          <w:spacing w:val="3"/>
          <w:sz w:val="20"/>
          <w:szCs w:val="20"/>
        </w:rPr>
        <w:t>联系电话：0991-5580237;传真：0991-5580237;邮编：830000</w:t>
      </w:r>
    </w:p>
    <w:p>
      <w:pPr>
        <w:spacing w:before="63" w:line="219" w:lineRule="auto"/>
        <w:ind w:left="4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sz w:val="20"/>
          <w:szCs w:val="20"/>
        </w:rPr>
        <w:t>新疆林业科学院</w:t>
      </w:r>
      <w:r>
        <w:rPr>
          <w:rFonts w:ascii="SimSun" w:eastAsia="SimSun" w:hAnsi="SimSun" w:cs="SimSun"/>
          <w:sz w:val="20"/>
          <w:szCs w:val="20"/>
        </w:rPr>
        <w:t xml:space="preserve">          </w:t>
      </w:r>
      <w:r>
        <w:rPr>
          <w:rFonts w:ascii="SimSun" w:eastAsia="SimSun" w:hAnsi="SimSun" w:cs="SimSun"/>
          <w:spacing w:val="4"/>
          <w:sz w:val="20"/>
          <w:szCs w:val="20"/>
        </w:rPr>
        <w:t>联系电话：0991-4649082;传真：099</w:t>
      </w:r>
      <w:r>
        <w:rPr>
          <w:rFonts w:ascii="SimSun" w:eastAsia="SimSun" w:hAnsi="SimSun" w:cs="SimSun"/>
          <w:spacing w:val="3"/>
          <w:sz w:val="20"/>
          <w:szCs w:val="20"/>
        </w:rPr>
        <w:t>1-4649082;邮编：830000</w:t>
      </w:r>
    </w:p>
    <w:p>
      <w:pPr>
        <w:sectPr>
          <w:footerReference w:type="default" r:id="rId5"/>
          <w:pgSz w:w="11910" w:h="16840"/>
          <w:pgMar w:top="1431" w:right="1449" w:bottom="1634" w:left="1440" w:header="0" w:footer="1456" w:gutter="0"/>
          <w:pgNumType w:start="3"/>
          <w:cols w:space="708"/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98" w:line="219" w:lineRule="auto"/>
        <w:ind w:left="1264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5"/>
          <w:sz w:val="30"/>
          <w:szCs w:val="30"/>
        </w:rPr>
        <w:t>生态健康果园精杞一号、精杞二号栽培技术规程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68" w:line="223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1</w:t>
      </w:r>
      <w:r>
        <w:rPr>
          <w:rFonts w:ascii="SimHei" w:eastAsia="SimHei" w:hAnsi="SimHei" w:cs="SimHei"/>
          <w:spacing w:val="2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范围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68" w:line="250" w:lineRule="auto"/>
        <w:ind w:right="61" w:firstLine="430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本标准规定了生态健康果园精杞一号、精杞二号栽培技术的术语和定义、园地选择、产地环境、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3"/>
          <w:sz w:val="21"/>
          <w:szCs w:val="21"/>
        </w:rPr>
        <w:t>品种选择、苗木选择、栽植密度、园地管理、栽培管理、有害生物防治、采收分选包装和档</w:t>
      </w:r>
      <w:r>
        <w:rPr>
          <w:rFonts w:ascii="SimSun" w:eastAsia="SimSun" w:hAnsi="SimSun" w:cs="SimSun"/>
          <w:spacing w:val="-14"/>
          <w:sz w:val="21"/>
          <w:szCs w:val="21"/>
        </w:rPr>
        <w:t>案管理的要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求。</w:t>
      </w:r>
    </w:p>
    <w:p>
      <w:pPr>
        <w:spacing w:before="46" w:line="219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2"/>
          <w:sz w:val="21"/>
          <w:szCs w:val="21"/>
        </w:rPr>
        <w:t>本标准适用于精杞一号、精杞二号的适宜种植区的生态健康果园栽培的模式。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68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2</w:t>
      </w:r>
      <w:r>
        <w:rPr>
          <w:rFonts w:ascii="SimHei" w:eastAsia="SimHei" w:hAnsi="SimHei" w:cs="SimHei"/>
          <w:spacing w:val="10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规范性引用文件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68" w:line="241" w:lineRule="auto"/>
        <w:ind w:right="45" w:firstLine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3"/>
          <w:sz w:val="21"/>
          <w:szCs w:val="21"/>
        </w:rPr>
        <w:t>下列文件对于本文件的应用是必不可少的。凡是注日期的引用文件，仅所注日期的版本适用于本</w:t>
      </w:r>
      <w:r>
        <w:rPr>
          <w:rFonts w:ascii="SimSun" w:eastAsia="SimSun" w:hAnsi="SimSun" w:cs="SimSun"/>
          <w:spacing w:val="-14"/>
          <w:sz w:val="21"/>
          <w:szCs w:val="21"/>
        </w:rPr>
        <w:t>文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件。凡是不注日期的引用文件，其最新版本(包括所有的修改单)适用于本文件。</w:t>
      </w:r>
    </w:p>
    <w:p>
      <w:pPr>
        <w:spacing w:before="53" w:line="220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GB/T</w:t>
      </w:r>
      <w:r>
        <w:rPr>
          <w:rFonts w:ascii="SimSun" w:eastAsia="SimSun" w:hAnsi="SimSun" w:cs="SimSun"/>
          <w:spacing w:val="2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18672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   </w:t>
      </w:r>
      <w:r>
        <w:rPr>
          <w:rFonts w:ascii="SimSun" w:eastAsia="SimSun" w:hAnsi="SimSun" w:cs="SimSun"/>
          <w:spacing w:val="-5"/>
          <w:sz w:val="21"/>
          <w:szCs w:val="21"/>
        </w:rPr>
        <w:t>枸杞</w:t>
      </w:r>
    </w:p>
    <w:p>
      <w:pPr>
        <w:spacing w:before="48" w:line="219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NY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525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</w:t>
      </w:r>
      <w:r>
        <w:rPr>
          <w:rFonts w:ascii="SimSun" w:eastAsia="SimSun" w:hAnsi="SimSun" w:cs="SimSun"/>
          <w:spacing w:val="-7"/>
          <w:sz w:val="21"/>
          <w:szCs w:val="21"/>
        </w:rPr>
        <w:t>有机肥料</w:t>
      </w:r>
    </w:p>
    <w:p>
      <w:pPr>
        <w:spacing w:before="50" w:line="219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NY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884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             </w:t>
      </w:r>
      <w:r>
        <w:rPr>
          <w:rFonts w:ascii="SimSun" w:eastAsia="SimSun" w:hAnsi="SimSun" w:cs="SimSun"/>
          <w:spacing w:val="-5"/>
          <w:sz w:val="21"/>
          <w:szCs w:val="21"/>
        </w:rPr>
        <w:t>生物有机肥</w:t>
      </w:r>
    </w:p>
    <w:p>
      <w:pPr>
        <w:spacing w:before="43" w:line="219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7"/>
          <w:sz w:val="21"/>
          <w:szCs w:val="21"/>
        </w:rPr>
        <w:t>DB65/T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3723</w:t>
      </w:r>
      <w:r>
        <w:rPr>
          <w:rFonts w:ascii="SimSun" w:eastAsia="SimSun" w:hAnsi="SimSun" w:cs="SimSun"/>
          <w:spacing w:val="24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7"/>
          <w:sz w:val="21"/>
          <w:szCs w:val="21"/>
        </w:rPr>
        <w:t>生态健康果园产地环境</w:t>
      </w:r>
    </w:p>
    <w:p>
      <w:pPr>
        <w:spacing w:before="61" w:line="220" w:lineRule="auto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DB65/T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2086</w:t>
      </w:r>
      <w:r>
        <w:rPr>
          <w:rFonts w:ascii="SimSun" w:eastAsia="SimSun" w:hAnsi="SimSun" w:cs="SimSun"/>
          <w:spacing w:val="18"/>
          <w:sz w:val="21"/>
          <w:szCs w:val="21"/>
        </w:rPr>
        <w:t xml:space="preserve">   </w:t>
      </w:r>
      <w:r>
        <w:rPr>
          <w:rFonts w:ascii="SimSun" w:eastAsia="SimSun" w:hAnsi="SimSun" w:cs="SimSun"/>
          <w:spacing w:val="-5"/>
          <w:sz w:val="21"/>
          <w:szCs w:val="21"/>
        </w:rPr>
        <w:t>枸杞苗木</w:t>
      </w:r>
    </w:p>
    <w:p>
      <w:pPr>
        <w:spacing w:before="306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3</w:t>
      </w:r>
      <w:r>
        <w:rPr>
          <w:rFonts w:ascii="SimHei" w:eastAsia="SimHei" w:hAnsi="SimHei" w:cs="SimHei"/>
          <w:spacing w:val="1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术语和定义</w:t>
      </w:r>
    </w:p>
    <w:p>
      <w:pPr>
        <w:spacing w:before="190" w:line="444" w:lineRule="exact"/>
        <w:ind w:left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1"/>
          <w:position w:val="18"/>
          <w:sz w:val="21"/>
          <w:szCs w:val="21"/>
        </w:rPr>
        <w:t>下列术语和定义适用于本文件。</w:t>
      </w:r>
    </w:p>
    <w:p>
      <w:pPr>
        <w:spacing w:before="1"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3.1</w:t>
      </w:r>
    </w:p>
    <w:p>
      <w:pPr>
        <w:spacing w:before="184" w:line="212" w:lineRule="auto"/>
        <w:ind w:left="43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Hei" w:eastAsia="SimHei" w:hAnsi="SimHei" w:cs="SimHei"/>
          <w:b/>
          <w:bCs/>
          <w:spacing w:val="-7"/>
          <w:sz w:val="21"/>
          <w:szCs w:val="21"/>
        </w:rPr>
        <w:t>生态健康果园</w:t>
      </w:r>
      <w:r>
        <w:rPr>
          <w:rFonts w:ascii="SimHei" w:eastAsia="SimHei" w:hAnsi="SimHei" w:cs="SimHei"/>
          <w:spacing w:val="8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Ecological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Orchard</w:t>
      </w:r>
    </w:p>
    <w:p>
      <w:pPr>
        <w:spacing w:before="64" w:line="249" w:lineRule="auto"/>
        <w:ind w:right="48" w:firstLine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3"/>
          <w:sz w:val="21"/>
          <w:szCs w:val="21"/>
        </w:rPr>
        <w:t>生态健康果园是指水质、土壤和空气等生态环境优良，远离污染源，按照生态学原理及果树</w:t>
      </w:r>
      <w:r>
        <w:rPr>
          <w:rFonts w:ascii="SimSun" w:eastAsia="SimSun" w:hAnsi="SimSun" w:cs="SimSun"/>
          <w:spacing w:val="-14"/>
          <w:sz w:val="21"/>
          <w:szCs w:val="21"/>
        </w:rPr>
        <w:t>生长发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3"/>
          <w:sz w:val="21"/>
          <w:szCs w:val="21"/>
        </w:rPr>
        <w:t>育规律进行果树的树体管理、肥水管理和有害生物防治，生产出富含营养、品质优异、安全健康果品的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果园。</w:t>
      </w:r>
    </w:p>
    <w:p>
      <w:pPr>
        <w:spacing w:before="193" w:line="183" w:lineRule="auto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3.2</w:t>
      </w:r>
    </w:p>
    <w:p>
      <w:pPr>
        <w:spacing w:before="184" w:line="212" w:lineRule="auto"/>
        <w:ind w:left="432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6"/>
          <w:footerReference w:type="default" r:id="rId7"/>
          <w:pgSz w:w="11910" w:h="16840"/>
          <w:pgMar w:top="1939" w:right="1473" w:bottom="1625" w:left="1489" w:header="1827" w:footer="1476" w:gutter="0"/>
          <w:pgNumType w:start="4"/>
          <w:cols w:space="708"/>
        </w:sectPr>
      </w:pP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生物诱集带</w:t>
      </w:r>
      <w:r>
        <w:rPr>
          <w:rFonts w:ascii="SimHei" w:eastAsia="SimHei" w:hAnsi="SimHei" w:cs="SimHei"/>
          <w:spacing w:val="7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Biology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Lure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band</w:t>
      </w:r>
    </w:p>
    <w:p>
      <w:pPr>
        <w:spacing w:before="52" w:line="246" w:lineRule="auto"/>
        <w:ind w:right="48" w:firstLine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8"/>
          <w:sz w:val="21"/>
          <w:szCs w:val="21"/>
        </w:rPr>
        <w:t>生物诱集带是指为引诱昆虫保护主栽作物和果树免受一种或</w:t>
      </w:r>
      <w:r>
        <w:rPr>
          <w:rFonts w:ascii="SimSun" w:eastAsia="SimSun" w:hAnsi="SimSun" w:cs="SimSun"/>
          <w:spacing w:val="-9"/>
          <w:sz w:val="21"/>
          <w:szCs w:val="21"/>
        </w:rPr>
        <w:t>几种害虫危害而建立的对害虫的引诱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2"/>
          <w:sz w:val="21"/>
          <w:szCs w:val="21"/>
        </w:rPr>
        <w:t>作用明显高于主栽作物和果树的植物条带。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6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2"/>
          <w:sz w:val="21"/>
          <w:szCs w:val="21"/>
        </w:rPr>
        <w:t>4</w:t>
      </w:r>
      <w:r>
        <w:rPr>
          <w:rFonts w:ascii="SimHei" w:eastAsia="SimHei" w:hAnsi="SimHei" w:cs="SimHei"/>
          <w:spacing w:val="10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2"/>
          <w:sz w:val="21"/>
          <w:szCs w:val="21"/>
        </w:rPr>
        <w:t>园地选择</w:t>
      </w:r>
    </w:p>
    <w:p>
      <w:pPr>
        <w:spacing w:before="191" w:line="245" w:lineRule="auto"/>
        <w:ind w:right="56" w:firstLine="4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0"/>
          <w:sz w:val="21"/>
          <w:szCs w:val="21"/>
        </w:rPr>
        <w:t>选择地势平坦、有排灌条件，土壤较肥沃的</w:t>
      </w:r>
      <w:r>
        <w:rPr>
          <w:rFonts w:ascii="SimSun" w:eastAsia="SimSun" w:hAnsi="SimSun" w:cs="SimSun"/>
          <w:spacing w:val="-11"/>
          <w:sz w:val="21"/>
          <w:szCs w:val="21"/>
        </w:rPr>
        <w:t>沙壤、轻壤和中壤；土壤含盐量0.5%以下，</w:t>
      </w:r>
      <w:r>
        <w:rPr>
          <w:rFonts w:ascii="SimSun" w:eastAsia="SimSun" w:hAnsi="SimSun" w:cs="SimSun"/>
          <w:spacing w:val="-4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PH</w:t>
      </w:r>
      <w:r>
        <w:rPr>
          <w:rFonts w:ascii="SimSun" w:eastAsia="SimSun" w:hAnsi="SimSun" w:cs="SimSun"/>
          <w:spacing w:val="-3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值7.0~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8.5,耕作层30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cm</w:t>
      </w:r>
      <w:r>
        <w:rPr>
          <w:rFonts w:ascii="SimSun" w:eastAsia="SimSun" w:hAnsi="SimSun" w:cs="SimSun"/>
          <w:spacing w:val="-4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以上，地下水位1.5m</w:t>
      </w:r>
      <w:r>
        <w:rPr>
          <w:rFonts w:ascii="SimSun" w:eastAsia="SimSun" w:hAnsi="SimSun" w:cs="SimSun"/>
          <w:spacing w:val="-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以下，灌溉用水矿化度&lt;2g/L;</w:t>
      </w:r>
      <w:r>
        <w:rPr>
          <w:rFonts w:ascii="SimSun" w:eastAsia="SimSun" w:hAnsi="SimSun" w:cs="SimSun"/>
          <w:spacing w:val="-3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远离污染源1000m</w:t>
      </w:r>
      <w:r>
        <w:rPr>
          <w:rFonts w:ascii="SimSun" w:eastAsia="SimSun" w:hAnsi="SimSun" w:cs="SimSun"/>
          <w:spacing w:val="-1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以上。</w:t>
      </w:r>
    </w:p>
    <w:p>
      <w:pPr>
        <w:spacing w:before="289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2"/>
          <w:w w:val="97"/>
          <w:sz w:val="21"/>
          <w:szCs w:val="21"/>
        </w:rPr>
        <w:t>5</w:t>
      </w:r>
      <w:r>
        <w:rPr>
          <w:rFonts w:ascii="SimHei" w:eastAsia="SimHei" w:hAnsi="SimHei" w:cs="SimHei"/>
          <w:spacing w:val="4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2"/>
          <w:w w:val="97"/>
          <w:sz w:val="21"/>
          <w:szCs w:val="21"/>
        </w:rPr>
        <w:t>产地环境</w:t>
      </w:r>
    </w:p>
    <w:p>
      <w:pPr>
        <w:sectPr>
          <w:headerReference w:type="default" r:id="rId8"/>
          <w:footerReference w:type="default" r:id="rId9"/>
          <w:type w:val="nextPage"/>
          <w:pgSz w:w="11910" w:h="16840"/>
          <w:pgMar w:top="1939" w:right="1473" w:bottom="1625" w:left="1489" w:header="1827" w:footer="1476" w:gutter="0"/>
          <w:pgNumType w:start="5"/>
          <w:cols w:space="708"/>
          <w:titlePg w:val="0"/>
        </w:sect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49" w:line="188" w:lineRule="auto"/>
        <w:ind w:right="98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DB65/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"/>
          <w:sz w:val="17"/>
          <w:szCs w:val="17"/>
        </w:rPr>
        <w:t>4186—2019</w:t>
      </w:r>
    </w:p>
    <w:p>
      <w:pPr>
        <w:spacing w:before="304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产地环境符合DB65/T</w:t>
      </w:r>
      <w:r>
        <w:rPr>
          <w:rFonts w:ascii="SimSun" w:eastAsia="SimSun" w:hAnsi="SimSun" w:cs="SimSun"/>
          <w:spacing w:val="2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3723的规定。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69" w:line="221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7"/>
          <w:sz w:val="21"/>
          <w:szCs w:val="21"/>
        </w:rPr>
        <w:t>6</w:t>
      </w:r>
      <w:r>
        <w:rPr>
          <w:rFonts w:ascii="SimHei" w:eastAsia="SimHei" w:hAnsi="SimHei" w:cs="SimHei"/>
          <w:spacing w:val="8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21"/>
          <w:szCs w:val="21"/>
        </w:rPr>
        <w:t>品种选择</w:t>
      </w:r>
    </w:p>
    <w:p>
      <w:pPr>
        <w:spacing w:before="192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9"/>
          <w:sz w:val="21"/>
          <w:szCs w:val="21"/>
        </w:rPr>
        <w:t>枸杞品种“精杞一号”、</w:t>
      </w:r>
      <w:r>
        <w:rPr>
          <w:rFonts w:ascii="SimSun" w:eastAsia="SimSun" w:hAnsi="SimSun" w:cs="SimSun"/>
          <w:spacing w:val="3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9"/>
          <w:sz w:val="21"/>
          <w:szCs w:val="21"/>
        </w:rPr>
        <w:t>“精杞二号”。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68" w:line="222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2"/>
          <w:sz w:val="21"/>
          <w:szCs w:val="21"/>
        </w:rPr>
        <w:t>7</w:t>
      </w:r>
      <w:r>
        <w:rPr>
          <w:rFonts w:ascii="SimHei" w:eastAsia="SimHei" w:hAnsi="SimHei" w:cs="SimHei"/>
          <w:spacing w:val="101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2"/>
          <w:sz w:val="21"/>
          <w:szCs w:val="21"/>
        </w:rPr>
        <w:t>苗木选择</w:t>
      </w:r>
    </w:p>
    <w:p>
      <w:pPr>
        <w:spacing w:before="221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0"/>
          <w:sz w:val="21"/>
          <w:szCs w:val="21"/>
        </w:rPr>
        <w:t>苗木规格符合DB65/T</w:t>
      </w:r>
      <w:r>
        <w:rPr>
          <w:rFonts w:ascii="SimSun" w:eastAsia="SimSun" w:hAnsi="SimSun" w:cs="SimSun"/>
          <w:spacing w:val="2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2086的规格要求。</w:t>
      </w:r>
    </w:p>
    <w:p>
      <w:pPr>
        <w:spacing w:before="304" w:line="219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8</w:t>
      </w:r>
      <w:r>
        <w:rPr>
          <w:rFonts w:ascii="SimHei" w:eastAsia="SimHei" w:hAnsi="SimHei" w:cs="SimHei"/>
          <w:spacing w:val="9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栽植密度</w:t>
      </w:r>
    </w:p>
    <w:p>
      <w:pPr>
        <w:spacing w:before="185" w:line="216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株行距1m×3m,</w:t>
      </w:r>
      <w:r>
        <w:rPr>
          <w:rFonts w:ascii="SimSun" w:eastAsia="SimSun" w:hAnsi="SimSun" w:cs="SimSun"/>
          <w:spacing w:val="11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5"/>
          <w:sz w:val="21"/>
          <w:szCs w:val="21"/>
        </w:rPr>
        <w:t>每公顷栽植3330株。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68" w:line="223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9</w:t>
      </w:r>
      <w:r>
        <w:rPr>
          <w:rFonts w:ascii="SimHei" w:eastAsia="SimHei" w:hAnsi="SimHei" w:cs="SimHei"/>
          <w:spacing w:val="92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园地管理</w:t>
      </w:r>
    </w:p>
    <w:p>
      <w:pPr>
        <w:spacing w:before="215" w:line="222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9.1</w:t>
      </w:r>
      <w:r>
        <w:rPr>
          <w:rFonts w:ascii="SimHei" w:eastAsia="SimHei" w:hAnsi="SimHei" w:cs="SimHei"/>
          <w:spacing w:val="7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改良土壤结构</w:t>
      </w:r>
    </w:p>
    <w:p>
      <w:pPr>
        <w:spacing w:before="170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2"/>
          <w:sz w:val="21"/>
          <w:szCs w:val="21"/>
        </w:rPr>
        <w:t>采取合理耕作、多施有机肥等方法改良土壤结构。</w:t>
      </w:r>
    </w:p>
    <w:p>
      <w:pPr>
        <w:spacing w:before="208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9.2</w:t>
      </w:r>
      <w:r>
        <w:rPr>
          <w:rFonts w:ascii="SimHei" w:eastAsia="SimHei" w:hAnsi="SimHei" w:cs="SimHei"/>
          <w:spacing w:val="7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种植生物诱集带和缓冲带</w:t>
      </w:r>
    </w:p>
    <w:p>
      <w:pPr>
        <w:spacing w:before="193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可在生态果园四周种植3m～4m</w:t>
      </w:r>
      <w:r>
        <w:rPr>
          <w:rFonts w:ascii="SimSun" w:eastAsia="SimSun" w:hAnsi="SimSun" w:cs="SimSun"/>
          <w:spacing w:val="6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宽的紫花苜</w:t>
      </w:r>
      <w:r>
        <w:rPr>
          <w:rFonts w:ascii="SimSun" w:eastAsia="SimSun" w:hAnsi="SimSun" w:cs="SimSun"/>
          <w:spacing w:val="-10"/>
          <w:sz w:val="21"/>
          <w:szCs w:val="21"/>
        </w:rPr>
        <w:t>蓿作为颐养天敌、诱杀害虫的生物诱集带和缓冲带。</w:t>
      </w:r>
    </w:p>
    <w:p>
      <w:pPr>
        <w:spacing w:before="206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9.3</w:t>
      </w:r>
      <w:r>
        <w:rPr>
          <w:rFonts w:ascii="SimHei" w:eastAsia="SimHei" w:hAnsi="SimHei" w:cs="SimHei"/>
          <w:spacing w:val="67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间作绿肥或饲草</w:t>
      </w:r>
    </w:p>
    <w:p>
      <w:pPr>
        <w:spacing w:before="172" w:line="219" w:lineRule="auto"/>
        <w:ind w:left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1"/>
          <w:sz w:val="21"/>
          <w:szCs w:val="21"/>
        </w:rPr>
        <w:t>可间作绿肥或饲草。人工生草的种类包括豆科植物等、绿肥</w:t>
      </w:r>
      <w:r>
        <w:rPr>
          <w:rFonts w:ascii="SimSun" w:eastAsia="SimSun" w:hAnsi="SimSun" w:cs="SimSun"/>
          <w:spacing w:val="-12"/>
          <w:sz w:val="21"/>
          <w:szCs w:val="21"/>
        </w:rPr>
        <w:t>、驱避植物等植物。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69" w:line="219" w:lineRule="auto"/>
        <w:ind w:left="3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10</w:t>
      </w:r>
      <w:r>
        <w:rPr>
          <w:rFonts w:ascii="SimHei" w:eastAsia="SimHei" w:hAnsi="SimHei" w:cs="SimHei"/>
          <w:spacing w:val="7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栽培管理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69" w:line="221" w:lineRule="auto"/>
        <w:ind w:left="3"/>
        <w:outlineLvl w:val="0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10.1</w:t>
      </w:r>
      <w:r>
        <w:rPr>
          <w:rFonts w:ascii="SimHei" w:eastAsia="SimHei" w:hAnsi="SimHei" w:cs="SimHei"/>
          <w:spacing w:val="64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8"/>
          <w:sz w:val="21"/>
          <w:szCs w:val="21"/>
        </w:rPr>
        <w:t>整形修剪</w:t>
      </w:r>
    </w:p>
    <w:p>
      <w:pPr>
        <w:spacing w:before="169" w:line="256" w:lineRule="auto"/>
        <w:ind w:right="83" w:firstLine="410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7"/>
          <w:sz w:val="21"/>
          <w:szCs w:val="21"/>
        </w:rPr>
        <w:t>树形要求为自然半圆形，结构特点：主干高40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cm～5</w:t>
      </w:r>
      <w:r>
        <w:rPr>
          <w:rFonts w:ascii="SimSun" w:eastAsia="SimSun" w:hAnsi="SimSun" w:cs="SimSun"/>
          <w:spacing w:val="-8"/>
          <w:sz w:val="21"/>
          <w:szCs w:val="21"/>
        </w:rPr>
        <w:t>0</w:t>
      </w:r>
      <w:r>
        <w:rPr>
          <w:rFonts w:ascii="SimSun" w:eastAsia="SimSun" w:hAnsi="SimSun" w:cs="SimSun"/>
          <w:spacing w:val="-7"/>
          <w:sz w:val="21"/>
          <w:szCs w:val="21"/>
        </w:rPr>
        <w:t>cm</w:t>
      </w:r>
      <w:r>
        <w:rPr>
          <w:rFonts w:ascii="SimSun" w:eastAsia="SimSun" w:hAnsi="SimSun" w:cs="SimSun"/>
          <w:spacing w:val="-8"/>
          <w:sz w:val="21"/>
          <w:szCs w:val="21"/>
        </w:rPr>
        <w:t>,</w:t>
      </w:r>
      <w:r>
        <w:rPr>
          <w:rFonts w:ascii="SimSun" w:eastAsia="SimSun" w:hAnsi="SimSun" w:cs="SimSun"/>
          <w:spacing w:val="7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分2层1顶，层间距30</w:t>
      </w:r>
      <w:r>
        <w:rPr>
          <w:rFonts w:ascii="SimSun" w:eastAsia="SimSun" w:hAnsi="SimSun" w:cs="SimSun"/>
          <w:spacing w:val="-7"/>
          <w:sz w:val="21"/>
          <w:szCs w:val="21"/>
        </w:rPr>
        <w:t>cm</w:t>
      </w:r>
      <w:r>
        <w:rPr>
          <w:rFonts w:ascii="SimSun" w:eastAsia="SimSun" w:hAnsi="SimSun" w:cs="SimSun"/>
          <w:spacing w:val="-8"/>
          <w:sz w:val="21"/>
          <w:szCs w:val="21"/>
        </w:rPr>
        <w:t>～40</w:t>
      </w:r>
      <w:r>
        <w:rPr>
          <w:rFonts w:ascii="SimSun" w:eastAsia="SimSun" w:hAnsi="SimSun" w:cs="SimSun"/>
          <w:spacing w:val="6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7"/>
          <w:sz w:val="21"/>
          <w:szCs w:val="21"/>
        </w:rPr>
        <w:t>cm</w:t>
      </w:r>
      <w:r>
        <w:rPr>
          <w:rFonts w:ascii="SimSun" w:eastAsia="SimSun" w:hAnsi="SimSun" w:cs="SimSun"/>
          <w:spacing w:val="-8"/>
          <w:sz w:val="21"/>
          <w:szCs w:val="21"/>
        </w:rPr>
        <w:t>,树高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1.5m</w:t>
      </w:r>
      <w:r>
        <w:rPr>
          <w:rFonts w:ascii="SimSun" w:eastAsia="SimSun" w:hAnsi="SimSun" w:cs="SimSun"/>
          <w:spacing w:val="-5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左右，冠幅1.5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m～1.6m,</w:t>
      </w:r>
      <w:r>
        <w:rPr>
          <w:rFonts w:ascii="SimSun" w:eastAsia="SimSun" w:hAnsi="SimSun" w:cs="SimSun"/>
          <w:spacing w:val="5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呈上稀下密，上小下大，上短下长。修剪要求第1年选主枝，第2年～3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年培养冠层，3年～4年放顶成形。</w:t>
      </w:r>
    </w:p>
    <w:p>
      <w:pPr>
        <w:spacing w:before="188" w:line="219" w:lineRule="auto"/>
        <w:ind w:left="2"/>
        <w:outlineLvl w:val="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7"/>
          <w:sz w:val="21"/>
          <w:szCs w:val="21"/>
        </w:rPr>
        <w:t>10.1.1</w:t>
      </w:r>
      <w:r>
        <w:rPr>
          <w:rFonts w:ascii="SimSun" w:eastAsia="SimSun" w:hAnsi="SimSun" w:cs="SimSun"/>
          <w:spacing w:val="5"/>
          <w:sz w:val="21"/>
          <w:szCs w:val="21"/>
        </w:rPr>
        <w:t xml:space="preserve">  </w:t>
      </w:r>
      <w:r>
        <w:rPr>
          <w:rFonts w:ascii="SimSun" w:eastAsia="SimSun" w:hAnsi="SimSun" w:cs="SimSun"/>
          <w:b/>
          <w:bCs/>
          <w:spacing w:val="-7"/>
          <w:sz w:val="21"/>
          <w:szCs w:val="21"/>
        </w:rPr>
        <w:t>幼树修剪(1年～3年)</w:t>
      </w:r>
    </w:p>
    <w:p>
      <w:pPr>
        <w:spacing w:before="104" w:line="278" w:lineRule="auto"/>
        <w:ind w:right="41" w:firstLine="410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8"/>
          <w:sz w:val="21"/>
          <w:szCs w:val="21"/>
        </w:rPr>
        <w:t>定植后待主干生长超过60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cm</w:t>
      </w:r>
      <w:r>
        <w:rPr>
          <w:rFonts w:ascii="SimSun" w:eastAsia="SimSun" w:hAnsi="SimSun" w:cs="SimSun"/>
          <w:spacing w:val="-5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后定干</w:t>
      </w:r>
      <w:r>
        <w:rPr>
          <w:rFonts w:ascii="SimSun" w:eastAsia="SimSun" w:hAnsi="SimSun" w:cs="SimSun"/>
          <w:spacing w:val="-9"/>
          <w:sz w:val="21"/>
          <w:szCs w:val="21"/>
        </w:rPr>
        <w:t>，于定干部位向下10</w:t>
      </w:r>
      <w:r>
        <w:rPr>
          <w:rFonts w:ascii="SimSun" w:eastAsia="SimSun" w:hAnsi="SimSun" w:cs="SimSun"/>
          <w:spacing w:val="-8"/>
          <w:sz w:val="21"/>
          <w:szCs w:val="21"/>
        </w:rPr>
        <w:t>cm</w:t>
      </w:r>
      <w:r>
        <w:rPr>
          <w:rFonts w:ascii="SimSun" w:eastAsia="SimSun" w:hAnsi="SimSun" w:cs="SimSun"/>
          <w:spacing w:val="-9"/>
          <w:sz w:val="21"/>
          <w:szCs w:val="21"/>
        </w:rPr>
        <w:t>～20</w:t>
      </w:r>
      <w:r>
        <w:rPr>
          <w:rFonts w:ascii="SimSun" w:eastAsia="SimSun" w:hAnsi="SimSun" w:cs="SimSun"/>
          <w:spacing w:val="-8"/>
          <w:sz w:val="21"/>
          <w:szCs w:val="21"/>
        </w:rPr>
        <w:t>cm</w:t>
      </w:r>
      <w:r>
        <w:rPr>
          <w:rFonts w:ascii="SimSun" w:eastAsia="SimSun" w:hAnsi="SimSun" w:cs="SimSun"/>
          <w:spacing w:val="5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的范围内选留3个～5个侧枝作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3"/>
          <w:sz w:val="21"/>
          <w:szCs w:val="21"/>
        </w:rPr>
        <w:t>为树冠的第一层来培养。休眠期修剪，选顶端直立中间枝、主枝延长枝短截扩冠，疏除树冠上部和主枝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上抽生的徒长枝；夏季修剪，抹除根蘖，对有空间</w:t>
      </w:r>
      <w:r>
        <w:rPr>
          <w:rFonts w:ascii="SimSun" w:eastAsia="SimSun" w:hAnsi="SimSun" w:cs="SimSun"/>
          <w:spacing w:val="-11"/>
          <w:sz w:val="21"/>
          <w:szCs w:val="21"/>
        </w:rPr>
        <w:t>的新梢进行多次摘心，增加枝量。</w:t>
      </w:r>
    </w:p>
    <w:p>
      <w:pPr>
        <w:spacing w:before="196" w:line="221" w:lineRule="auto"/>
        <w:ind w:left="2"/>
        <w:outlineLvl w:val="0"/>
        <w:rPr>
          <w:rFonts w:ascii="SimHei" w:eastAsia="SimHei" w:hAnsi="SimHei" w:cs="SimHei"/>
          <w:sz w:val="21"/>
          <w:szCs w:val="21"/>
        </w:rPr>
        <w:sectPr>
          <w:headerReference w:type="default" r:id="rId10"/>
          <w:footerReference w:type="default" r:id="rId11"/>
          <w:pgSz w:w="11910" w:h="16840"/>
          <w:pgMar w:top="400" w:right="1394" w:bottom="1588" w:left="1529" w:header="0" w:footer="1449" w:gutter="0"/>
          <w:pgNumType w:start="6"/>
          <w:cols w:space="708"/>
        </w:sectPr>
      </w:pPr>
      <w:r>
        <w:rPr>
          <w:rFonts w:ascii="SimHei" w:eastAsia="SimHei" w:hAnsi="SimHei" w:cs="SimHei"/>
          <w:b/>
          <w:bCs/>
          <w:spacing w:val="2"/>
          <w:sz w:val="21"/>
          <w:szCs w:val="21"/>
        </w:rPr>
        <w:t>10.1.2</w:t>
      </w:r>
      <w:r>
        <w:rPr>
          <w:rFonts w:ascii="SimHei" w:eastAsia="SimHei" w:hAnsi="SimHei" w:cs="SimHei"/>
          <w:spacing w:val="93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21"/>
          <w:szCs w:val="21"/>
        </w:rPr>
        <w:t>结果树修剪(4年～15年)</w:t>
      </w:r>
    </w:p>
    <w:p>
      <w:pPr>
        <w:spacing w:before="173" w:line="260" w:lineRule="auto"/>
        <w:ind w:right="96" w:firstLine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3"/>
          <w:sz w:val="21"/>
          <w:szCs w:val="21"/>
        </w:rPr>
        <w:t>调整生长与结果的关系，做到平衡树势，控制冠顶优势，更新结果枝组，控高补空，主次分明，合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6"/>
          <w:sz w:val="21"/>
          <w:szCs w:val="21"/>
        </w:rPr>
        <w:t>理搭配。</w:t>
      </w:r>
    </w:p>
    <w:p>
      <w:pPr>
        <w:spacing w:before="184" w:line="221" w:lineRule="auto"/>
        <w:ind w:left="2"/>
        <w:outlineLvl w:val="0"/>
        <w:rPr>
          <w:rFonts w:ascii="SimHei" w:eastAsia="SimHei" w:hAnsi="SimHei" w:cs="SimHei"/>
          <w:sz w:val="21"/>
          <w:szCs w:val="21"/>
        </w:rPr>
      </w:pPr>
      <w:hyperlink r:id="rId12" w:history="1">
        <w:r>
          <w:rPr>
            <w:rFonts w:ascii="SimHei" w:eastAsia="SimHei" w:hAnsi="SimHei" w:cs="SimHei"/>
            <w:b/>
            <w:bCs/>
            <w:spacing w:val="-11"/>
            <w:sz w:val="21"/>
            <w:szCs w:val="21"/>
          </w:rPr>
          <w:t>10.1.2.1</w:t>
        </w:r>
      </w:hyperlink>
      <w:r>
        <w:rPr>
          <w:rFonts w:ascii="SimHei" w:eastAsia="SimHei" w:hAnsi="SimHei" w:cs="SimHei"/>
          <w:spacing w:val="86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冬季修剪</w:t>
      </w:r>
    </w:p>
    <w:p>
      <w:pPr>
        <w:spacing w:before="163" w:line="246" w:lineRule="auto"/>
        <w:ind w:firstLine="4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6"/>
          <w:sz w:val="21"/>
          <w:szCs w:val="21"/>
        </w:rPr>
        <w:t>冬季休眠期修剪在2月～3月份进行。修剪总量：疏除枝条、短</w:t>
      </w:r>
      <w:r>
        <w:rPr>
          <w:rFonts w:ascii="SimSun" w:eastAsia="SimSun" w:hAnsi="SimSun" w:cs="SimSun"/>
          <w:spacing w:val="-17"/>
          <w:sz w:val="21"/>
          <w:szCs w:val="21"/>
        </w:rPr>
        <w:t>截枝条、选留枝条各占枝条总量的1/3。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1"/>
          <w:sz w:val="21"/>
          <w:szCs w:val="21"/>
        </w:rPr>
        <w:t>修剪顺序为根茎抹除萌蘖枝，树冠疏除徒长枝，短截中间枝，选留结果枝</w:t>
      </w:r>
      <w:r>
        <w:rPr>
          <w:rFonts w:ascii="SimSun" w:eastAsia="SimSun" w:hAnsi="SimSun" w:cs="SimSun"/>
          <w:spacing w:val="-12"/>
          <w:sz w:val="21"/>
          <w:szCs w:val="21"/>
        </w:rPr>
        <w:t>。</w:t>
      </w:r>
    </w:p>
    <w:p>
      <w:pPr>
        <w:sectPr>
          <w:headerReference w:type="default" r:id="rId13"/>
          <w:footerReference w:type="default" r:id="rId14"/>
          <w:type w:val="nextPage"/>
          <w:pgSz w:w="11910" w:h="16840"/>
          <w:pgMar w:top="400" w:right="1394" w:bottom="1588" w:left="1529" w:header="0" w:footer="1449" w:gutter="0"/>
          <w:pgNumType w:start="7"/>
          <w:cols w:space="708"/>
          <w:titlePg w:val="0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46" w:line="198" w:lineRule="auto"/>
        <w:ind w:right="1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-2"/>
          <w:sz w:val="16"/>
          <w:szCs w:val="16"/>
        </w:rPr>
        <w:t>DB65/</w:t>
      </w:r>
      <w:r>
        <w:rPr>
          <w:rFonts w:ascii="Arial" w:eastAsia="Arial" w:hAnsi="Arial" w:cs="Arial"/>
          <w:spacing w:val="7"/>
          <w:sz w:val="16"/>
          <w:szCs w:val="16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>T</w:t>
      </w:r>
      <w:r>
        <w:rPr>
          <w:rFonts w:ascii="Arial" w:eastAsia="Arial" w:hAnsi="Arial" w:cs="Arial"/>
          <w:spacing w:val="4"/>
          <w:sz w:val="16"/>
          <w:szCs w:val="16"/>
        </w:rPr>
        <w:t xml:space="preserve">    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>4186—2019</w:t>
      </w:r>
    </w:p>
    <w:p>
      <w:pPr>
        <w:spacing w:before="301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15" w:history="1">
        <w:r>
          <w:rPr>
            <w:rFonts w:ascii="SimHei" w:eastAsia="SimHei" w:hAnsi="SimHei" w:cs="SimHei"/>
            <w:b/>
            <w:bCs/>
            <w:spacing w:val="-5"/>
            <w:sz w:val="20"/>
            <w:szCs w:val="20"/>
          </w:rPr>
          <w:t>10.1.2.2</w:t>
        </w:r>
      </w:hyperlink>
      <w:r>
        <w:rPr>
          <w:rFonts w:ascii="SimHei" w:eastAsia="SimHei" w:hAnsi="SimHei" w:cs="SimHei"/>
          <w:spacing w:val="85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夏季修剪</w:t>
      </w:r>
    </w:p>
    <w:p>
      <w:pPr>
        <w:spacing w:before="194" w:line="256" w:lineRule="auto"/>
        <w:ind w:firstLine="400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夏季多次摘心以促进芽体萌发有效增加枝组，形成新的结果组，保持正常成花结果。采用抹、截、</w:t>
      </w:r>
      <w:r>
        <w:rPr>
          <w:rFonts w:ascii="SimSun" w:eastAsia="SimSun" w:hAnsi="SimSun" w:cs="SimSun"/>
          <w:spacing w:val="1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剪的方法，及时抹去植株根茎、剪口处、主干、膛内直立稠密的萌芽。短截树冠上层抽生的</w:t>
      </w:r>
      <w:r>
        <w:rPr>
          <w:rFonts w:ascii="SimSun" w:eastAsia="SimSun" w:hAnsi="SimSun" w:cs="SimSun"/>
          <w:spacing w:val="-4"/>
          <w:sz w:val="20"/>
          <w:szCs w:val="20"/>
        </w:rPr>
        <w:t>中间枝、部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分背上枝，截留20</w:t>
      </w:r>
      <w:r>
        <w:rPr>
          <w:rFonts w:ascii="SimSun" w:eastAsia="SimSun" w:hAnsi="SimSun" w:cs="SimSun"/>
          <w:spacing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cm,</w:t>
      </w:r>
      <w:r>
        <w:rPr>
          <w:rFonts w:ascii="SimSun" w:eastAsia="SimSun" w:hAnsi="SimSun" w:cs="SimSun"/>
          <w:spacing w:val="4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疏除穿膛、直立旺盛的背上徒长枝。</w:t>
      </w:r>
    </w:p>
    <w:p>
      <w:pPr>
        <w:spacing w:before="209" w:line="226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10.2</w:t>
      </w:r>
      <w:r>
        <w:rPr>
          <w:rFonts w:ascii="SimHei" w:eastAsia="SimHei" w:hAnsi="SimHei" w:cs="SimHei"/>
          <w:spacing w:val="79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施肥</w:t>
      </w:r>
    </w:p>
    <w:p>
      <w:pPr>
        <w:spacing w:before="200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10.2.1</w:t>
      </w:r>
      <w:r>
        <w:rPr>
          <w:rFonts w:ascii="SimHei" w:eastAsia="SimHei" w:hAnsi="SimHei" w:cs="SimHei"/>
          <w:spacing w:val="79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肥料的种类和来源</w:t>
      </w:r>
    </w:p>
    <w:p>
      <w:pPr>
        <w:spacing w:before="223" w:line="219" w:lineRule="auto"/>
        <w:rPr>
          <w:rFonts w:ascii="SimSun" w:eastAsia="SimSun" w:hAnsi="SimSun" w:cs="SimSun"/>
          <w:sz w:val="20"/>
          <w:szCs w:val="20"/>
        </w:rPr>
      </w:pPr>
      <w:hyperlink r:id="rId16" w:history="1">
        <w:r>
          <w:rPr>
            <w:rFonts w:ascii="Times New Roman" w:eastAsia="Times New Roman" w:hAnsi="Times New Roman" w:cs="Times New Roman"/>
            <w:b/>
            <w:bCs/>
            <w:sz w:val="20"/>
            <w:szCs w:val="20"/>
          </w:rPr>
          <w:t>10.2.1.1</w:t>
        </w:r>
      </w:hyperlink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    </w:t>
      </w:r>
      <w:r>
        <w:rPr>
          <w:rFonts w:ascii="SimSun" w:eastAsia="SimSun" w:hAnsi="SimSun" w:cs="SimSun"/>
          <w:sz w:val="20"/>
          <w:szCs w:val="20"/>
        </w:rPr>
        <w:t>使用的有机肥料或生物肥料的各项指标含量要符合</w:t>
      </w:r>
      <w:r>
        <w:rPr>
          <w:rFonts w:ascii="Times New Roman" w:eastAsia="Times New Roman" w:hAnsi="Times New Roman" w:cs="Times New Roman"/>
          <w:sz w:val="20"/>
          <w:szCs w:val="20"/>
        </w:rPr>
        <w:t>NY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525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-1"/>
          <w:sz w:val="20"/>
          <w:szCs w:val="20"/>
        </w:rPr>
        <w:t>和</w:t>
      </w:r>
      <w:r>
        <w:rPr>
          <w:rFonts w:ascii="Times New Roman" w:eastAsia="Times New Roman" w:hAnsi="Times New Roman" w:cs="Times New Roman"/>
          <w:sz w:val="20"/>
          <w:szCs w:val="20"/>
        </w:rPr>
        <w:t>NY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884</w:t>
      </w:r>
      <w:r>
        <w:rPr>
          <w:rFonts w:ascii="Times New Roman" w:eastAsia="Times New Roman" w:hAnsi="Times New Roman" w:cs="Times New Roman"/>
          <w:spacing w:val="-2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的规定。</w:t>
      </w:r>
    </w:p>
    <w:p>
      <w:pPr>
        <w:spacing w:before="53" w:line="244" w:lineRule="auto"/>
        <w:ind w:right="69"/>
        <w:rPr>
          <w:rFonts w:ascii="SimSun" w:eastAsia="SimSun" w:hAnsi="SimSun" w:cs="SimSun"/>
          <w:sz w:val="20"/>
          <w:szCs w:val="20"/>
        </w:rPr>
      </w:pPr>
      <w:hyperlink r:id="rId17" w:history="1">
        <w:r>
          <w:rPr>
            <w:rFonts w:ascii="Times New Roman" w:eastAsia="Times New Roman" w:hAnsi="Times New Roman" w:cs="Times New Roman"/>
            <w:b/>
            <w:bCs/>
            <w:spacing w:val="-3"/>
            <w:sz w:val="20"/>
            <w:szCs w:val="20"/>
          </w:rPr>
          <w:t>10.2.1.2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SimSun" w:eastAsia="SimSun" w:hAnsi="SimSun" w:cs="SimSun"/>
          <w:spacing w:val="-3"/>
          <w:sz w:val="20"/>
          <w:szCs w:val="20"/>
        </w:rPr>
        <w:t>允许使用天然来源并保持其天然组分的矿物源肥料，不得采用化学处理提高其溶解性。应在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施用前对其重金属含量或其它污染因子进行检测。</w:t>
      </w:r>
    </w:p>
    <w:p>
      <w:pPr>
        <w:spacing w:before="52" w:line="219" w:lineRule="auto"/>
        <w:rPr>
          <w:rFonts w:ascii="SimSun" w:eastAsia="SimSun" w:hAnsi="SimSun" w:cs="SimSun"/>
          <w:sz w:val="20"/>
          <w:szCs w:val="20"/>
        </w:rPr>
      </w:pPr>
      <w:hyperlink r:id="rId18" w:history="1">
        <w:r>
          <w:rPr>
            <w:rFonts w:ascii="Times New Roman" w:eastAsia="Times New Roman" w:hAnsi="Times New Roman" w:cs="Times New Roman"/>
            <w:b/>
            <w:bCs/>
            <w:spacing w:val="-2"/>
            <w:sz w:val="20"/>
            <w:szCs w:val="20"/>
          </w:rPr>
          <w:t>10.2.1.3</w:t>
        </w:r>
      </w:hyperlink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     </w:t>
      </w:r>
      <w:r>
        <w:rPr>
          <w:rFonts w:ascii="SimSun" w:eastAsia="SimSun" w:hAnsi="SimSun" w:cs="SimSun"/>
          <w:spacing w:val="-2"/>
          <w:sz w:val="20"/>
          <w:szCs w:val="20"/>
        </w:rPr>
        <w:t>在土壤培肥过程中使用和限制使用的物质见附录</w:t>
      </w:r>
      <w:r>
        <w:rPr>
          <w:rFonts w:ascii="SimSun" w:eastAsia="SimSun" w:hAnsi="SimSun" w:cs="SimSun"/>
          <w:spacing w:val="-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SimSun" w:eastAsia="SimSun" w:hAnsi="SimSun" w:cs="SimSun"/>
          <w:spacing w:val="-2"/>
          <w:sz w:val="20"/>
          <w:szCs w:val="20"/>
        </w:rPr>
        <w:t>。</w:t>
      </w:r>
    </w:p>
    <w:p>
      <w:pPr>
        <w:spacing w:before="229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10.2.2</w:t>
      </w:r>
      <w:r>
        <w:rPr>
          <w:rFonts w:ascii="SimHei" w:eastAsia="SimHei" w:hAnsi="SimHei" w:cs="SimHei"/>
          <w:spacing w:val="4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施肥方法及用量</w:t>
      </w:r>
    </w:p>
    <w:p>
      <w:pPr>
        <w:spacing w:before="194" w:line="219" w:lineRule="auto"/>
        <w:ind w:left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以下为结果期果园施肥量，新定植果园以此标准量减</w:t>
      </w:r>
      <w:r>
        <w:rPr>
          <w:rFonts w:ascii="SimSun" w:eastAsia="SimSun" w:hAnsi="SimSun" w:cs="SimSun"/>
          <w:spacing w:val="-3"/>
          <w:sz w:val="20"/>
          <w:szCs w:val="20"/>
        </w:rPr>
        <w:t>半施入。</w:t>
      </w:r>
    </w:p>
    <w:p>
      <w:pPr>
        <w:spacing w:before="220" w:line="219" w:lineRule="auto"/>
        <w:ind w:left="2"/>
        <w:outlineLvl w:val="0"/>
        <w:rPr>
          <w:rFonts w:ascii="SimSun" w:eastAsia="SimSun" w:hAnsi="SimSun" w:cs="SimSun"/>
          <w:sz w:val="20"/>
          <w:szCs w:val="20"/>
        </w:rPr>
      </w:pPr>
      <w:hyperlink r:id="rId19" w:history="1">
        <w:r>
          <w:rPr>
            <w:rFonts w:ascii="SimSun" w:eastAsia="SimSun" w:hAnsi="SimSun" w:cs="SimSun"/>
            <w:b/>
            <w:bCs/>
            <w:spacing w:val="-5"/>
            <w:sz w:val="20"/>
            <w:szCs w:val="20"/>
          </w:rPr>
          <w:t>10.2.2.1</w:t>
        </w:r>
      </w:hyperlink>
      <w:r>
        <w:rPr>
          <w:rFonts w:ascii="SimSun" w:eastAsia="SimSun" w:hAnsi="SimSun" w:cs="SimSun"/>
          <w:spacing w:val="2"/>
          <w:sz w:val="20"/>
          <w:szCs w:val="20"/>
        </w:rPr>
        <w:t xml:space="preserve">  </w:t>
      </w:r>
      <w:r>
        <w:rPr>
          <w:rFonts w:ascii="SimSun" w:eastAsia="SimSun" w:hAnsi="SimSun" w:cs="SimSun"/>
          <w:b/>
          <w:bCs/>
          <w:spacing w:val="-5"/>
          <w:sz w:val="20"/>
          <w:szCs w:val="20"/>
        </w:rPr>
        <w:t>基肥</w:t>
      </w:r>
    </w:p>
    <w:p>
      <w:pPr>
        <w:spacing w:before="197" w:line="252" w:lineRule="auto"/>
        <w:ind w:right="79" w:firstLine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以秋施为主，春施为辅。</w:t>
      </w:r>
      <w:r>
        <w:rPr>
          <w:rFonts w:ascii="SimSun" w:eastAsia="SimSun" w:hAnsi="SimSun" w:cs="SimSun"/>
          <w:spacing w:val="4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一般在灌冬水前10月下旬至11月上旬；施腐熟发酵的农家肥60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m³/hm²~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75m³/hm²。</w:t>
      </w:r>
      <w:r>
        <w:rPr>
          <w:rFonts w:ascii="SimSun" w:eastAsia="SimSun" w:hAnsi="SimSun" w:cs="SimSun"/>
          <w:spacing w:val="8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采用沟施法，距根颈40</w:t>
      </w:r>
      <w:r>
        <w:rPr>
          <w:rFonts w:ascii="SimSun" w:eastAsia="SimSun" w:hAnsi="SimSun" w:cs="SimSun"/>
          <w:spacing w:val="-5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cm～50</w:t>
      </w:r>
      <w:r>
        <w:rPr>
          <w:rFonts w:ascii="SimSun" w:eastAsia="SimSun" w:hAnsi="SimSun" w:cs="SimSun"/>
          <w:spacing w:val="7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cm挖深2</w:t>
      </w:r>
      <w:r>
        <w:rPr>
          <w:rFonts w:ascii="SimSun" w:eastAsia="SimSun" w:hAnsi="SimSun" w:cs="SimSun"/>
          <w:spacing w:val="-4"/>
          <w:sz w:val="20"/>
          <w:szCs w:val="20"/>
        </w:rPr>
        <w:t>5</w:t>
      </w:r>
      <w:r>
        <w:rPr>
          <w:rFonts w:ascii="SimSun" w:eastAsia="SimSun" w:hAnsi="SimSun" w:cs="SimSun"/>
          <w:spacing w:val="-3"/>
          <w:sz w:val="20"/>
          <w:szCs w:val="20"/>
        </w:rPr>
        <w:t>cm</w:t>
      </w:r>
      <w:r>
        <w:rPr>
          <w:rFonts w:ascii="SimSun" w:eastAsia="SimSun" w:hAnsi="SimSun" w:cs="SimSun"/>
          <w:spacing w:val="-4"/>
          <w:sz w:val="20"/>
          <w:szCs w:val="20"/>
        </w:rPr>
        <w:t>～30</w:t>
      </w:r>
      <w:r>
        <w:rPr>
          <w:rFonts w:ascii="SimSun" w:eastAsia="SimSun" w:hAnsi="SimSun" w:cs="SimSun"/>
          <w:spacing w:val="-3"/>
          <w:sz w:val="20"/>
          <w:szCs w:val="20"/>
        </w:rPr>
        <w:t>cm</w:t>
      </w:r>
      <w:r>
        <w:rPr>
          <w:rFonts w:ascii="SimSun" w:eastAsia="SimSun" w:hAnsi="SimSun" w:cs="SimSun"/>
          <w:spacing w:val="6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4"/>
          <w:sz w:val="20"/>
          <w:szCs w:val="20"/>
        </w:rPr>
        <w:t>的沟，均匀施入肥料覆土填平。</w:t>
      </w:r>
    </w:p>
    <w:p>
      <w:pPr>
        <w:spacing w:before="224" w:line="226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20" w:history="1">
        <w:r>
          <w:rPr>
            <w:rFonts w:ascii="SimHei" w:eastAsia="SimHei" w:hAnsi="SimHei" w:cs="SimHei"/>
            <w:b/>
            <w:bCs/>
            <w:spacing w:val="-5"/>
            <w:sz w:val="20"/>
            <w:szCs w:val="20"/>
          </w:rPr>
          <w:t>10.2.2.2</w:t>
        </w:r>
      </w:hyperlink>
      <w:r>
        <w:rPr>
          <w:rFonts w:ascii="SimHei" w:eastAsia="SimHei" w:hAnsi="SimHei" w:cs="SimHei"/>
          <w:spacing w:val="104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追肥</w:t>
      </w:r>
    </w:p>
    <w:p>
      <w:pPr>
        <w:spacing w:before="188" w:line="250" w:lineRule="auto"/>
        <w:ind w:right="47" w:firstLine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分两次进行：第一次，在6月中旬，每公顷施入氮磷钾复合肥60</w:t>
      </w:r>
      <w:r>
        <w:rPr>
          <w:rFonts w:ascii="SimSun" w:eastAsia="SimSun" w:hAnsi="SimSun" w:cs="SimSun"/>
          <w:spacing w:val="-1"/>
          <w:sz w:val="20"/>
          <w:szCs w:val="20"/>
        </w:rPr>
        <w:t>0</w:t>
      </w:r>
      <w:r>
        <w:rPr>
          <w:rFonts w:ascii="SimSun" w:eastAsia="SimSun" w:hAnsi="SimSun" w:cs="SimSun"/>
          <w:sz w:val="20"/>
          <w:szCs w:val="20"/>
        </w:rPr>
        <w:t>kg</w:t>
      </w:r>
      <w:r>
        <w:rPr>
          <w:rFonts w:ascii="SimSun" w:eastAsia="SimSun" w:hAnsi="SimSun" w:cs="SimSun"/>
          <w:spacing w:val="-1"/>
          <w:sz w:val="20"/>
          <w:szCs w:val="20"/>
        </w:rPr>
        <w:t>;</w:t>
      </w:r>
      <w:r>
        <w:rPr>
          <w:rFonts w:ascii="SimSun" w:eastAsia="SimSun" w:hAnsi="SimSun" w:cs="SimSun"/>
          <w:spacing w:val="-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第二次，在8月中旬，每公顷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施入氮磷钾复合肥600kg。</w:t>
      </w:r>
      <w:r>
        <w:rPr>
          <w:rFonts w:ascii="SimSun" w:eastAsia="SimSun" w:hAnsi="SimSun" w:cs="SimSun"/>
          <w:spacing w:val="-3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采用沟施法，施肥深度12</w:t>
      </w:r>
      <w:r>
        <w:rPr>
          <w:rFonts w:ascii="SimSun" w:eastAsia="SimSun" w:hAnsi="SimSun" w:cs="SimSun"/>
          <w:spacing w:val="-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cm～17</w:t>
      </w:r>
      <w:r>
        <w:rPr>
          <w:rFonts w:ascii="SimSun" w:eastAsia="SimSun" w:hAnsi="SimSun" w:cs="SimSun"/>
          <w:spacing w:val="3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cm。</w:t>
      </w:r>
    </w:p>
    <w:p>
      <w:pPr>
        <w:spacing w:before="215" w:line="225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hyperlink r:id="rId21" w:history="1">
        <w:r>
          <w:rPr>
            <w:rFonts w:ascii="SimHei" w:eastAsia="SimHei" w:hAnsi="SimHei" w:cs="SimHei"/>
            <w:b/>
            <w:bCs/>
            <w:spacing w:val="-6"/>
            <w:sz w:val="20"/>
            <w:szCs w:val="20"/>
          </w:rPr>
          <w:t>10.2.2.3</w:t>
        </w:r>
      </w:hyperlink>
      <w:r>
        <w:rPr>
          <w:rFonts w:ascii="SimHei" w:eastAsia="SimHei" w:hAnsi="SimHei" w:cs="SimHei"/>
          <w:spacing w:val="104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叶面肥</w:t>
      </w:r>
    </w:p>
    <w:p>
      <w:pPr>
        <w:spacing w:before="205" w:line="219" w:lineRule="auto"/>
        <w:ind w:left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"/>
          <w:sz w:val="20"/>
          <w:szCs w:val="20"/>
        </w:rPr>
        <w:t>以微肥为主，施用时间，晴天上午11点以前，下午17点以后，喷施</w:t>
      </w:r>
      <w:r>
        <w:rPr>
          <w:rFonts w:ascii="SimSun" w:eastAsia="SimSun" w:hAnsi="SimSun" w:cs="SimSun"/>
          <w:spacing w:val="-2"/>
          <w:sz w:val="20"/>
          <w:szCs w:val="20"/>
        </w:rPr>
        <w:t>后2d</w:t>
      </w:r>
      <w:r>
        <w:rPr>
          <w:rFonts w:ascii="SimSun" w:eastAsia="SimSun" w:hAnsi="SimSun" w:cs="SimSun"/>
          <w:spacing w:val="-5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内下雨，须重新施用。</w:t>
      </w:r>
    </w:p>
    <w:p>
      <w:pPr>
        <w:spacing w:before="200" w:line="221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10.3</w:t>
      </w:r>
      <w:r>
        <w:rPr>
          <w:rFonts w:ascii="SimHei" w:eastAsia="SimHei" w:hAnsi="SimHei" w:cs="SimHei"/>
          <w:spacing w:val="4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灌溉</w:t>
      </w:r>
    </w:p>
    <w:p>
      <w:pPr>
        <w:spacing w:before="211" w:line="222" w:lineRule="auto"/>
        <w:ind w:left="2"/>
        <w:outlineLvl w:val="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10.3.1</w:t>
      </w:r>
      <w:r>
        <w:rPr>
          <w:rFonts w:ascii="SimHei" w:eastAsia="SimHei" w:hAnsi="SimHei" w:cs="SimHei"/>
          <w:spacing w:val="102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水质要求</w:t>
      </w:r>
    </w:p>
    <w:p>
      <w:pPr>
        <w:spacing w:before="203" w:line="219" w:lineRule="auto"/>
        <w:ind w:left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水质指标应符合DB65/T3723</w:t>
      </w:r>
      <w:r>
        <w:rPr>
          <w:rFonts w:ascii="SimSun" w:eastAsia="SimSun" w:hAnsi="SimSun" w:cs="SimSun"/>
          <w:spacing w:val="2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的规定。</w:t>
      </w:r>
    </w:p>
    <w:p>
      <w:pPr>
        <w:spacing w:before="169" w:line="221" w:lineRule="auto"/>
        <w:ind w:left="2"/>
        <w:outlineLvl w:val="6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26"/>
          <w:sz w:val="24"/>
          <w:szCs w:val="24"/>
        </w:rPr>
        <w:t>10.3.2</w:t>
      </w:r>
      <w:r>
        <w:rPr>
          <w:rFonts w:ascii="SimHei" w:eastAsia="SimHei" w:hAnsi="SimHei" w:cs="SimHei"/>
          <w:spacing w:val="70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-26"/>
          <w:sz w:val="24"/>
          <w:szCs w:val="24"/>
        </w:rPr>
        <w:t>方法</w:t>
      </w:r>
    </w:p>
    <w:p>
      <w:pPr>
        <w:spacing w:before="194" w:line="216" w:lineRule="auto"/>
        <w:rPr>
          <w:rFonts w:ascii="SimSun" w:eastAsia="SimSun" w:hAnsi="SimSun" w:cs="SimSun"/>
          <w:sz w:val="20"/>
          <w:szCs w:val="20"/>
        </w:rPr>
      </w:pPr>
      <w:hyperlink r:id="rId22" w:history="1">
        <w:r>
          <w:rPr>
            <w:rFonts w:ascii="Times New Roman" w:eastAsia="Times New Roman" w:hAnsi="Times New Roman" w:cs="Times New Roman"/>
            <w:b/>
            <w:bCs/>
            <w:spacing w:val="4"/>
            <w:sz w:val="20"/>
            <w:szCs w:val="20"/>
          </w:rPr>
          <w:t>10.3.2.1</w:t>
        </w:r>
      </w:hyperlink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     </w:t>
      </w:r>
      <w:r>
        <w:rPr>
          <w:rFonts w:ascii="SimSun" w:eastAsia="SimSun" w:hAnsi="SimSun" w:cs="SimSun"/>
          <w:spacing w:val="4"/>
          <w:sz w:val="20"/>
          <w:szCs w:val="20"/>
        </w:rPr>
        <w:t>灌水应采取少量多次的方法。每次漫灌用水量600m³/</w:t>
      </w:r>
      <w:r>
        <w:rPr>
          <w:rFonts w:ascii="SimSun" w:eastAsia="SimSun" w:hAnsi="SimSun" w:cs="SimSun"/>
          <w:sz w:val="20"/>
          <w:szCs w:val="20"/>
        </w:rPr>
        <w:t>hm</w:t>
      </w:r>
      <w:r>
        <w:rPr>
          <w:rFonts w:ascii="SimSun" w:eastAsia="SimSun" w:hAnsi="SimSun" w:cs="SimSun"/>
          <w:spacing w:val="4"/>
          <w:sz w:val="20"/>
          <w:szCs w:val="20"/>
        </w:rPr>
        <w:t>²~750m³/</w:t>
      </w:r>
      <w:r>
        <w:rPr>
          <w:rFonts w:ascii="SimSun" w:eastAsia="SimSun" w:hAnsi="SimSun" w:cs="SimSun"/>
          <w:sz w:val="20"/>
          <w:szCs w:val="20"/>
        </w:rPr>
        <w:t>hm</w:t>
      </w:r>
      <w:r>
        <w:rPr>
          <w:rFonts w:ascii="SimSun" w:eastAsia="SimSun" w:hAnsi="SimSun" w:cs="SimSun"/>
          <w:spacing w:val="4"/>
          <w:sz w:val="20"/>
          <w:szCs w:val="20"/>
        </w:rPr>
        <w:t>²,</w:t>
      </w:r>
      <w:r>
        <w:rPr>
          <w:rFonts w:ascii="SimSun" w:eastAsia="SimSun" w:hAnsi="SimSun" w:cs="SimSun"/>
          <w:spacing w:val="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滴灌用水量525</w:t>
      </w:r>
    </w:p>
    <w:p>
      <w:pPr>
        <w:spacing w:before="108" w:line="183" w:lineRule="auto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m³/hm²</w:t>
      </w:r>
      <w:r>
        <w:rPr>
          <w:rFonts w:ascii="SimSun" w:eastAsia="SimSun" w:hAnsi="SimSun" w:cs="SimSun"/>
          <w:spacing w:val="-1"/>
          <w:sz w:val="20"/>
          <w:szCs w:val="20"/>
        </w:rPr>
        <w:t>。</w:t>
      </w:r>
    </w:p>
    <w:p>
      <w:pPr>
        <w:spacing w:before="40" w:line="244" w:lineRule="auto"/>
        <w:ind w:right="59"/>
        <w:rPr>
          <w:rFonts w:ascii="SimSun" w:eastAsia="SimSun" w:hAnsi="SimSun" w:cs="SimSun"/>
          <w:sz w:val="20"/>
          <w:szCs w:val="20"/>
        </w:rPr>
      </w:pPr>
      <w:hyperlink r:id="rId23" w:history="1">
        <w:r>
          <w:rPr>
            <w:rFonts w:ascii="Times New Roman" w:eastAsia="Times New Roman" w:hAnsi="Times New Roman" w:cs="Times New Roman"/>
            <w:b/>
            <w:bCs/>
            <w:spacing w:val="4"/>
            <w:sz w:val="20"/>
            <w:szCs w:val="20"/>
          </w:rPr>
          <w:t>10.3.2.2</w:t>
        </w:r>
      </w:hyperlink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     </w:t>
      </w:r>
      <w:r>
        <w:rPr>
          <w:rFonts w:ascii="SimSun" w:eastAsia="SimSun" w:hAnsi="SimSun" w:cs="SimSun"/>
          <w:spacing w:val="4"/>
          <w:sz w:val="20"/>
          <w:szCs w:val="20"/>
        </w:rPr>
        <w:t>全年灌水12次。头水和冬灌水灌足、灌匀，灌水量900m³/</w:t>
      </w:r>
      <w:r>
        <w:rPr>
          <w:rFonts w:ascii="SimSun" w:eastAsia="SimSun" w:hAnsi="SimSun" w:cs="SimSun"/>
          <w:sz w:val="20"/>
          <w:szCs w:val="20"/>
        </w:rPr>
        <w:t>hm</w:t>
      </w:r>
      <w:r>
        <w:rPr>
          <w:rFonts w:ascii="SimSun" w:eastAsia="SimSun" w:hAnsi="SimSun" w:cs="SimSun"/>
          <w:spacing w:val="4"/>
          <w:sz w:val="20"/>
          <w:szCs w:val="20"/>
        </w:rPr>
        <w:t>²~1050m³</w:t>
      </w:r>
      <w:r>
        <w:rPr>
          <w:rFonts w:ascii="SimSun" w:eastAsia="SimSun" w:hAnsi="SimSun" w:cs="SimSun"/>
          <w:spacing w:val="3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hm</w:t>
      </w:r>
      <w:r>
        <w:rPr>
          <w:rFonts w:ascii="SimSun" w:eastAsia="SimSun" w:hAnsi="SimSun" w:cs="SimSun"/>
          <w:spacing w:val="3"/>
          <w:sz w:val="20"/>
          <w:szCs w:val="20"/>
        </w:rPr>
        <w:t>²,</w:t>
      </w:r>
      <w:r>
        <w:rPr>
          <w:rFonts w:ascii="SimSun" w:eastAsia="SimSun" w:hAnsi="SimSun" w:cs="SimSun"/>
          <w:spacing w:val="5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除了结合施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sz w:val="20"/>
          <w:szCs w:val="20"/>
        </w:rPr>
        <w:t>肥灌水外，应根据气候、土壤墒情及时灌水，灌水均匀，</w:t>
      </w:r>
      <w:r>
        <w:rPr>
          <w:rFonts w:ascii="SimSun" w:eastAsia="SimSun" w:hAnsi="SimSun" w:cs="SimSun"/>
          <w:spacing w:val="-3"/>
          <w:sz w:val="20"/>
          <w:szCs w:val="20"/>
        </w:rPr>
        <w:t>地面不积水。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65" w:line="221" w:lineRule="auto"/>
        <w:ind w:left="2"/>
        <w:rPr>
          <w:rFonts w:ascii="SimHei" w:eastAsia="SimHei" w:hAnsi="SimHei" w:cs="SimHei"/>
          <w:sz w:val="20"/>
          <w:szCs w:val="20"/>
        </w:rPr>
        <w:sectPr>
          <w:headerReference w:type="default" r:id="rId24"/>
          <w:footerReference w:type="default" r:id="rId25"/>
          <w:pgSz w:w="11910" w:h="16840"/>
          <w:pgMar w:top="400" w:right="1449" w:bottom="1591" w:left="1529" w:header="0" w:footer="1462" w:gutter="0"/>
          <w:pgNumType w:start="8"/>
          <w:cols w:space="708"/>
        </w:sectPr>
      </w:pP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11</w:t>
      </w:r>
      <w:r>
        <w:rPr>
          <w:rFonts w:ascii="SimHei" w:eastAsia="SimHei" w:hAnsi="SimHei" w:cs="SimHei"/>
          <w:spacing w:val="93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6"/>
          <w:sz w:val="20"/>
          <w:szCs w:val="20"/>
        </w:rPr>
        <w:t>有害生物防治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65" w:line="219" w:lineRule="auto"/>
        <w:ind w:left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"/>
          <w:sz w:val="20"/>
          <w:szCs w:val="20"/>
        </w:rPr>
        <w:t>有害生物防治的主要技术措施(见附录B、</w:t>
      </w:r>
      <w:r>
        <w:rPr>
          <w:rFonts w:ascii="SimSun" w:eastAsia="SimSun" w:hAnsi="SimSun" w:cs="SimSun"/>
          <w:spacing w:val="-2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附</w:t>
      </w:r>
      <w:r>
        <w:rPr>
          <w:rFonts w:ascii="SimSun" w:eastAsia="SimSun" w:hAnsi="SimSun" w:cs="SimSun"/>
          <w:spacing w:val="1"/>
          <w:sz w:val="20"/>
          <w:szCs w:val="20"/>
        </w:rPr>
        <w:t>录C)。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66" w:line="222" w:lineRule="auto"/>
        <w:ind w:left="2"/>
        <w:outlineLvl w:val="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12</w:t>
      </w:r>
      <w:r>
        <w:rPr>
          <w:rFonts w:ascii="SimHei" w:eastAsia="SimHei" w:hAnsi="SimHei" w:cs="SimHei"/>
          <w:spacing w:val="92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0"/>
          <w:szCs w:val="20"/>
        </w:rPr>
        <w:t>采收、分选、包装</w:t>
      </w:r>
    </w:p>
    <w:p>
      <w:pPr>
        <w:sectPr>
          <w:headerReference w:type="default" r:id="rId26"/>
          <w:footerReference w:type="default" r:id="rId27"/>
          <w:type w:val="nextPage"/>
          <w:pgSz w:w="11910" w:h="16840"/>
          <w:pgMar w:top="400" w:right="1449" w:bottom="1591" w:left="1529" w:header="0" w:footer="1462" w:gutter="0"/>
          <w:pgNumType w:start="9"/>
          <w:cols w:space="708"/>
          <w:titlePg w:val="0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54" w:line="188" w:lineRule="auto"/>
        <w:ind w:right="27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DB65/</w:t>
      </w:r>
      <w:r>
        <w:rPr>
          <w:rFonts w:ascii="Times New Roman" w:eastAsia="Times New Roman" w:hAnsi="Times New Roman" w:cs="Times New Roman"/>
          <w:spacing w:val="12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spacing w:val="11"/>
          <w:w w:val="101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4186—2019</w:t>
      </w:r>
    </w:p>
    <w:p>
      <w:pPr>
        <w:spacing w:before="285" w:line="221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"/>
          <w:sz w:val="19"/>
          <w:szCs w:val="19"/>
        </w:rPr>
        <w:t>12.1</w:t>
      </w:r>
      <w:r>
        <w:rPr>
          <w:rFonts w:ascii="SimHei" w:eastAsia="SimHei" w:hAnsi="SimHei" w:cs="SimHei"/>
          <w:spacing w:val="4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1"/>
          <w:sz w:val="19"/>
          <w:szCs w:val="19"/>
        </w:rPr>
        <w:t>鲜果采摘</w:t>
      </w:r>
    </w:p>
    <w:p>
      <w:pPr>
        <w:spacing w:before="205" w:line="219" w:lineRule="auto"/>
        <w:rPr>
          <w:rFonts w:ascii="SimSun" w:eastAsia="SimSun" w:hAnsi="SimSun" w:cs="SimSu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19"/>
          <w:szCs w:val="19"/>
        </w:rPr>
        <w:t>12.1.1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    </w:t>
      </w:r>
      <w:r>
        <w:rPr>
          <w:rFonts w:ascii="SimSun" w:eastAsia="SimSun" w:hAnsi="SimSun" w:cs="SimSun"/>
          <w:spacing w:val="6"/>
          <w:sz w:val="19"/>
          <w:szCs w:val="19"/>
        </w:rPr>
        <w:t>采摘时，应保持鲜果的完整，尽量保</w:t>
      </w:r>
      <w:r>
        <w:rPr>
          <w:rFonts w:ascii="SimSun" w:eastAsia="SimSun" w:hAnsi="SimSun" w:cs="SimSun"/>
          <w:spacing w:val="5"/>
          <w:sz w:val="19"/>
          <w:szCs w:val="19"/>
        </w:rPr>
        <w:t>留果柄。</w:t>
      </w:r>
    </w:p>
    <w:p>
      <w:pPr>
        <w:spacing w:before="75" w:line="255" w:lineRule="auto"/>
        <w:rPr>
          <w:rFonts w:ascii="SimSun" w:eastAsia="SimSun" w:hAnsi="SimSun" w:cs="SimSu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19"/>
          <w:szCs w:val="19"/>
        </w:rPr>
        <w:t>12.1.2</w:t>
      </w:r>
      <w:r>
        <w:rPr>
          <w:rFonts w:ascii="Times New Roman" w:eastAsia="Times New Roman" w:hAnsi="Times New Roman" w:cs="Times New Roman"/>
          <w:spacing w:val="8"/>
          <w:sz w:val="19"/>
          <w:szCs w:val="19"/>
        </w:rPr>
        <w:t xml:space="preserve">      </w:t>
      </w:r>
      <w:r>
        <w:rPr>
          <w:rFonts w:ascii="SimSun" w:eastAsia="SimSun" w:hAnsi="SimSun" w:cs="SimSun"/>
          <w:spacing w:val="3"/>
          <w:sz w:val="19"/>
          <w:szCs w:val="19"/>
        </w:rPr>
        <w:t>鲜果盛装与贮藏、运输过程中，注意轻采、轻放。鲜果盛装容器必须采用洁净、透气的竹编篮、</w:t>
      </w:r>
      <w:r>
        <w:rPr>
          <w:rFonts w:ascii="SimSun" w:eastAsia="SimSun" w:hAnsi="SimSun" w:cs="SimSun"/>
          <w:spacing w:val="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8"/>
          <w:sz w:val="19"/>
          <w:szCs w:val="19"/>
        </w:rPr>
        <w:t>筐、篓或由聚乙烯和聚丙烯原料制成的果筐和周转箱，不得用布袋或塑料编织等。</w:t>
      </w:r>
    </w:p>
    <w:p>
      <w:pPr>
        <w:spacing w:before="75" w:line="255" w:lineRule="auto"/>
        <w:ind w:right="65"/>
        <w:rPr>
          <w:rFonts w:ascii="SimSun" w:eastAsia="SimSun" w:hAnsi="SimSun" w:cs="SimSu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>12.1.3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     </w:t>
      </w:r>
      <w:r>
        <w:rPr>
          <w:rFonts w:ascii="SimSun" w:eastAsia="SimSun" w:hAnsi="SimSun" w:cs="SimSun"/>
          <w:spacing w:val="10"/>
          <w:sz w:val="19"/>
          <w:szCs w:val="19"/>
        </w:rPr>
        <w:t>鲜果晾晒前，应采用5%的碳酸氢钠脱腊剂处理，均匀地薄摊放于洁净卫生、平整完好的果栈</w:t>
      </w:r>
      <w:r>
        <w:rPr>
          <w:rFonts w:ascii="SimSun" w:eastAsia="SimSun" w:hAnsi="SimSun" w:cs="SimSun"/>
          <w:spacing w:val="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4"/>
          <w:sz w:val="19"/>
          <w:szCs w:val="19"/>
        </w:rPr>
        <w:t>上，减少翻动、机械损伤。</w:t>
      </w:r>
    </w:p>
    <w:p>
      <w:pPr>
        <w:spacing w:before="74" w:line="219" w:lineRule="auto"/>
        <w:rPr>
          <w:rFonts w:ascii="SimSun" w:eastAsia="SimSun" w:hAnsi="SimSun" w:cs="SimSu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10"/>
          <w:sz w:val="19"/>
          <w:szCs w:val="19"/>
        </w:rPr>
        <w:t>12.1.4</w:t>
      </w:r>
      <w:r>
        <w:rPr>
          <w:rFonts w:ascii="Times New Roman" w:eastAsia="Times New Roman" w:hAnsi="Times New Roman" w:cs="Times New Roman"/>
          <w:spacing w:val="2"/>
          <w:sz w:val="19"/>
          <w:szCs w:val="19"/>
        </w:rPr>
        <w:t xml:space="preserve">      </w:t>
      </w:r>
      <w:r>
        <w:rPr>
          <w:rFonts w:ascii="SimSun" w:eastAsia="SimSun" w:hAnsi="SimSun" w:cs="SimSun"/>
          <w:spacing w:val="10"/>
          <w:sz w:val="19"/>
          <w:szCs w:val="19"/>
        </w:rPr>
        <w:t>鲜果脱腊后也可用烘干房进行烘干，使鲜果的含水量降到15%</w:t>
      </w:r>
      <w:r>
        <w:rPr>
          <w:rFonts w:ascii="SimSun" w:eastAsia="SimSun" w:hAnsi="SimSun" w:cs="SimSun"/>
          <w:spacing w:val="9"/>
          <w:sz w:val="19"/>
          <w:szCs w:val="19"/>
        </w:rPr>
        <w:t>以下。</w:t>
      </w:r>
    </w:p>
    <w:p>
      <w:pPr>
        <w:spacing w:before="222" w:line="221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2"/>
          <w:sz w:val="19"/>
          <w:szCs w:val="19"/>
        </w:rPr>
        <w:t>12.2</w:t>
      </w:r>
      <w:r>
        <w:rPr>
          <w:rFonts w:ascii="SimHei" w:eastAsia="SimHei" w:hAnsi="SimHei" w:cs="SimHei"/>
          <w:spacing w:val="9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2"/>
          <w:sz w:val="19"/>
          <w:szCs w:val="19"/>
        </w:rPr>
        <w:t>分选分级</w:t>
      </w:r>
    </w:p>
    <w:p>
      <w:pPr>
        <w:spacing w:before="225" w:line="219" w:lineRule="auto"/>
        <w:ind w:left="3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6"/>
          <w:sz w:val="19"/>
          <w:szCs w:val="19"/>
        </w:rPr>
        <w:t>利用风选机吹去干叶，色选机或人工剔除霉变果粒，分</w:t>
      </w:r>
      <w:r>
        <w:rPr>
          <w:rFonts w:ascii="SimSun" w:eastAsia="SimSun" w:hAnsi="SimSun" w:cs="SimSun"/>
          <w:spacing w:val="5"/>
          <w:sz w:val="19"/>
          <w:szCs w:val="19"/>
        </w:rPr>
        <w:t>级标准参照</w:t>
      </w:r>
      <w:r>
        <w:rPr>
          <w:rFonts w:ascii="SimSun" w:eastAsia="SimSun" w:hAnsi="SimSun" w:cs="SimSun"/>
          <w:sz w:val="19"/>
          <w:szCs w:val="19"/>
        </w:rPr>
        <w:t>GB</w:t>
      </w:r>
      <w:r>
        <w:rPr>
          <w:rFonts w:ascii="SimSun" w:eastAsia="SimSun" w:hAnsi="SimSun" w:cs="SimSun"/>
          <w:spacing w:val="5"/>
          <w:sz w:val="19"/>
          <w:szCs w:val="19"/>
        </w:rPr>
        <w:t>/T</w:t>
      </w:r>
      <w:r>
        <w:rPr>
          <w:rFonts w:ascii="SimSun" w:eastAsia="SimSun" w:hAnsi="SimSun" w:cs="SimSun"/>
          <w:spacing w:val="89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5"/>
          <w:sz w:val="19"/>
          <w:szCs w:val="19"/>
        </w:rPr>
        <w:t>18672。</w:t>
      </w:r>
    </w:p>
    <w:p>
      <w:pPr>
        <w:spacing w:before="213" w:line="222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12.3</w:t>
      </w:r>
      <w:r>
        <w:rPr>
          <w:rFonts w:ascii="SimHei" w:eastAsia="SimHei" w:hAnsi="SimHei" w:cs="SimHei"/>
          <w:spacing w:val="8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干果装袋</w:t>
      </w:r>
    </w:p>
    <w:p>
      <w:pPr>
        <w:spacing w:before="214" w:line="260" w:lineRule="auto"/>
        <w:ind w:right="66" w:firstLine="3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9"/>
          <w:sz w:val="19"/>
          <w:szCs w:val="19"/>
        </w:rPr>
        <w:t>果实含水量降至15%以下后，从果栈上，用风车除去叶、柄等轻质杂质，装入内衬塑料袋。塑料袋</w:t>
      </w:r>
      <w:r>
        <w:rPr>
          <w:rFonts w:ascii="SimSun" w:eastAsia="SimSun" w:hAnsi="SimSun" w:cs="SimSun"/>
          <w:spacing w:val="16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8"/>
          <w:sz w:val="19"/>
          <w:szCs w:val="19"/>
        </w:rPr>
        <w:t>为聚乙烯或聚丙烯材质，符合国家食品卫生要求，外罩编织袋，以备拣选、分级等初加工。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2" w:line="223" w:lineRule="auto"/>
        <w:ind w:left="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13</w:t>
      </w:r>
      <w:r>
        <w:rPr>
          <w:rFonts w:ascii="SimHei" w:eastAsia="SimHei" w:hAnsi="SimHei" w:cs="SimHei"/>
          <w:spacing w:val="5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档案管理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62" w:line="222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4"/>
          <w:sz w:val="19"/>
          <w:szCs w:val="19"/>
        </w:rPr>
        <w:t>13.1</w:t>
      </w:r>
      <w:r>
        <w:rPr>
          <w:rFonts w:ascii="SimHei" w:eastAsia="SimHei" w:hAnsi="SimHei" w:cs="SimHei"/>
          <w:spacing w:val="15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4"/>
          <w:sz w:val="19"/>
          <w:szCs w:val="19"/>
        </w:rPr>
        <w:t>建立生态健康果园建设生产管理档案</w:t>
      </w:r>
    </w:p>
    <w:p>
      <w:pPr>
        <w:spacing w:before="236" w:line="219" w:lineRule="auto"/>
        <w:ind w:left="3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9"/>
          <w:sz w:val="19"/>
          <w:szCs w:val="19"/>
        </w:rPr>
        <w:t>建立生态健康果园建设生产管理档案，实行分类编号、归档建卡，记录生产、技术管</w:t>
      </w:r>
      <w:r>
        <w:rPr>
          <w:rFonts w:ascii="SimSun" w:eastAsia="SimSun" w:hAnsi="SimSun" w:cs="SimSun"/>
          <w:spacing w:val="8"/>
          <w:sz w:val="19"/>
          <w:szCs w:val="19"/>
        </w:rPr>
        <w:t>理过程。</w:t>
      </w:r>
    </w:p>
    <w:p>
      <w:pPr>
        <w:spacing w:before="212" w:line="222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"/>
          <w:sz w:val="19"/>
          <w:szCs w:val="19"/>
        </w:rPr>
        <w:t>13.2</w:t>
      </w:r>
      <w:r>
        <w:rPr>
          <w:rFonts w:ascii="SimHei" w:eastAsia="SimHei" w:hAnsi="SimHei" w:cs="SimHei"/>
          <w:spacing w:val="14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1"/>
          <w:sz w:val="19"/>
          <w:szCs w:val="19"/>
        </w:rPr>
        <w:t>主要内容</w:t>
      </w:r>
    </w:p>
    <w:p>
      <w:pPr>
        <w:spacing w:before="222" w:line="223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z w:val="19"/>
          <w:szCs w:val="19"/>
        </w:rPr>
        <w:t>13.2.1</w:t>
      </w:r>
      <w:r>
        <w:rPr>
          <w:rFonts w:ascii="SimHei" w:eastAsia="SimHei" w:hAnsi="SimHei" w:cs="SimHei"/>
          <w:spacing w:val="15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z w:val="19"/>
          <w:szCs w:val="19"/>
        </w:rPr>
        <w:t>基本情况</w:t>
      </w:r>
    </w:p>
    <w:p>
      <w:pPr>
        <w:spacing w:before="203" w:line="219" w:lineRule="auto"/>
        <w:rPr>
          <w:rFonts w:ascii="SimSun" w:eastAsia="SimSun" w:hAnsi="SimSun" w:cs="SimSun"/>
          <w:sz w:val="19"/>
          <w:szCs w:val="19"/>
        </w:rPr>
      </w:pPr>
      <w:hyperlink r:id="rId28" w:history="1">
        <w:r>
          <w:rPr>
            <w:rFonts w:ascii="Times New Roman" w:eastAsia="Times New Roman" w:hAnsi="Times New Roman" w:cs="Times New Roman"/>
            <w:b/>
            <w:bCs/>
            <w:spacing w:val="7"/>
            <w:sz w:val="19"/>
            <w:szCs w:val="19"/>
          </w:rPr>
          <w:t>13.2.1.1</w:t>
        </w:r>
      </w:hyperlink>
      <w:r>
        <w:rPr>
          <w:rFonts w:ascii="Times New Roman" w:eastAsia="Times New Roman" w:hAnsi="Times New Roman" w:cs="Times New Roman"/>
          <w:spacing w:val="3"/>
          <w:sz w:val="19"/>
          <w:szCs w:val="19"/>
        </w:rPr>
        <w:t xml:space="preserve">       </w:t>
      </w:r>
      <w:r>
        <w:rPr>
          <w:rFonts w:ascii="SimSun" w:eastAsia="SimSun" w:hAnsi="SimSun" w:cs="SimSun"/>
          <w:spacing w:val="7"/>
          <w:sz w:val="19"/>
          <w:szCs w:val="19"/>
        </w:rPr>
        <w:t>包括地理位置、环境、土壤</w:t>
      </w:r>
      <w:r>
        <w:rPr>
          <w:rFonts w:ascii="SimSun" w:eastAsia="SimSun" w:hAnsi="SimSun" w:cs="SimSun"/>
          <w:spacing w:val="6"/>
          <w:sz w:val="19"/>
          <w:szCs w:val="19"/>
        </w:rPr>
        <w:t>、种植模式、种植时间、造林方式等。</w:t>
      </w:r>
    </w:p>
    <w:p>
      <w:pPr>
        <w:spacing w:before="93" w:line="219" w:lineRule="auto"/>
        <w:rPr>
          <w:rFonts w:ascii="SimSun" w:eastAsia="SimSun" w:hAnsi="SimSun" w:cs="SimSun"/>
          <w:sz w:val="19"/>
          <w:szCs w:val="19"/>
        </w:rPr>
      </w:pPr>
      <w:hyperlink r:id="rId29" w:history="1">
        <w:r>
          <w:rPr>
            <w:rFonts w:ascii="Times New Roman" w:eastAsia="Times New Roman" w:hAnsi="Times New Roman" w:cs="Times New Roman"/>
            <w:b/>
            <w:bCs/>
            <w:spacing w:val="3"/>
            <w:sz w:val="19"/>
            <w:szCs w:val="19"/>
          </w:rPr>
          <w:t>13.2.1.2</w:t>
        </w:r>
      </w:hyperlink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      </w:t>
      </w:r>
      <w:r>
        <w:rPr>
          <w:rFonts w:ascii="SimSun" w:eastAsia="SimSun" w:hAnsi="SimSun" w:cs="SimSun"/>
          <w:spacing w:val="3"/>
          <w:sz w:val="19"/>
          <w:szCs w:val="19"/>
        </w:rPr>
        <w:t>按附录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45"/>
          <w:w w:val="10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3"/>
          <w:sz w:val="19"/>
          <w:szCs w:val="19"/>
        </w:rPr>
        <w:t>的</w:t>
      </w:r>
      <w:r>
        <w:rPr>
          <w:rFonts w:ascii="SimSun" w:eastAsia="SimSun" w:hAnsi="SimSun" w:cs="SimSun"/>
          <w:spacing w:val="-37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3"/>
          <w:sz w:val="19"/>
          <w:szCs w:val="19"/>
        </w:rPr>
        <w:t>表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>E.1</w:t>
      </w:r>
      <w:r>
        <w:rPr>
          <w:rFonts w:ascii="Times New Roman" w:eastAsia="Times New Roman" w:hAnsi="Times New Roman" w:cs="Times New Roman"/>
          <w:spacing w:val="18"/>
          <w:w w:val="10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3"/>
          <w:sz w:val="19"/>
          <w:szCs w:val="19"/>
        </w:rPr>
        <w:t>要求记载</w:t>
      </w:r>
      <w:r>
        <w:rPr>
          <w:rFonts w:ascii="SimSun" w:eastAsia="SimSun" w:hAnsi="SimSun" w:cs="SimSun"/>
          <w:spacing w:val="2"/>
          <w:sz w:val="19"/>
          <w:szCs w:val="19"/>
        </w:rPr>
        <w:t>。</w:t>
      </w:r>
    </w:p>
    <w:p>
      <w:pPr>
        <w:spacing w:before="222" w:line="222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13.2.2</w:t>
      </w:r>
      <w:r>
        <w:rPr>
          <w:rFonts w:ascii="SimHei" w:eastAsia="SimHei" w:hAnsi="SimHei" w:cs="SimHei"/>
          <w:spacing w:val="14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土壤、水质、空气污染物测定</w:t>
      </w:r>
    </w:p>
    <w:p>
      <w:pPr>
        <w:spacing w:before="205" w:line="219" w:lineRule="auto"/>
        <w:ind w:left="3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2"/>
          <w:sz w:val="19"/>
          <w:szCs w:val="19"/>
        </w:rPr>
        <w:t>按</w:t>
      </w:r>
      <w:r>
        <w:rPr>
          <w:rFonts w:ascii="SimSun" w:eastAsia="SimSun" w:hAnsi="SimSun" w:cs="SimSun"/>
          <w:sz w:val="19"/>
          <w:szCs w:val="19"/>
        </w:rPr>
        <w:t>DB</w:t>
      </w:r>
      <w:r>
        <w:rPr>
          <w:rFonts w:ascii="SimSun" w:eastAsia="SimSun" w:hAnsi="SimSun" w:cs="SimSun"/>
          <w:spacing w:val="2"/>
          <w:sz w:val="19"/>
          <w:szCs w:val="19"/>
        </w:rPr>
        <w:t>65/T3723</w:t>
      </w:r>
      <w:r>
        <w:rPr>
          <w:rFonts w:ascii="SimSun" w:eastAsia="SimSun" w:hAnsi="SimSun" w:cs="SimSun"/>
          <w:spacing w:val="88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2"/>
          <w:sz w:val="19"/>
          <w:szCs w:val="19"/>
        </w:rPr>
        <w:t>的规定与方法测定并记录</w:t>
      </w:r>
      <w:r>
        <w:rPr>
          <w:rFonts w:ascii="SimSun" w:eastAsia="SimSun" w:hAnsi="SimSun" w:cs="SimSun"/>
          <w:spacing w:val="1"/>
          <w:sz w:val="19"/>
          <w:szCs w:val="19"/>
        </w:rPr>
        <w:t>。</w:t>
      </w:r>
    </w:p>
    <w:p>
      <w:pPr>
        <w:spacing w:before="223" w:line="223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z w:val="19"/>
          <w:szCs w:val="19"/>
        </w:rPr>
        <w:t>13.2.3</w:t>
      </w:r>
      <w:r>
        <w:rPr>
          <w:rFonts w:ascii="SimHei" w:eastAsia="SimHei" w:hAnsi="SimHei" w:cs="SimHei"/>
          <w:spacing w:val="15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z w:val="19"/>
          <w:szCs w:val="19"/>
        </w:rPr>
        <w:t>田间管理</w:t>
      </w:r>
    </w:p>
    <w:p>
      <w:pPr>
        <w:spacing w:before="211" w:line="255" w:lineRule="auto"/>
        <w:ind w:right="58"/>
        <w:rPr>
          <w:rFonts w:ascii="SimSun" w:eastAsia="SimSun" w:hAnsi="SimSun" w:cs="SimSun"/>
          <w:sz w:val="19"/>
          <w:szCs w:val="19"/>
        </w:rPr>
      </w:pPr>
      <w:hyperlink r:id="rId30" w:history="1">
        <w:r>
          <w:rPr>
            <w:rFonts w:ascii="Times New Roman" w:eastAsia="Times New Roman" w:hAnsi="Times New Roman" w:cs="Times New Roman"/>
            <w:b/>
            <w:bCs/>
            <w:spacing w:val="6"/>
            <w:sz w:val="19"/>
            <w:szCs w:val="19"/>
          </w:rPr>
          <w:t>13.2.3.1</w:t>
        </w:r>
      </w:hyperlink>
      <w:r>
        <w:rPr>
          <w:rFonts w:ascii="Times New Roman" w:eastAsia="Times New Roman" w:hAnsi="Times New Roman" w:cs="Times New Roman"/>
          <w:spacing w:val="5"/>
          <w:sz w:val="19"/>
          <w:szCs w:val="19"/>
        </w:rPr>
        <w:t xml:space="preserve">       </w:t>
      </w:r>
      <w:r>
        <w:rPr>
          <w:rFonts w:ascii="SimSun" w:eastAsia="SimSun" w:hAnsi="SimSun" w:cs="SimSun"/>
          <w:spacing w:val="6"/>
          <w:sz w:val="19"/>
          <w:szCs w:val="19"/>
        </w:rPr>
        <w:t>包括：灌溉时间、灌溉量；施肥时间、施肥种类、施肥量；修剪时间、方法；有害生物防治</w:t>
      </w:r>
      <w:r>
        <w:rPr>
          <w:rFonts w:ascii="SimSun" w:eastAsia="SimSun" w:hAnsi="SimSun" w:cs="SimSun"/>
          <w:spacing w:val="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6"/>
          <w:sz w:val="19"/>
          <w:szCs w:val="19"/>
        </w:rPr>
        <w:t>时间、具体措施；采收时间、方法等。</w:t>
      </w:r>
    </w:p>
    <w:p>
      <w:pPr>
        <w:spacing w:before="75" w:line="219" w:lineRule="auto"/>
        <w:rPr>
          <w:rFonts w:ascii="SimSun" w:eastAsia="SimSun" w:hAnsi="SimSun" w:cs="SimSun"/>
          <w:sz w:val="19"/>
          <w:szCs w:val="19"/>
        </w:rPr>
      </w:pPr>
      <w:hyperlink r:id="rId31" w:history="1">
        <w:r>
          <w:rPr>
            <w:rFonts w:ascii="Times New Roman" w:eastAsia="Times New Roman" w:hAnsi="Times New Roman" w:cs="Times New Roman"/>
            <w:b/>
            <w:bCs/>
            <w:spacing w:val="-2"/>
            <w:sz w:val="19"/>
            <w:szCs w:val="19"/>
          </w:rPr>
          <w:t>13.2.3.2</w:t>
        </w:r>
      </w:hyperlink>
      <w:r>
        <w:rPr>
          <w:rFonts w:ascii="Times New Roman" w:eastAsia="Times New Roman" w:hAnsi="Times New Roman" w:cs="Times New Roman"/>
          <w:sz w:val="19"/>
          <w:szCs w:val="19"/>
        </w:rPr>
        <w:t xml:space="preserve">        </w:t>
      </w:r>
      <w:r>
        <w:rPr>
          <w:rFonts w:ascii="SimSun" w:eastAsia="SimSun" w:hAnsi="SimSun" w:cs="SimSun"/>
          <w:spacing w:val="-2"/>
          <w:sz w:val="19"/>
          <w:szCs w:val="19"/>
        </w:rPr>
        <w:t>按附录</w:t>
      </w:r>
      <w:r>
        <w:rPr>
          <w:rFonts w:ascii="SimSun" w:eastAsia="SimSun" w:hAnsi="SimSun" w:cs="SimSun"/>
          <w:spacing w:val="-4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4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2"/>
          <w:sz w:val="19"/>
          <w:szCs w:val="19"/>
        </w:rPr>
        <w:t>的表</w:t>
      </w:r>
      <w:r>
        <w:rPr>
          <w:rFonts w:ascii="SimSun" w:eastAsia="SimSun" w:hAnsi="SimSun" w:cs="SimSun"/>
          <w:spacing w:val="-34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2"/>
          <w:sz w:val="19"/>
          <w:szCs w:val="19"/>
        </w:rPr>
        <w:t>E.2、表</w:t>
      </w:r>
      <w:r>
        <w:rPr>
          <w:rFonts w:ascii="SimSun" w:eastAsia="SimSun" w:hAnsi="SimSun" w:cs="SimSun"/>
          <w:spacing w:val="-29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2"/>
          <w:sz w:val="19"/>
          <w:szCs w:val="19"/>
        </w:rPr>
        <w:t>E.3、表</w:t>
      </w:r>
      <w:r>
        <w:rPr>
          <w:rFonts w:ascii="SimSun" w:eastAsia="SimSun" w:hAnsi="SimSun" w:cs="SimSun"/>
          <w:spacing w:val="-18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2"/>
          <w:sz w:val="19"/>
          <w:szCs w:val="19"/>
        </w:rPr>
        <w:t>E.4、表</w:t>
      </w:r>
      <w:r>
        <w:rPr>
          <w:rFonts w:ascii="SimSun" w:eastAsia="SimSun" w:hAnsi="SimSun" w:cs="SimSun"/>
          <w:spacing w:val="-18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2"/>
          <w:sz w:val="19"/>
          <w:szCs w:val="19"/>
        </w:rPr>
        <w:t>E.5、表</w:t>
      </w:r>
      <w:r>
        <w:rPr>
          <w:rFonts w:ascii="SimSun" w:eastAsia="SimSun" w:hAnsi="SimSun" w:cs="SimSun"/>
          <w:spacing w:val="-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E.6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  <w:r>
        <w:rPr>
          <w:rFonts w:ascii="SimSun" w:eastAsia="SimSun" w:hAnsi="SimSun" w:cs="SimSun"/>
          <w:spacing w:val="-2"/>
          <w:sz w:val="19"/>
          <w:szCs w:val="19"/>
        </w:rPr>
        <w:t>的要求记载。</w:t>
      </w:r>
    </w:p>
    <w:p>
      <w:pPr>
        <w:spacing w:before="233" w:line="222" w:lineRule="auto"/>
        <w:ind w:left="2"/>
        <w:outlineLvl w:val="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13.2.4</w:t>
      </w:r>
      <w:r>
        <w:rPr>
          <w:rFonts w:ascii="SimHei" w:eastAsia="SimHei" w:hAnsi="SimHei" w:cs="SimHei"/>
          <w:spacing w:val="4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3"/>
          <w:sz w:val="19"/>
          <w:szCs w:val="19"/>
        </w:rPr>
        <w:t>产量及品质测定</w:t>
      </w:r>
    </w:p>
    <w:p>
      <w:pPr>
        <w:spacing w:before="213" w:line="219" w:lineRule="auto"/>
        <w:ind w:left="3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1"/>
          <w:sz w:val="19"/>
          <w:szCs w:val="19"/>
        </w:rPr>
        <w:t>按照附录E</w:t>
      </w:r>
      <w:r>
        <w:rPr>
          <w:rFonts w:ascii="SimSun" w:eastAsia="SimSun" w:hAnsi="SimSun" w:cs="SimSun"/>
          <w:spacing w:val="-28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1"/>
          <w:sz w:val="19"/>
          <w:szCs w:val="19"/>
        </w:rPr>
        <w:t>的表E.7的要求记载。</w:t>
      </w:r>
    </w:p>
    <w:p>
      <w:pPr>
        <w:sectPr>
          <w:headerReference w:type="default" r:id="rId32"/>
          <w:footerReference w:type="default" r:id="rId33"/>
          <w:pgSz w:w="11910" w:h="16840"/>
          <w:pgMar w:top="400" w:right="1445" w:bottom="1611" w:left="1529" w:header="0" w:footer="1482" w:gutter="0"/>
          <w:pgNumType w:start="10"/>
          <w:cols w:space="708"/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49" w:line="198" w:lineRule="auto"/>
        <w:ind w:right="137"/>
        <w:jc w:val="right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pacing w:val="-2"/>
          <w:sz w:val="17"/>
          <w:szCs w:val="17"/>
        </w:rPr>
        <w:t>DB65/</w:t>
      </w:r>
      <w:r>
        <w:rPr>
          <w:rFonts w:ascii="Arial" w:eastAsia="Arial" w:hAnsi="Arial" w:cs="Arial"/>
          <w:spacing w:val="8"/>
          <w:sz w:val="17"/>
          <w:szCs w:val="17"/>
        </w:rPr>
        <w:t xml:space="preserve">   </w:t>
      </w:r>
      <w:r>
        <w:rPr>
          <w:rFonts w:ascii="Arial" w:eastAsia="Arial" w:hAnsi="Arial" w:cs="Arial"/>
          <w:b/>
          <w:bCs/>
          <w:spacing w:val="-2"/>
          <w:sz w:val="17"/>
          <w:szCs w:val="17"/>
        </w:rPr>
        <w:t>T</w:t>
      </w:r>
      <w:r>
        <w:rPr>
          <w:rFonts w:ascii="Arial" w:eastAsia="Arial" w:hAnsi="Arial" w:cs="Arial"/>
          <w:spacing w:val="5"/>
          <w:sz w:val="17"/>
          <w:szCs w:val="17"/>
        </w:rPr>
        <w:t xml:space="preserve">   </w:t>
      </w:r>
      <w:r>
        <w:rPr>
          <w:rFonts w:ascii="Arial" w:eastAsia="Arial" w:hAnsi="Arial" w:cs="Arial"/>
          <w:b/>
          <w:bCs/>
          <w:spacing w:val="-2"/>
          <w:sz w:val="17"/>
          <w:szCs w:val="17"/>
        </w:rPr>
        <w:t>4186—2019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69" w:line="222" w:lineRule="auto"/>
        <w:ind w:left="407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0"/>
          <w:sz w:val="21"/>
          <w:szCs w:val="21"/>
        </w:rPr>
        <w:t>附</w:t>
      </w:r>
      <w:r>
        <w:rPr>
          <w:rFonts w:ascii="SimHei" w:eastAsia="SimHei" w:hAnsi="SimHei" w:cs="SimHei"/>
          <w:spacing w:val="4"/>
          <w:sz w:val="21"/>
          <w:szCs w:val="21"/>
        </w:rPr>
        <w:t xml:space="preserve">  </w:t>
      </w:r>
      <w:r>
        <w:rPr>
          <w:rFonts w:ascii="SimHei" w:eastAsia="SimHei" w:hAnsi="SimHei" w:cs="SimHei"/>
          <w:spacing w:val="-10"/>
          <w:sz w:val="21"/>
          <w:szCs w:val="21"/>
        </w:rPr>
        <w:t>录</w:t>
      </w:r>
      <w:r>
        <w:rPr>
          <w:rFonts w:ascii="SimHei" w:eastAsia="SimHei" w:hAnsi="SimHei" w:cs="SimHei"/>
          <w:spacing w:val="66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10"/>
          <w:sz w:val="21"/>
          <w:szCs w:val="21"/>
        </w:rPr>
        <w:t>A</w:t>
      </w:r>
    </w:p>
    <w:p>
      <w:pPr>
        <w:spacing w:before="47" w:line="222" w:lineRule="auto"/>
        <w:ind w:left="3944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7"/>
          <w:sz w:val="21"/>
          <w:szCs w:val="21"/>
        </w:rPr>
        <w:t>(规范性附录)</w:t>
      </w:r>
    </w:p>
    <w:p>
      <w:pPr>
        <w:spacing w:before="43" w:line="221" w:lineRule="auto"/>
        <w:ind w:left="2337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3"/>
          <w:sz w:val="21"/>
          <w:szCs w:val="21"/>
        </w:rPr>
        <w:t>生态健康果品种植允许使用的土壤培肥和改良物质</w:t>
      </w:r>
    </w:p>
    <w:p>
      <w:pPr>
        <w:spacing w:before="298" w:line="221" w:lineRule="auto"/>
        <w:ind w:left="1937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表A.1</w:t>
      </w:r>
      <w:r>
        <w:rPr>
          <w:rFonts w:ascii="SimHei" w:eastAsia="SimHei" w:hAnsi="SimHei" w:cs="SimHei"/>
          <w:spacing w:val="28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10"/>
          <w:sz w:val="21"/>
          <w:szCs w:val="21"/>
        </w:rPr>
        <w:t>生态健康果品种植允许使用的土壤培肥和改</w:t>
      </w:r>
      <w:r>
        <w:rPr>
          <w:rFonts w:ascii="SimHei" w:eastAsia="SimHei" w:hAnsi="SimHei" w:cs="SimHei"/>
          <w:b/>
          <w:bCs/>
          <w:spacing w:val="-11"/>
          <w:sz w:val="21"/>
          <w:szCs w:val="21"/>
        </w:rPr>
        <w:t>良物质</w:t>
      </w:r>
    </w:p>
    <w:tbl>
      <w:tblPr>
        <w:tblStyle w:val="TableNormal0"/>
        <w:tblW w:w="90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44"/>
        <w:gridCol w:w="3236"/>
        <w:gridCol w:w="4819"/>
      </w:tblGrid>
      <w:tr>
        <w:tblPrEx>
          <w:tblW w:w="90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05"/>
        </w:trPr>
        <w:tc>
          <w:tcPr>
            <w:tcW w:w="1044" w:type="dxa"/>
            <w:vAlign w:val="top"/>
          </w:tcPr>
          <w:p>
            <w:pPr>
              <w:spacing w:before="72" w:line="219" w:lineRule="auto"/>
              <w:ind w:left="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物质类别</w:t>
            </w:r>
          </w:p>
        </w:tc>
        <w:tc>
          <w:tcPr>
            <w:tcW w:w="3236" w:type="dxa"/>
            <w:vAlign w:val="top"/>
          </w:tcPr>
          <w:p>
            <w:pPr>
              <w:spacing w:before="72" w:line="220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物质名称、组分和要求</w:t>
            </w:r>
          </w:p>
        </w:tc>
        <w:tc>
          <w:tcPr>
            <w:tcW w:w="4819" w:type="dxa"/>
            <w:vAlign w:val="top"/>
          </w:tcPr>
          <w:p>
            <w:pPr>
              <w:spacing w:before="72" w:line="22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备注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09"/>
        </w:trPr>
        <w:tc>
          <w:tcPr>
            <w:tcW w:w="4280" w:type="dxa"/>
            <w:gridSpan w:val="2"/>
            <w:vAlign w:val="top"/>
          </w:tcPr>
          <w:p>
            <w:pPr>
              <w:spacing w:before="67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I.植物和动物来源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66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绿肥</w:t>
            </w:r>
          </w:p>
        </w:tc>
        <w:tc>
          <w:tcPr>
            <w:tcW w:w="4819" w:type="dxa"/>
            <w:vAlign w:val="top"/>
          </w:tcPr>
          <w:p>
            <w:pPr>
              <w:spacing w:before="68" w:line="22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直接翻压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88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6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畜禽粪便及其堆肥(包括圈肥)</w:t>
            </w:r>
          </w:p>
        </w:tc>
        <w:tc>
          <w:tcPr>
            <w:tcW w:w="4819" w:type="dxa"/>
            <w:vAlign w:val="top"/>
          </w:tcPr>
          <w:p>
            <w:pPr>
              <w:spacing w:before="58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进行堆制处理</w:t>
            </w:r>
          </w:p>
          <w:p>
            <w:pPr>
              <w:spacing w:before="95" w:line="267" w:lineRule="auto"/>
              <w:ind w:left="114" w:right="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堆肥必须保持49℃~60℃的高温3个月以上，在整个堆制过程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中应保持堆肥潮湿，但不能渍水。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9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果园废弃物</w:t>
            </w:r>
          </w:p>
        </w:tc>
        <w:tc>
          <w:tcPr>
            <w:tcW w:w="4819" w:type="dxa"/>
            <w:vAlign w:val="top"/>
          </w:tcPr>
          <w:p>
            <w:pPr>
              <w:spacing w:before="59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进行堆制处理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69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作物秸秆</w:t>
            </w:r>
          </w:p>
        </w:tc>
        <w:tc>
          <w:tcPr>
            <w:tcW w:w="4819" w:type="dxa"/>
            <w:vAlign w:val="top"/>
          </w:tcPr>
          <w:p>
            <w:pPr>
              <w:spacing w:before="69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与动物粪便堆制并充分腐熟后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5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9" w:line="262" w:lineRule="auto"/>
              <w:ind w:left="100" w:right="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来自未经化学处理木材的木料、树皮、锯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屑、刨花、木灰、木炭</w:t>
            </w:r>
          </w:p>
        </w:tc>
        <w:tc>
          <w:tcPr>
            <w:tcW w:w="4819" w:type="dxa"/>
            <w:vAlign w:val="top"/>
          </w:tcPr>
          <w:p>
            <w:pPr>
              <w:spacing w:before="68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地面覆盖或堆制后作为有机肥源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5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41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腐殖酸物质</w:t>
            </w:r>
          </w:p>
        </w:tc>
        <w:tc>
          <w:tcPr>
            <w:tcW w:w="4819" w:type="dxa"/>
            <w:vAlign w:val="top"/>
          </w:tcPr>
          <w:p>
            <w:pPr>
              <w:spacing w:before="59" w:line="273" w:lineRule="auto"/>
              <w:ind w:left="114" w:righ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通常是自然沉积物，允许使用来自风化褐煤、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褐煤或煤的腐植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酸盐。不允许使用经合成的物质强化处理的腐植酸盐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60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未搀杂防腐剂的肉、骨头和皮毛</w:t>
            </w:r>
          </w:p>
        </w:tc>
        <w:tc>
          <w:tcPr>
            <w:tcW w:w="4819" w:type="dxa"/>
            <w:vAlign w:val="top"/>
          </w:tcPr>
          <w:p>
            <w:pPr>
              <w:spacing w:before="62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经过堆制或发酵处理后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2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蘑菇培养废料</w:t>
            </w:r>
          </w:p>
        </w:tc>
        <w:tc>
          <w:tcPr>
            <w:tcW w:w="4819" w:type="dxa"/>
            <w:vAlign w:val="top"/>
          </w:tcPr>
          <w:p>
            <w:pPr>
              <w:spacing w:before="72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进行堆制处理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1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不含合成添加剂的食品工业副产品</w:t>
            </w:r>
          </w:p>
        </w:tc>
        <w:tc>
          <w:tcPr>
            <w:tcW w:w="4819" w:type="dxa"/>
            <w:vAlign w:val="top"/>
          </w:tcPr>
          <w:p>
            <w:pPr>
              <w:spacing w:before="73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应经过堆制或发酵处理后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2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草木灰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29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63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饼粕</w:t>
            </w:r>
          </w:p>
        </w:tc>
        <w:tc>
          <w:tcPr>
            <w:tcW w:w="4819" w:type="dxa"/>
            <w:vAlign w:val="top"/>
          </w:tcPr>
          <w:p>
            <w:pPr>
              <w:spacing w:before="63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不能使用经化学方法加工的，非转基因来源的。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3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鱼粉、骨粉</w:t>
            </w:r>
          </w:p>
        </w:tc>
        <w:tc>
          <w:tcPr>
            <w:tcW w:w="4819" w:type="dxa"/>
            <w:vAlign w:val="top"/>
          </w:tcPr>
          <w:p>
            <w:pPr>
              <w:spacing w:before="73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未添加化学合成的物质。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4" w:line="220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沼液、沼渣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29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64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棉籽壳</w:t>
            </w:r>
          </w:p>
        </w:tc>
        <w:tc>
          <w:tcPr>
            <w:tcW w:w="4819" w:type="dxa"/>
            <w:vAlign w:val="top"/>
          </w:tcPr>
          <w:p>
            <w:pPr>
              <w:spacing w:before="64" w:line="22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进行堆制处理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10"/>
        </w:trPr>
        <w:tc>
          <w:tcPr>
            <w:tcW w:w="4280" w:type="dxa"/>
            <w:gridSpan w:val="2"/>
            <w:vAlign w:val="top"/>
          </w:tcPr>
          <w:p>
            <w:pPr>
              <w:spacing w:before="74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Ⅱ.矿物来源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34"/>
          <w:footerReference w:type="default" r:id="rId35"/>
          <w:pgSz w:w="11910" w:h="16840"/>
          <w:pgMar w:top="400" w:right="1324" w:bottom="1597" w:left="1475" w:header="0" w:footer="1459" w:gutter="0"/>
          <w:pgNumType w:start="11"/>
          <w:cols w:space="708"/>
        </w:sectPr>
      </w:pPr>
    </w:p>
    <w:tbl>
      <w:tblPr>
        <w:tblStyle w:val="TableNormal1"/>
        <w:tblW w:w="90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44"/>
        <w:gridCol w:w="3236"/>
        <w:gridCol w:w="4819"/>
      </w:tblGrid>
      <w:tr>
        <w:tblPrEx>
          <w:tblW w:w="90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8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3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磷矿石</w:t>
            </w:r>
          </w:p>
        </w:tc>
        <w:tc>
          <w:tcPr>
            <w:tcW w:w="4819" w:type="dxa"/>
            <w:vAlign w:val="top"/>
          </w:tcPr>
          <w:p>
            <w:pPr>
              <w:spacing w:before="54" w:line="272" w:lineRule="auto"/>
              <w:ind w:left="114" w:right="131" w:hanging="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应当是天然的，应当是物理方法获得的，P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>₂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>₂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中镉含量≤90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mg/kg。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58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5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钾矿粉</w:t>
            </w:r>
          </w:p>
        </w:tc>
        <w:tc>
          <w:tcPr>
            <w:tcW w:w="4819" w:type="dxa"/>
            <w:vAlign w:val="top"/>
          </w:tcPr>
          <w:p>
            <w:pPr>
              <w:spacing w:before="65" w:line="276" w:lineRule="auto"/>
              <w:ind w:left="114" w:right="8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应当是物理方法获得的，不能通过化学方法浓缩。氯的</w:t>
            </w:r>
            <w:r>
              <w:rPr>
                <w:rFonts w:ascii="SimSun" w:eastAsia="SimSun" w:hAnsi="SimSun" w:cs="SimSun"/>
                <w:sz w:val="17"/>
                <w:szCs w:val="17"/>
              </w:rPr>
              <w:t>含量小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于60%。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6" w:line="220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硼酸岩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300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6" w:line="220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天然硫磺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2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8" w:line="222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蛭石</w:t>
            </w:r>
          </w:p>
        </w:tc>
        <w:tc>
          <w:tcPr>
            <w:tcW w:w="4819" w:type="dxa"/>
            <w:vAlign w:val="top"/>
          </w:tcPr>
          <w:p>
            <w:pPr>
              <w:spacing w:before="76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天然物质或来自未经化学合成处理、未添加化学合成物质</w:t>
            </w:r>
          </w:p>
        </w:tc>
      </w:tr>
      <w:tr>
        <w:tblPrEx>
          <w:tblW w:w="9099" w:type="dxa"/>
          <w:tblInd w:w="5" w:type="dxa"/>
          <w:tblLayout w:type="fixed"/>
        </w:tblPrEx>
        <w:trPr>
          <w:trHeight w:val="290"/>
        </w:trPr>
        <w:tc>
          <w:tcPr>
            <w:tcW w:w="4280" w:type="dxa"/>
            <w:gridSpan w:val="2"/>
            <w:vAlign w:val="top"/>
          </w:tcPr>
          <w:p>
            <w:pPr>
              <w:spacing w:before="67" w:line="21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Ⅲ.微生物来源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599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56" w:line="278" w:lineRule="auto"/>
              <w:ind w:left="100" w:right="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可生物降解的微生物加工副产品，如酿酒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和蒸馏洒行业的加工副产品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99" w:type="dxa"/>
          <w:tblInd w:w="5" w:type="dxa"/>
          <w:tblLayout w:type="fixed"/>
        </w:tblPrEx>
        <w:trPr>
          <w:trHeight w:val="305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36" w:type="dxa"/>
            <w:vAlign w:val="top"/>
          </w:tcPr>
          <w:p>
            <w:pPr>
              <w:spacing w:before="76" w:line="219" w:lineRule="auto"/>
              <w:ind w:lef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天然来源、非转基因的微生物菌肥</w:t>
            </w:r>
          </w:p>
        </w:tc>
        <w:tc>
          <w:tcPr>
            <w:tcW w:w="4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36"/>
          <w:footerReference w:type="default" r:id="rId37"/>
          <w:type w:val="nextPage"/>
          <w:pgSz w:w="11910" w:h="16840"/>
          <w:pgMar w:top="400" w:right="1324" w:bottom="1597" w:left="1475" w:header="0" w:footer="1459" w:gutter="0"/>
          <w:pgNumType w:start="12"/>
          <w:cols w:space="708"/>
          <w:titlePg w:val="0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40" w:line="198" w:lineRule="auto"/>
        <w:ind w:right="10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spacing w:val="-2"/>
          <w:sz w:val="14"/>
          <w:szCs w:val="14"/>
        </w:rPr>
        <w:t>DB65/</w:t>
      </w:r>
      <w:r>
        <w:rPr>
          <w:rFonts w:ascii="Arial" w:eastAsia="Arial" w:hAnsi="Arial" w:cs="Arial"/>
          <w:spacing w:val="4"/>
          <w:sz w:val="14"/>
          <w:szCs w:val="14"/>
        </w:rPr>
        <w:t xml:space="preserve">       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      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4186—2019</w:t>
      </w:r>
    </w:p>
    <w:p>
      <w:pPr>
        <w:spacing w:before="279" w:line="222" w:lineRule="auto"/>
        <w:ind w:left="4095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-10"/>
          <w:sz w:val="20"/>
          <w:szCs w:val="20"/>
        </w:rPr>
        <w:t>附</w:t>
      </w:r>
      <w:r>
        <w:rPr>
          <w:rFonts w:ascii="SimHei" w:eastAsia="SimHei" w:hAnsi="SimHei" w:cs="SimHei"/>
          <w:spacing w:val="9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0"/>
          <w:sz w:val="20"/>
          <w:szCs w:val="20"/>
        </w:rPr>
        <w:t>录</w:t>
      </w:r>
      <w:r>
        <w:rPr>
          <w:rFonts w:ascii="SimHei" w:eastAsia="SimHei" w:hAnsi="SimHei" w:cs="SimHei"/>
          <w:spacing w:val="9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0"/>
          <w:sz w:val="20"/>
          <w:szCs w:val="20"/>
        </w:rPr>
        <w:t>B</w:t>
      </w:r>
    </w:p>
    <w:p>
      <w:pPr>
        <w:spacing w:before="69" w:line="222" w:lineRule="auto"/>
        <w:ind w:left="3954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"/>
          <w:sz w:val="20"/>
          <w:szCs w:val="20"/>
        </w:rPr>
        <w:t>(规范性附录)</w:t>
      </w:r>
    </w:p>
    <w:p>
      <w:pPr>
        <w:spacing w:before="65" w:line="221" w:lineRule="auto"/>
        <w:ind w:left="214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3"/>
          <w:sz w:val="20"/>
          <w:szCs w:val="20"/>
        </w:rPr>
        <w:t>生态健康果品种植允许使用的植物保护产品物质和措施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65" w:line="221" w:lineRule="auto"/>
        <w:ind w:left="179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表B.1</w:t>
      </w:r>
      <w:r>
        <w:rPr>
          <w:rFonts w:ascii="SimHei" w:eastAsia="SimHei" w:hAnsi="SimHei" w:cs="SimHei"/>
          <w:spacing w:val="116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-4"/>
          <w:sz w:val="20"/>
          <w:szCs w:val="20"/>
        </w:rPr>
        <w:t>生态健康果品种植允许使用的植物保护产品物质和措施</w:t>
      </w:r>
    </w:p>
    <w:tbl>
      <w:tblPr>
        <w:tblStyle w:val="TableNormal2"/>
        <w:tblW w:w="90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73"/>
        <w:gridCol w:w="5104"/>
        <w:gridCol w:w="2802"/>
      </w:tblGrid>
      <w:tr>
        <w:tblPrEx>
          <w:tblW w:w="90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05"/>
        </w:trPr>
        <w:tc>
          <w:tcPr>
            <w:tcW w:w="1173" w:type="dxa"/>
            <w:vAlign w:val="top"/>
          </w:tcPr>
          <w:p>
            <w:pPr>
              <w:spacing w:before="72" w:line="219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类型</w:t>
            </w:r>
          </w:p>
        </w:tc>
        <w:tc>
          <w:tcPr>
            <w:tcW w:w="5104" w:type="dxa"/>
            <w:vAlign w:val="top"/>
          </w:tcPr>
          <w:p>
            <w:pPr>
              <w:spacing w:before="72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物质名称、组分要求</w:t>
            </w:r>
          </w:p>
        </w:tc>
        <w:tc>
          <w:tcPr>
            <w:tcW w:w="2802" w:type="dxa"/>
            <w:vAlign w:val="top"/>
          </w:tcPr>
          <w:p>
            <w:pPr>
              <w:spacing w:before="72" w:line="221" w:lineRule="auto"/>
              <w:ind w:left="1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备注</w:t>
            </w: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55" w:line="274" w:lineRule="auto"/>
              <w:ind w:left="104" w:righ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I.植物和动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物源</w:t>
            </w:r>
          </w:p>
        </w:tc>
        <w:tc>
          <w:tcPr>
            <w:tcW w:w="5104" w:type="dxa"/>
            <w:vAlign w:val="top"/>
          </w:tcPr>
          <w:p>
            <w:pPr>
              <w:spacing w:before="65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天然除虫菊植物、鱼藤酮植物、苦参类植物提取液及其制剂</w:t>
            </w:r>
          </w:p>
        </w:tc>
        <w:tc>
          <w:tcPr>
            <w:tcW w:w="2802" w:type="dxa"/>
            <w:vAlign w:val="top"/>
          </w:tcPr>
          <w:p>
            <w:pPr>
              <w:spacing w:before="65" w:line="219" w:lineRule="auto"/>
              <w:ind w:left="1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不得以苯、二甲苯为溶剂</w:t>
            </w: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5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其他植物提取液及其制剂</w:t>
            </w:r>
          </w:p>
        </w:tc>
        <w:tc>
          <w:tcPr>
            <w:tcW w:w="2802" w:type="dxa"/>
            <w:vAlign w:val="top"/>
          </w:tcPr>
          <w:p>
            <w:pPr>
              <w:spacing w:before="65" w:line="219" w:lineRule="auto"/>
              <w:ind w:left="1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不得以苯、二甲苯为溶剂</w:t>
            </w: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5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植物油及植物油乳化剂</w:t>
            </w:r>
          </w:p>
        </w:tc>
        <w:tc>
          <w:tcPr>
            <w:tcW w:w="2802" w:type="dxa"/>
            <w:vAlign w:val="top"/>
          </w:tcPr>
          <w:p>
            <w:pPr>
              <w:spacing w:before="67" w:line="219" w:lineRule="auto"/>
              <w:ind w:left="1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不得使用转基因成分</w:t>
            </w: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6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植物来源的驱避剂(如薄荷、熏衣草)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8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57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天然酸(如：食用醋)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8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沼液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8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58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牛奶及其制品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9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蜂</w:t>
            </w:r>
            <w:r>
              <w:rPr>
                <w:rFonts w:ascii="SimSun" w:eastAsia="SimSun" w:hAnsi="SimSun" w:cs="SimSun"/>
                <w:spacing w:val="-2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蜡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9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蜂</w:t>
            </w:r>
            <w:r>
              <w:rPr>
                <w:rFonts w:ascii="SimSun" w:eastAsia="SimSun" w:hAnsi="SimSun" w:cs="SimSun"/>
                <w:spacing w:val="-2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胶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sz w:val="17"/>
                <w:szCs w:val="17"/>
              </w:rPr>
              <w:t>明</w:t>
            </w:r>
            <w:r>
              <w:rPr>
                <w:rFonts w:ascii="SimSun" w:eastAsia="SimSun" w:hAnsi="SimSun" w:cs="SimSun"/>
                <w:spacing w:val="-2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sz w:val="17"/>
                <w:szCs w:val="17"/>
              </w:rPr>
              <w:t>胶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寄生性天敌(如：赤眼蜂、平腹小蜂等)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捕食性天敌(如：捕食螨、瓢虫等)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89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5" w:line="219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Ⅱ.矿物源</w:t>
            </w:r>
          </w:p>
        </w:tc>
        <w:tc>
          <w:tcPr>
            <w:tcW w:w="5104" w:type="dxa"/>
            <w:vAlign w:val="top"/>
          </w:tcPr>
          <w:p>
            <w:pPr>
              <w:spacing w:before="58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石硫合剂(多硫化钙)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1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波尔多液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1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石</w:t>
            </w:r>
            <w:r>
              <w:rPr>
                <w:rFonts w:ascii="SimSun" w:eastAsia="SimSun" w:hAnsi="SimSun" w:cs="SimSun"/>
                <w:spacing w:val="-23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灰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2" w:line="221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硫</w:t>
            </w:r>
            <w:r>
              <w:rPr>
                <w:rFonts w:ascii="SimSun" w:eastAsia="SimSun" w:hAnsi="SimSun" w:cs="SimSun"/>
                <w:spacing w:val="-2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磺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1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碳酸氢钠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2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轻矿物油(如：石蜡油等)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0"/>
        </w:trPr>
        <w:tc>
          <w:tcPr>
            <w:tcW w:w="1173" w:type="dxa"/>
            <w:tcBorders>
              <w:bottom w:val="nil"/>
            </w:tcBorders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真菌及真菌制剂(如：白僵菌、绿僵菌、轮枝菌等)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38"/>
          <w:footerReference w:type="default" r:id="rId39"/>
          <w:pgSz w:w="11910" w:h="16840"/>
          <w:pgMar w:top="400" w:right="1385" w:bottom="1598" w:left="1435" w:header="0" w:footer="1459" w:gutter="0"/>
          <w:pgNumType w:start="13"/>
          <w:cols w:space="708"/>
        </w:sectPr>
      </w:pPr>
    </w:p>
    <w:tbl>
      <w:tblPr>
        <w:tblStyle w:val="TableNormal3"/>
        <w:tblW w:w="90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73"/>
        <w:gridCol w:w="5104"/>
        <w:gridCol w:w="2802"/>
      </w:tblGrid>
      <w:tr>
        <w:tblPrEx>
          <w:tblW w:w="90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90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before="55" w:line="219" w:lineRule="auto"/>
              <w:ind w:left="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Ⅲ.微生物源</w:t>
            </w:r>
          </w:p>
        </w:tc>
        <w:tc>
          <w:tcPr>
            <w:tcW w:w="5104" w:type="dxa"/>
            <w:vAlign w:val="top"/>
          </w:tcPr>
          <w:p/>
        </w:tc>
        <w:tc>
          <w:tcPr>
            <w:tcW w:w="2802" w:type="dxa"/>
            <w:vAlign w:val="top"/>
          </w:tcPr>
          <w:p/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细菌及细菌制剂(如：苏芸金杆菌，即</w:t>
            </w:r>
            <w:r>
              <w:rPr>
                <w:rFonts w:ascii="SimSun" w:eastAsia="SimSun" w:hAnsi="SimSun" w:cs="SimSun"/>
                <w:sz w:val="17"/>
                <w:szCs w:val="17"/>
              </w:rPr>
              <w:t>BT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8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0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病毒及病毒制剂(如：多角体病毒、颗粒体病毒等)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3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线虫(如：斯氏线虫等)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3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寄生微生物(如：虫霉、病毒等)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9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5" w:line="220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IV.诱捕器</w:t>
            </w:r>
          </w:p>
        </w:tc>
        <w:tc>
          <w:tcPr>
            <w:tcW w:w="5104" w:type="dxa"/>
            <w:vAlign w:val="top"/>
          </w:tcPr>
          <w:p>
            <w:pPr>
              <w:spacing w:before="73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昆虫性外激素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4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杀虫灯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9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4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9"/>
                <w:sz w:val="17"/>
                <w:szCs w:val="17"/>
              </w:rPr>
              <w:t>糖醋液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3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色板(黄板、篮板等)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5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捕害(虫、鼠等)工具(如：捕鼠夹等)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89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5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粘虫胶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5" w:line="220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V物理隔离</w:t>
            </w:r>
          </w:p>
        </w:tc>
        <w:tc>
          <w:tcPr>
            <w:tcW w:w="5104" w:type="dxa"/>
            <w:vAlign w:val="top"/>
          </w:tcPr>
          <w:p>
            <w:pPr>
              <w:spacing w:before="76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防虫网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6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8"/>
                <w:sz w:val="17"/>
                <w:szCs w:val="17"/>
              </w:rPr>
              <w:t>防鸟网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76" w:line="220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塑料制品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300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>
            <w:pPr>
              <w:spacing w:before="225" w:line="219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VI拒避剂</w:t>
            </w:r>
          </w:p>
        </w:tc>
        <w:tc>
          <w:tcPr>
            <w:tcW w:w="5104" w:type="dxa"/>
            <w:vAlign w:val="top"/>
          </w:tcPr>
          <w:p>
            <w:pPr>
              <w:spacing w:before="74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涂白剂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9" w:type="dxa"/>
          <w:tblInd w:w="5" w:type="dxa"/>
          <w:tblLayout w:type="fixed"/>
        </w:tblPrEx>
        <w:trPr>
          <w:trHeight w:val="294"/>
        </w:trPr>
        <w:tc>
          <w:tcPr>
            <w:tcW w:w="11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4" w:type="dxa"/>
            <w:vAlign w:val="top"/>
          </w:tcPr>
          <w:p>
            <w:pPr>
              <w:spacing w:before="66" w:line="219" w:lineRule="auto"/>
              <w:ind w:left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植物提取液</w:t>
            </w:r>
          </w:p>
        </w:tc>
        <w:tc>
          <w:tcPr>
            <w:tcW w:w="28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https://d.book118.com/358020057133006032</w:t>
        </w:r>
      </w:hyperlink>
    </w:p>
    <w:p/>
    <w:sectPr>
      <w:headerReference w:type="default" r:id="rId41"/>
      <w:footerReference w:type="default" r:id="rId42"/>
      <w:type w:val="nextPage"/>
      <w:pgSz w:w="11910" w:h="16840"/>
      <w:pgMar w:top="400" w:right="1385" w:bottom="1598" w:left="1435" w:header="0" w:footer="1459" w:gutter="0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right="283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1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1"/>
      <w:jc w:val="right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sz w:val="15"/>
        <w:szCs w:val="15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265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2" w:lineRule="auto"/>
      <w:ind w:right="265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4"/>
      <w:jc w:val="right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sz w:val="13"/>
        <w:szCs w:val="13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44"/>
      <w:jc w:val="right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sz w:val="13"/>
        <w:szCs w:val="13"/>
      </w:rPr>
      <w:t>3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299"/>
      <w:jc w:val="right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sz w:val="13"/>
        <w:szCs w:val="13"/>
      </w:rPr>
      <w:t>4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5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right="305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34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3" w:lineRule="auto"/>
      <w:ind w:right="334"/>
      <w:jc w:val="right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12" w:lineRule="exact"/>
      <w:jc w:val="right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DB65/</w:t>
    </w:r>
    <w:r>
      <w:rPr>
        <w:rFonts w:ascii="Arial" w:eastAsia="Arial" w:hAnsi="Arial" w:cs="Arial"/>
        <w:spacing w:val="9"/>
        <w:position w:val="-2"/>
        <w:sz w:val="15"/>
        <w:szCs w:val="15"/>
      </w:rPr>
      <w:t xml:space="preserve">     </w:t>
    </w: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T</w:t>
    </w:r>
    <w:r>
      <w:rPr>
        <w:rFonts w:ascii="Arial" w:eastAsia="Arial" w:hAnsi="Arial" w:cs="Arial"/>
        <w:spacing w:val="7"/>
        <w:position w:val="-2"/>
        <w:sz w:val="15"/>
        <w:szCs w:val="15"/>
      </w:rPr>
      <w:t xml:space="preserve">     </w:t>
    </w: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4186—2019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12" w:lineRule="exact"/>
      <w:jc w:val="right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DB65/</w:t>
    </w:r>
    <w:r>
      <w:rPr>
        <w:rFonts w:ascii="Arial" w:eastAsia="Arial" w:hAnsi="Arial" w:cs="Arial"/>
        <w:spacing w:val="9"/>
        <w:position w:val="-2"/>
        <w:sz w:val="15"/>
        <w:szCs w:val="15"/>
      </w:rPr>
      <w:t xml:space="preserve">     </w:t>
    </w: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T</w:t>
    </w:r>
    <w:r>
      <w:rPr>
        <w:rFonts w:ascii="Arial" w:eastAsia="Arial" w:hAnsi="Arial" w:cs="Arial"/>
        <w:spacing w:val="7"/>
        <w:position w:val="-2"/>
        <w:sz w:val="15"/>
        <w:szCs w:val="15"/>
      </w:rPr>
      <w:t xml:space="preserve">     </w:t>
    </w:r>
    <w:r>
      <w:rPr>
        <w:rFonts w:ascii="Arial" w:eastAsia="Arial" w:hAnsi="Arial" w:cs="Arial"/>
        <w:b/>
        <w:bCs/>
        <w:spacing w:val="-2"/>
        <w:position w:val="-2"/>
        <w:sz w:val="15"/>
        <w:szCs w:val="15"/>
      </w:rPr>
      <w:t>4186—2019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4.xml" /><Relationship Id="rId12" Type="http://schemas.openxmlformats.org/officeDocument/2006/relationships/hyperlink" Target="https://10.1.2.1" TargetMode="External" /><Relationship Id="rId13" Type="http://schemas.openxmlformats.org/officeDocument/2006/relationships/header" Target="header4.xml" /><Relationship Id="rId14" Type="http://schemas.openxmlformats.org/officeDocument/2006/relationships/footer" Target="footer5.xml" /><Relationship Id="rId15" Type="http://schemas.openxmlformats.org/officeDocument/2006/relationships/hyperlink" Target="https://10.1.2.2" TargetMode="External" /><Relationship Id="rId16" Type="http://schemas.openxmlformats.org/officeDocument/2006/relationships/hyperlink" Target="https://10.2.1.1" TargetMode="External" /><Relationship Id="rId17" Type="http://schemas.openxmlformats.org/officeDocument/2006/relationships/hyperlink" Target="https://10.2.1.2" TargetMode="External" /><Relationship Id="rId18" Type="http://schemas.openxmlformats.org/officeDocument/2006/relationships/hyperlink" Target="https://10.2.1.3" TargetMode="External" /><Relationship Id="rId19" Type="http://schemas.openxmlformats.org/officeDocument/2006/relationships/hyperlink" Target="https://10.2.2.1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10.2.2.2" TargetMode="External" /><Relationship Id="rId21" Type="http://schemas.openxmlformats.org/officeDocument/2006/relationships/hyperlink" Target="https://10.2.2.3" TargetMode="External" /><Relationship Id="rId22" Type="http://schemas.openxmlformats.org/officeDocument/2006/relationships/hyperlink" Target="https://10.3.2.1" TargetMode="External" /><Relationship Id="rId23" Type="http://schemas.openxmlformats.org/officeDocument/2006/relationships/hyperlink" Target="https://10.3.2.2" TargetMode="External" /><Relationship Id="rId24" Type="http://schemas.openxmlformats.org/officeDocument/2006/relationships/header" Target="header5.xml" /><Relationship Id="rId25" Type="http://schemas.openxmlformats.org/officeDocument/2006/relationships/footer" Target="footer6.xml" /><Relationship Id="rId26" Type="http://schemas.openxmlformats.org/officeDocument/2006/relationships/header" Target="header6.xml" /><Relationship Id="rId27" Type="http://schemas.openxmlformats.org/officeDocument/2006/relationships/footer" Target="footer7.xml" /><Relationship Id="rId28" Type="http://schemas.openxmlformats.org/officeDocument/2006/relationships/hyperlink" Target="https://13.2.1.1" TargetMode="External" /><Relationship Id="rId29" Type="http://schemas.openxmlformats.org/officeDocument/2006/relationships/hyperlink" Target="https://13.2.1.2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13.2.3.1" TargetMode="External" /><Relationship Id="rId31" Type="http://schemas.openxmlformats.org/officeDocument/2006/relationships/hyperlink" Target="https://13.2.3.2" TargetMode="External" /><Relationship Id="rId32" Type="http://schemas.openxmlformats.org/officeDocument/2006/relationships/header" Target="header7.xml" /><Relationship Id="rId33" Type="http://schemas.openxmlformats.org/officeDocument/2006/relationships/footer" Target="footer8.xml" /><Relationship Id="rId34" Type="http://schemas.openxmlformats.org/officeDocument/2006/relationships/header" Target="header8.xml" /><Relationship Id="rId35" Type="http://schemas.openxmlformats.org/officeDocument/2006/relationships/footer" Target="footer9.xml" /><Relationship Id="rId36" Type="http://schemas.openxmlformats.org/officeDocument/2006/relationships/header" Target="header9.xml" /><Relationship Id="rId37" Type="http://schemas.openxmlformats.org/officeDocument/2006/relationships/footer" Target="footer10.xml" /><Relationship Id="rId38" Type="http://schemas.openxmlformats.org/officeDocument/2006/relationships/header" Target="header10.xml" /><Relationship Id="rId39" Type="http://schemas.openxmlformats.org/officeDocument/2006/relationships/footer" Target="footer11.xml" /><Relationship Id="rId4" Type="http://schemas.openxmlformats.org/officeDocument/2006/relationships/image" Target="media/image1.jpeg" /><Relationship Id="rId40" Type="http://schemas.openxmlformats.org/officeDocument/2006/relationships/hyperlink" Target="https://d.book118.com/358020057133006032" TargetMode="External" /><Relationship Id="rId41" Type="http://schemas.openxmlformats.org/officeDocument/2006/relationships/header" Target="header11.xml" /><Relationship Id="rId42" Type="http://schemas.openxmlformats.org/officeDocument/2006/relationships/footer" Target="footer12.xm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2023-05-19T11:18:14Z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2023-05-19T11:18:18Z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6466ea65fa57af001ff0e90d</vt:lpwstr>
  </property>
</Properties>
</file>