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9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IT</w:t>
      </w:r>
      <w:r>
        <w:rPr>
          <w:rFonts w:ascii="SimSun" w:eastAsia="SimSun" w:hAnsi="SimSun" w:cs="SimSun"/>
          <w:spacing w:val="-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SimSun" w:eastAsia="SimSun" w:hAnsi="SimSun" w:cs="SimSun"/>
          <w:spacing w:val="-14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靶材项目商业计划书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6813577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(二)、IT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O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靶材项目总平面设计要求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ITO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靶材项目概论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)、ITO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靶材项目承办单位基本情况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(二)、ITO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靶材项目概况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(三)、ITO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靶材项目评价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)、ITO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靶材项目建设期原辅材料供应情况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)、ITO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靶材项目运营期原辅材料供应及质量管理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ITO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靶材项目选址说明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一)、ITO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靶材项目选址原则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二)、ITO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靶材项目选址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ITO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靶材项目建设背景及必要性分析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二)、社会责任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ITO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靶材项目与计划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756475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三)、ITO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靶材项目对环境的主要影响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547598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本</w:t>
      </w:r>
      <w:r>
        <w:rPr>
          <w:rFonts w:ascii="FangSong" w:eastAsia="FangSong" w:hAnsi="FangSong" w:cs="FangSong"/>
          <w:spacing w:val="-12"/>
          <w:sz w:val="28"/>
          <w:szCs w:val="28"/>
        </w:rPr>
        <w:t>项目商业计划书是一个系统性的文档，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旨在规范和指导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材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项目的实施过程。本方案的开展将包括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4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9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</w:t>
      </w:r>
      <w:r>
        <w:rPr>
          <w:rFonts w:ascii="FangSong" w:eastAsia="FangSong" w:hAnsi="FangSong" w:cs="FangSong"/>
          <w:spacing w:val="-3"/>
          <w:sz w:val="28"/>
          <w:szCs w:val="28"/>
        </w:rPr>
        <w:t>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靶材项目的建筑工程设计过程中，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计原则，</w:t>
      </w:r>
      <w:r>
        <w:rPr>
          <w:rFonts w:ascii="FangSong" w:eastAsia="FangSong" w:hAnsi="FangSong" w:cs="FangSong"/>
          <w:spacing w:val="-7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ITO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靶材项目的可持续发展和建筑结构的安全性：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9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ITO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靶材项目总平面设计要求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材项目总平面设计将充分考虑以下要求，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定</w:t>
      </w:r>
      <w:r>
        <w:rPr>
          <w:rFonts w:ascii="FangSong" w:eastAsia="FangSong" w:hAnsi="FangSong" w:cs="FangSong"/>
          <w:spacing w:val="-9"/>
          <w:sz w:val="28"/>
          <w:szCs w:val="28"/>
        </w:rPr>
        <w:t>，适应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靶材项目的实际使用需要。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靶材项目所处地区的地质条件和地震风险，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靶材项目的实际需求和环境条件，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筑工程的设计总体要求是确保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确</w:t>
      </w:r>
      <w:r>
        <w:rPr>
          <w:rFonts w:ascii="FangSong" w:eastAsia="FangSong" w:hAnsi="FangSong" w:cs="FangSong"/>
          <w:spacing w:val="-13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靶材项目需求，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能够</w:t>
      </w:r>
      <w:r>
        <w:rPr>
          <w:rFonts w:ascii="FangSong" w:eastAsia="FangSong" w:hAnsi="FangSong" w:cs="FangSong"/>
          <w:spacing w:val="-12"/>
          <w:sz w:val="28"/>
          <w:szCs w:val="28"/>
        </w:rPr>
        <w:t>达</w:t>
      </w:r>
      <w:r>
        <w:rPr>
          <w:rFonts w:ascii="FangSong" w:eastAsia="FangSong" w:hAnsi="FangSong" w:cs="FangSong"/>
          <w:spacing w:val="-7"/>
          <w:sz w:val="28"/>
          <w:szCs w:val="28"/>
        </w:rPr>
        <w:t>到高标准，满足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靶材项目规划的总建筑面积为XXXX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充分考虑到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靶</w:t>
      </w:r>
      <w:r>
        <w:rPr>
          <w:rFonts w:ascii="FangSong" w:eastAsia="FangSong" w:hAnsi="FangSong" w:cs="FangSong"/>
          <w:spacing w:val="-2"/>
          <w:sz w:val="28"/>
          <w:szCs w:val="28"/>
        </w:rPr>
        <w:t>材项目的功能布局和需求，确保各功能区域得到合理的利用。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靶材项目总投资比例：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ITO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靶材项目总投资的比例为XX%，在整体投资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2"/>
          <w:sz w:val="28"/>
          <w:szCs w:val="28"/>
        </w:rPr>
        <w:t>满足未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ITO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靶材项目运营的需求，同时避免了过度浪费。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注</w:t>
      </w:r>
      <w:r>
        <w:rPr>
          <w:rFonts w:ascii="FangSong" w:eastAsia="FangSong" w:hAnsi="FangSong" w:cs="FangSong"/>
          <w:spacing w:val="-19"/>
          <w:sz w:val="28"/>
          <w:szCs w:val="28"/>
        </w:rPr>
        <w:t>重</w:t>
      </w:r>
      <w:r>
        <w:rPr>
          <w:rFonts w:ascii="FangSong" w:eastAsia="FangSong" w:hAnsi="FangSong" w:cs="FangSong"/>
          <w:spacing w:val="-11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靶材项目概论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一)、ITO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靶材项目承办单位基本情况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靶材项目概况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ITO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靶材项目名称：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ITO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靶材项目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ITO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靶材项目类型：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ITO</w:t>
      </w:r>
      <w:r>
        <w:rPr>
          <w:rFonts w:ascii="FangSong" w:eastAsia="FangSong" w:hAnsi="FangSong" w:cs="FangSong"/>
          <w:spacing w:val="-2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靶材项目地点：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ITO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靶材项目规模：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7"/>
          <w:sz w:val="28"/>
          <w:szCs w:val="28"/>
        </w:rPr>
        <w:t>投资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年产值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</w:t>
      </w:r>
      <w:r>
        <w:rPr>
          <w:rFonts w:ascii="FangSong" w:eastAsia="FangSong" w:hAnsi="FangSong" w:cs="FangSong"/>
          <w:spacing w:val="-20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靶材项目周期：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建设期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年</w:t>
      </w:r>
    </w:p>
    <w:p>
      <w:pPr>
        <w:spacing w:before="287" w:line="416" w:lineRule="auto"/>
        <w:ind w:left="46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ITO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靶材项目背景：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ITO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靶材项目的建设旨在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靶材项目评价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ITO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靶材项目处于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ITO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靶材项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5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)、ITO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靶材项目建设期原辅材料供应情况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靶材项目的建设和运营过程中，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程顺利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行和产品质量稳定的重要环节。本章将详细探讨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靶</w:t>
      </w:r>
      <w:r>
        <w:rPr>
          <w:rFonts w:ascii="FangSong" w:eastAsia="FangSong" w:hAnsi="FangSong" w:cs="FangSong"/>
          <w:spacing w:val="-3"/>
          <w:sz w:val="28"/>
          <w:szCs w:val="28"/>
        </w:rPr>
        <w:t>材项目建设期原辅材料供应情况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靶材项目建设期间，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量有着</w:t>
      </w:r>
      <w:r>
        <w:rPr>
          <w:rFonts w:ascii="FangSong" w:eastAsia="FangSong" w:hAnsi="FangSong" w:cs="FangSong"/>
          <w:spacing w:val="-13"/>
          <w:sz w:val="28"/>
          <w:szCs w:val="28"/>
        </w:rPr>
        <w:t>直</w:t>
      </w:r>
      <w:r>
        <w:rPr>
          <w:rFonts w:ascii="FangSong" w:eastAsia="FangSong" w:hAnsi="FangSong" w:cs="FangSong"/>
          <w:spacing w:val="-7"/>
          <w:sz w:val="28"/>
          <w:szCs w:val="28"/>
        </w:rPr>
        <w:t>接的影响。下面是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靶材项目建设期原辅材料供应情况的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(二)、IT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靶材项目运营期原辅材料供应及质量管理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材项目进入运营期后，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样至关</w:t>
      </w:r>
      <w:r>
        <w:rPr>
          <w:rFonts w:ascii="FangSong" w:eastAsia="FangSong" w:hAnsi="FangSong" w:cs="FangSong"/>
          <w:spacing w:val="-9"/>
          <w:sz w:val="28"/>
          <w:szCs w:val="28"/>
        </w:rPr>
        <w:t>重</w:t>
      </w:r>
      <w:r>
        <w:rPr>
          <w:rFonts w:ascii="FangSong" w:eastAsia="FangSong" w:hAnsi="FangSong" w:cs="FangSong"/>
          <w:spacing w:val="-7"/>
          <w:sz w:val="28"/>
          <w:szCs w:val="28"/>
        </w:rPr>
        <w:t>要。下面是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靶材项目选址说明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一)、ITO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靶材项目选址原则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ITO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</w:t>
      </w:r>
      <w:r>
        <w:rPr>
          <w:rFonts w:ascii="FangSong" w:eastAsia="FangSong" w:hAnsi="FangSong" w:cs="FangSong"/>
          <w:spacing w:val="-5"/>
          <w:sz w:val="28"/>
          <w:szCs w:val="28"/>
        </w:rPr>
        <w:t>材项目选址必须与城乡建设总体规划保持一致，确保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ITO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靶材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目有望更好地融入城市发展大局，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优</w:t>
      </w:r>
      <w:r>
        <w:rPr>
          <w:rFonts w:ascii="FangSong" w:eastAsia="FangSong" w:hAnsi="FangSong" w:cs="FangSong"/>
          <w:spacing w:val="-8"/>
          <w:sz w:val="28"/>
          <w:szCs w:val="28"/>
        </w:rPr>
        <w:t>越的交通条件是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靶材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目建设的顺利进行。这有助于提高工程效率，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ITO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靶材项目选址应与当地大气污染防治、水资源利用以及自然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生态环</w:t>
      </w:r>
      <w:r>
        <w:rPr>
          <w:rFonts w:ascii="FangSong" w:eastAsia="FangSong" w:hAnsi="FangSong" w:cs="FangSong"/>
          <w:spacing w:val="-9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</w:t>
      </w:r>
      <w:r>
        <w:rPr>
          <w:rFonts w:ascii="FangSong" w:eastAsia="FangSong" w:hAnsi="FangSong" w:cs="FangSong"/>
          <w:spacing w:val="-20"/>
          <w:sz w:val="28"/>
          <w:szCs w:val="28"/>
        </w:rPr>
        <w:t>程</w:t>
      </w:r>
      <w:r>
        <w:rPr>
          <w:rFonts w:ascii="FangSong" w:eastAsia="FangSong" w:hAnsi="FangSong" w:cs="FangSong"/>
          <w:spacing w:val="-11"/>
          <w:sz w:val="28"/>
          <w:szCs w:val="28"/>
        </w:rPr>
        <w:t>中最大限度地减少对环境的影响，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pacing w:val="-9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靶材项目的实施过程中获得更多的理解和支持。</w:t>
      </w:r>
    </w:p>
    <w:p>
      <w:pPr>
        <w:spacing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靶材项目的长期成功和对社会的积极贡献。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靶材项目选址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在</w:t>
      </w:r>
      <w:r>
        <w:rPr>
          <w:rFonts w:ascii="FangSong" w:eastAsia="FangSong" w:hAnsi="FangSong" w:cs="FangSong"/>
          <w:spacing w:val="-15"/>
          <w:sz w:val="28"/>
          <w:szCs w:val="28"/>
        </w:rPr>
        <w:t>选择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ITO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靶材项目的地理位置时，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416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品的分销，为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靶材项目的顺利推进提供了有力支持。</w:t>
      </w:r>
    </w:p>
    <w:p>
      <w:pPr>
        <w:spacing w:before="287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20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惠等方面的支持。这将显著减轻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靶材项目的财务压力，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众</w:t>
      </w:r>
      <w:r>
        <w:rPr>
          <w:rFonts w:ascii="FangSong" w:eastAsia="FangSong" w:hAnsi="FangSong" w:cs="FangSong"/>
          <w:spacing w:val="-28"/>
          <w:sz w:val="28"/>
          <w:szCs w:val="28"/>
        </w:rPr>
        <w:t>多</w:t>
      </w:r>
      <w:r>
        <w:rPr>
          <w:rFonts w:ascii="FangSong" w:eastAsia="FangSong" w:hAnsi="FangSong" w:cs="FangSong"/>
          <w:spacing w:val="-16"/>
          <w:sz w:val="28"/>
          <w:szCs w:val="28"/>
        </w:rPr>
        <w:t>，形成了完善的产业链，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靶材项目提供了丰富的合作机会，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</w:t>
      </w:r>
      <w:r>
        <w:rPr>
          <w:rFonts w:ascii="FangSong" w:eastAsia="FangSong" w:hAnsi="FangSong" w:cs="FangSong"/>
          <w:spacing w:val="-5"/>
          <w:sz w:val="28"/>
          <w:szCs w:val="28"/>
        </w:rPr>
        <w:t>态</w:t>
      </w:r>
      <w:r>
        <w:rPr>
          <w:rFonts w:ascii="FangSong" w:eastAsia="FangSong" w:hAnsi="FangSong" w:cs="FangSong"/>
          <w:spacing w:val="-3"/>
          <w:sz w:val="28"/>
          <w:szCs w:val="28"/>
        </w:rPr>
        <w:t>环境的保护。选址处有利于建设绿色、环保型的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ITO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1" w:right="8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济技术开发区被视为未来经济发展的重要增长点。ITO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材</w:t>
      </w:r>
      <w:r>
        <w:rPr>
          <w:rFonts w:ascii="FangSong" w:eastAsia="FangSong" w:hAnsi="FangSong" w:cs="FangSong"/>
          <w:spacing w:val="-15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ITO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靶材项目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在长远的未来奠定坚实基础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4" w:line="414" w:lineRule="auto"/>
        <w:ind w:left="42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的合作，确保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ITO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靶</w:t>
      </w:r>
      <w:r>
        <w:rPr>
          <w:rFonts w:ascii="FangSong" w:eastAsia="FangSong" w:hAnsi="FangSong" w:cs="FangSong"/>
          <w:sz w:val="28"/>
          <w:szCs w:val="28"/>
        </w:rPr>
        <w:t>材项目的建设与运营与当地发展规划相协调，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靶材项目的成功提供全方位的支持。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材项目的成功实施不仅依赖于选址的地理位置，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用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1"/>
          <w:sz w:val="28"/>
          <w:szCs w:val="28"/>
        </w:rPr>
        <w:t>规划要求。这有助于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靶材项目在合规范围内进行建设，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7"/>
          <w:sz w:val="28"/>
          <w:szCs w:val="28"/>
        </w:rPr>
        <w:t>收、用地等方面的优惠政策。这为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我们将遵循严格的环境监测和保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56" w:hanging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2"/>
          <w:sz w:val="28"/>
          <w:szCs w:val="28"/>
        </w:rPr>
        <w:t>护</w:t>
      </w:r>
      <w:r>
        <w:rPr>
          <w:rFonts w:ascii="FangSong" w:eastAsia="FangSong" w:hAnsi="FangSong" w:cs="FangSong"/>
          <w:spacing w:val="-18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在不对周边环</w:t>
      </w:r>
      <w:r>
        <w:rPr>
          <w:rFonts w:ascii="FangSong" w:eastAsia="FangSong" w:hAnsi="FangSong" w:cs="FangSong"/>
          <w:spacing w:val="-2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材项目所在区域的安全设施完备，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安全</w:t>
      </w:r>
      <w:r>
        <w:rPr>
          <w:rFonts w:ascii="FangSong" w:eastAsia="FangSong" w:hAnsi="FangSong" w:cs="FangSong"/>
          <w:spacing w:val="-11"/>
          <w:sz w:val="28"/>
          <w:szCs w:val="28"/>
        </w:rPr>
        <w:t>系统。这为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靶材项目的安全运行提供了可靠的支持，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靶材项目提供了明确的建设方向，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都有具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和建筑密度范围内，以充分利用土地资源，提高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>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靶材项目效益。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1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明确</w:t>
      </w:r>
      <w:r>
        <w:rPr>
          <w:rFonts w:ascii="FangSong" w:eastAsia="FangSong" w:hAnsi="FangSong" w:cs="FangSong"/>
          <w:spacing w:val="-10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靶材项目的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36" w:firstLine="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9"/>
          <w:sz w:val="28"/>
          <w:szCs w:val="28"/>
        </w:rPr>
        <w:t>性质，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保持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IT</w:t>
      </w:r>
      <w:r>
        <w:rPr>
          <w:rFonts w:ascii="FangSong" w:eastAsia="FangSong" w:hAnsi="FangSong" w:cs="FangSong"/>
          <w:spacing w:val="-13"/>
          <w:sz w:val="28"/>
          <w:szCs w:val="28"/>
        </w:rPr>
        <w:t>O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材项目的合法性和可持续性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限</w:t>
      </w:r>
      <w:r>
        <w:rPr>
          <w:rFonts w:ascii="FangSong" w:eastAsia="FangSong" w:hAnsi="FangSong" w:cs="FangSong"/>
          <w:spacing w:val="-7"/>
          <w:sz w:val="28"/>
          <w:szCs w:val="28"/>
        </w:rPr>
        <w:t>。我们将严格按照规定的利用年限进行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自然</w:t>
      </w:r>
      <w:r>
        <w:rPr>
          <w:rFonts w:ascii="FangSong" w:eastAsia="FangSong" w:hAnsi="FangSong" w:cs="FangSong"/>
          <w:spacing w:val="-11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境，减小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20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自然保护原则，最大限度地保留周边自然环境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助</w:t>
      </w:r>
      <w:r>
        <w:rPr>
          <w:rFonts w:ascii="FangSong" w:eastAsia="FangSong" w:hAnsi="FangSong" w:cs="FangSong"/>
          <w:spacing w:val="-11"/>
          <w:sz w:val="28"/>
          <w:szCs w:val="28"/>
        </w:rPr>
        <w:t>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力</w:t>
      </w:r>
      <w:r>
        <w:rPr>
          <w:rFonts w:ascii="FangSong" w:eastAsia="FangSong" w:hAnsi="FangSong" w:cs="FangSong"/>
          <w:spacing w:val="-8"/>
          <w:sz w:val="28"/>
          <w:szCs w:val="28"/>
        </w:rPr>
        <w:t>于建设绿色、可持续的工业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ITO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靶</w:t>
      </w:r>
      <w:r>
        <w:rPr>
          <w:rFonts w:ascii="FangSong" w:eastAsia="FangSong" w:hAnsi="FangSong" w:cs="FangSong"/>
          <w:spacing w:val="-9"/>
          <w:sz w:val="28"/>
          <w:szCs w:val="28"/>
        </w:rPr>
        <w:t>材项目将积极融入当地社区，与周边居民建立和谐的关系。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靶材项目将在选址的基础上更好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我们将采取一系列创新性的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189" w:firstLine="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6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1" w:right="1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1" w:line="411" w:lineRule="auto"/>
        <w:ind w:left="41" w:right="8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高建筑的垂直利用率。这一措施有助于减小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</w:t>
      </w:r>
      <w:r>
        <w:rPr>
          <w:rFonts w:ascii="FangSong" w:eastAsia="FangSong" w:hAnsi="FangSong" w:cs="FangSong"/>
          <w:spacing w:val="-7"/>
          <w:sz w:val="28"/>
          <w:szCs w:val="28"/>
        </w:rPr>
        <w:t>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靶材项目的占地面积，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</w:t>
      </w:r>
      <w:r>
        <w:rPr>
          <w:rFonts w:ascii="FangSong" w:eastAsia="FangSong" w:hAnsi="FangSong" w:cs="FangSong"/>
          <w:spacing w:val="-8"/>
          <w:sz w:val="28"/>
          <w:szCs w:val="28"/>
        </w:rPr>
        <w:t>材项目还将注重环境友好设计，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材</w:t>
      </w:r>
      <w:r>
        <w:rPr>
          <w:rFonts w:ascii="FangSong" w:eastAsia="FangSong" w:hAnsi="FangSong" w:cs="FangSong"/>
          <w:spacing w:val="-18"/>
          <w:sz w:val="28"/>
          <w:szCs w:val="28"/>
        </w:rPr>
        <w:t>料</w:t>
      </w:r>
      <w:r>
        <w:rPr>
          <w:rFonts w:ascii="FangSong" w:eastAsia="FangSong" w:hAnsi="FangSong" w:cs="FangSong"/>
          <w:spacing w:val="-11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还有助于提高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我们致力于实现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靶材项目整体布置中，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道</w:t>
      </w:r>
      <w:r>
        <w:rPr>
          <w:rFonts w:ascii="FangSong" w:eastAsia="FangSong" w:hAnsi="FangSong" w:cs="FangSong"/>
          <w:spacing w:val="-13"/>
          <w:sz w:val="28"/>
          <w:szCs w:val="28"/>
        </w:rPr>
        <w:t>，便于原材料运输和产品出货；办公区域靠近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靶材项目核心区，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方便管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和内外部沟通；休闲区和绿化区域分布在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靶材项目内外的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ITO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靶材项目区域内设置了一系列公共设施，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8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ITO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靶材项目总图中，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82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</w:t>
      </w:r>
      <w:r>
        <w:rPr>
          <w:rFonts w:ascii="FangSong" w:eastAsia="FangSong" w:hAnsi="FangSong" w:cs="FangSong"/>
          <w:spacing w:val="-6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靶材项目的两个核心功能区，我们通过合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确保原</w:t>
      </w:r>
      <w:r>
        <w:rPr>
          <w:rFonts w:ascii="FangSong" w:eastAsia="FangSong" w:hAnsi="FangSong" w:cs="FangSong"/>
          <w:spacing w:val="-9"/>
          <w:sz w:val="28"/>
          <w:szCs w:val="28"/>
        </w:rPr>
        <w:t>材</w:t>
      </w:r>
      <w:r>
        <w:rPr>
          <w:rFonts w:ascii="FangSong" w:eastAsia="FangSong" w:hAnsi="FangSong" w:cs="FangSong"/>
          <w:spacing w:val="-7"/>
          <w:sz w:val="28"/>
          <w:szCs w:val="28"/>
        </w:rPr>
        <w:t>料的顺畅运输和产品的高效配送。办公区则位于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目核心</w:t>
      </w:r>
      <w:r>
        <w:rPr>
          <w:rFonts w:ascii="FangSong" w:eastAsia="FangSong" w:hAnsi="FangSong" w:cs="FangSong"/>
          <w:spacing w:val="-6"/>
          <w:sz w:val="28"/>
          <w:szCs w:val="28"/>
        </w:rPr>
        <w:t>区，方便管理层对整个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ITO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靶材项目的监控与决策。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1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</w:t>
      </w: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8"/>
          <w:sz w:val="28"/>
          <w:szCs w:val="28"/>
        </w:rPr>
        <w:t>环</w:t>
      </w:r>
      <w:r>
        <w:rPr>
          <w:rFonts w:ascii="FangSong" w:eastAsia="FangSong" w:hAnsi="FangSong" w:cs="FangSong"/>
          <w:spacing w:val="-11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材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将环境保护区域规划在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靶材项目的一侧，集中处理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视</w:t>
      </w:r>
      <w:r>
        <w:rPr>
          <w:rFonts w:ascii="FangSong" w:eastAsia="FangSong" w:hAnsi="FangSong" w:cs="FangSong"/>
          <w:spacing w:val="-17"/>
          <w:sz w:val="28"/>
          <w:szCs w:val="28"/>
        </w:rPr>
        <w:t>觉</w:t>
      </w:r>
      <w:r>
        <w:rPr>
          <w:rFonts w:ascii="FangSong" w:eastAsia="FangSong" w:hAnsi="FangSong" w:cs="FangSong"/>
          <w:spacing w:val="-11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符</w:t>
      </w:r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可持续发展的理念，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八个设计要点共同构成了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靶材项目总图布置方案的核心，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20"/>
          <w:sz w:val="28"/>
          <w:szCs w:val="28"/>
        </w:rPr>
        <w:t>保</w:t>
      </w:r>
      <w:r>
        <w:rPr>
          <w:rFonts w:ascii="FangSong" w:eastAsia="FangSong" w:hAnsi="FangSong" w:cs="FangSong"/>
          <w:spacing w:val="-11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靶材项目在各个方面都能够取得良好的平衡，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靶材项目选址位于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ITO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靶材项目选址规划中特别考虑了环保区域，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弃物</w:t>
      </w:r>
      <w:r>
        <w:rPr>
          <w:rFonts w:ascii="FangSong" w:eastAsia="FangSong" w:hAnsi="FangSong" w:cs="FangSong"/>
          <w:spacing w:val="-16"/>
          <w:sz w:val="28"/>
          <w:szCs w:val="28"/>
        </w:rPr>
        <w:t>和</w:t>
      </w:r>
      <w:r>
        <w:rPr>
          <w:rFonts w:ascii="FangSong" w:eastAsia="FangSong" w:hAnsi="FangSong" w:cs="FangSong"/>
          <w:spacing w:val="-11"/>
          <w:sz w:val="28"/>
          <w:szCs w:val="28"/>
        </w:rPr>
        <w:t>废水，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ITO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靶材项目选址的用地控制指标与相关规划相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满</w:t>
      </w:r>
      <w:r>
        <w:rPr>
          <w:rFonts w:ascii="FangSong" w:eastAsia="FangSong" w:hAnsi="FangSong" w:cs="FangSong"/>
          <w:spacing w:val="-20"/>
          <w:sz w:val="28"/>
          <w:szCs w:val="28"/>
        </w:rPr>
        <w:t>足</w:t>
      </w:r>
      <w:r>
        <w:rPr>
          <w:rFonts w:ascii="FangSong" w:eastAsia="FangSong" w:hAnsi="FangSong" w:cs="FangSong"/>
          <w:spacing w:val="-11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>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靶材项目选址周边进行了社区和周边环境的调查，确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靶材项目建设不会对周边社区造成过大的影响，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29" w:firstLine="989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z w:val="28"/>
          <w:szCs w:val="28"/>
        </w:rPr>
        <w:t>ITO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靶材项目选址时，我们充分考虑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确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靶材项目的合法性和稳健性。对政府支持政策和法规的遵从，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pacing w:val="-13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ITO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靶材项目在当地获得更多支持。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0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ITO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靶材项目选址的各项因素，我们认为该选址有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望为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靶材项目带来更多的发展机遇。与周边的产业和社会环境相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7"/>
          <w:sz w:val="28"/>
          <w:szCs w:val="28"/>
        </w:rPr>
        <w:t>合，该选址将有助于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ITO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靶材项目实现可持续发展。</w:t>
      </w:r>
    </w:p>
    <w:p>
      <w:pPr>
        <w:spacing w:before="2" w:line="415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靶材项目选址的合理性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可行性，为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ITO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靶材项目的后续规划和实施提供了坚实的基础。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ITO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材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9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4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社</w:t>
      </w:r>
      <w:r>
        <w:rPr>
          <w:rFonts w:ascii="FangSong" w:eastAsia="FangSong" w:hAnsi="FangSong" w:cs="FangSong"/>
          <w:spacing w:val="-12"/>
          <w:sz w:val="28"/>
          <w:szCs w:val="28"/>
        </w:rPr>
        <w:t>会</w:t>
      </w:r>
      <w:r>
        <w:rPr>
          <w:rFonts w:ascii="FangSong" w:eastAsia="FangSong" w:hAnsi="FangSong" w:cs="FangSong"/>
          <w:spacing w:val="-9"/>
          <w:sz w:val="28"/>
          <w:szCs w:val="28"/>
        </w:rPr>
        <w:t>责任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靶材项目与计划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二)、社会责任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ITO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靶材项目与计划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扶贫帮困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与</w:t>
      </w:r>
      <w:r>
        <w:rPr>
          <w:rFonts w:ascii="FangSong" w:eastAsia="FangSong" w:hAnsi="FangSong" w:cs="FangSong"/>
          <w:spacing w:val="-16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开展扶贫帮困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靶材项目，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资于社区环境改善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ITO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靶材项目，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包括植树造林、垃圾分类与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推动生产方式向更环保、低碳的方向发展，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284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社</w:t>
      </w:r>
      <w:r>
        <w:rPr>
          <w:rFonts w:ascii="FangSong" w:eastAsia="FangSong" w:hAnsi="FangSong" w:cs="FangSong"/>
          <w:spacing w:val="-11"/>
          <w:sz w:val="28"/>
          <w:szCs w:val="28"/>
        </w:rPr>
        <w:t>会公益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ITO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靶材项目</w:t>
      </w:r>
    </w:p>
    <w:p>
      <w:pPr>
        <w:spacing w:before="287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积</w:t>
      </w:r>
      <w:r>
        <w:rPr>
          <w:rFonts w:ascii="FangSong" w:eastAsia="FangSong" w:hAnsi="FangSong" w:cs="FangSong"/>
          <w:spacing w:val="-16"/>
          <w:sz w:val="28"/>
          <w:szCs w:val="28"/>
        </w:rPr>
        <w:t>极参与社会公益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ITO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靶材项目，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投入力量改善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https://d.book118.com/358022042127006045</w:t>
        </w:r>
      </w:hyperlink>
    </w:p>
    <w:p/>
    <w:sectPr>
      <w:pgSz w:w="11906" w:h="16839"/>
      <w:pgMar w:top="1431" w:right="1785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58022042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2024-03-14T07:56:07Z</vt:filetime>
  </property>
  <property fmtid="{D5CDD505-2E9C-101B-9397-08002B2CF9AE}" pid="3" name="CRO">
    <vt:lpwstr>wqlLaW5nc29mdCBQREYgdG8gV1BTIDgw</vt:lpwstr>
  </property>
</Properties>
</file>