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85" w:lineRule="auto"/>
        <w:rPr>
          <w:rFonts w:ascii="Arial"/>
          <w:sz w:val="21"/>
        </w:rPr>
      </w:pPr>
      <w:r>
        <w:pict>
          <v:rect id="_x0000_s1025" style="width:409.55pt;height:13.7pt;margin-top:145.1pt;margin-left:90.02pt;mso-position-horizontal-relative:page;mso-position-vertical-relative:page;position:absolute;z-index:251658240" o:allowincell="f" filled="t" fillcolor="#e5e5e5" stroked="f"/>
        </w:pict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993775</wp:posOffset>
            </wp:positionV>
            <wp:extent cx="1551304" cy="553084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1304" cy="553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6" w:lineRule="auto"/>
        <w:rPr>
          <w:rFonts w:ascii="Arial"/>
          <w:sz w:val="21"/>
        </w:rPr>
      </w:pPr>
    </w:p>
    <w:p>
      <w:pPr>
        <w:spacing w:before="140" w:line="178" w:lineRule="auto"/>
        <w:ind w:left="2762"/>
        <w:rPr>
          <w:rFonts w:ascii="LiSu" w:eastAsia="LiSu" w:hAnsi="LiSu" w:cs="LiSu"/>
          <w:sz w:val="43"/>
          <w:szCs w:val="43"/>
        </w:rPr>
      </w:pP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行</w:t>
      </w:r>
      <w:r>
        <w:rPr>
          <w:rFonts w:ascii="LiSu" w:eastAsia="LiSu" w:hAnsi="LiSu" w:cs="LiSu"/>
          <w:spacing w:val="94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业</w:t>
      </w:r>
      <w:r>
        <w:rPr>
          <w:rFonts w:ascii="LiSu" w:eastAsia="LiSu" w:hAnsi="LiSu" w:cs="LiSu"/>
          <w:spacing w:val="91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季</w:t>
      </w:r>
      <w:r>
        <w:rPr>
          <w:rFonts w:ascii="LiSu" w:eastAsia="LiSu" w:hAnsi="LiSu" w:cs="LiSu"/>
          <w:spacing w:val="90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度</w:t>
      </w:r>
      <w:r>
        <w:rPr>
          <w:rFonts w:ascii="LiSu" w:eastAsia="LiSu" w:hAnsi="LiSu" w:cs="LiSu"/>
          <w:spacing w:val="84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分</w:t>
      </w:r>
      <w:r>
        <w:rPr>
          <w:rFonts w:ascii="LiSu" w:eastAsia="LiSu" w:hAnsi="LiSu" w:cs="LiSu"/>
          <w:spacing w:val="95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析</w:t>
      </w:r>
      <w:r>
        <w:rPr>
          <w:rFonts w:ascii="LiSu" w:eastAsia="LiSu" w:hAnsi="LiSu" w:cs="LiSu"/>
          <w:spacing w:val="83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LiSu" w:eastAsia="LiSu" w:hAnsi="LiSu" w:cs="LiSu"/>
          <w:spacing w:val="95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69" w:line="219" w:lineRule="auto"/>
        <w:ind w:left="1847"/>
        <w:outlineLvl w:val="0"/>
        <w:rPr>
          <w:rFonts w:ascii="SimHei" w:eastAsia="SimHei" w:hAnsi="SimHei" w:cs="SimHei"/>
          <w:sz w:val="52"/>
          <w:szCs w:val="52"/>
        </w:rPr>
      </w:pPr>
      <w:r>
        <w:rPr>
          <w:rFonts w:ascii="SimHei" w:eastAsia="SimHei" w:hAnsi="SimHei" w:cs="SimHei"/>
          <w:spacing w:val="-18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交</w:t>
      </w:r>
      <w:r>
        <w:rPr>
          <w:rFonts w:ascii="SimHei" w:eastAsia="SimHei" w:hAnsi="SimHei" w:cs="SimHei"/>
          <w:spacing w:val="11"/>
          <w:sz w:val="52"/>
          <w:szCs w:val="52"/>
        </w:rPr>
        <w:t xml:space="preserve">  </w:t>
      </w:r>
      <w:r>
        <w:rPr>
          <w:rFonts w:ascii="SimHei" w:eastAsia="SimHei" w:hAnsi="SimHei" w:cs="SimHei"/>
          <w:spacing w:val="-18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通</w:t>
      </w:r>
      <w:r>
        <w:rPr>
          <w:rFonts w:ascii="SimHei" w:eastAsia="SimHei" w:hAnsi="SimHei" w:cs="SimHei"/>
          <w:spacing w:val="14"/>
          <w:sz w:val="52"/>
          <w:szCs w:val="52"/>
        </w:rPr>
        <w:t xml:space="preserve">  </w:t>
      </w:r>
      <w:r>
        <w:rPr>
          <w:rFonts w:ascii="SimHei" w:eastAsia="SimHei" w:hAnsi="SimHei" w:cs="SimHei"/>
          <w:spacing w:val="-18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运</w:t>
      </w:r>
      <w:r>
        <w:rPr>
          <w:rFonts w:ascii="SimHei" w:eastAsia="SimHei" w:hAnsi="SimHei" w:cs="SimHei"/>
          <w:spacing w:val="12"/>
          <w:sz w:val="52"/>
          <w:szCs w:val="52"/>
        </w:rPr>
        <w:t xml:space="preserve">  </w:t>
      </w:r>
      <w:r>
        <w:rPr>
          <w:rFonts w:ascii="SimHei" w:eastAsia="SimHei" w:hAnsi="SimHei" w:cs="SimHei"/>
          <w:spacing w:val="-18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输</w:t>
      </w:r>
      <w:r>
        <w:rPr>
          <w:rFonts w:ascii="SimHei" w:eastAsia="SimHei" w:hAnsi="SimHei" w:cs="SimHei"/>
          <w:spacing w:val="13"/>
          <w:sz w:val="52"/>
          <w:szCs w:val="52"/>
        </w:rPr>
        <w:t xml:space="preserve">  </w:t>
      </w:r>
      <w:r>
        <w:rPr>
          <w:rFonts w:ascii="SimHei" w:eastAsia="SimHei" w:hAnsi="SimHei" w:cs="SimHei"/>
          <w:spacing w:val="-18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业</w:t>
      </w:r>
    </w:p>
    <w:p>
      <w:pPr>
        <w:spacing w:line="264" w:lineRule="auto"/>
        <w:rPr>
          <w:rFonts w:ascii="Arial"/>
          <w:sz w:val="21"/>
        </w:rPr>
      </w:pPr>
    </w:p>
    <w:p>
      <w:pPr>
        <w:spacing w:before="78" w:line="219" w:lineRule="auto"/>
        <w:ind w:left="3198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spacing w:val="-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（2023</w:t>
      </w:r>
      <w:r>
        <w:rPr>
          <w:rFonts w:ascii="SimHei" w:eastAsia="SimHei" w:hAnsi="SimHei" w:cs="SimHei"/>
          <w:spacing w:val="-50"/>
          <w:sz w:val="24"/>
          <w:szCs w:val="24"/>
        </w:rPr>
        <w:t xml:space="preserve"> </w:t>
      </w:r>
      <w:r>
        <w:rPr>
          <w:rFonts w:ascii="SimHei" w:eastAsia="SimHei" w:hAnsi="SimHei" w:cs="SimHei"/>
          <w:spacing w:val="-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年四季度）</w:t>
      </w:r>
    </w:p>
    <w:p>
      <w:pPr>
        <w:pStyle w:val="BodyText"/>
        <w:spacing w:before="263" w:line="220" w:lineRule="auto"/>
        <w:ind w:left="24"/>
        <w:rPr>
          <w:sz w:val="24"/>
          <w:szCs w:val="24"/>
        </w:rPr>
      </w:pPr>
      <w:r>
        <w:rPr>
          <w:spacing w:val="-2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要点提示</w:t>
      </w:r>
    </w:p>
    <w:p>
      <w:pPr>
        <w:pStyle w:val="BodyText"/>
        <w:spacing w:before="272" w:line="343" w:lineRule="auto"/>
        <w:ind w:left="442" w:right="16" w:hanging="410"/>
      </w:pPr>
      <w:r>
        <w:rPr>
          <w:rFonts w:ascii="Wingdings" w:eastAsia="Wingdings" w:hAnsi="Wingdings" w:cs="Wingdings"/>
          <w:spacing w:val="-4"/>
        </w:rPr>
        <w:sym w:font="Wingdings" w:char="F075"/>
      </w:r>
      <w:r>
        <w:rPr>
          <w:rFonts w:ascii="Wingdings" w:eastAsia="Wingdings" w:hAnsi="Wingdings" w:cs="Wingdings"/>
          <w:spacing w:val="-4"/>
        </w:rPr>
        <w:sym w:font="Wingdings" w:char="0020"/>
      </w:r>
      <w:r>
        <w:rPr>
          <w:spacing w:val="-4"/>
        </w:rPr>
        <w:t>2023</w:t>
      </w:r>
      <w:r>
        <w:rPr>
          <w:spacing w:val="-42"/>
        </w:rPr>
        <w:t xml:space="preserve"> </w:t>
      </w:r>
      <w:r>
        <w:rPr>
          <w:spacing w:val="-4"/>
        </w:rPr>
        <w:t>年四季度，地缘政治冲突不断、通胀居高不下、利率持续上升、金融脆弱性上升、</w:t>
      </w:r>
      <w:r>
        <w:t xml:space="preserve"> </w:t>
      </w:r>
      <w:r>
        <w:rPr>
          <w:spacing w:val="-5"/>
        </w:rPr>
        <w:t>极端天气加剧等风险因素对全球经济复苏形成重大挑战。同时， 随着</w:t>
      </w:r>
      <w:r>
        <w:rPr>
          <w:spacing w:val="-6"/>
        </w:rPr>
        <w:t>后疫情时代需求释</w:t>
      </w:r>
      <w:r>
        <w:t xml:space="preserve"> </w:t>
      </w:r>
      <w:r>
        <w:rPr>
          <w:spacing w:val="-5"/>
        </w:rPr>
        <w:t>放、新兴市场快速发展、技术产业创新突破等不断演进，</w:t>
      </w:r>
      <w:r>
        <w:rPr>
          <w:spacing w:val="-13"/>
        </w:rPr>
        <w:t xml:space="preserve"> </w:t>
      </w:r>
      <w:r>
        <w:rPr>
          <w:spacing w:val="-5"/>
        </w:rPr>
        <w:t>全球经济仍保持一定韧性，继</w:t>
      </w:r>
      <w:r>
        <w:t xml:space="preserve"> </w:t>
      </w:r>
      <w:r>
        <w:rPr>
          <w:spacing w:val="-1"/>
        </w:rPr>
        <w:t>续呈现弱势复苏态势。面对复杂严峻的国际环境和艰巨繁重的国内改革发展稳</w:t>
      </w:r>
      <w:r>
        <w:rPr>
          <w:spacing w:val="-2"/>
        </w:rPr>
        <w:t>定任务，</w:t>
      </w:r>
      <w:r>
        <w:t xml:space="preserve"> </w:t>
      </w:r>
      <w:r>
        <w:rPr>
          <w:spacing w:val="-6"/>
        </w:rPr>
        <w:t>我国加大宏观调控力度，</w:t>
      </w:r>
      <w:r>
        <w:rPr>
          <w:spacing w:val="-41"/>
        </w:rPr>
        <w:t xml:space="preserve"> </w:t>
      </w:r>
      <w:r>
        <w:rPr>
          <w:spacing w:val="-6"/>
        </w:rPr>
        <w:t>着力扩大内需、优化结构、提振信心、防范化解风险，</w:t>
      </w:r>
      <w:r>
        <w:rPr>
          <w:spacing w:val="-38"/>
        </w:rPr>
        <w:t xml:space="preserve"> </w:t>
      </w:r>
      <w:r>
        <w:rPr>
          <w:spacing w:val="-6"/>
        </w:rPr>
        <w:t>我国经</w:t>
      </w:r>
      <w:r>
        <w:t xml:space="preserve"> </w:t>
      </w:r>
      <w:r>
        <w:rPr>
          <w:spacing w:val="-4"/>
        </w:rPr>
        <w:t>济回升向好，供给需求稳步改善，转型升级积极推进，</w:t>
      </w:r>
      <w:r>
        <w:rPr>
          <w:spacing w:val="-39"/>
        </w:rPr>
        <w:t xml:space="preserve"> </w:t>
      </w:r>
      <w:r>
        <w:rPr>
          <w:spacing w:val="-4"/>
        </w:rPr>
        <w:t>高质</w:t>
      </w:r>
      <w:r>
        <w:rPr>
          <w:spacing w:val="-5"/>
        </w:rPr>
        <w:t>量发展扎实推进，主要预期</w:t>
      </w:r>
      <w:r>
        <w:t xml:space="preserve"> </w:t>
      </w:r>
      <w:r>
        <w:rPr>
          <w:spacing w:val="-9"/>
        </w:rPr>
        <w:t>目标圆满实现。</w:t>
      </w:r>
      <w:r>
        <w:rPr>
          <w:spacing w:val="-9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从交通运输行业来看，</w:t>
      </w:r>
      <w:r>
        <w:rPr>
          <w:spacing w:val="-9"/>
        </w:rPr>
        <w:t xml:space="preserve"> 进入</w:t>
      </w:r>
      <w:r>
        <w:rPr>
          <w:spacing w:val="-41"/>
        </w:rPr>
        <w:t xml:space="preserve"> </w:t>
      </w:r>
      <w:r>
        <w:rPr>
          <w:spacing w:val="-9"/>
        </w:rPr>
        <w:t>2023</w:t>
      </w:r>
      <w:r>
        <w:rPr>
          <w:spacing w:val="-43"/>
        </w:rPr>
        <w:t xml:space="preserve"> </w:t>
      </w:r>
      <w:r>
        <w:rPr>
          <w:spacing w:val="-9"/>
        </w:rPr>
        <w:t>年后，跨区域交通</w:t>
      </w:r>
      <w:r>
        <w:rPr>
          <w:spacing w:val="-10"/>
        </w:rPr>
        <w:t>运输管制全面放开，</w:t>
      </w:r>
      <w:r>
        <w:t xml:space="preserve">  </w:t>
      </w:r>
      <w:r>
        <w:rPr>
          <w:spacing w:val="-5"/>
        </w:rPr>
        <w:t>居民出行需求全面爆发，</w:t>
      </w:r>
      <w:r>
        <w:rPr>
          <w:spacing w:val="-12"/>
        </w:rPr>
        <w:t xml:space="preserve"> </w:t>
      </w:r>
      <w:r>
        <w:rPr>
          <w:spacing w:val="-5"/>
        </w:rPr>
        <w:t>内外贸运行状况趋于平稳，各地基础设施建设有序推进，企业</w:t>
      </w:r>
      <w:r>
        <w:t xml:space="preserve"> </w:t>
      </w:r>
      <w:r>
        <w:rPr>
          <w:spacing w:val="-5"/>
        </w:rPr>
        <w:t>生产经营状况逐步改善，</w:t>
      </w:r>
      <w:r>
        <w:rPr>
          <w:spacing w:val="-49"/>
        </w:rPr>
        <w:t xml:space="preserve"> </w:t>
      </w:r>
      <w:r>
        <w:rPr>
          <w:spacing w:val="-5"/>
        </w:rPr>
        <w:t>货物运输市场发展态势良好，</w:t>
      </w:r>
      <w:r>
        <w:rPr>
          <w:spacing w:val="-55"/>
        </w:rPr>
        <w:t xml:space="preserve"> </w:t>
      </w:r>
      <w:r>
        <w:rPr>
          <w:spacing w:val="-5"/>
        </w:rPr>
        <w:t>旅</w:t>
      </w:r>
      <w:r>
        <w:rPr>
          <w:spacing w:val="-6"/>
        </w:rPr>
        <w:t>客运输规模大幅增长，行业主</w:t>
      </w:r>
      <w:r>
        <w:t xml:space="preserve"> </w:t>
      </w:r>
      <w:r>
        <w:rPr>
          <w:spacing w:val="-3"/>
        </w:rPr>
        <w:t>要总量指标保持在较高水平，为稳定宏观经济大盘、保持经济运行在合理区间作出了极</w:t>
      </w:r>
    </w:p>
    <w:p>
      <w:pPr>
        <w:pStyle w:val="BodyText"/>
        <w:spacing w:line="221" w:lineRule="auto"/>
        <w:ind w:left="445"/>
      </w:pPr>
      <w:r>
        <w:rPr>
          <w:spacing w:val="-2"/>
        </w:rPr>
        <w:t>大贡献。</w:t>
      </w:r>
    </w:p>
    <w:p>
      <w:pPr>
        <w:pStyle w:val="BodyText"/>
        <w:spacing w:before="294" w:line="343" w:lineRule="auto"/>
        <w:ind w:left="440" w:right="71" w:hanging="408"/>
      </w:pPr>
      <w:r>
        <w:rPr>
          <w:rFonts w:ascii="Wingdings" w:eastAsia="Wingdings" w:hAnsi="Wingdings" w:cs="Wingdings"/>
        </w:rPr>
        <w:sym w:font="Wingdings" w:char="F075"/>
      </w:r>
      <w:r>
        <w:rPr>
          <w:rFonts w:ascii="Wingdings" w:eastAsia="Wingdings" w:hAnsi="Wingdings" w:cs="Wingdings"/>
        </w:rPr>
        <w:sym w:font="Wingdings" w:char="0020"/>
      </w:r>
      <w:r>
        <w:t>2023 年四季度，交通运输部、民用航空局等相关部门继续出台政策以确保行业健</w:t>
      </w:r>
      <w:r>
        <w:rPr>
          <w:spacing w:val="-1"/>
        </w:rPr>
        <w:t>康有</w:t>
      </w:r>
      <w:r>
        <w:t xml:space="preserve"> </w:t>
      </w:r>
      <w:r>
        <w:rPr>
          <w:spacing w:val="-3"/>
        </w:rPr>
        <w:t>序发展。为加快补齐我国现代航运服务业短板，推动要素集聚发展，交通运输部联合多</w:t>
      </w:r>
      <w:r>
        <w:rPr>
          <w:spacing w:val="18"/>
        </w:rPr>
        <w:t xml:space="preserve"> </w:t>
      </w:r>
      <w:r>
        <w:rPr>
          <w:spacing w:val="-4"/>
        </w:rPr>
        <w:t>部门印发了《关于加快推进现代航运服务业高质量发展的指导意见》；</w:t>
      </w:r>
      <w:r>
        <w:rPr>
          <w:spacing w:val="-44"/>
        </w:rPr>
        <w:t xml:space="preserve"> </w:t>
      </w:r>
      <w:r>
        <w:rPr>
          <w:spacing w:val="-4"/>
        </w:rPr>
        <w:t>为进</w:t>
      </w:r>
      <w:r>
        <w:rPr>
          <w:spacing w:val="-5"/>
        </w:rPr>
        <w:t>一步明确推</w:t>
      </w:r>
      <w:r>
        <w:t xml:space="preserve"> </w:t>
      </w:r>
      <w:r>
        <w:rPr>
          <w:spacing w:val="-3"/>
        </w:rPr>
        <w:t>进农村客货邮融合的发展思路和实施路径，加快推进农村客货邮融合发展，交通运输部</w:t>
      </w:r>
      <w:r>
        <w:rPr>
          <w:spacing w:val="18"/>
        </w:rPr>
        <w:t xml:space="preserve"> </w:t>
      </w:r>
      <w:r>
        <w:rPr>
          <w:spacing w:val="-3"/>
        </w:rPr>
        <w:t>联合工信部、商务部、农业农村部、国家邮政局等单位联合发布了《关于加快推进农村</w:t>
      </w:r>
      <w:r>
        <w:rPr>
          <w:spacing w:val="18"/>
        </w:rPr>
        <w:t xml:space="preserve"> </w:t>
      </w:r>
      <w:r>
        <w:rPr>
          <w:spacing w:val="-6"/>
        </w:rPr>
        <w:t>客货邮融合发展的指导意见》；</w:t>
      </w:r>
      <w:r>
        <w:rPr>
          <w:spacing w:val="-28"/>
        </w:rPr>
        <w:t xml:space="preserve"> </w:t>
      </w:r>
      <w:r>
        <w:rPr>
          <w:spacing w:val="-6"/>
        </w:rPr>
        <w:t>为加快推进智慧港口和智慧航道建设，</w:t>
      </w:r>
      <w:r>
        <w:rPr>
          <w:spacing w:val="-50"/>
        </w:rPr>
        <w:t xml:space="preserve"> </w:t>
      </w:r>
      <w:r>
        <w:rPr>
          <w:spacing w:val="-6"/>
        </w:rPr>
        <w:t>交通运输部印发</w:t>
      </w:r>
      <w:r>
        <w:t xml:space="preserve"> </w:t>
      </w:r>
      <w:r>
        <w:rPr>
          <w:spacing w:val="-7"/>
        </w:rPr>
        <w:t>了《关于加快智慧港口和智慧航道建设的意见》； 为加快打造“干支通，</w:t>
      </w:r>
      <w:r>
        <w:rPr>
          <w:spacing w:val="-33"/>
        </w:rPr>
        <w:t xml:space="preserve"> </w:t>
      </w:r>
      <w:r>
        <w:rPr>
          <w:spacing w:val="-7"/>
        </w:rPr>
        <w:t>全网联”航线</w:t>
      </w:r>
    </w:p>
    <w:p>
      <w:pPr>
        <w:pStyle w:val="BodyText"/>
        <w:spacing w:before="1" w:line="219" w:lineRule="auto"/>
        <w:ind w:left="459"/>
      </w:pPr>
      <w:r>
        <w:rPr>
          <w:spacing w:val="-8"/>
        </w:rPr>
        <w:t>网络， 民航局发布了《通用航空短途运输管理暂行办法》</w:t>
      </w:r>
      <w:r>
        <w:rPr>
          <w:spacing w:val="-15"/>
        </w:rPr>
        <w:t xml:space="preserve"> </w:t>
      </w:r>
      <w:r>
        <w:rPr>
          <w:spacing w:val="-8"/>
        </w:rPr>
        <w:t>。</w:t>
      </w:r>
    </w:p>
    <w:p>
      <w:pPr>
        <w:pStyle w:val="BodyText"/>
        <w:spacing w:before="297" w:line="343" w:lineRule="auto"/>
        <w:ind w:left="442" w:hanging="410"/>
        <w:sectPr>
          <w:footerReference w:type="default" r:id="rId5"/>
          <w:pgSz w:w="11907" w:h="16839"/>
          <w:pgMar w:top="1431" w:right="1721" w:bottom="1140" w:left="1785" w:header="0" w:footer="962" w:gutter="0"/>
          <w:cols w:space="708"/>
        </w:sectPr>
      </w:pPr>
      <w:r>
        <w:rPr>
          <w:rFonts w:ascii="Wingdings" w:eastAsia="Wingdings" w:hAnsi="Wingdings" w:cs="Wingdings"/>
          <w:spacing w:val="-6"/>
        </w:rPr>
        <w:sym w:font="Wingdings" w:char="F075"/>
      </w:r>
      <w:r>
        <w:rPr>
          <w:rFonts w:ascii="Wingdings" w:eastAsia="Wingdings" w:hAnsi="Wingdings" w:cs="Wingdings"/>
          <w:spacing w:val="-6"/>
        </w:rPr>
        <w:sym w:font="Wingdings" w:char="0020"/>
      </w:r>
      <w:r>
        <w:rPr>
          <w:spacing w:val="-6"/>
        </w:rPr>
        <w:t>2023 年， 交通运输业运行呈现以下特点</w:t>
      </w:r>
      <w:r>
        <w:rPr>
          <w:spacing w:val="-7"/>
        </w:rPr>
        <w:t>：</w:t>
      </w: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投资方面，</w:t>
      </w:r>
      <w:r>
        <w:rPr>
          <w:spacing w:val="63"/>
        </w:rPr>
        <w:t xml:space="preserve"> </w:t>
      </w:r>
      <w:r>
        <w:rPr>
          <w:spacing w:val="-7"/>
        </w:rPr>
        <w:t xml:space="preserve">交通运输行业固定资产投资增速 </w:t>
      </w:r>
      <w:r>
        <w:rPr>
          <w:spacing w:val="-3"/>
        </w:rPr>
        <w:t>保持两位数增长，继续高于全国固定资产投资增速。其中</w:t>
      </w:r>
      <w:r>
        <w:rPr>
          <w:spacing w:val="-4"/>
        </w:rPr>
        <w:t>， 铁路运输业、水路运输业、</w:t>
      </w:r>
      <w:r>
        <w:t xml:space="preserve"> </w:t>
      </w:r>
    </w:p>
    <w:p>
      <w:pPr>
        <w:pStyle w:val="BodyText"/>
        <w:spacing w:before="297" w:line="343" w:lineRule="auto"/>
        <w:ind w:left="442" w:hanging="410"/>
      </w:pPr>
      <w:r>
        <w:rPr>
          <w:spacing w:val="-3"/>
        </w:rPr>
        <w:t>航空运输业固定资产投资均保持不同程度增长，公路运输业固定资产投资有所下降。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货</w:t>
      </w:r>
      <w:r>
        <w:rPr>
          <w:spacing w:val="-3"/>
        </w:rPr>
        <w:t xml:space="preserve"> 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物运输方面，</w:t>
      </w:r>
      <w:r>
        <w:rPr>
          <w:spacing w:val="-38"/>
        </w:rPr>
        <w:t xml:space="preserve"> </w:t>
      </w:r>
      <w:r>
        <w:rPr>
          <w:spacing w:val="-6"/>
        </w:rPr>
        <w:t>物流“保通保畅”工作稳步推进，</w:t>
      </w:r>
      <w:r>
        <w:rPr>
          <w:spacing w:val="-36"/>
        </w:rPr>
        <w:t xml:space="preserve"> </w:t>
      </w:r>
      <w:r>
        <w:rPr>
          <w:spacing w:val="-6"/>
        </w:rPr>
        <w:t>公路运输受阻、港口</w:t>
      </w:r>
      <w:r>
        <w:rPr>
          <w:spacing w:val="-7"/>
        </w:rPr>
        <w:t>周转不畅等问题得</w:t>
      </w:r>
    </w:p>
    <w:p>
      <w:pPr>
        <w:pStyle w:val="BodyText"/>
        <w:spacing w:before="1" w:line="219" w:lineRule="auto"/>
        <w:ind w:left="448"/>
      </w:pPr>
      <w:r>
        <w:rPr>
          <w:spacing w:val="-3"/>
        </w:rPr>
        <w:t>到有效缓解，货运供需两端有所恢复。企业生产经营状况逐步改善，内外贸运行状况趋</w:t>
      </w:r>
    </w:p>
    <w:p>
      <w:pPr>
        <w:spacing w:line="219" w:lineRule="auto"/>
        <w:sectPr>
          <w:footerReference w:type="default" r:id="rId6"/>
          <w:type w:val="nextPage"/>
          <w:pgSz w:w="11907" w:h="16839"/>
          <w:pgMar w:top="1431" w:right="1721" w:bottom="1140" w:left="1785" w:header="0" w:footer="962" w:gutter="0"/>
          <w:pgNumType w:start="2"/>
          <w:cols w:space="708"/>
          <w:titlePg w:val="0"/>
        </w:sectPr>
      </w:pPr>
    </w:p>
    <w:p>
      <w:pPr>
        <w:pStyle w:val="BodyText"/>
        <w:spacing w:before="98" w:line="343" w:lineRule="auto"/>
        <w:ind w:left="441" w:firstLine="4"/>
        <w:jc w:val="both"/>
      </w:pPr>
      <w:r>
        <w:rPr>
          <w:spacing w:val="-4"/>
        </w:rPr>
        <w:t>于平稳，各地基础设施建设有序推进，煤炭等大宗货物运输需求有</w:t>
      </w:r>
      <w:r>
        <w:rPr>
          <w:spacing w:val="-5"/>
        </w:rPr>
        <w:t>所增长，</w:t>
      </w:r>
      <w:r>
        <w:rPr>
          <w:spacing w:val="-53"/>
        </w:rPr>
        <w:t xml:space="preserve"> </w:t>
      </w:r>
      <w:r>
        <w:rPr>
          <w:spacing w:val="-5"/>
        </w:rPr>
        <w:t xml:space="preserve">制造业运输 </w:t>
      </w:r>
      <w:r>
        <w:rPr>
          <w:spacing w:val="-5"/>
        </w:rPr>
        <w:t>需求持续扩大，</w:t>
      </w:r>
      <w:r>
        <w:rPr>
          <w:spacing w:val="-54"/>
        </w:rPr>
        <w:t xml:space="preserve"> </w:t>
      </w:r>
      <w:r>
        <w:rPr>
          <w:spacing w:val="-5"/>
        </w:rPr>
        <w:t>为货运市场提供有力支撑。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旅客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运输方面，</w:t>
      </w:r>
      <w:r>
        <w:rPr>
          <w:spacing w:val="-53"/>
        </w:rPr>
        <w:t xml:space="preserve"> </w:t>
      </w:r>
      <w:r>
        <w:rPr>
          <w:spacing w:val="-6"/>
        </w:rPr>
        <w:t xml:space="preserve">跨区域交通运输管制全面放 </w:t>
      </w:r>
      <w:r>
        <w:rPr>
          <w:spacing w:val="-4"/>
        </w:rPr>
        <w:t>开，</w:t>
      </w:r>
      <w:r>
        <w:rPr>
          <w:spacing w:val="-49"/>
        </w:rPr>
        <w:t xml:space="preserve"> </w:t>
      </w:r>
      <w:r>
        <w:rPr>
          <w:spacing w:val="-4"/>
        </w:rPr>
        <w:t>传统节假日期间居民返乡探亲、返工返校、商务出差、旅游观</w:t>
      </w:r>
      <w:r>
        <w:rPr>
          <w:spacing w:val="-5"/>
        </w:rPr>
        <w:t xml:space="preserve">光等出行需求在很大 </w:t>
      </w:r>
      <w:r>
        <w:rPr>
          <w:spacing w:val="-1"/>
        </w:rPr>
        <w:t>程度上得到有效释放，带动旅客运输市场全面复苏，持续向疫情前正常发展水平靠拢。</w:t>
      </w:r>
    </w:p>
    <w:p>
      <w:pPr>
        <w:pStyle w:val="BodyText"/>
        <w:spacing w:line="220" w:lineRule="auto"/>
        <w:ind w:left="441"/>
      </w:pPr>
      <w:r>
        <w:t>铁路和航空旅客运输均实现强劲复苏，为交通旅客运输市场贡献积极</w:t>
      </w:r>
      <w:r>
        <w:rPr>
          <w:spacing w:val="-1"/>
        </w:rPr>
        <w:t>因素。</w:t>
      </w:r>
    </w:p>
    <w:p>
      <w:pPr>
        <w:pStyle w:val="BodyText"/>
        <w:spacing w:before="293" w:line="343" w:lineRule="auto"/>
        <w:ind w:left="442" w:right="71" w:hanging="410"/>
      </w:pPr>
      <w:r>
        <w:rPr>
          <w:rFonts w:ascii="Wingdings" w:eastAsia="Wingdings" w:hAnsi="Wingdings" w:cs="Wingdings"/>
          <w:spacing w:val="-1"/>
        </w:rPr>
        <w:sym w:font="Wingdings" w:char="F075"/>
      </w:r>
      <w:r>
        <w:rPr>
          <w:rFonts w:ascii="Wingdings" w:eastAsia="Wingdings" w:hAnsi="Wingdings" w:cs="Wingdings"/>
          <w:spacing w:val="-1"/>
        </w:rPr>
        <w:sym w:font="Wingdings" w:char="0020"/>
      </w:r>
      <w:r>
        <w:rPr>
          <w:spacing w:val="-1"/>
        </w:rPr>
        <w:t>展望</w:t>
      </w:r>
      <w:r>
        <w:rPr>
          <w:spacing w:val="-24"/>
        </w:rPr>
        <w:t xml:space="preserve"> </w:t>
      </w:r>
      <w:r>
        <w:rPr>
          <w:spacing w:val="-1"/>
        </w:rPr>
        <w:t>2024</w:t>
      </w:r>
      <w:r>
        <w:rPr>
          <w:spacing w:val="-39"/>
        </w:rPr>
        <w:t xml:space="preserve"> </w:t>
      </w:r>
      <w:r>
        <w:rPr>
          <w:spacing w:val="-1"/>
        </w:rPr>
        <w:t>年，全球经济仍将维持缓慢复苏态势。地缘政治紧张局势加剧、贸易增长疲</w:t>
      </w:r>
      <w:r>
        <w:t xml:space="preserve"> </w:t>
      </w:r>
      <w:r>
        <w:rPr>
          <w:spacing w:val="-3"/>
        </w:rPr>
        <w:t>软、核心通胀居高不下和金融脆弱性上升等系列风险仍然存在，全球经济仍面临较大的</w:t>
      </w:r>
      <w:r>
        <w:rPr>
          <w:spacing w:val="17"/>
        </w:rPr>
        <w:t xml:space="preserve"> </w:t>
      </w:r>
      <w:r>
        <w:rPr>
          <w:spacing w:val="-4"/>
        </w:rPr>
        <w:t>下行压力。在此背景下，</w:t>
      </w:r>
      <w:r>
        <w:rPr>
          <w:spacing w:val="-44"/>
        </w:rPr>
        <w:t xml:space="preserve"> </w:t>
      </w:r>
      <w:r>
        <w:rPr>
          <w:spacing w:val="-4"/>
        </w:rPr>
        <w:t>我国宏观政策将继续为经济恢复提供有力支持，</w:t>
      </w:r>
      <w:r>
        <w:rPr>
          <w:spacing w:val="-5"/>
        </w:rPr>
        <w:t>绿色经济、新</w:t>
      </w:r>
      <w:r>
        <w:t xml:space="preserve"> </w:t>
      </w:r>
      <w:r>
        <w:rPr>
          <w:spacing w:val="-3"/>
        </w:rPr>
        <w:t>兴产业、巨大的消费升级需求为中国经济实现高质量发展持续提供动力，国民经济有望</w:t>
      </w:r>
      <w:r>
        <w:rPr>
          <w:spacing w:val="17"/>
        </w:rPr>
        <w:t xml:space="preserve"> </w:t>
      </w:r>
      <w:r>
        <w:t>延续恢复性增长态势。</w:t>
      </w:r>
      <w:r>
        <w:rPr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从交通运输行业来看，</w:t>
      </w:r>
      <w:r>
        <w:t>展望</w:t>
      </w:r>
      <w:r>
        <w:rPr>
          <w:spacing w:val="-43"/>
        </w:rPr>
        <w:t xml:space="preserve"> </w:t>
      </w:r>
      <w:r>
        <w:t>2024</w:t>
      </w:r>
      <w:r>
        <w:rPr>
          <w:spacing w:val="-44"/>
        </w:rPr>
        <w:t xml:space="preserve"> </w:t>
      </w:r>
      <w:r>
        <w:rPr>
          <w:spacing w:val="-1"/>
        </w:rPr>
        <w:t>年，我国交通运输行业整体将</w:t>
      </w:r>
      <w:r>
        <w:t xml:space="preserve"> </w:t>
      </w:r>
      <w:r>
        <w:rPr>
          <w:spacing w:val="-6"/>
        </w:rPr>
        <w:t>延续此前的健康有序发展态势，</w:t>
      </w:r>
      <w:r>
        <w:rPr>
          <w:spacing w:val="30"/>
        </w:rPr>
        <w:t xml:space="preserve"> </w:t>
      </w:r>
      <w:r>
        <w:rPr>
          <w:spacing w:val="-6"/>
        </w:rPr>
        <w:t>四大细分领域将迎来全新发展机遇。具体来看， 中国-</w:t>
      </w:r>
      <w:r>
        <w:t xml:space="preserve"> </w:t>
      </w:r>
      <w:r>
        <w:rPr>
          <w:spacing w:val="-3"/>
        </w:rPr>
        <w:t>东盟经济贸易合作程度不断加深，西部陆海新通道建设加快推进；网络货运商业模式逐</w:t>
      </w:r>
      <w:r>
        <w:rPr>
          <w:spacing w:val="17"/>
        </w:rPr>
        <w:t xml:space="preserve"> </w:t>
      </w:r>
      <w:r>
        <w:rPr>
          <w:spacing w:val="-4"/>
        </w:rPr>
        <w:t>渐成熟完善，带动道路运输市场集约化发展；两大航运运河同时受阻，</w:t>
      </w:r>
      <w:r>
        <w:rPr>
          <w:spacing w:val="-50"/>
        </w:rPr>
        <w:t xml:space="preserve"> </w:t>
      </w:r>
      <w:r>
        <w:rPr>
          <w:spacing w:val="-4"/>
        </w:rPr>
        <w:t>给全球供应链稳</w:t>
      </w:r>
    </w:p>
    <w:p>
      <w:pPr>
        <w:pStyle w:val="BodyText"/>
        <w:spacing w:line="219" w:lineRule="auto"/>
        <w:ind w:left="447"/>
      </w:pPr>
      <w:r>
        <w:t>定运行带来风险；航空旅客运输供需两旺，跨境运输市场回</w:t>
      </w:r>
      <w:r>
        <w:rPr>
          <w:spacing w:val="-1"/>
        </w:rPr>
        <w:t>暖复苏态势明显。</w:t>
      </w:r>
    </w:p>
    <w:p>
      <w:pPr>
        <w:spacing w:line="219" w:lineRule="auto"/>
        <w:sectPr>
          <w:footerReference w:type="default" r:id="rId7"/>
          <w:pgSz w:w="11907" w:h="16839"/>
          <w:pgMar w:top="1431" w:right="1721" w:bottom="1139" w:left="1785" w:header="0" w:footer="962" w:gutter="0"/>
          <w:pgNumType w:start="3"/>
          <w:cols w:space="708"/>
        </w:sectPr>
      </w:pPr>
    </w:p>
    <w:p>
      <w:pPr>
        <w:spacing w:line="357" w:lineRule="auto"/>
        <w:rPr>
          <w:rFonts w:ascii="Arial"/>
          <w:sz w:val="21"/>
        </w:rPr>
      </w:pPr>
    </w:p>
    <w:p>
      <w:pPr>
        <w:spacing w:before="169" w:line="218" w:lineRule="auto"/>
        <w:ind w:left="2379"/>
        <w:rPr>
          <w:rFonts w:ascii="SimHei" w:eastAsia="SimHei" w:hAnsi="SimHei" w:cs="SimHei"/>
          <w:sz w:val="52"/>
          <w:szCs w:val="52"/>
        </w:rPr>
      </w:pPr>
      <w:r>
        <w:rPr>
          <w:rFonts w:ascii="SimHei" w:eastAsia="SimHei" w:hAnsi="SimHei" w:cs="SimHei"/>
          <w:spacing w:val="-2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版权与免责声明</w:t>
      </w:r>
    </w:p>
    <w:p>
      <w:pPr>
        <w:pStyle w:val="BodyText"/>
        <w:spacing w:before="299" w:line="280" w:lineRule="auto"/>
        <w:ind w:left="37" w:right="24" w:firstLine="420"/>
        <w:jc w:val="both"/>
      </w:pPr>
      <w:r>
        <w:rPr>
          <w:spacing w:val="-3"/>
        </w:rPr>
        <w:t>本报告版权属于北京国研网信息股份有限公司。任何购买、收存和保管本报告各种版本</w:t>
      </w:r>
      <w:r>
        <w:rPr>
          <w:spacing w:val="16"/>
        </w:rPr>
        <w:t xml:space="preserve"> </w:t>
      </w:r>
      <w:r>
        <w:rPr>
          <w:spacing w:val="-2"/>
        </w:rPr>
        <w:t>的单位和个人，未经北京国研网信息股份有限公司允</w:t>
      </w:r>
      <w:r>
        <w:rPr>
          <w:spacing w:val="-3"/>
        </w:rPr>
        <w:t>许，不得将本报告转借他人，亦不得随</w:t>
      </w:r>
      <w:r>
        <w:t xml:space="preserve"> </w:t>
      </w:r>
      <w:r>
        <w:rPr>
          <w:spacing w:val="-2"/>
        </w:rPr>
        <w:t>意复制、抄录、拍照或以任何方式传播。违反上述</w:t>
      </w:r>
      <w:r>
        <w:rPr>
          <w:spacing w:val="-3"/>
        </w:rPr>
        <w:t>声明者，北京国研网信息股份有限公司将</w:t>
      </w:r>
      <w:r>
        <w:t xml:space="preserve"> </w:t>
      </w:r>
      <w:r>
        <w:rPr>
          <w:spacing w:val="-1"/>
        </w:rPr>
        <w:t>追究其相关法律责任。</w:t>
      </w:r>
    </w:p>
    <w:p>
      <w:pPr>
        <w:pStyle w:val="BodyText"/>
        <w:spacing w:before="304" w:line="343" w:lineRule="auto"/>
        <w:ind w:left="39" w:right="24" w:firstLine="417"/>
        <w:jc w:val="both"/>
      </w:pPr>
      <w:r>
        <w:rPr>
          <w:spacing w:val="-6"/>
        </w:rPr>
        <w:t>欢迎读者对本报告提出任何问题或建议。同时，</w:t>
      </w:r>
      <w:r>
        <w:rPr>
          <w:spacing w:val="31"/>
        </w:rPr>
        <w:t xml:space="preserve"> </w:t>
      </w:r>
      <w:r>
        <w:rPr>
          <w:spacing w:val="-6"/>
        </w:rPr>
        <w:t>由于任何研究都会具有一</w:t>
      </w:r>
      <w:r>
        <w:rPr>
          <w:spacing w:val="-7"/>
        </w:rPr>
        <w:t>定程度的不足</w:t>
      </w:r>
      <w:r>
        <w:t xml:space="preserve"> </w:t>
      </w:r>
      <w:r>
        <w:rPr>
          <w:spacing w:val="-4"/>
        </w:rPr>
        <w:t>或局限性，因此，</w:t>
      </w:r>
      <w:r>
        <w:rPr>
          <w:spacing w:val="-45"/>
        </w:rPr>
        <w:t xml:space="preserve"> </w:t>
      </w:r>
      <w:r>
        <w:rPr>
          <w:spacing w:val="-4"/>
        </w:rPr>
        <w:t>本报告仅供读者参考。北京国研网信息股份有限公司不承担读者由于阅读</w:t>
      </w:r>
    </w:p>
    <w:p>
      <w:pPr>
        <w:pStyle w:val="BodyText"/>
        <w:spacing w:line="219" w:lineRule="auto"/>
        <w:ind w:left="39"/>
      </w:pPr>
      <w:r>
        <w:rPr>
          <w:spacing w:val="-2"/>
        </w:rPr>
        <w:t>或使用此报告引起的投资、决策等行为风险。</w:t>
      </w:r>
    </w:p>
    <w:p>
      <w:pPr>
        <w:spacing w:line="219" w:lineRule="auto"/>
        <w:sectPr>
          <w:headerReference w:type="default" r:id="rId8"/>
          <w:footerReference w:type="default" r:id="rId9"/>
          <w:pgSz w:w="11907" w:h="16839"/>
          <w:pgMar w:top="1118" w:right="1769" w:bottom="1139" w:left="1771" w:header="877" w:footer="962" w:gutter="0"/>
          <w:pgNumType w:start="4"/>
          <w:cols w:space="708"/>
        </w:sectPr>
      </w:pPr>
    </w:p>
    <w:p>
      <w:pPr>
        <w:spacing w:line="369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31"/>
          <w:szCs w:val="31"/>
        </w:rPr>
        <w:id w:val="200022838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1"/>
          <w:szCs w:val="21"/>
        </w:rPr>
      </w:sdtEndPr>
      <w:sdtContent>
        <w:p>
          <w:pPr>
            <w:pStyle w:val="BodyText"/>
            <w:spacing w:before="101" w:line="227" w:lineRule="auto"/>
            <w:ind w:left="3933"/>
            <w:rPr>
              <w:sz w:val="31"/>
              <w:szCs w:val="31"/>
            </w:rPr>
          </w:pPr>
          <w:r>
            <w:rPr>
              <w:spacing w:val="-14"/>
              <w:sz w:val="31"/>
              <w:szCs w:val="31"/>
              <w14:textOutline w14:w="579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目录</w:t>
          </w:r>
        </w:p>
        <w:p>
          <w:pPr>
            <w:pStyle w:val="BodyText"/>
            <w:spacing w:before="281" w:line="214" w:lineRule="auto"/>
            <w:ind w:left="42"/>
            <w:rPr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正文目录</w:t>
          </w:r>
        </w:p>
        <w:p>
          <w:pPr>
            <w:pStyle w:val="BodyText"/>
            <w:tabs>
              <w:tab w:val="right" w:leader="dot" w:pos="8327"/>
            </w:tabs>
            <w:spacing w:before="207" w:line="186" w:lineRule="auto"/>
            <w:ind w:left="52"/>
          </w:pPr>
          <w:hyperlink w:anchor="bookmark1" w:history="1">
            <w:r>
              <w:rPr>
                <w:spacing w:val="-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</w:t>
            </w:r>
            <w:r>
              <w:rPr>
                <w:spacing w:val="-2"/>
              </w:rPr>
              <w:t xml:space="preserve">  </w:t>
            </w:r>
            <w:r>
              <w:rPr>
                <w:spacing w:val="-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年四季度交通运输业发展环境分析</w:t>
            </w:r>
            <w:r>
              <w:rPr>
                <w:spacing w:val="-2"/>
              </w:rPr>
              <w:t xml:space="preserve">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ab/>
            </w:r>
            <w:r>
              <w:rPr>
                <w:spacing w:val="32"/>
                <w:w w:val="125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472"/>
          </w:pPr>
          <w:hyperlink w:anchor="bookmark2" w:history="1">
            <w:r>
              <w:rPr>
                <w:spacing w:val="-2"/>
              </w:rPr>
              <w:t>1.1  宏观经济形势分析</w:t>
            </w:r>
            <w:r>
              <w:tab/>
            </w:r>
            <w:r>
              <w:rPr>
                <w:spacing w:val="38"/>
                <w:w w:val="126"/>
              </w:rPr>
              <w:t>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3" w:history="1">
            <w:r>
              <w:rPr>
                <w:spacing w:val="-4"/>
              </w:rPr>
              <w:t>1.1.1</w:t>
            </w:r>
            <w:r>
              <w:rPr>
                <w:spacing w:val="14"/>
              </w:rPr>
              <w:t xml:space="preserve">  </w:t>
            </w:r>
            <w:r>
              <w:rPr>
                <w:spacing w:val="-4"/>
              </w:rPr>
              <w:t>国际经济形势分析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14"/>
              </w:rPr>
              <w:t>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4" w:history="1">
            <w:r>
              <w:rPr>
                <w:spacing w:val="-4"/>
              </w:rPr>
              <w:t>1.1.2</w:t>
            </w:r>
            <w:r>
              <w:rPr>
                <w:spacing w:val="14"/>
              </w:rPr>
              <w:t xml:space="preserve">  </w:t>
            </w:r>
            <w:r>
              <w:rPr>
                <w:spacing w:val="-4"/>
              </w:rPr>
              <w:t>国内经济形势分析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14"/>
              </w:rPr>
              <w:t>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72"/>
          </w:pPr>
          <w:hyperlink w:anchor="bookmark5" w:history="1">
            <w:r>
              <w:rPr>
                <w:spacing w:val="-2"/>
              </w:rPr>
              <w:t>1.2  产业政策环境分析</w:t>
            </w:r>
            <w:r>
              <w:tab/>
            </w:r>
            <w:r>
              <w:rPr>
                <w:spacing w:val="36"/>
                <w:w w:val="128"/>
              </w:rPr>
              <w:t>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6" w:history="1">
            <w:r>
              <w:rPr>
                <w:spacing w:val="-1"/>
              </w:rPr>
              <w:t>1.2.1  多部门联合出台指导意见，推动我国现代航运服务业要素集聚发展</w:t>
            </w:r>
            <w:r>
              <w:rPr>
                <w:spacing w:val="-39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13"/>
              </w:rPr>
              <w:t>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7" w:history="1">
            <w:r>
              <w:rPr>
                <w:spacing w:val="-1"/>
              </w:rPr>
              <w:t>1.2.2  多部门联合发布指导意见，加快推进农村客货邮融合发展</w:t>
            </w:r>
            <w:r>
              <w:rPr>
                <w:spacing w:val="-48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10</w:t>
            </w:r>
          </w:hyperlink>
        </w:p>
        <w:p>
          <w:pPr>
            <w:pStyle w:val="BodyText"/>
            <w:tabs>
              <w:tab w:val="right" w:leader="dot" w:pos="8329"/>
            </w:tabs>
            <w:spacing w:before="100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8" w:history="1">
            <w:r>
              <w:rPr>
                <w:spacing w:val="-1"/>
              </w:rPr>
              <w:t>1.2.3  交通运输部出台政策，加快推进智慧港口和智慧航道建设</w:t>
            </w:r>
            <w:r>
              <w:rPr>
                <w:spacing w:val="-48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8"/>
              </w:rPr>
              <w:t>11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92"/>
            <w:rPr>
              <w:rFonts w:ascii="Times New Roman" w:eastAsia="Times New Roman" w:hAnsi="Times New Roman" w:cs="Times New Roman"/>
            </w:rPr>
          </w:pPr>
          <w:hyperlink w:anchor="bookmark9" w:history="1">
            <w:r>
              <w:rPr>
                <w:spacing w:val="-3"/>
              </w:rPr>
              <w:t>1.2.4  民航局出台政策，加快打造“干支通，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全网联”航线网络</w:t>
            </w:r>
            <w:r>
              <w:rPr>
                <w:spacing w:val="-59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12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39"/>
          </w:pPr>
          <w:hyperlink w:anchor="bookmark10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年四季度交通运输业运行情况分析</w:t>
            </w:r>
            <w:r>
              <w:rPr>
                <w:spacing w:val="-1"/>
              </w:rPr>
              <w:t xml:space="preserve">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ab/>
            </w:r>
            <w:r>
              <w:rPr>
                <w:spacing w:val="28"/>
                <w:w w:val="10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7" w:line="186" w:lineRule="auto"/>
            <w:ind w:left="459"/>
          </w:pPr>
          <w:hyperlink w:anchor="bookmark11" w:history="1">
            <w:r>
              <w:rPr>
                <w:spacing w:val="-1"/>
              </w:rPr>
              <w:t>2.1  交通运输业整体运行情况</w:t>
            </w:r>
            <w:r>
              <w:tab/>
            </w:r>
            <w:r>
              <w:rPr>
                <w:spacing w:val="28"/>
                <w:w w:val="105"/>
              </w:rPr>
              <w:t>14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2" w:history="1">
            <w:r>
              <w:rPr>
                <w:spacing w:val="-3"/>
              </w:rPr>
              <w:t>2.1.1  交通运输投资增速持续加快， 继续高于全国</w:t>
            </w:r>
            <w:r>
              <w:rPr>
                <w:spacing w:val="-4"/>
              </w:rPr>
              <w:t>固定资产投资增速</w:t>
            </w:r>
            <w:r>
              <w:rPr>
                <w:spacing w:val="-56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3" w:history="1">
            <w:r>
              <w:rPr>
                <w:spacing w:val="-1"/>
              </w:rPr>
              <w:t>2.1.2  供需两端持续恢复，为货运市场提供有力支撑</w:t>
            </w:r>
            <w:r>
              <w:rPr>
                <w:spacing w:val="-46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15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4" w:history="1">
            <w:r>
              <w:rPr>
                <w:spacing w:val="-3"/>
              </w:rPr>
              <w:t>2.1.3  铁路航空旅客运输强劲复苏，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为交通旅客运输市场贡献积极因素</w:t>
            </w:r>
            <w:r>
              <w:rPr>
                <w:spacing w:val="-56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9"/>
          </w:pPr>
          <w:hyperlink w:anchor="bookmark15" w:history="1">
            <w:r>
              <w:rPr>
                <w:spacing w:val="-1"/>
              </w:rPr>
              <w:t>2.2  交通运输业主要子行业运行情况</w:t>
            </w:r>
            <w:r>
              <w:tab/>
            </w:r>
            <w:r>
              <w:rPr>
                <w:spacing w:val="30"/>
                <w:w w:val="102"/>
              </w:rPr>
              <w:t>19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6" w:history="1">
            <w:r>
              <w:rPr>
                <w:spacing w:val="-1"/>
              </w:rPr>
              <w:t>2.2.1  铁路运输业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19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7" w:history="1">
            <w:r>
              <w:rPr>
                <w:spacing w:val="-3"/>
              </w:rPr>
              <w:t>2.2.2</w:t>
            </w:r>
            <w:r>
              <w:rPr>
                <w:spacing w:val="10"/>
              </w:rPr>
              <w:t xml:space="preserve">  </w:t>
            </w:r>
            <w:r>
              <w:rPr>
                <w:spacing w:val="-3"/>
              </w:rPr>
              <w:t>公路运输业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21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8" w:history="1">
            <w:r>
              <w:rPr>
                <w:spacing w:val="-1"/>
              </w:rPr>
              <w:t>2.2.3  水路运输业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22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79"/>
            <w:rPr>
              <w:rFonts w:ascii="Times New Roman" w:eastAsia="Times New Roman" w:hAnsi="Times New Roman" w:cs="Times New Roman"/>
            </w:rPr>
          </w:pPr>
          <w:hyperlink w:anchor="bookmark19" w:history="1">
            <w:r>
              <w:rPr>
                <w:spacing w:val="-1"/>
              </w:rPr>
              <w:t>2.2.4  航空运输业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41"/>
          </w:pPr>
          <w:hyperlink w:anchor="bookmark20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3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2024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年交通运输行业发展趋势展望</w:t>
            </w:r>
            <w:r>
              <w:rPr>
                <w:spacing w:val="-26"/>
              </w:rPr>
              <w:t xml:space="preserve">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ab/>
            </w:r>
            <w:r>
              <w:rPr>
                <w:spacing w:val="23"/>
                <w:w w:val="107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461"/>
          </w:pPr>
          <w:hyperlink w:anchor="bookmark21" w:history="1">
            <w:r>
              <w:rPr>
                <w:spacing w:val="-1"/>
              </w:rPr>
              <w:t>3.1  宏观经济形势展望</w:t>
            </w:r>
            <w:r>
              <w:tab/>
            </w:r>
            <w:r>
              <w:rPr>
                <w:spacing w:val="23"/>
                <w:w w:val="110"/>
              </w:rPr>
              <w:t>27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22" w:history="1">
            <w:r>
              <w:rPr>
                <w:spacing w:val="-3"/>
              </w:rPr>
              <w:t>3.1.1</w:t>
            </w:r>
            <w:r>
              <w:rPr>
                <w:spacing w:val="13"/>
              </w:rPr>
              <w:t xml:space="preserve">  </w:t>
            </w:r>
            <w:r>
              <w:rPr>
                <w:spacing w:val="-3"/>
              </w:rPr>
              <w:t>国际经济形势展望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23" w:history="1">
            <w:r>
              <w:rPr>
                <w:spacing w:val="-3"/>
              </w:rPr>
              <w:t>3.1.2</w:t>
            </w:r>
            <w:r>
              <w:rPr>
                <w:spacing w:val="13"/>
              </w:rPr>
              <w:t xml:space="preserve">  </w:t>
            </w:r>
            <w:r>
              <w:rPr>
                <w:spacing w:val="-3"/>
              </w:rPr>
              <w:t>国内经济形势展望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28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61"/>
          </w:pPr>
          <w:hyperlink w:anchor="bookmark24" w:history="1">
            <w:r>
              <w:rPr>
                <w:spacing w:val="-1"/>
              </w:rPr>
              <w:t>3.2  交通运输行业发展趋势展望</w:t>
            </w:r>
            <w:r>
              <w:tab/>
            </w:r>
            <w:r>
              <w:rPr>
                <w:spacing w:val="19"/>
                <w:w w:val="113"/>
              </w:rPr>
              <w:t>29</w:t>
            </w:r>
          </w:hyperlink>
        </w:p>
        <w:p>
          <w:pPr>
            <w:pStyle w:val="BodyText"/>
            <w:spacing w:before="100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25" w:history="1">
            <w:r>
              <w:t>3.2.1  中国-东盟经济贸易合作程度不断加深，西部陆海新通道</w:t>
            </w:r>
            <w:r>
              <w:rPr>
                <w:spacing w:val="-1"/>
              </w:rPr>
              <w:t>建设加快推进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.29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26" w:history="1">
            <w:r>
              <w:rPr>
                <w:spacing w:val="-3"/>
              </w:rPr>
              <w:t>3.2.2  网络货运商业模式逐渐成熟完善， 带动道路运输市</w:t>
            </w:r>
            <w:r>
              <w:rPr>
                <w:spacing w:val="-4"/>
              </w:rPr>
              <w:t>场集约化发展</w:t>
            </w:r>
            <w:r>
              <w:rPr>
                <w:spacing w:val="-56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27" w:history="1">
            <w:r>
              <w:rPr>
                <w:spacing w:val="-4"/>
              </w:rPr>
              <w:t>3.2.3  两大航运运河同时受阻， 给全球供应链稳定运行带来风险</w:t>
            </w:r>
            <w:r>
              <w:rPr>
                <w:spacing w:val="-42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220" w:lineRule="auto"/>
            <w:ind w:left="881"/>
            <w:rPr>
              <w:rFonts w:ascii="Times New Roman" w:eastAsia="Times New Roman" w:hAnsi="Times New Roman" w:cs="Times New Roman"/>
            </w:rPr>
          </w:pPr>
          <w:hyperlink w:anchor="bookmark28" w:history="1">
            <w:r>
              <w:rPr>
                <w:spacing w:val="-4"/>
              </w:rPr>
              <w:t>3.2.4  航空旅客运输供需两旺， 跨境运输市场回暖复苏态势明显</w:t>
            </w:r>
            <w:r>
              <w:rPr>
                <w:spacing w:val="-42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pacing w:val="7"/>
              </w:rPr>
              <w:t>31</w:t>
            </w:r>
          </w:hyperlink>
        </w:p>
      </w:sdtContent>
    </w:sdt>
    <w:p>
      <w:pPr>
        <w:spacing w:line="220" w:lineRule="auto"/>
        <w:rPr>
          <w:rFonts w:ascii="Times New Roman" w:eastAsia="Times New Roman" w:hAnsi="Times New Roman" w:cs="Times New Roman"/>
        </w:rPr>
        <w:sectPr>
          <w:headerReference w:type="default" r:id="rId10"/>
          <w:footerReference w:type="default" r:id="rId11"/>
          <w:pgSz w:w="11907" w:h="16839"/>
          <w:pgMar w:top="1118" w:right="1769" w:bottom="1139" w:left="1771" w:header="877" w:footer="962" w:gutter="0"/>
          <w:pgNumType w:start="5"/>
          <w:cols w:space="708"/>
        </w:sectPr>
      </w:pPr>
    </w:p>
    <w:p>
      <w:pPr>
        <w:spacing w:line="276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24"/>
          <w:szCs w:val="24"/>
        </w:rPr>
        <w:id w:val="105398665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pStyle w:val="BodyText"/>
            <w:spacing w:before="78" w:line="221" w:lineRule="auto"/>
            <w:ind w:left="61"/>
            <w:rPr>
              <w:sz w:val="24"/>
              <w:szCs w:val="24"/>
            </w:rPr>
          </w:pPr>
          <w:r>
            <w:rPr>
              <w:spacing w:val="-1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图目录</w:t>
          </w:r>
        </w:p>
        <w:p>
          <w:pPr>
            <w:pStyle w:val="BodyText"/>
            <w:tabs>
              <w:tab w:val="right" w:leader="dot" w:pos="8327"/>
            </w:tabs>
            <w:spacing w:before="197" w:line="186" w:lineRule="auto"/>
            <w:ind w:left="477"/>
          </w:pPr>
          <w:hyperlink w:anchor="bookmark29" w:history="1">
            <w:r>
              <w:rPr>
                <w:spacing w:val="-2"/>
              </w:rPr>
              <w:t>图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1  2021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年二季度-2023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 xml:space="preserve">年四季度各产业累计增加值同比增长率变动趋势 </w:t>
            </w:r>
            <w:r>
              <w:tab/>
            </w:r>
            <w:r>
              <w:rPr>
                <w:spacing w:val="36"/>
                <w:w w:val="128"/>
              </w:rPr>
              <w:t>8</w:t>
            </w:r>
          </w:hyperlink>
        </w:p>
        <w:p>
          <w:pPr>
            <w:pStyle w:val="BodyText"/>
            <w:spacing w:before="100" w:line="186" w:lineRule="auto"/>
            <w:ind w:right="25"/>
            <w:jc w:val="right"/>
          </w:pPr>
          <w:hyperlink w:anchor="bookmark30" w:history="1">
            <w:r>
              <w:rPr>
                <w:spacing w:val="-4"/>
              </w:rPr>
              <w:t>图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2  2022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月全国交通运输、仓储和邮政业固定资产投资增速对比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35" w:line="146" w:lineRule="exact"/>
            <w:ind w:left="882"/>
          </w:pPr>
          <w:hyperlink w:anchor="bookmark31" w:history="1">
            <w:r>
              <w:rPr>
                <w:position w:val="-3"/>
              </w:rPr>
              <w:tab/>
            </w:r>
            <w:r>
              <w:rPr>
                <w:spacing w:val="28"/>
                <w:w w:val="104"/>
                <w:position w:val="-3"/>
              </w:rPr>
              <w:t>14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31" w:line="186" w:lineRule="auto"/>
            <w:ind w:left="477"/>
          </w:pPr>
          <w:hyperlink w:anchor="bookmark32" w:history="1">
            <w:r>
              <w:rPr>
                <w:spacing w:val="-3"/>
              </w:rPr>
              <w:t>图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3  2022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月交通运输业及子行业固定资产投</w:t>
            </w:r>
            <w:r>
              <w:rPr>
                <w:spacing w:val="-4"/>
              </w:rPr>
              <w:t xml:space="preserve">资增速对比 </w:t>
            </w:r>
            <w:r>
              <w:tab/>
            </w:r>
            <w:r>
              <w:rPr>
                <w:spacing w:val="33"/>
              </w:rPr>
              <w:t>15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7"/>
          </w:pPr>
          <w:hyperlink w:anchor="bookmark33" w:history="1">
            <w:r>
              <w:rPr>
                <w:spacing w:val="-2"/>
              </w:rPr>
              <w:t>图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4  2021-2023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年同期交通运输货运量及累计增速对比</w:t>
            </w:r>
            <w:r>
              <w:tab/>
            </w:r>
            <w:r>
              <w:rPr>
                <w:spacing w:val="31"/>
                <w:w w:val="102"/>
              </w:rPr>
              <w:t>16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7"/>
          </w:pPr>
          <w:hyperlink w:anchor="bookmark34" w:history="1">
            <w:r>
              <w:rPr>
                <w:spacing w:val="-2"/>
              </w:rPr>
              <w:t>图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5  2021-2023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年同期交通运输货物周转量及累计增速对比</w:t>
            </w:r>
            <w:r>
              <w:rPr>
                <w:spacing w:val="-64"/>
              </w:rPr>
              <w:t xml:space="preserve"> </w:t>
            </w:r>
            <w:r>
              <w:tab/>
            </w:r>
            <w:r>
              <w:rPr>
                <w:spacing w:val="33"/>
              </w:rPr>
              <w:t>17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77"/>
          </w:pPr>
          <w:hyperlink w:anchor="bookmark35" w:history="1">
            <w:r>
              <w:rPr>
                <w:spacing w:val="-2"/>
              </w:rPr>
              <w:t>图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6  2021-2023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年同期交通运输业客运量及累计增速对比</w:t>
            </w:r>
            <w:r>
              <w:tab/>
            </w:r>
            <w:r>
              <w:rPr>
                <w:spacing w:val="30"/>
                <w:w w:val="103"/>
              </w:rPr>
              <w:t>18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7"/>
          </w:pPr>
          <w:hyperlink w:anchor="bookmark36" w:history="1">
            <w:r>
              <w:rPr>
                <w:spacing w:val="-2"/>
              </w:rPr>
              <w:t>图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7  2021-2023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年同期交通运输业旅客周转量及累计增速对比</w:t>
            </w:r>
            <w:r>
              <w:rPr>
                <w:spacing w:val="-64"/>
              </w:rPr>
              <w:t xml:space="preserve"> </w:t>
            </w:r>
            <w:r>
              <w:tab/>
            </w:r>
            <w:r>
              <w:rPr>
                <w:spacing w:val="30"/>
                <w:w w:val="103"/>
              </w:rPr>
              <w:t>18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7"/>
          </w:pPr>
          <w:hyperlink w:anchor="bookmark37" w:history="1">
            <w:r>
              <w:rPr>
                <w:spacing w:val="-4"/>
              </w:rPr>
              <w:t>图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8  2023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 xml:space="preserve">月出口集装箱运价指数运行情况 </w:t>
            </w:r>
            <w:r>
              <w:tab/>
            </w:r>
            <w:r>
              <w:rPr>
                <w:spacing w:val="23"/>
                <w:w w:val="110"/>
              </w:rPr>
              <w:t>23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2" w:line="219" w:lineRule="auto"/>
            <w:ind w:left="477"/>
          </w:pPr>
          <w:hyperlink w:anchor="bookmark38" w:history="1">
            <w:r>
              <w:rPr>
                <w:spacing w:val="-4"/>
              </w:rPr>
              <w:t>图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9  2023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 xml:space="preserve">月沿海散货运价指数运行情况 </w:t>
            </w:r>
            <w:r>
              <w:tab/>
            </w:r>
            <w:r>
              <w:rPr>
                <w:spacing w:val="18"/>
                <w:w w:val="114"/>
              </w:rPr>
              <w:t>24</w:t>
            </w:r>
          </w:hyperlink>
        </w:p>
      </w:sdtContent>
    </w:sdt>
    <w:p>
      <w:pPr>
        <w:spacing w:line="277" w:lineRule="auto"/>
        <w:rPr>
          <w:rFonts w:ascii="Arial"/>
          <w:sz w:val="21"/>
        </w:rPr>
      </w:pPr>
    </w:p>
    <w:p>
      <w:pPr>
        <w:pStyle w:val="BodyText"/>
        <w:spacing w:before="79" w:line="213" w:lineRule="auto"/>
        <w:ind w:left="37"/>
        <w:rPr>
          <w:sz w:val="24"/>
          <w:szCs w:val="24"/>
        </w:rPr>
      </w:pPr>
      <w:r>
        <w:rPr>
          <w:spacing w:val="-3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表目录</w:t>
      </w:r>
    </w:p>
    <w:sdt>
      <w:sdtPr>
        <w:rPr>
          <w:rFonts w:ascii="SimSun" w:eastAsia="SimSun" w:hAnsi="SimSun" w:cs="SimSun"/>
          <w:sz w:val="21"/>
          <w:szCs w:val="21"/>
        </w:rPr>
        <w:id w:val="1907977721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pStyle w:val="BodyText"/>
            <w:tabs>
              <w:tab w:val="right" w:leader="dot" w:pos="8327"/>
            </w:tabs>
            <w:spacing w:before="52" w:line="186" w:lineRule="auto"/>
            <w:ind w:left="456"/>
          </w:pPr>
          <w:hyperlink w:anchor="bookmark39" w:history="1">
            <w:r>
              <w:rPr>
                <w:spacing w:val="-1"/>
              </w:rPr>
              <w:t>表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</w:rPr>
              <w:t>1  2022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年四季度-2023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年四季度我国各产业累计增</w:t>
            </w:r>
            <w:r>
              <w:rPr>
                <w:spacing w:val="-2"/>
              </w:rPr>
              <w:t xml:space="preserve">加值及同比增长情况 </w:t>
            </w:r>
            <w:r>
              <w:tab/>
            </w:r>
            <w:r>
              <w:rPr>
                <w:spacing w:val="36"/>
                <w:w w:val="128"/>
              </w:rPr>
              <w:t>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</w:pPr>
          <w:hyperlink w:anchor="bookmark40" w:history="1">
            <w:r>
              <w:rPr>
                <w:spacing w:val="-3"/>
              </w:rPr>
              <w:t>表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2  2022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 xml:space="preserve">月交通运输业及子行业固定资产投资完成情况 </w:t>
            </w:r>
            <w:r>
              <w:tab/>
            </w:r>
            <w:r>
              <w:rPr>
                <w:spacing w:val="33"/>
              </w:rPr>
              <w:t>15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</w:pPr>
          <w:hyperlink w:anchor="bookmark41" w:history="1">
            <w:r>
              <w:rPr>
                <w:spacing w:val="-3"/>
              </w:rPr>
              <w:t>表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3  2022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月交通运输货运情况及累计同比增</w:t>
            </w:r>
            <w:r>
              <w:rPr>
                <w:spacing w:val="-4"/>
              </w:rPr>
              <w:t xml:space="preserve">速 </w:t>
            </w:r>
            <w:r>
              <w:tab/>
            </w:r>
            <w:r>
              <w:rPr>
                <w:spacing w:val="31"/>
                <w:w w:val="102"/>
              </w:rPr>
              <w:t>16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</w:pPr>
          <w:hyperlink w:anchor="bookmark42" w:history="1">
            <w:r>
              <w:rPr>
                <w:spacing w:val="-3"/>
              </w:rPr>
              <w:t>表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4  2022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 xml:space="preserve">月交通运输客运情况及累计同比增速 </w:t>
            </w:r>
            <w:r>
              <w:tab/>
            </w:r>
            <w:r>
              <w:rPr>
                <w:spacing w:val="33"/>
              </w:rPr>
              <w:t>17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</w:pPr>
          <w:hyperlink w:anchor="bookmark43" w:history="1">
            <w:r>
              <w:rPr>
                <w:spacing w:val="-3"/>
              </w:rPr>
              <w:t>表</w:t>
            </w:r>
            <w:r>
              <w:rPr>
                <w:spacing w:val="-40"/>
              </w:rPr>
              <w:t xml:space="preserve"> </w:t>
            </w:r>
            <w:r>
              <w:rPr>
                <w:spacing w:val="-3"/>
              </w:rPr>
              <w:t>5  2022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月铁路货运</w:t>
            </w:r>
            <w:r>
              <w:rPr>
                <w:spacing w:val="-4"/>
              </w:rPr>
              <w:t xml:space="preserve">情况及累计同比增速 </w:t>
            </w:r>
            <w:r>
              <w:tab/>
            </w:r>
            <w:r>
              <w:rPr>
                <w:spacing w:val="30"/>
                <w:w w:val="103"/>
              </w:rPr>
              <w:t>19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</w:pPr>
          <w:hyperlink w:anchor="bookmark44" w:history="1">
            <w:r>
              <w:rPr>
                <w:spacing w:val="-3"/>
              </w:rPr>
              <w:t>表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6  2022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月铁路客运情况及</w:t>
            </w:r>
            <w:r>
              <w:rPr>
                <w:spacing w:val="-4"/>
              </w:rPr>
              <w:t xml:space="preserve">累计同比增速 </w:t>
            </w:r>
            <w:r>
              <w:tab/>
            </w:r>
            <w:r>
              <w:rPr>
                <w:spacing w:val="20"/>
                <w:w w:val="112"/>
              </w:rPr>
              <w:t>20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</w:pPr>
          <w:hyperlink w:anchor="bookmark45" w:history="1">
            <w:r>
              <w:rPr>
                <w:spacing w:val="-3"/>
              </w:rPr>
              <w:t>表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7  2022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月公路货</w:t>
            </w:r>
            <w:r>
              <w:rPr>
                <w:spacing w:val="-4"/>
              </w:rPr>
              <w:t xml:space="preserve">运情况及累计同比增速 </w:t>
            </w:r>
            <w:r>
              <w:tab/>
            </w:r>
            <w:r>
              <w:rPr>
                <w:spacing w:val="32"/>
                <w:w w:val="101"/>
              </w:rPr>
              <w:t>21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</w:pPr>
          <w:hyperlink w:anchor="bookmark46" w:history="1">
            <w:r>
              <w:rPr>
                <w:spacing w:val="-3"/>
              </w:rPr>
              <w:t>表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8  2022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月公路客运情况及</w:t>
            </w:r>
            <w:r>
              <w:rPr>
                <w:spacing w:val="-4"/>
              </w:rPr>
              <w:t xml:space="preserve">累计同比增速 </w:t>
            </w:r>
            <w:r>
              <w:tab/>
            </w:r>
            <w:r>
              <w:rPr>
                <w:spacing w:val="32"/>
                <w:w w:val="101"/>
              </w:rPr>
              <w:t>21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</w:pPr>
          <w:hyperlink w:anchor="bookmark47" w:history="1">
            <w:r>
              <w:rPr>
                <w:spacing w:val="-3"/>
              </w:rPr>
              <w:t>表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9  2022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月水路货运情况及</w:t>
            </w:r>
            <w:r>
              <w:rPr>
                <w:spacing w:val="-4"/>
              </w:rPr>
              <w:t xml:space="preserve">累计同比增速 </w:t>
            </w:r>
            <w:r>
              <w:tab/>
            </w:r>
            <w:r>
              <w:rPr>
                <w:spacing w:val="22"/>
                <w:w w:val="111"/>
              </w:rPr>
              <w:t>22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</w:pPr>
          <w:hyperlink w:anchor="bookmark48" w:history="1">
            <w:r>
              <w:rPr>
                <w:spacing w:val="-4"/>
              </w:rPr>
              <w:t>表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10  2022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 xml:space="preserve">月航空货运情况及累计同比增速 </w:t>
            </w:r>
            <w:r>
              <w:tab/>
            </w:r>
            <w:r>
              <w:rPr>
                <w:spacing w:val="18"/>
                <w:w w:val="114"/>
              </w:rPr>
              <w:t>24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221" w:lineRule="auto"/>
            <w:ind w:left="456"/>
          </w:pPr>
          <w:hyperlink w:anchor="bookmark49" w:history="1">
            <w:r>
              <w:rPr>
                <w:spacing w:val="-4"/>
              </w:rPr>
              <w:t>表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11  2022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 xml:space="preserve">月航空客运情况及累计同比增速 </w:t>
            </w:r>
            <w:r>
              <w:tab/>
            </w:r>
            <w:r>
              <w:rPr>
                <w:spacing w:val="23"/>
                <w:w w:val="110"/>
              </w:rPr>
              <w:t>25</w:t>
            </w:r>
          </w:hyperlink>
        </w:p>
      </w:sdtContent>
    </w:sdt>
    <w:p>
      <w:pPr>
        <w:spacing w:line="221" w:lineRule="auto"/>
        <w:sectPr>
          <w:headerReference w:type="default" r:id="rId12"/>
          <w:footerReference w:type="default" r:id="rId13"/>
          <w:pgSz w:w="11907" w:h="16839"/>
          <w:pgMar w:top="1118" w:right="1769" w:bottom="1138" w:left="1771" w:header="877" w:footer="962" w:gutter="0"/>
          <w:pgNumType w:start="6"/>
          <w:cols w:space="708"/>
        </w:sectPr>
      </w:pPr>
    </w:p>
    <w:p>
      <w:pPr>
        <w:spacing w:line="381" w:lineRule="auto"/>
        <w:rPr>
          <w:rFonts w:ascii="Arial"/>
          <w:sz w:val="21"/>
        </w:rPr>
      </w:pPr>
    </w:p>
    <w:p>
      <w:pPr>
        <w:pStyle w:val="BodyText"/>
        <w:spacing w:before="97" w:line="220" w:lineRule="auto"/>
        <w:ind w:left="62"/>
        <w:rPr>
          <w:sz w:val="30"/>
          <w:szCs w:val="30"/>
        </w:rPr>
      </w:pPr>
      <w:bookmarkStart w:id="0" w:name="bookmark1"/>
      <w:bookmarkEnd w:id="0"/>
      <w:bookmarkStart w:id="1" w:name="bookmark2"/>
      <w:bookmarkEnd w:id="1"/>
      <w:r>
        <w:rPr>
          <w:spacing w:val="-2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spacing w:val="-2"/>
          <w:sz w:val="30"/>
          <w:szCs w:val="30"/>
        </w:rPr>
        <w:t xml:space="preserve">  </w:t>
      </w:r>
      <w:r>
        <w:rPr>
          <w:spacing w:val="-2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2023</w:t>
      </w:r>
      <w:r>
        <w:rPr>
          <w:spacing w:val="-44"/>
          <w:sz w:val="30"/>
          <w:szCs w:val="30"/>
        </w:rPr>
        <w:t xml:space="preserve"> </w:t>
      </w:r>
      <w:r>
        <w:rPr>
          <w:spacing w:val="-2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年四季度交通运输业发展环境分析</w:t>
      </w: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91" w:line="683" w:lineRule="exact"/>
        <w:ind w:left="60"/>
        <w:rPr>
          <w:sz w:val="28"/>
          <w:szCs w:val="28"/>
        </w:rPr>
      </w:pPr>
      <w:bookmarkStart w:id="2" w:name="bookmark3"/>
      <w:bookmarkEnd w:id="2"/>
      <w:r>
        <w:rPr>
          <w:spacing w:val="-2"/>
          <w:position w:val="31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1.1</w:t>
      </w:r>
      <w:r>
        <w:rPr>
          <w:spacing w:val="-2"/>
          <w:position w:val="31"/>
          <w:sz w:val="28"/>
          <w:szCs w:val="28"/>
        </w:rPr>
        <w:t xml:space="preserve">  </w:t>
      </w:r>
      <w:r>
        <w:rPr>
          <w:spacing w:val="-2"/>
          <w:position w:val="31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宏观经济形势分析</w:t>
      </w:r>
    </w:p>
    <w:p>
      <w:pPr>
        <w:pStyle w:val="BodyText"/>
        <w:spacing w:line="219" w:lineRule="auto"/>
        <w:ind w:left="55"/>
        <w:rPr>
          <w:sz w:val="24"/>
          <w:szCs w:val="24"/>
        </w:rPr>
      </w:pPr>
      <w:r>
        <w:rPr>
          <w:spacing w:val="-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1.1.1</w:t>
      </w:r>
      <w:r>
        <w:rPr>
          <w:spacing w:val="18"/>
          <w:sz w:val="24"/>
          <w:szCs w:val="24"/>
        </w:rPr>
        <w:t xml:space="preserve">  </w:t>
      </w:r>
      <w:r>
        <w:rPr>
          <w:spacing w:val="-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国际经济形势分析</w:t>
      </w:r>
    </w:p>
    <w:p>
      <w:pPr>
        <w:pStyle w:val="BodyText"/>
        <w:spacing w:before="275" w:line="343" w:lineRule="auto"/>
        <w:ind w:left="37" w:right="53" w:firstLine="422"/>
      </w:pP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全球经济增速温和放缓，各国经济走势有所分化</w:t>
      </w:r>
      <w:r>
        <w:rPr>
          <w:spacing w:val="-4"/>
        </w:rPr>
        <w:t>。2023</w:t>
      </w:r>
      <w:r>
        <w:rPr>
          <w:spacing w:val="-43"/>
        </w:rPr>
        <w:t xml:space="preserve"> </w:t>
      </w:r>
      <w:r>
        <w:rPr>
          <w:spacing w:val="-4"/>
        </w:rPr>
        <w:t>年四季度，地缘政治冲突</w:t>
      </w:r>
      <w:r>
        <w:rPr>
          <w:spacing w:val="-5"/>
        </w:rPr>
        <w:t>不断、</w:t>
      </w:r>
      <w:r>
        <w:t xml:space="preserve"> </w:t>
      </w:r>
      <w:r>
        <w:rPr>
          <w:spacing w:val="-2"/>
        </w:rPr>
        <w:t>通胀居高不下、利率持续上升、金融脆弱性上升、极</w:t>
      </w:r>
      <w:r>
        <w:rPr>
          <w:spacing w:val="-3"/>
        </w:rPr>
        <w:t>端天气加剧等风险因素对全球经济复苏</w:t>
      </w:r>
      <w:r>
        <w:t xml:space="preserve"> </w:t>
      </w:r>
      <w:r>
        <w:rPr>
          <w:spacing w:val="-2"/>
        </w:rPr>
        <w:t>形成重大挑战。同时，随着后疫情时代需求释放、</w:t>
      </w:r>
      <w:r>
        <w:rPr>
          <w:spacing w:val="-3"/>
        </w:rPr>
        <w:t>新兴市场快速发展、技术产业创新突破等</w:t>
      </w:r>
      <w:r>
        <w:t xml:space="preserve"> </w:t>
      </w:r>
      <w:r>
        <w:rPr>
          <w:spacing w:val="-5"/>
        </w:rPr>
        <w:t>不断演进，全球经济仍保持一定韧性， 继续呈现弱势复苏态势。 国际货币基金组织（</w:t>
      </w:r>
      <w:r>
        <w:rPr>
          <w:spacing w:val="-6"/>
        </w:rPr>
        <w:t>IMF）</w:t>
      </w:r>
      <w:r>
        <w:t xml:space="preserve"> </w:t>
      </w:r>
      <w:r>
        <w:rPr>
          <w:spacing w:val="-4"/>
        </w:rPr>
        <w:t>最新发布的《世界经济展望报告》预计，</w:t>
      </w:r>
      <w:r>
        <w:rPr>
          <w:spacing w:val="-42"/>
        </w:rPr>
        <w:t xml:space="preserve"> </w:t>
      </w:r>
      <w:r>
        <w:rPr>
          <w:spacing w:val="-4"/>
        </w:rPr>
        <w:t>2023</w:t>
      </w:r>
      <w:r>
        <w:rPr>
          <w:spacing w:val="-45"/>
        </w:rPr>
        <w:t xml:space="preserve"> </w:t>
      </w:r>
      <w:r>
        <w:rPr>
          <w:spacing w:val="-4"/>
        </w:rPr>
        <w:t>年，</w:t>
      </w:r>
      <w:r>
        <w:rPr>
          <w:spacing w:val="-5"/>
        </w:rPr>
        <w:t>全球经济增速将由</w:t>
      </w:r>
      <w:r>
        <w:rPr>
          <w:spacing w:val="-42"/>
        </w:rPr>
        <w:t xml:space="preserve"> </w:t>
      </w:r>
      <w:r>
        <w:rPr>
          <w:spacing w:val="-5"/>
        </w:rPr>
        <w:t>2022</w:t>
      </w:r>
      <w:r>
        <w:rPr>
          <w:spacing w:val="-45"/>
        </w:rPr>
        <w:t xml:space="preserve"> </w:t>
      </w:r>
      <w:r>
        <w:rPr>
          <w:spacing w:val="-5"/>
        </w:rPr>
        <w:t>年的</w:t>
      </w:r>
      <w:r>
        <w:rPr>
          <w:spacing w:val="-39"/>
        </w:rPr>
        <w:t xml:space="preserve"> </w:t>
      </w:r>
      <w:r>
        <w:rPr>
          <w:spacing w:val="-5"/>
        </w:rPr>
        <w:t>3.5%放缓至</w:t>
      </w:r>
      <w:r>
        <w:t xml:space="preserve"> </w:t>
      </w:r>
      <w:r>
        <w:rPr>
          <w:spacing w:val="-7"/>
        </w:rPr>
        <w:t>3.0%，且明显低于</w:t>
      </w:r>
      <w:r>
        <w:rPr>
          <w:spacing w:val="-26"/>
        </w:rPr>
        <w:t xml:space="preserve"> </w:t>
      </w:r>
      <w:r>
        <w:rPr>
          <w:spacing w:val="-7"/>
        </w:rPr>
        <w:t>3.8%的历史（2000-2019</w:t>
      </w:r>
      <w:r>
        <w:rPr>
          <w:spacing w:val="-46"/>
        </w:rPr>
        <w:t xml:space="preserve"> </w:t>
      </w:r>
      <w:r>
        <w:rPr>
          <w:spacing w:val="-7"/>
        </w:rPr>
        <w:t>年）平均水平。根据经济合作与发展组织（OECD）</w:t>
      </w:r>
      <w:r>
        <w:t xml:space="preserve"> </w:t>
      </w:r>
      <w:r>
        <w:t>发布的最新一期《经济展望报告》，2023</w:t>
      </w:r>
      <w:r>
        <w:rPr>
          <w:spacing w:val="-41"/>
        </w:rPr>
        <w:t xml:space="preserve"> </w:t>
      </w:r>
      <w:r>
        <w:t>年世界</w:t>
      </w:r>
      <w:r>
        <w:rPr>
          <w:spacing w:val="-1"/>
        </w:rPr>
        <w:t>经济增速预期为</w:t>
      </w:r>
      <w:r>
        <w:rPr>
          <w:spacing w:val="-36"/>
        </w:rPr>
        <w:t xml:space="preserve"> </w:t>
      </w:r>
      <w:r>
        <w:rPr>
          <w:spacing w:val="-1"/>
        </w:rPr>
        <w:t>2.9%，全球经济仍面临较</w:t>
      </w:r>
    </w:p>
    <w:p>
      <w:pPr>
        <w:pStyle w:val="BodyText"/>
        <w:spacing w:before="1" w:line="220" w:lineRule="auto"/>
        <w:ind w:left="39"/>
      </w:pPr>
      <w:r>
        <w:rPr>
          <w:spacing w:val="-2"/>
        </w:rPr>
        <w:t>大的下行压力。</w:t>
      </w:r>
    </w:p>
    <w:p>
      <w:pPr>
        <w:pStyle w:val="BodyText"/>
        <w:spacing w:before="294" w:line="343" w:lineRule="auto"/>
        <w:ind w:left="36" w:firstLine="423"/>
      </w:pPr>
      <w:r>
        <w:rPr>
          <w:spacing w:val="-5"/>
        </w:rPr>
        <w:t>从主要经济体来看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，美国经济仍具韧性，</w:t>
      </w:r>
      <w:r>
        <w:rPr>
          <w:spacing w:val="55"/>
        </w:rPr>
        <w:t xml:space="preserve">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季度增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速有所放缓</w:t>
      </w:r>
      <w:r>
        <w:rPr>
          <w:spacing w:val="-6"/>
        </w:rPr>
        <w:t>。美国商务部</w:t>
      </w:r>
      <w:r>
        <w:rPr>
          <w:spacing w:val="-41"/>
        </w:rPr>
        <w:t xml:space="preserve"> </w:t>
      </w:r>
      <w:r>
        <w:rPr>
          <w:spacing w:val="-6"/>
        </w:rPr>
        <w:t>2024</w:t>
      </w:r>
      <w:r>
        <w:rPr>
          <w:spacing w:val="-43"/>
        </w:rPr>
        <w:t xml:space="preserve"> </w:t>
      </w:r>
      <w:r>
        <w:rPr>
          <w:spacing w:val="-6"/>
        </w:rPr>
        <w:t>年</w:t>
      </w:r>
      <w:r>
        <w:rPr>
          <w:spacing w:val="-31"/>
        </w:rPr>
        <w:t xml:space="preserve"> </w:t>
      </w:r>
      <w:r>
        <w:rPr>
          <w:spacing w:val="-6"/>
        </w:rPr>
        <w:t>1</w:t>
      </w:r>
      <w:r>
        <w:rPr>
          <w:spacing w:val="-39"/>
        </w:rPr>
        <w:t xml:space="preserve"> </w:t>
      </w:r>
      <w:r>
        <w:rPr>
          <w:spacing w:val="-6"/>
        </w:rPr>
        <w:t>月</w:t>
      </w:r>
      <w:r>
        <w:t xml:space="preserve"> </w:t>
      </w:r>
      <w:r>
        <w:rPr>
          <w:spacing w:val="-2"/>
        </w:rPr>
        <w:t>25 日公布的预估数据显示，2023</w:t>
      </w:r>
      <w:r>
        <w:rPr>
          <w:spacing w:val="-38"/>
        </w:rPr>
        <w:t xml:space="preserve"> </w:t>
      </w:r>
      <w:r>
        <w:rPr>
          <w:spacing w:val="-2"/>
        </w:rPr>
        <w:t>年全年，美国经济增长</w:t>
      </w:r>
      <w:r>
        <w:rPr>
          <w:spacing w:val="-41"/>
        </w:rPr>
        <w:t xml:space="preserve"> </w:t>
      </w:r>
      <w:r>
        <w:rPr>
          <w:spacing w:val="-2"/>
        </w:rPr>
        <w:t>2.5%，高于</w:t>
      </w:r>
      <w:r>
        <w:rPr>
          <w:spacing w:val="-39"/>
        </w:rPr>
        <w:t xml:space="preserve"> </w:t>
      </w:r>
      <w:r>
        <w:rPr>
          <w:spacing w:val="-2"/>
        </w:rPr>
        <w:t>2022</w:t>
      </w:r>
      <w:r>
        <w:rPr>
          <w:spacing w:val="-41"/>
        </w:rPr>
        <w:t xml:space="preserve"> </w:t>
      </w:r>
      <w:r>
        <w:rPr>
          <w:spacing w:val="-2"/>
        </w:rPr>
        <w:t>年</w:t>
      </w:r>
      <w:r>
        <w:rPr>
          <w:spacing w:val="-28"/>
        </w:rPr>
        <w:t xml:space="preserve"> </w:t>
      </w:r>
      <w:r>
        <w:rPr>
          <w:spacing w:val="-2"/>
        </w:rPr>
        <w:t>1.9%的增速。</w:t>
      </w:r>
      <w:r>
        <w:t xml:space="preserve"> </w:t>
      </w:r>
      <w:r>
        <w:rPr>
          <w:spacing w:val="-1"/>
        </w:rPr>
        <w:t>2023</w:t>
      </w:r>
      <w:r>
        <w:rPr>
          <w:spacing w:val="-36"/>
        </w:rPr>
        <w:t xml:space="preserve"> </w:t>
      </w:r>
      <w:r>
        <w:rPr>
          <w:spacing w:val="-1"/>
        </w:rPr>
        <w:t>年第四季度，美国实际国内生产总值（GDP）按年率计算增长</w:t>
      </w:r>
      <w:r>
        <w:rPr>
          <w:spacing w:val="-37"/>
        </w:rPr>
        <w:t xml:space="preserve"> </w:t>
      </w:r>
      <w:r>
        <w:rPr>
          <w:spacing w:val="-1"/>
        </w:rPr>
        <w:t>3.3%，增速较</w:t>
      </w:r>
      <w:r>
        <w:rPr>
          <w:spacing w:val="-39"/>
        </w:rPr>
        <w:t xml:space="preserve"> </w:t>
      </w:r>
      <w:r>
        <w:rPr>
          <w:spacing w:val="-1"/>
        </w:rPr>
        <w:t>2023</w:t>
      </w:r>
      <w:r>
        <w:rPr>
          <w:spacing w:val="-43"/>
        </w:rPr>
        <w:t xml:space="preserve"> </w:t>
      </w:r>
      <w:r>
        <w:rPr>
          <w:spacing w:val="-1"/>
        </w:rPr>
        <w:t>年第</w:t>
      </w:r>
      <w:r>
        <w:t xml:space="preserve"> </w:t>
      </w:r>
      <w:r>
        <w:rPr>
          <w:spacing w:val="-4"/>
        </w:rPr>
        <w:t>三季度的</w:t>
      </w:r>
      <w:r>
        <w:rPr>
          <w:spacing w:val="-25"/>
        </w:rPr>
        <w:t xml:space="preserve"> </w:t>
      </w:r>
      <w:r>
        <w:rPr>
          <w:spacing w:val="-4"/>
        </w:rPr>
        <w:t>4.9%有所放缓。按贡献度计算，</w:t>
      </w:r>
      <w:r>
        <w:rPr>
          <w:spacing w:val="-23"/>
        </w:rPr>
        <w:t xml:space="preserve"> </w:t>
      </w:r>
      <w:r>
        <w:rPr>
          <w:spacing w:val="-4"/>
        </w:rPr>
        <w:t>个人消费支出拉动当季经济增长 1.</w:t>
      </w:r>
      <w:r>
        <w:rPr>
          <w:spacing w:val="-5"/>
        </w:rPr>
        <w:t>91</w:t>
      </w:r>
      <w:r>
        <w:rPr>
          <w:spacing w:val="-22"/>
        </w:rPr>
        <w:t xml:space="preserve"> </w:t>
      </w:r>
      <w:r>
        <w:rPr>
          <w:spacing w:val="-5"/>
        </w:rPr>
        <w:t>个百分点；</w:t>
      </w:r>
      <w:r>
        <w:t xml:space="preserve"> </w:t>
      </w:r>
      <w:r>
        <w:rPr>
          <w:spacing w:val="-2"/>
        </w:rPr>
        <w:t>政府消费支出和投资拉动经济增长 0.56 个百分点；私人库存投资拉动经济增长 0.0</w:t>
      </w:r>
      <w:r>
        <w:rPr>
          <w:spacing w:val="-3"/>
        </w:rPr>
        <w:t>7 个百</w:t>
      </w:r>
      <w:r>
        <w:t xml:space="preserve"> </w:t>
      </w:r>
      <w:r>
        <w:rPr>
          <w:spacing w:val="-5"/>
        </w:rPr>
        <w:t>分点； 净出口拉动经济增长</w:t>
      </w:r>
      <w:r>
        <w:rPr>
          <w:spacing w:val="-35"/>
        </w:rPr>
        <w:t xml:space="preserve"> </w:t>
      </w:r>
      <w:r>
        <w:rPr>
          <w:spacing w:val="-5"/>
        </w:rPr>
        <w:t>0.43</w:t>
      </w:r>
      <w:r>
        <w:rPr>
          <w:spacing w:val="-41"/>
        </w:rPr>
        <w:t xml:space="preserve"> </w:t>
      </w:r>
      <w:r>
        <w:rPr>
          <w:spacing w:val="-5"/>
        </w:rPr>
        <w:t>个百分点。可以看出，</w:t>
      </w:r>
      <w:r>
        <w:rPr>
          <w:spacing w:val="-20"/>
        </w:rPr>
        <w:t xml:space="preserve"> </w:t>
      </w:r>
      <w:r>
        <w:rPr>
          <w:spacing w:val="-5"/>
        </w:rPr>
        <w:t>个人消费支出和政府支出是拉动当</w:t>
      </w:r>
      <w:r>
        <w:t xml:space="preserve"> </w:t>
      </w:r>
      <w:r>
        <w:rPr>
          <w:spacing w:val="-2"/>
        </w:rPr>
        <w:t>季经济增长的主要因素，美国经济仍具一定韧性。但同时，美国民众依然受高通胀</w:t>
      </w:r>
      <w:r>
        <w:rPr>
          <w:spacing w:val="-3"/>
        </w:rPr>
        <w:t>困扰，高</w:t>
      </w:r>
    </w:p>
    <w:p>
      <w:pPr>
        <w:pStyle w:val="BodyText"/>
        <w:spacing w:before="1" w:line="220" w:lineRule="auto"/>
        <w:ind w:left="37"/>
      </w:pPr>
      <w:r>
        <w:rPr>
          <w:spacing w:val="-1"/>
        </w:rPr>
        <w:t>利率环境仍将带来经济下行风险。</w:t>
      </w:r>
    </w:p>
    <w:p>
      <w:pPr>
        <w:pStyle w:val="BodyText"/>
        <w:spacing w:before="295" w:line="343" w:lineRule="auto"/>
        <w:ind w:left="37" w:right="54" w:firstLine="429"/>
        <w:jc w:val="both"/>
      </w:pP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欧洲经济复苏乏力，德法经济整体低迷</w:t>
      </w:r>
      <w:r>
        <w:rPr>
          <w:spacing w:val="-3"/>
        </w:rPr>
        <w:t>。欧盟统计局</w:t>
      </w:r>
      <w:r>
        <w:rPr>
          <w:spacing w:val="-18"/>
        </w:rPr>
        <w:t xml:space="preserve"> </w:t>
      </w:r>
      <w:r>
        <w:rPr>
          <w:spacing w:val="-3"/>
        </w:rPr>
        <w:t>2024</w:t>
      </w:r>
      <w:r>
        <w:rPr>
          <w:spacing w:val="-26"/>
        </w:rPr>
        <w:t xml:space="preserve"> </w:t>
      </w:r>
      <w:r>
        <w:rPr>
          <w:spacing w:val="-3"/>
        </w:rPr>
        <w:t>年 1</w:t>
      </w:r>
      <w:r>
        <w:rPr>
          <w:spacing w:val="-25"/>
        </w:rPr>
        <w:t xml:space="preserve"> </w:t>
      </w:r>
      <w:r>
        <w:rPr>
          <w:spacing w:val="-3"/>
        </w:rPr>
        <w:t>月</w:t>
      </w:r>
      <w:r>
        <w:rPr>
          <w:spacing w:val="-22"/>
        </w:rPr>
        <w:t xml:space="preserve"> </w:t>
      </w:r>
      <w:r>
        <w:rPr>
          <w:spacing w:val="-3"/>
        </w:rPr>
        <w:t>30 日公布的初步统</w:t>
      </w:r>
      <w:r>
        <w:t xml:space="preserve"> </w:t>
      </w:r>
      <w:r>
        <w:rPr>
          <w:spacing w:val="-2"/>
        </w:rPr>
        <w:t>计数据显示，2023</w:t>
      </w:r>
      <w:r>
        <w:rPr>
          <w:spacing w:val="-43"/>
        </w:rPr>
        <w:t xml:space="preserve"> </w:t>
      </w:r>
      <w:r>
        <w:rPr>
          <w:spacing w:val="-2"/>
        </w:rPr>
        <w:t>年欧元区和欧盟全年国</w:t>
      </w:r>
      <w:r>
        <w:rPr>
          <w:spacing w:val="-3"/>
        </w:rPr>
        <w:t>内生产总值（GDP）均增长</w:t>
      </w:r>
      <w:r>
        <w:rPr>
          <w:spacing w:val="-45"/>
        </w:rPr>
        <w:t xml:space="preserve"> </w:t>
      </w:r>
      <w:r>
        <w:rPr>
          <w:spacing w:val="-3"/>
        </w:rPr>
        <w:t>0.5%，第四季度环比零</w:t>
      </w:r>
      <w:r>
        <w:t xml:space="preserve"> </w:t>
      </w:r>
      <w:r>
        <w:rPr>
          <w:spacing w:val="-6"/>
        </w:rPr>
        <w:t>增长。其中，</w:t>
      </w:r>
      <w:r>
        <w:rPr>
          <w:spacing w:val="-31"/>
        </w:rPr>
        <w:t xml:space="preserve"> </w:t>
      </w:r>
      <w:r>
        <w:rPr>
          <w:spacing w:val="-6"/>
        </w:rPr>
        <w:t>葡萄牙、西班牙、比利时、拉脱维亚经济表现相对较好，</w:t>
      </w:r>
      <w:r>
        <w:rPr>
          <w:spacing w:val="-37"/>
        </w:rPr>
        <w:t xml:space="preserve"> </w:t>
      </w:r>
      <w:r>
        <w:rPr>
          <w:spacing w:val="-6"/>
        </w:rPr>
        <w:t>第四季度分别环比增</w:t>
      </w:r>
      <w:r>
        <w:t xml:space="preserve"> </w:t>
      </w:r>
      <w:r>
        <w:rPr>
          <w:spacing w:val="-5"/>
        </w:rPr>
        <w:t>长</w:t>
      </w:r>
      <w:r>
        <w:rPr>
          <w:spacing w:val="-42"/>
        </w:rPr>
        <w:t xml:space="preserve"> </w:t>
      </w:r>
      <w:r>
        <w:rPr>
          <w:spacing w:val="-5"/>
        </w:rPr>
        <w:t>0.8%、0.6%、0.4%和</w:t>
      </w:r>
      <w:r>
        <w:rPr>
          <w:spacing w:val="-42"/>
        </w:rPr>
        <w:t xml:space="preserve"> </w:t>
      </w:r>
      <w:r>
        <w:rPr>
          <w:spacing w:val="-5"/>
        </w:rPr>
        <w:t>0.4%；</w:t>
      </w:r>
      <w:r>
        <w:rPr>
          <w:spacing w:val="-6"/>
        </w:rPr>
        <w:t>爱尔兰、德国以及立陶宛经济表现不佳，环比下滑</w:t>
      </w:r>
      <w:r>
        <w:rPr>
          <w:spacing w:val="-42"/>
        </w:rPr>
        <w:t xml:space="preserve"> </w:t>
      </w:r>
      <w:r>
        <w:rPr>
          <w:spacing w:val="-6"/>
        </w:rPr>
        <w:t>0.7%、0.3%</w:t>
      </w:r>
      <w:r>
        <w:t xml:space="preserve"> </w:t>
      </w:r>
      <w:r>
        <w:rPr>
          <w:spacing w:val="-5"/>
        </w:rPr>
        <w:t>和</w:t>
      </w:r>
      <w:r>
        <w:rPr>
          <w:spacing w:val="-42"/>
        </w:rPr>
        <w:t xml:space="preserve"> </w:t>
      </w:r>
      <w:r>
        <w:rPr>
          <w:spacing w:val="-5"/>
        </w:rPr>
        <w:t>0.3%。受能源价格上涨、信贷成本增加等因素影响，</w:t>
      </w:r>
      <w:r>
        <w:rPr>
          <w:spacing w:val="-52"/>
        </w:rPr>
        <w:t xml:space="preserve"> </w:t>
      </w:r>
      <w:r>
        <w:rPr>
          <w:spacing w:val="-5"/>
        </w:rPr>
        <w:t>欧元区经济依然萎靡</w:t>
      </w:r>
      <w:r>
        <w:rPr>
          <w:spacing w:val="-6"/>
        </w:rPr>
        <w:t>不振。而作为欧</w:t>
      </w:r>
    </w:p>
    <w:p>
      <w:pPr>
        <w:pStyle w:val="BodyText"/>
        <w:spacing w:line="220" w:lineRule="auto"/>
        <w:ind w:left="38"/>
      </w:pPr>
      <w:r>
        <w:t>元区经济增长的引擎，德法两国经济低迷，对欧元区整体表现形</w:t>
      </w:r>
      <w:r>
        <w:rPr>
          <w:spacing w:val="-1"/>
        </w:rPr>
        <w:t>成拖累。</w:t>
      </w:r>
    </w:p>
    <w:p>
      <w:pPr>
        <w:pStyle w:val="BodyText"/>
        <w:spacing w:before="294" w:line="343" w:lineRule="auto"/>
        <w:ind w:left="36" w:right="55" w:firstLine="459"/>
        <w:sectPr>
          <w:headerReference w:type="default" r:id="rId14"/>
          <w:footerReference w:type="default" r:id="rId15"/>
          <w:pgSz w:w="11907" w:h="16839"/>
          <w:pgMar w:top="1118" w:right="1739" w:bottom="1139" w:left="1771" w:header="877" w:footer="962" w:gutter="0"/>
          <w:pgNumType w:start="7"/>
          <w:cols w:space="708"/>
        </w:sectPr>
      </w:pP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日本经济持续疲软，经济总量被德国反超</w:t>
      </w:r>
      <w:r>
        <w:rPr>
          <w:spacing w:val="-4"/>
        </w:rPr>
        <w:t>。</w:t>
      </w:r>
      <w:r>
        <w:rPr>
          <w:spacing w:val="-62"/>
        </w:rPr>
        <w:t xml:space="preserve"> </w:t>
      </w:r>
      <w:r>
        <w:rPr>
          <w:spacing w:val="-4"/>
        </w:rPr>
        <w:t>日本</w:t>
      </w:r>
      <w:r>
        <w:rPr>
          <w:spacing w:val="-5"/>
        </w:rPr>
        <w:t>内阁府</w:t>
      </w:r>
      <w:r>
        <w:rPr>
          <w:spacing w:val="-25"/>
        </w:rPr>
        <w:t xml:space="preserve"> </w:t>
      </w:r>
      <w:r>
        <w:rPr>
          <w:spacing w:val="-5"/>
        </w:rPr>
        <w:t>2024</w:t>
      </w:r>
      <w:r>
        <w:rPr>
          <w:spacing w:val="-28"/>
        </w:rPr>
        <w:t xml:space="preserve"> </w:t>
      </w:r>
      <w:r>
        <w:rPr>
          <w:spacing w:val="-5"/>
        </w:rPr>
        <w:t>年</w:t>
      </w:r>
      <w:r>
        <w:rPr>
          <w:spacing w:val="-27"/>
        </w:rPr>
        <w:t xml:space="preserve"> </w:t>
      </w:r>
      <w:r>
        <w:rPr>
          <w:spacing w:val="-5"/>
        </w:rPr>
        <w:t>2</w:t>
      </w:r>
      <w:r>
        <w:rPr>
          <w:spacing w:val="-23"/>
        </w:rPr>
        <w:t xml:space="preserve"> </w:t>
      </w:r>
      <w:r>
        <w:rPr>
          <w:spacing w:val="-5"/>
        </w:rPr>
        <w:t>月 15 日公布的初步</w:t>
      </w:r>
      <w:r>
        <w:t xml:space="preserve"> </w:t>
      </w:r>
      <w:r>
        <w:rPr>
          <w:spacing w:val="-2"/>
        </w:rPr>
        <w:t>统计结果显示，2023</w:t>
      </w:r>
      <w:r>
        <w:rPr>
          <w:spacing w:val="-28"/>
        </w:rPr>
        <w:t xml:space="preserve"> </w:t>
      </w:r>
      <w:r>
        <w:rPr>
          <w:spacing w:val="-2"/>
        </w:rPr>
        <w:t>年日本实际</w:t>
      </w:r>
      <w:r>
        <w:rPr>
          <w:spacing w:val="-32"/>
        </w:rPr>
        <w:t xml:space="preserve"> </w:t>
      </w:r>
      <w:r>
        <w:rPr>
          <w:spacing w:val="-2"/>
        </w:rPr>
        <w:t>GDP 同</w:t>
      </w:r>
      <w:r>
        <w:rPr>
          <w:spacing w:val="-3"/>
        </w:rPr>
        <w:t>比增长 1.9%，名义</w:t>
      </w:r>
      <w:r>
        <w:rPr>
          <w:spacing w:val="-32"/>
        </w:rPr>
        <w:t xml:space="preserve"> </w:t>
      </w:r>
      <w:r>
        <w:rPr>
          <w:spacing w:val="-3"/>
        </w:rPr>
        <w:t>GDP</w:t>
      </w:r>
      <w:r>
        <w:rPr>
          <w:spacing w:val="-31"/>
        </w:rPr>
        <w:t xml:space="preserve"> </w:t>
      </w:r>
      <w:r>
        <w:rPr>
          <w:spacing w:val="-3"/>
        </w:rPr>
        <w:t>增长</w:t>
      </w:r>
      <w:r>
        <w:rPr>
          <w:spacing w:val="-28"/>
        </w:rPr>
        <w:t xml:space="preserve"> </w:t>
      </w:r>
      <w:r>
        <w:rPr>
          <w:spacing w:val="-3"/>
        </w:rPr>
        <w:t>5.7%。2023</w:t>
      </w:r>
      <w:r>
        <w:rPr>
          <w:spacing w:val="-28"/>
        </w:rPr>
        <w:t xml:space="preserve"> </w:t>
      </w:r>
      <w:r>
        <w:rPr>
          <w:spacing w:val="-3"/>
        </w:rPr>
        <w:t>年第四季</w:t>
      </w:r>
      <w:r>
        <w:t xml:space="preserve"> </w:t>
      </w:r>
      <w:r>
        <w:rPr>
          <w:spacing w:val="-1"/>
        </w:rPr>
        <w:t>度，日本实际</w:t>
      </w:r>
      <w:r>
        <w:rPr>
          <w:spacing w:val="-36"/>
        </w:rPr>
        <w:t xml:space="preserve"> </w:t>
      </w:r>
      <w:r>
        <w:rPr>
          <w:spacing w:val="-1"/>
        </w:rPr>
        <w:t>GDP</w:t>
      </w:r>
      <w:r>
        <w:rPr>
          <w:spacing w:val="-42"/>
        </w:rPr>
        <w:t xml:space="preserve"> </w:t>
      </w:r>
      <w:r>
        <w:rPr>
          <w:spacing w:val="-1"/>
        </w:rPr>
        <w:t>环比下降</w:t>
      </w:r>
      <w:r>
        <w:rPr>
          <w:spacing w:val="-39"/>
        </w:rPr>
        <w:t xml:space="preserve"> </w:t>
      </w:r>
      <w:r>
        <w:rPr>
          <w:spacing w:val="-1"/>
        </w:rPr>
        <w:t>0.1%，换算成年率下降</w:t>
      </w:r>
      <w:r>
        <w:rPr>
          <w:spacing w:val="-42"/>
        </w:rPr>
        <w:t xml:space="preserve"> </w:t>
      </w:r>
      <w:r>
        <w:rPr>
          <w:spacing w:val="-1"/>
        </w:rPr>
        <w:t>0.4%，连续两个季度负增长。该季度，</w:t>
      </w:r>
      <w:r>
        <w:t xml:space="preserve"> </w:t>
      </w:r>
      <w:r>
        <w:t>占日本经济比重二分之一以上的个人消费环比下降</w:t>
      </w:r>
      <w:r>
        <w:rPr>
          <w:spacing w:val="-39"/>
        </w:rPr>
        <w:t xml:space="preserve"> </w:t>
      </w:r>
      <w:r>
        <w:t>0.</w:t>
      </w:r>
      <w:r>
        <w:rPr>
          <w:spacing w:val="-1"/>
        </w:rPr>
        <w:t>2%，企业设备投资减少</w:t>
      </w:r>
      <w:r>
        <w:rPr>
          <w:spacing w:val="-40"/>
        </w:rPr>
        <w:t xml:space="preserve"> </w:t>
      </w:r>
      <w:r>
        <w:rPr>
          <w:spacing w:val="-1"/>
        </w:rPr>
        <w:t>0.1%，均连续</w:t>
      </w:r>
      <w:r>
        <w:t xml:space="preserve"> </w:t>
      </w:r>
    </w:p>
    <w:p>
      <w:pPr>
        <w:pStyle w:val="BodyText"/>
        <w:spacing w:before="294" w:line="343" w:lineRule="auto"/>
        <w:ind w:left="36" w:right="55" w:firstLine="459"/>
      </w:pPr>
      <w:r>
        <w:rPr>
          <w:spacing w:val="-5"/>
        </w:rPr>
        <w:t>三个季度出现负增长；住宅投资下降</w:t>
      </w:r>
      <w:r>
        <w:rPr>
          <w:spacing w:val="-29"/>
        </w:rPr>
        <w:t xml:space="preserve"> </w:t>
      </w:r>
      <w:r>
        <w:rPr>
          <w:spacing w:val="-5"/>
        </w:rPr>
        <w:t>1.0%，连续两个</w:t>
      </w:r>
      <w:r>
        <w:rPr>
          <w:spacing w:val="-6"/>
        </w:rPr>
        <w:t>季度下降；货物及服务出口增长</w:t>
      </w:r>
      <w:r>
        <w:rPr>
          <w:spacing w:val="-40"/>
        </w:rPr>
        <w:t xml:space="preserve"> </w:t>
      </w:r>
      <w:r>
        <w:rPr>
          <w:spacing w:val="-6"/>
        </w:rPr>
        <w:t>2.6%，</w:t>
      </w:r>
      <w:r>
        <w:t xml:space="preserve"> </w:t>
      </w:r>
      <w:r>
        <w:rPr>
          <w:spacing w:val="-5"/>
        </w:rPr>
        <w:t>连续三个季度增长。</w:t>
      </w:r>
      <w:r>
        <w:rPr>
          <w:spacing w:val="-29"/>
        </w:rPr>
        <w:t xml:space="preserve"> </w:t>
      </w:r>
      <w:r>
        <w:rPr>
          <w:spacing w:val="-5"/>
        </w:rPr>
        <w:t>从绝对规模看， 2023</w:t>
      </w:r>
      <w:r>
        <w:rPr>
          <w:spacing w:val="-22"/>
        </w:rPr>
        <w:t xml:space="preserve"> </w:t>
      </w:r>
      <w:r>
        <w:rPr>
          <w:spacing w:val="-5"/>
        </w:rPr>
        <w:t>年日本名义国内生产</w:t>
      </w:r>
      <w:r>
        <w:rPr>
          <w:spacing w:val="-6"/>
        </w:rPr>
        <w:t>总值（GDP）为 4.2106 万亿</w:t>
      </w:r>
    </w:p>
    <w:p>
      <w:pPr>
        <w:pStyle w:val="BodyText"/>
        <w:spacing w:line="220" w:lineRule="auto"/>
        <w:ind w:left="38"/>
      </w:pPr>
      <w:r>
        <w:rPr>
          <w:spacing w:val="-4"/>
        </w:rPr>
        <w:t>美元， 被德国超越而降至世界第四位，成为全球经济关</w:t>
      </w:r>
      <w:r>
        <w:rPr>
          <w:spacing w:val="-5"/>
        </w:rPr>
        <w:t>注的焦点。</w:t>
      </w:r>
    </w:p>
    <w:p>
      <w:pPr>
        <w:spacing w:line="220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https://d.book118.com/358047112050006042</w:t>
        </w:r>
      </w:hyperlink>
    </w:p>
    <w:p>
      <w:pPr>
        <w:spacing w:line="220" w:lineRule="auto"/>
      </w:pPr>
    </w:p>
    <w:sectPr>
      <w:headerReference w:type="default" r:id="rId17"/>
      <w:footerReference w:type="default" r:id="rId18"/>
      <w:type w:val="nextPage"/>
      <w:pgSz w:w="11907" w:h="16839"/>
      <w:pgMar w:top="1118" w:right="1739" w:bottom="1139" w:left="1771" w:header="877" w:footer="962" w:gutter="0"/>
      <w:pgNumType w:start="8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4144"/>
      <w:rPr>
        <w:sz w:val="18"/>
        <w:szCs w:val="18"/>
      </w:rPr>
    </w:pPr>
    <w:r>
      <w:rPr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4144"/>
      <w:rPr>
        <w:sz w:val="18"/>
        <w:szCs w:val="18"/>
      </w:rPr>
    </w:pPr>
    <w:r>
      <w:rPr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4133"/>
      <w:rPr>
        <w:sz w:val="18"/>
        <w:szCs w:val="18"/>
      </w:rPr>
    </w:pPr>
    <w:r>
      <w:rPr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4148"/>
      <w:rPr>
        <w:sz w:val="18"/>
        <w:szCs w:val="18"/>
      </w:rPr>
    </w:pPr>
    <w:r>
      <w:rPr>
        <w:sz w:val="18"/>
        <w:szCs w:val="18"/>
      </w:rP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4144"/>
      <w:rPr>
        <w:sz w:val="18"/>
        <w:szCs w:val="18"/>
      </w:rPr>
    </w:pPr>
    <w:r>
      <w:rPr>
        <w:sz w:val="18"/>
        <w:szCs w:val="18"/>
      </w:rP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69" w:lineRule="auto"/>
      <w:ind w:left="4148"/>
      <w:rPr>
        <w:sz w:val="18"/>
        <w:szCs w:val="18"/>
      </w:rPr>
    </w:pPr>
    <w:r>
      <w:rPr>
        <w:sz w:val="18"/>
        <w:szCs w:val="18"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4146"/>
      <w:rPr>
        <w:sz w:val="18"/>
        <w:szCs w:val="18"/>
      </w:rPr>
    </w:pPr>
    <w:r>
      <w:rPr>
        <w:sz w:val="18"/>
        <w:szCs w:val="18"/>
      </w:rPr>
      <w:t>6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4146"/>
      <w:rPr>
        <w:sz w:val="18"/>
        <w:szCs w:val="18"/>
      </w:rPr>
    </w:pPr>
    <w:r>
      <w:rPr>
        <w:sz w:val="18"/>
        <w:szCs w:val="18"/>
      </w:rPr>
      <w:t>6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154"/>
      <w:rPr>
        <w:sz w:val="18"/>
        <w:szCs w:val="18"/>
      </w:rPr>
    </w:pPr>
    <w:r>
      <w:pict>
        <v:shape id="_x0000_s2049" style="width:418.3pt;height:0.75pt;margin-top:55.2pt;margin-left:88.58pt;mso-position-horizontal-relative:page;mso-position-vertical-relative:page;position:absolute;z-index:251658240" coordorigin="0,0" coordsize="8365,15" o:allowincell="f" path="m,14l8365,14l8365,l,l,14xe" filled="t" fillcolor="black" stroked="f"/>
      </w:pict>
    </w:r>
    <w:r>
      <w:rPr>
        <w:sz w:val="18"/>
        <w:szCs w:val="18"/>
      </w:rPr>
      <w:t>国研网</w:t>
    </w:r>
    <w:r>
      <w:rPr>
        <w:spacing w:val="-35"/>
        <w:sz w:val="18"/>
        <w:szCs w:val="18"/>
      </w:rPr>
      <w:t xml:space="preserve"> </w:t>
    </w:r>
    <w:r>
      <w:rPr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z w:val="18"/>
        <w:szCs w:val="18"/>
      </w:rPr>
      <w:t xml:space="preserve">年四季度交通运输业分析报告    </w:t>
    </w:r>
    <w:r>
      <w:rPr>
        <w:spacing w:val="-1"/>
        <w:sz w:val="18"/>
        <w:szCs w:val="18"/>
      </w:rPr>
      <w:t xml:space="preserve">                                   版权与免责声明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59"/>
      <w:rPr>
        <w:sz w:val="18"/>
        <w:szCs w:val="18"/>
      </w:rPr>
    </w:pPr>
    <w:r>
      <w:pict>
        <v:shape id="_x0000_s2050" style="width:418.3pt;height:0.75pt;margin-top:55.2pt;margin-left:88.58pt;mso-position-horizontal-relative:page;mso-position-vertical-relative:page;position:absolute;z-index:251659264" coordorigin="0,0" coordsize="8365,15" o:allowincell="f" path="m,14l8365,14l8365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7.95pt;height:12.85pt;margin-top:-1pt;margin-left:374.71pt;position:absolute;z-index:251660288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22" w:lineRule="auto"/>
                  <w:jc w:val="right"/>
                  <w:rPr>
                    <w:sz w:val="18"/>
                    <w:szCs w:val="18"/>
                  </w:rPr>
                </w:pPr>
                <w:r>
                  <w:rPr>
                    <w:spacing w:val="-33"/>
                    <w:sz w:val="18"/>
                    <w:szCs w:val="18"/>
                  </w:rPr>
                  <w:t>目</w:t>
                </w:r>
                <w:r>
                  <w:rPr>
                    <w:spacing w:val="-9"/>
                    <w:sz w:val="18"/>
                    <w:szCs w:val="18"/>
                  </w:rPr>
                  <w:t>录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19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年四季度交通运输业分析报告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59"/>
      <w:rPr>
        <w:sz w:val="18"/>
        <w:szCs w:val="18"/>
      </w:rPr>
    </w:pPr>
    <w:r>
      <w:pict>
        <v:shape id="_x0000_s2052" style="width:418.3pt;height:0.75pt;margin-top:55.2pt;margin-left:88.58pt;mso-position-horizontal-relative:page;mso-position-vertical-relative:page;position:absolute;z-index:251661312" coordorigin="0,0" coordsize="8365,15" o:allowincell="f" path="m,14l8365,14l8365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7.95pt;height:12.85pt;margin-top:-1pt;margin-left:374.71pt;position:absolute;z-index:251662336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22" w:lineRule="auto"/>
                  <w:jc w:val="right"/>
                  <w:rPr>
                    <w:sz w:val="18"/>
                    <w:szCs w:val="18"/>
                  </w:rPr>
                </w:pPr>
                <w:r>
                  <w:rPr>
                    <w:spacing w:val="-33"/>
                    <w:sz w:val="18"/>
                    <w:szCs w:val="18"/>
                  </w:rPr>
                  <w:t>目</w:t>
                </w:r>
                <w:r>
                  <w:rPr>
                    <w:spacing w:val="-9"/>
                    <w:sz w:val="18"/>
                    <w:szCs w:val="18"/>
                  </w:rPr>
                  <w:t>录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19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年四季度交通运输业分析报告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108"/>
      <w:rPr>
        <w:sz w:val="18"/>
        <w:szCs w:val="18"/>
      </w:rPr>
    </w:pPr>
    <w:r>
      <w:pict>
        <v:shape id="_x0000_s2054" style="width:418.3pt;height:0.75pt;margin-top:55.2pt;margin-left:88.58pt;mso-position-horizontal-relative:page;mso-position-vertical-relative:page;position:absolute;z-index:251663360" coordorigin="0,0" coordsize="8365,15" o:allowincell="f" path="m,14l8365,14l8365,l,l,14xe" filled="t" fillcolor="black" stroked="f"/>
      </w:pict>
    </w:r>
    <w:r>
      <w:rPr>
        <w:sz w:val="18"/>
        <w:szCs w:val="18"/>
      </w:rPr>
      <w:t>国研网</w:t>
    </w:r>
    <w:r>
      <w:rPr>
        <w:spacing w:val="-36"/>
        <w:sz w:val="18"/>
        <w:szCs w:val="18"/>
      </w:rPr>
      <w:t xml:space="preserve"> </w:t>
    </w:r>
    <w:r>
      <w:rPr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z w:val="18"/>
        <w:szCs w:val="18"/>
      </w:rPr>
      <w:t xml:space="preserve">年四季度交通运输业分析报告      </w:t>
    </w:r>
    <w:r>
      <w:rPr>
        <w:spacing w:val="-1"/>
        <w:sz w:val="18"/>
        <w:szCs w:val="18"/>
      </w:rPr>
      <w:t xml:space="preserve">                                行业发展环境分析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108"/>
      <w:rPr>
        <w:sz w:val="18"/>
        <w:szCs w:val="18"/>
      </w:rPr>
    </w:pPr>
    <w:r>
      <w:pict>
        <v:shape id="_x0000_s2055" style="width:418.3pt;height:0.75pt;margin-top:55.2pt;margin-left:88.58pt;mso-position-horizontal-relative:page;mso-position-vertical-relative:page;position:absolute;z-index:251664384" coordorigin="0,0" coordsize="8365,15" o:allowincell="f" path="m,14l8365,14l8365,l,l,14xe" filled="t" fillcolor="black" stroked="f"/>
      </w:pict>
    </w:r>
    <w:r>
      <w:rPr>
        <w:sz w:val="18"/>
        <w:szCs w:val="18"/>
      </w:rPr>
      <w:t>国研网</w:t>
    </w:r>
    <w:r>
      <w:rPr>
        <w:spacing w:val="-36"/>
        <w:sz w:val="18"/>
        <w:szCs w:val="18"/>
      </w:rPr>
      <w:t xml:space="preserve"> </w:t>
    </w:r>
    <w:r>
      <w:rPr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z w:val="18"/>
        <w:szCs w:val="18"/>
      </w:rPr>
      <w:t xml:space="preserve">年四季度交通运输业分析报告      </w:t>
    </w:r>
    <w:r>
      <w:rPr>
        <w:spacing w:val="-1"/>
        <w:sz w:val="18"/>
        <w:szCs w:val="18"/>
      </w:rPr>
      <w:t xml:space="preserve">                                行业发展环境分析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18"/>
      <w:szCs w:val="1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5.xml" /><Relationship Id="rId12" Type="http://schemas.openxmlformats.org/officeDocument/2006/relationships/header" Target="header3.xml" /><Relationship Id="rId13" Type="http://schemas.openxmlformats.org/officeDocument/2006/relationships/footer" Target="footer6.xml" /><Relationship Id="rId14" Type="http://schemas.openxmlformats.org/officeDocument/2006/relationships/header" Target="header4.xml" /><Relationship Id="rId15" Type="http://schemas.openxmlformats.org/officeDocument/2006/relationships/footer" Target="footer7.xml" /><Relationship Id="rId16" Type="http://schemas.openxmlformats.org/officeDocument/2006/relationships/hyperlink" Target="https://d.book118.com/358047112050006042" TargetMode="External" /><Relationship Id="rId17" Type="http://schemas.openxmlformats.org/officeDocument/2006/relationships/header" Target="header5.xml" /><Relationship Id="rId18" Type="http://schemas.openxmlformats.org/officeDocument/2006/relationships/footer" Target="footer8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1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行业季度分析报告</dc:title>
  <dc:creator>m-02</dc:creator>
  <cp:revision>0</cp:revision>
  <dcterms:created xsi:type="dcterms:W3CDTF">2024-03-04T20:18:58Z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2024-03-04T20:27:36Z</vt:filetime>
  </property>
  <property fmtid="{D5CDD505-2E9C-101B-9397-08002B2CF9AE}" pid="3" name="CRO">
    <vt:lpwstr>wqlLaW5nc29mdCBQREYgdG8gV1BTIDkw</vt:lpwstr>
  </property>
</Properties>
</file>