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00" w:lineRule="auto"/>
        <w:jc w:val="center"/>
        <w:rPr>
          <w:rFonts w:ascii="Times New Roman" w:hAnsi="Times New Roman" w:hint="default"/>
          <w:b/>
          <w:sz w:val="36"/>
          <w:szCs w:val="36"/>
        </w:rPr>
      </w:pPr>
      <w:r>
        <w:rPr>
          <w:rFonts w:ascii="Times New Roman" w:hAnsi="Times New Roman" w:cs="Times New Roman" w:hint="default"/>
          <w:b/>
          <w:sz w:val="36"/>
          <w:szCs w:val="36"/>
        </w:rPr>
        <w:t>湛江市2024届普通高中毕业班调研测试</w:t>
      </w:r>
    </w:p>
    <w:p>
      <w:pPr>
        <w:spacing w:line="300" w:lineRule="auto"/>
        <w:jc w:val="center"/>
        <w:rPr>
          <w:rFonts w:ascii="Times New Roman" w:hAnsi="Times New Roman" w:hint="default"/>
          <w:b/>
          <w:color w:val="000000"/>
          <w:sz w:val="32"/>
          <w:szCs w:val="32"/>
        </w:rPr>
      </w:pPr>
      <w:r>
        <w:rPr>
          <w:rFonts w:ascii="Times New Roman" w:hAnsi="Times New Roman" w:cs="Times New Roman" w:hint="default"/>
          <w:b/>
          <w:color w:val="000000"/>
          <w:sz w:val="32"/>
          <w:szCs w:val="32"/>
        </w:rPr>
        <w:t>化学答案</w:t>
      </w:r>
    </w:p>
    <w:p>
      <w:pPr>
        <w:spacing w:line="300" w:lineRule="auto"/>
        <w:rPr>
          <w:rFonts w:ascii="Times New Roman" w:hAnsi="Times New Roman" w:hint="default"/>
          <w:color w:val="000000"/>
          <w:szCs w:val="21"/>
        </w:rPr>
      </w:pPr>
    </w:p>
    <w:p>
      <w:pPr>
        <w:spacing w:line="30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1．C【解析】青铜是在纯铜中加入锡或铅制得的合金，C错误。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2．B【解析】天然气属于一次能源，被消耗后不可再生，在燃烧时会产生污染环境的气体，不属于新能源，A错误；合金比成分金属硬度更大、韧性更好，B正确；石油的分馏属于物理变化，C错误；铜没有铁活泼，不可失去电子牺牲阳极保障船体不易被腐蚀，D错误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3．C【解析】姜汁撞奶中的牛奶为胶体分散系，加入姜汁发生聚沉，制作方法中包含了胶体聚沉的原理，A正确；蚝壳的主要成分是碳酸钙，B正确；孔雀毛和马尾的主要成分是蛋白质，C错误；烟花利用了“焰色试验”原理，焰色试验属于物理变化，D正确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4．B【解析】乙烯和酸性高锰酸钾生成杂质气体二氧化碳，A错误；生石灰和水反应放出大量的热，促使浓氨水挥发出氨气，B正确；直接蒸发会导致亚硫酸钠被空气中氧气氧化为硫酸钠，C错误；制备乙酸乙酯的反应需要用浓硫酸作催化剂，且乙酸乙酯会和氢氧化钠反应，应该使用饱和碳酸钠溶液</w:t>
      </w:r>
      <w:bookmarkStart w:id="0" w:name="_GoBack"/>
      <w:bookmarkEnd w:id="0"/>
      <w:r>
        <w:rPr>
          <w:rFonts w:ascii="Times New Roman" w:hAnsi="Times New Roman" w:cs="Times New Roman" w:hint="default"/>
          <w:color w:val="000000"/>
          <w:szCs w:val="21"/>
        </w:rPr>
        <w:t>收集，D错误。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5．A【解析】金刚石的晶胞中一个碳原子与其他四个碳原子构成正四面体，A正确；基态溴原子电子占据的最高能级是p能级，电子云轮廓图是哑铃形，B错误；</w:t>
      </w:r>
      <w:r>
        <w:rPr>
          <w:rFonts w:ascii="Times New Roman" w:hAnsi="Times New Roman" w:cs="Times New Roman" w:hint="default"/>
          <w:color w:val="000000"/>
          <w:position w:val="-10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95pt;height:18pt" o:oleicon="f" o:ole="" coordsize="21600,21600" o:preferrelative="t" filled="f" stroked="f">
            <v:imagedata r:id="rId4" o:title=""/>
            <o:lock v:ext="edit" aspectratio="t"/>
            <w10:anchorlock/>
          </v:shape>
          <o:OLEObject Type="Embed" ProgID="Equation.3" ShapeID="_x0000_i1025" DrawAspect="Content" ObjectID="_1468075725" r:id="rId5"/>
        </w:object>
      </w:r>
      <w:r>
        <w:rPr>
          <w:rFonts w:ascii="Times New Roman" w:hAnsi="Times New Roman" w:cs="Times New Roman" w:hint="default"/>
          <w:color w:val="000000"/>
          <w:szCs w:val="21"/>
        </w:rPr>
        <w:t>的空间结构是正四面体，C错误；CH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default"/>
          <w:color w:val="000000"/>
          <w:szCs w:val="21"/>
        </w:rPr>
        <w:t>的电子式中碳原子周围是6个电子，D错误。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 w:cs="Times New Roman" w:hint="default"/>
          <w:color w:val="000000"/>
          <w:szCs w:val="21"/>
        </w:rPr>
        <w:t>6．D【解析】氮的固定是游离态变为化合态，A正确；氨化作用中N元素化合价都是－3价，反硝化作用中氮元素降价被还原，B正确；海水富营养化，可能导致藻类大量繁殖，这些藻类生长消耗大量氧气，造成水体缺氧，促进反硝化作用生成N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O，C正确；在NH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default"/>
          <w:color w:val="000000"/>
          <w:szCs w:val="21"/>
        </w:rPr>
        <w:t>、R—NH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中N原子的杂化方式为sp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，NO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-</w:t>
      </w:r>
      <w:r>
        <w:rPr>
          <w:rFonts w:ascii="Times New Roman" w:hAnsi="Times New Roman" w:cs="Times New Roman" w:hint="default"/>
          <w:color w:val="000000"/>
          <w:szCs w:val="21"/>
        </w:rPr>
        <w:t>和NO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-</w:t>
      </w:r>
      <w:r>
        <w:rPr>
          <w:rFonts w:ascii="Times New Roman" w:hAnsi="Times New Roman" w:cs="Times New Roman" w:hint="default"/>
          <w:color w:val="000000"/>
          <w:szCs w:val="21"/>
        </w:rPr>
        <w:t>中N原子的杂化方式为sp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，D错误。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7．A【解析】用食醋除去水壶中的水垢（主要成分为碳酸钙），利用的是乙酸酸性强于碳酸，A错误；氢氧化镁的溶解度小于氢氧化钙，用熟石灰沉淀法富集海水中的Mg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2+</w:t>
      </w:r>
      <w:r>
        <w:rPr>
          <w:rFonts w:ascii="Times New Roman" w:hAnsi="Times New Roman" w:cs="Times New Roman" w:hint="default"/>
          <w:color w:val="000000"/>
          <w:szCs w:val="21"/>
        </w:rPr>
        <w:t>，生成氢氧化镁，B正确；铜矿中的铜元素高温烧结生成Cu</w:t>
      </w:r>
      <w:r>
        <w:rPr>
          <w:rFonts w:ascii="Times New Roman" w:hAnsi="Times New Roman" w:cs="Times New Roman" w:hint="default"/>
          <w:color w:val="000000"/>
          <w:szCs w:val="21"/>
        </w:rPr>
        <w:softHyphen/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O，呈红色，C正确；二氧化硫有还原性，添加适量二氧化硫可以起到抗氧化的作用，D正确。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8．B【解析】漂粉精的主要成分是Ca(ClO)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，该物质具有强氧化性，可与浓盐酸反应生成氯气，A正确；要验证干燥的氯气不能使有色布条褪色，应该用干燥剂干燥氯气然后用于燥的有色布条检验，所以a、b应分别放湿润和干燥的有色布条，B错误；③中溶液变黄，生成溴单质，说明氯水具有氧化性，品红溶液褪色说明氯水具有漂白性，C正确；铜在氯气中燃烧产生棕黄色烟，D正确。</w:t>
      </w:r>
    </w:p>
    <w:p>
      <w:pPr>
        <w:spacing w:line="300" w:lineRule="auto"/>
        <w:ind w:left="360" w:hanging="360" w:hangingChars="15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9．B【解析】苯环可以和氢气发生加成反应，羧基可以发生酯化反应，为取代反应，布洛芬可以被酸性高锰酸钾溶液氧化，A正确；根据布洛芬的结构简式可知，苯环中最多有11个碳原子位于同一平面，B错误；对乙酰氨基酚中羟基和酰胺基都可以与NaOH反应，C正确；1 mol对乙酰氨基酚分子中含有的σ键数目为20</w:t>
      </w:r>
      <w:r>
        <w:rPr>
          <w:rFonts w:ascii="Times New Roman" w:hAnsi="Times New Roman" w:cs="Times New Roman" w:hint="default"/>
          <w:i/>
          <w:color w:val="000000"/>
          <w:szCs w:val="21"/>
        </w:rPr>
        <w:t>N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A</w:t>
      </w:r>
      <w:r>
        <w:rPr>
          <w:rFonts w:ascii="Times New Roman" w:hAnsi="Times New Roman" w:cs="Times New Roman" w:hint="default"/>
          <w:color w:val="000000"/>
          <w:szCs w:val="21"/>
        </w:rPr>
        <w:t>，D正确。</w:t>
      </w:r>
    </w:p>
    <w:p>
      <w:pPr>
        <w:adjustRightInd w:val="0"/>
        <w:snapToGrid w:val="0"/>
        <w:spacing w:line="300" w:lineRule="auto"/>
        <w:ind w:left="480" w:hanging="480" w:hangingChars="20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10．C【解析】向NaHSO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color w:val="000000"/>
          <w:szCs w:val="21"/>
        </w:rPr>
        <w:t>中滴加少量Ba( HCO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)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溶液：2HCO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-</w:t>
      </w:r>
      <w:r>
        <w:rPr>
          <w:rFonts w:ascii="Times New Roman" w:hAnsi="Times New Roman" w:cs="Times New Roman" w:hint="default"/>
          <w:color w:val="000000"/>
          <w:szCs w:val="21"/>
        </w:rPr>
        <w:t xml:space="preserve"> +2H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default"/>
          <w:color w:val="000000"/>
          <w:szCs w:val="21"/>
        </w:rPr>
        <w:t>+SO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2-</w:t>
      </w:r>
      <w:r>
        <w:rPr>
          <w:rFonts w:ascii="Times New Roman" w:hAnsi="Times New Roman" w:cs="Times New Roman" w:hint="default"/>
          <w:color w:val="000000"/>
          <w:szCs w:val="21"/>
        </w:rPr>
        <w:t>+Ba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2+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pict>
          <v:shape id="_x0000_i1026" type="#_x0000_t75" style="width:21.05pt;height:2.5pt" coordsize="21600,21600" filled="f" stroked="f">
            <v:imagedata r:id="rId12" o:title="HWOCRTEMP_ROC490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/>
          <w:szCs w:val="21"/>
        </w:rPr>
        <w:t>BaSO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color w:val="000000"/>
          <w:szCs w:val="21"/>
        </w:rPr>
        <w:t>↓+2CO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↑+2H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O，A错误；向有AgCl沉淀的溶液中滴加氨水，沉淀消失：AgCl+2NH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pict>
          <v:shape id="_x0000_i1027" type="#_x0000_t75" style="width:21.25pt;height:2.7pt" coordsize="21600,21600" filled="f" stroked="f">
            <v:imagedata r:id="rId13" o:title="HWOCRTEMP_ROC500"/>
            <o:lock v:ext="edit" aspectratio="t"/>
            <w10:anchorlock/>
          </v:shape>
        </w:pict>
      </w:r>
      <w:r>
        <w:rPr>
          <w:rFonts w:ascii="Times New Roman" w:hAnsi="Times New Roman" w:cs="Times New Roman" w:hint="default"/>
          <w:color w:val="000000"/>
          <w:szCs w:val="21"/>
        </w:rPr>
        <w:t>[Ag(NH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3</w:t>
      </w:r>
      <w:r>
        <w:rPr>
          <w:rFonts w:ascii="Times New Roman" w:hAnsi="Times New Roman" w:cs="Times New Roman" w:hint="default"/>
          <w:color w:val="000000"/>
          <w:szCs w:val="21"/>
        </w:rPr>
        <w:t>)</w:t>
      </w:r>
      <w:r>
        <w:rPr>
          <w:rFonts w:ascii="Times New Roman" w:hAnsi="Times New Roman" w:cs="Times New Roman" w:hint="default"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color w:val="000000"/>
          <w:szCs w:val="21"/>
        </w:rPr>
        <w:t>]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+</w:t>
      </w:r>
      <w:r>
        <w:rPr>
          <w:rFonts w:ascii="Times New Roman" w:hAnsi="Times New Roman" w:cs="Times New Roman" w:hint="default"/>
          <w:color w:val="000000"/>
          <w:szCs w:val="21"/>
        </w:rPr>
        <w:t>+Cl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-</w:t>
      </w:r>
      <w:r>
        <w:rPr>
          <w:rFonts w:ascii="Times New Roman" w:hAnsi="Times New Roman" w:cs="Times New Roman" w:hint="default"/>
          <w:color w:val="000000"/>
          <w:szCs w:val="21"/>
        </w:rPr>
        <w:t>，B错误；离子还原性：I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-</w:t>
      </w:r>
      <w:r>
        <w:rPr>
          <w:rFonts w:ascii="Times New Roman" w:hAnsi="Times New Roman" w:cs="Times New Roman" w:hint="default"/>
          <w:color w:val="000000"/>
          <w:szCs w:val="21"/>
        </w:rPr>
        <w:t xml:space="preserve"> &gt;Fe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2+</w:t>
      </w:r>
      <w:r>
        <w:rPr>
          <w:rFonts w:ascii="Times New Roman" w:hAnsi="Times New Roman" w:cs="Times New Roman" w:hint="default"/>
          <w:color w:val="000000"/>
          <w:szCs w:val="21"/>
        </w:rPr>
        <w:t>，通入氯气后按照还原性强弱依次反应，由题意可知两种离子的物质的量之比为1:4，C正确；水解是可逆的，D错误。</w:t>
      </w:r>
    </w:p>
    <w:p>
      <w:pPr>
        <w:adjustRightInd w:val="0"/>
        <w:snapToGrid w:val="0"/>
        <w:spacing w:line="300" w:lineRule="auto"/>
        <w:ind w:left="480" w:hanging="480" w:hangingChars="20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11．D【解析】观察晶胞图示，钡离子位于体心，8个位于顶点的钛离子与钡离子最近，A正确；已知晶胞边长为</w:t>
      </w:r>
      <w:r>
        <w:rPr>
          <w:rFonts w:ascii="Times New Roman" w:hAnsi="Times New Roman" w:cs="Times New Roman" w:hint="default"/>
          <w:i/>
          <w:color w:val="000000"/>
          <w:szCs w:val="21"/>
        </w:rPr>
        <w:t xml:space="preserve">a </w:t>
      </w:r>
      <w:r>
        <w:rPr>
          <w:rFonts w:ascii="Times New Roman" w:hAnsi="Times New Roman" w:cs="Times New Roman" w:hint="default"/>
          <w:color w:val="000000"/>
          <w:szCs w:val="21"/>
        </w:rPr>
        <w:t>pm，O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2-</w:t>
      </w:r>
      <w:r>
        <w:rPr>
          <w:rFonts w:ascii="Times New Roman" w:hAnsi="Times New Roman" w:cs="Times New Roman" w:hint="default"/>
          <w:color w:val="000000"/>
          <w:szCs w:val="21"/>
        </w:rPr>
        <w:t>的半径为</w:t>
      </w:r>
      <w:r>
        <w:rPr>
          <w:rFonts w:ascii="Times New Roman" w:hAnsi="Times New Roman" w:cs="Times New Roman" w:hint="default"/>
          <w:i/>
          <w:color w:val="000000"/>
          <w:szCs w:val="21"/>
        </w:rPr>
        <w:t xml:space="preserve">b </w:t>
      </w:r>
      <w:r>
        <w:rPr>
          <w:rFonts w:ascii="Times New Roman" w:hAnsi="Times New Roman" w:cs="Times New Roman" w:hint="default"/>
          <w:color w:val="000000"/>
          <w:szCs w:val="21"/>
        </w:rPr>
        <w:t>pm，根据图示，晶胞边长=2</w:t>
      </w:r>
      <w:r>
        <w:rPr>
          <w:rFonts w:ascii="Times New Roman" w:hAnsi="Times New Roman" w:cs="Times New Roman" w:hint="default"/>
          <w:i/>
          <w:color w:val="000000"/>
          <w:szCs w:val="21"/>
        </w:rPr>
        <w:t>r</w:t>
      </w:r>
      <w:r>
        <w:rPr>
          <w:rFonts w:ascii="Times New Roman" w:hAnsi="Times New Roman" w:cs="Times New Roman" w:hint="default"/>
          <w:color w:val="000000"/>
          <w:szCs w:val="21"/>
        </w:rPr>
        <w:t>( Ti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4+</w:t>
      </w:r>
      <w:r>
        <w:rPr>
          <w:rFonts w:ascii="Times New Roman" w:hAnsi="Times New Roman" w:cs="Times New Roman" w:hint="default"/>
          <w:color w:val="000000"/>
          <w:szCs w:val="21"/>
        </w:rPr>
        <w:t>) +2</w:t>
      </w:r>
      <w:r>
        <w:rPr>
          <w:rFonts w:ascii="Times New Roman" w:hAnsi="Times New Roman" w:cs="Times New Roman" w:hint="default"/>
          <w:i/>
          <w:color w:val="000000"/>
          <w:szCs w:val="21"/>
        </w:rPr>
        <w:t>r</w:t>
      </w:r>
      <w:r>
        <w:rPr>
          <w:rFonts w:ascii="Times New Roman" w:hAnsi="Times New Roman" w:cs="Times New Roman" w:hint="default"/>
          <w:color w:val="000000"/>
          <w:szCs w:val="21"/>
        </w:rPr>
        <w:t>(O</w:t>
      </w:r>
      <w:r>
        <w:rPr>
          <w:rFonts w:ascii="Times New Roman" w:hAnsi="Times New Roman" w:cs="Times New Roman" w:hint="default"/>
          <w:color w:val="000000"/>
          <w:szCs w:val="21"/>
          <w:vertAlign w:val="superscript"/>
        </w:rPr>
        <w:t>2-</w:t>
      </w:r>
      <w:r>
        <w:rPr>
          <w:rFonts w:ascii="Times New Roman" w:hAnsi="Times New Roman" w:cs="Times New Roman" w:hint="default"/>
          <w:color w:val="000000"/>
          <w:szCs w:val="21"/>
        </w:rPr>
        <w:t>)=</w:t>
      </w:r>
      <w:r>
        <w:rPr>
          <w:rFonts w:ascii="Times New Roman" w:hAnsi="Times New Roman" w:cs="Times New Roman" w:hint="default"/>
          <w:i/>
          <w:color w:val="000000"/>
          <w:szCs w:val="21"/>
        </w:rPr>
        <w:t xml:space="preserve">a </w:t>
      </w:r>
      <w:r>
        <w:rPr>
          <w:rFonts w:ascii="Times New Roman" w:hAnsi="Times New Roman" w:cs="Times New Roman" w:hint="default"/>
          <w:color w:val="000000"/>
          <w:szCs w:val="21"/>
        </w:rPr>
        <w:t>pm，则</w:t>
      </w:r>
      <w:r>
        <w:rPr>
          <w:rFonts w:ascii="Times New Roman" w:hAnsi="Times New Roman" w:cs="Times New Roman" w:hint="default"/>
          <w:color w:val="000000"/>
          <w:position w:val="-24"/>
          <w:szCs w:val="21"/>
        </w:rPr>
        <w:object>
          <v:shape id="_x0000_i1028" type="#_x0000_t75" style="width:157pt;height:33pt" o:oleicon="f" o:ole="" coordsize="21600,21600" o:preferrelative="t" filled="f" stroked="f">
            <v:imagedata r:id="rId14" o:title=""/>
            <o:lock v:ext="edit" aspectratio="t"/>
            <w10:anchorlock/>
          </v:shape>
          <o:OLEObject Type="Embed" ProgID="Equation.3" ShapeID="_x0000_i1028" DrawAspect="Content" ObjectID="_1468075726" r:id="rId15"/>
        </w:object>
      </w:r>
      <w:r>
        <w:rPr>
          <w:rFonts w:ascii="Times New Roman" w:hAnsi="Times New Roman" w:cs="Times New Roman" w:hint="default"/>
          <w:color w:val="000000"/>
          <w:szCs w:val="21"/>
        </w:rPr>
        <w:t>(pm)，B正确；根据晶胞图示，Ti位于晶胞的顶点，Ti的数目为</w:t>
      </w:r>
      <w:r>
        <w:rPr>
          <w:rFonts w:ascii="Times New Roman" w:hAnsi="Times New Roman" w:cs="Times New Roman" w:hint="default"/>
          <w:color w:val="000000"/>
          <w:position w:val="-24"/>
          <w:szCs w:val="21"/>
        </w:rPr>
        <w:object>
          <v:shape id="_x0000_i1029" type="#_x0000_t75" style="width:42pt;height:31pt" o:oleicon="f" o:ole="" coordsize="21600,21600" o:preferrelative="t" filled="f" stroked="f">
            <v:imagedata r:id="rId16" o:title=""/>
            <o:lock v:ext="edit" aspectratio="t"/>
            <w10:anchorlock/>
          </v:shape>
          <o:OLEObject Type="Embed" ProgID="Equation.3" ShapeID="_x0000_i1029" DrawAspect="Content" ObjectID="_1468075727" r:id="rId17"/>
        </w:object>
      </w:r>
      <w:r>
        <w:rPr>
          <w:rFonts w:ascii="Times New Roman" w:hAnsi="Times New Roman" w:cs="Times New Roman" w:hint="default"/>
          <w:color w:val="000000"/>
          <w:szCs w:val="21"/>
        </w:rPr>
        <w:t>，Ba位于晶胞的内部，数目为1，O位于晶胞的棱上，其数目为</w:t>
      </w:r>
      <w:r>
        <w:rPr>
          <w:rFonts w:ascii="Times New Roman" w:hAnsi="Times New Roman" w:hint="default"/>
          <w:color w:val="000000"/>
          <w:szCs w:val="21"/>
        </w:rPr>
        <w:br/>
      </w:r>
      <w:r>
        <w:rPr>
          <w:rFonts w:ascii="Times New Roman" w:hAnsi="Times New Roman" w:hint="default"/>
          <w:color w:val="00000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https://d.book118.com/358071050065006036</w:t>
        </w:r>
      </w:hyperlink>
    </w:p>
    <w:p>
      <w:pPr>
        <w:adjustRightInd w:val="0"/>
        <w:snapToGrid w:val="0"/>
        <w:spacing w:line="300" w:lineRule="auto"/>
        <w:ind w:left="480" w:hanging="480" w:hangingChars="200"/>
        <w:rPr>
          <w:rFonts w:ascii="Times New Roman" w:hAnsi="Times New Roman" w:hint="default"/>
          <w:color w:val="000000"/>
          <w:szCs w:val="21"/>
        </w:rPr>
      </w:pPr>
    </w:p>
    <w:sectPr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wmf" /><Relationship Id="rId15" Type="http://schemas.openxmlformats.org/officeDocument/2006/relationships/oleObject" Target="embeddings/oleObject2.bin" /><Relationship Id="rId16" Type="http://schemas.openxmlformats.org/officeDocument/2006/relationships/image" Target="media/image5.wmf" /><Relationship Id="rId17" Type="http://schemas.openxmlformats.org/officeDocument/2006/relationships/oleObject" Target="embeddings/oleObject3.bin" /><Relationship Id="rId18" Type="http://schemas.openxmlformats.org/officeDocument/2006/relationships/hyperlink" Target="https://d.book118.com/358071050065006036" TargetMode="Externa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wmf" /><Relationship Id="rId5" Type="http://schemas.openxmlformats.org/officeDocument/2006/relationships/oleObject" Target="embeddings/oleObject1.bin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