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2333" w14:paraId="2F9587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333" w14:paraId="4BF407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333" w14:paraId="62818A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333" w:rsidRPr="00812333" w14:paraId="337DC31A" w14:textId="587DD0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2333">
        <w:rPr>
          <w:rFonts w:ascii="宋体" w:eastAsia="宋体" w:hAnsi="宋体" w:hint="eastAsia"/>
          <w:b/>
          <w:sz w:val="60"/>
        </w:rPr>
        <w:t>核能及配套产品项目绩效评估报告</w:t>
      </w:r>
    </w:p>
    <w:p w:rsidR="00812333" w:rsidP="00812333" w14:paraId="45EC58B4" w14:textId="1BAC13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2333">
        <w:rPr>
          <w:rFonts w:ascii="仿宋" w:eastAsia="仿宋" w:hAnsi="仿宋" w:hint="eastAsia"/>
          <w:b/>
          <w:sz w:val="40"/>
        </w:rPr>
        <w:t>目录</w:t>
      </w:r>
    </w:p>
    <w:p w:rsidR="00812333" w14:paraId="237C9554" w14:textId="1AEFDA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333" w14:paraId="7D796CA4" w14:textId="6FD838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333" w14:paraId="3649B81B" w14:textId="6BC2B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(一)、核能及配套产品项目选址原则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333" w14:paraId="4528A645" w14:textId="23AA7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333" w14:paraId="437F8354" w14:textId="297B9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2333" w14:paraId="0DDDF454" w14:textId="4925D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2333" w14:paraId="16F2E095" w14:textId="35849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(五)、核能及配套产品项目选址综合评价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2333" w14:paraId="7E9E7217" w14:textId="3B0DBD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2333" w14:paraId="1F8BE4E1" w14:textId="2FB5C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2333" w14:paraId="54D83D6A" w14:textId="13EAC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2333" w14:paraId="06B8F5C3" w14:textId="697EF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三、核能及配套产品项目规划进度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2333" w14:paraId="00B8DCB0" w14:textId="0B68C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(一)、核能及配套产品项目进度安排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2333" w14:paraId="4EF6EACF" w14:textId="6895F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(二)、核能及配套产品项目实施保障措施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2333" w14:paraId="719ADABE" w14:textId="5119F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2333" w14:paraId="5CC6A4A1" w14:textId="30BEB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(四)、核能及配套产品项目进度监控与调整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2333" w14:paraId="4BA6AD33" w14:textId="2019F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2333" w14:paraId="544F48E7" w14:textId="24F30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四、核能及配套产品项目承办单位基本情况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2333" w14:paraId="00ACBBC9" w14:textId="25C69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2333" w14:paraId="7DACB6C7" w14:textId="671C9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2333" w14:paraId="65ECE94D" w14:textId="202C4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2333" w14:paraId="4CBF21D6" w14:textId="142ECFE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2333" w14:paraId="5B81FA0A" w14:textId="4CBF4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2333" w14:paraId="24622FAB" w14:textId="2E206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(一)、核能及配套产品项目工程设计总体要求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2333" w14:paraId="65CB8B62" w14:textId="6ABB1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2333" w14:paraId="4CAF2DC1" w14:textId="57DBF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2333" w14:paraId="777B2851" w14:textId="74E5F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2333" w14:paraId="4AC69825" w14:textId="6868B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2333" w14:paraId="3FC7B2DC" w14:textId="1FA48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12333" w14:paraId="6B257F94" w14:textId="4DB8D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2333" w14:paraId="189C52EB" w14:textId="1EC42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2333" w14:paraId="4025C87A" w14:textId="2BAFF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2333" w14:paraId="0488D8A0" w14:textId="34A6D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12333" w14:paraId="10EB1F9C" w14:textId="198CC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(三)、核能及配套产品项目盈利能力分析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12333" w14:paraId="272860F7" w14:textId="36A5A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12333" w14:paraId="531CAD89" w14:textId="31172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12333" w14:paraId="0E3A3764" w14:textId="48934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12333" w14:paraId="6A6BA9E7" w14:textId="1A02D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2333" w14:paraId="3F61F40F" w14:textId="0C982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(一)、核能及配套产品项目风险分析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2333" w14:paraId="2BDCC7EE" w14:textId="1E4D5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(二)、核能及配套产品项目风险对策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2333" w14:paraId="4FEEBF31" w14:textId="3CF3E5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12333" w14:paraId="15298A74" w14:textId="77F35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12333" w14:paraId="75B13AD6" w14:textId="03E21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12333" w14:paraId="2B2B1483" w14:textId="459408A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12333" w14:paraId="2EBEA74E" w14:textId="0F390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12333" w14:paraId="63251A46" w14:textId="5E600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12333" w14:paraId="216DDF73" w14:textId="4735B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12333" w14:paraId="0F220776" w14:textId="09DBA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2333" w14:paraId="2784F4B0" w14:textId="1E090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2333" w14:paraId="32ABCDF8" w14:textId="27645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2333" w14:paraId="04096842" w14:textId="4A8267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12333" w14:paraId="77F15230" w14:textId="3EA66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12333" w14:paraId="7FEAEDB3" w14:textId="418BF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12333" w14:paraId="72ADEC60" w14:textId="2D215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12333" w14:paraId="155224ED" w14:textId="7C345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12333" w14:paraId="0B5F49EE" w14:textId="3FF72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12333" w14:paraId="61A3DAEB" w14:textId="0AF5D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12333" w14:paraId="661250B2" w14:textId="437FC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12333" w14:paraId="67AEA902" w14:textId="5B70DF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12333" w14:paraId="3296A498" w14:textId="513A0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12333" w14:paraId="58352027" w14:textId="40BED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12333" w14:paraId="091F5635" w14:textId="2D4B9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12333" w14:paraId="123AE129" w14:textId="6D2AB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12333" w14:paraId="77DC9451" w14:textId="45271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12333" w14:paraId="6432F0FE" w14:textId="16B82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12333" w14:paraId="11542CFF" w14:textId="587E8CD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12333" w14:paraId="654EFB9D" w14:textId="7AD43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2333" w14:paraId="2217B318" w14:textId="404B6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2333" w14:paraId="023E5945" w14:textId="5C812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2333" w14:paraId="2CF34C5D" w14:textId="1894B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_Toc153662887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12333" w:rsidP="00812333" w14:paraId="38923028" w14:textId="0CC54A4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12333" w:rsidP="00812333" w14:paraId="3CB1193C" w14:textId="5D203B5C">
      <w:pPr>
        <w:pStyle w:val="Heading1"/>
        <w:jc w:val="center"/>
        <w:rPr>
          <w:rFonts w:hint="eastAsia"/>
        </w:rPr>
      </w:pPr>
      <w:bookmarkStart w:id="0" w:name="_Toc153662819"/>
      <w:r w:rsidRPr="00812333">
        <w:rPr>
          <w:rFonts w:hint="eastAsia"/>
        </w:rPr>
        <w:t>序言</w:t>
      </w:r>
      <w:bookmarkEnd w:id="0"/>
    </w:p>
    <w:p w:rsidR="00812333" w:rsidP="00812333" w14:paraId="38ED4282" w14:textId="011D379E">
      <w:pPr>
        <w:ind w:firstLine="560" w:firstLineChars="200"/>
        <w:rPr>
          <w:rFonts w:ascii="仿宋" w:eastAsia="仿宋" w:hint="eastAsia"/>
          <w:sz w:val="28"/>
        </w:rPr>
      </w:pPr>
      <w:r w:rsidRPr="00812333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12333" w:rsidP="00812333" w14:paraId="57CEB672" w14:textId="303A0AEE">
      <w:pPr>
        <w:pStyle w:val="Heading1"/>
        <w:rPr>
          <w:rFonts w:hint="eastAsia"/>
        </w:rPr>
      </w:pPr>
      <w:bookmarkStart w:id="1" w:name="_Toc153662820"/>
      <w:r w:rsidRPr="00812333">
        <w:rPr>
          <w:rFonts w:hint="eastAsia"/>
        </w:rPr>
        <w:t>一、选址分析</w:t>
      </w:r>
      <w:bookmarkEnd w:id="1"/>
    </w:p>
    <w:p w:rsidR="00812333" w:rsidP="00812333" w14:paraId="5D2A1F4C" w14:textId="33FF8F96">
      <w:pPr>
        <w:pStyle w:val="Heading2"/>
      </w:pPr>
      <w:bookmarkStart w:id="2" w:name="_Toc153662821"/>
      <w:r w:rsidRPr="00812333">
        <w:t>(一)、核能及配套产品项目选址原则</w:t>
      </w:r>
      <w:bookmarkEnd w:id="2"/>
    </w:p>
    <w:p w:rsidR="00812333" w:rsidP="00812333" w14:paraId="63A1DC14" w14:textId="5384DEE1">
      <w:pPr>
        <w:ind w:firstLine="560" w:firstLineChars="200"/>
        <w:rPr>
          <w:rFonts w:ascii="仿宋" w:eastAsia="仿宋" w:hAnsi="仿宋" w:hint="eastAsia"/>
          <w:sz w:val="28"/>
        </w:rPr>
      </w:pPr>
      <w:r w:rsidRPr="00812333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核能及配套产品项目的建设区域拥有有利的地理条件，周边的基础设施和相关配套设施相当完备，并且具备充分的发展潜力。</w:t>
      </w:r>
    </w:p>
    <w:p w:rsidR="00812333" w:rsidP="00812333" w14:paraId="335B8876" w14:textId="598EF2E1">
      <w:pPr>
        <w:pStyle w:val="Heading2"/>
      </w:pPr>
      <w:bookmarkStart w:id="3" w:name="_Toc153662822"/>
      <w:r w:rsidRPr="00812333">
        <w:t>(二)、建设区基本情况</w:t>
      </w:r>
      <w:bookmarkEnd w:id="3"/>
    </w:p>
    <w:p w:rsidR="00812333" w:rsidRPr="00812333" w:rsidP="00812333" w14:paraId="03114CDD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 w:hint="eastAsia"/>
          <w:sz w:val="28"/>
        </w:rPr>
        <w:t>本期核能及配套产品项目的建设区位于</w:t>
      </w:r>
      <w:r w:rsidRPr="00812333">
        <w:rPr>
          <w:rFonts w:ascii="仿宋" w:eastAsia="仿宋" w:hAnsi="仿宋"/>
          <w:sz w:val="28"/>
        </w:rPr>
        <w:t>XX省XX市，地理位置优越，具备一系列有利因素，使其成为理想的核能及配套产品项目建设地点。</w:t>
      </w:r>
    </w:p>
    <w:p w:rsidR="00812333" w:rsidRPr="00812333" w:rsidP="00812333" w14:paraId="2AAAD65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12333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812333" w:rsidRPr="00812333" w:rsidP="00812333" w14:paraId="7C392562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812333">
        <w:rPr>
          <w:rFonts w:ascii="仿宋" w:eastAsia="仿宋" w:hAnsi="仿宋"/>
          <w:sz w:val="28"/>
        </w:rPr>
        <w:t>间，适合核能及配套产品项目的规模和发展。</w:t>
      </w:r>
    </w:p>
    <w:p w:rsidR="00812333" w:rsidRPr="00812333" w:rsidP="00812333" w14:paraId="66127D2F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基础设施：建设区的基础设施相对完善，包括电力、供水、通讯和道路等。这将为核能及配套产品项目的顺利实施提供有力支持。</w:t>
      </w:r>
    </w:p>
    <w:p w:rsidR="00812333" w:rsidRPr="00812333" w:rsidP="00812333" w14:paraId="525086FF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/>
          <w:sz w:val="28"/>
        </w:rPr>
        <w:t xml:space="preserve"> 环境状况：建设区的环境相对清洁，不存</w:t>
      </w:r>
      <w:r w:rsidRPr="00812333">
        <w:rPr>
          <w:rFonts w:ascii="仿宋" w:eastAsia="仿宋" w:hAnsi="仿宋" w:hint="eastAsia"/>
          <w:sz w:val="28"/>
        </w:rPr>
        <w:t>在严重的污染问题，有助于核能及配套产品项目的环保管理和可持续发展。</w:t>
      </w:r>
    </w:p>
    <w:p w:rsidR="00812333" w:rsidRPr="00812333" w:rsidP="00812333" w14:paraId="1F753D05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发展潜力：建设区周边地区经济活跃，有着充分的市场潜力。政府已经制定了一系列扶持政策，为核能及配套产品项目的发展提供了机会和支持。</w:t>
      </w:r>
    </w:p>
    <w:p w:rsidR="00812333" w:rsidP="00812333" w14:paraId="4CCA2AD1" w14:textId="6FB2B038">
      <w:pPr>
        <w:ind w:firstLine="560" w:firstLineChars="200"/>
        <w:rPr>
          <w:rFonts w:ascii="仿宋" w:eastAsia="仿宋" w:hAnsi="仿宋" w:hint="eastAsia"/>
          <w:sz w:val="28"/>
        </w:rPr>
      </w:pPr>
      <w:r w:rsidRPr="00812333">
        <w:rPr>
          <w:rFonts w:ascii="仿宋" w:eastAsia="仿宋" w:hAnsi="仿宋" w:hint="eastAsia"/>
          <w:sz w:val="28"/>
        </w:rPr>
        <w:t>建设区的基本情况为本期核能及配套产品项目提供了有利的条件，为核能及配套产品项目的成功实施和未来发展奠定了坚实的基础。</w:t>
      </w:r>
    </w:p>
    <w:p w:rsidR="00812333" w:rsidP="00812333" w14:paraId="0E93A9AE" w14:textId="51E13700">
      <w:pPr>
        <w:pStyle w:val="Heading2"/>
      </w:pPr>
      <w:bookmarkStart w:id="4" w:name="_Toc153662823"/>
      <w:r w:rsidRPr="00812333">
        <w:t>(三)、创新驱动发展</w:t>
      </w:r>
      <w:bookmarkEnd w:id="4"/>
    </w:p>
    <w:p w:rsidR="00812333" w:rsidRPr="00812333" w:rsidP="00812333" w14:paraId="1CDAFDB0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 w:hint="eastAsia"/>
          <w:sz w:val="28"/>
        </w:rPr>
        <w:t>促进核心领域首次实现突破：</w:t>
      </w:r>
    </w:p>
    <w:p w:rsidR="00812333" w:rsidRPr="00812333" w:rsidP="00812333" w14:paraId="4F2020F4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812333" w:rsidRPr="00812333" w:rsidP="00812333" w14:paraId="0AA9979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12333">
        <w:rPr>
          <w:rFonts w:ascii="仿宋" w:eastAsia="仿宋" w:hAnsi="仿宋" w:hint="eastAsia"/>
          <w:sz w:val="28"/>
        </w:rPr>
        <w:t>打造协同创新社群：</w:t>
      </w:r>
    </w:p>
    <w:p w:rsidR="00812333" w:rsidRPr="00812333" w:rsidP="00812333" w14:paraId="463A39C7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812333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812333" w:rsidRPr="00812333" w:rsidP="00812333" w14:paraId="01A850F4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 w:hint="eastAsia"/>
          <w:sz w:val="28"/>
        </w:rPr>
        <w:t>创新协同发展体制和机制：</w:t>
      </w:r>
    </w:p>
    <w:p w:rsidR="00812333" w:rsidRPr="00812333" w:rsidP="00812333" w14:paraId="1308BE83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812333" w:rsidP="00812333" w14:paraId="70B93F8C" w14:textId="51816A03">
      <w:pPr>
        <w:ind w:firstLine="560" w:firstLineChars="200"/>
        <w:rPr>
          <w:rFonts w:ascii="仿宋" w:eastAsia="仿宋" w:hAnsi="仿宋" w:hint="eastAsia"/>
          <w:sz w:val="28"/>
        </w:rPr>
      </w:pPr>
      <w:r w:rsidRPr="00812333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812333" w:rsidP="00812333" w14:paraId="0B2F1F60" w14:textId="29D35B73">
      <w:pPr>
        <w:pStyle w:val="Heading2"/>
      </w:pPr>
      <w:bookmarkStart w:id="5" w:name="_Toc153662824"/>
      <w:r w:rsidRPr="00812333">
        <w:t>(四)、产业发展方向</w:t>
      </w:r>
      <w:bookmarkEnd w:id="5"/>
    </w:p>
    <w:p w:rsidR="00812333" w:rsidRPr="00812333" w:rsidP="00812333" w14:paraId="50AB0581" w14:textId="77777777">
      <w:pPr>
        <w:ind w:firstLine="560" w:firstLineChars="200"/>
        <w:rPr>
          <w:rFonts w:ascii="仿宋" w:eastAsia="仿宋" w:hAnsi="仿宋"/>
          <w:sz w:val="28"/>
        </w:rPr>
      </w:pPr>
      <w:r w:rsidRPr="00812333">
        <w:rPr>
          <w:rFonts w:ascii="仿宋" w:eastAsia="仿宋" w:hAnsi="仿宋"/>
          <w:sz w:val="28"/>
        </w:rPr>
        <w:t>1.</w:t>
      </w:r>
      <w:r w:rsidRPr="00812333">
        <w:rPr>
          <w:rFonts w:ascii="仿宋" w:eastAsia="仿宋" w:hAnsi="仿宋"/>
          <w:sz w:val="28"/>
        </w:rPr>
        <w:t xml:space="preserve"> 促进就业机会:</w:t>
      </w:r>
      <w:r w:rsidRPr="00812333">
        <w:rPr>
          <w:rFonts w:ascii="仿宋" w:eastAsia="仿宋" w:hAnsi="仿宋"/>
          <w:sz w:val="28"/>
        </w:rPr>
        <w:br/>
      </w:r>
      <w:r w:rsidRPr="0081233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https://d.book118.com/358135072024006027</w:t>
        </w:r>
      </w:hyperlink>
    </w:p>
    <w:p w:rsidR="00812333" w:rsidRPr="00812333" w:rsidP="0081233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paraId="7409DE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paraId="30B5EE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paraId="39B044D3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2333" w14:paraId="3B1391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paraId="5711A0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P="00D82CB4" w14:textId="3E96A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1233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paraId="4F638A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paraId="57C88BCF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paraId="2FEAAF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:rsidRPr="00812333" w:rsidP="00812333" w14:textId="5A5584EB">
    <w:pPr>
      <w:pStyle w:val="Header"/>
      <w:rPr>
        <w:rFonts w:ascii="仿宋" w:eastAsia="仿宋" w:hAnsi="仿宋"/>
      </w:rPr>
    </w:pPr>
    <w:r w:rsidRPr="00812333">
      <w:rPr>
        <w:rFonts w:ascii="仿宋" w:eastAsia="仿宋" w:hAnsi="仿宋" w:hint="eastAsia"/>
      </w:rPr>
      <w:t>核能及配套产品项目绩效评估报告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3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333"/>
    <w:rsid w:val="00510E83"/>
    <w:rsid w:val="00812333"/>
    <w:rsid w:val="00D82C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FD5292"/>
  <w15:chartTrackingRefBased/>
  <w15:docId w15:val="{B54E2BDB-76F4-486F-AD6E-FA422BE42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23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23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23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23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23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23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2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23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2333"/>
  </w:style>
  <w:style w:type="paragraph" w:styleId="TOC1">
    <w:name w:val="toc 1"/>
    <w:basedOn w:val="Normal"/>
    <w:next w:val="Normal"/>
    <w:autoRedefine/>
    <w:uiPriority w:val="39"/>
    <w:unhideWhenUsed/>
    <w:rsid w:val="00812333"/>
  </w:style>
  <w:style w:type="paragraph" w:styleId="TOC2">
    <w:name w:val="toc 2"/>
    <w:basedOn w:val="Normal"/>
    <w:next w:val="Normal"/>
    <w:autoRedefine/>
    <w:uiPriority w:val="39"/>
    <w:unhideWhenUsed/>
    <w:rsid w:val="008123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58135072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3279</Words>
  <Characters>18696</Characters>
  <Application>Microsoft Office Word</Application>
  <DocSecurity>0</DocSecurity>
  <Lines>155</Lines>
  <Paragraphs>43</Paragraphs>
  <ScaleCrop>false</ScaleCrop>
  <Company/>
  <LinksUpToDate>false</LinksUpToDate>
  <CharactersWithSpaces>21932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2023-12-16T15:46:00Z</dcterms:created>
  <dcterms:modified xsi:type="dcterms:W3CDTF">2023-12-16T15:46:00Z</dcterms:modified>
</cp:coreProperties>
</file>