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40" w:lineRule="exact"/>
        <w:rPr>
          <w:rFonts w:hint="eastAsia"/>
        </w:rPr>
      </w:pPr>
    </w:p>
    <w:p>
      <w:pPr>
        <w:spacing w:line="440" w:lineRule="exact"/>
        <w:rPr>
          <w:rFonts w:hint="eastAsia"/>
        </w:rPr>
      </w:pPr>
    </w:p>
    <w:p>
      <w:pPr>
        <w:spacing w:line="440" w:lineRule="exact"/>
        <w:rPr>
          <w:rFonts w:hint="eastAsia"/>
        </w:rPr>
      </w:pPr>
      <w:r>
        <w:rPr>
          <w:rFonts w:hint="eastAsia"/>
        </w:rPr>
        <w:t xml:space="preserve">                                        </w:t>
      </w:r>
    </w:p>
    <w:p>
      <w:pPr>
        <w:spacing w:line="440" w:lineRule="exact"/>
        <w:rPr>
          <w:rFonts w:hint="eastAsia"/>
        </w:rPr>
      </w:pPr>
      <w:r>
        <w:rPr>
          <w:rFonts w:hint="eastAsia"/>
        </w:rPr>
        <w:t xml:space="preserve">                                        </w:t>
      </w:r>
    </w:p>
    <w:p>
      <w:pPr>
        <w:spacing w:line="440" w:lineRule="exact"/>
        <w:jc w:val="center"/>
        <w:rPr>
          <w:rFonts w:ascii="黑体" w:eastAsia="黑体"/>
          <w:bCs/>
          <w:sz w:val="32"/>
          <w:szCs w:val="32"/>
          <w:u w:val="single"/>
        </w:rPr>
      </w:pPr>
      <w:bookmarkStart w:id="0" w:name="_GoBack"/>
      <w:bookmarkEnd w:id="0"/>
      <w:r>
        <w:rPr>
          <w:rFonts w:ascii="Times New Roman" w:eastAsia="黑体" w:hAnsi="Times New Roman" w:cs="Times New Roman" w:hint="eastAsia"/>
          <w:bCs/>
          <w:sz w:val="32"/>
          <w:szCs w:val="32"/>
          <w:u w:val="single"/>
          <w:lang w:val="en-US" w:eastAsia="zh-CN"/>
        </w:rPr>
        <w:t>恒远模具</w:t>
      </w:r>
      <w:r>
        <w:rPr>
          <w:rFonts w:ascii="Times New Roman" w:eastAsia="黑体" w:hAnsi="Times New Roman" w:cs="Times New Roman" w:hint="eastAsia"/>
          <w:bCs/>
          <w:sz w:val="32"/>
          <w:szCs w:val="32"/>
          <w:u w:val="single"/>
        </w:rPr>
        <w:t>生产车间单向板设计</w:t>
      </w: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pStyle w:val="10"/>
        <w:spacing w:before="0" w:after="0" w:line="440" w:lineRule="exact"/>
        <w:ind w:firstLine="0" w:firstLineChars="0"/>
        <w:rPr>
          <w:rFonts w:eastAsia="黑体" w:hint="eastAsia"/>
          <w:b w:val="0"/>
          <w:bCs w:val="0"/>
          <w:spacing w:val="0"/>
          <w:kern w:val="44"/>
          <w:sz w:val="32"/>
          <w:szCs w:val="32"/>
        </w:rPr>
      </w:pPr>
      <w:bookmarkStart w:id="1" w:name="_Toc14710"/>
      <w:bookmarkStart w:id="2" w:name="_Toc102834612"/>
      <w:r>
        <w:rPr>
          <w:rFonts w:eastAsia="黑体" w:hint="eastAsia"/>
          <w:b w:val="0"/>
          <w:bCs w:val="0"/>
          <w:spacing w:val="0"/>
          <w:kern w:val="44"/>
          <w:sz w:val="32"/>
          <w:szCs w:val="32"/>
          <w:lang w:val="en-US" w:eastAsia="zh-CN"/>
        </w:rPr>
        <w:t>1</w:t>
      </w:r>
      <w:r>
        <w:rPr>
          <w:rFonts w:eastAsia="黑体" w:hint="eastAsia"/>
          <w:b w:val="0"/>
          <w:bCs w:val="0"/>
          <w:spacing w:val="0"/>
          <w:kern w:val="44"/>
          <w:sz w:val="32"/>
          <w:szCs w:val="32"/>
        </w:rPr>
        <w:t xml:space="preserve"> 设计资料</w:t>
      </w:r>
      <w:bookmarkEnd w:id="1"/>
      <w:bookmarkEnd w:id="2"/>
    </w:p>
    <w:p>
      <w:pPr>
        <w:pStyle w:val="Heading2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color w:val="auto"/>
          <w:sz w:val="24"/>
          <w:szCs w:val="24"/>
          <w:highlight w:val="none"/>
        </w:rPr>
      </w:pPr>
      <w:bookmarkStart w:id="3" w:name="_Toc1306"/>
      <w:bookmarkStart w:id="4" w:name="_Toc19039"/>
      <w:bookmarkStart w:id="5" w:name="_Toc102834613"/>
      <w:bookmarkStart w:id="6" w:name="_Toc25034"/>
      <w:bookmarkStart w:id="7" w:name="_Toc98480937"/>
      <w:r>
        <w:rPr>
          <w:rFonts w:hint="eastAsia"/>
          <w:color w:val="auto"/>
          <w:sz w:val="24"/>
          <w:szCs w:val="24"/>
          <w:highlight w:val="none"/>
        </w:rPr>
        <w:t>1.1</w:t>
      </w:r>
      <w:r>
        <w:rPr>
          <w:color w:val="auto"/>
          <w:sz w:val="24"/>
          <w:szCs w:val="24"/>
          <w:highlight w:val="non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</w:rPr>
        <w:t>结构形式</w:t>
      </w:r>
      <w:bookmarkEnd w:id="3"/>
      <w:bookmarkEnd w:id="4"/>
      <w:bookmarkEnd w:id="5"/>
      <w:bookmarkEnd w:id="6"/>
      <w:bookmarkEnd w:id="7"/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本设计为</w:t>
      </w:r>
      <w:r>
        <w:rPr>
          <w:rFonts w:hint="eastAsia"/>
          <w:color w:val="auto"/>
          <w:sz w:val="24"/>
          <w:szCs w:val="24"/>
          <w:highlight w:val="none"/>
          <w:lang w:eastAsia="zh-CN"/>
        </w:rPr>
        <w:t>恒远模具</w:t>
      </w:r>
      <w:r>
        <w:rPr>
          <w:rFonts w:hint="eastAsia"/>
          <w:color w:val="auto"/>
          <w:sz w:val="24"/>
          <w:szCs w:val="24"/>
          <w:highlight w:val="none"/>
        </w:rPr>
        <w:t>生产车间进行肋梁楼盖设计。本工业厂房柱网尺寸为</w:t>
      </w:r>
      <m:oMath>
        <m:r>
          <w:rPr>
            <w:rFonts w:ascii="Cambria Math" w:hAnsi="Cambria Math" w:hint="eastAsia"/>
            <w:color w:val="auto"/>
            <w:sz w:val="24"/>
            <w:szCs w:val="24"/>
            <w:highlight w:val="none"/>
          </w:rPr>
          <m:t>6</m:t>
        </m:r>
        <m:r>
          <w:rPr>
            <w:rFonts w:ascii="Cambria Math" w:hAnsi="Cambria Math"/>
            <w:color w:val="auto"/>
            <w:sz w:val="24"/>
            <w:szCs w:val="24"/>
            <w:highlight w:val="none"/>
          </w:rPr>
          <m:t>.3m</m:t>
        </m:r>
        <m:r>
          <w:rPr>
            <w:rFonts w:ascii="Cambria Math" w:hAnsi="Cambria Math" w:hint="eastAsia"/>
            <w:color w:val="auto"/>
            <w:sz w:val="24"/>
            <w:szCs w:val="24"/>
            <w:highlight w:val="none"/>
          </w:rPr>
          <m:t>×</m:t>
        </m:r>
        <m:r>
          <w:rPr>
            <w:rFonts w:ascii="Cambria Math" w:hAnsi="Cambria Math"/>
            <w:color w:val="auto"/>
            <w:sz w:val="24"/>
            <w:szCs w:val="24"/>
            <w:highlight w:val="none"/>
          </w:rPr>
          <m:t>6.3m</m:t>
        </m:r>
      </m:oMath>
      <w:r>
        <w:rPr>
          <w:rFonts w:hint="eastAsia"/>
          <w:color w:val="auto"/>
          <w:sz w:val="24"/>
          <w:szCs w:val="24"/>
          <w:highlight w:val="none"/>
        </w:rPr>
        <w:t>，横向3跨，纵向</w:t>
      </w:r>
      <w:r>
        <w:rPr>
          <w:color w:val="auto"/>
          <w:sz w:val="24"/>
          <w:szCs w:val="24"/>
          <w:highlight w:val="none"/>
        </w:rPr>
        <w:t>5</w:t>
      </w:r>
      <w:r>
        <w:rPr>
          <w:rFonts w:hint="eastAsia"/>
          <w:color w:val="auto"/>
          <w:sz w:val="24"/>
          <w:szCs w:val="24"/>
          <w:highlight w:val="none"/>
        </w:rPr>
        <w:t>跨，柱截面尺寸为</w:t>
      </w:r>
      <m:oMath>
        <m:r>
          <m:rPr>
            <m:sty m:val="p"/>
          </m:rPr>
          <w:rPr>
            <w:rFonts w:ascii="Cambria Math" w:hAnsi="Cambria Math"/>
            <w:color w:val="auto"/>
            <w:sz w:val="24"/>
            <w:szCs w:val="24"/>
            <w:highlight w:val="none"/>
          </w:rPr>
          <m:t>400mm×400mm</m:t>
        </m:r>
      </m:oMath>
      <w:r>
        <w:rPr>
          <w:rFonts w:hint="eastAsia"/>
          <w:color w:val="auto"/>
          <w:sz w:val="24"/>
          <w:szCs w:val="24"/>
          <w:highlight w:val="none"/>
        </w:rPr>
        <w:t>。其轴网布置见图1</w:t>
      </w:r>
      <w:r>
        <w:rPr>
          <w:color w:val="auto"/>
          <w:sz w:val="24"/>
          <w:szCs w:val="24"/>
          <w:highlight w:val="none"/>
        </w:rPr>
        <w:t>.1</w:t>
      </w:r>
      <w:r>
        <w:rPr>
          <w:rFonts w:hint="eastAsia"/>
          <w:color w:val="auto"/>
          <w:sz w:val="24"/>
          <w:szCs w:val="24"/>
          <w:highlight w:val="none"/>
        </w:rPr>
        <w:t>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本厂房环境类别为一类，抗震设防等级为6度，标准设防。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color w:val="auto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drawing>
          <wp:inline distT="0" distB="0" distL="0" distR="0">
            <wp:extent cx="5928995" cy="4301490"/>
            <wp:effectExtent l="0" t="0" r="0" b="3810"/>
            <wp:docPr id="1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&#10;&#10;描述已自动生成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6955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  <w:sz w:val="24"/>
          <w:szCs w:val="24"/>
          <w:highlight w:val="none"/>
        </w:rPr>
        <w:t xml:space="preserve"> </w:t>
      </w:r>
    </w:p>
    <w:p>
      <w:pPr>
        <w:pStyle w:val="Heading5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图1</w:t>
      </w:r>
      <w:r>
        <w:rPr>
          <w:color w:val="auto"/>
          <w:sz w:val="24"/>
          <w:szCs w:val="24"/>
          <w:highlight w:val="none"/>
        </w:rPr>
        <w:t xml:space="preserve">.1 </w:t>
      </w:r>
      <w:r>
        <w:rPr>
          <w:rFonts w:hint="eastAsia"/>
          <w:color w:val="auto"/>
          <w:sz w:val="24"/>
          <w:szCs w:val="24"/>
          <w:highlight w:val="none"/>
        </w:rPr>
        <w:t>轴网平面布置图</w:t>
      </w:r>
    </w:p>
    <w:p>
      <w:pPr>
        <w:pStyle w:val="Heading2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color w:val="auto"/>
          <w:sz w:val="24"/>
          <w:szCs w:val="24"/>
          <w:highlight w:val="none"/>
        </w:rPr>
      </w:pPr>
      <w:bookmarkStart w:id="8" w:name="_Toc17736"/>
      <w:bookmarkStart w:id="9" w:name="_Toc98480938"/>
      <w:bookmarkStart w:id="10" w:name="_Toc102834614"/>
      <w:r>
        <w:rPr>
          <w:rFonts w:hint="eastAsia"/>
          <w:color w:val="auto"/>
          <w:sz w:val="24"/>
          <w:szCs w:val="24"/>
          <w:highlight w:val="none"/>
        </w:rPr>
        <w:t>1.2平面布置</w:t>
      </w:r>
      <w:bookmarkEnd w:id="8"/>
      <w:bookmarkEnd w:id="9"/>
      <w:bookmarkEnd w:id="10"/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需要进行主次梁的布置，其布置形式如下：</w:t>
      </w:r>
    </w:p>
    <w:p>
      <w:pPr>
        <w:pStyle w:val="Heading5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表1</w:t>
      </w:r>
      <w:r>
        <w:rPr>
          <w:color w:val="auto"/>
          <w:sz w:val="24"/>
          <w:szCs w:val="24"/>
          <w:highlight w:val="none"/>
        </w:rPr>
        <w:t xml:space="preserve">.1 </w:t>
      </w:r>
      <w:r>
        <w:rPr>
          <w:rFonts w:hint="eastAsia"/>
          <w:color w:val="auto"/>
          <w:sz w:val="24"/>
          <w:szCs w:val="24"/>
          <w:highlight w:val="none"/>
        </w:rPr>
        <w:t>平面布置方案</w:t>
      </w:r>
    </w:p>
    <w:tbl>
      <w:tblPr>
        <w:tblStyle w:val="21"/>
        <w:tblW w:w="5000" w:type="pct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8251"/>
      </w:tblGrid>
      <w:tr>
        <w:tblPrEx>
          <w:tblW w:w="5000" w:type="pct"/>
          <w:tblInd w:w="0" w:type="dxa"/>
          <w:tblBorders>
            <w:top w:val="single" w:sz="12" w:space="0" w:color="auto"/>
            <w:left w:val="none" w:sz="0" w:space="0" w:color="auto"/>
            <w:bottom w:val="single" w:sz="12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590" w:type="pct"/>
            <w:tcBorders>
              <w:bottom w:val="single" w:sz="4" w:space="0" w:color="auto"/>
            </w:tcBorders>
            <w:vAlign w:val="center"/>
          </w:tcPr>
          <w:p>
            <w:pPr>
              <w:pStyle w:val="1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构件</w:t>
            </w:r>
          </w:p>
        </w:tc>
        <w:tc>
          <w:tcPr>
            <w:tcW w:w="4410" w:type="pct"/>
            <w:tcBorders>
              <w:bottom w:val="single" w:sz="4" w:space="0" w:color="auto"/>
            </w:tcBorders>
            <w:vAlign w:val="center"/>
          </w:tcPr>
          <w:p>
            <w:pPr>
              <w:pStyle w:val="1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跨度</w:t>
            </w:r>
          </w:p>
        </w:tc>
      </w:tr>
    </w:tbl>
    <w:p>
      <w:pPr>
        <w:sectPr>
          <w:headerReference w:type="default" r:id="rId9"/>
          <w:footerReference w:type="default" r:id="rId10"/>
          <w:pgSz w:w="11906" w:h="16838"/>
          <w:pgMar w:top="1417" w:right="1134" w:bottom="1417" w:left="1417" w:header="851" w:footer="850" w:gutter="0"/>
          <w:pgNumType w:start="1"/>
          <w:cols w:num="1" w:space="0"/>
          <w:docGrid w:type="lines" w:linePitch="326" w:charSpace="0"/>
        </w:sectPr>
      </w:pPr>
    </w:p>
    <w:tbl>
      <w:tblPr>
        <w:tblStyle w:val="200"/>
        <w:tblW w:w="5000" w:type="pct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8251"/>
      </w:tblGrid>
      <w:tr>
        <w:tblPrEx>
          <w:tblW w:w="5000" w:type="pct"/>
          <w:tblInd w:w="0" w:type="dxa"/>
          <w:tblBorders>
            <w:top w:val="single" w:sz="12" w:space="0" w:color="auto"/>
            <w:left w:val="none" w:sz="0" w:space="0" w:color="auto"/>
            <w:bottom w:val="single" w:sz="12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590" w:type="pct"/>
            <w:tcBorders>
              <w:top w:val="single" w:sz="4" w:space="0" w:color="auto"/>
              <w:bottom w:val="nil"/>
            </w:tcBorders>
            <w:vAlign w:val="center"/>
          </w:tcPr>
          <w:p>
            <w:pPr>
              <w:pStyle w:val="1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板</w:t>
            </w:r>
          </w:p>
        </w:tc>
        <w:tc>
          <w:tcPr>
            <w:tcW w:w="4410" w:type="pct"/>
            <w:tcBorders>
              <w:top w:val="single" w:sz="4" w:space="0" w:color="auto"/>
              <w:bottom w:val="nil"/>
            </w:tcBorders>
            <w:vAlign w:val="center"/>
          </w:tcPr>
          <w:p>
            <w:pPr>
              <w:pStyle w:val="1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横向跨度：6.3</w:t>
            </w:r>
            <w:r>
              <w:rPr>
                <w:color w:val="auto"/>
                <w:sz w:val="24"/>
                <w:szCs w:val="24"/>
                <w:highlight w:val="none"/>
              </w:rPr>
              <w:t>/3=2.1m</w:t>
            </w:r>
          </w:p>
          <w:p>
            <w:pPr>
              <w:pStyle w:val="1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纵向跨度：6.3</w:t>
            </w:r>
            <w:r>
              <w:rPr>
                <w:color w:val="auto"/>
                <w:sz w:val="24"/>
                <w:szCs w:val="24"/>
                <w:highlight w:val="none"/>
              </w:rPr>
              <w:t>m</w:t>
            </w:r>
          </w:p>
          <w:p>
            <w:pPr>
              <w:pStyle w:val="1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6.3/2.1=3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，需要按照单向板进行设计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590" w:type="pct"/>
            <w:tcBorders>
              <w:top w:val="nil"/>
            </w:tcBorders>
            <w:vAlign w:val="center"/>
          </w:tcPr>
          <w:p>
            <w:pPr>
              <w:pStyle w:val="1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次梁</w:t>
            </w:r>
          </w:p>
        </w:tc>
        <w:tc>
          <w:tcPr>
            <w:tcW w:w="4410" w:type="pct"/>
            <w:tcBorders>
              <w:top w:val="nil"/>
            </w:tcBorders>
            <w:vAlign w:val="center"/>
          </w:tcPr>
          <w:p>
            <w:pPr>
              <w:pStyle w:val="1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跨度：6.3</w:t>
            </w:r>
            <w:r>
              <w:rPr>
                <w:color w:val="auto"/>
                <w:sz w:val="24"/>
                <w:szCs w:val="24"/>
                <w:highlight w:val="none"/>
              </w:rPr>
              <w:t>m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，共计</w:t>
            </w:r>
            <w:r>
              <w:rPr>
                <w:color w:val="auto"/>
                <w:sz w:val="24"/>
                <w:szCs w:val="24"/>
                <w:highlight w:val="none"/>
              </w:rPr>
              <w:t>5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跨，沿着结构纵向布置</w:t>
            </w:r>
          </w:p>
          <w:p>
            <w:pPr>
              <w:pStyle w:val="1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主梁跨度内，布置两道次梁。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590" w:type="pct"/>
            <w:vAlign w:val="center"/>
          </w:tcPr>
          <w:p>
            <w:pPr>
              <w:pStyle w:val="1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主梁</w:t>
            </w:r>
          </w:p>
        </w:tc>
        <w:tc>
          <w:tcPr>
            <w:tcW w:w="4410" w:type="pct"/>
            <w:vAlign w:val="center"/>
          </w:tcPr>
          <w:p>
            <w:pPr>
              <w:pStyle w:val="1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跨度：6.3</w:t>
            </w:r>
            <w:r>
              <w:rPr>
                <w:color w:val="auto"/>
                <w:sz w:val="24"/>
                <w:szCs w:val="24"/>
                <w:highlight w:val="none"/>
              </w:rPr>
              <w:t>m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，共计</w:t>
            </w:r>
            <w:r>
              <w:rPr>
                <w:color w:val="auto"/>
                <w:sz w:val="24"/>
                <w:szCs w:val="24"/>
                <w:highlight w:val="none"/>
              </w:rPr>
              <w:t>3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跨，沿着结构横向进行布置</w:t>
            </w:r>
          </w:p>
        </w:tc>
      </w:tr>
    </w:tbl>
    <w:p>
      <w:pPr>
        <w:pStyle w:val="Heading3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color w:val="auto"/>
          <w:sz w:val="24"/>
          <w:szCs w:val="24"/>
          <w:highlight w:val="none"/>
        </w:rPr>
      </w:pPr>
      <w:bookmarkStart w:id="11" w:name="_Toc5908"/>
      <w:r>
        <w:rPr>
          <w:rFonts w:hint="eastAsia"/>
          <w:color w:val="auto"/>
          <w:sz w:val="24"/>
          <w:szCs w:val="24"/>
          <w:highlight w:val="none"/>
        </w:rPr>
        <w:t>1</w:t>
      </w:r>
      <w:r>
        <w:rPr>
          <w:color w:val="auto"/>
          <w:sz w:val="24"/>
          <w:szCs w:val="24"/>
          <w:highlight w:val="none"/>
        </w:rPr>
        <w:t xml:space="preserve">.2.1 </w:t>
      </w:r>
      <w:r>
        <w:rPr>
          <w:rFonts w:hint="eastAsia"/>
          <w:color w:val="auto"/>
          <w:sz w:val="24"/>
          <w:szCs w:val="24"/>
          <w:highlight w:val="none"/>
        </w:rPr>
        <w:t>板厚的确定</w:t>
      </w:r>
      <w:bookmarkEnd w:id="11"/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根据经验可知，取：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m:oMathPara>
        <m:oMath>
          <m:r>
            <w:rPr>
              <w:rFonts w:ascii="Cambria Math" w:hAnsi="Cambria Math" w:hint="eastAsia"/>
              <w:color w:val="auto"/>
              <w:sz w:val="24"/>
              <w:szCs w:val="24"/>
              <w:highlight w:val="none"/>
            </w:rPr>
            <m:t>l</m:t>
          </m:r>
          <m:r>
            <m:rPr>
              <m:sty m:val="p"/>
            </m:rP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/</m:t>
          </m:r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ℎ</m:t>
          </m:r>
          <m:r>
            <m:rPr>
              <m:sty m:val="p"/>
            </m:rP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≤30</m:t>
          </m:r>
        </m:oMath>
      </m:oMathPara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即：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m:oMathPara>
        <m:oMath>
          <m:r>
            <w:rPr>
              <w:rFonts w:ascii="Cambria Math" w:eastAsia="MS Mincho" w:hAnsi="Cambria Math" w:cs="MS Mincho"/>
              <w:color w:val="auto"/>
              <w:sz w:val="24"/>
              <w:szCs w:val="24"/>
              <w:highlight w:val="none"/>
            </w:rPr>
            <m:t>ℎ</m:t>
          </m:r>
          <m:r>
            <m:rPr>
              <m:sty m:val="p"/>
            </m:rPr>
            <w:rPr>
              <w:rFonts w:ascii="Cambria Math" w:eastAsia="MS Mincho" w:hAnsi="Cambria Math" w:cs="MS Mincho"/>
              <w:color w:val="auto"/>
              <w:sz w:val="24"/>
              <w:szCs w:val="24"/>
              <w:highlight w:val="none"/>
            </w:rPr>
            <m:t>≥</m:t>
          </m:r>
          <m:f>
            <m:fPr>
              <m:ctrlP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</m:ctrlPr>
            </m:fPr>
            <m:num>
              <m:ctrlP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</m:ctrlPr>
              <m: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  <m:t>l</m:t>
              </m:r>
            </m:num>
            <m:den>
              <m:ctrlP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</m:ctrlPr>
              <m:r>
                <m:rPr>
                  <m:sty m:val="p"/>
                </m:rP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  <m:t>30</m:t>
              </m:r>
            </m:den>
          </m:f>
          <m:r>
            <m:rPr>
              <m:sty m:val="p"/>
            </m:rP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=</m:t>
          </m:r>
          <m:f>
            <m:fPr>
              <m:ctrlP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</m:ctrlPr>
            </m:fPr>
            <m:num>
              <m:ctrlP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</m:ctrlPr>
              <m:r>
                <m:rPr>
                  <m:sty m:val="p"/>
                </m:rP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  <m:t>2100</m:t>
              </m:r>
            </m:num>
            <m:den>
              <m:ctrlP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</m:ctrlPr>
              <m:r>
                <m:rPr>
                  <m:sty m:val="p"/>
                </m:rP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  <m:t>30</m:t>
              </m:r>
            </m:den>
          </m:f>
          <m:r>
            <m:rPr>
              <m:sty m:val="p"/>
            </m:rP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=70</m:t>
          </m:r>
          <m:r>
            <w:rPr>
              <w:rFonts w:ascii="Cambria Math" w:hAnsi="Cambria Math" w:hint="eastAsia"/>
              <w:color w:val="auto"/>
              <w:sz w:val="24"/>
              <w:szCs w:val="24"/>
              <w:highlight w:val="none"/>
            </w:rPr>
            <m:t>mm</m:t>
          </m:r>
        </m:oMath>
      </m:oMathPara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同时考虑规范规定的，作为单向板的工业厂房，其板厚要求：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</m:sSubPr>
            <m:e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  <m:r>
                <w:rPr>
                  <w:rFonts w:ascii="Cambria Math" w:eastAsia="MS Mincho" w:hAnsi="Cambria Math" w:cs="MS Mincho"/>
                  <w:color w:val="auto"/>
                  <w:sz w:val="24"/>
                  <w:szCs w:val="24"/>
                  <w:highlight w:val="none"/>
                </w:rPr>
                <m:t>ℎ</m:t>
              </m:r>
            </m:e>
            <m:sub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  <m: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  <m:t>min</m:t>
              </m:r>
            </m:sub>
          </m:sSub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=70mm</m:t>
          </m:r>
        </m:oMath>
      </m:oMathPara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初步考虑，取：</w:t>
      </w:r>
      <m:oMath>
        <m:r>
          <w:rPr>
            <w:rFonts w:ascii="Cambria Math" w:eastAsia="MS Mincho" w:hAnsi="Cambria Math" w:cs="MS Mincho"/>
            <w:color w:val="auto"/>
            <w:sz w:val="24"/>
            <w:szCs w:val="24"/>
            <w:highlight w:val="none"/>
          </w:rPr>
          <m:t>ℎ</m:t>
        </m:r>
        <m:r>
          <w:rPr>
            <w:rFonts w:ascii="Cambria Math" w:hAnsi="Cambria Math"/>
            <w:color w:val="auto"/>
            <w:sz w:val="24"/>
            <w:szCs w:val="24"/>
            <w:highlight w:val="none"/>
          </w:rPr>
          <m:t>=100</m:t>
        </m:r>
        <m:r>
          <w:rPr>
            <w:rFonts w:ascii="Cambria Math" w:hAnsi="Cambria Math" w:hint="eastAsia"/>
            <w:color w:val="auto"/>
            <w:sz w:val="24"/>
            <w:szCs w:val="24"/>
            <w:highlight w:val="none"/>
          </w:rPr>
          <m:t>mm</m:t>
        </m:r>
      </m:oMath>
    </w:p>
    <w:p>
      <w:pPr>
        <w:pStyle w:val="Heading3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color w:val="auto"/>
          <w:sz w:val="24"/>
          <w:szCs w:val="24"/>
          <w:highlight w:val="none"/>
        </w:rPr>
      </w:pPr>
      <w:bookmarkStart w:id="12" w:name="_Toc14286"/>
      <w:r>
        <w:rPr>
          <w:rFonts w:hint="eastAsia"/>
          <w:color w:val="auto"/>
          <w:sz w:val="24"/>
          <w:szCs w:val="24"/>
          <w:highlight w:val="none"/>
        </w:rPr>
        <w:t>1</w:t>
      </w:r>
      <w:r>
        <w:rPr>
          <w:color w:val="auto"/>
          <w:sz w:val="24"/>
          <w:szCs w:val="24"/>
          <w:highlight w:val="none"/>
        </w:rPr>
        <w:t xml:space="preserve">.2.2 </w:t>
      </w:r>
      <w:r>
        <w:rPr>
          <w:rFonts w:hint="eastAsia"/>
          <w:color w:val="auto"/>
          <w:sz w:val="24"/>
          <w:szCs w:val="24"/>
          <w:highlight w:val="none"/>
        </w:rPr>
        <w:t>次梁高宽的确定</w:t>
      </w:r>
      <w:bookmarkEnd w:id="12"/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m:oMathPara>
        <m:oMath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ℎ=</m:t>
          </m:r>
          <m:d>
            <m:dPr>
              <m:begChr m:val="（"/>
              <m:endChr m:val="）"/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</m:dPr>
            <m:e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 w:hint="eastAsia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18</m:t>
                  </m:r>
                </m:den>
              </m:f>
              <m: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  <m:t>~</m:t>
              </m: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12</m:t>
                  </m:r>
                </m:den>
              </m:f>
            </m:e>
          </m:d>
          <m:r>
            <w:rPr>
              <w:rFonts w:ascii="Cambria Math" w:hAnsi="Cambria Math" w:hint="eastAsia"/>
              <w:color w:val="auto"/>
              <w:sz w:val="24"/>
              <w:szCs w:val="24"/>
              <w:highlight w:val="none"/>
            </w:rPr>
            <m:t>l</m:t>
          </m:r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=</m:t>
          </m:r>
          <m:d>
            <m:dPr>
              <m:begChr m:val="（"/>
              <m:endChr m:val="）"/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</m:dPr>
            <m:e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 w:hint="eastAsia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18</m:t>
                  </m:r>
                </m:den>
              </m:f>
              <m: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  <m:t>~</m:t>
              </m: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12</m:t>
                  </m:r>
                </m:den>
              </m:f>
            </m:e>
          </m:d>
          <m:r>
            <w:rPr>
              <w:rFonts w:ascii="Cambria Math" w:hAnsi="Cambria Math" w:hint="eastAsia"/>
              <w:color w:val="auto"/>
              <w:sz w:val="24"/>
              <w:szCs w:val="24"/>
              <w:highlight w:val="none"/>
            </w:rPr>
            <m:t>×</m:t>
          </m:r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6300</m:t>
          </m:r>
          <m:r>
            <w:rPr>
              <w:rFonts w:ascii="Cambria Math" w:hAnsi="Cambria Math" w:hint="eastAsia"/>
              <w:color w:val="auto"/>
              <w:sz w:val="24"/>
              <w:szCs w:val="24"/>
              <w:highlight w:val="none"/>
            </w:rPr>
            <m:t>mm</m:t>
          </m:r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=350mm~525mm</m:t>
          </m:r>
        </m:oMath>
      </m:oMathPara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取</w:t>
      </w:r>
      <m:oMath>
        <m:r>
          <w:rPr>
            <w:rFonts w:ascii="Cambria Math" w:hAnsi="Cambria Math"/>
            <w:color w:val="auto"/>
            <w:sz w:val="24"/>
            <w:szCs w:val="24"/>
            <w:highlight w:val="none"/>
          </w:rPr>
          <m:t>ℎ</m:t>
        </m:r>
        <m:r>
          <m:rPr>
            <m:sty m:val="p"/>
          </m:rPr>
          <w:rPr>
            <w:rFonts w:ascii="Cambria Math" w:hAnsi="Cambria Math"/>
            <w:color w:val="auto"/>
            <w:sz w:val="24"/>
            <w:szCs w:val="24"/>
            <w:highlight w:val="none"/>
          </w:rPr>
          <m:t>=500</m:t>
        </m:r>
        <m:r>
          <w:rPr>
            <w:rFonts w:ascii="Cambria Math" w:hAnsi="Cambria Math"/>
            <w:color w:val="auto"/>
            <w:sz w:val="24"/>
            <w:szCs w:val="24"/>
            <w:highlight w:val="none"/>
          </w:rPr>
          <m:t>mm</m:t>
        </m:r>
      </m:oMath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m:oMathPara>
        <m:oMath>
          <m:r>
            <w:rPr>
              <w:rFonts w:ascii="Cambria Math" w:hAnsi="Cambria Math" w:hint="eastAsia"/>
              <w:color w:val="auto"/>
              <w:sz w:val="24"/>
              <w:szCs w:val="24"/>
              <w:highlight w:val="none"/>
            </w:rPr>
            <m:t>b</m:t>
          </m:r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=</m:t>
          </m:r>
          <m:d>
            <m:dPr>
              <m:begChr m:val="（"/>
              <m:endChr m:val="）"/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</m:dPr>
            <m:e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 w:hint="eastAsia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3</m:t>
                  </m:r>
                </m:den>
              </m:f>
              <m: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  <m:t>~</m:t>
              </m: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2</m:t>
                  </m:r>
                </m:den>
              </m:f>
            </m:e>
          </m:d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ℎ=</m:t>
          </m:r>
          <m:d>
            <m:dPr>
              <m:begChr m:val="（"/>
              <m:endChr m:val="）"/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</m:dPr>
            <m:e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 w:hint="eastAsia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3</m:t>
                  </m:r>
                </m:den>
              </m:f>
              <m: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  <m:t>~</m:t>
              </m: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2</m:t>
                  </m:r>
                </m:den>
              </m:f>
            </m:e>
          </m:d>
          <m:r>
            <w:rPr>
              <w:rFonts w:ascii="Cambria Math" w:hAnsi="Cambria Math" w:hint="eastAsia"/>
              <w:color w:val="auto"/>
              <w:sz w:val="24"/>
              <w:szCs w:val="24"/>
              <w:highlight w:val="none"/>
            </w:rPr>
            <m:t>×</m:t>
          </m:r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500</m:t>
          </m:r>
          <m:r>
            <w:rPr>
              <w:rFonts w:ascii="Cambria Math" w:hAnsi="Cambria Math" w:hint="eastAsia"/>
              <w:color w:val="auto"/>
              <w:sz w:val="24"/>
              <w:szCs w:val="24"/>
              <w:highlight w:val="none"/>
            </w:rPr>
            <m:t>mm</m:t>
          </m:r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=167mm~250mm</m:t>
          </m:r>
        </m:oMath>
      </m:oMathPara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取</w:t>
      </w:r>
      <m:oMath>
        <m:r>
          <w:rPr>
            <w:rFonts w:ascii="Cambria Math" w:hAnsi="Cambria Math"/>
            <w:color w:val="auto"/>
            <w:sz w:val="24"/>
            <w:szCs w:val="24"/>
            <w:highlight w:val="none"/>
          </w:rPr>
          <m:t>b</m:t>
        </m:r>
        <m:r>
          <m:rPr>
            <m:sty m:val="p"/>
          </m:rPr>
          <w:rPr>
            <w:rFonts w:ascii="Cambria Math" w:hAnsi="Cambria Math"/>
            <w:color w:val="auto"/>
            <w:sz w:val="24"/>
            <w:szCs w:val="24"/>
            <w:highlight w:val="none"/>
          </w:rPr>
          <m:t>=200</m:t>
        </m:r>
        <m:r>
          <w:rPr>
            <w:rFonts w:ascii="Cambria Math" w:hAnsi="Cambria Math" w:hint="eastAsia"/>
            <w:color w:val="auto"/>
            <w:sz w:val="24"/>
            <w:szCs w:val="24"/>
            <w:highlight w:val="none"/>
          </w:rPr>
          <m:t>mm</m:t>
        </m:r>
      </m:oMath>
      <w:r>
        <w:rPr>
          <w:rFonts w:hint="eastAsia"/>
          <w:color w:val="auto"/>
          <w:sz w:val="24"/>
          <w:szCs w:val="24"/>
          <w:highlight w:val="none"/>
        </w:rPr>
        <w:t>。</w:t>
      </w:r>
    </w:p>
    <w:p>
      <w:pPr>
        <w:pStyle w:val="Heading3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color w:val="auto"/>
          <w:sz w:val="24"/>
          <w:szCs w:val="24"/>
          <w:highlight w:val="none"/>
        </w:rPr>
      </w:pPr>
      <w:bookmarkStart w:id="13" w:name="_Toc12917"/>
      <w:r>
        <w:rPr>
          <w:rFonts w:hint="eastAsia"/>
          <w:color w:val="auto"/>
          <w:sz w:val="24"/>
          <w:szCs w:val="24"/>
          <w:highlight w:val="none"/>
        </w:rPr>
        <w:t>1</w:t>
      </w:r>
      <w:r>
        <w:rPr>
          <w:color w:val="auto"/>
          <w:sz w:val="24"/>
          <w:szCs w:val="24"/>
          <w:highlight w:val="none"/>
        </w:rPr>
        <w:t xml:space="preserve">.2.3 </w:t>
      </w:r>
      <w:r>
        <w:rPr>
          <w:rFonts w:hint="eastAsia"/>
          <w:color w:val="auto"/>
          <w:sz w:val="24"/>
          <w:szCs w:val="24"/>
          <w:highlight w:val="none"/>
        </w:rPr>
        <w:t>主梁高宽的确定</w:t>
      </w:r>
      <w:bookmarkEnd w:id="13"/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m:oMathPara>
        <m:oMath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ℎ=</m:t>
          </m:r>
          <m:d>
            <m:dPr>
              <m:begChr m:val="（"/>
              <m:endChr m:val="）"/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</m:dPr>
            <m:e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 w:hint="eastAsia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15</m:t>
                  </m:r>
                </m:den>
              </m:f>
              <m: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  <m:t>~</m:t>
              </m: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10</m:t>
                  </m:r>
                </m:den>
              </m:f>
            </m:e>
          </m:d>
          <m:r>
            <w:rPr>
              <w:rFonts w:ascii="Cambria Math" w:hAnsi="Cambria Math" w:hint="eastAsia"/>
              <w:color w:val="auto"/>
              <w:sz w:val="24"/>
              <w:szCs w:val="24"/>
              <w:highlight w:val="none"/>
            </w:rPr>
            <m:t>l</m:t>
          </m:r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=</m:t>
          </m:r>
          <m:d>
            <m:dPr>
              <m:begChr m:val="（"/>
              <m:endChr m:val="）"/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</m:dPr>
            <m:e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 w:hint="eastAsia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15</m:t>
                  </m:r>
                </m:den>
              </m:f>
              <m: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  <m:t>~</m:t>
              </m: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10</m:t>
                  </m:r>
                </m:den>
              </m:f>
            </m:e>
          </m:d>
          <m:r>
            <w:rPr>
              <w:rFonts w:ascii="Cambria Math" w:hAnsi="Cambria Math" w:hint="eastAsia"/>
              <w:color w:val="auto"/>
              <w:sz w:val="24"/>
              <w:szCs w:val="24"/>
              <w:highlight w:val="none"/>
            </w:rPr>
            <m:t>×</m:t>
          </m:r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6300</m:t>
          </m:r>
          <m:r>
            <w:rPr>
              <w:rFonts w:ascii="Cambria Math" w:hAnsi="Cambria Math" w:hint="eastAsia"/>
              <w:color w:val="auto"/>
              <w:sz w:val="24"/>
              <w:szCs w:val="24"/>
              <w:highlight w:val="none"/>
            </w:rPr>
            <m:t>mm</m:t>
          </m:r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=420mm~630mm</m:t>
          </m:r>
        </m:oMath>
      </m:oMathPara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取</w:t>
      </w:r>
      <m:oMath>
        <m:r>
          <w:rPr>
            <w:rFonts w:ascii="Cambria Math" w:hAnsi="Cambria Math"/>
            <w:color w:val="auto"/>
            <w:sz w:val="24"/>
            <w:szCs w:val="24"/>
            <w:highlight w:val="none"/>
          </w:rPr>
          <m:t>ℎ</m:t>
        </m:r>
        <m:r>
          <m:rPr>
            <m:sty m:val="p"/>
          </m:rPr>
          <w:rPr>
            <w:rFonts w:ascii="Cambria Math" w:hAnsi="Cambria Math"/>
            <w:color w:val="auto"/>
            <w:sz w:val="24"/>
            <w:szCs w:val="24"/>
            <w:highlight w:val="none"/>
          </w:rPr>
          <m:t>=600</m:t>
        </m:r>
        <m:r>
          <w:rPr>
            <w:rFonts w:ascii="Cambria Math" w:hAnsi="Cambria Math"/>
            <w:color w:val="auto"/>
            <w:sz w:val="24"/>
            <w:szCs w:val="24"/>
            <w:highlight w:val="none"/>
          </w:rPr>
          <m:t>mm</m:t>
        </m:r>
      </m:oMath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m:oMathPara>
        <m:oMath>
          <m:r>
            <w:rPr>
              <w:rFonts w:ascii="Cambria Math" w:hAnsi="Cambria Math" w:hint="eastAsia"/>
              <w:color w:val="auto"/>
              <w:sz w:val="24"/>
              <w:szCs w:val="24"/>
              <w:highlight w:val="none"/>
            </w:rPr>
            <m:t>b</m:t>
          </m:r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=</m:t>
          </m:r>
          <m:d>
            <m:dPr>
              <m:begChr m:val="（"/>
              <m:endChr m:val="）"/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</m:dPr>
            <m:e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 w:hint="eastAsia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3</m:t>
                  </m:r>
                </m:den>
              </m:f>
              <m: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  <m:t>~</m:t>
              </m: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2</m:t>
                  </m:r>
                </m:den>
              </m:f>
            </m:e>
          </m:d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ℎ=</m:t>
          </m:r>
          <m:d>
            <m:dPr>
              <m:begChr m:val="（"/>
              <m:endChr m:val="）"/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</m:dPr>
            <m:e>
              <m:ctrlPr>
                <w:rPr>
                  <w:rFonts w:ascii="Cambria Math" w:hAnsi="Cambria Math"/>
                  <w:i/>
                  <w:color w:val="auto"/>
                  <w:sz w:val="24"/>
                  <w:szCs w:val="24"/>
                  <w:highlight w:val="none"/>
                </w:rPr>
              </m:ctrlP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 w:hint="eastAsia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3</m:t>
                  </m:r>
                </m:den>
              </m:f>
              <m:r>
                <w:rPr>
                  <w:rFonts w:ascii="Cambria Math" w:hAnsi="Cambria Math"/>
                  <w:color w:val="auto"/>
                  <w:sz w:val="24"/>
                  <w:szCs w:val="24"/>
                  <w:highlight w:val="none"/>
                </w:rPr>
                <m:t>~</m:t>
              </m:r>
              <m:f>
                <m:fPr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</m:fPr>
                <m:num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1</m:t>
                  </m:r>
                </m:num>
                <m:den>
                  <m:ctrlPr>
                    <w:rPr>
                      <w:rFonts w:ascii="Cambria Math" w:hAnsi="Cambria Math"/>
                      <w:i/>
                      <w:color w:val="auto"/>
                      <w:sz w:val="24"/>
                      <w:szCs w:val="24"/>
                      <w:highlight w:val="none"/>
                    </w:rPr>
                  </m:ctrlPr>
                  <m:r>
                    <w:rPr>
                      <w:rFonts w:ascii="Cambria Math" w:hAnsi="Cambria Math"/>
                      <w:color w:val="auto"/>
                      <w:sz w:val="24"/>
                      <w:szCs w:val="24"/>
                      <w:highlight w:val="none"/>
                    </w:rPr>
                    <m:t>2</m:t>
                  </m:r>
                </m:den>
              </m:f>
            </m:e>
          </m:d>
          <m:r>
            <w:rPr>
              <w:rFonts w:ascii="Cambria Math" w:hAnsi="Cambria Math" w:hint="eastAsia"/>
              <w:color w:val="auto"/>
              <w:sz w:val="24"/>
              <w:szCs w:val="24"/>
              <w:highlight w:val="none"/>
            </w:rPr>
            <m:t>×</m:t>
          </m:r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600</m:t>
          </m:r>
          <m:r>
            <w:rPr>
              <w:rFonts w:ascii="Cambria Math" w:hAnsi="Cambria Math" w:hint="eastAsia"/>
              <w:color w:val="auto"/>
              <w:sz w:val="24"/>
              <w:szCs w:val="24"/>
              <w:highlight w:val="none"/>
            </w:rPr>
            <m:t>mm</m:t>
          </m:r>
          <m:r>
            <w:rPr>
              <w:rFonts w:ascii="Cambria Math" w:hAnsi="Cambria Math"/>
              <w:color w:val="auto"/>
              <w:sz w:val="24"/>
              <w:szCs w:val="24"/>
              <w:highlight w:val="none"/>
            </w:rPr>
            <m:t>=200mm~300mm</m:t>
          </m:r>
        </m:oMath>
      </m:oMathPara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取</w:t>
      </w:r>
      <m:oMath>
        <m:r>
          <w:rPr>
            <w:rFonts w:ascii="Cambria Math" w:hAnsi="Cambria Math"/>
            <w:color w:val="auto"/>
            <w:sz w:val="24"/>
            <w:szCs w:val="24"/>
            <w:highlight w:val="none"/>
          </w:rPr>
          <m:t>b</m:t>
        </m:r>
        <m:r>
          <m:rPr>
            <m:sty m:val="p"/>
          </m:rPr>
          <w:rPr>
            <w:rFonts w:ascii="Cambria Math" w:hAnsi="Cambria Math"/>
            <w:color w:val="auto"/>
            <w:sz w:val="24"/>
            <w:szCs w:val="24"/>
            <w:highlight w:val="none"/>
          </w:rPr>
          <m:t>=300</m:t>
        </m:r>
        <m:r>
          <w:rPr>
            <w:rFonts w:ascii="Cambria Math" w:hAnsi="Cambria Math" w:hint="eastAsia"/>
            <w:color w:val="auto"/>
            <w:sz w:val="24"/>
            <w:szCs w:val="24"/>
            <w:highlight w:val="none"/>
          </w:rPr>
          <m:t>mm</m:t>
        </m:r>
      </m:oMath>
      <w:r>
        <w:rPr>
          <w:rFonts w:hint="eastAsia"/>
          <w:color w:val="auto"/>
          <w:sz w:val="24"/>
          <w:szCs w:val="24"/>
          <w:highlight w:val="none"/>
        </w:rPr>
        <w:t>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  <w:sectPr>
          <w:headerReference w:type="default" r:id="rId11"/>
          <w:footerReference w:type="default" r:id="rId12"/>
          <w:type w:val="nextPage"/>
          <w:pgSz w:w="11906" w:h="16838"/>
          <w:pgMar w:top="1417" w:right="1134" w:bottom="1417" w:left="1417" w:header="851" w:footer="850" w:gutter="0"/>
          <w:pgNumType w:start="2"/>
          <w:cols w:num="1" w:space="0"/>
          <w:titlePg w:val="0"/>
          <w:docGrid w:type="lines" w:linePitch="326" w:charSpace="0"/>
        </w:sect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  <w:r>
        <w:rPr>
          <w:color w:val="auto"/>
          <w:sz w:val="24"/>
          <w:szCs w:val="24"/>
          <w:highlight w:val="none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1308100</wp:posOffset>
            </wp:positionV>
            <wp:extent cx="6789420" cy="4228465"/>
            <wp:effectExtent l="0" t="0" r="8255" b="7620"/>
            <wp:wrapThrough wrapText="bothSides">
              <wp:wrapPolygon>
                <wp:start x="2" y="21600"/>
                <wp:lineTo x="21578" y="21600"/>
                <wp:lineTo x="21578" y="114"/>
                <wp:lineTo x="2" y="114"/>
                <wp:lineTo x="2" y="21600"/>
              </wp:wrapPolygon>
            </wp:wrapThrough>
            <wp:docPr id="7" name="图片 7" descr="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日历&#10;&#10;描述已自动生成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789420" cy="4228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auto"/>
          <w:sz w:val="24"/>
          <w:highlight w:val="none"/>
        </w:rPr>
      </w:pPr>
    </w:p>
    <w:p>
      <w:pPr>
        <w:pStyle w:val="Heading6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color w:val="auto"/>
          <w:sz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表1</w:t>
      </w:r>
      <w:r>
        <w:rPr>
          <w:color w:val="auto"/>
          <w:sz w:val="24"/>
          <w:szCs w:val="24"/>
          <w:highlight w:val="none"/>
        </w:rPr>
        <w:t xml:space="preserve">.2 </w:t>
      </w:r>
      <w:r>
        <w:rPr>
          <w:rFonts w:hint="eastAsia"/>
          <w:color w:val="auto"/>
          <w:sz w:val="24"/>
          <w:szCs w:val="24"/>
          <w:highlight w:val="none"/>
        </w:rPr>
        <w:t>楼盖平面布置图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  <w:r>
        <w:rPr>
          <w:color w:val="auto"/>
          <w:szCs w:val="24"/>
          <w:highlight w:val="none"/>
        </w:rPr>
        <w:br/>
      </w:r>
      <w:r>
        <w:rPr>
          <w:color w:val="auto"/>
          <w:szCs w:val="24"/>
          <w:highlight w:val="none"/>
        </w:rPr>
        <w:br/>
      </w:r>
    </w:p>
    <w:p>
      <w:pPr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https://d.book118.com/365024122323011101</w:t>
        </w:r>
      </w:hyperlink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color w:val="auto"/>
          <w:szCs w:val="24"/>
          <w:highlight w:val="none"/>
        </w:rPr>
      </w:pPr>
    </w:p>
    <w:sectPr>
      <w:headerReference w:type="default" r:id="rId15"/>
      <w:footerReference w:type="default" r:id="rId16"/>
      <w:type w:val="nextPage"/>
      <w:pgSz w:w="11906" w:h="16838"/>
      <w:pgMar w:top="1417" w:right="1134" w:bottom="1417" w:left="1417" w:header="851" w:footer="850" w:gutter="0"/>
      <w:pgNumType w:start="3"/>
      <w:cols w:num="1" w:space="0"/>
      <w:titlePg w:val="0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53329434"/>
      <w:docPartObj>
        <w:docPartGallery w:val="autotext"/>
      </w:docPartObj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796818406"/>
      <w:docPartObj>
        <w:docPartGallery w:val="autotext"/>
      </w:docPartObj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9789783"/>
      <w:docPartObj>
        <w:docPartGallery w:val="autotext"/>
      </w:docPartObj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firstLine="420"/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firstLine="420"/>
      <w:rPr>
        <w:sz w:val="21"/>
        <w:szCs w:val="2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firstLine="420"/>
      <w:rPr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28B0518"/>
    <w:multiLevelType w:val="multilevel"/>
    <w:tmpl w:val="128B0518"/>
    <w:lvl w:ilvl="0">
      <w:start w:val="1"/>
      <w:numFmt w:val="japaneseCounting"/>
      <w:lvlText w:val="第%1、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attachedTemplate r:id="rId1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43C"/>
    <w:rsid w:val="000118CE"/>
    <w:rsid w:val="00011DA1"/>
    <w:rsid w:val="000344D3"/>
    <w:rsid w:val="00036F3D"/>
    <w:rsid w:val="0004246A"/>
    <w:rsid w:val="00050364"/>
    <w:rsid w:val="00050D45"/>
    <w:rsid w:val="00053C42"/>
    <w:rsid w:val="00054D1E"/>
    <w:rsid w:val="00072644"/>
    <w:rsid w:val="00075A5E"/>
    <w:rsid w:val="00082484"/>
    <w:rsid w:val="00082789"/>
    <w:rsid w:val="00091696"/>
    <w:rsid w:val="00097A44"/>
    <w:rsid w:val="000A2436"/>
    <w:rsid w:val="000A37CC"/>
    <w:rsid w:val="000B65E7"/>
    <w:rsid w:val="000C3E8C"/>
    <w:rsid w:val="000E0D96"/>
    <w:rsid w:val="000F18DA"/>
    <w:rsid w:val="001215F6"/>
    <w:rsid w:val="0013179F"/>
    <w:rsid w:val="00140EC6"/>
    <w:rsid w:val="00141500"/>
    <w:rsid w:val="00150C57"/>
    <w:rsid w:val="0017032C"/>
    <w:rsid w:val="00173633"/>
    <w:rsid w:val="00191881"/>
    <w:rsid w:val="001A383F"/>
    <w:rsid w:val="001B4B94"/>
    <w:rsid w:val="001C49D1"/>
    <w:rsid w:val="001E5A4D"/>
    <w:rsid w:val="001F04AB"/>
    <w:rsid w:val="00206EB7"/>
    <w:rsid w:val="002209F9"/>
    <w:rsid w:val="00226216"/>
    <w:rsid w:val="00231B6C"/>
    <w:rsid w:val="0023451E"/>
    <w:rsid w:val="00240732"/>
    <w:rsid w:val="00250F84"/>
    <w:rsid w:val="00255F4D"/>
    <w:rsid w:val="0025647A"/>
    <w:rsid w:val="00265B19"/>
    <w:rsid w:val="00275D62"/>
    <w:rsid w:val="00283A5D"/>
    <w:rsid w:val="002A1D01"/>
    <w:rsid w:val="002A6684"/>
    <w:rsid w:val="002B05F0"/>
    <w:rsid w:val="002B146B"/>
    <w:rsid w:val="002B3722"/>
    <w:rsid w:val="002C3605"/>
    <w:rsid w:val="002C7544"/>
    <w:rsid w:val="002E5B0B"/>
    <w:rsid w:val="002E6123"/>
    <w:rsid w:val="00312E92"/>
    <w:rsid w:val="00323564"/>
    <w:rsid w:val="00336084"/>
    <w:rsid w:val="003633B2"/>
    <w:rsid w:val="00364056"/>
    <w:rsid w:val="00367B66"/>
    <w:rsid w:val="0037373C"/>
    <w:rsid w:val="0038424F"/>
    <w:rsid w:val="00384295"/>
    <w:rsid w:val="00385FCF"/>
    <w:rsid w:val="00387543"/>
    <w:rsid w:val="003B7B69"/>
    <w:rsid w:val="003C6F9B"/>
    <w:rsid w:val="003E47CD"/>
    <w:rsid w:val="003F0D78"/>
    <w:rsid w:val="003F40B0"/>
    <w:rsid w:val="00403758"/>
    <w:rsid w:val="00407561"/>
    <w:rsid w:val="0041724E"/>
    <w:rsid w:val="0041751F"/>
    <w:rsid w:val="00422F15"/>
    <w:rsid w:val="00431D9D"/>
    <w:rsid w:val="00432788"/>
    <w:rsid w:val="00457A71"/>
    <w:rsid w:val="00470E64"/>
    <w:rsid w:val="004A459D"/>
    <w:rsid w:val="004B6264"/>
    <w:rsid w:val="004C0A6A"/>
    <w:rsid w:val="004C6AE4"/>
    <w:rsid w:val="004C6EDD"/>
    <w:rsid w:val="004E0475"/>
    <w:rsid w:val="004E06E7"/>
    <w:rsid w:val="004F0AB1"/>
    <w:rsid w:val="005030CE"/>
    <w:rsid w:val="00511540"/>
    <w:rsid w:val="00517703"/>
    <w:rsid w:val="00552E3D"/>
    <w:rsid w:val="005761E1"/>
    <w:rsid w:val="00584B4A"/>
    <w:rsid w:val="00585701"/>
    <w:rsid w:val="005A3976"/>
    <w:rsid w:val="005A61CC"/>
    <w:rsid w:val="005A7FC2"/>
    <w:rsid w:val="005B4167"/>
    <w:rsid w:val="005B417A"/>
    <w:rsid w:val="005B4F4C"/>
    <w:rsid w:val="005E2EEF"/>
    <w:rsid w:val="005F2A76"/>
    <w:rsid w:val="006051EB"/>
    <w:rsid w:val="006112B4"/>
    <w:rsid w:val="006310A4"/>
    <w:rsid w:val="00633A4E"/>
    <w:rsid w:val="00636F4A"/>
    <w:rsid w:val="00644ED2"/>
    <w:rsid w:val="00652367"/>
    <w:rsid w:val="00673904"/>
    <w:rsid w:val="00674FBE"/>
    <w:rsid w:val="00686109"/>
    <w:rsid w:val="006B321D"/>
    <w:rsid w:val="006E010B"/>
    <w:rsid w:val="00704562"/>
    <w:rsid w:val="0071010D"/>
    <w:rsid w:val="00715C5B"/>
    <w:rsid w:val="00733D2D"/>
    <w:rsid w:val="0075136B"/>
    <w:rsid w:val="00753E76"/>
    <w:rsid w:val="007562DA"/>
    <w:rsid w:val="007960FB"/>
    <w:rsid w:val="00797614"/>
    <w:rsid w:val="007A4BB9"/>
    <w:rsid w:val="007B1388"/>
    <w:rsid w:val="007B5C70"/>
    <w:rsid w:val="007D631A"/>
    <w:rsid w:val="007D7717"/>
    <w:rsid w:val="007E3376"/>
    <w:rsid w:val="007F14D7"/>
    <w:rsid w:val="007F2418"/>
    <w:rsid w:val="008229F5"/>
    <w:rsid w:val="0082404A"/>
    <w:rsid w:val="008262D3"/>
    <w:rsid w:val="008337A2"/>
    <w:rsid w:val="00840E69"/>
    <w:rsid w:val="008703D7"/>
    <w:rsid w:val="008746BE"/>
    <w:rsid w:val="0088370F"/>
    <w:rsid w:val="008B0FA0"/>
    <w:rsid w:val="008B4A62"/>
    <w:rsid w:val="008B73B2"/>
    <w:rsid w:val="008D0538"/>
    <w:rsid w:val="008D27E7"/>
    <w:rsid w:val="008D6078"/>
    <w:rsid w:val="008E58E1"/>
    <w:rsid w:val="008E5A78"/>
    <w:rsid w:val="00911A22"/>
    <w:rsid w:val="0091555C"/>
    <w:rsid w:val="00916CEF"/>
    <w:rsid w:val="00934D75"/>
    <w:rsid w:val="00946B5E"/>
    <w:rsid w:val="00961364"/>
    <w:rsid w:val="009762A5"/>
    <w:rsid w:val="00987336"/>
    <w:rsid w:val="009905C7"/>
    <w:rsid w:val="009A4D64"/>
    <w:rsid w:val="009D4CCE"/>
    <w:rsid w:val="009E40FF"/>
    <w:rsid w:val="009E6081"/>
    <w:rsid w:val="00A17CD8"/>
    <w:rsid w:val="00A20588"/>
    <w:rsid w:val="00A21C8B"/>
    <w:rsid w:val="00A36578"/>
    <w:rsid w:val="00A42A9D"/>
    <w:rsid w:val="00A42FB4"/>
    <w:rsid w:val="00A57097"/>
    <w:rsid w:val="00A7228C"/>
    <w:rsid w:val="00A73264"/>
    <w:rsid w:val="00A97613"/>
    <w:rsid w:val="00AA00E9"/>
    <w:rsid w:val="00AA1A6F"/>
    <w:rsid w:val="00AA2B19"/>
    <w:rsid w:val="00AB00F5"/>
    <w:rsid w:val="00AC3C1E"/>
    <w:rsid w:val="00AE6D5C"/>
    <w:rsid w:val="00AF2A94"/>
    <w:rsid w:val="00AF744C"/>
    <w:rsid w:val="00B02BB8"/>
    <w:rsid w:val="00B0375C"/>
    <w:rsid w:val="00B20C33"/>
    <w:rsid w:val="00B245C6"/>
    <w:rsid w:val="00B27DA9"/>
    <w:rsid w:val="00B3457D"/>
    <w:rsid w:val="00B37C52"/>
    <w:rsid w:val="00B65A94"/>
    <w:rsid w:val="00B66408"/>
    <w:rsid w:val="00B67A92"/>
    <w:rsid w:val="00B73567"/>
    <w:rsid w:val="00B76941"/>
    <w:rsid w:val="00B86EBD"/>
    <w:rsid w:val="00BA62F2"/>
    <w:rsid w:val="00BA692F"/>
    <w:rsid w:val="00BC0A70"/>
    <w:rsid w:val="00BD17DA"/>
    <w:rsid w:val="00BE5117"/>
    <w:rsid w:val="00C015B6"/>
    <w:rsid w:val="00C04284"/>
    <w:rsid w:val="00C52EA2"/>
    <w:rsid w:val="00C53272"/>
    <w:rsid w:val="00C5677D"/>
    <w:rsid w:val="00C70F38"/>
    <w:rsid w:val="00C77FEC"/>
    <w:rsid w:val="00C81147"/>
    <w:rsid w:val="00C84728"/>
    <w:rsid w:val="00C86EB2"/>
    <w:rsid w:val="00C9745F"/>
    <w:rsid w:val="00CA471D"/>
    <w:rsid w:val="00CA4F60"/>
    <w:rsid w:val="00CB3DD5"/>
    <w:rsid w:val="00CB7BA2"/>
    <w:rsid w:val="00CC2683"/>
    <w:rsid w:val="00CC3A7F"/>
    <w:rsid w:val="00CC4F1F"/>
    <w:rsid w:val="00CD6782"/>
    <w:rsid w:val="00CE185F"/>
    <w:rsid w:val="00CE2281"/>
    <w:rsid w:val="00CE493F"/>
    <w:rsid w:val="00CF272D"/>
    <w:rsid w:val="00D064B0"/>
    <w:rsid w:val="00D20C26"/>
    <w:rsid w:val="00D436A7"/>
    <w:rsid w:val="00D44D62"/>
    <w:rsid w:val="00D47095"/>
    <w:rsid w:val="00D6143C"/>
    <w:rsid w:val="00D648A0"/>
    <w:rsid w:val="00D71081"/>
    <w:rsid w:val="00D75454"/>
    <w:rsid w:val="00D84324"/>
    <w:rsid w:val="00D9540D"/>
    <w:rsid w:val="00DA5016"/>
    <w:rsid w:val="00DA52EF"/>
    <w:rsid w:val="00DC0009"/>
    <w:rsid w:val="00DC06EC"/>
    <w:rsid w:val="00DC5E3E"/>
    <w:rsid w:val="00DC65FB"/>
    <w:rsid w:val="00DD6452"/>
    <w:rsid w:val="00DE2007"/>
    <w:rsid w:val="00DF17F7"/>
    <w:rsid w:val="00DF1CF5"/>
    <w:rsid w:val="00DF4F28"/>
    <w:rsid w:val="00E03546"/>
    <w:rsid w:val="00E112F4"/>
    <w:rsid w:val="00E2354A"/>
    <w:rsid w:val="00E26FFE"/>
    <w:rsid w:val="00E32AD9"/>
    <w:rsid w:val="00E37349"/>
    <w:rsid w:val="00E51632"/>
    <w:rsid w:val="00E75479"/>
    <w:rsid w:val="00E80A90"/>
    <w:rsid w:val="00E856DB"/>
    <w:rsid w:val="00EA7207"/>
    <w:rsid w:val="00EB5AF7"/>
    <w:rsid w:val="00EC1379"/>
    <w:rsid w:val="00ED0214"/>
    <w:rsid w:val="00EE4571"/>
    <w:rsid w:val="00EF4E2E"/>
    <w:rsid w:val="00F12754"/>
    <w:rsid w:val="00F23C6C"/>
    <w:rsid w:val="00F246B2"/>
    <w:rsid w:val="00F47E93"/>
    <w:rsid w:val="00F53B95"/>
    <w:rsid w:val="00F85083"/>
    <w:rsid w:val="00F95348"/>
    <w:rsid w:val="00FB0759"/>
    <w:rsid w:val="00FD4242"/>
    <w:rsid w:val="00FE1D22"/>
    <w:rsid w:val="016D3545"/>
    <w:rsid w:val="02020F00"/>
    <w:rsid w:val="0242548F"/>
    <w:rsid w:val="037B618E"/>
    <w:rsid w:val="0424400B"/>
    <w:rsid w:val="04C24599"/>
    <w:rsid w:val="04C80430"/>
    <w:rsid w:val="056A30C6"/>
    <w:rsid w:val="05DE0AB4"/>
    <w:rsid w:val="05EE24D0"/>
    <w:rsid w:val="06F2235B"/>
    <w:rsid w:val="07175830"/>
    <w:rsid w:val="07350E00"/>
    <w:rsid w:val="076D7F09"/>
    <w:rsid w:val="08000A26"/>
    <w:rsid w:val="093F27CD"/>
    <w:rsid w:val="0B190E81"/>
    <w:rsid w:val="0BC84236"/>
    <w:rsid w:val="0C9278B2"/>
    <w:rsid w:val="0CFC4444"/>
    <w:rsid w:val="0CFE7AD8"/>
    <w:rsid w:val="0D4C51D0"/>
    <w:rsid w:val="0DEB2EBB"/>
    <w:rsid w:val="0E017EC4"/>
    <w:rsid w:val="0F0B2C84"/>
    <w:rsid w:val="0FAE11C2"/>
    <w:rsid w:val="0FDD6AA3"/>
    <w:rsid w:val="10C475BD"/>
    <w:rsid w:val="10D44779"/>
    <w:rsid w:val="118A7F39"/>
    <w:rsid w:val="11C22A6B"/>
    <w:rsid w:val="12595FB8"/>
    <w:rsid w:val="12C26532"/>
    <w:rsid w:val="134323E7"/>
    <w:rsid w:val="13621B6E"/>
    <w:rsid w:val="13D92654"/>
    <w:rsid w:val="14CE7323"/>
    <w:rsid w:val="15F43115"/>
    <w:rsid w:val="17782DEC"/>
    <w:rsid w:val="17C37D33"/>
    <w:rsid w:val="18F55CA0"/>
    <w:rsid w:val="199F6473"/>
    <w:rsid w:val="1A702016"/>
    <w:rsid w:val="1A7F74E4"/>
    <w:rsid w:val="1B134657"/>
    <w:rsid w:val="1C2B2434"/>
    <w:rsid w:val="1C3C0187"/>
    <w:rsid w:val="1C930AF9"/>
    <w:rsid w:val="1CAA447B"/>
    <w:rsid w:val="1D2A1115"/>
    <w:rsid w:val="1D6267DD"/>
    <w:rsid w:val="1E486085"/>
    <w:rsid w:val="1E91176D"/>
    <w:rsid w:val="1F6C49E4"/>
    <w:rsid w:val="1FB43B6C"/>
    <w:rsid w:val="20E55F34"/>
    <w:rsid w:val="215B1CE5"/>
    <w:rsid w:val="22072814"/>
    <w:rsid w:val="22E3777D"/>
    <w:rsid w:val="237123A2"/>
    <w:rsid w:val="240F1315"/>
    <w:rsid w:val="24445B9E"/>
    <w:rsid w:val="26842983"/>
    <w:rsid w:val="26FC794D"/>
    <w:rsid w:val="271E7E8C"/>
    <w:rsid w:val="29AE5801"/>
    <w:rsid w:val="29FB674A"/>
    <w:rsid w:val="2A1C097A"/>
    <w:rsid w:val="2A9B5A19"/>
    <w:rsid w:val="2B587DB5"/>
    <w:rsid w:val="2BF62298"/>
    <w:rsid w:val="2C05575E"/>
    <w:rsid w:val="2D3B7DCB"/>
    <w:rsid w:val="2D461F9D"/>
    <w:rsid w:val="2D691E65"/>
    <w:rsid w:val="2DDD07B7"/>
    <w:rsid w:val="2EE91969"/>
    <w:rsid w:val="317D2A81"/>
    <w:rsid w:val="32030775"/>
    <w:rsid w:val="3217466E"/>
    <w:rsid w:val="322F7E9D"/>
    <w:rsid w:val="33F71F0B"/>
    <w:rsid w:val="33FC25C8"/>
    <w:rsid w:val="34186214"/>
    <w:rsid w:val="355E2E33"/>
    <w:rsid w:val="35C1450F"/>
    <w:rsid w:val="36C971CF"/>
    <w:rsid w:val="36E008F3"/>
    <w:rsid w:val="370D6203"/>
    <w:rsid w:val="38032D13"/>
    <w:rsid w:val="38403834"/>
    <w:rsid w:val="387E406C"/>
    <w:rsid w:val="38AC42B1"/>
    <w:rsid w:val="38CD31CC"/>
    <w:rsid w:val="38E121DB"/>
    <w:rsid w:val="39867BEA"/>
    <w:rsid w:val="3B177385"/>
    <w:rsid w:val="3B640605"/>
    <w:rsid w:val="3BD60E26"/>
    <w:rsid w:val="3C4D14B1"/>
    <w:rsid w:val="3D9570AF"/>
    <w:rsid w:val="3DEA2241"/>
    <w:rsid w:val="3E324863"/>
    <w:rsid w:val="3E5E5B15"/>
    <w:rsid w:val="3E743EE3"/>
    <w:rsid w:val="3F2D5BA6"/>
    <w:rsid w:val="3FE676BA"/>
    <w:rsid w:val="409E30C4"/>
    <w:rsid w:val="43351574"/>
    <w:rsid w:val="44836ABA"/>
    <w:rsid w:val="44CA61B9"/>
    <w:rsid w:val="4711526E"/>
    <w:rsid w:val="48161C34"/>
    <w:rsid w:val="48427F87"/>
    <w:rsid w:val="48DD0183"/>
    <w:rsid w:val="49151D07"/>
    <w:rsid w:val="4A1D65BE"/>
    <w:rsid w:val="4A933B5F"/>
    <w:rsid w:val="4BB86FC7"/>
    <w:rsid w:val="4C014DD1"/>
    <w:rsid w:val="4C227DA8"/>
    <w:rsid w:val="4C671256"/>
    <w:rsid w:val="4CBC6C86"/>
    <w:rsid w:val="4CD32D99"/>
    <w:rsid w:val="4CDB51D0"/>
    <w:rsid w:val="4CDC373A"/>
    <w:rsid w:val="4EC33DA0"/>
    <w:rsid w:val="4F196C63"/>
    <w:rsid w:val="50302ED4"/>
    <w:rsid w:val="50E64B87"/>
    <w:rsid w:val="51D60B3D"/>
    <w:rsid w:val="529D20B0"/>
    <w:rsid w:val="52F26D79"/>
    <w:rsid w:val="549133B1"/>
    <w:rsid w:val="54F434AD"/>
    <w:rsid w:val="552961FC"/>
    <w:rsid w:val="577D1FDD"/>
    <w:rsid w:val="585211E6"/>
    <w:rsid w:val="58EC4AC8"/>
    <w:rsid w:val="58F10B43"/>
    <w:rsid w:val="595B1CD7"/>
    <w:rsid w:val="5CCB03BB"/>
    <w:rsid w:val="5D252026"/>
    <w:rsid w:val="5DAA18B3"/>
    <w:rsid w:val="5DD8786C"/>
    <w:rsid w:val="5E88072F"/>
    <w:rsid w:val="5F153369"/>
    <w:rsid w:val="5F9614BD"/>
    <w:rsid w:val="60DA48CE"/>
    <w:rsid w:val="619A2C7B"/>
    <w:rsid w:val="62E278F0"/>
    <w:rsid w:val="62E30527"/>
    <w:rsid w:val="62EE4447"/>
    <w:rsid w:val="63D0007C"/>
    <w:rsid w:val="64AD2274"/>
    <w:rsid w:val="64FC328F"/>
    <w:rsid w:val="653772E5"/>
    <w:rsid w:val="67251DB0"/>
    <w:rsid w:val="673408E5"/>
    <w:rsid w:val="67590E75"/>
    <w:rsid w:val="680422B0"/>
    <w:rsid w:val="6A2923A2"/>
    <w:rsid w:val="6A3F155F"/>
    <w:rsid w:val="6A7D4EF6"/>
    <w:rsid w:val="6AB26236"/>
    <w:rsid w:val="6B6E32F7"/>
    <w:rsid w:val="6BA33FDA"/>
    <w:rsid w:val="6CFA30EB"/>
    <w:rsid w:val="6CFE0487"/>
    <w:rsid w:val="6D833FBD"/>
    <w:rsid w:val="6F376C05"/>
    <w:rsid w:val="6F5D723E"/>
    <w:rsid w:val="6F7471F5"/>
    <w:rsid w:val="70212790"/>
    <w:rsid w:val="70CE3625"/>
    <w:rsid w:val="71E66C4A"/>
    <w:rsid w:val="72DE589D"/>
    <w:rsid w:val="733F0416"/>
    <w:rsid w:val="73652986"/>
    <w:rsid w:val="73B64457"/>
    <w:rsid w:val="741E1B04"/>
    <w:rsid w:val="77DF0894"/>
    <w:rsid w:val="791A6C8A"/>
    <w:rsid w:val="7A216208"/>
    <w:rsid w:val="7BA37A45"/>
    <w:rsid w:val="7C691ABE"/>
    <w:rsid w:val="7CF36D4A"/>
    <w:rsid w:val="7D413D92"/>
    <w:rsid w:val="7D5463EF"/>
    <w:rsid w:val="7F1D3B30"/>
    <w:rsid w:val="7FF06356"/>
  </w:rsids>
  <w:docVars>
    <w:docVar w:name="commondata" w:val="eyJoZGlkIjoiMjg0MzY1ZTU0NTBiNTI0MzFmOTU2ODE5N2RmMjAwM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0" w:unhideWhenUsed="0" w:qFormat="1"/>
    <w:lsdException w:name="toc 5" w:uiPriority="0" w:unhideWhenUsed="0" w:qFormat="1"/>
    <w:lsdException w:name="toc 6" w:uiPriority="0" w:unhideWhenUsed="0" w:qFormat="1"/>
    <w:lsdException w:name="toc 7" w:uiPriority="0" w:unhideWhenUsed="0" w:qFormat="1"/>
    <w:lsdException w:name="toc 8" w:uiPriority="0" w:unhideWhenUsed="0" w:qFormat="1"/>
    <w:lsdException w:name="toc 9" w:uiPriority="0" w:unhideWhenUsed="0" w:qFormat="1"/>
    <w:lsdException w:name="Normal Indent"/>
    <w:lsdException w:name="footnote text" w:semiHidden="0" w:uiPriority="0" w:unhideWhenUsed="0" w:qFormat="1"/>
    <w:lsdException w:name="annotation text" w:semiHidden="0" w:unhideWhenUsed="0" w:qFormat="1"/>
    <w:lsdException w:name="header" w:semiHidden="0" w:uiPriority="0" w:qFormat="1"/>
    <w:lsdException w:name="footer" w:semiHidden="0" w:uiPriority="0" w:qFormat="1"/>
    <w:lsdException w:name="index heading"/>
    <w:lsdException w:name="caption" w:semiHidden="0" w:uiPriority="0" w:unhideWhenUsed="0" w:qFormat="1"/>
    <w:lsdException w:name="table of figures"/>
    <w:lsdException w:name="envelope address"/>
    <w:lsdException w:name="envelope return"/>
    <w:lsdException w:name="footnote reference" w:semiHidden="0" w:unhideWhenUsed="0" w:qFormat="1"/>
    <w:lsdException w:name="annotation reference" w:semiHidden="0" w:unhideWhenUsed="0" w:qFormat="1"/>
    <w:lsdException w:name="line number" w:qFormat="1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uiPriority="0" w:unhideWhenUsed="0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 w:semiHidden="0" w:uiPriority="0" w:unhideWhenUsed="0" w:qFormat="1"/>
    <w:lsdException w:name="Body Text Indent 3"/>
    <w:lsdException w:name="Block Text"/>
    <w:lsdException w:name="Hyperlink" w:semiHidden="0" w:unhideWhenUsed="0" w:qFormat="1"/>
    <w:lsdException w:name="FollowedHyperlink"/>
    <w:lsdException w:name="Strong" w:semiHidden="0" w:uiPriority="0" w:unhideWhenUsed="0" w:qFormat="1"/>
    <w:lsdException w:name="Emphasis" w:semiHidden="0" w:uiPriority="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semiHidden="0" w:uiPriority="0" w:unhideWhenUsed="0" w:qFormat="1"/>
    <w:lsdException w:name="HTML Sample"/>
    <w:lsdException w:name="HTML Typewriter"/>
    <w:lsdException w:name="HTML Variable"/>
    <w:lsdException w:name="Normal Table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 w:qFormat="1"/>
    <w:lsdException w:name="Table Grid" w:semiHidden="0" w:uiPriority="0" w:unhideWhenUsed="0" w:qFormat="1"/>
    <w:lsdException w:name="Table Theme"/>
    <w:lsdException w:name="Placeholder Text" w:semiHidden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Heading2"/>
    <w:qFormat/>
    <w:pPr>
      <w:spacing w:line="400" w:lineRule="exact"/>
      <w:ind w:firstLine="200" w:firstLineChars="200"/>
      <w:jc w:val="both"/>
    </w:pPr>
    <w:rPr>
      <w:rFonts w:ascii="Times New Roman" w:hAnsi="Times New Roman" w:eastAsiaTheme="minorEastAsia" w:cs="Times New Roman"/>
      <w:sz w:val="24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keepNext/>
      <w:keepLines/>
      <w:widowControl w:val="0"/>
      <w:spacing w:line="360" w:lineRule="auto"/>
      <w:ind w:firstLine="0" w:firstLineChars="0"/>
      <w:jc w:val="center"/>
      <w:outlineLvl w:val="0"/>
    </w:pPr>
    <w:rPr>
      <w:rFonts w:ascii="黑体" w:eastAsia="黑体" w:hAnsi="黑体"/>
      <w:kern w:val="2"/>
      <w:sz w:val="30"/>
      <w:szCs w:val="20"/>
    </w:rPr>
  </w:style>
  <w:style w:type="paragraph" w:styleId="Heading2">
    <w:name w:val="heading 2"/>
    <w:basedOn w:val="Normal"/>
    <w:next w:val="Normal"/>
    <w:link w:val="2"/>
    <w:uiPriority w:val="9"/>
    <w:qFormat/>
    <w:pPr>
      <w:keepNext/>
      <w:keepLines/>
      <w:widowControl w:val="0"/>
      <w:ind w:firstLine="0" w:firstLineChars="0"/>
      <w:outlineLvl w:val="1"/>
    </w:pPr>
    <w:rPr>
      <w:rFonts w:ascii="黑体" w:eastAsia="黑体" w:hAnsi="黑体"/>
      <w:kern w:val="2"/>
      <w:sz w:val="28"/>
      <w:szCs w:val="20"/>
    </w:rPr>
  </w:style>
  <w:style w:type="paragraph" w:styleId="Heading3">
    <w:name w:val="heading 3"/>
    <w:basedOn w:val="Normal"/>
    <w:next w:val="Normal"/>
    <w:link w:val="3"/>
    <w:uiPriority w:val="9"/>
    <w:qFormat/>
    <w:pPr>
      <w:keepNext/>
      <w:keepLines/>
      <w:widowControl w:val="0"/>
      <w:spacing w:before="240" w:after="120"/>
      <w:ind w:firstLine="0" w:firstLineChars="0"/>
      <w:outlineLvl w:val="2"/>
    </w:pPr>
    <w:rPr>
      <w:rFonts w:ascii="黑体" w:eastAsia="黑体" w:hAnsi="黑体"/>
      <w:kern w:val="2"/>
      <w:sz w:val="26"/>
      <w:szCs w:val="20"/>
    </w:rPr>
  </w:style>
  <w:style w:type="paragraph" w:styleId="Heading4">
    <w:name w:val="heading 4"/>
    <w:basedOn w:val="Normal"/>
    <w:next w:val="Normal"/>
    <w:link w:val="4"/>
    <w:qFormat/>
    <w:pPr>
      <w:keepNext/>
      <w:widowControl w:val="0"/>
      <w:spacing w:before="240" w:after="120"/>
      <w:ind w:firstLine="0" w:firstLineChars="0"/>
      <w:jc w:val="left"/>
      <w:outlineLvl w:val="3"/>
    </w:pPr>
    <w:rPr>
      <w:rFonts w:ascii="黑体" w:eastAsia="黑体" w:hAnsi="黑体"/>
      <w:kern w:val="2"/>
      <w:szCs w:val="20"/>
    </w:rPr>
  </w:style>
  <w:style w:type="paragraph" w:styleId="Heading5">
    <w:name w:val="heading 5"/>
    <w:basedOn w:val="Normal"/>
    <w:next w:val="Normal"/>
    <w:link w:val="5"/>
    <w:qFormat/>
    <w:pPr>
      <w:keepNext/>
      <w:widowControl w:val="0"/>
      <w:spacing w:before="120" w:after="240" w:line="240" w:lineRule="auto"/>
      <w:ind w:firstLine="0" w:firstLineChars="0"/>
      <w:jc w:val="center"/>
      <w:outlineLvl w:val="4"/>
    </w:pPr>
    <w:rPr>
      <w:rFonts w:ascii="黑体" w:eastAsia="黑体" w:hAnsi="黑体"/>
      <w:kern w:val="2"/>
      <w:sz w:val="22"/>
      <w:szCs w:val="20"/>
    </w:rPr>
  </w:style>
  <w:style w:type="paragraph" w:styleId="Heading6">
    <w:name w:val="heading 6"/>
    <w:basedOn w:val="Normal"/>
    <w:next w:val="Normal"/>
    <w:link w:val="6"/>
    <w:uiPriority w:val="9"/>
    <w:unhideWhenUsed/>
    <w:qFormat/>
    <w:pPr>
      <w:keepNext/>
      <w:keepLines/>
      <w:spacing w:before="120" w:after="240" w:line="240" w:lineRule="auto"/>
      <w:ind w:firstLine="0" w:firstLineChars="0"/>
      <w:jc w:val="center"/>
      <w:outlineLvl w:val="5"/>
    </w:pPr>
    <w:rPr>
      <w:rFonts w:eastAsia="黑体" w:cstheme="majorBidi"/>
      <w:bCs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semiHidden/>
    <w:qFormat/>
    <w:pPr>
      <w:widowControl w:val="0"/>
      <w:ind w:left="1260"/>
      <w:jc w:val="left"/>
    </w:pPr>
    <w:rPr>
      <w:rFonts w:eastAsia="宋体"/>
      <w:kern w:val="2"/>
      <w:sz w:val="18"/>
      <w:szCs w:val="18"/>
    </w:rPr>
  </w:style>
  <w:style w:type="paragraph" w:styleId="Caption">
    <w:name w:val="caption"/>
    <w:basedOn w:val="Normal"/>
    <w:next w:val="Normal"/>
    <w:qFormat/>
    <w:pPr>
      <w:widowControl w:val="0"/>
      <w:spacing w:before="60" w:after="60"/>
      <w:ind w:firstLine="0" w:firstLineChars="0"/>
    </w:pPr>
    <w:rPr>
      <w:kern w:val="2"/>
      <w:sz w:val="21"/>
      <w:szCs w:val="20"/>
    </w:rPr>
  </w:style>
  <w:style w:type="paragraph" w:styleId="CommentText">
    <w:name w:val="annotation text"/>
    <w:basedOn w:val="Normal"/>
    <w:link w:val="a8"/>
    <w:uiPriority w:val="99"/>
    <w:qFormat/>
    <w:pPr>
      <w:widowControl w:val="0"/>
      <w:jc w:val="left"/>
    </w:pPr>
    <w:rPr>
      <w:rFonts w:eastAsia="宋体"/>
      <w:kern w:val="2"/>
      <w:szCs w:val="20"/>
    </w:rPr>
  </w:style>
  <w:style w:type="paragraph" w:styleId="BodyText">
    <w:name w:val="Body Text"/>
    <w:basedOn w:val="Normal"/>
    <w:link w:val="a4"/>
    <w:qFormat/>
    <w:pPr>
      <w:widowControl w:val="0"/>
      <w:spacing w:after="120"/>
    </w:pPr>
    <w:rPr>
      <w:rFonts w:eastAsia="宋体"/>
      <w:kern w:val="2"/>
      <w:szCs w:val="20"/>
    </w:rPr>
  </w:style>
  <w:style w:type="paragraph" w:styleId="BodyTextIndent">
    <w:name w:val="Body Text Indent"/>
    <w:basedOn w:val="Normal"/>
    <w:link w:val="a3"/>
    <w:qFormat/>
    <w:pPr>
      <w:widowControl w:val="0"/>
      <w:spacing w:before="156" w:beforeLines="50" w:after="156" w:afterLines="50" w:line="360" w:lineRule="exact"/>
      <w:ind w:firstLine="480"/>
    </w:pPr>
    <w:rPr>
      <w:rFonts w:eastAsia="宋体"/>
      <w:kern w:val="2"/>
      <w:szCs w:val="20"/>
    </w:rPr>
  </w:style>
  <w:style w:type="paragraph" w:styleId="TOC5">
    <w:name w:val="toc 5"/>
    <w:basedOn w:val="Normal"/>
    <w:next w:val="Normal"/>
    <w:semiHidden/>
    <w:qFormat/>
    <w:pPr>
      <w:widowControl w:val="0"/>
      <w:ind w:left="840"/>
      <w:jc w:val="left"/>
    </w:pPr>
    <w:rPr>
      <w:rFonts w:eastAsia="宋体"/>
      <w:kern w:val="2"/>
      <w:sz w:val="18"/>
      <w:szCs w:val="18"/>
    </w:rPr>
  </w:style>
  <w:style w:type="paragraph" w:styleId="TOC3">
    <w:name w:val="toc 3"/>
    <w:basedOn w:val="Normal"/>
    <w:next w:val="Normal"/>
    <w:uiPriority w:val="39"/>
    <w:qFormat/>
    <w:pPr>
      <w:widowControl w:val="0"/>
      <w:ind w:firstLine="400" w:firstLineChars="400"/>
      <w:jc w:val="left"/>
    </w:pPr>
    <w:rPr>
      <w:rFonts w:eastAsia="宋体"/>
      <w:iCs/>
      <w:kern w:val="2"/>
      <w:szCs w:val="20"/>
    </w:rPr>
  </w:style>
  <w:style w:type="paragraph" w:styleId="PlainText">
    <w:name w:val="Plain Text"/>
    <w:basedOn w:val="Normal"/>
    <w:link w:val="a5"/>
    <w:qFormat/>
    <w:pPr>
      <w:widowControl w:val="0"/>
    </w:pPr>
    <w:rPr>
      <w:rFonts w:ascii="宋体" w:eastAsia="宋体" w:hAnsi="Courier New" w:hint="eastAsia"/>
      <w:kern w:val="2"/>
      <w:szCs w:val="20"/>
    </w:rPr>
  </w:style>
  <w:style w:type="paragraph" w:styleId="TOC8">
    <w:name w:val="toc 8"/>
    <w:basedOn w:val="Normal"/>
    <w:next w:val="Normal"/>
    <w:semiHidden/>
    <w:qFormat/>
    <w:pPr>
      <w:widowControl w:val="0"/>
      <w:ind w:left="1470"/>
      <w:jc w:val="left"/>
    </w:pPr>
    <w:rPr>
      <w:rFonts w:eastAsia="宋体"/>
      <w:kern w:val="2"/>
      <w:sz w:val="18"/>
      <w:szCs w:val="18"/>
    </w:rPr>
  </w:style>
  <w:style w:type="paragraph" w:styleId="Date">
    <w:name w:val="Date"/>
    <w:basedOn w:val="Normal"/>
    <w:next w:val="Normal"/>
    <w:link w:val="a2"/>
    <w:qFormat/>
    <w:pPr>
      <w:widowControl w:val="0"/>
      <w:ind w:left="100" w:leftChars="2500"/>
    </w:pPr>
    <w:rPr>
      <w:rFonts w:eastAsia="宋体"/>
      <w:kern w:val="2"/>
      <w:szCs w:val="20"/>
    </w:rPr>
  </w:style>
  <w:style w:type="paragraph" w:styleId="BodyTextIndent2">
    <w:name w:val="Body Text Indent 2"/>
    <w:basedOn w:val="Normal"/>
    <w:link w:val="20"/>
    <w:qFormat/>
    <w:pPr>
      <w:widowControl w:val="0"/>
      <w:spacing w:before="156" w:beforeLines="50" w:after="156" w:afterLines="50" w:line="360" w:lineRule="exact"/>
      <w:ind w:left="561" w:firstLine="480"/>
    </w:pPr>
    <w:rPr>
      <w:rFonts w:eastAsia="宋体"/>
      <w:kern w:val="2"/>
      <w:szCs w:val="20"/>
    </w:rPr>
  </w:style>
  <w:style w:type="paragraph" w:styleId="BalloonText">
    <w:name w:val="Balloon Text"/>
    <w:basedOn w:val="Normal"/>
    <w:link w:val="a1"/>
    <w:uiPriority w:val="99"/>
    <w:qFormat/>
    <w:pPr>
      <w:widowControl w:val="0"/>
    </w:pPr>
    <w:rPr>
      <w:rFonts w:eastAsia="宋体"/>
      <w:kern w:val="2"/>
      <w:sz w:val="18"/>
      <w:szCs w:val="20"/>
    </w:rPr>
  </w:style>
  <w:style w:type="paragraph" w:styleId="Footer">
    <w:name w:val="footer"/>
    <w:basedOn w:val="Normal"/>
    <w:link w:val="a0"/>
    <w:autoRedefine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link w:val="TOC11"/>
    <w:uiPriority w:val="39"/>
    <w:qFormat/>
    <w:pPr>
      <w:widowControl w:val="0"/>
      <w:spacing w:before="120"/>
      <w:ind w:firstLine="0" w:firstLineChars="0"/>
      <w:jc w:val="left"/>
    </w:pPr>
    <w:rPr>
      <w:rFonts w:eastAsia="黑体"/>
      <w:bCs/>
      <w:caps/>
      <w:kern w:val="2"/>
      <w:szCs w:val="20"/>
    </w:rPr>
  </w:style>
  <w:style w:type="paragraph" w:styleId="TOC4">
    <w:name w:val="toc 4"/>
    <w:basedOn w:val="Normal"/>
    <w:next w:val="Normal"/>
    <w:semiHidden/>
    <w:qFormat/>
    <w:pPr>
      <w:widowControl w:val="0"/>
      <w:ind w:left="630"/>
      <w:jc w:val="left"/>
    </w:pPr>
    <w:rPr>
      <w:rFonts w:eastAsia="宋体"/>
      <w:kern w:val="2"/>
      <w:sz w:val="18"/>
      <w:szCs w:val="18"/>
    </w:rPr>
  </w:style>
  <w:style w:type="paragraph" w:styleId="FootnoteText">
    <w:name w:val="footnote text"/>
    <w:basedOn w:val="Normal"/>
    <w:link w:val="a6"/>
    <w:qFormat/>
    <w:pPr>
      <w:widowControl w:val="0"/>
      <w:snapToGrid w:val="0"/>
      <w:jc w:val="left"/>
    </w:pPr>
    <w:rPr>
      <w:rFonts w:eastAsia="宋体"/>
      <w:kern w:val="2"/>
      <w:sz w:val="18"/>
      <w:szCs w:val="18"/>
    </w:rPr>
  </w:style>
  <w:style w:type="paragraph" w:styleId="TOC6">
    <w:name w:val="toc 6"/>
    <w:basedOn w:val="Normal"/>
    <w:next w:val="Normal"/>
    <w:semiHidden/>
    <w:qFormat/>
    <w:pPr>
      <w:widowControl w:val="0"/>
      <w:ind w:left="1050"/>
      <w:jc w:val="left"/>
    </w:pPr>
    <w:rPr>
      <w:rFonts w:eastAsia="宋体"/>
      <w:kern w:val="2"/>
      <w:sz w:val="18"/>
      <w:szCs w:val="18"/>
    </w:rPr>
  </w:style>
  <w:style w:type="paragraph" w:styleId="TOC2">
    <w:name w:val="toc 2"/>
    <w:basedOn w:val="Normal"/>
    <w:next w:val="Normal"/>
    <w:link w:val="TOC20"/>
    <w:uiPriority w:val="39"/>
    <w:qFormat/>
    <w:pPr>
      <w:widowControl w:val="0"/>
      <w:jc w:val="left"/>
    </w:pPr>
    <w:rPr>
      <w:rFonts w:eastAsia="宋体"/>
      <w:smallCaps/>
      <w:kern w:val="2"/>
      <w:szCs w:val="20"/>
    </w:rPr>
  </w:style>
  <w:style w:type="paragraph" w:styleId="TOC9">
    <w:name w:val="toc 9"/>
    <w:basedOn w:val="Normal"/>
    <w:next w:val="Normal"/>
    <w:semiHidden/>
    <w:qFormat/>
    <w:pPr>
      <w:widowControl w:val="0"/>
      <w:ind w:left="1680"/>
      <w:jc w:val="left"/>
    </w:pPr>
    <w:rPr>
      <w:rFonts w:eastAsia="宋体"/>
      <w:kern w:val="2"/>
      <w:sz w:val="18"/>
      <w:szCs w:val="18"/>
    </w:rPr>
  </w:style>
  <w:style w:type="paragraph" w:styleId="HTMLPreformatted">
    <w:name w:val="HTML Preformatted"/>
    <w:basedOn w:val="Normal"/>
    <w:link w:val="HTML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szCs w:val="24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  <w:jc w:val="left"/>
    </w:pPr>
    <w:rPr>
      <w:rFonts w:ascii="宋体" w:eastAsia="宋体" w:hAnsi="宋体"/>
      <w:szCs w:val="20"/>
    </w:rPr>
  </w:style>
  <w:style w:type="paragraph" w:styleId="CommentSubject">
    <w:name w:val="annotation subject"/>
    <w:basedOn w:val="CommentText"/>
    <w:next w:val="CommentText"/>
    <w:link w:val="a9"/>
    <w:qFormat/>
    <w:rPr>
      <w:b/>
      <w:bCs/>
    </w:rPr>
  </w:style>
  <w:style w:type="table" w:styleId="TableGrid">
    <w:name w:val="Table Grid"/>
    <w:basedOn w:val="TableNormal"/>
    <w:qFormat/>
    <w:rPr>
      <w:rFonts w:ascii="Times New Roman" w:eastAsia="宋体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Emphasis">
    <w:name w:val="Emphasis"/>
    <w:basedOn w:val="DefaultParagraphFont"/>
    <w:qFormat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uiPriority w:val="99"/>
    <w:qFormat/>
    <w:rPr>
      <w:sz w:val="21"/>
      <w:szCs w:val="21"/>
    </w:rPr>
  </w:style>
  <w:style w:type="character" w:styleId="FootnoteReference">
    <w:name w:val="footnote reference"/>
    <w:uiPriority w:val="99"/>
    <w:qFormat/>
    <w:rPr>
      <w:vertAlign w:val="superscript"/>
    </w:rPr>
  </w:style>
  <w:style w:type="character" w:customStyle="1" w:styleId="1">
    <w:name w:val="标题 1 字符"/>
    <w:basedOn w:val="DefaultParagraphFont"/>
    <w:link w:val="Heading1"/>
    <w:uiPriority w:val="9"/>
    <w:qFormat/>
    <w:rPr>
      <w:rFonts w:ascii="黑体" w:eastAsia="黑体" w:hAnsi="黑体" w:cs="Times New Roman"/>
      <w:sz w:val="30"/>
      <w:szCs w:val="20"/>
    </w:rPr>
  </w:style>
  <w:style w:type="character" w:customStyle="1" w:styleId="2">
    <w:name w:val="标题 2 字符"/>
    <w:basedOn w:val="DefaultParagraphFont"/>
    <w:link w:val="Heading2"/>
    <w:uiPriority w:val="9"/>
    <w:qFormat/>
    <w:rPr>
      <w:rFonts w:ascii="黑体" w:eastAsia="黑体" w:hAnsi="黑体" w:cs="Times New Roman"/>
      <w:sz w:val="28"/>
      <w:szCs w:val="20"/>
    </w:rPr>
  </w:style>
  <w:style w:type="character" w:customStyle="1" w:styleId="a">
    <w:name w:val="页眉 字符"/>
    <w:basedOn w:val="DefaultParagraphFont"/>
    <w:link w:val="Header"/>
    <w:qFormat/>
    <w:rPr>
      <w:rFonts w:ascii="Times New Roman" w:hAnsi="Times New Roman" w:cs="Times New Roman"/>
      <w:kern w:val="0"/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rFonts w:ascii="Times New Roman" w:hAnsi="Times New Roman" w:cs="Times New Roman"/>
      <w:kern w:val="0"/>
      <w:sz w:val="18"/>
      <w:szCs w:val="18"/>
    </w:rPr>
  </w:style>
  <w:style w:type="character" w:customStyle="1" w:styleId="3">
    <w:name w:val="标题 3 字符"/>
    <w:basedOn w:val="DefaultParagraphFont"/>
    <w:link w:val="Heading3"/>
    <w:uiPriority w:val="9"/>
    <w:qFormat/>
    <w:rPr>
      <w:rFonts w:ascii="黑体" w:eastAsia="黑体" w:hAnsi="黑体" w:cs="Times New Roman"/>
      <w:sz w:val="26"/>
      <w:szCs w:val="20"/>
    </w:rPr>
  </w:style>
  <w:style w:type="character" w:customStyle="1" w:styleId="4">
    <w:name w:val="标题 4 字符"/>
    <w:basedOn w:val="DefaultParagraphFont"/>
    <w:link w:val="Heading4"/>
    <w:qFormat/>
    <w:rPr>
      <w:rFonts w:ascii="黑体" w:eastAsia="黑体" w:hAnsi="黑体" w:cs="Times New Roman"/>
      <w:sz w:val="24"/>
      <w:szCs w:val="20"/>
    </w:rPr>
  </w:style>
  <w:style w:type="character" w:customStyle="1" w:styleId="5">
    <w:name w:val="标题 5 字符"/>
    <w:basedOn w:val="DefaultParagraphFont"/>
    <w:link w:val="Heading5"/>
    <w:qFormat/>
    <w:rPr>
      <w:rFonts w:ascii="黑体" w:eastAsia="黑体" w:hAnsi="黑体" w:cs="Times New Roman"/>
      <w:sz w:val="22"/>
      <w:szCs w:val="20"/>
    </w:rPr>
  </w:style>
  <w:style w:type="character" w:customStyle="1" w:styleId="a1">
    <w:name w:val="批注框文本 字符"/>
    <w:basedOn w:val="DefaultParagraphFont"/>
    <w:link w:val="BalloonText"/>
    <w:uiPriority w:val="9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a2">
    <w:name w:val="日期 字符"/>
    <w:basedOn w:val="DefaultParagraphFont"/>
    <w:link w:val="Date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a3">
    <w:name w:val="正文文本缩进 字符"/>
    <w:basedOn w:val="DefaultParagraphFont"/>
    <w:link w:val="BodyTextIndent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20">
    <w:name w:val="正文文本缩进 2 字符"/>
    <w:basedOn w:val="DefaultParagraphFont"/>
    <w:link w:val="BodyTextIndent2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a4">
    <w:name w:val="正文文本 字符"/>
    <w:basedOn w:val="DefaultParagraphFont"/>
    <w:link w:val="BodyText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a5">
    <w:name w:val="纯文本 字符"/>
    <w:basedOn w:val="DefaultParagraphFont"/>
    <w:link w:val="PlainText"/>
    <w:qFormat/>
    <w:rPr>
      <w:rFonts w:ascii="宋体" w:eastAsia="宋体" w:hAnsi="Courier New" w:cs="Times New Roman"/>
      <w:sz w:val="24"/>
      <w:szCs w:val="20"/>
    </w:rPr>
  </w:style>
  <w:style w:type="paragraph" w:customStyle="1" w:styleId="10">
    <w:name w:val="样式1"/>
    <w:basedOn w:val="Normal"/>
    <w:link w:val="1Char"/>
    <w:qFormat/>
    <w:pPr>
      <w:widowControl w:val="0"/>
      <w:tabs>
        <w:tab w:val="left" w:pos="4500"/>
      </w:tabs>
      <w:spacing w:before="60" w:after="60" w:line="240" w:lineRule="auto"/>
      <w:ind w:firstLine="0" w:firstLineChars="0"/>
      <w:jc w:val="center"/>
    </w:pPr>
    <w:rPr>
      <w:rFonts w:eastAsia="宋体"/>
      <w:bCs/>
      <w:spacing w:val="6"/>
      <w:kern w:val="22"/>
      <w:sz w:val="22"/>
      <w:szCs w:val="24"/>
    </w:rPr>
  </w:style>
  <w:style w:type="character" w:customStyle="1" w:styleId="1Char">
    <w:name w:val="样式1 Char"/>
    <w:link w:val="10"/>
    <w:qFormat/>
    <w:rPr>
      <w:rFonts w:ascii="Times New Roman" w:eastAsia="宋体" w:hAnsi="Times New Roman" w:cs="Times New Roman"/>
      <w:bCs/>
      <w:spacing w:val="6"/>
      <w:kern w:val="22"/>
      <w:sz w:val="22"/>
      <w:szCs w:val="24"/>
    </w:rPr>
  </w:style>
  <w:style w:type="paragraph" w:customStyle="1" w:styleId="CharChar">
    <w:name w:val="Char Char"/>
    <w:basedOn w:val="Normal"/>
    <w:qFormat/>
    <w:pPr>
      <w:spacing w:after="160" w:line="240" w:lineRule="exact"/>
      <w:jc w:val="left"/>
    </w:pPr>
    <w:rPr>
      <w:rFonts w:ascii="Verdana" w:eastAsia="仿宋_GB2312" w:hAnsi="Verdana"/>
      <w:sz w:val="30"/>
      <w:szCs w:val="30"/>
      <w:lang w:eastAsia="en-US"/>
    </w:rPr>
  </w:style>
  <w:style w:type="character" w:customStyle="1" w:styleId="HTML">
    <w:name w:val="HTML 预设格式 字符"/>
    <w:basedOn w:val="DefaultParagraphFont"/>
    <w:link w:val="HTMLPreformatted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nswer-collapse-content">
    <w:name w:val="answer-collapse-content"/>
    <w:qFormat/>
  </w:style>
  <w:style w:type="character" w:customStyle="1" w:styleId="a6">
    <w:name w:val="脚注文本 字符"/>
    <w:basedOn w:val="DefaultParagraphFont"/>
    <w:link w:val="FootnoteText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nswer-expand-content">
    <w:name w:val="answer-expand-content"/>
    <w:qFormat/>
  </w:style>
  <w:style w:type="paragraph" w:customStyle="1" w:styleId="reader-word-layerreader-word-s4-9">
    <w:name w:val="reader-word-layer reader-word-s4-9"/>
    <w:basedOn w:val="Normal"/>
    <w:qFormat/>
    <w:pPr>
      <w:spacing w:before="100" w:beforeAutospacing="1" w:after="100" w:afterAutospacing="1"/>
      <w:jc w:val="left"/>
    </w:pPr>
    <w:rPr>
      <w:rFonts w:ascii="宋体" w:eastAsia="宋体" w:hAnsi="宋体" w:cs="宋体"/>
      <w:szCs w:val="24"/>
    </w:rPr>
  </w:style>
  <w:style w:type="paragraph" w:customStyle="1" w:styleId="reader-word-layerreader-word-s3-4">
    <w:name w:val="reader-word-layer reader-word-s3-4"/>
    <w:basedOn w:val="Normal"/>
    <w:qFormat/>
    <w:pPr>
      <w:spacing w:before="100" w:beforeAutospacing="1" w:after="100" w:afterAutospacing="1"/>
      <w:jc w:val="left"/>
    </w:pPr>
    <w:rPr>
      <w:rFonts w:ascii="宋体" w:eastAsia="宋体" w:hAnsi="宋体" w:cs="宋体"/>
      <w:szCs w:val="24"/>
    </w:rPr>
  </w:style>
  <w:style w:type="paragraph" w:styleId="NoSpacing">
    <w:name w:val="No Spacing"/>
    <w:link w:val="a7"/>
    <w:uiPriority w:val="1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character" w:customStyle="1" w:styleId="a7">
    <w:name w:val="无间隔 字符"/>
    <w:link w:val="NoSpacing"/>
    <w:uiPriority w:val="1"/>
    <w:qFormat/>
    <w:rPr>
      <w:rFonts w:ascii="Calibri" w:eastAsia="宋体" w:hAnsi="Calibri" w:cs="Times New Roman"/>
      <w:kern w:val="0"/>
      <w:sz w:val="22"/>
    </w:rPr>
  </w:style>
  <w:style w:type="character" w:customStyle="1" w:styleId="a8">
    <w:name w:val="批注文字 字符"/>
    <w:basedOn w:val="DefaultParagraphFont"/>
    <w:link w:val="CommentText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a9">
    <w:name w:val="批注主题 字符"/>
    <w:basedOn w:val="a8"/>
    <w:link w:val="CommentSubject"/>
    <w:qFormat/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6">
    <w:name w:val="标题 6 字符"/>
    <w:basedOn w:val="DefaultParagraphFont"/>
    <w:link w:val="Heading6"/>
    <w:uiPriority w:val="9"/>
    <w:qFormat/>
    <w:rPr>
      <w:rFonts w:ascii="Times New Roman" w:eastAsia="黑体" w:hAnsi="Times New Roman" w:cstheme="majorBidi"/>
      <w:bCs/>
      <w:kern w:val="0"/>
      <w:sz w:val="22"/>
      <w:szCs w:val="24"/>
    </w:rPr>
  </w:style>
  <w:style w:type="paragraph" w:styleId="Quote">
    <w:name w:val="Quote"/>
    <w:basedOn w:val="Normal"/>
    <w:next w:val="Normal"/>
    <w:link w:val="a10"/>
    <w:uiPriority w:val="29"/>
    <w:qFormat/>
    <w:pPr>
      <w:spacing w:before="60" w:line="320" w:lineRule="exact"/>
      <w:ind w:firstLine="0" w:firstLineChars="0"/>
    </w:pPr>
    <w:rPr>
      <w:iCs/>
      <w:color w:val="000000" w:themeColor="text1"/>
      <w:sz w:val="21"/>
      <w14:textFill>
        <w14:solidFill>
          <w14:schemeClr w14:val="tx1"/>
        </w14:solidFill>
      </w14:textFill>
    </w:rPr>
  </w:style>
  <w:style w:type="character" w:customStyle="1" w:styleId="a10">
    <w:name w:val="引用 字符"/>
    <w:basedOn w:val="DefaultParagraphFont"/>
    <w:link w:val="Quote"/>
    <w:uiPriority w:val="29"/>
    <w:qFormat/>
    <w:rPr>
      <w:rFonts w:ascii="Times New Roman" w:hAnsi="Times New Roman" w:cs="Times New Roman"/>
      <w:iCs/>
      <w:color w:val="000000" w:themeColor="text1"/>
      <w:kern w:val="0"/>
      <w14:textFill>
        <w14:solidFill>
          <w14:schemeClr w14:val="tx1"/>
        </w14:solidFill>
      </w14:textFill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76092" w:themeColor="accent1" w:themeShade="BF"/>
      <w:kern w:val="0"/>
      <w:sz w:val="28"/>
      <w:szCs w:val="28"/>
    </w:rPr>
  </w:style>
  <w:style w:type="paragraph" w:customStyle="1" w:styleId="11">
    <w:name w:val="修订1"/>
    <w:hidden/>
    <w:uiPriority w:val="99"/>
    <w:semiHidden/>
    <w:qFormat/>
    <w:rPr>
      <w:rFonts w:ascii="Times New Roman" w:hAnsi="Times New Roman" w:eastAsiaTheme="minorEastAsia" w:cs="Times New Roman"/>
      <w:sz w:val="24"/>
      <w:szCs w:val="22"/>
      <w:lang w:val="en-US" w:eastAsia="zh-CN" w:bidi="ar-SA"/>
    </w:rPr>
  </w:style>
  <w:style w:type="paragraph" w:customStyle="1" w:styleId="Revision">
    <w:name w:val="Revision"/>
    <w:hidden/>
    <w:uiPriority w:val="99"/>
    <w:semiHidden/>
    <w:qFormat/>
    <w:rPr>
      <w:rFonts w:ascii="Times New Roman" w:hAnsi="Times New Roman" w:eastAsiaTheme="minorEastAsia" w:cs="Times New Roman"/>
      <w:sz w:val="24"/>
      <w:szCs w:val="22"/>
      <w:lang w:val="en-US" w:eastAsia="zh-CN" w:bidi="ar-SA"/>
    </w:rPr>
  </w:style>
  <w:style w:type="table" w:customStyle="1" w:styleId="21">
    <w:name w:val="样式2"/>
    <w:basedOn w:val="TableNormal"/>
    <w:uiPriority w:val="99"/>
    <w:qFormat/>
    <w:pPr>
      <w:spacing w:before="60" w:after="60"/>
    </w:pPr>
    <w:rPr>
      <w:rFonts w:ascii="Times New Roman" w:eastAsia="宋体" w:hAnsi="Times New Roman"/>
      <w:sz w:val="22"/>
    </w:rPr>
    <w:tblPr>
      <w:tblBorders>
        <w:top w:val="single" w:sz="12" w:space="0" w:color="auto"/>
        <w:bottom w:val="single" w:sz="12" w:space="0" w:color="auto"/>
      </w:tblBorders>
    </w:tblPr>
  </w:style>
  <w:style w:type="paragraph" w:customStyle="1" w:styleId="TOCHeading">
    <w:name w:val="TOC Heading"/>
    <w:basedOn w:val="Heading1"/>
    <w:next w:val="Normal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color w:val="376092" w:themeColor="accent1" w:themeShade="BF"/>
      <w:kern w:val="0"/>
      <w:sz w:val="32"/>
      <w:szCs w:val="32"/>
    </w:rPr>
  </w:style>
  <w:style w:type="character" w:styleId="PlaceholderText">
    <w:name w:val="Placeholder Text"/>
    <w:basedOn w:val="DefaultParagraphFont"/>
    <w:uiPriority w:val="99"/>
    <w:unhideWhenUsed/>
    <w:qFormat/>
    <w:rPr>
      <w:color w:val="808080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a11">
    <w:name w:val="图表标题"/>
    <w:basedOn w:val="TOC1"/>
    <w:link w:val="Char"/>
    <w:qFormat/>
    <w:pPr>
      <w:tabs>
        <w:tab w:val="right" w:leader="dot" w:pos="8268"/>
      </w:tabs>
      <w:spacing w:before="0" w:line="360" w:lineRule="exact"/>
      <w:ind w:firstLine="200" w:firstLineChars="200"/>
      <w:jc w:val="center"/>
    </w:pPr>
    <w:rPr>
      <w:bCs w:val="0"/>
      <w:caps w:val="0"/>
      <w:sz w:val="18"/>
      <w:szCs w:val="28"/>
    </w:rPr>
  </w:style>
  <w:style w:type="character" w:customStyle="1" w:styleId="Char">
    <w:name w:val="图表标题 Char"/>
    <w:basedOn w:val="DefaultParagraphFont"/>
    <w:link w:val="a11"/>
    <w:qFormat/>
    <w:rPr>
      <w:rFonts w:ascii="Times New Roman" w:eastAsia="黑体" w:hAnsi="Times New Roman" w:cs="Times New Roman"/>
      <w:kern w:val="2"/>
      <w:sz w:val="18"/>
      <w:szCs w:val="28"/>
    </w:rPr>
  </w:style>
  <w:style w:type="paragraph" w:customStyle="1" w:styleId="a12">
    <w:name w:val="图表正文"/>
    <w:link w:val="Char0"/>
    <w:qFormat/>
    <w:pPr>
      <w:tabs>
        <w:tab w:val="right" w:leader="dot" w:pos="8268"/>
      </w:tabs>
      <w:spacing w:line="360" w:lineRule="exact"/>
      <w:jc w:val="center"/>
    </w:pPr>
    <w:rPr>
      <w:rFonts w:ascii="Times New Roman" w:hAnsi="Times New Roman" w:eastAsiaTheme="minorEastAsia" w:cs="Times New Roman"/>
      <w:kern w:val="2"/>
      <w:sz w:val="18"/>
      <w:szCs w:val="24"/>
      <w:lang w:val="en-US" w:eastAsia="zh-CN" w:bidi="ar-SA"/>
    </w:rPr>
  </w:style>
  <w:style w:type="character" w:customStyle="1" w:styleId="Char0">
    <w:name w:val="图表正文 Char"/>
    <w:basedOn w:val="DefaultParagraphFont"/>
    <w:link w:val="a12"/>
    <w:rPr>
      <w:rFonts w:ascii="Times New Roman" w:hAnsi="Times New Roman" w:cs="Times New Roman"/>
      <w:kern w:val="2"/>
      <w:sz w:val="18"/>
      <w:szCs w:val="24"/>
    </w:rPr>
  </w:style>
  <w:style w:type="paragraph" w:customStyle="1" w:styleId="12">
    <w:name w:val="列出段落1"/>
    <w:basedOn w:val="Normal"/>
    <w:uiPriority w:val="99"/>
    <w:unhideWhenUsed/>
    <w:qFormat/>
    <w:pPr>
      <w:widowControl w:val="0"/>
      <w:spacing w:line="360" w:lineRule="exact"/>
      <w:ind w:firstLine="420"/>
    </w:pPr>
    <w:rPr>
      <w:rFonts w:eastAsia="宋体"/>
      <w:kern w:val="2"/>
      <w:szCs w:val="24"/>
    </w:rPr>
  </w:style>
  <w:style w:type="paragraph" w:customStyle="1" w:styleId="13">
    <w:name w:val="1正、"/>
    <w:basedOn w:val="Normal"/>
    <w:uiPriority w:val="99"/>
    <w:qFormat/>
    <w:pPr>
      <w:widowControl w:val="0"/>
      <w:spacing w:line="360" w:lineRule="auto"/>
      <w:ind w:firstLine="480"/>
    </w:pPr>
    <w:rPr>
      <w:rFonts w:eastAsia="宋体"/>
      <w:kern w:val="2"/>
      <w:szCs w:val="24"/>
      <w:lang w:val="zh-CN"/>
    </w:rPr>
  </w:style>
  <w:style w:type="paragraph" w:customStyle="1" w:styleId="a13">
    <w:name w:val="南开章"/>
    <w:basedOn w:val="Normal"/>
    <w:link w:val="Char1"/>
    <w:qFormat/>
    <w:pPr>
      <w:widowControl w:val="0"/>
      <w:spacing w:before="480" w:after="360" w:line="360" w:lineRule="exact"/>
      <w:jc w:val="center"/>
      <w:outlineLvl w:val="0"/>
    </w:pPr>
    <w:rPr>
      <w:rFonts w:ascii="黑体" w:eastAsia="黑体" w:hAnsi="黑体" w:cs="宋体"/>
      <w:b/>
      <w:kern w:val="2"/>
      <w:sz w:val="30"/>
      <w:szCs w:val="30"/>
    </w:rPr>
  </w:style>
  <w:style w:type="character" w:customStyle="1" w:styleId="Char1">
    <w:name w:val="南开章 Char"/>
    <w:basedOn w:val="DefaultParagraphFont"/>
    <w:link w:val="a13"/>
    <w:qFormat/>
    <w:rPr>
      <w:rFonts w:ascii="黑体" w:eastAsia="黑体" w:hAnsi="黑体" w:cs="宋体"/>
      <w:b/>
      <w:kern w:val="2"/>
      <w:sz w:val="30"/>
      <w:szCs w:val="30"/>
    </w:rPr>
  </w:style>
  <w:style w:type="paragraph" w:customStyle="1" w:styleId="a14">
    <w:name w:val="南开 节"/>
    <w:basedOn w:val="Normal"/>
    <w:link w:val="Char2"/>
    <w:qFormat/>
    <w:pPr>
      <w:widowControl w:val="0"/>
      <w:spacing w:before="480" w:after="120" w:line="360" w:lineRule="exact"/>
      <w:ind w:firstLine="281" w:firstLineChars="100"/>
      <w:jc w:val="center"/>
      <w:outlineLvl w:val="1"/>
    </w:pPr>
    <w:rPr>
      <w:rFonts w:ascii="黑体" w:eastAsia="黑体" w:hAnsi="黑体" w:cs="宋体"/>
      <w:b/>
      <w:kern w:val="2"/>
      <w:sz w:val="28"/>
      <w:szCs w:val="24"/>
    </w:rPr>
  </w:style>
  <w:style w:type="character" w:customStyle="1" w:styleId="Char2">
    <w:name w:val="南开 节 Char"/>
    <w:basedOn w:val="DefaultParagraphFont"/>
    <w:link w:val="a14"/>
    <w:qFormat/>
    <w:rPr>
      <w:rFonts w:ascii="黑体" w:eastAsia="黑体" w:hAnsi="黑体" w:cs="宋体"/>
      <w:b/>
      <w:kern w:val="2"/>
      <w:sz w:val="28"/>
      <w:szCs w:val="24"/>
    </w:rPr>
  </w:style>
  <w:style w:type="paragraph" w:customStyle="1" w:styleId="a15">
    <w:name w:val="南开正文"/>
    <w:basedOn w:val="Normal"/>
    <w:link w:val="Char3"/>
    <w:qFormat/>
    <w:pPr>
      <w:widowControl w:val="0"/>
      <w:ind w:firstLine="480"/>
    </w:pPr>
    <w:rPr>
      <w:rFonts w:eastAsia="宋体" w:asciiTheme="minorEastAsia" w:hAnsiTheme="minorEastAsia"/>
      <w:kern w:val="2"/>
      <w:szCs w:val="24"/>
    </w:rPr>
  </w:style>
  <w:style w:type="character" w:customStyle="1" w:styleId="Char3">
    <w:name w:val="南开正文 Char"/>
    <w:basedOn w:val="DefaultParagraphFont"/>
    <w:link w:val="a15"/>
    <w:rPr>
      <w:rFonts w:eastAsia="宋体" w:asciiTheme="minorEastAsia" w:hAnsiTheme="minorEastAsia" w:cs="Times New Roman"/>
      <w:kern w:val="2"/>
      <w:sz w:val="24"/>
      <w:szCs w:val="24"/>
    </w:rPr>
  </w:style>
  <w:style w:type="paragraph" w:customStyle="1" w:styleId="a16">
    <w:name w:val="南开 一"/>
    <w:basedOn w:val="Normal"/>
    <w:link w:val="Char4"/>
    <w:qFormat/>
    <w:pPr>
      <w:widowControl w:val="0"/>
      <w:spacing w:before="240" w:after="120" w:line="360" w:lineRule="exact"/>
      <w:ind w:left="520"/>
      <w:outlineLvl w:val="2"/>
    </w:pPr>
    <w:rPr>
      <w:rFonts w:ascii="黑体" w:eastAsia="黑体" w:hAnsi="黑体" w:cs="宋体"/>
      <w:kern w:val="2"/>
      <w:sz w:val="26"/>
      <w:szCs w:val="26"/>
    </w:rPr>
  </w:style>
  <w:style w:type="character" w:customStyle="1" w:styleId="Char4">
    <w:name w:val="南开 一 Char"/>
    <w:basedOn w:val="DefaultParagraphFont"/>
    <w:link w:val="a16"/>
    <w:qFormat/>
    <w:rPr>
      <w:rFonts w:ascii="黑体" w:eastAsia="黑体" w:hAnsi="黑体" w:cs="宋体"/>
      <w:kern w:val="2"/>
      <w:sz w:val="26"/>
      <w:szCs w:val="26"/>
    </w:rPr>
  </w:style>
  <w:style w:type="paragraph" w:customStyle="1" w:styleId="a17">
    <w:name w:val="南开 表序"/>
    <w:basedOn w:val="a15"/>
    <w:link w:val="Char5"/>
    <w:pPr>
      <w:spacing w:before="120" w:after="120" w:line="240" w:lineRule="auto"/>
      <w:ind w:firstLine="420"/>
      <w:jc w:val="center"/>
    </w:pPr>
    <w:rPr>
      <w:rFonts w:ascii="Times New Roman" w:hAnsi="Times New Roman"/>
      <w:szCs w:val="21"/>
      <w:lang w:val="zh-CN"/>
    </w:rPr>
  </w:style>
  <w:style w:type="character" w:customStyle="1" w:styleId="Char5">
    <w:name w:val="南开 表序 Char"/>
    <w:basedOn w:val="Char3"/>
    <w:link w:val="a17"/>
    <w:rPr>
      <w:rFonts w:ascii="Times New Roman" w:eastAsia="宋体" w:hAnsi="Times New Roman" w:cs="Times New Roman"/>
      <w:kern w:val="2"/>
      <w:sz w:val="24"/>
      <w:szCs w:val="21"/>
      <w:lang w:val="zh-CN"/>
    </w:rPr>
  </w:style>
  <w:style w:type="paragraph" w:customStyle="1" w:styleId="a18">
    <w:name w:val="南开 （一）"/>
    <w:basedOn w:val="Normal"/>
    <w:link w:val="Char6"/>
    <w:qFormat/>
    <w:pPr>
      <w:widowControl w:val="0"/>
      <w:spacing w:before="240" w:after="120" w:line="360" w:lineRule="exact"/>
      <w:outlineLvl w:val="3"/>
    </w:pPr>
    <w:rPr>
      <w:rFonts w:ascii="黑体" w:eastAsia="黑体" w:hAnsi="黑体"/>
      <w:kern w:val="2"/>
      <w:szCs w:val="24"/>
      <w:lang w:val="zh-CN"/>
    </w:rPr>
  </w:style>
  <w:style w:type="character" w:customStyle="1" w:styleId="Char6">
    <w:name w:val="南开 （一） Char"/>
    <w:basedOn w:val="DefaultParagraphFont"/>
    <w:link w:val="a18"/>
    <w:rPr>
      <w:rFonts w:ascii="黑体" w:eastAsia="黑体" w:hAnsi="黑体" w:cs="Times New Roman"/>
      <w:kern w:val="2"/>
      <w:sz w:val="24"/>
      <w:szCs w:val="24"/>
      <w:lang w:val="zh-CN"/>
    </w:rPr>
  </w:style>
  <w:style w:type="paragraph" w:customStyle="1" w:styleId="a19">
    <w:name w:val="南开 图"/>
    <w:basedOn w:val="Normal"/>
    <w:link w:val="Char7"/>
    <w:qFormat/>
    <w:pPr>
      <w:widowControl w:val="0"/>
      <w:spacing w:before="120" w:after="240" w:line="360" w:lineRule="exact"/>
      <w:ind w:firstLine="420"/>
      <w:jc w:val="center"/>
    </w:pPr>
    <w:rPr>
      <w:rFonts w:eastAsia="宋体" w:asciiTheme="minorEastAsia" w:hAnsiTheme="minorEastAsia" w:cs="宋体"/>
      <w:kern w:val="2"/>
      <w:szCs w:val="21"/>
    </w:rPr>
  </w:style>
  <w:style w:type="character" w:customStyle="1" w:styleId="Char7">
    <w:name w:val="南开 图 Char"/>
    <w:basedOn w:val="DefaultParagraphFont"/>
    <w:link w:val="a19"/>
    <w:qFormat/>
    <w:rPr>
      <w:rFonts w:eastAsia="宋体" w:asciiTheme="minorEastAsia" w:hAnsiTheme="minorEastAsia" w:cs="宋体"/>
      <w:kern w:val="2"/>
      <w:sz w:val="24"/>
      <w:szCs w:val="21"/>
    </w:rPr>
  </w:style>
  <w:style w:type="paragraph" w:customStyle="1" w:styleId="a20">
    <w:name w:val="目录"/>
    <w:basedOn w:val="TOC1"/>
    <w:link w:val="Char8"/>
    <w:qFormat/>
    <w:pPr>
      <w:tabs>
        <w:tab w:val="right" w:leader="dot" w:pos="8296"/>
      </w:tabs>
      <w:spacing w:line="360" w:lineRule="exact"/>
      <w:ind w:firstLine="200" w:firstLineChars="200"/>
      <w:jc w:val="both"/>
    </w:pPr>
    <w:rPr>
      <w:rFonts w:ascii="黑体" w:hAnsi="黑体" w:cs="宋体"/>
      <w:sz w:val="30"/>
      <w:szCs w:val="30"/>
    </w:rPr>
  </w:style>
  <w:style w:type="character" w:customStyle="1" w:styleId="TOC11">
    <w:name w:val="TOC 1 字符"/>
    <w:basedOn w:val="DefaultParagraphFont"/>
    <w:link w:val="TOC1"/>
    <w:uiPriority w:val="39"/>
    <w:qFormat/>
    <w:rPr>
      <w:rFonts w:ascii="Times New Roman" w:eastAsia="黑体" w:hAnsi="Times New Roman" w:cs="Times New Roman"/>
      <w:bCs/>
      <w:caps/>
      <w:kern w:val="2"/>
      <w:sz w:val="24"/>
    </w:rPr>
  </w:style>
  <w:style w:type="character" w:customStyle="1" w:styleId="Char8">
    <w:name w:val="目录 Char"/>
    <w:basedOn w:val="TOC11"/>
    <w:link w:val="a20"/>
    <w:qFormat/>
    <w:rPr>
      <w:rFonts w:ascii="黑体" w:eastAsia="黑体" w:hAnsi="黑体" w:cs="宋体"/>
      <w:kern w:val="2"/>
      <w:sz w:val="30"/>
      <w:szCs w:val="30"/>
    </w:rPr>
  </w:style>
  <w:style w:type="character" w:customStyle="1" w:styleId="TOC20">
    <w:name w:val="TOC 2 字符"/>
    <w:basedOn w:val="DefaultParagraphFont"/>
    <w:link w:val="TOC2"/>
    <w:uiPriority w:val="39"/>
    <w:rPr>
      <w:rFonts w:ascii="Times New Roman" w:eastAsia="宋体" w:hAnsi="Times New Roman" w:cs="Times New Roman"/>
      <w:smallCaps/>
      <w:kern w:val="2"/>
      <w:sz w:val="24"/>
    </w:rPr>
  </w:style>
  <w:style w:type="table" w:customStyle="1" w:styleId="200">
    <w:name w:val="样式2_0"/>
    <w:basedOn w:val="TableNormal"/>
    <w:uiPriority w:val="99"/>
    <w:qFormat/>
    <w:pPr>
      <w:spacing w:before="60" w:after="60"/>
    </w:pPr>
    <w:rPr>
      <w:rFonts w:ascii="Times New Roman" w:eastAsia="宋体" w:hAnsi="Times New Roman"/>
      <w:sz w:val="22"/>
    </w:rPr>
    <w:tblPr>
      <w:tblBorders>
        <w:top w:val="single" w:sz="12" w:space="0" w:color="auto"/>
        <w:bottom w:val="single" w:sz="12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image" Target="media/image2.png" /><Relationship Id="rId14" Type="http://schemas.openxmlformats.org/officeDocument/2006/relationships/hyperlink" Target="https://d.book118.com/365024122323011101" TargetMode="Externa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image" Target="media/image1.png" /><Relationship Id="rId9" Type="http://schemas.openxmlformats.org/officeDocument/2006/relationships/header" Target="header1.xml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.USER-20190916PM\Desktop\&#27827;&#21271;.dotx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CA5F91-102E-4600-92B8-42CC990870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河北</Template>
  <TotalTime>6</TotalTime>
  <Pages>3</Pages>
  <Words>5478</Words>
  <Characters>9880</Characters>
  <Application>Microsoft Office Word</Application>
  <DocSecurity>0</DocSecurity>
  <Lines>108</Lines>
  <Paragraphs>30</Paragraphs>
  <ScaleCrop>false</ScaleCrop>
  <Company/>
  <LinksUpToDate>false</LinksUpToDate>
  <CharactersWithSpaces>10827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</dc:creator>
  <cp:lastModifiedBy>永驰</cp:lastModifiedBy>
  <cp:revision>0</cp:revision>
  <cp:lastPrinted>2021-09-08T02:10:00Z</cp:lastPrinted>
  <dcterms:created xsi:type="dcterms:W3CDTF">2022-12-05T02:45:00Z</dcterms:created>
  <dcterms:modified xsi:type="dcterms:W3CDTF">2024-01-31T02:12:16Z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261B5384F4E14727B3B682309181EDE5</vt:lpwstr>
  </property>
  <property fmtid="{D5CDD505-2E9C-101B-9397-08002B2CF9AE}" pid="3" name="KSOProductBuildVer">
    <vt:lpwstr>2052-12.1.0.16250</vt:lpwstr>
  </property>
</Properties>
</file>